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B97" w:rsidRDefault="00323441">
      <w:pPr>
        <w:pStyle w:val="NoSpacing"/>
        <w:spacing w:before="1540" w:after="240"/>
        <w:jc w:val="center"/>
        <w:rPr>
          <w:rFonts w:eastAsiaTheme="minorHAnsi"/>
          <w:color w:val="5B9BD5" w:themeColor="accent1"/>
          <w:lang w:val="en-ZA"/>
        </w:rPr>
      </w:pPr>
      <w:bookmarkStart w:id="0" w:name="_GoBack"/>
      <w:bookmarkEnd w:id="0"/>
      <w:r w:rsidRPr="00CC2003">
        <w:rPr>
          <w:rFonts w:ascii="Arial" w:hAnsi="Arial" w:cs="Arial"/>
          <w:noProof/>
          <w:color w:val="5B9BD5" w:themeColor="accent1"/>
          <w:sz w:val="24"/>
          <w:szCs w:val="24"/>
          <w:lang w:val="en-ZA" w:eastAsia="en-ZA"/>
        </w:rPr>
        <w:drawing>
          <wp:anchor distT="0" distB="0" distL="114300" distR="114300" simplePos="0" relativeHeight="251660288" behindDoc="0" locked="0" layoutInCell="1" allowOverlap="1" wp14:anchorId="514D0EF5" wp14:editId="1443AAF8">
            <wp:simplePos x="0" y="0"/>
            <wp:positionH relativeFrom="column">
              <wp:posOffset>3236595</wp:posOffset>
            </wp:positionH>
            <wp:positionV relativeFrom="paragraph">
              <wp:posOffset>-71755</wp:posOffset>
            </wp:positionV>
            <wp:extent cx="3257550" cy="2409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B0F" w:rsidRDefault="00173B0F">
      <w:pPr>
        <w:pStyle w:val="NoSpacing"/>
        <w:spacing w:before="1540" w:after="240"/>
        <w:jc w:val="center"/>
        <w:rPr>
          <w:rFonts w:eastAsiaTheme="minorHAnsi"/>
          <w:color w:val="5B9BD5" w:themeColor="accent1"/>
          <w:lang w:val="en-ZA"/>
        </w:rPr>
      </w:pPr>
    </w:p>
    <w:sdt>
      <w:sdtPr>
        <w:rPr>
          <w:rFonts w:ascii="Arial" w:eastAsiaTheme="minorHAnsi" w:hAnsi="Arial" w:cs="Arial"/>
          <w:color w:val="5B9BD5" w:themeColor="accent1"/>
          <w:sz w:val="24"/>
          <w:szCs w:val="24"/>
          <w:lang w:val="en-ZA"/>
        </w:rPr>
        <w:id w:val="1471476683"/>
        <w:docPartObj>
          <w:docPartGallery w:val="Cover Pages"/>
          <w:docPartUnique/>
        </w:docPartObj>
      </w:sdtPr>
      <w:sdtEndPr>
        <w:rPr>
          <w:b/>
          <w:color w:val="auto"/>
        </w:rPr>
      </w:sdtEndPr>
      <w:sdtContent>
        <w:sdt>
          <w:sdtPr>
            <w:rPr>
              <w:rFonts w:ascii="Arial" w:eastAsia="Times New Roman" w:hAnsi="Arial" w:cs="Arial"/>
              <w:b/>
              <w:color w:val="1F497D"/>
              <w:sz w:val="40"/>
              <w:szCs w:val="40"/>
              <w:lang w:val="en-ZA"/>
            </w:rPr>
            <w:alias w:val="Title"/>
            <w:tag w:val=""/>
            <w:id w:val="1735040861"/>
            <w:placeholder>
              <w:docPart w:val="4C2BAB1B33B54DCB8FF57C5F8080F8AB"/>
            </w:placeholder>
            <w:dataBinding w:prefixMappings="xmlns:ns0='http://purl.org/dc/elements/1.1/' xmlns:ns1='http://schemas.openxmlformats.org/package/2006/metadata/core-properties' " w:xpath="/ns1:coreProperties[1]/ns0:title[1]" w:storeItemID="{6C3C8BC8-F283-45AE-878A-BAB7291924A1}"/>
            <w:text/>
          </w:sdtPr>
          <w:sdtEndPr/>
          <w:sdtContent>
            <w:p w:rsidR="00143FAE" w:rsidRPr="002071E9" w:rsidRDefault="00621D37" w:rsidP="00323441">
              <w:pPr>
                <w:pStyle w:val="NoSpacing"/>
                <w:spacing w:before="1540" w:after="240"/>
                <w:jc w:val="center"/>
                <w:rPr>
                  <w:rFonts w:ascii="Arial" w:eastAsiaTheme="majorEastAsia" w:hAnsi="Arial" w:cs="Arial"/>
                  <w:b/>
                  <w:caps/>
                  <w:sz w:val="40"/>
                  <w:szCs w:val="40"/>
                </w:rPr>
              </w:pPr>
              <w:r w:rsidRPr="002071E9">
                <w:rPr>
                  <w:rFonts w:ascii="Arial" w:eastAsia="Times New Roman" w:hAnsi="Arial" w:cs="Arial"/>
                  <w:b/>
                  <w:color w:val="1F497D"/>
                  <w:sz w:val="40"/>
                  <w:szCs w:val="40"/>
                  <w:lang w:val="en-ZA"/>
                </w:rPr>
                <w:t>STATUS OF RECORDS REVIEW REPORT AS AT 31 MARCH 2020</w:t>
              </w:r>
            </w:p>
          </w:sdtContent>
        </w:sdt>
        <w:p w:rsidR="00143FAE" w:rsidRPr="00CC2003" w:rsidRDefault="00143FAE">
          <w:pPr>
            <w:pStyle w:val="NoSpacing"/>
            <w:jc w:val="center"/>
            <w:rPr>
              <w:rFonts w:ascii="Arial" w:hAnsi="Arial" w:cs="Arial"/>
              <w:b/>
              <w:sz w:val="24"/>
              <w:szCs w:val="24"/>
            </w:rPr>
          </w:pPr>
        </w:p>
        <w:p w:rsidR="00143FAE" w:rsidRPr="002071E9" w:rsidRDefault="00143FAE">
          <w:pPr>
            <w:pStyle w:val="NoSpacing"/>
            <w:spacing w:before="480"/>
            <w:jc w:val="center"/>
            <w:rPr>
              <w:rFonts w:ascii="Arial" w:hAnsi="Arial" w:cs="Arial"/>
              <w:b/>
              <w:sz w:val="32"/>
              <w:szCs w:val="32"/>
            </w:rPr>
          </w:pPr>
          <w:r w:rsidRPr="002071E9">
            <w:rPr>
              <w:rFonts w:ascii="Arial" w:hAnsi="Arial" w:cs="Arial"/>
              <w:b/>
              <w:noProof/>
              <w:sz w:val="32"/>
              <w:szCs w:val="32"/>
              <w:lang w:val="en-ZA" w:eastAsia="en-ZA"/>
            </w:rPr>
            <mc:AlternateContent>
              <mc:Choice Requires="wps">
                <w:drawing>
                  <wp:anchor distT="0" distB="0" distL="114300" distR="114300" simplePos="0" relativeHeight="251659264" behindDoc="0" locked="0" layoutInCell="1" allowOverlap="1" wp14:anchorId="0EAF9885" wp14:editId="017AD141">
                    <wp:simplePos x="0" y="0"/>
                    <wp:positionH relativeFrom="margin">
                      <wp:align>center</wp:align>
                    </wp:positionH>
                    <mc:AlternateContent>
                      <mc:Choice Requires="wp14">
                        <wp:positionV relativeFrom="page">
                          <wp14:pctPosVOffset>85000</wp14:pctPosVOffset>
                        </wp:positionV>
                      </mc:Choice>
                      <mc:Fallback>
                        <wp:positionV relativeFrom="page">
                          <wp:posOffset>6426200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93666453"/>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CD3B44" w:rsidRPr="0016603D" w:rsidRDefault="00CD3B44" w:rsidP="0016603D">
                                    <w:pPr>
                                      <w:pStyle w:val="NoSpacing"/>
                                      <w:spacing w:after="40"/>
                                      <w:jc w:val="center"/>
                                      <w:rPr>
                                        <w:caps/>
                                        <w:color w:val="5B9BD5" w:themeColor="accent1"/>
                                        <w:sz w:val="28"/>
                                        <w:szCs w:val="28"/>
                                      </w:rPr>
                                    </w:pPr>
                                    <w:r>
                                      <w:rPr>
                                        <w:caps/>
                                        <w:color w:val="5B9BD5" w:themeColor="accent1"/>
                                        <w:sz w:val="28"/>
                                        <w:szCs w:val="28"/>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382BA7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93666453"/>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CD3B44" w:rsidRPr="0016603D" w:rsidRDefault="00CD3B44" w:rsidP="0016603D">
                              <w:pPr>
                                <w:pStyle w:val="NoSpacing"/>
                                <w:spacing w:after="40"/>
                                <w:jc w:val="center"/>
                                <w:rPr>
                                  <w:caps/>
                                  <w:color w:val="5B9BD5" w:themeColor="accent1"/>
                                  <w:sz w:val="28"/>
                                  <w:szCs w:val="28"/>
                                </w:rPr>
                              </w:pPr>
                              <w:r>
                                <w:rPr>
                                  <w:caps/>
                                  <w:color w:val="5B9BD5" w:themeColor="accent1"/>
                                  <w:sz w:val="28"/>
                                  <w:szCs w:val="28"/>
                                </w:rPr>
                                <w:t xml:space="preserve">     </w:t>
                              </w:r>
                            </w:p>
                          </w:sdtContent>
                        </w:sdt>
                      </w:txbxContent>
                    </v:textbox>
                    <w10:wrap anchorx="margin" anchory="page"/>
                  </v:shape>
                </w:pict>
              </mc:Fallback>
            </mc:AlternateContent>
          </w:r>
          <w:r w:rsidR="00192B7E" w:rsidRPr="002071E9">
            <w:rPr>
              <w:rFonts w:ascii="Arial" w:hAnsi="Arial" w:cs="Arial"/>
              <w:b/>
              <w:sz w:val="32"/>
              <w:szCs w:val="32"/>
            </w:rPr>
            <w:t>Prepared by Internal Control Unit</w:t>
          </w:r>
        </w:p>
        <w:p w:rsidR="00612BCE" w:rsidRPr="002071E9" w:rsidRDefault="00621D37">
          <w:pPr>
            <w:pStyle w:val="NoSpacing"/>
            <w:spacing w:before="480"/>
            <w:jc w:val="center"/>
            <w:rPr>
              <w:rFonts w:ascii="Arial" w:hAnsi="Arial" w:cs="Arial"/>
              <w:b/>
              <w:color w:val="FF0000"/>
              <w:sz w:val="32"/>
              <w:szCs w:val="32"/>
            </w:rPr>
          </w:pPr>
          <w:r w:rsidRPr="002071E9">
            <w:rPr>
              <w:rFonts w:ascii="Arial" w:hAnsi="Arial" w:cs="Arial"/>
              <w:b/>
              <w:color w:val="FF0000"/>
              <w:sz w:val="32"/>
              <w:szCs w:val="32"/>
            </w:rPr>
            <w:t>07 April 2020</w:t>
          </w:r>
        </w:p>
        <w:p w:rsidR="00BA255E" w:rsidRPr="00CC2003" w:rsidRDefault="00BA255E">
          <w:pPr>
            <w:rPr>
              <w:rFonts w:ascii="Arial" w:hAnsi="Arial" w:cs="Arial"/>
              <w:b/>
              <w:sz w:val="24"/>
              <w:szCs w:val="24"/>
            </w:rPr>
          </w:pPr>
        </w:p>
        <w:p w:rsidR="00BA255E" w:rsidRPr="00CC2003" w:rsidRDefault="00BA255E">
          <w:pPr>
            <w:rPr>
              <w:rFonts w:ascii="Arial" w:hAnsi="Arial" w:cs="Arial"/>
              <w:b/>
              <w:sz w:val="24"/>
              <w:szCs w:val="24"/>
            </w:rPr>
          </w:pPr>
        </w:p>
        <w:p w:rsidR="00BA255E" w:rsidRPr="00CC2003" w:rsidRDefault="00BA255E">
          <w:pPr>
            <w:rPr>
              <w:rFonts w:ascii="Arial" w:hAnsi="Arial" w:cs="Arial"/>
              <w:b/>
              <w:sz w:val="24"/>
              <w:szCs w:val="24"/>
            </w:rPr>
          </w:pPr>
        </w:p>
        <w:p w:rsidR="00BA255E" w:rsidRPr="002071E9" w:rsidRDefault="00BA255E" w:rsidP="00BA255E">
          <w:pPr>
            <w:jc w:val="center"/>
            <w:rPr>
              <w:rFonts w:ascii="Arial" w:hAnsi="Arial" w:cs="Arial"/>
              <w:b/>
              <w:sz w:val="36"/>
              <w:szCs w:val="36"/>
            </w:rPr>
          </w:pPr>
          <w:r w:rsidRPr="002071E9">
            <w:rPr>
              <w:rFonts w:ascii="Arial" w:hAnsi="Arial" w:cs="Arial"/>
              <w:b/>
              <w:sz w:val="36"/>
              <w:szCs w:val="36"/>
            </w:rPr>
            <w:lastRenderedPageBreak/>
            <w:t>TABLE OF CONTENTS</w:t>
          </w:r>
        </w:p>
        <w:sdt>
          <w:sdtPr>
            <w:rPr>
              <w:rFonts w:ascii="Arial" w:eastAsiaTheme="minorHAnsi" w:hAnsi="Arial" w:cs="Arial"/>
              <w:b/>
              <w:color w:val="auto"/>
              <w:sz w:val="24"/>
              <w:szCs w:val="24"/>
              <w:lang w:val="en-ZA"/>
            </w:rPr>
            <w:id w:val="-265223474"/>
            <w:docPartObj>
              <w:docPartGallery w:val="Table of Contents"/>
              <w:docPartUnique/>
            </w:docPartObj>
          </w:sdtPr>
          <w:sdtEndPr>
            <w:rPr>
              <w:bCs/>
              <w:noProof/>
              <w:sz w:val="32"/>
              <w:szCs w:val="32"/>
            </w:rPr>
          </w:sdtEndPr>
          <w:sdtContent>
            <w:p w:rsidR="00BA255E" w:rsidRPr="00CC2003" w:rsidRDefault="00BA255E" w:rsidP="00BA255E">
              <w:pPr>
                <w:pStyle w:val="TOCHeading"/>
                <w:jc w:val="both"/>
                <w:rPr>
                  <w:rFonts w:ascii="Arial" w:hAnsi="Arial" w:cs="Arial"/>
                  <w:b/>
                  <w:sz w:val="24"/>
                  <w:szCs w:val="24"/>
                </w:rPr>
              </w:pPr>
            </w:p>
            <w:p w:rsidR="00DE07E8" w:rsidRPr="00DE07E8" w:rsidRDefault="00BA255E">
              <w:pPr>
                <w:pStyle w:val="TOC1"/>
                <w:tabs>
                  <w:tab w:val="left" w:pos="440"/>
                  <w:tab w:val="right" w:leader="dot" w:pos="13948"/>
                </w:tabs>
                <w:rPr>
                  <w:rFonts w:eastAsiaTheme="minorEastAsia"/>
                  <w:noProof/>
                  <w:sz w:val="32"/>
                  <w:szCs w:val="32"/>
                  <w:lang w:val="en-US"/>
                </w:rPr>
              </w:pPr>
              <w:r w:rsidRPr="00DE07E8">
                <w:rPr>
                  <w:rFonts w:ascii="Arial" w:hAnsi="Arial" w:cs="Arial"/>
                  <w:b/>
                  <w:sz w:val="32"/>
                  <w:szCs w:val="32"/>
                </w:rPr>
                <w:fldChar w:fldCharType="begin"/>
              </w:r>
              <w:r w:rsidRPr="00DE07E8">
                <w:rPr>
                  <w:rFonts w:ascii="Arial" w:hAnsi="Arial" w:cs="Arial"/>
                  <w:b/>
                  <w:sz w:val="32"/>
                  <w:szCs w:val="32"/>
                </w:rPr>
                <w:instrText xml:space="preserve"> TOC \o "1-3" \h \z \u </w:instrText>
              </w:r>
              <w:r w:rsidRPr="00DE07E8">
                <w:rPr>
                  <w:rFonts w:ascii="Arial" w:hAnsi="Arial" w:cs="Arial"/>
                  <w:b/>
                  <w:sz w:val="32"/>
                  <w:szCs w:val="32"/>
                </w:rPr>
                <w:fldChar w:fldCharType="separate"/>
              </w:r>
              <w:hyperlink w:anchor="_Toc37343859" w:history="1">
                <w:r w:rsidR="00DE07E8" w:rsidRPr="00DE07E8">
                  <w:rPr>
                    <w:rStyle w:val="Hyperlink"/>
                    <w:rFonts w:ascii="Arial" w:hAnsi="Arial" w:cs="Arial"/>
                    <w:noProof/>
                    <w:sz w:val="32"/>
                    <w:szCs w:val="32"/>
                  </w:rPr>
                  <w:t>1.</w:t>
                </w:r>
                <w:r w:rsidR="00DE07E8" w:rsidRPr="00DE07E8">
                  <w:rPr>
                    <w:rFonts w:eastAsiaTheme="minorEastAsia"/>
                    <w:noProof/>
                    <w:sz w:val="32"/>
                    <w:szCs w:val="32"/>
                    <w:lang w:val="en-US"/>
                  </w:rPr>
                  <w:tab/>
                </w:r>
                <w:r w:rsidR="00DE07E8" w:rsidRPr="00DE07E8">
                  <w:rPr>
                    <w:rStyle w:val="Hyperlink"/>
                    <w:rFonts w:ascii="Arial" w:hAnsi="Arial" w:cs="Arial"/>
                    <w:noProof/>
                    <w:sz w:val="32"/>
                    <w:szCs w:val="32"/>
                    <w:lang w:val="en-GB"/>
                  </w:rPr>
                  <w:t>Purpose</w:t>
                </w:r>
                <w:r w:rsidR="00DE07E8" w:rsidRPr="00DE07E8">
                  <w:rPr>
                    <w:noProof/>
                    <w:webHidden/>
                    <w:sz w:val="32"/>
                    <w:szCs w:val="32"/>
                  </w:rPr>
                  <w:tab/>
                </w:r>
                <w:r w:rsidR="00DE07E8" w:rsidRPr="00DE07E8">
                  <w:rPr>
                    <w:noProof/>
                    <w:webHidden/>
                    <w:sz w:val="32"/>
                    <w:szCs w:val="32"/>
                  </w:rPr>
                  <w:fldChar w:fldCharType="begin"/>
                </w:r>
                <w:r w:rsidR="00DE07E8" w:rsidRPr="00DE07E8">
                  <w:rPr>
                    <w:noProof/>
                    <w:webHidden/>
                    <w:sz w:val="32"/>
                    <w:szCs w:val="32"/>
                  </w:rPr>
                  <w:instrText xml:space="preserve"> PAGEREF _Toc37343859 \h </w:instrText>
                </w:r>
                <w:r w:rsidR="00DE07E8" w:rsidRPr="00DE07E8">
                  <w:rPr>
                    <w:noProof/>
                    <w:webHidden/>
                    <w:sz w:val="32"/>
                    <w:szCs w:val="32"/>
                  </w:rPr>
                </w:r>
                <w:r w:rsidR="00DE07E8" w:rsidRPr="00DE07E8">
                  <w:rPr>
                    <w:noProof/>
                    <w:webHidden/>
                    <w:sz w:val="32"/>
                    <w:szCs w:val="32"/>
                  </w:rPr>
                  <w:fldChar w:fldCharType="separate"/>
                </w:r>
                <w:r w:rsidR="00DE07E8" w:rsidRPr="00DE07E8">
                  <w:rPr>
                    <w:noProof/>
                    <w:webHidden/>
                    <w:sz w:val="32"/>
                    <w:szCs w:val="32"/>
                  </w:rPr>
                  <w:t>1</w:t>
                </w:r>
                <w:r w:rsidR="00DE07E8" w:rsidRPr="00DE07E8">
                  <w:rPr>
                    <w:noProof/>
                    <w:webHidden/>
                    <w:sz w:val="32"/>
                    <w:szCs w:val="32"/>
                  </w:rPr>
                  <w:fldChar w:fldCharType="end"/>
                </w:r>
              </w:hyperlink>
            </w:p>
            <w:p w:rsidR="00DE07E8" w:rsidRPr="00DE07E8" w:rsidRDefault="009F7440">
              <w:pPr>
                <w:pStyle w:val="TOC1"/>
                <w:tabs>
                  <w:tab w:val="left" w:pos="440"/>
                  <w:tab w:val="right" w:leader="dot" w:pos="13948"/>
                </w:tabs>
                <w:rPr>
                  <w:rFonts w:eastAsiaTheme="minorEastAsia"/>
                  <w:noProof/>
                  <w:sz w:val="32"/>
                  <w:szCs w:val="32"/>
                  <w:lang w:val="en-US"/>
                </w:rPr>
              </w:pPr>
              <w:hyperlink w:anchor="_Toc37343860" w:history="1">
                <w:r w:rsidR="00DE07E8" w:rsidRPr="00DE07E8">
                  <w:rPr>
                    <w:rStyle w:val="Hyperlink"/>
                    <w:rFonts w:ascii="Arial" w:hAnsi="Arial" w:cs="Arial"/>
                    <w:noProof/>
                    <w:sz w:val="32"/>
                    <w:szCs w:val="32"/>
                    <w:lang w:val="en-GB"/>
                  </w:rPr>
                  <w:t>2.</w:t>
                </w:r>
                <w:r w:rsidR="00DE07E8" w:rsidRPr="00DE07E8">
                  <w:rPr>
                    <w:rFonts w:eastAsiaTheme="minorEastAsia"/>
                    <w:noProof/>
                    <w:sz w:val="32"/>
                    <w:szCs w:val="32"/>
                    <w:lang w:val="en-US"/>
                  </w:rPr>
                  <w:tab/>
                </w:r>
                <w:r w:rsidR="00DE07E8" w:rsidRPr="00DE07E8">
                  <w:rPr>
                    <w:rStyle w:val="Hyperlink"/>
                    <w:rFonts w:ascii="Arial" w:hAnsi="Arial" w:cs="Arial"/>
                    <w:noProof/>
                    <w:sz w:val="32"/>
                    <w:szCs w:val="32"/>
                    <w:lang w:val="en-GB"/>
                  </w:rPr>
                  <w:t>Oversight and monitoring</w:t>
                </w:r>
                <w:r w:rsidR="00DE07E8" w:rsidRPr="00DE07E8">
                  <w:rPr>
                    <w:noProof/>
                    <w:webHidden/>
                    <w:sz w:val="32"/>
                    <w:szCs w:val="32"/>
                  </w:rPr>
                  <w:tab/>
                </w:r>
                <w:r w:rsidR="00DE07E8" w:rsidRPr="00DE07E8">
                  <w:rPr>
                    <w:noProof/>
                    <w:webHidden/>
                    <w:sz w:val="32"/>
                    <w:szCs w:val="32"/>
                  </w:rPr>
                  <w:fldChar w:fldCharType="begin"/>
                </w:r>
                <w:r w:rsidR="00DE07E8" w:rsidRPr="00DE07E8">
                  <w:rPr>
                    <w:noProof/>
                    <w:webHidden/>
                    <w:sz w:val="32"/>
                    <w:szCs w:val="32"/>
                  </w:rPr>
                  <w:instrText xml:space="preserve"> PAGEREF _Toc37343860 \h </w:instrText>
                </w:r>
                <w:r w:rsidR="00DE07E8" w:rsidRPr="00DE07E8">
                  <w:rPr>
                    <w:noProof/>
                    <w:webHidden/>
                    <w:sz w:val="32"/>
                    <w:szCs w:val="32"/>
                  </w:rPr>
                </w:r>
                <w:r w:rsidR="00DE07E8" w:rsidRPr="00DE07E8">
                  <w:rPr>
                    <w:noProof/>
                    <w:webHidden/>
                    <w:sz w:val="32"/>
                    <w:szCs w:val="32"/>
                  </w:rPr>
                  <w:fldChar w:fldCharType="separate"/>
                </w:r>
                <w:r w:rsidR="00DE07E8" w:rsidRPr="00DE07E8">
                  <w:rPr>
                    <w:noProof/>
                    <w:webHidden/>
                    <w:sz w:val="32"/>
                    <w:szCs w:val="32"/>
                  </w:rPr>
                  <w:t>2</w:t>
                </w:r>
                <w:r w:rsidR="00DE07E8" w:rsidRPr="00DE07E8">
                  <w:rPr>
                    <w:noProof/>
                    <w:webHidden/>
                    <w:sz w:val="32"/>
                    <w:szCs w:val="32"/>
                  </w:rPr>
                  <w:fldChar w:fldCharType="end"/>
                </w:r>
              </w:hyperlink>
            </w:p>
            <w:p w:rsidR="00DE07E8" w:rsidRPr="00DE07E8" w:rsidRDefault="009F7440">
              <w:pPr>
                <w:pStyle w:val="TOC1"/>
                <w:tabs>
                  <w:tab w:val="left" w:pos="440"/>
                  <w:tab w:val="right" w:leader="dot" w:pos="13948"/>
                </w:tabs>
                <w:rPr>
                  <w:rFonts w:eastAsiaTheme="minorEastAsia"/>
                  <w:noProof/>
                  <w:sz w:val="32"/>
                  <w:szCs w:val="32"/>
                  <w:lang w:val="en-US"/>
                </w:rPr>
              </w:pPr>
              <w:hyperlink w:anchor="_Toc37343861" w:history="1">
                <w:r w:rsidR="00DE07E8" w:rsidRPr="00DE07E8">
                  <w:rPr>
                    <w:rStyle w:val="Hyperlink"/>
                    <w:rFonts w:ascii="Arial" w:hAnsi="Arial" w:cs="Arial"/>
                    <w:noProof/>
                    <w:sz w:val="32"/>
                    <w:szCs w:val="32"/>
                  </w:rPr>
                  <w:t>3.</w:t>
                </w:r>
                <w:r w:rsidR="00DE07E8" w:rsidRPr="00DE07E8">
                  <w:rPr>
                    <w:rFonts w:eastAsiaTheme="minorEastAsia"/>
                    <w:noProof/>
                    <w:sz w:val="32"/>
                    <w:szCs w:val="32"/>
                    <w:lang w:val="en-US"/>
                  </w:rPr>
                  <w:tab/>
                </w:r>
                <w:r w:rsidR="00DE07E8" w:rsidRPr="00DE07E8">
                  <w:rPr>
                    <w:rStyle w:val="Hyperlink"/>
                    <w:rFonts w:ascii="Arial" w:hAnsi="Arial" w:cs="Arial"/>
                    <w:noProof/>
                    <w:sz w:val="32"/>
                    <w:szCs w:val="32"/>
                  </w:rPr>
                  <w:t>Financial Management</w:t>
                </w:r>
                <w:r w:rsidR="00DE07E8" w:rsidRPr="00DE07E8">
                  <w:rPr>
                    <w:noProof/>
                    <w:webHidden/>
                    <w:sz w:val="32"/>
                    <w:szCs w:val="32"/>
                  </w:rPr>
                  <w:tab/>
                </w:r>
                <w:r w:rsidR="00DE07E8" w:rsidRPr="00DE07E8">
                  <w:rPr>
                    <w:noProof/>
                    <w:webHidden/>
                    <w:sz w:val="32"/>
                    <w:szCs w:val="32"/>
                  </w:rPr>
                  <w:fldChar w:fldCharType="begin"/>
                </w:r>
                <w:r w:rsidR="00DE07E8" w:rsidRPr="00DE07E8">
                  <w:rPr>
                    <w:noProof/>
                    <w:webHidden/>
                    <w:sz w:val="32"/>
                    <w:szCs w:val="32"/>
                  </w:rPr>
                  <w:instrText xml:space="preserve"> PAGEREF _Toc37343861 \h </w:instrText>
                </w:r>
                <w:r w:rsidR="00DE07E8" w:rsidRPr="00DE07E8">
                  <w:rPr>
                    <w:noProof/>
                    <w:webHidden/>
                    <w:sz w:val="32"/>
                    <w:szCs w:val="32"/>
                  </w:rPr>
                </w:r>
                <w:r w:rsidR="00DE07E8" w:rsidRPr="00DE07E8">
                  <w:rPr>
                    <w:noProof/>
                    <w:webHidden/>
                    <w:sz w:val="32"/>
                    <w:szCs w:val="32"/>
                  </w:rPr>
                  <w:fldChar w:fldCharType="separate"/>
                </w:r>
                <w:r w:rsidR="00DE07E8" w:rsidRPr="00DE07E8">
                  <w:rPr>
                    <w:noProof/>
                    <w:webHidden/>
                    <w:sz w:val="32"/>
                    <w:szCs w:val="32"/>
                  </w:rPr>
                  <w:t>2</w:t>
                </w:r>
                <w:r w:rsidR="00DE07E8" w:rsidRPr="00DE07E8">
                  <w:rPr>
                    <w:noProof/>
                    <w:webHidden/>
                    <w:sz w:val="32"/>
                    <w:szCs w:val="32"/>
                  </w:rPr>
                  <w:fldChar w:fldCharType="end"/>
                </w:r>
              </w:hyperlink>
            </w:p>
            <w:p w:rsidR="00DE07E8" w:rsidRPr="00DE07E8" w:rsidRDefault="009F7440">
              <w:pPr>
                <w:pStyle w:val="TOC1"/>
                <w:tabs>
                  <w:tab w:val="left" w:pos="440"/>
                  <w:tab w:val="right" w:leader="dot" w:pos="13948"/>
                </w:tabs>
                <w:rPr>
                  <w:rFonts w:eastAsiaTheme="minorEastAsia"/>
                  <w:noProof/>
                  <w:sz w:val="32"/>
                  <w:szCs w:val="32"/>
                  <w:lang w:val="en-US"/>
                </w:rPr>
              </w:pPr>
              <w:hyperlink w:anchor="_Toc37343862" w:history="1">
                <w:r w:rsidR="00DE07E8" w:rsidRPr="00DE07E8">
                  <w:rPr>
                    <w:rStyle w:val="Hyperlink"/>
                    <w:rFonts w:ascii="Arial" w:hAnsi="Arial" w:cs="Arial"/>
                    <w:noProof/>
                    <w:sz w:val="32"/>
                    <w:szCs w:val="32"/>
                  </w:rPr>
                  <w:t>4.</w:t>
                </w:r>
                <w:r w:rsidR="00DE07E8" w:rsidRPr="00DE07E8">
                  <w:rPr>
                    <w:rFonts w:eastAsiaTheme="minorEastAsia"/>
                    <w:noProof/>
                    <w:sz w:val="32"/>
                    <w:szCs w:val="32"/>
                    <w:lang w:val="en-US"/>
                  </w:rPr>
                  <w:tab/>
                </w:r>
                <w:r w:rsidR="00DE07E8" w:rsidRPr="00DE07E8">
                  <w:rPr>
                    <w:rStyle w:val="Hyperlink"/>
                    <w:rFonts w:ascii="Arial" w:hAnsi="Arial" w:cs="Arial"/>
                    <w:noProof/>
                    <w:sz w:val="32"/>
                    <w:szCs w:val="32"/>
                  </w:rPr>
                  <w:t>Performance Management</w:t>
                </w:r>
                <w:r w:rsidR="00DE07E8" w:rsidRPr="00DE07E8">
                  <w:rPr>
                    <w:noProof/>
                    <w:webHidden/>
                    <w:sz w:val="32"/>
                    <w:szCs w:val="32"/>
                  </w:rPr>
                  <w:tab/>
                </w:r>
                <w:r w:rsidR="00DE07E8" w:rsidRPr="00DE07E8">
                  <w:rPr>
                    <w:noProof/>
                    <w:webHidden/>
                    <w:sz w:val="32"/>
                    <w:szCs w:val="32"/>
                  </w:rPr>
                  <w:fldChar w:fldCharType="begin"/>
                </w:r>
                <w:r w:rsidR="00DE07E8" w:rsidRPr="00DE07E8">
                  <w:rPr>
                    <w:noProof/>
                    <w:webHidden/>
                    <w:sz w:val="32"/>
                    <w:szCs w:val="32"/>
                  </w:rPr>
                  <w:instrText xml:space="preserve"> PAGEREF _Toc37343862 \h </w:instrText>
                </w:r>
                <w:r w:rsidR="00DE07E8" w:rsidRPr="00DE07E8">
                  <w:rPr>
                    <w:noProof/>
                    <w:webHidden/>
                    <w:sz w:val="32"/>
                    <w:szCs w:val="32"/>
                  </w:rPr>
                </w:r>
                <w:r w:rsidR="00DE07E8" w:rsidRPr="00DE07E8">
                  <w:rPr>
                    <w:noProof/>
                    <w:webHidden/>
                    <w:sz w:val="32"/>
                    <w:szCs w:val="32"/>
                  </w:rPr>
                  <w:fldChar w:fldCharType="separate"/>
                </w:r>
                <w:r w:rsidR="00DE07E8" w:rsidRPr="00DE07E8">
                  <w:rPr>
                    <w:noProof/>
                    <w:webHidden/>
                    <w:sz w:val="32"/>
                    <w:szCs w:val="32"/>
                  </w:rPr>
                  <w:t>5</w:t>
                </w:r>
                <w:r w:rsidR="00DE07E8" w:rsidRPr="00DE07E8">
                  <w:rPr>
                    <w:noProof/>
                    <w:webHidden/>
                    <w:sz w:val="32"/>
                    <w:szCs w:val="32"/>
                  </w:rPr>
                  <w:fldChar w:fldCharType="end"/>
                </w:r>
              </w:hyperlink>
            </w:p>
            <w:p w:rsidR="00DE07E8" w:rsidRPr="00DE07E8" w:rsidRDefault="009F7440">
              <w:pPr>
                <w:pStyle w:val="TOC1"/>
                <w:tabs>
                  <w:tab w:val="left" w:pos="440"/>
                  <w:tab w:val="right" w:leader="dot" w:pos="13948"/>
                </w:tabs>
                <w:rPr>
                  <w:rFonts w:eastAsiaTheme="minorEastAsia"/>
                  <w:noProof/>
                  <w:sz w:val="32"/>
                  <w:szCs w:val="32"/>
                  <w:lang w:val="en-US"/>
                </w:rPr>
              </w:pPr>
              <w:hyperlink w:anchor="_Toc37343863" w:history="1">
                <w:r w:rsidR="00DE07E8" w:rsidRPr="00DE07E8">
                  <w:rPr>
                    <w:rStyle w:val="Hyperlink"/>
                    <w:rFonts w:ascii="Arial" w:hAnsi="Arial" w:cs="Arial"/>
                    <w:noProof/>
                    <w:sz w:val="32"/>
                    <w:szCs w:val="32"/>
                  </w:rPr>
                  <w:t>5.</w:t>
                </w:r>
                <w:r w:rsidR="00DE07E8" w:rsidRPr="00DE07E8">
                  <w:rPr>
                    <w:rFonts w:eastAsiaTheme="minorEastAsia"/>
                    <w:noProof/>
                    <w:sz w:val="32"/>
                    <w:szCs w:val="32"/>
                    <w:lang w:val="en-US"/>
                  </w:rPr>
                  <w:tab/>
                </w:r>
                <w:r w:rsidR="00DE07E8" w:rsidRPr="00DE07E8">
                  <w:rPr>
                    <w:rStyle w:val="Hyperlink"/>
                    <w:rFonts w:ascii="Arial" w:hAnsi="Arial" w:cs="Arial"/>
                    <w:noProof/>
                    <w:sz w:val="32"/>
                    <w:szCs w:val="32"/>
                  </w:rPr>
                  <w:t>Procurement and contract Management</w:t>
                </w:r>
                <w:r w:rsidR="00DE07E8" w:rsidRPr="00DE07E8">
                  <w:rPr>
                    <w:noProof/>
                    <w:webHidden/>
                    <w:sz w:val="32"/>
                    <w:szCs w:val="32"/>
                  </w:rPr>
                  <w:tab/>
                </w:r>
                <w:r w:rsidR="00DE07E8" w:rsidRPr="00DE07E8">
                  <w:rPr>
                    <w:noProof/>
                    <w:webHidden/>
                    <w:sz w:val="32"/>
                    <w:szCs w:val="32"/>
                  </w:rPr>
                  <w:fldChar w:fldCharType="begin"/>
                </w:r>
                <w:r w:rsidR="00DE07E8" w:rsidRPr="00DE07E8">
                  <w:rPr>
                    <w:noProof/>
                    <w:webHidden/>
                    <w:sz w:val="32"/>
                    <w:szCs w:val="32"/>
                  </w:rPr>
                  <w:instrText xml:space="preserve"> PAGEREF _Toc37343863 \h </w:instrText>
                </w:r>
                <w:r w:rsidR="00DE07E8" w:rsidRPr="00DE07E8">
                  <w:rPr>
                    <w:noProof/>
                    <w:webHidden/>
                    <w:sz w:val="32"/>
                    <w:szCs w:val="32"/>
                  </w:rPr>
                </w:r>
                <w:r w:rsidR="00DE07E8" w:rsidRPr="00DE07E8">
                  <w:rPr>
                    <w:noProof/>
                    <w:webHidden/>
                    <w:sz w:val="32"/>
                    <w:szCs w:val="32"/>
                  </w:rPr>
                  <w:fldChar w:fldCharType="separate"/>
                </w:r>
                <w:r w:rsidR="00DE07E8" w:rsidRPr="00DE07E8">
                  <w:rPr>
                    <w:noProof/>
                    <w:webHidden/>
                    <w:sz w:val="32"/>
                    <w:szCs w:val="32"/>
                  </w:rPr>
                  <w:t>7</w:t>
                </w:r>
                <w:r w:rsidR="00DE07E8" w:rsidRPr="00DE07E8">
                  <w:rPr>
                    <w:noProof/>
                    <w:webHidden/>
                    <w:sz w:val="32"/>
                    <w:szCs w:val="32"/>
                  </w:rPr>
                  <w:fldChar w:fldCharType="end"/>
                </w:r>
              </w:hyperlink>
            </w:p>
            <w:p w:rsidR="00DE07E8" w:rsidRPr="00DE07E8" w:rsidRDefault="009F7440">
              <w:pPr>
                <w:pStyle w:val="TOC1"/>
                <w:tabs>
                  <w:tab w:val="left" w:pos="440"/>
                  <w:tab w:val="right" w:leader="dot" w:pos="13948"/>
                </w:tabs>
                <w:rPr>
                  <w:rFonts w:eastAsiaTheme="minorEastAsia"/>
                  <w:noProof/>
                  <w:sz w:val="32"/>
                  <w:szCs w:val="32"/>
                  <w:lang w:val="en-US"/>
                </w:rPr>
              </w:pPr>
              <w:hyperlink w:anchor="_Toc37343864" w:history="1">
                <w:r w:rsidR="00DE07E8" w:rsidRPr="00DE07E8">
                  <w:rPr>
                    <w:rStyle w:val="Hyperlink"/>
                    <w:rFonts w:ascii="Arial" w:hAnsi="Arial" w:cs="Arial"/>
                    <w:noProof/>
                    <w:sz w:val="32"/>
                    <w:szCs w:val="32"/>
                  </w:rPr>
                  <w:t>6.</w:t>
                </w:r>
                <w:r w:rsidR="00DE07E8" w:rsidRPr="00DE07E8">
                  <w:rPr>
                    <w:rFonts w:eastAsiaTheme="minorEastAsia"/>
                    <w:noProof/>
                    <w:sz w:val="32"/>
                    <w:szCs w:val="32"/>
                    <w:lang w:val="en-US"/>
                  </w:rPr>
                  <w:tab/>
                </w:r>
                <w:r w:rsidR="00DE07E8" w:rsidRPr="00DE07E8">
                  <w:rPr>
                    <w:rStyle w:val="Hyperlink"/>
                    <w:rFonts w:ascii="Arial" w:hAnsi="Arial" w:cs="Arial"/>
                    <w:noProof/>
                    <w:sz w:val="32"/>
                    <w:szCs w:val="32"/>
                  </w:rPr>
                  <w:t>Compliance Management</w:t>
                </w:r>
                <w:r w:rsidR="00DE07E8" w:rsidRPr="00DE07E8">
                  <w:rPr>
                    <w:noProof/>
                    <w:webHidden/>
                    <w:sz w:val="32"/>
                    <w:szCs w:val="32"/>
                  </w:rPr>
                  <w:tab/>
                </w:r>
                <w:r w:rsidR="00DE07E8" w:rsidRPr="00DE07E8">
                  <w:rPr>
                    <w:noProof/>
                    <w:webHidden/>
                    <w:sz w:val="32"/>
                    <w:szCs w:val="32"/>
                  </w:rPr>
                  <w:fldChar w:fldCharType="begin"/>
                </w:r>
                <w:r w:rsidR="00DE07E8" w:rsidRPr="00DE07E8">
                  <w:rPr>
                    <w:noProof/>
                    <w:webHidden/>
                    <w:sz w:val="32"/>
                    <w:szCs w:val="32"/>
                  </w:rPr>
                  <w:instrText xml:space="preserve"> PAGEREF _Toc37343864 \h </w:instrText>
                </w:r>
                <w:r w:rsidR="00DE07E8" w:rsidRPr="00DE07E8">
                  <w:rPr>
                    <w:noProof/>
                    <w:webHidden/>
                    <w:sz w:val="32"/>
                    <w:szCs w:val="32"/>
                  </w:rPr>
                </w:r>
                <w:r w:rsidR="00DE07E8" w:rsidRPr="00DE07E8">
                  <w:rPr>
                    <w:noProof/>
                    <w:webHidden/>
                    <w:sz w:val="32"/>
                    <w:szCs w:val="32"/>
                  </w:rPr>
                  <w:fldChar w:fldCharType="separate"/>
                </w:r>
                <w:r w:rsidR="00DE07E8" w:rsidRPr="00DE07E8">
                  <w:rPr>
                    <w:noProof/>
                    <w:webHidden/>
                    <w:sz w:val="32"/>
                    <w:szCs w:val="32"/>
                  </w:rPr>
                  <w:t>12</w:t>
                </w:r>
                <w:r w:rsidR="00DE07E8" w:rsidRPr="00DE07E8">
                  <w:rPr>
                    <w:noProof/>
                    <w:webHidden/>
                    <w:sz w:val="32"/>
                    <w:szCs w:val="32"/>
                  </w:rPr>
                  <w:fldChar w:fldCharType="end"/>
                </w:r>
              </w:hyperlink>
            </w:p>
            <w:p w:rsidR="00DE07E8" w:rsidRPr="00DE07E8" w:rsidRDefault="009F7440">
              <w:pPr>
                <w:pStyle w:val="TOC1"/>
                <w:tabs>
                  <w:tab w:val="left" w:pos="440"/>
                  <w:tab w:val="right" w:leader="dot" w:pos="13948"/>
                </w:tabs>
                <w:rPr>
                  <w:rFonts w:eastAsiaTheme="minorEastAsia"/>
                  <w:noProof/>
                  <w:sz w:val="32"/>
                  <w:szCs w:val="32"/>
                  <w:lang w:val="en-US"/>
                </w:rPr>
              </w:pPr>
              <w:hyperlink w:anchor="_Toc37343865" w:history="1">
                <w:r w:rsidR="00DE07E8" w:rsidRPr="00DE07E8">
                  <w:rPr>
                    <w:rStyle w:val="Hyperlink"/>
                    <w:rFonts w:ascii="Arial" w:hAnsi="Arial" w:cs="Arial"/>
                    <w:noProof/>
                    <w:sz w:val="32"/>
                    <w:szCs w:val="32"/>
                  </w:rPr>
                  <w:t>7.</w:t>
                </w:r>
                <w:r w:rsidR="00DE07E8" w:rsidRPr="00DE07E8">
                  <w:rPr>
                    <w:rFonts w:eastAsiaTheme="minorEastAsia"/>
                    <w:noProof/>
                    <w:sz w:val="32"/>
                    <w:szCs w:val="32"/>
                    <w:lang w:val="en-US"/>
                  </w:rPr>
                  <w:tab/>
                </w:r>
                <w:r w:rsidR="00DE07E8" w:rsidRPr="00DE07E8">
                  <w:rPr>
                    <w:rStyle w:val="Hyperlink"/>
                    <w:rFonts w:ascii="Arial" w:hAnsi="Arial" w:cs="Arial"/>
                    <w:noProof/>
                    <w:sz w:val="32"/>
                    <w:szCs w:val="32"/>
                  </w:rPr>
                  <w:t>Human Resource Management</w:t>
                </w:r>
                <w:r w:rsidR="00DE07E8" w:rsidRPr="00DE07E8">
                  <w:rPr>
                    <w:noProof/>
                    <w:webHidden/>
                    <w:sz w:val="32"/>
                    <w:szCs w:val="32"/>
                  </w:rPr>
                  <w:tab/>
                </w:r>
                <w:r w:rsidR="00DE07E8" w:rsidRPr="00DE07E8">
                  <w:rPr>
                    <w:noProof/>
                    <w:webHidden/>
                    <w:sz w:val="32"/>
                    <w:szCs w:val="32"/>
                  </w:rPr>
                  <w:fldChar w:fldCharType="begin"/>
                </w:r>
                <w:r w:rsidR="00DE07E8" w:rsidRPr="00DE07E8">
                  <w:rPr>
                    <w:noProof/>
                    <w:webHidden/>
                    <w:sz w:val="32"/>
                    <w:szCs w:val="32"/>
                  </w:rPr>
                  <w:instrText xml:space="preserve"> PAGEREF _Toc37343865 \h </w:instrText>
                </w:r>
                <w:r w:rsidR="00DE07E8" w:rsidRPr="00DE07E8">
                  <w:rPr>
                    <w:noProof/>
                    <w:webHidden/>
                    <w:sz w:val="32"/>
                    <w:szCs w:val="32"/>
                  </w:rPr>
                </w:r>
                <w:r w:rsidR="00DE07E8" w:rsidRPr="00DE07E8">
                  <w:rPr>
                    <w:noProof/>
                    <w:webHidden/>
                    <w:sz w:val="32"/>
                    <w:szCs w:val="32"/>
                  </w:rPr>
                  <w:fldChar w:fldCharType="separate"/>
                </w:r>
                <w:r w:rsidR="00DE07E8" w:rsidRPr="00DE07E8">
                  <w:rPr>
                    <w:noProof/>
                    <w:webHidden/>
                    <w:sz w:val="32"/>
                    <w:szCs w:val="32"/>
                  </w:rPr>
                  <w:t>14</w:t>
                </w:r>
                <w:r w:rsidR="00DE07E8" w:rsidRPr="00DE07E8">
                  <w:rPr>
                    <w:noProof/>
                    <w:webHidden/>
                    <w:sz w:val="32"/>
                    <w:szCs w:val="32"/>
                  </w:rPr>
                  <w:fldChar w:fldCharType="end"/>
                </w:r>
              </w:hyperlink>
            </w:p>
            <w:p w:rsidR="00DE07E8" w:rsidRPr="00DE07E8" w:rsidRDefault="009F7440">
              <w:pPr>
                <w:pStyle w:val="TOC1"/>
                <w:tabs>
                  <w:tab w:val="left" w:pos="440"/>
                  <w:tab w:val="right" w:leader="dot" w:pos="13948"/>
                </w:tabs>
                <w:rPr>
                  <w:rFonts w:eastAsiaTheme="minorEastAsia"/>
                  <w:noProof/>
                  <w:sz w:val="32"/>
                  <w:szCs w:val="32"/>
                  <w:lang w:val="en-US"/>
                </w:rPr>
              </w:pPr>
              <w:hyperlink w:anchor="_Toc37343866" w:history="1">
                <w:r w:rsidR="00DE07E8" w:rsidRPr="00DE07E8">
                  <w:rPr>
                    <w:rStyle w:val="Hyperlink"/>
                    <w:rFonts w:ascii="Arial" w:hAnsi="Arial" w:cs="Arial"/>
                    <w:noProof/>
                    <w:sz w:val="32"/>
                    <w:szCs w:val="32"/>
                  </w:rPr>
                  <w:t>8.</w:t>
                </w:r>
                <w:r w:rsidR="00DE07E8" w:rsidRPr="00DE07E8">
                  <w:rPr>
                    <w:rFonts w:eastAsiaTheme="minorEastAsia"/>
                    <w:noProof/>
                    <w:sz w:val="32"/>
                    <w:szCs w:val="32"/>
                    <w:lang w:val="en-US"/>
                  </w:rPr>
                  <w:tab/>
                </w:r>
                <w:r w:rsidR="00DE07E8" w:rsidRPr="00DE07E8">
                  <w:rPr>
                    <w:rStyle w:val="Hyperlink"/>
                    <w:rFonts w:ascii="Arial" w:hAnsi="Arial" w:cs="Arial"/>
                    <w:noProof/>
                    <w:sz w:val="32"/>
                    <w:szCs w:val="32"/>
                  </w:rPr>
                  <w:t>IT Management</w:t>
                </w:r>
                <w:r w:rsidR="00DE07E8" w:rsidRPr="00DE07E8">
                  <w:rPr>
                    <w:noProof/>
                    <w:webHidden/>
                    <w:sz w:val="32"/>
                    <w:szCs w:val="32"/>
                  </w:rPr>
                  <w:tab/>
                </w:r>
                <w:r w:rsidR="00DE07E8" w:rsidRPr="00DE07E8">
                  <w:rPr>
                    <w:noProof/>
                    <w:webHidden/>
                    <w:sz w:val="32"/>
                    <w:szCs w:val="32"/>
                  </w:rPr>
                  <w:fldChar w:fldCharType="begin"/>
                </w:r>
                <w:r w:rsidR="00DE07E8" w:rsidRPr="00DE07E8">
                  <w:rPr>
                    <w:noProof/>
                    <w:webHidden/>
                    <w:sz w:val="32"/>
                    <w:szCs w:val="32"/>
                  </w:rPr>
                  <w:instrText xml:space="preserve"> PAGEREF _Toc37343866 \h </w:instrText>
                </w:r>
                <w:r w:rsidR="00DE07E8" w:rsidRPr="00DE07E8">
                  <w:rPr>
                    <w:noProof/>
                    <w:webHidden/>
                    <w:sz w:val="32"/>
                    <w:szCs w:val="32"/>
                  </w:rPr>
                </w:r>
                <w:r w:rsidR="00DE07E8" w:rsidRPr="00DE07E8">
                  <w:rPr>
                    <w:noProof/>
                    <w:webHidden/>
                    <w:sz w:val="32"/>
                    <w:szCs w:val="32"/>
                  </w:rPr>
                  <w:fldChar w:fldCharType="separate"/>
                </w:r>
                <w:r w:rsidR="00DE07E8" w:rsidRPr="00DE07E8">
                  <w:rPr>
                    <w:noProof/>
                    <w:webHidden/>
                    <w:sz w:val="32"/>
                    <w:szCs w:val="32"/>
                  </w:rPr>
                  <w:t>16</w:t>
                </w:r>
                <w:r w:rsidR="00DE07E8" w:rsidRPr="00DE07E8">
                  <w:rPr>
                    <w:noProof/>
                    <w:webHidden/>
                    <w:sz w:val="32"/>
                    <w:szCs w:val="32"/>
                  </w:rPr>
                  <w:fldChar w:fldCharType="end"/>
                </w:r>
              </w:hyperlink>
            </w:p>
            <w:p w:rsidR="00DE07E8" w:rsidRPr="00DE07E8" w:rsidRDefault="009F7440">
              <w:pPr>
                <w:pStyle w:val="TOC1"/>
                <w:tabs>
                  <w:tab w:val="left" w:pos="440"/>
                  <w:tab w:val="right" w:leader="dot" w:pos="13948"/>
                </w:tabs>
                <w:rPr>
                  <w:rFonts w:eastAsiaTheme="minorEastAsia"/>
                  <w:noProof/>
                  <w:sz w:val="32"/>
                  <w:szCs w:val="32"/>
                  <w:lang w:val="en-US"/>
                </w:rPr>
              </w:pPr>
              <w:hyperlink w:anchor="_Toc37343867" w:history="1">
                <w:r w:rsidR="00DE07E8" w:rsidRPr="00DE07E8">
                  <w:rPr>
                    <w:rStyle w:val="Hyperlink"/>
                    <w:rFonts w:ascii="Arial" w:eastAsiaTheme="majorEastAsia" w:hAnsi="Arial" w:cs="Arial"/>
                    <w:noProof/>
                    <w:sz w:val="32"/>
                    <w:szCs w:val="32"/>
                  </w:rPr>
                  <w:t>9.</w:t>
                </w:r>
                <w:r w:rsidR="00DE07E8" w:rsidRPr="00DE07E8">
                  <w:rPr>
                    <w:rFonts w:eastAsiaTheme="minorEastAsia"/>
                    <w:noProof/>
                    <w:sz w:val="32"/>
                    <w:szCs w:val="32"/>
                    <w:lang w:val="en-US"/>
                  </w:rPr>
                  <w:tab/>
                </w:r>
                <w:r w:rsidR="00DE07E8" w:rsidRPr="00DE07E8">
                  <w:rPr>
                    <w:rStyle w:val="Hyperlink"/>
                    <w:rFonts w:ascii="Arial" w:eastAsiaTheme="majorEastAsia" w:hAnsi="Arial" w:cs="Arial"/>
                    <w:noProof/>
                    <w:sz w:val="32"/>
                    <w:szCs w:val="32"/>
                  </w:rPr>
                  <w:t>Financial Health</w:t>
                </w:r>
                <w:r w:rsidR="00DE07E8" w:rsidRPr="00DE07E8">
                  <w:rPr>
                    <w:noProof/>
                    <w:webHidden/>
                    <w:sz w:val="32"/>
                    <w:szCs w:val="32"/>
                  </w:rPr>
                  <w:tab/>
                </w:r>
                <w:r w:rsidR="00DE07E8" w:rsidRPr="00DE07E8">
                  <w:rPr>
                    <w:noProof/>
                    <w:webHidden/>
                    <w:sz w:val="32"/>
                    <w:szCs w:val="32"/>
                  </w:rPr>
                  <w:fldChar w:fldCharType="begin"/>
                </w:r>
                <w:r w:rsidR="00DE07E8" w:rsidRPr="00DE07E8">
                  <w:rPr>
                    <w:noProof/>
                    <w:webHidden/>
                    <w:sz w:val="32"/>
                    <w:szCs w:val="32"/>
                  </w:rPr>
                  <w:instrText xml:space="preserve"> PAGEREF _Toc37343867 \h </w:instrText>
                </w:r>
                <w:r w:rsidR="00DE07E8" w:rsidRPr="00DE07E8">
                  <w:rPr>
                    <w:noProof/>
                    <w:webHidden/>
                    <w:sz w:val="32"/>
                    <w:szCs w:val="32"/>
                  </w:rPr>
                </w:r>
                <w:r w:rsidR="00DE07E8" w:rsidRPr="00DE07E8">
                  <w:rPr>
                    <w:noProof/>
                    <w:webHidden/>
                    <w:sz w:val="32"/>
                    <w:szCs w:val="32"/>
                  </w:rPr>
                  <w:fldChar w:fldCharType="separate"/>
                </w:r>
                <w:r w:rsidR="00DE07E8" w:rsidRPr="00DE07E8">
                  <w:rPr>
                    <w:noProof/>
                    <w:webHidden/>
                    <w:sz w:val="32"/>
                    <w:szCs w:val="32"/>
                  </w:rPr>
                  <w:t>16</w:t>
                </w:r>
                <w:r w:rsidR="00DE07E8" w:rsidRPr="00DE07E8">
                  <w:rPr>
                    <w:noProof/>
                    <w:webHidden/>
                    <w:sz w:val="32"/>
                    <w:szCs w:val="32"/>
                  </w:rPr>
                  <w:fldChar w:fldCharType="end"/>
                </w:r>
              </w:hyperlink>
            </w:p>
            <w:p w:rsidR="00DE07E8" w:rsidRPr="00DE07E8" w:rsidRDefault="009F7440">
              <w:pPr>
                <w:pStyle w:val="TOC1"/>
                <w:tabs>
                  <w:tab w:val="left" w:pos="660"/>
                  <w:tab w:val="right" w:leader="dot" w:pos="13948"/>
                </w:tabs>
                <w:rPr>
                  <w:rFonts w:eastAsiaTheme="minorEastAsia"/>
                  <w:noProof/>
                  <w:sz w:val="32"/>
                  <w:szCs w:val="32"/>
                  <w:lang w:val="en-US"/>
                </w:rPr>
              </w:pPr>
              <w:hyperlink w:anchor="_Toc37343868" w:history="1">
                <w:r w:rsidR="00DE07E8" w:rsidRPr="00DE07E8">
                  <w:rPr>
                    <w:rStyle w:val="Hyperlink"/>
                    <w:rFonts w:ascii="Arial" w:hAnsi="Arial" w:cs="Arial"/>
                    <w:noProof/>
                    <w:sz w:val="32"/>
                    <w:szCs w:val="32"/>
                    <w:lang w:val="en-GB"/>
                  </w:rPr>
                  <w:t>10.</w:t>
                </w:r>
                <w:r w:rsidR="00DE07E8" w:rsidRPr="00DE07E8">
                  <w:rPr>
                    <w:rFonts w:eastAsiaTheme="minorEastAsia"/>
                    <w:noProof/>
                    <w:sz w:val="32"/>
                    <w:szCs w:val="32"/>
                    <w:lang w:val="en-US"/>
                  </w:rPr>
                  <w:tab/>
                </w:r>
                <w:r w:rsidR="00DE07E8" w:rsidRPr="00DE07E8">
                  <w:rPr>
                    <w:rStyle w:val="Hyperlink"/>
                    <w:rFonts w:ascii="Arial" w:hAnsi="Arial" w:cs="Arial"/>
                    <w:noProof/>
                    <w:sz w:val="32"/>
                    <w:szCs w:val="32"/>
                    <w:lang w:val="en-GB"/>
                  </w:rPr>
                  <w:t>Recommendations</w:t>
                </w:r>
                <w:r w:rsidR="00DE07E8" w:rsidRPr="00DE07E8">
                  <w:rPr>
                    <w:noProof/>
                    <w:webHidden/>
                    <w:sz w:val="32"/>
                    <w:szCs w:val="32"/>
                  </w:rPr>
                  <w:tab/>
                </w:r>
                <w:r w:rsidR="00DE07E8" w:rsidRPr="00DE07E8">
                  <w:rPr>
                    <w:noProof/>
                    <w:webHidden/>
                    <w:sz w:val="32"/>
                    <w:szCs w:val="32"/>
                  </w:rPr>
                  <w:fldChar w:fldCharType="begin"/>
                </w:r>
                <w:r w:rsidR="00DE07E8" w:rsidRPr="00DE07E8">
                  <w:rPr>
                    <w:noProof/>
                    <w:webHidden/>
                    <w:sz w:val="32"/>
                    <w:szCs w:val="32"/>
                  </w:rPr>
                  <w:instrText xml:space="preserve"> PAGEREF _Toc37343868 \h </w:instrText>
                </w:r>
                <w:r w:rsidR="00DE07E8" w:rsidRPr="00DE07E8">
                  <w:rPr>
                    <w:noProof/>
                    <w:webHidden/>
                    <w:sz w:val="32"/>
                    <w:szCs w:val="32"/>
                  </w:rPr>
                </w:r>
                <w:r w:rsidR="00DE07E8" w:rsidRPr="00DE07E8">
                  <w:rPr>
                    <w:noProof/>
                    <w:webHidden/>
                    <w:sz w:val="32"/>
                    <w:szCs w:val="32"/>
                  </w:rPr>
                  <w:fldChar w:fldCharType="separate"/>
                </w:r>
                <w:r w:rsidR="00DE07E8" w:rsidRPr="00DE07E8">
                  <w:rPr>
                    <w:noProof/>
                    <w:webHidden/>
                    <w:sz w:val="32"/>
                    <w:szCs w:val="32"/>
                  </w:rPr>
                  <w:t>17</w:t>
                </w:r>
                <w:r w:rsidR="00DE07E8" w:rsidRPr="00DE07E8">
                  <w:rPr>
                    <w:noProof/>
                    <w:webHidden/>
                    <w:sz w:val="32"/>
                    <w:szCs w:val="32"/>
                  </w:rPr>
                  <w:fldChar w:fldCharType="end"/>
                </w:r>
              </w:hyperlink>
            </w:p>
            <w:p w:rsidR="00BA255E" w:rsidRPr="00DE07E8" w:rsidRDefault="00BA255E" w:rsidP="00BA255E">
              <w:pPr>
                <w:jc w:val="both"/>
                <w:rPr>
                  <w:rFonts w:ascii="Arial" w:hAnsi="Arial" w:cs="Arial"/>
                  <w:b/>
                  <w:sz w:val="32"/>
                  <w:szCs w:val="32"/>
                </w:rPr>
              </w:pPr>
              <w:r w:rsidRPr="00DE07E8">
                <w:rPr>
                  <w:rFonts w:ascii="Arial" w:hAnsi="Arial" w:cs="Arial"/>
                  <w:b/>
                  <w:bCs/>
                  <w:noProof/>
                  <w:sz w:val="32"/>
                  <w:szCs w:val="32"/>
                </w:rPr>
                <w:fldChar w:fldCharType="end"/>
              </w:r>
            </w:p>
          </w:sdtContent>
        </w:sdt>
        <w:p w:rsidR="00BA255E" w:rsidRPr="00CC2003" w:rsidRDefault="00BA255E">
          <w:pPr>
            <w:rPr>
              <w:rFonts w:ascii="Arial" w:hAnsi="Arial" w:cs="Arial"/>
              <w:b/>
              <w:sz w:val="24"/>
              <w:szCs w:val="24"/>
            </w:rPr>
          </w:pPr>
        </w:p>
        <w:p w:rsidR="00BA255E" w:rsidRPr="00CC2003" w:rsidRDefault="00BA255E">
          <w:pPr>
            <w:rPr>
              <w:rFonts w:ascii="Arial" w:hAnsi="Arial" w:cs="Arial"/>
              <w:b/>
              <w:sz w:val="24"/>
              <w:szCs w:val="24"/>
            </w:rPr>
          </w:pPr>
        </w:p>
        <w:p w:rsidR="00BA255E" w:rsidRPr="00CC2003" w:rsidRDefault="00BA255E">
          <w:pPr>
            <w:rPr>
              <w:rFonts w:ascii="Arial" w:hAnsi="Arial" w:cs="Arial"/>
              <w:b/>
              <w:sz w:val="24"/>
              <w:szCs w:val="24"/>
            </w:rPr>
          </w:pPr>
        </w:p>
        <w:p w:rsidR="00BA255E" w:rsidRPr="00CC2003" w:rsidRDefault="00BA255E">
          <w:pPr>
            <w:rPr>
              <w:rFonts w:ascii="Arial" w:hAnsi="Arial" w:cs="Arial"/>
              <w:b/>
              <w:sz w:val="24"/>
              <w:szCs w:val="24"/>
            </w:rPr>
          </w:pPr>
        </w:p>
        <w:p w:rsidR="004E22E5" w:rsidRPr="00CC2003" w:rsidRDefault="004E22E5">
          <w:pPr>
            <w:rPr>
              <w:rFonts w:ascii="Arial" w:hAnsi="Arial" w:cs="Arial"/>
              <w:b/>
              <w:sz w:val="24"/>
              <w:szCs w:val="24"/>
            </w:rPr>
          </w:pPr>
        </w:p>
        <w:p w:rsidR="00143FAE" w:rsidRPr="00CC2003" w:rsidRDefault="009F7440">
          <w:pPr>
            <w:rPr>
              <w:rFonts w:ascii="Arial" w:hAnsi="Arial" w:cs="Arial"/>
              <w:b/>
              <w:color w:val="2E74B5" w:themeColor="accent1" w:themeShade="BF"/>
              <w:sz w:val="24"/>
              <w:szCs w:val="24"/>
            </w:rPr>
          </w:pPr>
        </w:p>
      </w:sdtContent>
    </w:sdt>
    <w:p w:rsidR="00E453AE" w:rsidRPr="00952E03" w:rsidRDefault="003852DC" w:rsidP="00E453AE">
      <w:pPr>
        <w:pStyle w:val="Heading1"/>
        <w:ind w:left="576" w:hanging="576"/>
        <w:rPr>
          <w:rFonts w:ascii="Arial" w:hAnsi="Arial" w:cs="Arial"/>
          <w:b w:val="0"/>
        </w:rPr>
      </w:pPr>
      <w:bookmarkStart w:id="1" w:name="_Toc37343859"/>
      <w:r w:rsidRPr="00952E03">
        <w:rPr>
          <w:rFonts w:ascii="Arial" w:hAnsi="Arial" w:cs="Arial"/>
          <w:lang w:val="en-GB"/>
        </w:rPr>
        <w:t>Purpose</w:t>
      </w:r>
      <w:bookmarkEnd w:id="1"/>
      <w:r w:rsidR="00E453AE" w:rsidRPr="00952E03">
        <w:rPr>
          <w:rFonts w:ascii="Arial" w:hAnsi="Arial" w:cs="Arial"/>
          <w:b w:val="0"/>
        </w:rPr>
        <w:t xml:space="preserve"> </w:t>
      </w:r>
    </w:p>
    <w:p w:rsidR="00E453AE" w:rsidRPr="00CC2003" w:rsidRDefault="00E453AE" w:rsidP="00E453AE">
      <w:pPr>
        <w:rPr>
          <w:rFonts w:ascii="Arial" w:hAnsi="Arial" w:cs="Arial"/>
          <w:sz w:val="24"/>
          <w:szCs w:val="24"/>
        </w:rPr>
      </w:pPr>
    </w:p>
    <w:p w:rsidR="00E453AE" w:rsidRPr="00CC2003" w:rsidRDefault="00E453AE" w:rsidP="00292502">
      <w:pPr>
        <w:pStyle w:val="ListParagraph"/>
        <w:numPr>
          <w:ilvl w:val="1"/>
          <w:numId w:val="6"/>
        </w:numPr>
        <w:spacing w:line="360" w:lineRule="auto"/>
        <w:ind w:left="630" w:hanging="630"/>
        <w:jc w:val="both"/>
        <w:rPr>
          <w:rFonts w:ascii="Arial" w:hAnsi="Arial" w:cs="Arial"/>
          <w:sz w:val="24"/>
          <w:szCs w:val="24"/>
        </w:rPr>
      </w:pPr>
      <w:r w:rsidRPr="00CC2003">
        <w:rPr>
          <w:rFonts w:ascii="Arial" w:hAnsi="Arial" w:cs="Arial"/>
          <w:sz w:val="24"/>
          <w:szCs w:val="24"/>
          <w:lang w:val="en-GB"/>
        </w:rPr>
        <w:t>The</w:t>
      </w:r>
      <w:r w:rsidRPr="00CC2003">
        <w:rPr>
          <w:rFonts w:ascii="Arial" w:hAnsi="Arial" w:cs="Arial"/>
          <w:sz w:val="24"/>
          <w:szCs w:val="24"/>
        </w:rPr>
        <w:t xml:space="preserve"> purpose of this report is to provide Portfolio Committee with the progress on status of record review matters raised by AGSA during interim audit and as reported to the Committee by AGSA in the month of March 2020.</w:t>
      </w:r>
    </w:p>
    <w:p w:rsidR="00E453AE" w:rsidRPr="00952E03" w:rsidRDefault="00E453AE" w:rsidP="00E453AE">
      <w:pPr>
        <w:pStyle w:val="Heading1"/>
        <w:ind w:left="576" w:hanging="576"/>
        <w:rPr>
          <w:rFonts w:ascii="Arial" w:hAnsi="Arial" w:cs="Arial"/>
          <w:lang w:val="en-GB"/>
        </w:rPr>
      </w:pPr>
      <w:bookmarkStart w:id="2" w:name="_Toc37343860"/>
      <w:r w:rsidRPr="00952E03">
        <w:rPr>
          <w:rFonts w:ascii="Arial" w:hAnsi="Arial" w:cs="Arial"/>
          <w:lang w:val="en-GB"/>
        </w:rPr>
        <w:t>Oversight and monitoring</w:t>
      </w:r>
      <w:bookmarkEnd w:id="2"/>
    </w:p>
    <w:p w:rsidR="00B96E63" w:rsidRPr="00CC2003" w:rsidRDefault="00B96E63" w:rsidP="00B96E63">
      <w:pPr>
        <w:rPr>
          <w:rFonts w:ascii="Arial" w:hAnsi="Arial" w:cs="Arial"/>
          <w:sz w:val="24"/>
          <w:szCs w:val="24"/>
          <w:lang w:val="en-GB"/>
        </w:rPr>
      </w:pPr>
    </w:p>
    <w:tbl>
      <w:tblPr>
        <w:tblStyle w:val="TableGrid"/>
        <w:tblW w:w="15480" w:type="dxa"/>
        <w:tblInd w:w="-702" w:type="dxa"/>
        <w:tblLook w:val="04A0" w:firstRow="1" w:lastRow="0" w:firstColumn="1" w:lastColumn="0" w:noHBand="0" w:noVBand="1"/>
      </w:tblPr>
      <w:tblGrid>
        <w:gridCol w:w="4747"/>
        <w:gridCol w:w="3420"/>
        <w:gridCol w:w="1643"/>
        <w:gridCol w:w="3878"/>
        <w:gridCol w:w="1792"/>
      </w:tblGrid>
      <w:tr w:rsidR="00B96E63" w:rsidRPr="00CC2003" w:rsidTr="008D5607">
        <w:tc>
          <w:tcPr>
            <w:tcW w:w="4747" w:type="dxa"/>
            <w:shd w:val="clear" w:color="auto" w:fill="DEEAF6" w:themeFill="accent1" w:themeFillTint="33"/>
          </w:tcPr>
          <w:p w:rsidR="00B96E63" w:rsidRPr="00CC2003" w:rsidRDefault="00B96E63" w:rsidP="00CC2003">
            <w:pPr>
              <w:spacing w:before="120"/>
              <w:jc w:val="center"/>
              <w:rPr>
                <w:rFonts w:ascii="Arial" w:hAnsi="Arial" w:cs="Arial"/>
                <w:b/>
                <w:sz w:val="24"/>
                <w:szCs w:val="24"/>
              </w:rPr>
            </w:pPr>
            <w:r w:rsidRPr="00CC2003">
              <w:rPr>
                <w:rFonts w:ascii="Arial" w:hAnsi="Arial" w:cs="Arial"/>
                <w:b/>
                <w:sz w:val="24"/>
                <w:szCs w:val="24"/>
              </w:rPr>
              <w:t>AGSA Review to Portfolio Committee</w:t>
            </w:r>
          </w:p>
        </w:tc>
        <w:tc>
          <w:tcPr>
            <w:tcW w:w="3420" w:type="dxa"/>
            <w:shd w:val="clear" w:color="auto" w:fill="DEEAF6" w:themeFill="accent1" w:themeFillTint="33"/>
          </w:tcPr>
          <w:p w:rsidR="00B96E63" w:rsidRPr="00CC2003" w:rsidRDefault="00B96E63" w:rsidP="00CC2003">
            <w:pPr>
              <w:spacing w:before="120"/>
              <w:jc w:val="center"/>
              <w:rPr>
                <w:rFonts w:ascii="Arial" w:hAnsi="Arial" w:cs="Arial"/>
                <w:b/>
                <w:sz w:val="24"/>
                <w:szCs w:val="24"/>
              </w:rPr>
            </w:pPr>
            <w:r w:rsidRPr="00CC2003">
              <w:rPr>
                <w:rFonts w:ascii="Arial" w:hAnsi="Arial" w:cs="Arial"/>
                <w:b/>
                <w:sz w:val="24"/>
                <w:szCs w:val="24"/>
              </w:rPr>
              <w:t>Commitments</w:t>
            </w:r>
          </w:p>
        </w:tc>
        <w:tc>
          <w:tcPr>
            <w:tcW w:w="1643" w:type="dxa"/>
            <w:shd w:val="clear" w:color="auto" w:fill="DEEAF6" w:themeFill="accent1" w:themeFillTint="33"/>
          </w:tcPr>
          <w:p w:rsidR="00B96E63" w:rsidRPr="00CC2003" w:rsidRDefault="00B96E63" w:rsidP="00CC2003">
            <w:pPr>
              <w:spacing w:before="120"/>
              <w:jc w:val="center"/>
              <w:rPr>
                <w:rFonts w:ascii="Arial" w:hAnsi="Arial" w:cs="Arial"/>
                <w:b/>
                <w:sz w:val="24"/>
                <w:szCs w:val="24"/>
              </w:rPr>
            </w:pPr>
            <w:r w:rsidRPr="00CC2003">
              <w:rPr>
                <w:rFonts w:ascii="Arial" w:hAnsi="Arial" w:cs="Arial"/>
                <w:b/>
                <w:sz w:val="24"/>
                <w:szCs w:val="24"/>
              </w:rPr>
              <w:t>Date of commitment</w:t>
            </w:r>
          </w:p>
        </w:tc>
        <w:tc>
          <w:tcPr>
            <w:tcW w:w="3878" w:type="dxa"/>
            <w:shd w:val="clear" w:color="auto" w:fill="DEEAF6" w:themeFill="accent1" w:themeFillTint="33"/>
          </w:tcPr>
          <w:p w:rsidR="00B96E63" w:rsidRPr="00CC2003" w:rsidRDefault="00B96E63" w:rsidP="00CC2003">
            <w:pPr>
              <w:spacing w:before="120"/>
              <w:jc w:val="center"/>
              <w:rPr>
                <w:rFonts w:ascii="Arial" w:hAnsi="Arial" w:cs="Arial"/>
                <w:b/>
                <w:sz w:val="24"/>
                <w:szCs w:val="24"/>
              </w:rPr>
            </w:pPr>
            <w:r w:rsidRPr="00CC2003">
              <w:rPr>
                <w:rFonts w:ascii="Arial" w:hAnsi="Arial" w:cs="Arial"/>
                <w:b/>
                <w:sz w:val="24"/>
                <w:szCs w:val="24"/>
              </w:rPr>
              <w:t>Status</w:t>
            </w:r>
          </w:p>
          <w:p w:rsidR="00B96E63" w:rsidRPr="00CC2003" w:rsidRDefault="00B96E63" w:rsidP="00CC2003">
            <w:pPr>
              <w:spacing w:before="120"/>
              <w:jc w:val="center"/>
              <w:rPr>
                <w:rFonts w:ascii="Arial" w:hAnsi="Arial" w:cs="Arial"/>
                <w:b/>
                <w:sz w:val="24"/>
                <w:szCs w:val="24"/>
              </w:rPr>
            </w:pPr>
          </w:p>
        </w:tc>
        <w:tc>
          <w:tcPr>
            <w:tcW w:w="1792" w:type="dxa"/>
            <w:shd w:val="clear" w:color="auto" w:fill="DEEAF6" w:themeFill="accent1" w:themeFillTint="33"/>
          </w:tcPr>
          <w:p w:rsidR="00B96E63" w:rsidRPr="00CC2003" w:rsidRDefault="00B96E63" w:rsidP="00CC2003">
            <w:pPr>
              <w:spacing w:before="120"/>
              <w:jc w:val="center"/>
              <w:rPr>
                <w:rFonts w:ascii="Arial" w:hAnsi="Arial" w:cs="Arial"/>
                <w:b/>
                <w:sz w:val="24"/>
                <w:szCs w:val="24"/>
              </w:rPr>
            </w:pPr>
            <w:r w:rsidRPr="00CC2003">
              <w:rPr>
                <w:rFonts w:ascii="Arial" w:hAnsi="Arial" w:cs="Arial"/>
                <w:b/>
                <w:sz w:val="24"/>
                <w:szCs w:val="24"/>
              </w:rPr>
              <w:t>Responsible Person</w:t>
            </w:r>
          </w:p>
        </w:tc>
      </w:tr>
      <w:tr w:rsidR="00B96E63" w:rsidRPr="00CC2003" w:rsidTr="008D5607">
        <w:tc>
          <w:tcPr>
            <w:tcW w:w="4747" w:type="dxa"/>
          </w:tcPr>
          <w:p w:rsidR="00B96E63" w:rsidRPr="00EF1660" w:rsidRDefault="00B96E63" w:rsidP="007E319B">
            <w:pPr>
              <w:pStyle w:val="Default"/>
              <w:rPr>
                <w:color w:val="auto"/>
              </w:rPr>
            </w:pPr>
            <w:r w:rsidRPr="00EF1660">
              <w:rPr>
                <w:b/>
                <w:color w:val="auto"/>
              </w:rPr>
              <w:t xml:space="preserve">Paragraph 4: </w:t>
            </w:r>
            <w:r w:rsidR="00CC2003" w:rsidRPr="00EF1660">
              <w:rPr>
                <w:b/>
                <w:color w:val="auto"/>
              </w:rPr>
              <w:t xml:space="preserve"> </w:t>
            </w:r>
            <w:r w:rsidRPr="00EF1660">
              <w:rPr>
                <w:color w:val="auto"/>
              </w:rPr>
              <w:t xml:space="preserve">Based on inspection of the Audit Action Plan for September 2019, there is slow progress in resolving prior year external audit findings by the senior management of SASSA, majority of corrective measures are still in the process of being implemented. </w:t>
            </w:r>
          </w:p>
          <w:p w:rsidR="00B96E63" w:rsidRPr="00EF1660" w:rsidRDefault="00B96E63" w:rsidP="007E319B">
            <w:pPr>
              <w:spacing w:before="120"/>
              <w:rPr>
                <w:rFonts w:ascii="Arial" w:hAnsi="Arial" w:cs="Arial"/>
                <w:sz w:val="24"/>
                <w:szCs w:val="24"/>
              </w:rPr>
            </w:pPr>
          </w:p>
        </w:tc>
        <w:tc>
          <w:tcPr>
            <w:tcW w:w="3420" w:type="dxa"/>
            <w:shd w:val="clear" w:color="auto" w:fill="auto"/>
          </w:tcPr>
          <w:p w:rsidR="00B96E63" w:rsidRPr="00EF1660" w:rsidRDefault="00B96E63" w:rsidP="007E319B">
            <w:pPr>
              <w:spacing w:before="120"/>
              <w:rPr>
                <w:rFonts w:ascii="Arial" w:hAnsi="Arial" w:cs="Arial"/>
                <w:sz w:val="24"/>
                <w:szCs w:val="24"/>
              </w:rPr>
            </w:pPr>
            <w:r w:rsidRPr="00EF1660">
              <w:rPr>
                <w:rFonts w:ascii="Arial" w:hAnsi="Arial" w:cs="Arial"/>
                <w:sz w:val="24"/>
                <w:szCs w:val="24"/>
              </w:rPr>
              <w:t>To monitor progress on the implementation of Audit Action Plan</w:t>
            </w:r>
          </w:p>
        </w:tc>
        <w:tc>
          <w:tcPr>
            <w:tcW w:w="1643" w:type="dxa"/>
            <w:shd w:val="clear" w:color="auto" w:fill="auto"/>
          </w:tcPr>
          <w:p w:rsidR="00B96E63" w:rsidRPr="00EF1660" w:rsidRDefault="00B96E63" w:rsidP="007E319B">
            <w:pPr>
              <w:spacing w:before="120"/>
              <w:rPr>
                <w:rFonts w:ascii="Arial" w:hAnsi="Arial" w:cs="Arial"/>
                <w:sz w:val="24"/>
                <w:szCs w:val="24"/>
              </w:rPr>
            </w:pPr>
            <w:r w:rsidRPr="00EF1660">
              <w:rPr>
                <w:rFonts w:ascii="Arial" w:hAnsi="Arial" w:cs="Arial"/>
                <w:sz w:val="24"/>
                <w:szCs w:val="24"/>
              </w:rPr>
              <w:t>31 March 2020</w:t>
            </w:r>
          </w:p>
        </w:tc>
        <w:tc>
          <w:tcPr>
            <w:tcW w:w="3878" w:type="dxa"/>
            <w:shd w:val="clear" w:color="auto" w:fill="auto"/>
          </w:tcPr>
          <w:p w:rsidR="00B96E63" w:rsidRPr="00EF1660" w:rsidRDefault="00DE485E" w:rsidP="002A4624">
            <w:pPr>
              <w:spacing w:before="120"/>
              <w:rPr>
                <w:rFonts w:ascii="Arial" w:eastAsia="Times New Roman" w:hAnsi="Arial" w:cs="Arial"/>
                <w:sz w:val="24"/>
                <w:szCs w:val="24"/>
                <w:lang w:val="en-US" w:eastAsia="en-ZA"/>
              </w:rPr>
            </w:pPr>
            <w:r w:rsidRPr="00EF1660">
              <w:rPr>
                <w:rFonts w:ascii="Arial" w:eastAsia="Times New Roman" w:hAnsi="Arial" w:cs="Arial"/>
                <w:sz w:val="24"/>
                <w:szCs w:val="24"/>
                <w:lang w:val="en-US" w:eastAsia="en-ZA"/>
              </w:rPr>
              <w:t>The Audit Action plan has been monitor</w:t>
            </w:r>
            <w:r w:rsidR="002A4624">
              <w:rPr>
                <w:rFonts w:ascii="Arial" w:eastAsia="Times New Roman" w:hAnsi="Arial" w:cs="Arial"/>
                <w:sz w:val="24"/>
                <w:szCs w:val="24"/>
                <w:lang w:val="en-US" w:eastAsia="en-ZA"/>
              </w:rPr>
              <w:t>ed</w:t>
            </w:r>
            <w:r w:rsidRPr="00EF1660">
              <w:rPr>
                <w:rFonts w:ascii="Arial" w:eastAsia="Times New Roman" w:hAnsi="Arial" w:cs="Arial"/>
                <w:sz w:val="24"/>
                <w:szCs w:val="24"/>
                <w:lang w:val="en-US" w:eastAsia="en-ZA"/>
              </w:rPr>
              <w:t xml:space="preserve"> timeously and it </w:t>
            </w:r>
            <w:r w:rsidR="00266C4A">
              <w:rPr>
                <w:rFonts w:ascii="Arial" w:eastAsia="Times New Roman" w:hAnsi="Arial" w:cs="Arial"/>
                <w:sz w:val="24"/>
                <w:szCs w:val="24"/>
                <w:lang w:val="en-US" w:eastAsia="en-ZA"/>
              </w:rPr>
              <w:t xml:space="preserve">was </w:t>
            </w:r>
            <w:r w:rsidR="00266C4A" w:rsidRPr="00EF1660">
              <w:rPr>
                <w:rFonts w:ascii="Arial" w:eastAsia="Times New Roman" w:hAnsi="Arial" w:cs="Arial"/>
                <w:sz w:val="24"/>
                <w:szCs w:val="24"/>
                <w:lang w:val="en-US" w:eastAsia="en-ZA"/>
              </w:rPr>
              <w:t>one</w:t>
            </w:r>
            <w:r w:rsidR="002A4624">
              <w:rPr>
                <w:rFonts w:ascii="Arial" w:eastAsia="Times New Roman" w:hAnsi="Arial" w:cs="Arial"/>
                <w:sz w:val="24"/>
                <w:szCs w:val="24"/>
                <w:lang w:val="en-US" w:eastAsia="en-ZA"/>
              </w:rPr>
              <w:t xml:space="preserve"> of the 2019/20 </w:t>
            </w:r>
            <w:r w:rsidRPr="00EF1660">
              <w:rPr>
                <w:rFonts w:ascii="Arial" w:eastAsia="Times New Roman" w:hAnsi="Arial" w:cs="Arial"/>
                <w:sz w:val="24"/>
                <w:szCs w:val="24"/>
                <w:lang w:val="en-US" w:eastAsia="en-ZA"/>
              </w:rPr>
              <w:t>APP</w:t>
            </w:r>
            <w:r w:rsidR="002A4624">
              <w:rPr>
                <w:rFonts w:ascii="Arial" w:eastAsia="Times New Roman" w:hAnsi="Arial" w:cs="Arial"/>
                <w:sz w:val="24"/>
                <w:szCs w:val="24"/>
                <w:lang w:val="en-US" w:eastAsia="en-ZA"/>
              </w:rPr>
              <w:t xml:space="preserve"> targets</w:t>
            </w:r>
            <w:r w:rsidRPr="00EF1660">
              <w:rPr>
                <w:rFonts w:ascii="Arial" w:eastAsia="Times New Roman" w:hAnsi="Arial" w:cs="Arial"/>
                <w:sz w:val="24"/>
                <w:szCs w:val="24"/>
                <w:lang w:val="en-US" w:eastAsia="en-ZA"/>
              </w:rPr>
              <w:t xml:space="preserve"> and Operational </w:t>
            </w:r>
            <w:r w:rsidR="00266C4A" w:rsidRPr="00EF1660">
              <w:rPr>
                <w:rFonts w:ascii="Arial" w:eastAsia="Times New Roman" w:hAnsi="Arial" w:cs="Arial"/>
                <w:sz w:val="24"/>
                <w:szCs w:val="24"/>
                <w:lang w:val="en-US" w:eastAsia="en-ZA"/>
              </w:rPr>
              <w:t xml:space="preserve">plan. </w:t>
            </w:r>
            <w:r w:rsidR="002A4624">
              <w:rPr>
                <w:rFonts w:ascii="Arial" w:eastAsia="Times New Roman" w:hAnsi="Arial" w:cs="Arial"/>
                <w:sz w:val="24"/>
                <w:szCs w:val="24"/>
                <w:lang w:val="en-US" w:eastAsia="en-ZA"/>
              </w:rPr>
              <w:t>T</w:t>
            </w:r>
            <w:r w:rsidRPr="00EF1660">
              <w:rPr>
                <w:rFonts w:ascii="Arial" w:eastAsia="Times New Roman" w:hAnsi="Arial" w:cs="Arial"/>
                <w:sz w:val="24"/>
                <w:szCs w:val="24"/>
                <w:lang w:val="en-US" w:eastAsia="en-ZA"/>
              </w:rPr>
              <w:t xml:space="preserve">he Agency at high level achieved </w:t>
            </w:r>
            <w:r w:rsidR="004D2529" w:rsidRPr="00EF1660">
              <w:rPr>
                <w:rFonts w:ascii="Arial" w:eastAsia="Times New Roman" w:hAnsi="Arial" w:cs="Arial"/>
                <w:sz w:val="24"/>
                <w:szCs w:val="24"/>
                <w:lang w:val="en-US" w:eastAsia="en-ZA"/>
              </w:rPr>
              <w:t>95%</w:t>
            </w:r>
            <w:r w:rsidRPr="00EF1660">
              <w:rPr>
                <w:rFonts w:ascii="Arial" w:eastAsia="Times New Roman" w:hAnsi="Arial" w:cs="Arial"/>
                <w:sz w:val="24"/>
                <w:szCs w:val="24"/>
                <w:lang w:val="en-US" w:eastAsia="en-ZA"/>
              </w:rPr>
              <w:t xml:space="preserve"> (</w:t>
            </w:r>
            <w:r w:rsidR="004D2529" w:rsidRPr="00EF1660">
              <w:rPr>
                <w:rFonts w:ascii="Arial" w:eastAsia="Times New Roman" w:hAnsi="Arial" w:cs="Arial"/>
                <w:sz w:val="24"/>
                <w:szCs w:val="24"/>
                <w:lang w:val="en-US" w:eastAsia="en-ZA"/>
              </w:rPr>
              <w:t>or 78 out of 82) of planned corrective actions</w:t>
            </w:r>
            <w:r w:rsidR="000E3812">
              <w:rPr>
                <w:rFonts w:ascii="Arial" w:eastAsia="Times New Roman" w:hAnsi="Arial" w:cs="Arial"/>
                <w:sz w:val="24"/>
                <w:szCs w:val="24"/>
                <w:lang w:val="en-US" w:eastAsia="en-ZA"/>
              </w:rPr>
              <w:t>/measures</w:t>
            </w:r>
            <w:r w:rsidR="004D2529" w:rsidRPr="00EF1660">
              <w:rPr>
                <w:rFonts w:ascii="Arial" w:eastAsia="Times New Roman" w:hAnsi="Arial" w:cs="Arial"/>
                <w:sz w:val="24"/>
                <w:szCs w:val="24"/>
                <w:lang w:val="en-US" w:eastAsia="en-ZA"/>
              </w:rPr>
              <w:t xml:space="preserve"> implemented</w:t>
            </w:r>
            <w:r w:rsidR="00FE7572" w:rsidRPr="00EF1660">
              <w:rPr>
                <w:rFonts w:ascii="Arial" w:eastAsia="Times New Roman" w:hAnsi="Arial" w:cs="Arial"/>
                <w:sz w:val="24"/>
                <w:szCs w:val="24"/>
                <w:lang w:val="en-US" w:eastAsia="en-ZA"/>
              </w:rPr>
              <w:t xml:space="preserve"> as at 31 March 2020.</w:t>
            </w:r>
          </w:p>
        </w:tc>
        <w:tc>
          <w:tcPr>
            <w:tcW w:w="1792" w:type="dxa"/>
          </w:tcPr>
          <w:p w:rsidR="00B96E63" w:rsidRPr="00EF1660" w:rsidRDefault="00B96E63" w:rsidP="007E319B">
            <w:pPr>
              <w:spacing w:before="120"/>
              <w:rPr>
                <w:rFonts w:ascii="Arial" w:eastAsia="Times New Roman" w:hAnsi="Arial" w:cs="Arial"/>
                <w:sz w:val="24"/>
                <w:szCs w:val="24"/>
                <w:lang w:val="en-US" w:eastAsia="en-ZA"/>
              </w:rPr>
            </w:pPr>
            <w:r w:rsidRPr="00EF1660">
              <w:rPr>
                <w:rFonts w:ascii="Arial" w:eastAsia="Times New Roman" w:hAnsi="Arial" w:cs="Arial"/>
                <w:sz w:val="24"/>
                <w:szCs w:val="24"/>
                <w:lang w:val="en-US" w:eastAsia="en-ZA"/>
              </w:rPr>
              <w:t>Mr Tsakeriwa Chauke (Chief Financial Officer)</w:t>
            </w:r>
          </w:p>
        </w:tc>
      </w:tr>
    </w:tbl>
    <w:p w:rsidR="003852DC" w:rsidRPr="00CC2003" w:rsidRDefault="003852DC" w:rsidP="00E453AE">
      <w:pPr>
        <w:pStyle w:val="Heading1"/>
        <w:numPr>
          <w:ilvl w:val="0"/>
          <w:numId w:val="0"/>
        </w:numPr>
        <w:ind w:left="576"/>
        <w:rPr>
          <w:rFonts w:ascii="Arial" w:hAnsi="Arial" w:cs="Arial"/>
          <w:sz w:val="24"/>
          <w:szCs w:val="24"/>
          <w:lang w:val="en-GB"/>
        </w:rPr>
      </w:pPr>
    </w:p>
    <w:p w:rsidR="003852DC" w:rsidRDefault="003852DC" w:rsidP="003852DC">
      <w:pPr>
        <w:pStyle w:val="ListParagraph"/>
        <w:ind w:left="360"/>
        <w:rPr>
          <w:rFonts w:ascii="Arial" w:hAnsi="Arial" w:cs="Arial"/>
          <w:sz w:val="24"/>
          <w:szCs w:val="24"/>
          <w:lang w:val="en-GB"/>
        </w:rPr>
      </w:pPr>
    </w:p>
    <w:p w:rsidR="00DE07E8" w:rsidRDefault="00DE07E8" w:rsidP="003852DC">
      <w:pPr>
        <w:pStyle w:val="ListParagraph"/>
        <w:ind w:left="360"/>
        <w:rPr>
          <w:rFonts w:ascii="Arial" w:hAnsi="Arial" w:cs="Arial"/>
          <w:sz w:val="24"/>
          <w:szCs w:val="24"/>
          <w:lang w:val="en-GB"/>
        </w:rPr>
      </w:pPr>
    </w:p>
    <w:p w:rsidR="00266C4A" w:rsidRDefault="00266C4A" w:rsidP="003852DC">
      <w:pPr>
        <w:pStyle w:val="ListParagraph"/>
        <w:ind w:left="360"/>
        <w:rPr>
          <w:rFonts w:ascii="Arial" w:hAnsi="Arial" w:cs="Arial"/>
          <w:sz w:val="24"/>
          <w:szCs w:val="24"/>
          <w:lang w:val="en-GB"/>
        </w:rPr>
      </w:pPr>
    </w:p>
    <w:p w:rsidR="00DE07E8" w:rsidRPr="00CC2003" w:rsidRDefault="00DE07E8" w:rsidP="003852DC">
      <w:pPr>
        <w:pStyle w:val="ListParagraph"/>
        <w:ind w:left="360"/>
        <w:rPr>
          <w:rFonts w:ascii="Arial" w:hAnsi="Arial" w:cs="Arial"/>
          <w:sz w:val="24"/>
          <w:szCs w:val="24"/>
          <w:lang w:val="en-GB"/>
        </w:rPr>
      </w:pPr>
    </w:p>
    <w:p w:rsidR="001A7237" w:rsidRPr="00952E03" w:rsidRDefault="001A7237" w:rsidP="001A7237">
      <w:pPr>
        <w:pStyle w:val="Heading1"/>
        <w:ind w:left="576" w:hanging="576"/>
        <w:rPr>
          <w:rFonts w:ascii="Arial" w:hAnsi="Arial" w:cs="Arial"/>
        </w:rPr>
      </w:pPr>
      <w:bookmarkStart w:id="3" w:name="_Toc37343861"/>
      <w:r w:rsidRPr="00952E03">
        <w:rPr>
          <w:rFonts w:ascii="Arial" w:hAnsi="Arial" w:cs="Arial"/>
        </w:rPr>
        <w:t>Financial Management</w:t>
      </w:r>
      <w:bookmarkEnd w:id="3"/>
    </w:p>
    <w:p w:rsidR="001A7237" w:rsidRPr="00CC2003" w:rsidRDefault="001A7237" w:rsidP="001A7237">
      <w:pPr>
        <w:rPr>
          <w:rFonts w:ascii="Arial" w:hAnsi="Arial" w:cs="Arial"/>
          <w:sz w:val="24"/>
          <w:szCs w:val="24"/>
        </w:rPr>
      </w:pPr>
    </w:p>
    <w:tbl>
      <w:tblPr>
        <w:tblStyle w:val="TableGrid"/>
        <w:tblW w:w="15564" w:type="dxa"/>
        <w:tblInd w:w="-702" w:type="dxa"/>
        <w:tblLook w:val="04A0" w:firstRow="1" w:lastRow="0" w:firstColumn="1" w:lastColumn="0" w:noHBand="0" w:noVBand="1"/>
      </w:tblPr>
      <w:tblGrid>
        <w:gridCol w:w="4747"/>
        <w:gridCol w:w="3420"/>
        <w:gridCol w:w="1643"/>
        <w:gridCol w:w="3937"/>
        <w:gridCol w:w="1817"/>
      </w:tblGrid>
      <w:tr w:rsidR="001A7237" w:rsidRPr="00CC2003" w:rsidTr="00142FAA">
        <w:tc>
          <w:tcPr>
            <w:tcW w:w="4747" w:type="dxa"/>
            <w:shd w:val="clear" w:color="auto" w:fill="DEEAF6" w:themeFill="accent1" w:themeFillTint="33"/>
          </w:tcPr>
          <w:p w:rsidR="001A7237" w:rsidRPr="00CC2003" w:rsidRDefault="001A7237" w:rsidP="007E319B">
            <w:pPr>
              <w:spacing w:before="120"/>
              <w:jc w:val="center"/>
              <w:rPr>
                <w:rFonts w:ascii="Arial" w:hAnsi="Arial" w:cs="Arial"/>
                <w:b/>
                <w:sz w:val="24"/>
                <w:szCs w:val="24"/>
              </w:rPr>
            </w:pPr>
            <w:r w:rsidRPr="00CC2003">
              <w:rPr>
                <w:rFonts w:ascii="Arial" w:hAnsi="Arial" w:cs="Arial"/>
                <w:b/>
                <w:sz w:val="24"/>
                <w:szCs w:val="24"/>
              </w:rPr>
              <w:t>AGSA Review to Portfolio Committee</w:t>
            </w:r>
          </w:p>
        </w:tc>
        <w:tc>
          <w:tcPr>
            <w:tcW w:w="3420" w:type="dxa"/>
            <w:shd w:val="clear" w:color="auto" w:fill="DEEAF6" w:themeFill="accent1" w:themeFillTint="33"/>
          </w:tcPr>
          <w:p w:rsidR="001A7237" w:rsidRPr="00CC2003" w:rsidRDefault="001A7237" w:rsidP="007E319B">
            <w:pPr>
              <w:spacing w:before="120"/>
              <w:jc w:val="center"/>
              <w:rPr>
                <w:rFonts w:ascii="Arial" w:hAnsi="Arial" w:cs="Arial"/>
                <w:b/>
                <w:sz w:val="24"/>
                <w:szCs w:val="24"/>
              </w:rPr>
            </w:pPr>
            <w:r w:rsidRPr="00CC2003">
              <w:rPr>
                <w:rFonts w:ascii="Arial" w:hAnsi="Arial" w:cs="Arial"/>
                <w:b/>
                <w:sz w:val="24"/>
                <w:szCs w:val="24"/>
              </w:rPr>
              <w:t>Commitments</w:t>
            </w:r>
          </w:p>
        </w:tc>
        <w:tc>
          <w:tcPr>
            <w:tcW w:w="1643" w:type="dxa"/>
            <w:shd w:val="clear" w:color="auto" w:fill="DEEAF6" w:themeFill="accent1" w:themeFillTint="33"/>
          </w:tcPr>
          <w:p w:rsidR="001A7237" w:rsidRPr="00CC2003" w:rsidRDefault="001A7237" w:rsidP="007E319B">
            <w:pPr>
              <w:spacing w:before="120"/>
              <w:jc w:val="center"/>
              <w:rPr>
                <w:rFonts w:ascii="Arial" w:hAnsi="Arial" w:cs="Arial"/>
                <w:b/>
                <w:sz w:val="24"/>
                <w:szCs w:val="24"/>
              </w:rPr>
            </w:pPr>
            <w:r w:rsidRPr="00CC2003">
              <w:rPr>
                <w:rFonts w:ascii="Arial" w:hAnsi="Arial" w:cs="Arial"/>
                <w:b/>
                <w:sz w:val="24"/>
                <w:szCs w:val="24"/>
              </w:rPr>
              <w:t>Date of commitment</w:t>
            </w:r>
          </w:p>
        </w:tc>
        <w:tc>
          <w:tcPr>
            <w:tcW w:w="3937" w:type="dxa"/>
            <w:shd w:val="clear" w:color="auto" w:fill="DEEAF6" w:themeFill="accent1" w:themeFillTint="33"/>
          </w:tcPr>
          <w:p w:rsidR="001A7237" w:rsidRPr="00CC2003" w:rsidRDefault="001A7237" w:rsidP="007E319B">
            <w:pPr>
              <w:spacing w:before="120"/>
              <w:jc w:val="center"/>
              <w:rPr>
                <w:rFonts w:ascii="Arial" w:hAnsi="Arial" w:cs="Arial"/>
                <w:b/>
                <w:sz w:val="24"/>
                <w:szCs w:val="24"/>
              </w:rPr>
            </w:pPr>
            <w:r w:rsidRPr="00CC2003">
              <w:rPr>
                <w:rFonts w:ascii="Arial" w:hAnsi="Arial" w:cs="Arial"/>
                <w:b/>
                <w:sz w:val="24"/>
                <w:szCs w:val="24"/>
              </w:rPr>
              <w:t>Status</w:t>
            </w:r>
          </w:p>
          <w:p w:rsidR="001A7237" w:rsidRPr="00CC2003" w:rsidRDefault="001A7237" w:rsidP="007E319B">
            <w:pPr>
              <w:spacing w:before="120"/>
              <w:jc w:val="center"/>
              <w:rPr>
                <w:rFonts w:ascii="Arial" w:hAnsi="Arial" w:cs="Arial"/>
                <w:b/>
                <w:sz w:val="24"/>
                <w:szCs w:val="24"/>
              </w:rPr>
            </w:pPr>
          </w:p>
        </w:tc>
        <w:tc>
          <w:tcPr>
            <w:tcW w:w="1817" w:type="dxa"/>
            <w:shd w:val="clear" w:color="auto" w:fill="DEEAF6" w:themeFill="accent1" w:themeFillTint="33"/>
          </w:tcPr>
          <w:p w:rsidR="001A7237" w:rsidRPr="00CC2003" w:rsidRDefault="001A7237" w:rsidP="007E319B">
            <w:pPr>
              <w:tabs>
                <w:tab w:val="center" w:pos="1182"/>
              </w:tabs>
              <w:spacing w:before="120"/>
              <w:rPr>
                <w:rFonts w:ascii="Arial" w:hAnsi="Arial" w:cs="Arial"/>
                <w:b/>
                <w:sz w:val="24"/>
                <w:szCs w:val="24"/>
              </w:rPr>
            </w:pPr>
            <w:r w:rsidRPr="00CC2003">
              <w:rPr>
                <w:rFonts w:ascii="Arial" w:hAnsi="Arial" w:cs="Arial"/>
                <w:b/>
                <w:sz w:val="24"/>
                <w:szCs w:val="24"/>
              </w:rPr>
              <w:tab/>
              <w:t>Responsible Person</w:t>
            </w:r>
          </w:p>
        </w:tc>
      </w:tr>
      <w:tr w:rsidR="001A7237" w:rsidRPr="00CC2003" w:rsidTr="00142FAA">
        <w:tc>
          <w:tcPr>
            <w:tcW w:w="4747" w:type="dxa"/>
          </w:tcPr>
          <w:p w:rsidR="001A7237" w:rsidRPr="00CC2003" w:rsidRDefault="001A7237" w:rsidP="007E319B">
            <w:pPr>
              <w:pStyle w:val="Default"/>
              <w:rPr>
                <w:color w:val="auto"/>
              </w:rPr>
            </w:pPr>
            <w:r w:rsidRPr="00CC2003">
              <w:rPr>
                <w:b/>
              </w:rPr>
              <w:t>Paragraph 7:</w:t>
            </w:r>
            <w:r w:rsidRPr="00CC2003">
              <w:t xml:space="preserve"> The asset management policy is not aligned to the generally recognized accounting practices (GRAP). A finding was raised in the 2017-18 and 2018-19 audit, and the finding still remains for the 2019/20 audit as management has not finalised the review. The policy indicates that a change in </w:t>
            </w:r>
            <w:r w:rsidRPr="00CC2003">
              <w:rPr>
                <w:color w:val="auto"/>
              </w:rPr>
              <w:t xml:space="preserve">accounting estimates will result in the correction of a prior period error. However, the policy should state that the effect of a change in an accounting estimate shall be recognised prospectively by including in the period of the change and/or future periods, if the change affects both. </w:t>
            </w:r>
          </w:p>
          <w:p w:rsidR="001A7237" w:rsidRPr="00CC2003" w:rsidRDefault="001A7237" w:rsidP="007E319B">
            <w:pPr>
              <w:spacing w:before="120"/>
              <w:rPr>
                <w:rFonts w:ascii="Arial" w:hAnsi="Arial" w:cs="Arial"/>
                <w:b/>
                <w:sz w:val="24"/>
                <w:szCs w:val="24"/>
              </w:rPr>
            </w:pPr>
          </w:p>
        </w:tc>
        <w:tc>
          <w:tcPr>
            <w:tcW w:w="3420" w:type="dxa"/>
          </w:tcPr>
          <w:p w:rsidR="001A7237" w:rsidRPr="00CC2003" w:rsidRDefault="001A7237" w:rsidP="007E319B">
            <w:pPr>
              <w:spacing w:before="120"/>
              <w:rPr>
                <w:rFonts w:ascii="Arial" w:hAnsi="Arial" w:cs="Arial"/>
                <w:b/>
                <w:sz w:val="24"/>
                <w:szCs w:val="24"/>
              </w:rPr>
            </w:pPr>
            <w:r w:rsidRPr="00CC2003">
              <w:rPr>
                <w:rFonts w:ascii="Arial" w:hAnsi="Arial" w:cs="Arial"/>
                <w:sz w:val="24"/>
                <w:szCs w:val="24"/>
              </w:rPr>
              <w:t xml:space="preserve">Assets Management Policy will be </w:t>
            </w:r>
            <w:r w:rsidR="00712203">
              <w:rPr>
                <w:rFonts w:ascii="Arial" w:hAnsi="Arial" w:cs="Arial"/>
                <w:sz w:val="24"/>
                <w:szCs w:val="24"/>
              </w:rPr>
              <w:t xml:space="preserve">amended </w:t>
            </w:r>
            <w:r w:rsidRPr="00CC2003">
              <w:rPr>
                <w:rFonts w:ascii="Arial" w:hAnsi="Arial" w:cs="Arial"/>
                <w:sz w:val="24"/>
                <w:szCs w:val="24"/>
              </w:rPr>
              <w:t>aligned to GRAP</w:t>
            </w:r>
          </w:p>
        </w:tc>
        <w:tc>
          <w:tcPr>
            <w:tcW w:w="1643" w:type="dxa"/>
          </w:tcPr>
          <w:p w:rsidR="001A7237" w:rsidRPr="00CC2003" w:rsidRDefault="001A7237" w:rsidP="007E319B">
            <w:pPr>
              <w:spacing w:before="120"/>
              <w:rPr>
                <w:rFonts w:ascii="Arial" w:hAnsi="Arial" w:cs="Arial"/>
                <w:b/>
                <w:sz w:val="24"/>
                <w:szCs w:val="24"/>
              </w:rPr>
            </w:pPr>
            <w:r w:rsidRPr="00CC2003">
              <w:rPr>
                <w:rFonts w:ascii="Arial" w:hAnsi="Arial" w:cs="Arial"/>
                <w:sz w:val="24"/>
                <w:szCs w:val="24"/>
              </w:rPr>
              <w:t>31 December 2019</w:t>
            </w:r>
          </w:p>
        </w:tc>
        <w:tc>
          <w:tcPr>
            <w:tcW w:w="3937" w:type="dxa"/>
          </w:tcPr>
          <w:p w:rsidR="001A7237" w:rsidRPr="00CC2003" w:rsidRDefault="00712203" w:rsidP="007E319B">
            <w:pPr>
              <w:spacing w:before="120"/>
              <w:rPr>
                <w:rFonts w:ascii="Arial" w:hAnsi="Arial" w:cs="Arial"/>
                <w:b/>
                <w:sz w:val="24"/>
                <w:szCs w:val="24"/>
                <w:highlight w:val="yellow"/>
              </w:rPr>
            </w:pPr>
            <w:r>
              <w:rPr>
                <w:rFonts w:ascii="Arial" w:hAnsi="Arial" w:cs="Arial"/>
                <w:sz w:val="24"/>
                <w:szCs w:val="24"/>
              </w:rPr>
              <w:t xml:space="preserve">Amended </w:t>
            </w:r>
            <w:r w:rsidR="001A7237" w:rsidRPr="00CC2003">
              <w:rPr>
                <w:rFonts w:ascii="Arial" w:hAnsi="Arial" w:cs="Arial"/>
                <w:sz w:val="24"/>
                <w:szCs w:val="24"/>
              </w:rPr>
              <w:t>Assets management policy was approved on 21 January 2020</w:t>
            </w:r>
            <w:r>
              <w:rPr>
                <w:rFonts w:ascii="Arial" w:hAnsi="Arial" w:cs="Arial"/>
                <w:sz w:val="24"/>
                <w:szCs w:val="24"/>
              </w:rPr>
              <w:t xml:space="preserve"> and it has been implemented</w:t>
            </w:r>
          </w:p>
        </w:tc>
        <w:tc>
          <w:tcPr>
            <w:tcW w:w="1817" w:type="dxa"/>
          </w:tcPr>
          <w:p w:rsidR="001A7237" w:rsidRPr="00CC2003" w:rsidRDefault="001A7237" w:rsidP="007E319B">
            <w:pPr>
              <w:spacing w:before="120"/>
              <w:rPr>
                <w:rFonts w:ascii="Arial" w:hAnsi="Arial" w:cs="Arial"/>
                <w:sz w:val="24"/>
                <w:szCs w:val="24"/>
                <w:highlight w:val="yellow"/>
              </w:rPr>
            </w:pPr>
            <w:r w:rsidRPr="00CC2003">
              <w:rPr>
                <w:rFonts w:ascii="Arial" w:hAnsi="Arial" w:cs="Arial"/>
                <w:sz w:val="24"/>
                <w:szCs w:val="24"/>
              </w:rPr>
              <w:t>Ms Masello Modise (Senior Manager- Asset  Management)</w:t>
            </w:r>
          </w:p>
        </w:tc>
      </w:tr>
      <w:tr w:rsidR="001558D3" w:rsidRPr="00CC2003" w:rsidTr="00142FAA">
        <w:tc>
          <w:tcPr>
            <w:tcW w:w="4747" w:type="dxa"/>
          </w:tcPr>
          <w:p w:rsidR="001558D3" w:rsidRPr="00B14555" w:rsidRDefault="001558D3" w:rsidP="001558D3">
            <w:pPr>
              <w:spacing w:before="120"/>
              <w:rPr>
                <w:rFonts w:ascii="Arial" w:hAnsi="Arial" w:cs="Arial"/>
                <w:sz w:val="24"/>
                <w:szCs w:val="24"/>
              </w:rPr>
            </w:pPr>
            <w:r w:rsidRPr="00B14555">
              <w:rPr>
                <w:rFonts w:ascii="Arial" w:hAnsi="Arial" w:cs="Arial"/>
                <w:b/>
                <w:sz w:val="24"/>
                <w:szCs w:val="24"/>
              </w:rPr>
              <w:t>Paragraph 8:</w:t>
            </w:r>
            <w:r w:rsidRPr="00B14555">
              <w:rPr>
                <w:rFonts w:ascii="Arial" w:hAnsi="Arial" w:cs="Arial"/>
                <w:sz w:val="24"/>
                <w:szCs w:val="24"/>
              </w:rPr>
              <w:t xml:space="preserve"> We confirmed that the reconciliations for major accounts are performed every month. However, it was noted that some of the reconciliations (debtors/creditors/WIP schedule) were not reviewed by a senior official</w:t>
            </w:r>
          </w:p>
        </w:tc>
        <w:tc>
          <w:tcPr>
            <w:tcW w:w="3420" w:type="dxa"/>
          </w:tcPr>
          <w:p w:rsidR="001558D3" w:rsidRPr="00B14555" w:rsidRDefault="001558D3" w:rsidP="001558D3">
            <w:pPr>
              <w:rPr>
                <w:rFonts w:ascii="Arial" w:hAnsi="Arial" w:cs="Arial"/>
                <w:sz w:val="24"/>
                <w:szCs w:val="24"/>
              </w:rPr>
            </w:pPr>
            <w:r w:rsidRPr="00B14555">
              <w:rPr>
                <w:rFonts w:ascii="Arial" w:hAnsi="Arial" w:cs="Arial"/>
                <w:sz w:val="24"/>
                <w:szCs w:val="24"/>
              </w:rPr>
              <w:t>To implement  as standard control procedure that month end &amp; year</w:t>
            </w:r>
            <w:r w:rsidR="0066515A">
              <w:rPr>
                <w:rFonts w:ascii="Arial" w:hAnsi="Arial" w:cs="Arial"/>
                <w:sz w:val="24"/>
                <w:szCs w:val="24"/>
              </w:rPr>
              <w:t>-</w:t>
            </w:r>
            <w:r w:rsidRPr="00B14555">
              <w:rPr>
                <w:rFonts w:ascii="Arial" w:hAnsi="Arial" w:cs="Arial"/>
                <w:sz w:val="24"/>
                <w:szCs w:val="24"/>
              </w:rPr>
              <w:t xml:space="preserve"> end major accounts recons are  reviewed by a SM.</w:t>
            </w:r>
          </w:p>
        </w:tc>
        <w:tc>
          <w:tcPr>
            <w:tcW w:w="1643" w:type="dxa"/>
          </w:tcPr>
          <w:p w:rsidR="001558D3" w:rsidRPr="00B14555" w:rsidRDefault="002A4624" w:rsidP="001558D3">
            <w:pPr>
              <w:rPr>
                <w:rFonts w:ascii="Arial" w:hAnsi="Arial" w:cs="Arial"/>
                <w:sz w:val="24"/>
                <w:szCs w:val="24"/>
              </w:rPr>
            </w:pPr>
            <w:r>
              <w:rPr>
                <w:rFonts w:ascii="Arial" w:hAnsi="Arial" w:cs="Arial"/>
                <w:sz w:val="24"/>
                <w:szCs w:val="24"/>
              </w:rPr>
              <w:t>10 March 2020</w:t>
            </w:r>
          </w:p>
        </w:tc>
        <w:tc>
          <w:tcPr>
            <w:tcW w:w="3937" w:type="dxa"/>
          </w:tcPr>
          <w:p w:rsidR="001558D3" w:rsidRPr="00B14555" w:rsidRDefault="001558D3" w:rsidP="001558D3">
            <w:pPr>
              <w:rPr>
                <w:rFonts w:ascii="Arial" w:hAnsi="Arial" w:cs="Arial"/>
                <w:sz w:val="24"/>
                <w:szCs w:val="24"/>
              </w:rPr>
            </w:pPr>
            <w:r w:rsidRPr="00B14555">
              <w:rPr>
                <w:rFonts w:ascii="Arial" w:hAnsi="Arial" w:cs="Arial"/>
                <w:sz w:val="24"/>
                <w:szCs w:val="24"/>
              </w:rPr>
              <w:t>The yearend and half year plan signed on 10 March 2020 requires respective account reconciliation to be reviewed by a SM (Module Owner) and certified at a GM level</w:t>
            </w:r>
            <w:r w:rsidR="002A4624">
              <w:rPr>
                <w:rFonts w:ascii="Arial" w:hAnsi="Arial" w:cs="Arial"/>
                <w:sz w:val="24"/>
                <w:szCs w:val="24"/>
              </w:rPr>
              <w:t>. This has since been implemented.</w:t>
            </w:r>
          </w:p>
        </w:tc>
        <w:tc>
          <w:tcPr>
            <w:tcW w:w="1817" w:type="dxa"/>
          </w:tcPr>
          <w:p w:rsidR="001558D3" w:rsidRPr="00B14555" w:rsidRDefault="001558D3" w:rsidP="001558D3">
            <w:pPr>
              <w:rPr>
                <w:rFonts w:ascii="Arial" w:hAnsi="Arial" w:cs="Arial"/>
                <w:sz w:val="24"/>
                <w:szCs w:val="24"/>
              </w:rPr>
            </w:pPr>
            <w:r w:rsidRPr="00B14555">
              <w:rPr>
                <w:rFonts w:ascii="Arial" w:hAnsi="Arial" w:cs="Arial"/>
                <w:sz w:val="24"/>
                <w:szCs w:val="24"/>
              </w:rPr>
              <w:t>Mr Itumeleng Sedite (GM: Financial Accounting)</w:t>
            </w:r>
          </w:p>
        </w:tc>
      </w:tr>
      <w:tr w:rsidR="001A7237" w:rsidRPr="00CC2003" w:rsidTr="00142FAA">
        <w:tc>
          <w:tcPr>
            <w:tcW w:w="4747" w:type="dxa"/>
          </w:tcPr>
          <w:p w:rsidR="001A7237" w:rsidRPr="00CC2003" w:rsidRDefault="001A7237" w:rsidP="007E319B">
            <w:pPr>
              <w:autoSpaceDE w:val="0"/>
              <w:autoSpaceDN w:val="0"/>
              <w:adjustRightInd w:val="0"/>
              <w:rPr>
                <w:rFonts w:ascii="Arial" w:hAnsi="Arial" w:cs="Arial"/>
                <w:sz w:val="24"/>
                <w:szCs w:val="24"/>
              </w:rPr>
            </w:pPr>
            <w:r w:rsidRPr="00CC2003">
              <w:rPr>
                <w:rFonts w:ascii="Arial" w:hAnsi="Arial" w:cs="Arial"/>
                <w:b/>
                <w:sz w:val="24"/>
                <w:szCs w:val="24"/>
              </w:rPr>
              <w:t>Paragraph 9 &amp; 10:</w:t>
            </w:r>
            <w:r w:rsidRPr="00CC2003">
              <w:rPr>
                <w:rFonts w:ascii="Arial" w:hAnsi="Arial" w:cs="Arial"/>
                <w:sz w:val="24"/>
                <w:szCs w:val="24"/>
              </w:rPr>
              <w:t xml:space="preserve"> </w:t>
            </w:r>
          </w:p>
          <w:p w:rsidR="001A7237" w:rsidRPr="00661B83" w:rsidRDefault="001A7237" w:rsidP="007E319B">
            <w:pPr>
              <w:autoSpaceDE w:val="0"/>
              <w:autoSpaceDN w:val="0"/>
              <w:adjustRightInd w:val="0"/>
              <w:rPr>
                <w:rFonts w:ascii="Arial" w:hAnsi="Arial" w:cs="Arial"/>
                <w:sz w:val="24"/>
                <w:szCs w:val="24"/>
              </w:rPr>
            </w:pPr>
            <w:r w:rsidRPr="00CC2003">
              <w:rPr>
                <w:rFonts w:ascii="Arial" w:hAnsi="Arial" w:cs="Arial"/>
                <w:b/>
                <w:sz w:val="24"/>
                <w:szCs w:val="24"/>
              </w:rPr>
              <w:t>9.</w:t>
            </w:r>
            <w:r w:rsidRPr="00CC2003">
              <w:rPr>
                <w:rFonts w:ascii="Arial" w:hAnsi="Arial" w:cs="Arial"/>
                <w:sz w:val="24"/>
                <w:szCs w:val="24"/>
              </w:rPr>
              <w:t xml:space="preserve">  As reported in the prior year, SAPO had not been submitting the reconciliations as required per the master agreement and as a result SASSA had not paid SAPO for service fees from May 2019. SAPO has since submitted reconciliations up to December 2019. SASSA has made payment based on these reconciliations until September 2019 but excluding July and August 2019, for which the calculations of SAPO have been contested. The </w:t>
            </w:r>
            <w:r w:rsidRPr="00661B83">
              <w:rPr>
                <w:rFonts w:ascii="Arial" w:hAnsi="Arial" w:cs="Arial"/>
                <w:sz w:val="24"/>
                <w:szCs w:val="24"/>
              </w:rPr>
              <w:t xml:space="preserve">remaining reconciliations are in process of being verified by SASSA. </w:t>
            </w:r>
          </w:p>
          <w:p w:rsidR="00661B83" w:rsidRDefault="00661B83" w:rsidP="007E319B">
            <w:pPr>
              <w:autoSpaceDE w:val="0"/>
              <w:autoSpaceDN w:val="0"/>
              <w:adjustRightInd w:val="0"/>
              <w:rPr>
                <w:rFonts w:ascii="Arial" w:hAnsi="Arial" w:cs="Arial"/>
                <w:b/>
                <w:sz w:val="24"/>
                <w:szCs w:val="24"/>
              </w:rPr>
            </w:pPr>
          </w:p>
          <w:p w:rsidR="001A7237" w:rsidRPr="00661B83" w:rsidRDefault="001A7237" w:rsidP="007E319B">
            <w:pPr>
              <w:autoSpaceDE w:val="0"/>
              <w:autoSpaceDN w:val="0"/>
              <w:adjustRightInd w:val="0"/>
              <w:rPr>
                <w:rFonts w:ascii="Arial" w:hAnsi="Arial" w:cs="Arial"/>
                <w:sz w:val="24"/>
                <w:szCs w:val="24"/>
              </w:rPr>
            </w:pPr>
            <w:r w:rsidRPr="00661B83">
              <w:rPr>
                <w:rFonts w:ascii="Arial" w:hAnsi="Arial" w:cs="Arial"/>
                <w:b/>
                <w:sz w:val="24"/>
                <w:szCs w:val="24"/>
              </w:rPr>
              <w:t xml:space="preserve">10. </w:t>
            </w:r>
            <w:r w:rsidRPr="00661B83">
              <w:rPr>
                <w:rFonts w:ascii="Arial" w:hAnsi="Arial" w:cs="Arial"/>
                <w:sz w:val="24"/>
                <w:szCs w:val="24"/>
              </w:rPr>
              <w:t xml:space="preserve">SASSA made payments to SAPO invoices for April without proper reconciliations. </w:t>
            </w:r>
          </w:p>
          <w:p w:rsidR="001A7237" w:rsidRPr="00CC2003" w:rsidRDefault="001A7237" w:rsidP="007E319B">
            <w:pPr>
              <w:pStyle w:val="Default"/>
            </w:pPr>
          </w:p>
          <w:p w:rsidR="001A7237" w:rsidRPr="00CC2003" w:rsidRDefault="001A7237" w:rsidP="007E319B">
            <w:pPr>
              <w:rPr>
                <w:rFonts w:ascii="Arial" w:hAnsi="Arial" w:cs="Arial"/>
                <w:b/>
                <w:color w:val="FF0000"/>
                <w:sz w:val="24"/>
                <w:szCs w:val="24"/>
                <w:highlight w:val="yellow"/>
              </w:rPr>
            </w:pPr>
          </w:p>
        </w:tc>
        <w:tc>
          <w:tcPr>
            <w:tcW w:w="3420" w:type="dxa"/>
          </w:tcPr>
          <w:p w:rsidR="001A7237" w:rsidRPr="00CC2003" w:rsidRDefault="001A7237" w:rsidP="007E319B">
            <w:pPr>
              <w:spacing w:before="120"/>
              <w:rPr>
                <w:rFonts w:ascii="Arial" w:hAnsi="Arial" w:cs="Arial"/>
                <w:color w:val="FF0000"/>
                <w:sz w:val="24"/>
                <w:szCs w:val="24"/>
                <w:highlight w:val="yellow"/>
              </w:rPr>
            </w:pPr>
            <w:r w:rsidRPr="00CC2003">
              <w:rPr>
                <w:rFonts w:ascii="Arial" w:hAnsi="Arial" w:cs="Arial"/>
                <w:sz w:val="24"/>
                <w:szCs w:val="24"/>
              </w:rPr>
              <w:t>Signed-off reconciliations together with supporting documentation will be compiled and shared by SASSA and SAPO to keep records of all payments made.</w:t>
            </w:r>
          </w:p>
        </w:tc>
        <w:tc>
          <w:tcPr>
            <w:tcW w:w="1643" w:type="dxa"/>
            <w:shd w:val="clear" w:color="auto" w:fill="auto"/>
          </w:tcPr>
          <w:p w:rsidR="001A7237" w:rsidRPr="00CC2003" w:rsidRDefault="001A7237" w:rsidP="007E319B">
            <w:pPr>
              <w:rPr>
                <w:rFonts w:ascii="Arial" w:hAnsi="Arial" w:cs="Arial"/>
                <w:sz w:val="24"/>
                <w:szCs w:val="24"/>
              </w:rPr>
            </w:pPr>
            <w:r w:rsidRPr="00CC2003">
              <w:rPr>
                <w:rFonts w:ascii="Arial" w:hAnsi="Arial" w:cs="Arial"/>
                <w:sz w:val="24"/>
                <w:szCs w:val="24"/>
              </w:rPr>
              <w:t>Ongoing</w:t>
            </w:r>
          </w:p>
        </w:tc>
        <w:tc>
          <w:tcPr>
            <w:tcW w:w="3937" w:type="dxa"/>
          </w:tcPr>
          <w:p w:rsidR="001A7237" w:rsidRPr="00B67936" w:rsidRDefault="001A7237" w:rsidP="007E319B">
            <w:pPr>
              <w:rPr>
                <w:rFonts w:ascii="Arial" w:hAnsi="Arial" w:cs="Arial"/>
                <w:sz w:val="24"/>
                <w:szCs w:val="24"/>
              </w:rPr>
            </w:pPr>
            <w:r w:rsidRPr="00B67936">
              <w:rPr>
                <w:rFonts w:ascii="Arial" w:hAnsi="Arial" w:cs="Arial"/>
                <w:sz w:val="24"/>
                <w:szCs w:val="24"/>
              </w:rPr>
              <w:t xml:space="preserve">SASSA has been working with SAPO to get signed off reconciliations with all supporting documents and these have been received for April, May, June, August, and October 2019.  The reconciliation for July and September 2019 had challenges and have been sent back to SAPO for correction.  The invoices for December 2019 and January 2020 have </w:t>
            </w:r>
            <w:r w:rsidR="00B67936" w:rsidRPr="00B67936">
              <w:rPr>
                <w:rFonts w:ascii="Arial" w:hAnsi="Arial" w:cs="Arial"/>
                <w:sz w:val="24"/>
                <w:szCs w:val="24"/>
              </w:rPr>
              <w:t>now</w:t>
            </w:r>
            <w:r w:rsidRPr="00B67936">
              <w:rPr>
                <w:rFonts w:ascii="Arial" w:hAnsi="Arial" w:cs="Arial"/>
                <w:sz w:val="24"/>
                <w:szCs w:val="24"/>
              </w:rPr>
              <w:t xml:space="preserve"> been received</w:t>
            </w:r>
            <w:r w:rsidR="002A4624">
              <w:rPr>
                <w:rFonts w:ascii="Arial" w:hAnsi="Arial" w:cs="Arial"/>
                <w:sz w:val="24"/>
                <w:szCs w:val="24"/>
              </w:rPr>
              <w:t>. SASSA and SAPO established a joint task team to develop the reconciliation processes with adequate supporting documents that will be used to raise accruals and payables for the 2019/20</w:t>
            </w:r>
            <w:r w:rsidRPr="00B67936">
              <w:rPr>
                <w:rFonts w:ascii="Arial" w:hAnsi="Arial" w:cs="Arial"/>
                <w:sz w:val="24"/>
                <w:szCs w:val="24"/>
              </w:rPr>
              <w:t xml:space="preserve"> </w:t>
            </w:r>
          </w:p>
          <w:p w:rsidR="001A7237" w:rsidRPr="00B67936" w:rsidRDefault="001A7237" w:rsidP="007E319B">
            <w:pPr>
              <w:rPr>
                <w:rFonts w:ascii="Arial" w:hAnsi="Arial" w:cs="Arial"/>
                <w:sz w:val="24"/>
                <w:szCs w:val="24"/>
              </w:rPr>
            </w:pPr>
          </w:p>
          <w:p w:rsidR="001A7237" w:rsidRPr="00B67936" w:rsidRDefault="001A7237" w:rsidP="007E319B">
            <w:pPr>
              <w:rPr>
                <w:rFonts w:ascii="Arial" w:hAnsi="Arial" w:cs="Arial"/>
                <w:sz w:val="24"/>
                <w:szCs w:val="24"/>
              </w:rPr>
            </w:pPr>
            <w:r w:rsidRPr="00B67936">
              <w:rPr>
                <w:rFonts w:ascii="Arial" w:hAnsi="Arial" w:cs="Arial"/>
                <w:sz w:val="24"/>
                <w:szCs w:val="24"/>
              </w:rPr>
              <w:t xml:space="preserve">SASSA made a commitment only to pay SAPO for service fees on a signed off reconciliation, which is accompanied by the supporting documents. </w:t>
            </w:r>
          </w:p>
          <w:p w:rsidR="001A7237" w:rsidRPr="00B67936" w:rsidRDefault="001A7237" w:rsidP="007E319B">
            <w:pPr>
              <w:rPr>
                <w:rFonts w:ascii="Arial" w:hAnsi="Arial" w:cs="Arial"/>
                <w:sz w:val="24"/>
                <w:szCs w:val="24"/>
              </w:rPr>
            </w:pPr>
          </w:p>
          <w:p w:rsidR="001A7237" w:rsidRDefault="001A7237" w:rsidP="007E319B">
            <w:pPr>
              <w:rPr>
                <w:rFonts w:ascii="Arial" w:hAnsi="Arial" w:cs="Arial"/>
                <w:sz w:val="24"/>
                <w:szCs w:val="24"/>
              </w:rPr>
            </w:pPr>
            <w:r w:rsidRPr="00B67936">
              <w:rPr>
                <w:rFonts w:ascii="Arial" w:hAnsi="Arial" w:cs="Arial"/>
                <w:sz w:val="24"/>
                <w:szCs w:val="24"/>
              </w:rPr>
              <w:t xml:space="preserve">The invoice </w:t>
            </w:r>
            <w:r w:rsidR="00B67936" w:rsidRPr="00B67936">
              <w:rPr>
                <w:rFonts w:ascii="Arial" w:hAnsi="Arial" w:cs="Arial"/>
                <w:sz w:val="24"/>
                <w:szCs w:val="24"/>
              </w:rPr>
              <w:t>for</w:t>
            </w:r>
            <w:r w:rsidR="002A4624">
              <w:rPr>
                <w:rFonts w:ascii="Arial" w:hAnsi="Arial" w:cs="Arial"/>
                <w:sz w:val="24"/>
                <w:szCs w:val="24"/>
              </w:rPr>
              <w:t xml:space="preserve"> paid for</w:t>
            </w:r>
            <w:r w:rsidR="00B67936" w:rsidRPr="00B67936">
              <w:rPr>
                <w:rFonts w:ascii="Arial" w:hAnsi="Arial" w:cs="Arial"/>
                <w:sz w:val="24"/>
                <w:szCs w:val="24"/>
              </w:rPr>
              <w:t xml:space="preserve"> April</w:t>
            </w:r>
            <w:r w:rsidR="002A4624">
              <w:rPr>
                <w:rFonts w:ascii="Arial" w:hAnsi="Arial" w:cs="Arial"/>
                <w:sz w:val="24"/>
                <w:szCs w:val="24"/>
              </w:rPr>
              <w:t xml:space="preserve"> 2019</w:t>
            </w:r>
            <w:r w:rsidR="00B67936" w:rsidRPr="00B67936">
              <w:rPr>
                <w:rFonts w:ascii="Arial" w:hAnsi="Arial" w:cs="Arial"/>
                <w:sz w:val="24"/>
                <w:szCs w:val="24"/>
              </w:rPr>
              <w:t xml:space="preserve"> </w:t>
            </w:r>
            <w:r w:rsidR="002A4624">
              <w:rPr>
                <w:rFonts w:ascii="Arial" w:hAnsi="Arial" w:cs="Arial"/>
                <w:sz w:val="24"/>
                <w:szCs w:val="24"/>
              </w:rPr>
              <w:t>will be reviewed based on any outcome of the reconciliation processes agreed with SAPO together with supporting documents received. A</w:t>
            </w:r>
            <w:r w:rsidRPr="00B67936">
              <w:rPr>
                <w:rFonts w:ascii="Arial" w:hAnsi="Arial" w:cs="Arial"/>
                <w:sz w:val="24"/>
                <w:szCs w:val="24"/>
              </w:rPr>
              <w:t>fter approv</w:t>
            </w:r>
            <w:r w:rsidR="002A4624">
              <w:rPr>
                <w:rFonts w:ascii="Arial" w:hAnsi="Arial" w:cs="Arial"/>
                <w:sz w:val="24"/>
                <w:szCs w:val="24"/>
              </w:rPr>
              <w:t xml:space="preserve">al of April 2019 an </w:t>
            </w:r>
            <w:r w:rsidRPr="00B67936">
              <w:rPr>
                <w:rFonts w:ascii="Arial" w:hAnsi="Arial" w:cs="Arial"/>
                <w:sz w:val="24"/>
                <w:szCs w:val="24"/>
              </w:rPr>
              <w:t>amended reconciliation was received and the necessary</w:t>
            </w:r>
            <w:r w:rsidRPr="00CC2003">
              <w:rPr>
                <w:rFonts w:ascii="Arial" w:hAnsi="Arial" w:cs="Arial"/>
                <w:sz w:val="24"/>
                <w:szCs w:val="24"/>
              </w:rPr>
              <w:t xml:space="preserve"> adjustments were made.</w:t>
            </w:r>
          </w:p>
          <w:p w:rsidR="00B67936" w:rsidRDefault="00B67936" w:rsidP="007E319B">
            <w:pPr>
              <w:rPr>
                <w:rFonts w:ascii="Arial" w:hAnsi="Arial" w:cs="Arial"/>
                <w:sz w:val="24"/>
                <w:szCs w:val="24"/>
              </w:rPr>
            </w:pPr>
          </w:p>
          <w:p w:rsidR="00B67936" w:rsidRDefault="00B67936" w:rsidP="007E319B">
            <w:pPr>
              <w:rPr>
                <w:rFonts w:ascii="Arial" w:hAnsi="Arial" w:cs="Arial"/>
                <w:sz w:val="24"/>
                <w:szCs w:val="24"/>
              </w:rPr>
            </w:pPr>
            <w:r>
              <w:rPr>
                <w:rFonts w:ascii="Arial" w:hAnsi="Arial" w:cs="Arial"/>
                <w:sz w:val="24"/>
                <w:szCs w:val="24"/>
              </w:rPr>
              <w:t xml:space="preserve">A meeting was held with SAPO and FSS (the supplier that manages the IGPS grant payment system) in March 2020 to clarify the principles for the reconciliation so that these could be reduced to writing and applied consistently, as differences </w:t>
            </w:r>
            <w:r w:rsidR="00266C4A">
              <w:rPr>
                <w:rFonts w:ascii="Arial" w:hAnsi="Arial" w:cs="Arial"/>
                <w:sz w:val="24"/>
                <w:szCs w:val="24"/>
              </w:rPr>
              <w:t>were found</w:t>
            </w:r>
            <w:r>
              <w:rPr>
                <w:rFonts w:ascii="Arial" w:hAnsi="Arial" w:cs="Arial"/>
                <w:sz w:val="24"/>
                <w:szCs w:val="24"/>
              </w:rPr>
              <w:t xml:space="preserve"> in the reconciliations submitted.   Based on these agreed principles, all the reconciliations already submitted would be reviewed and adjustments made</w:t>
            </w:r>
            <w:r w:rsidR="002A4624">
              <w:rPr>
                <w:rFonts w:ascii="Arial" w:hAnsi="Arial" w:cs="Arial"/>
                <w:sz w:val="24"/>
                <w:szCs w:val="24"/>
              </w:rPr>
              <w:t xml:space="preserve"> before 2019/20 Annual Financial Statements preparation</w:t>
            </w:r>
          </w:p>
          <w:p w:rsidR="00B67936" w:rsidRDefault="00B67936" w:rsidP="007E319B">
            <w:pPr>
              <w:rPr>
                <w:rFonts w:ascii="Arial" w:hAnsi="Arial" w:cs="Arial"/>
                <w:sz w:val="24"/>
                <w:szCs w:val="24"/>
              </w:rPr>
            </w:pPr>
          </w:p>
          <w:p w:rsidR="00B67936" w:rsidRDefault="00B67936" w:rsidP="007E319B">
            <w:pPr>
              <w:rPr>
                <w:rFonts w:ascii="Arial" w:hAnsi="Arial" w:cs="Arial"/>
                <w:sz w:val="24"/>
                <w:szCs w:val="24"/>
              </w:rPr>
            </w:pPr>
            <w:r>
              <w:rPr>
                <w:rFonts w:ascii="Arial" w:hAnsi="Arial" w:cs="Arial"/>
                <w:sz w:val="24"/>
                <w:szCs w:val="24"/>
              </w:rPr>
              <w:t xml:space="preserve">Grants Administration is also working with ICT to develop a system </w:t>
            </w:r>
            <w:r w:rsidR="002A4624">
              <w:rPr>
                <w:rFonts w:ascii="Arial" w:hAnsi="Arial" w:cs="Arial"/>
                <w:sz w:val="24"/>
                <w:szCs w:val="24"/>
              </w:rPr>
              <w:t xml:space="preserve">to perform </w:t>
            </w:r>
            <w:r>
              <w:rPr>
                <w:rFonts w:ascii="Arial" w:hAnsi="Arial" w:cs="Arial"/>
                <w:sz w:val="24"/>
                <w:szCs w:val="24"/>
              </w:rPr>
              <w:t xml:space="preserve"> 100% comparison of all data submitted by SAPO with the reconciliations, as currently this has to be done manually, which is very time consuming</w:t>
            </w:r>
          </w:p>
          <w:p w:rsidR="00B67936" w:rsidRPr="00CC2003" w:rsidRDefault="00B67936" w:rsidP="007E319B">
            <w:pPr>
              <w:rPr>
                <w:rFonts w:ascii="Arial" w:hAnsi="Arial" w:cs="Arial"/>
                <w:sz w:val="24"/>
                <w:szCs w:val="24"/>
              </w:rPr>
            </w:pPr>
          </w:p>
        </w:tc>
        <w:tc>
          <w:tcPr>
            <w:tcW w:w="1817" w:type="dxa"/>
          </w:tcPr>
          <w:p w:rsidR="001A7237" w:rsidRPr="00CC2003" w:rsidRDefault="001A7237" w:rsidP="007E319B">
            <w:pPr>
              <w:rPr>
                <w:rFonts w:ascii="Arial" w:hAnsi="Arial" w:cs="Arial"/>
                <w:sz w:val="24"/>
                <w:szCs w:val="24"/>
              </w:rPr>
            </w:pPr>
            <w:r w:rsidRPr="00CC2003">
              <w:rPr>
                <w:rFonts w:ascii="Arial" w:hAnsi="Arial" w:cs="Arial"/>
                <w:sz w:val="24"/>
                <w:szCs w:val="24"/>
              </w:rPr>
              <w:t>Ms Dianne Dunkerley (Executive Manager- Grant Administration)</w:t>
            </w:r>
          </w:p>
        </w:tc>
      </w:tr>
      <w:tr w:rsidR="00B14555" w:rsidRPr="00CC2003" w:rsidTr="00142FAA">
        <w:tc>
          <w:tcPr>
            <w:tcW w:w="4747" w:type="dxa"/>
          </w:tcPr>
          <w:p w:rsidR="00B14555" w:rsidRPr="00B14555" w:rsidRDefault="00B14555" w:rsidP="00B14555">
            <w:pPr>
              <w:rPr>
                <w:rFonts w:ascii="Arial" w:hAnsi="Arial" w:cs="Arial"/>
                <w:sz w:val="24"/>
                <w:szCs w:val="24"/>
              </w:rPr>
            </w:pPr>
            <w:r w:rsidRPr="00B14555">
              <w:rPr>
                <w:rFonts w:ascii="Arial" w:hAnsi="Arial" w:cs="Arial"/>
                <w:b/>
                <w:sz w:val="24"/>
                <w:szCs w:val="24"/>
              </w:rPr>
              <w:t xml:space="preserve">Paragraph 11: </w:t>
            </w:r>
            <w:r w:rsidRPr="00B14555">
              <w:rPr>
                <w:rFonts w:ascii="Arial" w:hAnsi="Arial" w:cs="Arial"/>
                <w:sz w:val="24"/>
                <w:szCs w:val="24"/>
              </w:rPr>
              <w:t>An appeal judgement was granted by the Supreme Court against CPS and in favour of SASSA on the 30</w:t>
            </w:r>
            <w:r w:rsidRPr="00B14555">
              <w:rPr>
                <w:rFonts w:ascii="Arial" w:hAnsi="Arial" w:cs="Arial"/>
                <w:sz w:val="24"/>
                <w:szCs w:val="24"/>
                <w:vertAlign w:val="superscript"/>
              </w:rPr>
              <w:t>th</w:t>
            </w:r>
            <w:r w:rsidRPr="00B14555">
              <w:rPr>
                <w:rFonts w:ascii="Arial" w:hAnsi="Arial" w:cs="Arial"/>
                <w:sz w:val="24"/>
                <w:szCs w:val="24"/>
              </w:rPr>
              <w:t xml:space="preserve"> September 2019. However, the R316 million to be paid by CPS has not been recognised as a debtor CPS due to the fact that CPS has lodged affidavits with the Constitutional Court in a bid to have the Supreme Court of Appeal's ruling be reversed.</w:t>
            </w:r>
          </w:p>
          <w:p w:rsidR="00B14555" w:rsidRPr="00B14555" w:rsidRDefault="00B14555" w:rsidP="00B14555">
            <w:pPr>
              <w:spacing w:before="120"/>
              <w:rPr>
                <w:rFonts w:ascii="Arial" w:hAnsi="Arial" w:cs="Arial"/>
                <w:b/>
                <w:sz w:val="24"/>
                <w:szCs w:val="24"/>
              </w:rPr>
            </w:pPr>
          </w:p>
        </w:tc>
        <w:tc>
          <w:tcPr>
            <w:tcW w:w="3420" w:type="dxa"/>
          </w:tcPr>
          <w:p w:rsidR="00B14555" w:rsidRPr="00B14555" w:rsidRDefault="00B14555" w:rsidP="00B14555">
            <w:pPr>
              <w:spacing w:before="120"/>
              <w:rPr>
                <w:rFonts w:ascii="Arial" w:hAnsi="Arial" w:cs="Arial"/>
                <w:sz w:val="24"/>
                <w:szCs w:val="24"/>
              </w:rPr>
            </w:pPr>
            <w:r w:rsidRPr="00B14555">
              <w:rPr>
                <w:rFonts w:ascii="Arial" w:hAnsi="Arial" w:cs="Arial"/>
                <w:sz w:val="24"/>
                <w:szCs w:val="24"/>
              </w:rPr>
              <w:t>The Agency to disclose the R316 447 361 together with interest  of R285 527 820, a total of R601 975 181 as debt due by CPS in the Annual Financial Statement for the year 19/20</w:t>
            </w:r>
          </w:p>
        </w:tc>
        <w:tc>
          <w:tcPr>
            <w:tcW w:w="1643" w:type="dxa"/>
          </w:tcPr>
          <w:p w:rsidR="00B14555" w:rsidRPr="00B14555" w:rsidRDefault="00B14555" w:rsidP="00B14555">
            <w:pPr>
              <w:spacing w:before="120"/>
              <w:rPr>
                <w:rFonts w:ascii="Arial" w:hAnsi="Arial" w:cs="Arial"/>
                <w:sz w:val="24"/>
                <w:szCs w:val="24"/>
              </w:rPr>
            </w:pPr>
            <w:r w:rsidRPr="00B14555">
              <w:rPr>
                <w:rFonts w:ascii="Arial" w:hAnsi="Arial" w:cs="Arial"/>
                <w:sz w:val="24"/>
                <w:szCs w:val="24"/>
              </w:rPr>
              <w:t>31 March 2020</w:t>
            </w:r>
          </w:p>
        </w:tc>
        <w:tc>
          <w:tcPr>
            <w:tcW w:w="3937" w:type="dxa"/>
          </w:tcPr>
          <w:p w:rsidR="001D2E40" w:rsidRDefault="001D2E40" w:rsidP="001D2E40">
            <w:pPr>
              <w:spacing w:before="120"/>
              <w:rPr>
                <w:rFonts w:ascii="Arial" w:hAnsi="Arial" w:cs="Arial"/>
                <w:sz w:val="24"/>
                <w:szCs w:val="24"/>
              </w:rPr>
            </w:pPr>
            <w:r>
              <w:rPr>
                <w:rFonts w:ascii="Arial" w:hAnsi="Arial" w:cs="Arial"/>
                <w:sz w:val="24"/>
                <w:szCs w:val="24"/>
              </w:rPr>
              <w:t>Constitutional Court dismissed CPS case and appeal of the Supreme Court of Appeals to repay the R316 million with interest.</w:t>
            </w:r>
          </w:p>
          <w:p w:rsidR="00B14555" w:rsidRPr="00B14555" w:rsidRDefault="001D2E40" w:rsidP="001D2E40">
            <w:pPr>
              <w:spacing w:before="120"/>
              <w:rPr>
                <w:rFonts w:ascii="Arial" w:hAnsi="Arial" w:cs="Arial"/>
                <w:sz w:val="24"/>
                <w:szCs w:val="24"/>
              </w:rPr>
            </w:pPr>
            <w:r>
              <w:rPr>
                <w:rFonts w:ascii="Arial" w:hAnsi="Arial" w:cs="Arial"/>
                <w:sz w:val="24"/>
                <w:szCs w:val="24"/>
              </w:rPr>
              <w:t>Since then a</w:t>
            </w:r>
            <w:r w:rsidR="00B14555" w:rsidRPr="00B14555">
              <w:rPr>
                <w:rFonts w:ascii="Arial" w:hAnsi="Arial" w:cs="Arial"/>
                <w:sz w:val="24"/>
                <w:szCs w:val="24"/>
              </w:rPr>
              <w:t xml:space="preserve"> debt against CPS was correctly raised in the applicable financial period, February 2020; in the amount of R595 348 568, being capital of R316 447 351 and interest of R279 899 207 that accrued up to 18 Feb</w:t>
            </w:r>
            <w:r>
              <w:rPr>
                <w:rFonts w:ascii="Arial" w:hAnsi="Arial" w:cs="Arial"/>
                <w:sz w:val="24"/>
                <w:szCs w:val="24"/>
              </w:rPr>
              <w:t>ruary</w:t>
            </w:r>
            <w:r w:rsidR="00B14555" w:rsidRPr="00B14555">
              <w:rPr>
                <w:rFonts w:ascii="Arial" w:hAnsi="Arial" w:cs="Arial"/>
                <w:sz w:val="24"/>
                <w:szCs w:val="24"/>
              </w:rPr>
              <w:t xml:space="preserve"> 2020.</w:t>
            </w:r>
          </w:p>
        </w:tc>
        <w:tc>
          <w:tcPr>
            <w:tcW w:w="1817" w:type="dxa"/>
          </w:tcPr>
          <w:p w:rsidR="00B14555" w:rsidRPr="00B14555" w:rsidRDefault="0066515A" w:rsidP="00B14555">
            <w:pPr>
              <w:spacing w:before="120"/>
              <w:rPr>
                <w:rFonts w:ascii="Arial" w:hAnsi="Arial" w:cs="Arial"/>
                <w:sz w:val="24"/>
                <w:szCs w:val="24"/>
              </w:rPr>
            </w:pPr>
            <w:r w:rsidRPr="00B14555">
              <w:rPr>
                <w:rFonts w:ascii="Arial" w:hAnsi="Arial" w:cs="Arial"/>
                <w:sz w:val="24"/>
                <w:szCs w:val="24"/>
              </w:rPr>
              <w:t>Mr Itumeleng Sedite (GM: Financial Accounting)</w:t>
            </w:r>
          </w:p>
        </w:tc>
      </w:tr>
    </w:tbl>
    <w:p w:rsidR="001A7237" w:rsidRPr="00CC2003" w:rsidRDefault="001A7237" w:rsidP="001A7237">
      <w:pPr>
        <w:rPr>
          <w:rFonts w:ascii="Arial" w:hAnsi="Arial" w:cs="Arial"/>
          <w:sz w:val="24"/>
          <w:szCs w:val="24"/>
        </w:rPr>
      </w:pPr>
    </w:p>
    <w:p w:rsidR="001A7237" w:rsidRPr="00952E03" w:rsidRDefault="001A7237" w:rsidP="001A7237">
      <w:pPr>
        <w:pStyle w:val="Heading1"/>
        <w:ind w:left="576" w:hanging="576"/>
        <w:rPr>
          <w:rFonts w:ascii="Arial" w:hAnsi="Arial" w:cs="Arial"/>
        </w:rPr>
      </w:pPr>
      <w:bookmarkStart w:id="4" w:name="_Toc37343862"/>
      <w:r w:rsidRPr="00952E03">
        <w:rPr>
          <w:rFonts w:ascii="Arial" w:hAnsi="Arial" w:cs="Arial"/>
        </w:rPr>
        <w:t>Performance Management</w:t>
      </w:r>
      <w:bookmarkEnd w:id="4"/>
    </w:p>
    <w:p w:rsidR="001A7237" w:rsidRPr="00CC2003" w:rsidRDefault="001A7237" w:rsidP="001A7237">
      <w:pPr>
        <w:rPr>
          <w:rFonts w:ascii="Arial" w:hAnsi="Arial" w:cs="Arial"/>
          <w:sz w:val="24"/>
          <w:szCs w:val="24"/>
        </w:rPr>
      </w:pPr>
    </w:p>
    <w:tbl>
      <w:tblPr>
        <w:tblStyle w:val="TableGrid"/>
        <w:tblW w:w="15541" w:type="dxa"/>
        <w:tblInd w:w="-702" w:type="dxa"/>
        <w:tblLook w:val="04A0" w:firstRow="1" w:lastRow="0" w:firstColumn="1" w:lastColumn="0" w:noHBand="0" w:noVBand="1"/>
      </w:tblPr>
      <w:tblGrid>
        <w:gridCol w:w="4747"/>
        <w:gridCol w:w="3420"/>
        <w:gridCol w:w="1643"/>
        <w:gridCol w:w="3945"/>
        <w:gridCol w:w="1786"/>
      </w:tblGrid>
      <w:tr w:rsidR="001A7237" w:rsidRPr="00CC2003" w:rsidTr="00257434">
        <w:tc>
          <w:tcPr>
            <w:tcW w:w="4747" w:type="dxa"/>
            <w:shd w:val="clear" w:color="auto" w:fill="DEEAF6" w:themeFill="accent1" w:themeFillTint="33"/>
          </w:tcPr>
          <w:p w:rsidR="001A7237" w:rsidRPr="00CC2003" w:rsidRDefault="001A7237" w:rsidP="007E319B">
            <w:pPr>
              <w:spacing w:before="120"/>
              <w:jc w:val="center"/>
              <w:rPr>
                <w:rFonts w:ascii="Arial" w:hAnsi="Arial" w:cs="Arial"/>
                <w:b/>
                <w:sz w:val="24"/>
                <w:szCs w:val="24"/>
              </w:rPr>
            </w:pPr>
            <w:r w:rsidRPr="00CC2003">
              <w:rPr>
                <w:rFonts w:ascii="Arial" w:hAnsi="Arial" w:cs="Arial"/>
                <w:b/>
                <w:sz w:val="24"/>
                <w:szCs w:val="24"/>
              </w:rPr>
              <w:t>AGSA Review to Portfolio Committee</w:t>
            </w:r>
          </w:p>
        </w:tc>
        <w:tc>
          <w:tcPr>
            <w:tcW w:w="3420" w:type="dxa"/>
            <w:shd w:val="clear" w:color="auto" w:fill="DEEAF6" w:themeFill="accent1" w:themeFillTint="33"/>
          </w:tcPr>
          <w:p w:rsidR="001A7237" w:rsidRPr="00CC2003" w:rsidRDefault="001A7237" w:rsidP="007E319B">
            <w:pPr>
              <w:spacing w:before="120"/>
              <w:jc w:val="center"/>
              <w:rPr>
                <w:rFonts w:ascii="Arial" w:hAnsi="Arial" w:cs="Arial"/>
                <w:b/>
                <w:sz w:val="24"/>
                <w:szCs w:val="24"/>
              </w:rPr>
            </w:pPr>
            <w:r w:rsidRPr="00CC2003">
              <w:rPr>
                <w:rFonts w:ascii="Arial" w:hAnsi="Arial" w:cs="Arial"/>
                <w:b/>
                <w:sz w:val="24"/>
                <w:szCs w:val="24"/>
              </w:rPr>
              <w:t>Commitments</w:t>
            </w:r>
          </w:p>
        </w:tc>
        <w:tc>
          <w:tcPr>
            <w:tcW w:w="1643" w:type="dxa"/>
            <w:shd w:val="clear" w:color="auto" w:fill="DEEAF6" w:themeFill="accent1" w:themeFillTint="33"/>
          </w:tcPr>
          <w:p w:rsidR="001A7237" w:rsidRPr="00CC2003" w:rsidRDefault="001A7237" w:rsidP="007E319B">
            <w:pPr>
              <w:spacing w:before="120"/>
              <w:jc w:val="center"/>
              <w:rPr>
                <w:rFonts w:ascii="Arial" w:hAnsi="Arial" w:cs="Arial"/>
                <w:b/>
                <w:sz w:val="24"/>
                <w:szCs w:val="24"/>
              </w:rPr>
            </w:pPr>
            <w:r w:rsidRPr="00CC2003">
              <w:rPr>
                <w:rFonts w:ascii="Arial" w:hAnsi="Arial" w:cs="Arial"/>
                <w:b/>
                <w:sz w:val="24"/>
                <w:szCs w:val="24"/>
              </w:rPr>
              <w:t>Date of commitment</w:t>
            </w:r>
          </w:p>
        </w:tc>
        <w:tc>
          <w:tcPr>
            <w:tcW w:w="3945" w:type="dxa"/>
            <w:shd w:val="clear" w:color="auto" w:fill="DEEAF6" w:themeFill="accent1" w:themeFillTint="33"/>
          </w:tcPr>
          <w:p w:rsidR="001A7237" w:rsidRPr="00CC2003" w:rsidRDefault="001A7237" w:rsidP="007E319B">
            <w:pPr>
              <w:spacing w:before="120"/>
              <w:jc w:val="center"/>
              <w:rPr>
                <w:rFonts w:ascii="Arial" w:hAnsi="Arial" w:cs="Arial"/>
                <w:b/>
                <w:sz w:val="24"/>
                <w:szCs w:val="24"/>
              </w:rPr>
            </w:pPr>
            <w:r w:rsidRPr="00CC2003">
              <w:rPr>
                <w:rFonts w:ascii="Arial" w:hAnsi="Arial" w:cs="Arial"/>
                <w:b/>
                <w:sz w:val="24"/>
                <w:szCs w:val="24"/>
              </w:rPr>
              <w:t>Status</w:t>
            </w:r>
          </w:p>
          <w:p w:rsidR="001A7237" w:rsidRPr="00CC2003" w:rsidRDefault="001A7237" w:rsidP="007E319B">
            <w:pPr>
              <w:spacing w:before="120"/>
              <w:jc w:val="center"/>
              <w:rPr>
                <w:rFonts w:ascii="Arial" w:hAnsi="Arial" w:cs="Arial"/>
                <w:b/>
                <w:sz w:val="24"/>
                <w:szCs w:val="24"/>
              </w:rPr>
            </w:pPr>
          </w:p>
        </w:tc>
        <w:tc>
          <w:tcPr>
            <w:tcW w:w="1786" w:type="dxa"/>
            <w:shd w:val="clear" w:color="auto" w:fill="DEEAF6" w:themeFill="accent1" w:themeFillTint="33"/>
          </w:tcPr>
          <w:p w:rsidR="001A7237" w:rsidRPr="00CC2003" w:rsidRDefault="001A7237" w:rsidP="007E319B">
            <w:pPr>
              <w:spacing w:before="120"/>
              <w:rPr>
                <w:rFonts w:ascii="Arial" w:hAnsi="Arial" w:cs="Arial"/>
                <w:b/>
                <w:sz w:val="24"/>
                <w:szCs w:val="24"/>
              </w:rPr>
            </w:pPr>
            <w:r w:rsidRPr="00CC2003">
              <w:rPr>
                <w:rFonts w:ascii="Arial" w:hAnsi="Arial" w:cs="Arial"/>
                <w:b/>
                <w:sz w:val="24"/>
                <w:szCs w:val="24"/>
              </w:rPr>
              <w:t>Responsible Person</w:t>
            </w:r>
          </w:p>
        </w:tc>
      </w:tr>
      <w:tr w:rsidR="001A7237" w:rsidRPr="00CC2003" w:rsidTr="00257434">
        <w:tc>
          <w:tcPr>
            <w:tcW w:w="4747" w:type="dxa"/>
          </w:tcPr>
          <w:p w:rsidR="001A7237" w:rsidRPr="003D461C" w:rsidRDefault="001A7237" w:rsidP="007E319B">
            <w:pPr>
              <w:spacing w:before="120"/>
              <w:rPr>
                <w:rFonts w:ascii="Arial" w:hAnsi="Arial" w:cs="Arial"/>
                <w:sz w:val="24"/>
                <w:szCs w:val="24"/>
              </w:rPr>
            </w:pPr>
            <w:r w:rsidRPr="003D461C">
              <w:rPr>
                <w:rFonts w:ascii="Arial" w:hAnsi="Arial" w:cs="Arial"/>
                <w:b/>
                <w:sz w:val="24"/>
                <w:szCs w:val="24"/>
              </w:rPr>
              <w:t>Paragraph 16</w:t>
            </w:r>
            <w:r w:rsidR="0059449A" w:rsidRPr="003D461C">
              <w:rPr>
                <w:rFonts w:ascii="Arial" w:hAnsi="Arial" w:cs="Arial"/>
                <w:b/>
                <w:sz w:val="24"/>
                <w:szCs w:val="24"/>
              </w:rPr>
              <w:t xml:space="preserve"> &amp; 17</w:t>
            </w:r>
            <w:r w:rsidRPr="003D461C">
              <w:rPr>
                <w:rFonts w:ascii="Arial" w:hAnsi="Arial" w:cs="Arial"/>
                <w:b/>
                <w:sz w:val="24"/>
                <w:szCs w:val="24"/>
              </w:rPr>
              <w:t xml:space="preserve">: </w:t>
            </w:r>
            <w:r w:rsidR="0059449A" w:rsidRPr="003D461C">
              <w:rPr>
                <w:rFonts w:ascii="Arial" w:hAnsi="Arial" w:cs="Arial"/>
                <w:b/>
                <w:sz w:val="24"/>
                <w:szCs w:val="24"/>
              </w:rPr>
              <w:t xml:space="preserve">16: </w:t>
            </w:r>
            <w:r w:rsidRPr="003D461C">
              <w:rPr>
                <w:rFonts w:ascii="Arial" w:hAnsi="Arial" w:cs="Arial"/>
                <w:sz w:val="24"/>
                <w:szCs w:val="24"/>
              </w:rPr>
              <w:t xml:space="preserve">The standard operating procedures and/or technical indicator descriptions are not aligned to the annual performance plan indicators, therefore, the process for collecting, collating and reporting on information is not described </w:t>
            </w:r>
          </w:p>
          <w:p w:rsidR="003D461C" w:rsidRPr="003D461C" w:rsidRDefault="003D461C" w:rsidP="003D461C">
            <w:pPr>
              <w:rPr>
                <w:rFonts w:ascii="Arial" w:hAnsi="Arial" w:cs="Arial"/>
                <w:b/>
                <w:sz w:val="24"/>
                <w:szCs w:val="24"/>
              </w:rPr>
            </w:pPr>
          </w:p>
          <w:p w:rsidR="0059449A" w:rsidRPr="0059449A" w:rsidRDefault="0059449A" w:rsidP="003D461C">
            <w:pPr>
              <w:rPr>
                <w:rFonts w:ascii="Arial" w:hAnsi="Arial" w:cs="Arial"/>
                <w:color w:val="000000"/>
                <w:sz w:val="24"/>
                <w:szCs w:val="24"/>
                <w:lang w:val="en-US"/>
              </w:rPr>
            </w:pPr>
            <w:r w:rsidRPr="003D461C">
              <w:rPr>
                <w:rFonts w:ascii="Arial" w:hAnsi="Arial" w:cs="Arial"/>
                <w:b/>
                <w:sz w:val="24"/>
                <w:szCs w:val="24"/>
              </w:rPr>
              <w:t xml:space="preserve">17: </w:t>
            </w:r>
            <w:r w:rsidRPr="0059449A">
              <w:rPr>
                <w:rFonts w:ascii="Arial" w:hAnsi="Arial" w:cs="Arial"/>
                <w:color w:val="000000"/>
                <w:sz w:val="24"/>
                <w:szCs w:val="24"/>
                <w:lang w:val="en-US"/>
              </w:rPr>
              <w:t xml:space="preserve">The draft Strategic Plan (SP) for 2020-2025 and APP for 2020-2021 were reviewed on programme 2: Benefits Administration and Support and identified the following findings: </w:t>
            </w:r>
          </w:p>
          <w:p w:rsidR="0059449A" w:rsidRPr="0059449A" w:rsidRDefault="0059449A" w:rsidP="0059449A">
            <w:pPr>
              <w:autoSpaceDE w:val="0"/>
              <w:autoSpaceDN w:val="0"/>
              <w:adjustRightInd w:val="0"/>
              <w:rPr>
                <w:rFonts w:ascii="Arial" w:hAnsi="Arial" w:cs="Arial"/>
                <w:color w:val="000000"/>
                <w:sz w:val="24"/>
                <w:szCs w:val="24"/>
                <w:lang w:val="en-US"/>
              </w:rPr>
            </w:pPr>
            <w:r w:rsidRPr="0059449A">
              <w:rPr>
                <w:rFonts w:ascii="Arial" w:hAnsi="Arial" w:cs="Arial"/>
                <w:i/>
                <w:iCs/>
                <w:color w:val="000000"/>
                <w:sz w:val="24"/>
                <w:szCs w:val="24"/>
                <w:lang w:val="en-US"/>
              </w:rPr>
              <w:t xml:space="preserve">Situational Analysis (SP and APP) </w:t>
            </w:r>
          </w:p>
          <w:p w:rsidR="0059449A" w:rsidRPr="0059449A" w:rsidRDefault="0059449A" w:rsidP="0059449A">
            <w:pPr>
              <w:autoSpaceDE w:val="0"/>
              <w:autoSpaceDN w:val="0"/>
              <w:adjustRightInd w:val="0"/>
              <w:rPr>
                <w:rFonts w:ascii="Arial" w:hAnsi="Arial" w:cs="Arial"/>
                <w:color w:val="000000"/>
                <w:sz w:val="24"/>
                <w:szCs w:val="24"/>
                <w:lang w:val="en-US"/>
              </w:rPr>
            </w:pPr>
            <w:r w:rsidRPr="0059449A">
              <w:rPr>
                <w:rFonts w:ascii="Arial" w:hAnsi="Arial" w:cs="Arial"/>
                <w:color w:val="000000"/>
                <w:sz w:val="24"/>
                <w:szCs w:val="24"/>
                <w:lang w:val="en-US"/>
              </w:rPr>
              <w:t xml:space="preserve">• It was unclear how the recommended planning tools as per the revised framework for strategic plans and annual performance plans (R-FSAPP) were used in SASSA’s SP and APP. </w:t>
            </w:r>
          </w:p>
          <w:p w:rsidR="0059449A" w:rsidRPr="0059449A" w:rsidRDefault="0059449A" w:rsidP="0059449A">
            <w:pPr>
              <w:autoSpaceDE w:val="0"/>
              <w:autoSpaceDN w:val="0"/>
              <w:adjustRightInd w:val="0"/>
              <w:rPr>
                <w:rFonts w:ascii="Arial" w:hAnsi="Arial" w:cs="Arial"/>
                <w:color w:val="000000"/>
                <w:sz w:val="24"/>
                <w:szCs w:val="24"/>
                <w:lang w:val="en-US"/>
              </w:rPr>
            </w:pPr>
            <w:r w:rsidRPr="0059449A">
              <w:rPr>
                <w:rFonts w:ascii="Arial" w:hAnsi="Arial" w:cs="Arial"/>
                <w:color w:val="000000"/>
                <w:sz w:val="24"/>
                <w:szCs w:val="24"/>
                <w:lang w:val="en-US"/>
              </w:rPr>
              <w:t xml:space="preserve">• It was unclear how the challenges as included in the SP and APP under the external environment were going to be addressed. </w:t>
            </w:r>
          </w:p>
          <w:p w:rsidR="001A7237" w:rsidRPr="003D461C" w:rsidRDefault="0059449A" w:rsidP="0059449A">
            <w:pPr>
              <w:spacing w:before="120"/>
              <w:rPr>
                <w:rFonts w:ascii="Arial" w:hAnsi="Arial" w:cs="Arial"/>
                <w:b/>
                <w:sz w:val="24"/>
                <w:szCs w:val="24"/>
              </w:rPr>
            </w:pPr>
            <w:r w:rsidRPr="003D461C">
              <w:rPr>
                <w:rFonts w:ascii="Arial" w:hAnsi="Arial" w:cs="Arial"/>
                <w:color w:val="000000"/>
                <w:sz w:val="24"/>
                <w:szCs w:val="24"/>
                <w:lang w:val="en-US"/>
              </w:rPr>
              <w:t>• The three key core elements of the internal environment as per the R-FSAPP (ICT, BBBEE and women, youth and people with disabilities) were not included in the SP and APP</w:t>
            </w:r>
          </w:p>
        </w:tc>
        <w:tc>
          <w:tcPr>
            <w:tcW w:w="3420" w:type="dxa"/>
            <w:shd w:val="clear" w:color="auto" w:fill="auto"/>
          </w:tcPr>
          <w:p w:rsidR="000B7CE4" w:rsidRPr="003D461C" w:rsidRDefault="000B7CE4" w:rsidP="000B7CE4">
            <w:pPr>
              <w:spacing w:before="120"/>
              <w:rPr>
                <w:rFonts w:ascii="Arial" w:hAnsi="Arial" w:cs="Arial"/>
                <w:sz w:val="24"/>
                <w:szCs w:val="24"/>
              </w:rPr>
            </w:pPr>
            <w:r w:rsidRPr="003D461C">
              <w:rPr>
                <w:rFonts w:ascii="Arial" w:hAnsi="Arial" w:cs="Arial"/>
                <w:sz w:val="24"/>
                <w:szCs w:val="24"/>
              </w:rPr>
              <w:t>Matter on Technical indicators emanates from the exercise undertaken by AGSA to review SASSA’s 2020-2025 strategic and 2020/21 Annual Performance plans.</w:t>
            </w:r>
          </w:p>
          <w:p w:rsidR="000B7CE4" w:rsidRPr="003D461C" w:rsidRDefault="000B7CE4" w:rsidP="000B7CE4">
            <w:pPr>
              <w:pStyle w:val="ListParagraph"/>
              <w:numPr>
                <w:ilvl w:val="0"/>
                <w:numId w:val="41"/>
              </w:numPr>
              <w:spacing w:before="120" w:after="160" w:line="259" w:lineRule="auto"/>
              <w:rPr>
                <w:rFonts w:ascii="Arial" w:hAnsi="Arial" w:cs="Arial"/>
                <w:sz w:val="24"/>
                <w:szCs w:val="24"/>
              </w:rPr>
            </w:pPr>
            <w:r w:rsidRPr="003D461C">
              <w:rPr>
                <w:rFonts w:ascii="Arial" w:hAnsi="Arial" w:cs="Arial"/>
                <w:sz w:val="24"/>
                <w:szCs w:val="24"/>
              </w:rPr>
              <w:t>The AGSA observations/findings were considered and incorporated into the plans prior to tabling to Parliament on 18 March 2020.</w:t>
            </w:r>
          </w:p>
          <w:p w:rsidR="000B7CE4" w:rsidRPr="003D461C" w:rsidRDefault="000B7CE4" w:rsidP="000B7CE4">
            <w:pPr>
              <w:spacing w:before="120"/>
              <w:rPr>
                <w:rFonts w:ascii="Arial" w:hAnsi="Arial" w:cs="Arial"/>
                <w:sz w:val="24"/>
                <w:szCs w:val="24"/>
              </w:rPr>
            </w:pPr>
            <w:r w:rsidRPr="003D461C">
              <w:rPr>
                <w:rFonts w:ascii="Arial" w:hAnsi="Arial" w:cs="Arial"/>
                <w:sz w:val="24"/>
                <w:szCs w:val="24"/>
              </w:rPr>
              <w:t>Matter on SOPs relates to the current Annual Performance plan (2019/20) in which the AGSA indicated that some (four) SOPs were not submitted during the preliminary audit.</w:t>
            </w:r>
          </w:p>
          <w:p w:rsidR="000B7CE4" w:rsidRPr="003D461C" w:rsidRDefault="000B7CE4" w:rsidP="000B7CE4">
            <w:pPr>
              <w:spacing w:after="200" w:line="276" w:lineRule="auto"/>
              <w:rPr>
                <w:rFonts w:ascii="Arial" w:hAnsi="Arial" w:cs="Arial"/>
                <w:b/>
                <w:sz w:val="24"/>
                <w:szCs w:val="24"/>
              </w:rPr>
            </w:pPr>
            <w:r w:rsidRPr="003D461C">
              <w:rPr>
                <w:rFonts w:ascii="Arial" w:hAnsi="Arial" w:cs="Arial"/>
                <w:b/>
                <w:sz w:val="24"/>
                <w:szCs w:val="24"/>
              </w:rPr>
              <w:t xml:space="preserve">The affected indicators were: </w:t>
            </w:r>
          </w:p>
          <w:p w:rsidR="000B7CE4" w:rsidRPr="003D461C" w:rsidRDefault="000B7CE4" w:rsidP="000B7CE4">
            <w:pPr>
              <w:pStyle w:val="ListParagraph"/>
              <w:numPr>
                <w:ilvl w:val="0"/>
                <w:numId w:val="40"/>
              </w:numPr>
              <w:spacing w:after="200" w:line="276" w:lineRule="auto"/>
              <w:rPr>
                <w:rFonts w:ascii="Arial" w:hAnsi="Arial" w:cs="Arial"/>
                <w:sz w:val="24"/>
                <w:szCs w:val="24"/>
              </w:rPr>
            </w:pPr>
            <w:r w:rsidRPr="003D461C">
              <w:rPr>
                <w:rFonts w:ascii="Arial" w:hAnsi="Arial" w:cs="Arial"/>
                <w:sz w:val="24"/>
                <w:szCs w:val="24"/>
              </w:rPr>
              <w:t>Number of grants in payment including Grants –in-aid;</w:t>
            </w:r>
          </w:p>
          <w:p w:rsidR="000B7CE4" w:rsidRPr="003D461C" w:rsidRDefault="000B7CE4" w:rsidP="000B7CE4">
            <w:pPr>
              <w:pStyle w:val="ListParagraph"/>
              <w:numPr>
                <w:ilvl w:val="0"/>
                <w:numId w:val="40"/>
              </w:numPr>
              <w:spacing w:after="200" w:line="276" w:lineRule="auto"/>
              <w:rPr>
                <w:rFonts w:ascii="Arial" w:hAnsi="Arial" w:cs="Arial"/>
                <w:sz w:val="24"/>
                <w:szCs w:val="24"/>
              </w:rPr>
            </w:pPr>
            <w:r w:rsidRPr="003D461C">
              <w:rPr>
                <w:rFonts w:ascii="Arial" w:hAnsi="Arial" w:cs="Arial"/>
                <w:sz w:val="24"/>
                <w:szCs w:val="24"/>
              </w:rPr>
              <w:t>Biometric enrolment of beneficiaries implemented by SASSA;</w:t>
            </w:r>
          </w:p>
          <w:p w:rsidR="000B7CE4" w:rsidRPr="003D461C" w:rsidRDefault="000B7CE4" w:rsidP="000B7CE4">
            <w:pPr>
              <w:pStyle w:val="ListParagraph"/>
              <w:numPr>
                <w:ilvl w:val="0"/>
                <w:numId w:val="40"/>
              </w:numPr>
              <w:spacing w:after="200" w:line="276" w:lineRule="auto"/>
              <w:rPr>
                <w:rFonts w:ascii="Arial" w:hAnsi="Arial" w:cs="Arial"/>
                <w:b/>
                <w:sz w:val="24"/>
                <w:szCs w:val="24"/>
              </w:rPr>
            </w:pPr>
            <w:r w:rsidRPr="003D461C">
              <w:rPr>
                <w:rFonts w:ascii="Arial" w:hAnsi="Arial" w:cs="Arial"/>
                <w:sz w:val="24"/>
                <w:szCs w:val="24"/>
              </w:rPr>
              <w:t>Percentage of total SRD rand value (R410 million) awarded through cooperatives and SMMEs;</w:t>
            </w:r>
          </w:p>
          <w:p w:rsidR="000B7CE4" w:rsidRPr="003D461C" w:rsidRDefault="000B7CE4" w:rsidP="000B7CE4">
            <w:pPr>
              <w:pStyle w:val="ListParagraph"/>
              <w:numPr>
                <w:ilvl w:val="0"/>
                <w:numId w:val="40"/>
              </w:numPr>
              <w:spacing w:after="200" w:line="276" w:lineRule="auto"/>
              <w:rPr>
                <w:rFonts w:ascii="Arial" w:hAnsi="Arial" w:cs="Arial"/>
                <w:b/>
                <w:sz w:val="24"/>
                <w:szCs w:val="24"/>
              </w:rPr>
            </w:pPr>
            <w:r w:rsidRPr="003D461C">
              <w:rPr>
                <w:rFonts w:ascii="Arial" w:hAnsi="Arial" w:cs="Arial"/>
                <w:sz w:val="24"/>
                <w:szCs w:val="24"/>
              </w:rPr>
              <w:t>No. of applications for children aged 0-1 processed.</w:t>
            </w:r>
          </w:p>
          <w:p w:rsidR="000B7CE4" w:rsidRPr="003D461C" w:rsidRDefault="000B7CE4" w:rsidP="000B7CE4">
            <w:pPr>
              <w:spacing w:after="200" w:line="276" w:lineRule="auto"/>
              <w:rPr>
                <w:rFonts w:ascii="Arial" w:hAnsi="Arial" w:cs="Arial"/>
                <w:sz w:val="24"/>
                <w:szCs w:val="24"/>
              </w:rPr>
            </w:pPr>
            <w:r w:rsidRPr="003D461C">
              <w:rPr>
                <w:rFonts w:ascii="Arial" w:hAnsi="Arial" w:cs="Arial"/>
                <w:sz w:val="24"/>
                <w:szCs w:val="24"/>
              </w:rPr>
              <w:t xml:space="preserve">SOPs for these indicators were submitted to the AGSA except for the % of SRD rand value awarded through cooperatives.  This indicator’s SOP is part of the general SRD indicator that chases the number of applications awarded by SASSA.   </w:t>
            </w:r>
          </w:p>
          <w:p w:rsidR="000B7CE4" w:rsidRPr="003D461C" w:rsidRDefault="000B7CE4" w:rsidP="007E319B">
            <w:pPr>
              <w:spacing w:before="120"/>
              <w:rPr>
                <w:rFonts w:ascii="Arial" w:hAnsi="Arial" w:cs="Arial"/>
                <w:b/>
                <w:sz w:val="24"/>
                <w:szCs w:val="24"/>
              </w:rPr>
            </w:pPr>
          </w:p>
          <w:p w:rsidR="001A7237" w:rsidRPr="003D461C" w:rsidRDefault="001A7237" w:rsidP="007E319B">
            <w:pPr>
              <w:spacing w:before="120"/>
              <w:jc w:val="center"/>
              <w:rPr>
                <w:rFonts w:ascii="Arial" w:hAnsi="Arial" w:cs="Arial"/>
                <w:b/>
                <w:sz w:val="24"/>
                <w:szCs w:val="24"/>
              </w:rPr>
            </w:pPr>
          </w:p>
          <w:p w:rsidR="001A7237" w:rsidRPr="003D461C" w:rsidRDefault="001A7237" w:rsidP="007E319B">
            <w:pPr>
              <w:spacing w:before="120"/>
              <w:jc w:val="center"/>
              <w:rPr>
                <w:rFonts w:ascii="Arial" w:hAnsi="Arial" w:cs="Arial"/>
                <w:b/>
                <w:sz w:val="24"/>
                <w:szCs w:val="24"/>
              </w:rPr>
            </w:pPr>
          </w:p>
        </w:tc>
        <w:tc>
          <w:tcPr>
            <w:tcW w:w="1643" w:type="dxa"/>
            <w:shd w:val="clear" w:color="auto" w:fill="auto"/>
          </w:tcPr>
          <w:p w:rsidR="001A7237" w:rsidRPr="009B5107" w:rsidRDefault="008E1C75" w:rsidP="007E319B">
            <w:pPr>
              <w:spacing w:before="120"/>
              <w:rPr>
                <w:rFonts w:ascii="Arial" w:hAnsi="Arial" w:cs="Arial"/>
                <w:sz w:val="24"/>
                <w:szCs w:val="24"/>
              </w:rPr>
            </w:pPr>
            <w:r>
              <w:rPr>
                <w:rFonts w:ascii="Arial" w:hAnsi="Arial" w:cs="Arial"/>
                <w:sz w:val="24"/>
                <w:szCs w:val="24"/>
              </w:rPr>
              <w:t>16</w:t>
            </w:r>
            <w:r w:rsidR="001A7237" w:rsidRPr="009B5107">
              <w:rPr>
                <w:rFonts w:ascii="Arial" w:hAnsi="Arial" w:cs="Arial"/>
                <w:sz w:val="24"/>
                <w:szCs w:val="24"/>
              </w:rPr>
              <w:t xml:space="preserve"> March 2020</w:t>
            </w:r>
          </w:p>
        </w:tc>
        <w:tc>
          <w:tcPr>
            <w:tcW w:w="3945" w:type="dxa"/>
            <w:shd w:val="clear" w:color="auto" w:fill="auto"/>
          </w:tcPr>
          <w:p w:rsidR="001A7237" w:rsidRPr="009B5107" w:rsidRDefault="009B5107" w:rsidP="000B7CE4">
            <w:pPr>
              <w:spacing w:before="120"/>
              <w:rPr>
                <w:rFonts w:ascii="Arial" w:hAnsi="Arial" w:cs="Arial"/>
                <w:b/>
                <w:sz w:val="24"/>
                <w:szCs w:val="24"/>
              </w:rPr>
            </w:pPr>
            <w:r w:rsidRPr="000B7CE4">
              <w:rPr>
                <w:rFonts w:ascii="Arial" w:hAnsi="Arial" w:cs="Arial"/>
                <w:szCs w:val="24"/>
              </w:rPr>
              <w:t>B</w:t>
            </w:r>
            <w:r w:rsidR="00384AC6">
              <w:rPr>
                <w:rFonts w:ascii="Arial" w:hAnsi="Arial" w:cs="Arial"/>
                <w:szCs w:val="24"/>
              </w:rPr>
              <w:t xml:space="preserve">oth the matters were </w:t>
            </w:r>
            <w:r w:rsidRPr="000B7CE4">
              <w:rPr>
                <w:rFonts w:ascii="Arial" w:hAnsi="Arial" w:cs="Arial"/>
                <w:szCs w:val="24"/>
              </w:rPr>
              <w:t xml:space="preserve">clarified </w:t>
            </w:r>
            <w:r w:rsidR="00384AC6">
              <w:rPr>
                <w:rFonts w:ascii="Arial" w:hAnsi="Arial" w:cs="Arial"/>
                <w:szCs w:val="24"/>
              </w:rPr>
              <w:t xml:space="preserve">and </w:t>
            </w:r>
            <w:r w:rsidR="000B7CE4">
              <w:rPr>
                <w:rFonts w:ascii="Arial" w:hAnsi="Arial" w:cs="Arial"/>
                <w:szCs w:val="24"/>
              </w:rPr>
              <w:t xml:space="preserve">to AGSA at the </w:t>
            </w:r>
            <w:r w:rsidRPr="000B7CE4">
              <w:rPr>
                <w:rFonts w:ascii="Arial" w:hAnsi="Arial" w:cs="Arial"/>
                <w:szCs w:val="24"/>
              </w:rPr>
              <w:t xml:space="preserve">Audit Steering Committee meeting </w:t>
            </w:r>
            <w:r w:rsidR="000B7CE4">
              <w:rPr>
                <w:rFonts w:ascii="Arial" w:hAnsi="Arial" w:cs="Arial"/>
                <w:szCs w:val="24"/>
              </w:rPr>
              <w:t>held on the</w:t>
            </w:r>
            <w:r w:rsidRPr="000B7CE4">
              <w:rPr>
                <w:rFonts w:ascii="Arial" w:hAnsi="Arial" w:cs="Arial"/>
                <w:szCs w:val="24"/>
              </w:rPr>
              <w:t xml:space="preserve"> </w:t>
            </w:r>
            <w:r w:rsidR="000B7CE4" w:rsidRPr="000B7CE4">
              <w:rPr>
                <w:rFonts w:ascii="Arial" w:hAnsi="Arial" w:cs="Arial"/>
                <w:szCs w:val="24"/>
              </w:rPr>
              <w:t>16</w:t>
            </w:r>
            <w:r w:rsidR="000B7CE4" w:rsidRPr="000B7CE4">
              <w:rPr>
                <w:rFonts w:ascii="Arial" w:hAnsi="Arial" w:cs="Arial"/>
                <w:szCs w:val="24"/>
                <w:vertAlign w:val="superscript"/>
              </w:rPr>
              <w:t>th</w:t>
            </w:r>
            <w:r w:rsidR="000B7CE4">
              <w:rPr>
                <w:rFonts w:ascii="Arial" w:hAnsi="Arial" w:cs="Arial"/>
                <w:szCs w:val="24"/>
              </w:rPr>
              <w:t xml:space="preserve"> </w:t>
            </w:r>
            <w:r w:rsidR="000B7CE4" w:rsidRPr="000B7CE4">
              <w:rPr>
                <w:rFonts w:ascii="Arial" w:hAnsi="Arial" w:cs="Arial"/>
                <w:szCs w:val="24"/>
              </w:rPr>
              <w:t>March</w:t>
            </w:r>
            <w:r w:rsidR="00384AC6">
              <w:rPr>
                <w:rFonts w:ascii="Arial" w:hAnsi="Arial" w:cs="Arial"/>
                <w:szCs w:val="24"/>
              </w:rPr>
              <w:t xml:space="preserve"> 2020 and therefore resolved.</w:t>
            </w:r>
          </w:p>
        </w:tc>
        <w:tc>
          <w:tcPr>
            <w:tcW w:w="1786" w:type="dxa"/>
          </w:tcPr>
          <w:p w:rsidR="001A7237" w:rsidRPr="009B5107" w:rsidRDefault="001A7237" w:rsidP="007E319B">
            <w:pPr>
              <w:spacing w:before="120"/>
              <w:rPr>
                <w:rFonts w:ascii="Arial" w:hAnsi="Arial" w:cs="Arial"/>
                <w:sz w:val="24"/>
                <w:szCs w:val="24"/>
              </w:rPr>
            </w:pPr>
            <w:r w:rsidRPr="009B5107">
              <w:rPr>
                <w:rFonts w:ascii="Arial" w:hAnsi="Arial" w:cs="Arial"/>
                <w:sz w:val="24"/>
                <w:szCs w:val="24"/>
              </w:rPr>
              <w:t>Ms Raphaahle Ramokgopa</w:t>
            </w:r>
          </w:p>
          <w:p w:rsidR="001A7237" w:rsidRPr="009B5107" w:rsidRDefault="001A7237" w:rsidP="007E319B">
            <w:pPr>
              <w:spacing w:before="120"/>
              <w:rPr>
                <w:rFonts w:ascii="Arial" w:hAnsi="Arial" w:cs="Arial"/>
                <w:b/>
                <w:sz w:val="24"/>
                <w:szCs w:val="24"/>
              </w:rPr>
            </w:pPr>
            <w:r w:rsidRPr="009B5107">
              <w:rPr>
                <w:rFonts w:ascii="Arial" w:hAnsi="Arial" w:cs="Arial"/>
                <w:sz w:val="24"/>
                <w:szCs w:val="24"/>
              </w:rPr>
              <w:t>(EM: Strategy and Business Development)</w:t>
            </w:r>
          </w:p>
        </w:tc>
      </w:tr>
    </w:tbl>
    <w:p w:rsidR="001A7237" w:rsidRPr="00CC2003" w:rsidRDefault="001A7237" w:rsidP="001A7237">
      <w:pPr>
        <w:rPr>
          <w:rFonts w:ascii="Arial" w:hAnsi="Arial" w:cs="Arial"/>
          <w:sz w:val="24"/>
          <w:szCs w:val="24"/>
        </w:rPr>
      </w:pPr>
    </w:p>
    <w:p w:rsidR="001A7237" w:rsidRPr="00CC2003" w:rsidRDefault="001A7237" w:rsidP="001A7237">
      <w:pPr>
        <w:rPr>
          <w:rFonts w:ascii="Arial" w:hAnsi="Arial" w:cs="Arial"/>
          <w:sz w:val="24"/>
          <w:szCs w:val="24"/>
        </w:rPr>
      </w:pPr>
    </w:p>
    <w:p w:rsidR="00A06EE3" w:rsidRPr="00952E03" w:rsidRDefault="00A06EE3" w:rsidP="00A06EE3">
      <w:pPr>
        <w:pStyle w:val="Heading1"/>
        <w:ind w:left="576" w:hanging="576"/>
        <w:rPr>
          <w:rFonts w:ascii="Arial" w:hAnsi="Arial" w:cs="Arial"/>
        </w:rPr>
      </w:pPr>
      <w:bookmarkStart w:id="5" w:name="_Toc37343863"/>
      <w:r w:rsidRPr="00952E03">
        <w:rPr>
          <w:rFonts w:ascii="Arial" w:hAnsi="Arial" w:cs="Arial"/>
        </w:rPr>
        <w:t>Procurement and contract Management</w:t>
      </w:r>
      <w:bookmarkEnd w:id="5"/>
    </w:p>
    <w:p w:rsidR="00A06EE3" w:rsidRPr="00CC2003" w:rsidRDefault="00A06EE3" w:rsidP="00A06EE3">
      <w:pPr>
        <w:rPr>
          <w:rFonts w:ascii="Arial" w:hAnsi="Arial" w:cs="Arial"/>
          <w:sz w:val="24"/>
          <w:szCs w:val="24"/>
        </w:rPr>
      </w:pPr>
    </w:p>
    <w:tbl>
      <w:tblPr>
        <w:tblStyle w:val="TableGrid"/>
        <w:tblW w:w="15539" w:type="dxa"/>
        <w:tblInd w:w="-702" w:type="dxa"/>
        <w:tblLook w:val="04A0" w:firstRow="1" w:lastRow="0" w:firstColumn="1" w:lastColumn="0" w:noHBand="0" w:noVBand="1"/>
      </w:tblPr>
      <w:tblGrid>
        <w:gridCol w:w="4747"/>
        <w:gridCol w:w="3420"/>
        <w:gridCol w:w="1643"/>
        <w:gridCol w:w="3937"/>
        <w:gridCol w:w="1792"/>
      </w:tblGrid>
      <w:tr w:rsidR="00A06EE3" w:rsidRPr="00CC2003" w:rsidTr="0034203D">
        <w:tc>
          <w:tcPr>
            <w:tcW w:w="4747" w:type="dxa"/>
            <w:shd w:val="clear" w:color="auto" w:fill="DEEAF6" w:themeFill="accent1" w:themeFillTint="33"/>
          </w:tcPr>
          <w:p w:rsidR="00A06EE3" w:rsidRPr="00CC2003" w:rsidRDefault="00A06EE3" w:rsidP="007E319B">
            <w:pPr>
              <w:spacing w:before="120"/>
              <w:jc w:val="center"/>
              <w:rPr>
                <w:rFonts w:ascii="Arial" w:hAnsi="Arial" w:cs="Arial"/>
                <w:b/>
                <w:sz w:val="24"/>
                <w:szCs w:val="24"/>
              </w:rPr>
            </w:pPr>
            <w:r w:rsidRPr="00CC2003">
              <w:rPr>
                <w:rFonts w:ascii="Arial" w:hAnsi="Arial" w:cs="Arial"/>
                <w:b/>
                <w:sz w:val="24"/>
                <w:szCs w:val="24"/>
              </w:rPr>
              <w:t>AGSA Review to Portfolio Committee</w:t>
            </w:r>
          </w:p>
        </w:tc>
        <w:tc>
          <w:tcPr>
            <w:tcW w:w="3420" w:type="dxa"/>
            <w:shd w:val="clear" w:color="auto" w:fill="DEEAF6" w:themeFill="accent1" w:themeFillTint="33"/>
          </w:tcPr>
          <w:p w:rsidR="00A06EE3" w:rsidRPr="00CC2003" w:rsidRDefault="00A06EE3" w:rsidP="007E319B">
            <w:pPr>
              <w:spacing w:before="120"/>
              <w:jc w:val="center"/>
              <w:rPr>
                <w:rFonts w:ascii="Arial" w:hAnsi="Arial" w:cs="Arial"/>
                <w:b/>
                <w:sz w:val="24"/>
                <w:szCs w:val="24"/>
              </w:rPr>
            </w:pPr>
            <w:r w:rsidRPr="00CC2003">
              <w:rPr>
                <w:rFonts w:ascii="Arial" w:hAnsi="Arial" w:cs="Arial"/>
                <w:b/>
                <w:sz w:val="24"/>
                <w:szCs w:val="24"/>
              </w:rPr>
              <w:t>Commitments</w:t>
            </w:r>
          </w:p>
        </w:tc>
        <w:tc>
          <w:tcPr>
            <w:tcW w:w="1643" w:type="dxa"/>
            <w:shd w:val="clear" w:color="auto" w:fill="DEEAF6" w:themeFill="accent1" w:themeFillTint="33"/>
          </w:tcPr>
          <w:p w:rsidR="00A06EE3" w:rsidRPr="00CC2003" w:rsidRDefault="00A06EE3" w:rsidP="007E319B">
            <w:pPr>
              <w:spacing w:before="120"/>
              <w:jc w:val="center"/>
              <w:rPr>
                <w:rFonts w:ascii="Arial" w:hAnsi="Arial" w:cs="Arial"/>
                <w:b/>
                <w:sz w:val="24"/>
                <w:szCs w:val="24"/>
              </w:rPr>
            </w:pPr>
            <w:r w:rsidRPr="00CC2003">
              <w:rPr>
                <w:rFonts w:ascii="Arial" w:hAnsi="Arial" w:cs="Arial"/>
                <w:b/>
                <w:sz w:val="24"/>
                <w:szCs w:val="24"/>
              </w:rPr>
              <w:t>Date of commitment</w:t>
            </w:r>
          </w:p>
        </w:tc>
        <w:tc>
          <w:tcPr>
            <w:tcW w:w="3937" w:type="dxa"/>
            <w:shd w:val="clear" w:color="auto" w:fill="DEEAF6" w:themeFill="accent1" w:themeFillTint="33"/>
          </w:tcPr>
          <w:p w:rsidR="00A06EE3" w:rsidRPr="00CC2003" w:rsidRDefault="00A06EE3" w:rsidP="007E319B">
            <w:pPr>
              <w:spacing w:before="120"/>
              <w:jc w:val="center"/>
              <w:rPr>
                <w:rFonts w:ascii="Arial" w:hAnsi="Arial" w:cs="Arial"/>
                <w:b/>
                <w:sz w:val="24"/>
                <w:szCs w:val="24"/>
              </w:rPr>
            </w:pPr>
            <w:r w:rsidRPr="00CC2003">
              <w:rPr>
                <w:rFonts w:ascii="Arial" w:hAnsi="Arial" w:cs="Arial"/>
                <w:b/>
                <w:sz w:val="24"/>
                <w:szCs w:val="24"/>
              </w:rPr>
              <w:t>Status</w:t>
            </w:r>
          </w:p>
          <w:p w:rsidR="00A06EE3" w:rsidRPr="00CC2003" w:rsidRDefault="00A06EE3" w:rsidP="007E319B">
            <w:pPr>
              <w:spacing w:before="120"/>
              <w:jc w:val="center"/>
              <w:rPr>
                <w:rFonts w:ascii="Arial" w:hAnsi="Arial" w:cs="Arial"/>
                <w:b/>
                <w:sz w:val="24"/>
                <w:szCs w:val="24"/>
              </w:rPr>
            </w:pPr>
          </w:p>
        </w:tc>
        <w:tc>
          <w:tcPr>
            <w:tcW w:w="1792" w:type="dxa"/>
            <w:shd w:val="clear" w:color="auto" w:fill="DEEAF6" w:themeFill="accent1" w:themeFillTint="33"/>
          </w:tcPr>
          <w:p w:rsidR="00A06EE3" w:rsidRPr="00CC2003" w:rsidRDefault="00A06EE3" w:rsidP="007E319B">
            <w:pPr>
              <w:spacing w:before="120"/>
              <w:jc w:val="center"/>
              <w:rPr>
                <w:rFonts w:ascii="Arial" w:hAnsi="Arial" w:cs="Arial"/>
                <w:b/>
                <w:sz w:val="24"/>
                <w:szCs w:val="24"/>
              </w:rPr>
            </w:pPr>
            <w:r w:rsidRPr="00CC2003">
              <w:rPr>
                <w:rFonts w:ascii="Arial" w:hAnsi="Arial" w:cs="Arial"/>
                <w:b/>
                <w:sz w:val="24"/>
                <w:szCs w:val="24"/>
              </w:rPr>
              <w:t>Responsible Person</w:t>
            </w:r>
          </w:p>
        </w:tc>
      </w:tr>
      <w:tr w:rsidR="00233259" w:rsidRPr="00CC2003" w:rsidTr="0034203D">
        <w:tc>
          <w:tcPr>
            <w:tcW w:w="4747" w:type="dxa"/>
            <w:shd w:val="clear" w:color="auto" w:fill="auto"/>
          </w:tcPr>
          <w:p w:rsidR="00233259" w:rsidRPr="00B522B4" w:rsidRDefault="00233259" w:rsidP="00233259">
            <w:pPr>
              <w:spacing w:before="120"/>
              <w:rPr>
                <w:rFonts w:ascii="Arial" w:hAnsi="Arial" w:cs="Arial"/>
                <w:b/>
                <w:sz w:val="24"/>
                <w:szCs w:val="24"/>
              </w:rPr>
            </w:pPr>
            <w:r w:rsidRPr="00B522B4">
              <w:rPr>
                <w:rFonts w:ascii="Arial" w:hAnsi="Arial" w:cs="Arial"/>
                <w:b/>
                <w:sz w:val="24"/>
                <w:szCs w:val="24"/>
              </w:rPr>
              <w:t>Paragraph 21 &amp; 22</w:t>
            </w:r>
          </w:p>
          <w:p w:rsidR="00233259" w:rsidRPr="00B522B4" w:rsidRDefault="00233259" w:rsidP="00233259">
            <w:pPr>
              <w:pStyle w:val="Default"/>
            </w:pPr>
            <w:r w:rsidRPr="00B522B4">
              <w:rPr>
                <w:b/>
              </w:rPr>
              <w:t xml:space="preserve">21: </w:t>
            </w:r>
            <w:r w:rsidRPr="00B522B4">
              <w:t xml:space="preserve">There is an indication that slow finalisation processes of lease accommodation procured through Public Works (68 Contracts) might result in irregular expenditure, as indications are that SASSA (Local, District or Regional office) will occupy the existing buildings after the expiry contracts due to SCM processes not being finalised in time. </w:t>
            </w:r>
          </w:p>
          <w:p w:rsidR="00233259" w:rsidRPr="00B522B4" w:rsidRDefault="00233259" w:rsidP="00233259">
            <w:pPr>
              <w:spacing w:before="120"/>
              <w:rPr>
                <w:rFonts w:ascii="Arial" w:hAnsi="Arial" w:cs="Arial"/>
                <w:b/>
                <w:sz w:val="24"/>
                <w:szCs w:val="24"/>
              </w:rPr>
            </w:pPr>
          </w:p>
        </w:tc>
        <w:tc>
          <w:tcPr>
            <w:tcW w:w="3420" w:type="dxa"/>
            <w:shd w:val="clear" w:color="auto" w:fill="auto"/>
          </w:tcPr>
          <w:p w:rsidR="001D2E40" w:rsidRDefault="001D2E40" w:rsidP="00233259">
            <w:pPr>
              <w:rPr>
                <w:rFonts w:ascii="Arial" w:hAnsi="Arial" w:cs="Arial"/>
                <w:sz w:val="24"/>
                <w:szCs w:val="24"/>
                <w:u w:val="single"/>
              </w:rPr>
            </w:pPr>
          </w:p>
          <w:p w:rsidR="00233259" w:rsidRPr="00B522B4" w:rsidRDefault="00233259" w:rsidP="00233259">
            <w:pPr>
              <w:rPr>
                <w:rFonts w:ascii="Arial" w:hAnsi="Arial" w:cs="Arial"/>
                <w:sz w:val="24"/>
                <w:szCs w:val="24"/>
                <w:u w:val="single"/>
              </w:rPr>
            </w:pPr>
            <w:r w:rsidRPr="00B522B4">
              <w:rPr>
                <w:rFonts w:ascii="Arial" w:hAnsi="Arial" w:cs="Arial"/>
                <w:sz w:val="24"/>
                <w:szCs w:val="24"/>
                <w:u w:val="single"/>
              </w:rPr>
              <w:t>Leases of office accommodation and pay points</w:t>
            </w:r>
          </w:p>
          <w:p w:rsidR="00233259" w:rsidRPr="00B522B4" w:rsidRDefault="00233259" w:rsidP="00233259">
            <w:pPr>
              <w:rPr>
                <w:rFonts w:ascii="Arial" w:hAnsi="Arial" w:cs="Arial"/>
                <w:sz w:val="24"/>
                <w:szCs w:val="24"/>
              </w:rPr>
            </w:pPr>
          </w:p>
          <w:p w:rsidR="00233259" w:rsidRPr="00B522B4" w:rsidRDefault="00233259" w:rsidP="00233259">
            <w:pPr>
              <w:numPr>
                <w:ilvl w:val="0"/>
                <w:numId w:val="31"/>
              </w:numPr>
              <w:tabs>
                <w:tab w:val="clear" w:pos="720"/>
                <w:tab w:val="num" w:pos="171"/>
              </w:tabs>
              <w:ind w:left="261" w:hanging="261"/>
              <w:rPr>
                <w:rFonts w:ascii="Arial" w:hAnsi="Arial" w:cs="Arial"/>
                <w:sz w:val="24"/>
                <w:szCs w:val="24"/>
              </w:rPr>
            </w:pPr>
            <w:r w:rsidRPr="00B522B4">
              <w:rPr>
                <w:rFonts w:ascii="Arial" w:hAnsi="Arial" w:cs="Arial"/>
                <w:sz w:val="24"/>
                <w:szCs w:val="24"/>
              </w:rPr>
              <w:t>Agreement reached with National Treasury for the Agency to submit all leases due to expire within 12 months for consideration of extension of the lease;</w:t>
            </w:r>
          </w:p>
          <w:p w:rsidR="00233259" w:rsidRPr="00B522B4" w:rsidRDefault="00233259" w:rsidP="00233259">
            <w:pPr>
              <w:numPr>
                <w:ilvl w:val="0"/>
                <w:numId w:val="31"/>
              </w:numPr>
              <w:tabs>
                <w:tab w:val="clear" w:pos="720"/>
                <w:tab w:val="num" w:pos="171"/>
              </w:tabs>
              <w:ind w:left="261" w:hanging="261"/>
              <w:rPr>
                <w:rFonts w:ascii="Arial" w:hAnsi="Arial" w:cs="Arial"/>
                <w:sz w:val="24"/>
                <w:szCs w:val="24"/>
              </w:rPr>
            </w:pPr>
            <w:r w:rsidRPr="00B522B4">
              <w:rPr>
                <w:rFonts w:ascii="Arial" w:hAnsi="Arial" w:cs="Arial"/>
                <w:sz w:val="24"/>
                <w:szCs w:val="24"/>
              </w:rPr>
              <w:t>Where a leases was previously extended, a new lease must signed with the landlord provided that:</w:t>
            </w:r>
          </w:p>
          <w:p w:rsidR="00233259" w:rsidRPr="00B522B4" w:rsidRDefault="00233259" w:rsidP="00233259">
            <w:pPr>
              <w:numPr>
                <w:ilvl w:val="1"/>
                <w:numId w:val="31"/>
              </w:numPr>
              <w:tabs>
                <w:tab w:val="num" w:pos="531"/>
              </w:tabs>
              <w:ind w:left="531" w:hanging="470"/>
              <w:rPr>
                <w:rFonts w:ascii="Arial" w:hAnsi="Arial" w:cs="Arial"/>
                <w:sz w:val="24"/>
                <w:szCs w:val="24"/>
              </w:rPr>
            </w:pPr>
            <w:r w:rsidRPr="00B522B4">
              <w:rPr>
                <w:rFonts w:ascii="Arial" w:hAnsi="Arial" w:cs="Arial"/>
                <w:sz w:val="24"/>
                <w:szCs w:val="24"/>
              </w:rPr>
              <w:t>The building still meets the Agency’s requirements;</w:t>
            </w:r>
          </w:p>
          <w:p w:rsidR="00233259" w:rsidRPr="00B522B4" w:rsidRDefault="00233259" w:rsidP="00233259">
            <w:pPr>
              <w:numPr>
                <w:ilvl w:val="1"/>
                <w:numId w:val="31"/>
              </w:numPr>
              <w:tabs>
                <w:tab w:val="num" w:pos="531"/>
              </w:tabs>
              <w:ind w:left="531" w:hanging="470"/>
              <w:rPr>
                <w:rFonts w:ascii="Arial" w:hAnsi="Arial" w:cs="Arial"/>
                <w:sz w:val="24"/>
                <w:szCs w:val="24"/>
              </w:rPr>
            </w:pPr>
            <w:r w:rsidRPr="00B522B4">
              <w:rPr>
                <w:rFonts w:ascii="Arial" w:hAnsi="Arial" w:cs="Arial"/>
                <w:sz w:val="24"/>
                <w:szCs w:val="24"/>
              </w:rPr>
              <w:t>The Agency has invested in the building (network connectivity, through infrastructure improvement);</w:t>
            </w:r>
          </w:p>
          <w:p w:rsidR="00233259" w:rsidRPr="00B522B4" w:rsidRDefault="00233259" w:rsidP="00233259">
            <w:pPr>
              <w:numPr>
                <w:ilvl w:val="1"/>
                <w:numId w:val="31"/>
              </w:numPr>
              <w:tabs>
                <w:tab w:val="num" w:pos="531"/>
              </w:tabs>
              <w:ind w:left="531" w:hanging="470"/>
              <w:rPr>
                <w:rFonts w:ascii="Arial" w:hAnsi="Arial" w:cs="Arial"/>
                <w:sz w:val="24"/>
                <w:szCs w:val="24"/>
              </w:rPr>
            </w:pPr>
            <w:r w:rsidRPr="00B522B4">
              <w:rPr>
                <w:rFonts w:ascii="Arial" w:hAnsi="Arial" w:cs="Arial"/>
                <w:sz w:val="24"/>
                <w:szCs w:val="24"/>
              </w:rPr>
              <w:t>Rate per square meter is market related;</w:t>
            </w:r>
          </w:p>
          <w:p w:rsidR="00233259" w:rsidRPr="00B522B4" w:rsidRDefault="00233259" w:rsidP="00233259">
            <w:pPr>
              <w:numPr>
                <w:ilvl w:val="1"/>
                <w:numId w:val="31"/>
              </w:numPr>
              <w:tabs>
                <w:tab w:val="num" w:pos="531"/>
              </w:tabs>
              <w:ind w:left="531" w:hanging="470"/>
              <w:rPr>
                <w:rFonts w:ascii="Arial" w:hAnsi="Arial" w:cs="Arial"/>
                <w:sz w:val="24"/>
                <w:szCs w:val="24"/>
              </w:rPr>
            </w:pPr>
            <w:r w:rsidRPr="00B522B4">
              <w:rPr>
                <w:rFonts w:ascii="Arial" w:hAnsi="Arial" w:cs="Arial"/>
                <w:sz w:val="24"/>
                <w:szCs w:val="24"/>
              </w:rPr>
              <w:t>Negotiate further reduction of the rate per square meter</w:t>
            </w:r>
          </w:p>
          <w:p w:rsidR="00233259" w:rsidRPr="00B522B4" w:rsidRDefault="00233259" w:rsidP="00233259">
            <w:pPr>
              <w:numPr>
                <w:ilvl w:val="0"/>
                <w:numId w:val="31"/>
              </w:numPr>
              <w:tabs>
                <w:tab w:val="clear" w:pos="720"/>
                <w:tab w:val="num" w:pos="171"/>
              </w:tabs>
              <w:ind w:left="261" w:hanging="270"/>
              <w:rPr>
                <w:rFonts w:ascii="Arial" w:hAnsi="Arial" w:cs="Arial"/>
                <w:sz w:val="24"/>
                <w:szCs w:val="24"/>
              </w:rPr>
            </w:pPr>
            <w:r w:rsidRPr="00B522B4">
              <w:rPr>
                <w:rFonts w:ascii="Arial" w:hAnsi="Arial" w:cs="Arial"/>
                <w:sz w:val="24"/>
                <w:szCs w:val="24"/>
              </w:rPr>
              <w:t>This is to minimize unnecessary movement of offices.</w:t>
            </w:r>
          </w:p>
        </w:tc>
        <w:tc>
          <w:tcPr>
            <w:tcW w:w="1643" w:type="dxa"/>
            <w:shd w:val="clear" w:color="auto" w:fill="auto"/>
          </w:tcPr>
          <w:p w:rsidR="001D2E40" w:rsidRDefault="001D2E40" w:rsidP="00233259">
            <w:pPr>
              <w:spacing w:before="120"/>
              <w:rPr>
                <w:rFonts w:ascii="Arial" w:hAnsi="Arial" w:cs="Arial"/>
                <w:sz w:val="24"/>
                <w:szCs w:val="24"/>
              </w:rPr>
            </w:pPr>
          </w:p>
          <w:p w:rsidR="00233259" w:rsidRPr="00B522B4" w:rsidRDefault="00233259" w:rsidP="00233259">
            <w:pPr>
              <w:spacing w:before="120"/>
              <w:rPr>
                <w:rFonts w:ascii="Arial" w:hAnsi="Arial" w:cs="Arial"/>
                <w:b/>
                <w:sz w:val="24"/>
                <w:szCs w:val="24"/>
              </w:rPr>
            </w:pPr>
            <w:r w:rsidRPr="00B522B4">
              <w:rPr>
                <w:rFonts w:ascii="Arial" w:hAnsi="Arial" w:cs="Arial"/>
                <w:sz w:val="24"/>
                <w:szCs w:val="24"/>
              </w:rPr>
              <w:t>Ongoing</w:t>
            </w:r>
          </w:p>
        </w:tc>
        <w:tc>
          <w:tcPr>
            <w:tcW w:w="3937" w:type="dxa"/>
            <w:shd w:val="clear" w:color="auto" w:fill="auto"/>
          </w:tcPr>
          <w:p w:rsidR="00233259" w:rsidRPr="00233259" w:rsidRDefault="00233259" w:rsidP="00233259">
            <w:pPr>
              <w:tabs>
                <w:tab w:val="num" w:pos="371"/>
              </w:tabs>
              <w:rPr>
                <w:rFonts w:ascii="Arial" w:hAnsi="Arial" w:cs="Arial"/>
                <w:sz w:val="24"/>
                <w:szCs w:val="24"/>
              </w:rPr>
            </w:pPr>
          </w:p>
          <w:p w:rsidR="00233259" w:rsidRPr="00233259" w:rsidRDefault="00233259" w:rsidP="00233259">
            <w:pPr>
              <w:tabs>
                <w:tab w:val="num" w:pos="371"/>
              </w:tabs>
              <w:rPr>
                <w:rFonts w:ascii="Arial" w:hAnsi="Arial" w:cs="Arial"/>
                <w:sz w:val="24"/>
                <w:szCs w:val="24"/>
              </w:rPr>
            </w:pPr>
            <w:r w:rsidRPr="00233259">
              <w:rPr>
                <w:rFonts w:ascii="Arial" w:hAnsi="Arial" w:cs="Arial"/>
                <w:sz w:val="24"/>
                <w:szCs w:val="24"/>
              </w:rPr>
              <w:t>In line with agreement with National Treasury, the following progress were made:-</w:t>
            </w:r>
          </w:p>
          <w:p w:rsidR="00233259" w:rsidRPr="00233259" w:rsidRDefault="00233259" w:rsidP="00233259">
            <w:pPr>
              <w:tabs>
                <w:tab w:val="num" w:pos="371"/>
              </w:tabs>
              <w:rPr>
                <w:rFonts w:ascii="Arial" w:hAnsi="Arial" w:cs="Arial"/>
                <w:sz w:val="24"/>
                <w:szCs w:val="24"/>
              </w:rPr>
            </w:pPr>
          </w:p>
          <w:p w:rsidR="00233259" w:rsidRPr="00233259" w:rsidRDefault="00233259" w:rsidP="00233259">
            <w:pPr>
              <w:tabs>
                <w:tab w:val="num" w:pos="371"/>
              </w:tabs>
              <w:rPr>
                <w:rFonts w:ascii="Arial" w:hAnsi="Arial" w:cs="Arial"/>
                <w:sz w:val="24"/>
                <w:szCs w:val="24"/>
              </w:rPr>
            </w:pPr>
            <w:r w:rsidRPr="00233259">
              <w:rPr>
                <w:rFonts w:ascii="Arial" w:hAnsi="Arial" w:cs="Arial"/>
                <w:sz w:val="24"/>
                <w:szCs w:val="24"/>
              </w:rPr>
              <w:t>•35 Applications were approved;</w:t>
            </w:r>
          </w:p>
          <w:p w:rsidR="00233259" w:rsidRPr="00233259" w:rsidRDefault="00233259" w:rsidP="00233259">
            <w:pPr>
              <w:tabs>
                <w:tab w:val="num" w:pos="371"/>
              </w:tabs>
              <w:rPr>
                <w:rFonts w:ascii="Arial" w:hAnsi="Arial" w:cs="Arial"/>
                <w:sz w:val="24"/>
                <w:szCs w:val="24"/>
              </w:rPr>
            </w:pPr>
          </w:p>
          <w:p w:rsidR="00233259" w:rsidRPr="00233259" w:rsidRDefault="00233259" w:rsidP="00233259">
            <w:pPr>
              <w:tabs>
                <w:tab w:val="num" w:pos="371"/>
              </w:tabs>
              <w:rPr>
                <w:rFonts w:ascii="Arial" w:hAnsi="Arial" w:cs="Arial"/>
                <w:sz w:val="24"/>
                <w:szCs w:val="24"/>
              </w:rPr>
            </w:pPr>
            <w:r w:rsidRPr="00233259">
              <w:rPr>
                <w:rFonts w:ascii="Arial" w:hAnsi="Arial" w:cs="Arial"/>
                <w:sz w:val="24"/>
                <w:szCs w:val="24"/>
              </w:rPr>
              <w:t>•8 Applications were not considered;</w:t>
            </w:r>
          </w:p>
          <w:p w:rsidR="00233259" w:rsidRPr="00233259" w:rsidRDefault="00233259" w:rsidP="00233259">
            <w:pPr>
              <w:tabs>
                <w:tab w:val="num" w:pos="371"/>
              </w:tabs>
              <w:rPr>
                <w:rFonts w:ascii="Arial" w:hAnsi="Arial" w:cs="Arial"/>
                <w:sz w:val="24"/>
                <w:szCs w:val="24"/>
              </w:rPr>
            </w:pPr>
          </w:p>
          <w:p w:rsidR="00233259" w:rsidRPr="00233259" w:rsidRDefault="00233259" w:rsidP="00233259">
            <w:pPr>
              <w:spacing w:before="120"/>
              <w:rPr>
                <w:rFonts w:ascii="Arial" w:hAnsi="Arial" w:cs="Arial"/>
                <w:b/>
                <w:sz w:val="24"/>
                <w:szCs w:val="24"/>
              </w:rPr>
            </w:pPr>
            <w:r w:rsidRPr="00233259">
              <w:rPr>
                <w:rFonts w:ascii="Arial" w:hAnsi="Arial" w:cs="Arial"/>
                <w:sz w:val="24"/>
                <w:szCs w:val="24"/>
              </w:rPr>
              <w:t>•8 Applications are still under review</w:t>
            </w:r>
            <w:r w:rsidRPr="00233259">
              <w:rPr>
                <w:rFonts w:ascii="Arial" w:hAnsi="Arial" w:cs="Arial"/>
                <w:b/>
                <w:sz w:val="24"/>
                <w:szCs w:val="24"/>
              </w:rPr>
              <w:t xml:space="preserve"> </w:t>
            </w:r>
          </w:p>
        </w:tc>
        <w:tc>
          <w:tcPr>
            <w:tcW w:w="1792" w:type="dxa"/>
            <w:shd w:val="clear" w:color="auto" w:fill="FFFFFF" w:themeFill="background1"/>
          </w:tcPr>
          <w:p w:rsidR="00233259" w:rsidRPr="00233259" w:rsidRDefault="00233259" w:rsidP="00233259">
            <w:pPr>
              <w:rPr>
                <w:rFonts w:ascii="Arial" w:hAnsi="Arial" w:cs="Arial"/>
                <w:sz w:val="24"/>
                <w:szCs w:val="24"/>
              </w:rPr>
            </w:pPr>
          </w:p>
          <w:p w:rsidR="00233259" w:rsidRPr="00233259" w:rsidRDefault="00233259" w:rsidP="00233259">
            <w:pPr>
              <w:rPr>
                <w:rFonts w:ascii="Arial" w:hAnsi="Arial" w:cs="Arial"/>
                <w:sz w:val="24"/>
                <w:szCs w:val="24"/>
              </w:rPr>
            </w:pPr>
            <w:r w:rsidRPr="00233259">
              <w:rPr>
                <w:rFonts w:ascii="Arial" w:hAnsi="Arial" w:cs="Arial"/>
                <w:sz w:val="24"/>
                <w:szCs w:val="24"/>
              </w:rPr>
              <w:t>Mr Gerson Masakona (General Manager-Auxiliary Services and Facilities Management)</w:t>
            </w:r>
          </w:p>
          <w:p w:rsidR="00233259" w:rsidRPr="00233259" w:rsidRDefault="00233259" w:rsidP="00233259">
            <w:pPr>
              <w:rPr>
                <w:rFonts w:ascii="Arial" w:hAnsi="Arial" w:cs="Arial"/>
                <w:sz w:val="24"/>
                <w:szCs w:val="24"/>
              </w:rPr>
            </w:pPr>
          </w:p>
          <w:p w:rsidR="00233259" w:rsidRPr="00233259" w:rsidRDefault="00233259" w:rsidP="00233259">
            <w:pPr>
              <w:rPr>
                <w:rFonts w:ascii="Arial" w:hAnsi="Arial" w:cs="Arial"/>
                <w:sz w:val="24"/>
                <w:szCs w:val="24"/>
              </w:rPr>
            </w:pPr>
            <w:r w:rsidRPr="00233259">
              <w:rPr>
                <w:rFonts w:ascii="Arial" w:hAnsi="Arial" w:cs="Arial"/>
                <w:sz w:val="24"/>
                <w:szCs w:val="24"/>
              </w:rPr>
              <w:t>Ms Thandi Sibanyoni (Acting Executive Manager- Corporate Services)</w:t>
            </w:r>
          </w:p>
          <w:p w:rsidR="00233259" w:rsidRPr="00233259" w:rsidRDefault="00233259" w:rsidP="00233259">
            <w:pPr>
              <w:tabs>
                <w:tab w:val="num" w:pos="371"/>
              </w:tabs>
              <w:rPr>
                <w:rFonts w:ascii="Arial" w:hAnsi="Arial" w:cs="Arial"/>
                <w:sz w:val="24"/>
                <w:szCs w:val="24"/>
              </w:rPr>
            </w:pPr>
          </w:p>
        </w:tc>
      </w:tr>
      <w:tr w:rsidR="00233259" w:rsidRPr="00CC2003" w:rsidTr="0034203D">
        <w:tc>
          <w:tcPr>
            <w:tcW w:w="4747" w:type="dxa"/>
          </w:tcPr>
          <w:p w:rsidR="00233259" w:rsidRPr="003177A0" w:rsidRDefault="00233259" w:rsidP="00233259">
            <w:pPr>
              <w:pStyle w:val="Default"/>
            </w:pPr>
            <w:r w:rsidRPr="003177A0">
              <w:rPr>
                <w:b/>
              </w:rPr>
              <w:t xml:space="preserve">22: </w:t>
            </w:r>
            <w:r w:rsidRPr="003177A0">
              <w:t xml:space="preserve">Contracts were not always awarded through normal tender processes as in quarter one, 2 contracts were awarded through a deviation and another through a variation/extension of contract and in quarter two, 4 deviations were awarded through a deviation and 1 contract was extended through a variation. There were 16 deviations for the period to the value of R723 million. All deviations above R1m were reported to AGSA and Treasury and 3 deviations to the value of R3.5 million were not supported by Treasury and were included in the irregular register </w:t>
            </w:r>
          </w:p>
          <w:p w:rsidR="00233259" w:rsidRPr="003177A0" w:rsidRDefault="00233259" w:rsidP="00233259">
            <w:pPr>
              <w:spacing w:before="120"/>
              <w:rPr>
                <w:rFonts w:ascii="Arial" w:hAnsi="Arial" w:cs="Arial"/>
                <w:b/>
                <w:sz w:val="24"/>
                <w:szCs w:val="24"/>
              </w:rPr>
            </w:pPr>
          </w:p>
        </w:tc>
        <w:tc>
          <w:tcPr>
            <w:tcW w:w="3420" w:type="dxa"/>
            <w:shd w:val="clear" w:color="auto" w:fill="auto"/>
          </w:tcPr>
          <w:p w:rsidR="00233259" w:rsidRPr="003177A0" w:rsidRDefault="00233259" w:rsidP="00233259">
            <w:pPr>
              <w:rPr>
                <w:rFonts w:ascii="Arial" w:hAnsi="Arial" w:cs="Arial"/>
                <w:sz w:val="24"/>
                <w:szCs w:val="24"/>
              </w:rPr>
            </w:pPr>
            <w:r w:rsidRPr="003177A0">
              <w:rPr>
                <w:rFonts w:ascii="Arial" w:hAnsi="Arial" w:cs="Arial"/>
                <w:sz w:val="24"/>
                <w:szCs w:val="24"/>
              </w:rPr>
              <w:t xml:space="preserve">SASSA is continuously addressing the challenges it faced relating the progress on procurement of office accommodation by the National Department of Public Works </w:t>
            </w:r>
          </w:p>
          <w:p w:rsidR="00233259" w:rsidRPr="003177A0" w:rsidRDefault="00233259" w:rsidP="00233259">
            <w:pPr>
              <w:rPr>
                <w:rFonts w:ascii="Arial" w:hAnsi="Arial" w:cs="Arial"/>
                <w:sz w:val="24"/>
                <w:szCs w:val="24"/>
              </w:rPr>
            </w:pPr>
          </w:p>
          <w:p w:rsidR="00233259" w:rsidRPr="003177A0" w:rsidRDefault="00233259" w:rsidP="00233259">
            <w:pPr>
              <w:rPr>
                <w:rFonts w:ascii="Arial" w:hAnsi="Arial" w:cs="Arial"/>
                <w:sz w:val="24"/>
                <w:szCs w:val="24"/>
              </w:rPr>
            </w:pPr>
            <w:r w:rsidRPr="003177A0">
              <w:rPr>
                <w:rFonts w:ascii="Arial" w:hAnsi="Arial" w:cs="Arial"/>
                <w:sz w:val="24"/>
                <w:szCs w:val="24"/>
              </w:rPr>
              <w:t>SASSA to review Immovable Property Management Policy to allow it to procure office accommodation directly from the private landlords.</w:t>
            </w:r>
          </w:p>
          <w:p w:rsidR="00233259" w:rsidRPr="003177A0" w:rsidRDefault="00233259" w:rsidP="00233259">
            <w:pPr>
              <w:rPr>
                <w:rFonts w:ascii="Arial" w:hAnsi="Arial" w:cs="Arial"/>
                <w:sz w:val="24"/>
                <w:szCs w:val="24"/>
              </w:rPr>
            </w:pPr>
          </w:p>
          <w:p w:rsidR="00233259" w:rsidRPr="003177A0" w:rsidRDefault="00233259" w:rsidP="00233259">
            <w:pPr>
              <w:rPr>
                <w:rFonts w:ascii="Arial" w:hAnsi="Arial" w:cs="Arial"/>
                <w:sz w:val="24"/>
                <w:szCs w:val="24"/>
              </w:rPr>
            </w:pPr>
            <w:r w:rsidRPr="003177A0">
              <w:rPr>
                <w:rFonts w:ascii="Arial" w:hAnsi="Arial" w:cs="Arial"/>
                <w:sz w:val="24"/>
                <w:szCs w:val="24"/>
              </w:rPr>
              <w:t>Engage National Treasury to consider and approve requests in terms of paragraph 8.5 &amp; 9.2 of the SCM Instruction Note 3 of 2016/17</w:t>
            </w:r>
          </w:p>
          <w:p w:rsidR="00233259" w:rsidRPr="003177A0" w:rsidRDefault="00233259" w:rsidP="00233259">
            <w:pPr>
              <w:spacing w:before="120"/>
              <w:rPr>
                <w:rFonts w:ascii="Arial" w:hAnsi="Arial" w:cs="Arial"/>
                <w:b/>
                <w:sz w:val="24"/>
                <w:szCs w:val="24"/>
              </w:rPr>
            </w:pPr>
          </w:p>
        </w:tc>
        <w:tc>
          <w:tcPr>
            <w:tcW w:w="1643" w:type="dxa"/>
            <w:shd w:val="clear" w:color="auto" w:fill="auto"/>
          </w:tcPr>
          <w:p w:rsidR="00233259" w:rsidRPr="003177A0" w:rsidRDefault="00233259" w:rsidP="00233259">
            <w:pPr>
              <w:spacing w:before="120"/>
              <w:rPr>
                <w:rFonts w:ascii="Arial" w:hAnsi="Arial" w:cs="Arial"/>
                <w:b/>
                <w:sz w:val="24"/>
                <w:szCs w:val="24"/>
              </w:rPr>
            </w:pPr>
            <w:r w:rsidRPr="003177A0">
              <w:rPr>
                <w:rFonts w:ascii="Arial" w:hAnsi="Arial" w:cs="Arial"/>
                <w:sz w:val="24"/>
                <w:szCs w:val="24"/>
              </w:rPr>
              <w:t>Ongoing</w:t>
            </w:r>
          </w:p>
        </w:tc>
        <w:tc>
          <w:tcPr>
            <w:tcW w:w="3937" w:type="dxa"/>
          </w:tcPr>
          <w:p w:rsidR="00233259" w:rsidRPr="003177A0" w:rsidRDefault="00233259" w:rsidP="00233259">
            <w:pPr>
              <w:rPr>
                <w:rFonts w:ascii="Arial" w:hAnsi="Arial" w:cs="Arial"/>
                <w:sz w:val="24"/>
                <w:szCs w:val="24"/>
              </w:rPr>
            </w:pPr>
            <w:r w:rsidRPr="003177A0">
              <w:rPr>
                <w:rFonts w:ascii="Arial" w:hAnsi="Arial" w:cs="Arial"/>
                <w:sz w:val="24"/>
                <w:szCs w:val="24"/>
              </w:rPr>
              <w:t>The Immovable Property Management Policy was amended to allow SASSA to procure office accommodation directly from the private landlords.</w:t>
            </w:r>
          </w:p>
          <w:p w:rsidR="00233259" w:rsidRPr="003177A0" w:rsidRDefault="00233259" w:rsidP="00233259">
            <w:pPr>
              <w:rPr>
                <w:rFonts w:ascii="Arial" w:hAnsi="Arial" w:cs="Arial"/>
                <w:sz w:val="24"/>
                <w:szCs w:val="24"/>
              </w:rPr>
            </w:pPr>
          </w:p>
          <w:p w:rsidR="00233259" w:rsidRPr="003177A0" w:rsidRDefault="00233259" w:rsidP="00233259">
            <w:pPr>
              <w:rPr>
                <w:rFonts w:ascii="Arial" w:hAnsi="Arial" w:cs="Arial"/>
                <w:sz w:val="24"/>
                <w:szCs w:val="24"/>
              </w:rPr>
            </w:pPr>
            <w:r w:rsidRPr="003177A0">
              <w:rPr>
                <w:rFonts w:ascii="Arial" w:hAnsi="Arial" w:cs="Arial"/>
                <w:sz w:val="24"/>
                <w:szCs w:val="24"/>
              </w:rPr>
              <w:t xml:space="preserve">The amended Policy was submitted to the Minister for </w:t>
            </w:r>
            <w:r w:rsidR="001D2E40">
              <w:rPr>
                <w:rFonts w:ascii="Arial" w:hAnsi="Arial" w:cs="Arial"/>
                <w:sz w:val="24"/>
                <w:szCs w:val="24"/>
              </w:rPr>
              <w:t xml:space="preserve">consideration and </w:t>
            </w:r>
            <w:r w:rsidRPr="003177A0">
              <w:rPr>
                <w:rFonts w:ascii="Arial" w:hAnsi="Arial" w:cs="Arial"/>
                <w:sz w:val="24"/>
                <w:szCs w:val="24"/>
              </w:rPr>
              <w:t>approval.</w:t>
            </w:r>
            <w:r w:rsidR="001D2E40">
              <w:rPr>
                <w:rFonts w:ascii="Arial" w:hAnsi="Arial" w:cs="Arial"/>
                <w:sz w:val="24"/>
                <w:szCs w:val="24"/>
              </w:rPr>
              <w:t xml:space="preserve"> </w:t>
            </w:r>
          </w:p>
          <w:p w:rsidR="00233259" w:rsidRPr="003177A0" w:rsidRDefault="00233259" w:rsidP="00233259">
            <w:pPr>
              <w:rPr>
                <w:rFonts w:ascii="Arial" w:hAnsi="Arial" w:cs="Arial"/>
                <w:sz w:val="24"/>
                <w:szCs w:val="24"/>
              </w:rPr>
            </w:pPr>
            <w:r w:rsidRPr="003177A0">
              <w:rPr>
                <w:rFonts w:ascii="Arial" w:hAnsi="Arial" w:cs="Arial"/>
                <w:sz w:val="24"/>
                <w:szCs w:val="24"/>
              </w:rPr>
              <w:t xml:space="preserve">SASSA continues to comply with </w:t>
            </w:r>
            <w:r w:rsidR="00266C4A" w:rsidRPr="003177A0">
              <w:rPr>
                <w:rFonts w:ascii="Arial" w:hAnsi="Arial" w:cs="Arial"/>
                <w:sz w:val="24"/>
                <w:szCs w:val="24"/>
              </w:rPr>
              <w:t>the National</w:t>
            </w:r>
            <w:r w:rsidRPr="003177A0">
              <w:rPr>
                <w:rFonts w:ascii="Arial" w:hAnsi="Arial" w:cs="Arial"/>
                <w:sz w:val="24"/>
                <w:szCs w:val="24"/>
              </w:rPr>
              <w:t xml:space="preserve"> Treasury’s advice to avoid irregular expenditure.  This includes submission of requests to Treasury for the expansion of leases that will expire soon, and apply for a deviation to enter into a new lease in case the further expansion would exceed the 15% allowed variation. </w:t>
            </w:r>
          </w:p>
          <w:p w:rsidR="00233259" w:rsidRPr="003177A0" w:rsidRDefault="00233259" w:rsidP="00233259">
            <w:pPr>
              <w:spacing w:before="120"/>
              <w:rPr>
                <w:rFonts w:ascii="Arial" w:hAnsi="Arial" w:cs="Arial"/>
                <w:b/>
                <w:color w:val="7B7B7B" w:themeColor="accent3" w:themeShade="BF"/>
                <w:sz w:val="24"/>
                <w:szCs w:val="24"/>
              </w:rPr>
            </w:pPr>
            <w:r w:rsidRPr="003177A0">
              <w:rPr>
                <w:rFonts w:ascii="Arial" w:hAnsi="Arial" w:cs="Arial"/>
                <w:sz w:val="24"/>
                <w:szCs w:val="24"/>
              </w:rPr>
              <w:t xml:space="preserve"> </w:t>
            </w:r>
          </w:p>
        </w:tc>
        <w:tc>
          <w:tcPr>
            <w:tcW w:w="1792" w:type="dxa"/>
          </w:tcPr>
          <w:p w:rsidR="00233259" w:rsidRPr="003177A0" w:rsidRDefault="00233259" w:rsidP="00233259">
            <w:pPr>
              <w:rPr>
                <w:rFonts w:ascii="Arial" w:hAnsi="Arial" w:cs="Arial"/>
                <w:sz w:val="24"/>
                <w:szCs w:val="24"/>
              </w:rPr>
            </w:pPr>
            <w:r w:rsidRPr="003177A0">
              <w:rPr>
                <w:rFonts w:ascii="Arial" w:hAnsi="Arial" w:cs="Arial"/>
                <w:sz w:val="24"/>
                <w:szCs w:val="24"/>
              </w:rPr>
              <w:t>Mr Gerson Masakona (General Manager-Auxiliary Services and Facilities Management)</w:t>
            </w:r>
          </w:p>
          <w:p w:rsidR="00233259" w:rsidRPr="003177A0" w:rsidRDefault="00233259" w:rsidP="00233259">
            <w:pPr>
              <w:rPr>
                <w:rFonts w:ascii="Arial" w:hAnsi="Arial" w:cs="Arial"/>
                <w:sz w:val="24"/>
                <w:szCs w:val="24"/>
              </w:rPr>
            </w:pPr>
          </w:p>
          <w:p w:rsidR="00233259" w:rsidRPr="003177A0" w:rsidRDefault="00233259" w:rsidP="00233259">
            <w:pPr>
              <w:rPr>
                <w:rFonts w:ascii="Arial" w:hAnsi="Arial" w:cs="Arial"/>
                <w:sz w:val="24"/>
                <w:szCs w:val="24"/>
              </w:rPr>
            </w:pPr>
            <w:r w:rsidRPr="003177A0">
              <w:rPr>
                <w:rFonts w:ascii="Arial" w:hAnsi="Arial" w:cs="Arial"/>
                <w:sz w:val="24"/>
                <w:szCs w:val="24"/>
              </w:rPr>
              <w:t>Ms Thandi Sibanyoni (Acting Executive Manager- Corporate Services)</w:t>
            </w:r>
          </w:p>
          <w:p w:rsidR="00233259" w:rsidRPr="003177A0" w:rsidRDefault="00233259" w:rsidP="00233259">
            <w:pPr>
              <w:rPr>
                <w:rFonts w:ascii="Arial" w:hAnsi="Arial" w:cs="Arial"/>
                <w:sz w:val="24"/>
                <w:szCs w:val="24"/>
              </w:rPr>
            </w:pPr>
          </w:p>
          <w:p w:rsidR="00233259" w:rsidRPr="003177A0" w:rsidRDefault="00233259" w:rsidP="00233259">
            <w:pPr>
              <w:rPr>
                <w:rFonts w:ascii="Arial" w:hAnsi="Arial" w:cs="Arial"/>
                <w:sz w:val="24"/>
                <w:szCs w:val="24"/>
              </w:rPr>
            </w:pPr>
          </w:p>
        </w:tc>
      </w:tr>
      <w:tr w:rsidR="00A06EE3" w:rsidRPr="00CC2003" w:rsidTr="0034203D">
        <w:tc>
          <w:tcPr>
            <w:tcW w:w="4747" w:type="dxa"/>
          </w:tcPr>
          <w:p w:rsidR="00A06EE3" w:rsidRPr="00CC2003" w:rsidRDefault="00A06EE3" w:rsidP="007E319B">
            <w:pPr>
              <w:pStyle w:val="Default"/>
            </w:pPr>
            <w:r w:rsidRPr="00CC2003">
              <w:rPr>
                <w:b/>
              </w:rPr>
              <w:t xml:space="preserve">Paragraph 23: </w:t>
            </w:r>
          </w:p>
          <w:p w:rsidR="00A06EE3" w:rsidRPr="00CC2003" w:rsidRDefault="00A06EE3" w:rsidP="007E319B">
            <w:pPr>
              <w:pStyle w:val="Default"/>
            </w:pPr>
            <w:r w:rsidRPr="00CC2003">
              <w:rPr>
                <w:i/>
                <w:iCs/>
              </w:rPr>
              <w:t xml:space="preserve">Consequence management - It was noted that the slow progress in finalising cases under investigation remains an issue of concern. SASSA is still not able to adhere to its own plan of finalising cases within 90 days. We Inspected SASSA audit action plan as at 09 October 2019 and noted that there is slow progress in implementing the recommendations of prior year findings. Preventative measures were not taken to prevent Irregular, fruitless and wasteful expenditure, which results in non-compliance. </w:t>
            </w:r>
          </w:p>
          <w:p w:rsidR="00A06EE3" w:rsidRPr="00CC2003" w:rsidRDefault="00A06EE3" w:rsidP="007E319B">
            <w:pPr>
              <w:spacing w:before="120"/>
              <w:rPr>
                <w:rFonts w:ascii="Arial" w:hAnsi="Arial" w:cs="Arial"/>
                <w:b/>
                <w:sz w:val="24"/>
                <w:szCs w:val="24"/>
              </w:rPr>
            </w:pPr>
          </w:p>
        </w:tc>
        <w:tc>
          <w:tcPr>
            <w:tcW w:w="3420" w:type="dxa"/>
          </w:tcPr>
          <w:p w:rsidR="00A06EE3" w:rsidRPr="00CC2003" w:rsidRDefault="00A06EE3" w:rsidP="00A06EE3">
            <w:pPr>
              <w:pStyle w:val="ListParagraph"/>
              <w:numPr>
                <w:ilvl w:val="0"/>
                <w:numId w:val="32"/>
              </w:numPr>
              <w:spacing w:before="120" w:after="200" w:line="276" w:lineRule="auto"/>
              <w:ind w:left="252" w:hanging="270"/>
              <w:rPr>
                <w:rFonts w:ascii="Arial" w:hAnsi="Arial" w:cs="Arial"/>
                <w:b/>
                <w:sz w:val="24"/>
                <w:szCs w:val="24"/>
              </w:rPr>
            </w:pPr>
            <w:r w:rsidRPr="00CC2003">
              <w:rPr>
                <w:rFonts w:ascii="Arial" w:hAnsi="Arial" w:cs="Arial"/>
                <w:sz w:val="24"/>
                <w:szCs w:val="24"/>
              </w:rPr>
              <w:t>Labour Relations to assist managers and supervisors in the disciplinary process against officials who commit financial misconduct.</w:t>
            </w:r>
          </w:p>
        </w:tc>
        <w:tc>
          <w:tcPr>
            <w:tcW w:w="1643" w:type="dxa"/>
          </w:tcPr>
          <w:p w:rsidR="00A06EE3" w:rsidRPr="00CC2003" w:rsidRDefault="009C7CBD" w:rsidP="007E319B">
            <w:pPr>
              <w:spacing w:before="120"/>
              <w:rPr>
                <w:rFonts w:ascii="Arial" w:hAnsi="Arial" w:cs="Arial"/>
                <w:b/>
                <w:sz w:val="24"/>
                <w:szCs w:val="24"/>
              </w:rPr>
            </w:pPr>
            <w:r>
              <w:rPr>
                <w:rFonts w:ascii="Arial" w:hAnsi="Arial" w:cs="Arial"/>
                <w:sz w:val="24"/>
                <w:szCs w:val="24"/>
              </w:rPr>
              <w:t>On-going</w:t>
            </w:r>
          </w:p>
        </w:tc>
        <w:tc>
          <w:tcPr>
            <w:tcW w:w="3937" w:type="dxa"/>
          </w:tcPr>
          <w:p w:rsidR="00233259" w:rsidRPr="00E27A1E" w:rsidRDefault="00233259" w:rsidP="00233259">
            <w:pPr>
              <w:spacing w:before="120"/>
              <w:rPr>
                <w:rFonts w:ascii="Arial" w:hAnsi="Arial" w:cs="Arial"/>
                <w:sz w:val="24"/>
                <w:szCs w:val="24"/>
              </w:rPr>
            </w:pPr>
            <w:r w:rsidRPr="00E27A1E">
              <w:rPr>
                <w:rFonts w:ascii="Arial" w:hAnsi="Arial" w:cs="Arial"/>
                <w:sz w:val="24"/>
                <w:szCs w:val="24"/>
              </w:rPr>
              <w:t xml:space="preserve">SASSA appointed a Specialist in Labour Relations </w:t>
            </w:r>
            <w:r w:rsidR="001D2E40">
              <w:rPr>
                <w:rFonts w:ascii="Arial" w:hAnsi="Arial" w:cs="Arial"/>
                <w:sz w:val="24"/>
                <w:szCs w:val="24"/>
              </w:rPr>
              <w:t xml:space="preserve">during the fourth quarter </w:t>
            </w:r>
            <w:r w:rsidRPr="00E27A1E">
              <w:rPr>
                <w:rFonts w:ascii="Arial" w:hAnsi="Arial" w:cs="Arial"/>
                <w:sz w:val="24"/>
                <w:szCs w:val="24"/>
              </w:rPr>
              <w:t>to focus on finalisation of the labour matters.</w:t>
            </w:r>
          </w:p>
          <w:p w:rsidR="00233259" w:rsidRPr="00E27A1E" w:rsidRDefault="00233259" w:rsidP="00233259">
            <w:pPr>
              <w:spacing w:before="120"/>
              <w:rPr>
                <w:rFonts w:ascii="Arial" w:hAnsi="Arial" w:cs="Arial"/>
                <w:sz w:val="24"/>
                <w:szCs w:val="24"/>
              </w:rPr>
            </w:pPr>
            <w:r w:rsidRPr="00E27A1E">
              <w:rPr>
                <w:rFonts w:ascii="Arial" w:hAnsi="Arial" w:cs="Arial"/>
                <w:sz w:val="24"/>
                <w:szCs w:val="24"/>
              </w:rPr>
              <w:t>SCM is in the process of finalising the appointment of a panel</w:t>
            </w:r>
            <w:r w:rsidR="001D2E40">
              <w:rPr>
                <w:rFonts w:ascii="Arial" w:hAnsi="Arial" w:cs="Arial"/>
                <w:sz w:val="24"/>
                <w:szCs w:val="24"/>
              </w:rPr>
              <w:t xml:space="preserve"> investigators</w:t>
            </w:r>
            <w:r w:rsidRPr="00E27A1E">
              <w:rPr>
                <w:rFonts w:ascii="Arial" w:hAnsi="Arial" w:cs="Arial"/>
                <w:sz w:val="24"/>
                <w:szCs w:val="24"/>
              </w:rPr>
              <w:t xml:space="preserve"> to assist with the investigations and disciplinary processes.</w:t>
            </w:r>
          </w:p>
          <w:p w:rsidR="00233259" w:rsidRPr="00E27A1E" w:rsidRDefault="00233259" w:rsidP="00233259">
            <w:pPr>
              <w:spacing w:before="120"/>
              <w:rPr>
                <w:rFonts w:ascii="Arial" w:hAnsi="Arial" w:cs="Arial"/>
                <w:sz w:val="24"/>
                <w:szCs w:val="24"/>
              </w:rPr>
            </w:pPr>
            <w:r w:rsidRPr="00E27A1E">
              <w:rPr>
                <w:rFonts w:ascii="Arial" w:hAnsi="Arial" w:cs="Arial"/>
                <w:sz w:val="24"/>
                <w:szCs w:val="24"/>
              </w:rPr>
              <w:t xml:space="preserve">A pool of managers </w:t>
            </w:r>
            <w:r w:rsidR="001D2E40">
              <w:rPr>
                <w:rFonts w:ascii="Arial" w:hAnsi="Arial" w:cs="Arial"/>
                <w:sz w:val="24"/>
                <w:szCs w:val="24"/>
              </w:rPr>
              <w:t xml:space="preserve">are </w:t>
            </w:r>
            <w:r w:rsidRPr="00E27A1E">
              <w:rPr>
                <w:rFonts w:ascii="Arial" w:hAnsi="Arial" w:cs="Arial"/>
                <w:sz w:val="24"/>
                <w:szCs w:val="24"/>
              </w:rPr>
              <w:t xml:space="preserve">being trained per regions to build internal capacity to deal with labour matters. The trained managers will take over from the panel as and when they become familiar with the processes of representing the employer and presiding over matters.  </w:t>
            </w:r>
          </w:p>
          <w:p w:rsidR="00A06EE3" w:rsidRPr="00E27A1E" w:rsidRDefault="00A06EE3" w:rsidP="007E319B">
            <w:pPr>
              <w:spacing w:before="120"/>
              <w:rPr>
                <w:rFonts w:ascii="Arial" w:hAnsi="Arial" w:cs="Arial"/>
                <w:sz w:val="24"/>
                <w:szCs w:val="24"/>
              </w:rPr>
            </w:pPr>
          </w:p>
          <w:p w:rsidR="00A06EE3" w:rsidRPr="00E27A1E" w:rsidRDefault="00A06EE3" w:rsidP="007E319B">
            <w:pPr>
              <w:spacing w:before="120"/>
              <w:rPr>
                <w:rFonts w:ascii="Arial" w:hAnsi="Arial" w:cs="Arial"/>
                <w:sz w:val="24"/>
                <w:szCs w:val="24"/>
              </w:rPr>
            </w:pPr>
            <w:r w:rsidRPr="00E27A1E">
              <w:rPr>
                <w:rFonts w:ascii="Arial" w:hAnsi="Arial" w:cs="Arial"/>
                <w:sz w:val="24"/>
                <w:szCs w:val="24"/>
              </w:rPr>
              <w:t>SASSA submitt</w:t>
            </w:r>
            <w:r w:rsidR="005B7B18">
              <w:rPr>
                <w:rFonts w:ascii="Arial" w:hAnsi="Arial" w:cs="Arial"/>
                <w:sz w:val="24"/>
                <w:szCs w:val="24"/>
              </w:rPr>
              <w:t>ed</w:t>
            </w:r>
            <w:r w:rsidRPr="00E27A1E">
              <w:rPr>
                <w:rFonts w:ascii="Arial" w:hAnsi="Arial" w:cs="Arial"/>
                <w:sz w:val="24"/>
                <w:szCs w:val="24"/>
              </w:rPr>
              <w:t xml:space="preserve"> </w:t>
            </w:r>
            <w:r w:rsidR="005B7B18">
              <w:rPr>
                <w:rFonts w:ascii="Arial" w:hAnsi="Arial" w:cs="Arial"/>
                <w:sz w:val="24"/>
                <w:szCs w:val="24"/>
              </w:rPr>
              <w:t xml:space="preserve">a </w:t>
            </w:r>
            <w:r w:rsidR="00266C4A">
              <w:rPr>
                <w:rFonts w:ascii="Arial" w:hAnsi="Arial" w:cs="Arial"/>
                <w:sz w:val="24"/>
                <w:szCs w:val="24"/>
              </w:rPr>
              <w:t xml:space="preserve">further </w:t>
            </w:r>
            <w:r w:rsidRPr="00E27A1E">
              <w:rPr>
                <w:rFonts w:ascii="Arial" w:hAnsi="Arial" w:cs="Arial"/>
                <w:sz w:val="24"/>
                <w:szCs w:val="24"/>
              </w:rPr>
              <w:t>request for condonation of finalised cases</w:t>
            </w:r>
            <w:r w:rsidR="005B7B18">
              <w:rPr>
                <w:rFonts w:ascii="Arial" w:hAnsi="Arial" w:cs="Arial"/>
                <w:sz w:val="24"/>
                <w:szCs w:val="24"/>
              </w:rPr>
              <w:t xml:space="preserve"> </w:t>
            </w:r>
            <w:r w:rsidR="00266C4A">
              <w:rPr>
                <w:rFonts w:ascii="Arial" w:hAnsi="Arial" w:cs="Arial"/>
                <w:sz w:val="24"/>
                <w:szCs w:val="24"/>
              </w:rPr>
              <w:t xml:space="preserve">in </w:t>
            </w:r>
            <w:r w:rsidRPr="00E27A1E">
              <w:rPr>
                <w:rFonts w:ascii="Arial" w:hAnsi="Arial" w:cs="Arial"/>
                <w:sz w:val="24"/>
                <w:szCs w:val="24"/>
              </w:rPr>
              <w:t>March 2020.</w:t>
            </w:r>
          </w:p>
          <w:p w:rsidR="00A06EE3" w:rsidRPr="00E27A1E" w:rsidRDefault="00A06EE3" w:rsidP="007E319B">
            <w:pPr>
              <w:spacing w:before="120"/>
              <w:rPr>
                <w:rFonts w:ascii="Arial" w:hAnsi="Arial" w:cs="Arial"/>
                <w:sz w:val="24"/>
                <w:szCs w:val="24"/>
              </w:rPr>
            </w:pPr>
            <w:r w:rsidRPr="00E27A1E">
              <w:rPr>
                <w:rFonts w:ascii="Arial" w:hAnsi="Arial" w:cs="Arial"/>
                <w:sz w:val="24"/>
                <w:szCs w:val="24"/>
              </w:rPr>
              <w:t xml:space="preserve">SASSA has been following </w:t>
            </w:r>
            <w:r w:rsidR="00F967D9" w:rsidRPr="00E27A1E">
              <w:rPr>
                <w:rFonts w:ascii="Arial" w:hAnsi="Arial" w:cs="Arial"/>
                <w:sz w:val="24"/>
                <w:szCs w:val="24"/>
              </w:rPr>
              <w:t xml:space="preserve">up with National Treasury on </w:t>
            </w:r>
            <w:r w:rsidR="00F967D9" w:rsidRPr="00E27A1E">
              <w:rPr>
                <w:rFonts w:ascii="Arial" w:hAnsi="Arial" w:cs="Arial"/>
                <w:b/>
                <w:sz w:val="24"/>
                <w:szCs w:val="24"/>
              </w:rPr>
              <w:t>282</w:t>
            </w:r>
            <w:r w:rsidRPr="00E27A1E">
              <w:rPr>
                <w:rFonts w:ascii="Arial" w:hAnsi="Arial" w:cs="Arial"/>
                <w:sz w:val="24"/>
                <w:szCs w:val="24"/>
              </w:rPr>
              <w:t xml:space="preserve"> cases amounting to </w:t>
            </w:r>
            <w:r w:rsidRPr="00E27A1E">
              <w:rPr>
                <w:rFonts w:ascii="Arial" w:hAnsi="Arial" w:cs="Arial"/>
                <w:b/>
                <w:sz w:val="24"/>
                <w:szCs w:val="24"/>
              </w:rPr>
              <w:t>R</w:t>
            </w:r>
            <w:r w:rsidR="00F967D9" w:rsidRPr="00E27A1E">
              <w:rPr>
                <w:rFonts w:ascii="Arial" w:hAnsi="Arial" w:cs="Arial"/>
                <w:b/>
                <w:sz w:val="24"/>
                <w:szCs w:val="24"/>
              </w:rPr>
              <w:t>144 418 332.71</w:t>
            </w:r>
            <w:r w:rsidRPr="00E27A1E">
              <w:rPr>
                <w:rFonts w:ascii="Arial" w:hAnsi="Arial" w:cs="Arial"/>
                <w:b/>
                <w:sz w:val="24"/>
                <w:szCs w:val="24"/>
              </w:rPr>
              <w:t xml:space="preserve"> </w:t>
            </w:r>
            <w:r w:rsidR="00266C4A" w:rsidRPr="00E27A1E">
              <w:rPr>
                <w:rFonts w:ascii="Arial" w:hAnsi="Arial" w:cs="Arial"/>
                <w:sz w:val="24"/>
                <w:szCs w:val="24"/>
              </w:rPr>
              <w:t>wh</w:t>
            </w:r>
            <w:r w:rsidR="00266C4A">
              <w:rPr>
                <w:rFonts w:ascii="Arial" w:hAnsi="Arial" w:cs="Arial"/>
                <w:sz w:val="24"/>
                <w:szCs w:val="24"/>
              </w:rPr>
              <w:t xml:space="preserve">ere </w:t>
            </w:r>
            <w:r w:rsidR="00266C4A" w:rsidRPr="00E27A1E">
              <w:rPr>
                <w:rFonts w:ascii="Arial" w:hAnsi="Arial" w:cs="Arial"/>
                <w:sz w:val="24"/>
                <w:szCs w:val="24"/>
              </w:rPr>
              <w:t>consequence</w:t>
            </w:r>
            <w:r w:rsidRPr="00E27A1E">
              <w:rPr>
                <w:rFonts w:ascii="Arial" w:hAnsi="Arial" w:cs="Arial"/>
                <w:sz w:val="24"/>
                <w:szCs w:val="24"/>
              </w:rPr>
              <w:t xml:space="preserve"> management was finalised and request for condonation was submitted to Treasury on 19 March 2019. The latest follow up letter was sent on 19 February 2020.</w:t>
            </w:r>
            <w:r w:rsidR="005B7B18">
              <w:rPr>
                <w:rFonts w:ascii="Arial" w:hAnsi="Arial" w:cs="Arial"/>
                <w:sz w:val="24"/>
                <w:szCs w:val="24"/>
              </w:rPr>
              <w:t xml:space="preserve"> To date National Treasury is yet to finalise such cases</w:t>
            </w:r>
          </w:p>
          <w:p w:rsidR="00C37BC7" w:rsidRPr="00E27A1E" w:rsidRDefault="00C37BC7" w:rsidP="007E319B">
            <w:pPr>
              <w:spacing w:before="120"/>
              <w:rPr>
                <w:rFonts w:ascii="Arial" w:hAnsi="Arial" w:cs="Arial"/>
                <w:sz w:val="24"/>
                <w:szCs w:val="24"/>
              </w:rPr>
            </w:pPr>
          </w:p>
          <w:p w:rsidR="00470B3C" w:rsidRPr="00E27A1E" w:rsidRDefault="00470B3C" w:rsidP="00470B3C">
            <w:pPr>
              <w:spacing w:before="120"/>
              <w:rPr>
                <w:rFonts w:ascii="Arial" w:hAnsi="Arial" w:cs="Arial"/>
                <w:sz w:val="24"/>
                <w:szCs w:val="24"/>
              </w:rPr>
            </w:pPr>
            <w:r w:rsidRPr="00E27A1E">
              <w:rPr>
                <w:rFonts w:ascii="Arial" w:hAnsi="Arial" w:cs="Arial"/>
                <w:sz w:val="24"/>
                <w:szCs w:val="24"/>
              </w:rPr>
              <w:t xml:space="preserve">The consequence management </w:t>
            </w:r>
            <w:r w:rsidR="005B7B18">
              <w:rPr>
                <w:rFonts w:ascii="Arial" w:hAnsi="Arial" w:cs="Arial"/>
                <w:sz w:val="24"/>
                <w:szCs w:val="24"/>
              </w:rPr>
              <w:t xml:space="preserve">outcome </w:t>
            </w:r>
            <w:r w:rsidRPr="00E27A1E">
              <w:rPr>
                <w:rFonts w:ascii="Arial" w:hAnsi="Arial" w:cs="Arial"/>
                <w:sz w:val="24"/>
                <w:szCs w:val="24"/>
              </w:rPr>
              <w:t xml:space="preserve">in respect to irregular expenditure  to date </w:t>
            </w:r>
            <w:r w:rsidR="005B7B18">
              <w:rPr>
                <w:rFonts w:ascii="Arial" w:hAnsi="Arial" w:cs="Arial"/>
                <w:sz w:val="24"/>
                <w:szCs w:val="24"/>
              </w:rPr>
              <w:t xml:space="preserve">are </w:t>
            </w:r>
            <w:r w:rsidRPr="00E27A1E">
              <w:rPr>
                <w:rFonts w:ascii="Arial" w:hAnsi="Arial" w:cs="Arial"/>
                <w:sz w:val="24"/>
                <w:szCs w:val="24"/>
              </w:rPr>
              <w:t>as follow</w:t>
            </w:r>
            <w:r w:rsidR="005B7B18">
              <w:rPr>
                <w:rFonts w:ascii="Arial" w:hAnsi="Arial" w:cs="Arial"/>
                <w:sz w:val="24"/>
                <w:szCs w:val="24"/>
              </w:rPr>
              <w:t>s</w:t>
            </w:r>
            <w:r w:rsidRPr="00E27A1E">
              <w:rPr>
                <w:rFonts w:ascii="Arial" w:hAnsi="Arial" w:cs="Arial"/>
                <w:sz w:val="24"/>
                <w:szCs w:val="24"/>
              </w:rPr>
              <w:t xml:space="preserve">: </w:t>
            </w:r>
          </w:p>
          <w:p w:rsidR="00C37BC7" w:rsidRPr="00266C4A" w:rsidRDefault="00C37BC7" w:rsidP="00470B3C">
            <w:pPr>
              <w:pStyle w:val="ListParagraph"/>
              <w:numPr>
                <w:ilvl w:val="0"/>
                <w:numId w:val="32"/>
              </w:numPr>
              <w:spacing w:before="120"/>
              <w:ind w:left="360"/>
              <w:rPr>
                <w:rFonts w:ascii="Arial" w:eastAsia="Times New Roman" w:hAnsi="Arial" w:cs="Arial"/>
                <w:szCs w:val="18"/>
              </w:rPr>
            </w:pPr>
            <w:r w:rsidRPr="00266C4A">
              <w:rPr>
                <w:rFonts w:ascii="Arial" w:eastAsia="Times New Roman" w:hAnsi="Arial" w:cs="Arial"/>
                <w:szCs w:val="18"/>
              </w:rPr>
              <w:t>Verbal warning (3 officials)</w:t>
            </w:r>
          </w:p>
          <w:p w:rsidR="00C37BC7" w:rsidRPr="00266C4A" w:rsidRDefault="00C37BC7" w:rsidP="00C37BC7">
            <w:pPr>
              <w:pStyle w:val="ListParagraph"/>
              <w:numPr>
                <w:ilvl w:val="0"/>
                <w:numId w:val="32"/>
              </w:numPr>
              <w:spacing w:before="120"/>
              <w:ind w:left="360"/>
              <w:rPr>
                <w:rFonts w:ascii="Arial" w:eastAsia="Times New Roman" w:hAnsi="Arial" w:cs="Arial"/>
                <w:szCs w:val="18"/>
              </w:rPr>
            </w:pPr>
            <w:r w:rsidRPr="00266C4A">
              <w:rPr>
                <w:rFonts w:ascii="Arial" w:eastAsia="Times New Roman" w:hAnsi="Arial" w:cs="Arial"/>
                <w:szCs w:val="18"/>
              </w:rPr>
              <w:t>Written warning (21 officials)</w:t>
            </w:r>
          </w:p>
          <w:p w:rsidR="00C37BC7" w:rsidRPr="00266C4A" w:rsidRDefault="00C37BC7" w:rsidP="00C37BC7">
            <w:pPr>
              <w:pStyle w:val="ListParagraph"/>
              <w:numPr>
                <w:ilvl w:val="0"/>
                <w:numId w:val="32"/>
              </w:numPr>
              <w:spacing w:before="120"/>
              <w:ind w:left="360"/>
              <w:rPr>
                <w:rFonts w:ascii="Arial" w:eastAsia="Times New Roman" w:hAnsi="Arial" w:cs="Arial"/>
                <w:szCs w:val="18"/>
              </w:rPr>
            </w:pPr>
            <w:r w:rsidRPr="00266C4A">
              <w:rPr>
                <w:rFonts w:ascii="Arial" w:eastAsia="Times New Roman" w:hAnsi="Arial" w:cs="Arial"/>
                <w:szCs w:val="18"/>
              </w:rPr>
              <w:t>Dismissals (1 official)</w:t>
            </w:r>
          </w:p>
          <w:p w:rsidR="00C37BC7" w:rsidRPr="00266C4A" w:rsidRDefault="00C37BC7" w:rsidP="00C37BC7">
            <w:pPr>
              <w:pStyle w:val="ListParagraph"/>
              <w:numPr>
                <w:ilvl w:val="0"/>
                <w:numId w:val="32"/>
              </w:numPr>
              <w:spacing w:before="120"/>
              <w:ind w:left="360"/>
              <w:rPr>
                <w:rFonts w:ascii="Arial" w:eastAsia="Times New Roman" w:hAnsi="Arial" w:cs="Arial"/>
                <w:szCs w:val="18"/>
              </w:rPr>
            </w:pPr>
            <w:r w:rsidRPr="00266C4A">
              <w:rPr>
                <w:rFonts w:ascii="Arial" w:eastAsia="Times New Roman" w:hAnsi="Arial" w:cs="Arial"/>
                <w:szCs w:val="18"/>
              </w:rPr>
              <w:t>Not guilty (13 officials)</w:t>
            </w:r>
          </w:p>
          <w:p w:rsidR="00C37BC7" w:rsidRPr="00266C4A" w:rsidRDefault="00C37BC7" w:rsidP="00C37BC7">
            <w:pPr>
              <w:pStyle w:val="ListParagraph"/>
              <w:numPr>
                <w:ilvl w:val="0"/>
                <w:numId w:val="32"/>
              </w:numPr>
              <w:spacing w:before="120"/>
              <w:ind w:left="360"/>
              <w:rPr>
                <w:rFonts w:ascii="Arial" w:eastAsia="Times New Roman" w:hAnsi="Arial" w:cs="Arial"/>
                <w:szCs w:val="18"/>
              </w:rPr>
            </w:pPr>
            <w:r w:rsidRPr="00266C4A">
              <w:rPr>
                <w:rFonts w:ascii="Arial" w:eastAsia="Times New Roman" w:hAnsi="Arial" w:cs="Arial"/>
                <w:szCs w:val="18"/>
              </w:rPr>
              <w:t>Resignation (14 officials)</w:t>
            </w:r>
          </w:p>
          <w:p w:rsidR="00C37BC7" w:rsidRPr="00266C4A" w:rsidRDefault="00C37BC7" w:rsidP="00C37BC7">
            <w:pPr>
              <w:pStyle w:val="ListParagraph"/>
              <w:numPr>
                <w:ilvl w:val="0"/>
                <w:numId w:val="32"/>
              </w:numPr>
              <w:spacing w:before="120"/>
              <w:ind w:left="360"/>
              <w:rPr>
                <w:rFonts w:ascii="Arial" w:hAnsi="Arial" w:cs="Arial"/>
                <w:sz w:val="32"/>
                <w:szCs w:val="24"/>
              </w:rPr>
            </w:pPr>
            <w:r w:rsidRPr="00266C4A">
              <w:rPr>
                <w:rFonts w:ascii="Arial" w:eastAsia="Times New Roman" w:hAnsi="Arial" w:cs="Arial"/>
                <w:szCs w:val="18"/>
              </w:rPr>
              <w:t>Training (41 officials)</w:t>
            </w:r>
          </w:p>
          <w:p w:rsidR="00C37BC7" w:rsidRPr="00E27A1E" w:rsidRDefault="00470B3C" w:rsidP="007E319B">
            <w:pPr>
              <w:spacing w:before="120"/>
              <w:rPr>
                <w:rFonts w:ascii="Arial" w:hAnsi="Arial" w:cs="Arial"/>
                <w:sz w:val="24"/>
                <w:szCs w:val="24"/>
              </w:rPr>
            </w:pPr>
            <w:r w:rsidRPr="00E27A1E">
              <w:rPr>
                <w:rFonts w:ascii="Arial" w:hAnsi="Arial" w:cs="Arial"/>
                <w:sz w:val="24"/>
                <w:szCs w:val="24"/>
              </w:rPr>
              <w:t>The c</w:t>
            </w:r>
            <w:r w:rsidR="00CB39D1" w:rsidRPr="00E27A1E">
              <w:rPr>
                <w:rFonts w:ascii="Arial" w:hAnsi="Arial" w:cs="Arial"/>
                <w:sz w:val="24"/>
                <w:szCs w:val="24"/>
              </w:rPr>
              <w:t xml:space="preserve">onsequence management </w:t>
            </w:r>
            <w:r w:rsidRPr="00E27A1E">
              <w:rPr>
                <w:rFonts w:ascii="Arial" w:hAnsi="Arial" w:cs="Arial"/>
                <w:sz w:val="24"/>
                <w:szCs w:val="24"/>
              </w:rPr>
              <w:t xml:space="preserve">relating to </w:t>
            </w:r>
            <w:r w:rsidR="00CB39D1" w:rsidRPr="00E27A1E">
              <w:rPr>
                <w:rFonts w:ascii="Arial" w:hAnsi="Arial" w:cs="Arial"/>
                <w:sz w:val="24"/>
                <w:szCs w:val="24"/>
              </w:rPr>
              <w:t>fruitless and wasteful expendi</w:t>
            </w:r>
            <w:r w:rsidRPr="00E27A1E">
              <w:rPr>
                <w:rFonts w:ascii="Arial" w:hAnsi="Arial" w:cs="Arial"/>
                <w:sz w:val="24"/>
                <w:szCs w:val="24"/>
              </w:rPr>
              <w:t>ture, and Damages and losses is</w:t>
            </w:r>
            <w:r w:rsidR="00CB39D1" w:rsidRPr="00E27A1E">
              <w:rPr>
                <w:rFonts w:ascii="Arial" w:hAnsi="Arial" w:cs="Arial"/>
                <w:sz w:val="24"/>
                <w:szCs w:val="24"/>
              </w:rPr>
              <w:t xml:space="preserve"> as follows:</w:t>
            </w:r>
          </w:p>
          <w:p w:rsidR="00CB39D1" w:rsidRPr="00266C4A" w:rsidRDefault="00CB39D1" w:rsidP="00CB39D1">
            <w:pPr>
              <w:pStyle w:val="ListParagraph"/>
              <w:numPr>
                <w:ilvl w:val="0"/>
                <w:numId w:val="32"/>
              </w:numPr>
              <w:spacing w:before="120"/>
              <w:ind w:left="360"/>
              <w:rPr>
                <w:rFonts w:ascii="Arial" w:eastAsia="Times New Roman" w:hAnsi="Arial" w:cs="Arial"/>
                <w:sz w:val="24"/>
                <w:szCs w:val="18"/>
              </w:rPr>
            </w:pPr>
            <w:r w:rsidRPr="00266C4A">
              <w:rPr>
                <w:rFonts w:ascii="Arial" w:eastAsia="Times New Roman" w:hAnsi="Arial" w:cs="Arial"/>
                <w:sz w:val="24"/>
                <w:szCs w:val="18"/>
              </w:rPr>
              <w:t>Verbal warning (3 officials)</w:t>
            </w:r>
          </w:p>
          <w:p w:rsidR="00C37BC7" w:rsidRPr="00E27A1E" w:rsidRDefault="00CB39D1" w:rsidP="007E319B">
            <w:pPr>
              <w:pStyle w:val="ListParagraph"/>
              <w:numPr>
                <w:ilvl w:val="0"/>
                <w:numId w:val="32"/>
              </w:numPr>
              <w:spacing w:before="120"/>
              <w:ind w:left="360"/>
              <w:rPr>
                <w:rFonts w:ascii="Arial" w:eastAsia="Times New Roman" w:hAnsi="Arial" w:cs="Arial"/>
                <w:sz w:val="18"/>
                <w:szCs w:val="18"/>
              </w:rPr>
            </w:pPr>
            <w:r w:rsidRPr="00266C4A">
              <w:rPr>
                <w:rFonts w:ascii="Arial" w:eastAsia="Times New Roman" w:hAnsi="Arial" w:cs="Arial"/>
                <w:sz w:val="24"/>
                <w:szCs w:val="18"/>
              </w:rPr>
              <w:t>Written warning (3 officials)</w:t>
            </w:r>
          </w:p>
        </w:tc>
        <w:tc>
          <w:tcPr>
            <w:tcW w:w="1792" w:type="dxa"/>
          </w:tcPr>
          <w:p w:rsidR="00A06EE3" w:rsidRPr="00CC2003" w:rsidRDefault="00A06EE3" w:rsidP="007E319B">
            <w:pPr>
              <w:spacing w:before="120"/>
              <w:rPr>
                <w:rFonts w:ascii="Arial" w:hAnsi="Arial" w:cs="Arial"/>
                <w:sz w:val="24"/>
                <w:szCs w:val="24"/>
              </w:rPr>
            </w:pPr>
            <w:r w:rsidRPr="00CC2003">
              <w:rPr>
                <w:rFonts w:ascii="Arial" w:hAnsi="Arial" w:cs="Arial"/>
                <w:sz w:val="24"/>
                <w:szCs w:val="24"/>
              </w:rPr>
              <w:t>Mr Linda Magubane (Acting Senior Manager- Labour Relations)</w:t>
            </w:r>
          </w:p>
        </w:tc>
      </w:tr>
      <w:tr w:rsidR="00A06EE3" w:rsidRPr="00CC2003" w:rsidTr="0034203D">
        <w:tc>
          <w:tcPr>
            <w:tcW w:w="4747" w:type="dxa"/>
            <w:shd w:val="clear" w:color="auto" w:fill="auto"/>
          </w:tcPr>
          <w:p w:rsidR="00A06EE3" w:rsidRPr="00CC2003" w:rsidRDefault="00A06EE3" w:rsidP="007E319B">
            <w:pPr>
              <w:spacing w:before="120"/>
              <w:rPr>
                <w:rFonts w:ascii="Arial" w:hAnsi="Arial" w:cs="Arial"/>
                <w:b/>
                <w:sz w:val="24"/>
                <w:szCs w:val="24"/>
              </w:rPr>
            </w:pPr>
          </w:p>
        </w:tc>
        <w:tc>
          <w:tcPr>
            <w:tcW w:w="3420" w:type="dxa"/>
          </w:tcPr>
          <w:p w:rsidR="00A06EE3" w:rsidRPr="001167BD" w:rsidRDefault="00A06EE3" w:rsidP="00A06EE3">
            <w:pPr>
              <w:pStyle w:val="ListParagraph"/>
              <w:numPr>
                <w:ilvl w:val="0"/>
                <w:numId w:val="32"/>
              </w:numPr>
              <w:spacing w:before="120" w:after="200" w:line="276" w:lineRule="auto"/>
              <w:ind w:left="252" w:hanging="252"/>
              <w:rPr>
                <w:rFonts w:ascii="Arial" w:hAnsi="Arial" w:cs="Arial"/>
                <w:b/>
                <w:sz w:val="24"/>
                <w:szCs w:val="24"/>
              </w:rPr>
            </w:pPr>
            <w:r w:rsidRPr="001167BD">
              <w:rPr>
                <w:rFonts w:ascii="Arial" w:hAnsi="Arial" w:cs="Arial"/>
                <w:sz w:val="24"/>
                <w:szCs w:val="24"/>
              </w:rPr>
              <w:t>Enforce the 120 days’ turnaround time for finalization of financial misconduct cases (current cases)  and that the 95% of financial misconduct backlog cases must be finalised in the year 2019/20</w:t>
            </w:r>
          </w:p>
        </w:tc>
        <w:tc>
          <w:tcPr>
            <w:tcW w:w="1643" w:type="dxa"/>
            <w:shd w:val="clear" w:color="auto" w:fill="auto"/>
          </w:tcPr>
          <w:p w:rsidR="00A06EE3" w:rsidRPr="001167BD" w:rsidRDefault="00A06EE3" w:rsidP="007E319B">
            <w:pPr>
              <w:spacing w:before="120"/>
              <w:rPr>
                <w:rFonts w:ascii="Arial" w:hAnsi="Arial" w:cs="Arial"/>
                <w:b/>
                <w:sz w:val="24"/>
                <w:szCs w:val="24"/>
              </w:rPr>
            </w:pPr>
            <w:r w:rsidRPr="001167BD">
              <w:rPr>
                <w:rFonts w:ascii="Arial" w:hAnsi="Arial" w:cs="Arial"/>
                <w:sz w:val="24"/>
                <w:szCs w:val="24"/>
              </w:rPr>
              <w:t>31 March 2020</w:t>
            </w:r>
          </w:p>
        </w:tc>
        <w:tc>
          <w:tcPr>
            <w:tcW w:w="3937" w:type="dxa"/>
            <w:shd w:val="clear" w:color="auto" w:fill="auto"/>
          </w:tcPr>
          <w:p w:rsidR="00A06EE3" w:rsidRPr="001167BD" w:rsidRDefault="00463F04" w:rsidP="00463F04">
            <w:pPr>
              <w:spacing w:before="120"/>
              <w:rPr>
                <w:rFonts w:ascii="Arial" w:hAnsi="Arial" w:cs="Arial"/>
                <w:sz w:val="24"/>
                <w:szCs w:val="24"/>
              </w:rPr>
            </w:pPr>
            <w:r w:rsidRPr="001167BD">
              <w:rPr>
                <w:rFonts w:ascii="Arial" w:hAnsi="Arial" w:cs="Arial"/>
                <w:sz w:val="24"/>
                <w:szCs w:val="24"/>
              </w:rPr>
              <w:t>7</w:t>
            </w:r>
            <w:r w:rsidR="00A85958" w:rsidRPr="001167BD">
              <w:rPr>
                <w:rFonts w:ascii="Arial" w:hAnsi="Arial" w:cs="Arial"/>
                <w:sz w:val="24"/>
                <w:szCs w:val="24"/>
              </w:rPr>
              <w:t>9</w:t>
            </w:r>
            <w:r w:rsidR="00A06EE3" w:rsidRPr="001167BD">
              <w:rPr>
                <w:rFonts w:ascii="Arial" w:hAnsi="Arial" w:cs="Arial"/>
                <w:sz w:val="24"/>
                <w:szCs w:val="24"/>
              </w:rPr>
              <w:t xml:space="preserve"> % (or </w:t>
            </w:r>
            <w:r w:rsidRPr="001167BD">
              <w:rPr>
                <w:rFonts w:ascii="Arial" w:hAnsi="Arial" w:cs="Arial"/>
                <w:sz w:val="24"/>
                <w:szCs w:val="24"/>
              </w:rPr>
              <w:t>244 out of 309</w:t>
            </w:r>
            <w:r w:rsidR="00A06EE3" w:rsidRPr="001167BD">
              <w:rPr>
                <w:rFonts w:ascii="Arial" w:hAnsi="Arial" w:cs="Arial"/>
                <w:sz w:val="24"/>
                <w:szCs w:val="24"/>
              </w:rPr>
              <w:t>) current cases were finalise</w:t>
            </w:r>
            <w:r w:rsidR="00C84DBD" w:rsidRPr="001167BD">
              <w:rPr>
                <w:rFonts w:ascii="Arial" w:hAnsi="Arial" w:cs="Arial"/>
                <w:sz w:val="24"/>
                <w:szCs w:val="24"/>
              </w:rPr>
              <w:t>d within 120 days during the 4th</w:t>
            </w:r>
            <w:r w:rsidR="00A06EE3" w:rsidRPr="001167BD">
              <w:rPr>
                <w:rFonts w:ascii="Arial" w:hAnsi="Arial" w:cs="Arial"/>
                <w:sz w:val="24"/>
                <w:szCs w:val="24"/>
              </w:rPr>
              <w:t xml:space="preserve"> Qua</w:t>
            </w:r>
            <w:r w:rsidR="006E4BB0" w:rsidRPr="001167BD">
              <w:rPr>
                <w:rFonts w:ascii="Arial" w:hAnsi="Arial" w:cs="Arial"/>
                <w:sz w:val="24"/>
                <w:szCs w:val="24"/>
              </w:rPr>
              <w:t>rter and 4</w:t>
            </w:r>
            <w:r w:rsidR="00D94FF9" w:rsidRPr="001167BD">
              <w:rPr>
                <w:rFonts w:ascii="Arial" w:hAnsi="Arial" w:cs="Arial"/>
                <w:sz w:val="24"/>
                <w:szCs w:val="24"/>
              </w:rPr>
              <w:t>6% (or 541</w:t>
            </w:r>
            <w:r w:rsidR="006E4BB0" w:rsidRPr="001167BD">
              <w:rPr>
                <w:rFonts w:ascii="Arial" w:hAnsi="Arial" w:cs="Arial"/>
                <w:sz w:val="24"/>
                <w:szCs w:val="24"/>
              </w:rPr>
              <w:t xml:space="preserve"> out of 1179</w:t>
            </w:r>
            <w:r w:rsidR="00A06EE3" w:rsidRPr="001167BD">
              <w:rPr>
                <w:rFonts w:ascii="Arial" w:hAnsi="Arial" w:cs="Arial"/>
                <w:sz w:val="24"/>
                <w:szCs w:val="24"/>
              </w:rPr>
              <w:t>) backlog cas</w:t>
            </w:r>
            <w:r w:rsidR="00BE7545" w:rsidRPr="001167BD">
              <w:rPr>
                <w:rFonts w:ascii="Arial" w:hAnsi="Arial" w:cs="Arial"/>
                <w:sz w:val="24"/>
                <w:szCs w:val="24"/>
              </w:rPr>
              <w:t>es were finalised during the 2019/20 financial year.</w:t>
            </w:r>
          </w:p>
        </w:tc>
        <w:tc>
          <w:tcPr>
            <w:tcW w:w="1792" w:type="dxa"/>
          </w:tcPr>
          <w:p w:rsidR="00A06EE3" w:rsidRPr="001167BD" w:rsidRDefault="00A06EE3" w:rsidP="007E319B">
            <w:pPr>
              <w:spacing w:before="120"/>
              <w:rPr>
                <w:rFonts w:ascii="Arial" w:hAnsi="Arial" w:cs="Arial"/>
                <w:sz w:val="24"/>
                <w:szCs w:val="24"/>
              </w:rPr>
            </w:pPr>
            <w:r w:rsidRPr="001167BD">
              <w:rPr>
                <w:rFonts w:ascii="Arial" w:hAnsi="Arial" w:cs="Arial"/>
                <w:sz w:val="24"/>
                <w:szCs w:val="24"/>
              </w:rPr>
              <w:t>Mr Kuduku Mowa (Senior Manager- Internal Control)</w:t>
            </w:r>
          </w:p>
        </w:tc>
      </w:tr>
      <w:tr w:rsidR="00A06EE3" w:rsidRPr="00CC2003" w:rsidTr="0034203D">
        <w:tc>
          <w:tcPr>
            <w:tcW w:w="4747" w:type="dxa"/>
          </w:tcPr>
          <w:p w:rsidR="00A06EE3" w:rsidRPr="00CC2003" w:rsidRDefault="00A06EE3" w:rsidP="007E319B">
            <w:pPr>
              <w:spacing w:before="120"/>
              <w:rPr>
                <w:rFonts w:ascii="Arial" w:hAnsi="Arial" w:cs="Arial"/>
                <w:b/>
                <w:sz w:val="24"/>
                <w:szCs w:val="24"/>
              </w:rPr>
            </w:pPr>
          </w:p>
        </w:tc>
        <w:tc>
          <w:tcPr>
            <w:tcW w:w="3420" w:type="dxa"/>
            <w:shd w:val="clear" w:color="auto" w:fill="auto"/>
          </w:tcPr>
          <w:p w:rsidR="00A06EE3" w:rsidRPr="00F0671C" w:rsidRDefault="00032A20" w:rsidP="00032A20">
            <w:pPr>
              <w:pStyle w:val="ListParagraph"/>
              <w:numPr>
                <w:ilvl w:val="0"/>
                <w:numId w:val="32"/>
              </w:numPr>
              <w:spacing w:before="120" w:after="200" w:line="276" w:lineRule="auto"/>
              <w:ind w:left="252" w:hanging="270"/>
              <w:rPr>
                <w:rFonts w:ascii="Arial" w:hAnsi="Arial" w:cs="Arial"/>
                <w:b/>
                <w:sz w:val="24"/>
                <w:szCs w:val="24"/>
              </w:rPr>
            </w:pPr>
            <w:r w:rsidRPr="00F0671C">
              <w:rPr>
                <w:rFonts w:ascii="Arial" w:hAnsi="Arial" w:cs="Arial"/>
                <w:sz w:val="24"/>
                <w:szCs w:val="24"/>
              </w:rPr>
              <w:t>Eight</w:t>
            </w:r>
            <w:r w:rsidR="00E42C7C" w:rsidRPr="00F0671C">
              <w:rPr>
                <w:rFonts w:ascii="Arial" w:hAnsi="Arial" w:cs="Arial"/>
                <w:sz w:val="24"/>
                <w:szCs w:val="24"/>
              </w:rPr>
              <w:t xml:space="preserve"> (8) </w:t>
            </w:r>
            <w:r w:rsidRPr="00F0671C">
              <w:rPr>
                <w:rFonts w:ascii="Arial" w:hAnsi="Arial" w:cs="Arial"/>
                <w:sz w:val="24"/>
                <w:szCs w:val="24"/>
              </w:rPr>
              <w:t xml:space="preserve"> m</w:t>
            </w:r>
            <w:r w:rsidR="00A06EE3" w:rsidRPr="00F0671C">
              <w:rPr>
                <w:rFonts w:ascii="Arial" w:hAnsi="Arial" w:cs="Arial"/>
                <w:sz w:val="24"/>
                <w:szCs w:val="24"/>
              </w:rPr>
              <w:t xml:space="preserve">ajor irregular expenditure and </w:t>
            </w:r>
            <w:r w:rsidR="0042241F" w:rsidRPr="00F0671C">
              <w:rPr>
                <w:rFonts w:ascii="Arial" w:hAnsi="Arial" w:cs="Arial"/>
                <w:sz w:val="24"/>
                <w:szCs w:val="24"/>
              </w:rPr>
              <w:t xml:space="preserve"> four (5</w:t>
            </w:r>
            <w:r w:rsidR="00E42C7C" w:rsidRPr="00F0671C">
              <w:rPr>
                <w:rFonts w:ascii="Arial" w:hAnsi="Arial" w:cs="Arial"/>
                <w:sz w:val="24"/>
                <w:szCs w:val="24"/>
              </w:rPr>
              <w:t xml:space="preserve">) </w:t>
            </w:r>
            <w:r w:rsidR="00A06EE3" w:rsidRPr="00F0671C">
              <w:rPr>
                <w:rFonts w:ascii="Arial" w:hAnsi="Arial" w:cs="Arial"/>
                <w:sz w:val="24"/>
                <w:szCs w:val="24"/>
              </w:rPr>
              <w:t>fruitless and wasteful expenditure</w:t>
            </w:r>
          </w:p>
        </w:tc>
        <w:tc>
          <w:tcPr>
            <w:tcW w:w="1643" w:type="dxa"/>
            <w:shd w:val="clear" w:color="auto" w:fill="auto"/>
          </w:tcPr>
          <w:p w:rsidR="00A06EE3" w:rsidRPr="00F0671C" w:rsidRDefault="00A06EE3" w:rsidP="007E319B">
            <w:pPr>
              <w:spacing w:before="120"/>
              <w:rPr>
                <w:rFonts w:ascii="Arial" w:hAnsi="Arial" w:cs="Arial"/>
                <w:b/>
                <w:sz w:val="24"/>
                <w:szCs w:val="24"/>
              </w:rPr>
            </w:pPr>
            <w:r w:rsidRPr="00F0671C">
              <w:rPr>
                <w:rFonts w:ascii="Arial" w:hAnsi="Arial" w:cs="Arial"/>
                <w:sz w:val="24"/>
                <w:szCs w:val="24"/>
              </w:rPr>
              <w:t>31 March 2020</w:t>
            </w:r>
          </w:p>
        </w:tc>
        <w:tc>
          <w:tcPr>
            <w:tcW w:w="3937" w:type="dxa"/>
            <w:shd w:val="clear" w:color="auto" w:fill="auto"/>
          </w:tcPr>
          <w:p w:rsidR="001927E8" w:rsidRPr="00F0671C" w:rsidRDefault="00DF3D36" w:rsidP="001927E8">
            <w:pPr>
              <w:spacing w:before="120"/>
              <w:rPr>
                <w:rFonts w:ascii="Arial" w:hAnsi="Arial" w:cs="Arial"/>
                <w:sz w:val="24"/>
                <w:szCs w:val="24"/>
              </w:rPr>
            </w:pPr>
            <w:r w:rsidRPr="00F0671C">
              <w:rPr>
                <w:rFonts w:ascii="Arial" w:hAnsi="Arial" w:cs="Arial"/>
                <w:sz w:val="24"/>
                <w:szCs w:val="24"/>
              </w:rPr>
              <w:t xml:space="preserve">Two (2) irregular expenditure were finalised. i.e. </w:t>
            </w:r>
          </w:p>
          <w:p w:rsidR="001927E8" w:rsidRPr="00F0671C" w:rsidRDefault="001927E8" w:rsidP="001927E8">
            <w:pPr>
              <w:pStyle w:val="ListParagraph"/>
              <w:numPr>
                <w:ilvl w:val="0"/>
                <w:numId w:val="41"/>
              </w:numPr>
              <w:spacing w:before="120"/>
              <w:rPr>
                <w:rFonts w:ascii="Arial" w:hAnsi="Arial" w:cs="Arial"/>
                <w:sz w:val="24"/>
                <w:szCs w:val="24"/>
              </w:rPr>
            </w:pPr>
            <w:r w:rsidRPr="00F0671C">
              <w:rPr>
                <w:rFonts w:ascii="Arial" w:hAnsi="Arial" w:cs="Arial"/>
                <w:sz w:val="24"/>
                <w:szCs w:val="24"/>
              </w:rPr>
              <w:t>T</w:t>
            </w:r>
            <w:r w:rsidR="00DF3D36" w:rsidRPr="00F0671C">
              <w:rPr>
                <w:rFonts w:ascii="Arial" w:hAnsi="Arial" w:cs="Arial"/>
                <w:sz w:val="24"/>
                <w:szCs w:val="24"/>
              </w:rPr>
              <w:t xml:space="preserve">he </w:t>
            </w:r>
            <w:r w:rsidR="00032A20" w:rsidRPr="00F0671C">
              <w:rPr>
                <w:rFonts w:ascii="Arial" w:hAnsi="Arial" w:cs="Arial"/>
                <w:sz w:val="24"/>
                <w:szCs w:val="24"/>
              </w:rPr>
              <w:t xml:space="preserve">case </w:t>
            </w:r>
            <w:r w:rsidR="00DF3D36" w:rsidRPr="00F0671C">
              <w:rPr>
                <w:rFonts w:ascii="Arial" w:hAnsi="Arial" w:cs="Arial"/>
                <w:sz w:val="24"/>
                <w:szCs w:val="24"/>
              </w:rPr>
              <w:t xml:space="preserve"> </w:t>
            </w:r>
            <w:r w:rsidR="00032A20" w:rsidRPr="00F0671C">
              <w:rPr>
                <w:rFonts w:ascii="Arial" w:hAnsi="Arial" w:cs="Arial"/>
                <w:sz w:val="24"/>
                <w:szCs w:val="24"/>
              </w:rPr>
              <w:t>of</w:t>
            </w:r>
            <w:r w:rsidR="00DF3D36" w:rsidRPr="00F0671C">
              <w:rPr>
                <w:rFonts w:ascii="Arial" w:hAnsi="Arial" w:cs="Arial"/>
                <w:sz w:val="24"/>
                <w:szCs w:val="24"/>
              </w:rPr>
              <w:t xml:space="preserve"> </w:t>
            </w:r>
            <w:r w:rsidR="00A06EE3" w:rsidRPr="00F0671C">
              <w:rPr>
                <w:rFonts w:ascii="Arial" w:hAnsi="Arial" w:cs="Arial"/>
                <w:sz w:val="24"/>
                <w:szCs w:val="24"/>
              </w:rPr>
              <w:t xml:space="preserve"> the R 358 million in respect of the </w:t>
            </w:r>
            <w:r w:rsidR="00DF3D36" w:rsidRPr="00F0671C">
              <w:rPr>
                <w:rFonts w:ascii="Arial" w:hAnsi="Arial" w:cs="Arial"/>
                <w:sz w:val="24"/>
                <w:szCs w:val="24"/>
              </w:rPr>
              <w:t xml:space="preserve">Trifecta </w:t>
            </w:r>
            <w:r w:rsidR="00A06EE3" w:rsidRPr="00F0671C">
              <w:rPr>
                <w:rFonts w:ascii="Arial" w:hAnsi="Arial" w:cs="Arial"/>
                <w:sz w:val="24"/>
                <w:szCs w:val="24"/>
              </w:rPr>
              <w:t>lease payment was</w:t>
            </w:r>
            <w:r w:rsidR="00032A20" w:rsidRPr="00F0671C">
              <w:rPr>
                <w:rFonts w:ascii="Arial" w:hAnsi="Arial" w:cs="Arial"/>
                <w:sz w:val="24"/>
                <w:szCs w:val="24"/>
              </w:rPr>
              <w:t xml:space="preserve"> condoned by National Treasury</w:t>
            </w:r>
            <w:r w:rsidR="00DF3D36" w:rsidRPr="00F0671C">
              <w:rPr>
                <w:rFonts w:ascii="Arial" w:hAnsi="Arial" w:cs="Arial"/>
                <w:sz w:val="24"/>
                <w:szCs w:val="24"/>
              </w:rPr>
              <w:t xml:space="preserve"> </w:t>
            </w:r>
          </w:p>
          <w:p w:rsidR="00032A20" w:rsidRPr="00F0671C" w:rsidRDefault="001927E8" w:rsidP="001927E8">
            <w:pPr>
              <w:pStyle w:val="ListParagraph"/>
              <w:numPr>
                <w:ilvl w:val="0"/>
                <w:numId w:val="41"/>
              </w:numPr>
              <w:spacing w:before="120"/>
              <w:rPr>
                <w:rFonts w:ascii="Arial" w:hAnsi="Arial" w:cs="Arial"/>
                <w:sz w:val="24"/>
                <w:szCs w:val="24"/>
              </w:rPr>
            </w:pPr>
            <w:r w:rsidRPr="00F0671C">
              <w:rPr>
                <w:rFonts w:ascii="Arial" w:hAnsi="Arial" w:cs="Arial"/>
                <w:sz w:val="24"/>
                <w:szCs w:val="24"/>
              </w:rPr>
              <w:t xml:space="preserve">The </w:t>
            </w:r>
            <w:r w:rsidR="00DF3D36" w:rsidRPr="00F0671C">
              <w:rPr>
                <w:rFonts w:ascii="Arial" w:hAnsi="Arial" w:cs="Arial"/>
                <w:sz w:val="24"/>
                <w:szCs w:val="24"/>
              </w:rPr>
              <w:t xml:space="preserve">case of </w:t>
            </w:r>
            <w:r w:rsidRPr="00F0671C">
              <w:rPr>
                <w:rFonts w:ascii="Arial" w:hAnsi="Arial" w:cs="Arial"/>
                <w:sz w:val="24"/>
                <w:szCs w:val="24"/>
              </w:rPr>
              <w:t xml:space="preserve">R316 million </w:t>
            </w:r>
            <w:r w:rsidR="00DF3D36" w:rsidRPr="00F0671C">
              <w:rPr>
                <w:rFonts w:ascii="Arial" w:hAnsi="Arial" w:cs="Arial"/>
                <w:sz w:val="24"/>
                <w:szCs w:val="24"/>
              </w:rPr>
              <w:t>Re-registration of beneficiary by CPS is to be recovered from CPS after the Constitutional Court dismissed CPS appeal.</w:t>
            </w:r>
          </w:p>
          <w:p w:rsidR="00141E8D" w:rsidRPr="00F0671C" w:rsidRDefault="00141E8D" w:rsidP="001927E8">
            <w:pPr>
              <w:pStyle w:val="ListParagraph"/>
              <w:spacing w:before="120"/>
              <w:ind w:left="97"/>
              <w:rPr>
                <w:rFonts w:ascii="Arial" w:hAnsi="Arial" w:cs="Arial"/>
                <w:sz w:val="24"/>
                <w:szCs w:val="24"/>
              </w:rPr>
            </w:pPr>
          </w:p>
          <w:p w:rsidR="00A06EE3" w:rsidRPr="00F0671C" w:rsidRDefault="001927E8" w:rsidP="0092672C">
            <w:pPr>
              <w:pStyle w:val="ListParagraph"/>
              <w:spacing w:before="120"/>
              <w:ind w:left="97"/>
              <w:rPr>
                <w:rFonts w:ascii="Arial" w:hAnsi="Arial" w:cs="Arial"/>
                <w:sz w:val="24"/>
                <w:szCs w:val="24"/>
              </w:rPr>
            </w:pPr>
            <w:r w:rsidRPr="00F0671C">
              <w:rPr>
                <w:rFonts w:ascii="Arial" w:hAnsi="Arial" w:cs="Arial"/>
                <w:sz w:val="24"/>
                <w:szCs w:val="24"/>
              </w:rPr>
              <w:t xml:space="preserve">The remaining six (6) cases of </w:t>
            </w:r>
            <w:r w:rsidR="00882ED9" w:rsidRPr="00F0671C">
              <w:rPr>
                <w:rFonts w:ascii="Arial" w:hAnsi="Arial" w:cs="Arial"/>
                <w:sz w:val="24"/>
                <w:szCs w:val="24"/>
              </w:rPr>
              <w:t>R70</w:t>
            </w:r>
            <w:r w:rsidR="0092672C" w:rsidRPr="00F0671C">
              <w:rPr>
                <w:rFonts w:ascii="Arial" w:hAnsi="Arial" w:cs="Arial"/>
                <w:sz w:val="24"/>
                <w:szCs w:val="24"/>
              </w:rPr>
              <w:t>6</w:t>
            </w:r>
            <w:r w:rsidR="00882ED9" w:rsidRPr="00F0671C">
              <w:rPr>
                <w:rFonts w:ascii="Arial" w:hAnsi="Arial" w:cs="Arial"/>
                <w:sz w:val="24"/>
                <w:szCs w:val="24"/>
              </w:rPr>
              <w:t xml:space="preserve"> million </w:t>
            </w:r>
            <w:r w:rsidRPr="00F0671C">
              <w:rPr>
                <w:rFonts w:ascii="Arial" w:hAnsi="Arial" w:cs="Arial"/>
                <w:sz w:val="24"/>
                <w:szCs w:val="24"/>
              </w:rPr>
              <w:t xml:space="preserve">irregular expenditure are being </w:t>
            </w:r>
            <w:r w:rsidR="00A06EE3" w:rsidRPr="00F0671C">
              <w:rPr>
                <w:rFonts w:ascii="Arial" w:hAnsi="Arial" w:cs="Arial"/>
                <w:sz w:val="24"/>
                <w:szCs w:val="24"/>
              </w:rPr>
              <w:t xml:space="preserve">considered by CEO and Labour Relations Unit for purposes finalizing consequence management. </w:t>
            </w:r>
          </w:p>
          <w:p w:rsidR="00D734B8" w:rsidRPr="00F0671C" w:rsidRDefault="005315E5" w:rsidP="0092672C">
            <w:pPr>
              <w:pStyle w:val="ListParagraph"/>
              <w:spacing w:before="120"/>
              <w:ind w:left="97"/>
              <w:rPr>
                <w:rFonts w:ascii="Arial" w:hAnsi="Arial" w:cs="Arial"/>
                <w:sz w:val="24"/>
                <w:szCs w:val="24"/>
              </w:rPr>
            </w:pPr>
            <w:r>
              <w:rPr>
                <w:rFonts w:ascii="Arial" w:hAnsi="Arial" w:cs="Arial"/>
                <w:sz w:val="24"/>
                <w:szCs w:val="24"/>
              </w:rPr>
              <w:t>The</w:t>
            </w:r>
            <w:r w:rsidR="005B7B18">
              <w:rPr>
                <w:rFonts w:ascii="Arial" w:hAnsi="Arial" w:cs="Arial"/>
                <w:sz w:val="24"/>
                <w:szCs w:val="24"/>
              </w:rPr>
              <w:t xml:space="preserve">re are </w:t>
            </w:r>
            <w:r>
              <w:rPr>
                <w:rFonts w:ascii="Arial" w:hAnsi="Arial" w:cs="Arial"/>
                <w:sz w:val="24"/>
                <w:szCs w:val="24"/>
              </w:rPr>
              <w:t>five (5)</w:t>
            </w:r>
            <w:r w:rsidR="005B7B18">
              <w:rPr>
                <w:rFonts w:ascii="Arial" w:hAnsi="Arial" w:cs="Arial"/>
                <w:sz w:val="24"/>
                <w:szCs w:val="24"/>
              </w:rPr>
              <w:t xml:space="preserve"> major</w:t>
            </w:r>
            <w:r>
              <w:rPr>
                <w:rFonts w:ascii="Arial" w:hAnsi="Arial" w:cs="Arial"/>
                <w:sz w:val="24"/>
                <w:szCs w:val="24"/>
              </w:rPr>
              <w:t xml:space="preserve"> fruitless and wasteful expenditure amount</w:t>
            </w:r>
            <w:r w:rsidR="005B7B18">
              <w:rPr>
                <w:rFonts w:ascii="Arial" w:hAnsi="Arial" w:cs="Arial"/>
                <w:sz w:val="24"/>
                <w:szCs w:val="24"/>
              </w:rPr>
              <w:t>ing to</w:t>
            </w:r>
            <w:r>
              <w:rPr>
                <w:rFonts w:ascii="Arial" w:hAnsi="Arial" w:cs="Arial"/>
                <w:sz w:val="24"/>
                <w:szCs w:val="24"/>
              </w:rPr>
              <w:t xml:space="preserve"> R85 million</w:t>
            </w:r>
            <w:r w:rsidR="005B7B18">
              <w:rPr>
                <w:rFonts w:ascii="Arial" w:hAnsi="Arial" w:cs="Arial"/>
                <w:sz w:val="24"/>
                <w:szCs w:val="24"/>
              </w:rPr>
              <w:t xml:space="preserve"> are prioritised by management </w:t>
            </w:r>
            <w:r w:rsidR="00A7420D" w:rsidRPr="00F0671C">
              <w:rPr>
                <w:rFonts w:ascii="Arial" w:hAnsi="Arial" w:cs="Arial"/>
                <w:sz w:val="24"/>
                <w:szCs w:val="24"/>
              </w:rPr>
              <w:t xml:space="preserve">The </w:t>
            </w:r>
            <w:r w:rsidR="005C133B" w:rsidRPr="00F0671C">
              <w:rPr>
                <w:rFonts w:ascii="Arial" w:hAnsi="Arial" w:cs="Arial"/>
                <w:sz w:val="24"/>
                <w:szCs w:val="24"/>
              </w:rPr>
              <w:t>three</w:t>
            </w:r>
            <w:r w:rsidR="003F4396" w:rsidRPr="00F0671C">
              <w:rPr>
                <w:rFonts w:ascii="Arial" w:hAnsi="Arial" w:cs="Arial"/>
                <w:sz w:val="24"/>
                <w:szCs w:val="24"/>
              </w:rPr>
              <w:t xml:space="preserve"> (</w:t>
            </w:r>
            <w:r w:rsidR="005C133B" w:rsidRPr="00F0671C">
              <w:rPr>
                <w:rFonts w:ascii="Arial" w:hAnsi="Arial" w:cs="Arial"/>
                <w:sz w:val="24"/>
                <w:szCs w:val="24"/>
              </w:rPr>
              <w:t>3</w:t>
            </w:r>
            <w:r w:rsidR="003F4396" w:rsidRPr="00F0671C">
              <w:rPr>
                <w:rFonts w:ascii="Arial" w:hAnsi="Arial" w:cs="Arial"/>
                <w:sz w:val="24"/>
                <w:szCs w:val="24"/>
              </w:rPr>
              <w:t>)</w:t>
            </w:r>
            <w:r w:rsidR="005C133B" w:rsidRPr="00F0671C">
              <w:rPr>
                <w:rFonts w:ascii="Arial" w:hAnsi="Arial" w:cs="Arial"/>
                <w:sz w:val="24"/>
                <w:szCs w:val="24"/>
              </w:rPr>
              <w:t xml:space="preserve"> of major</w:t>
            </w:r>
            <w:r w:rsidR="00A7420D" w:rsidRPr="00F0671C">
              <w:rPr>
                <w:rFonts w:ascii="Arial" w:hAnsi="Arial" w:cs="Arial"/>
                <w:sz w:val="24"/>
                <w:szCs w:val="24"/>
              </w:rPr>
              <w:t xml:space="preserve"> fruitless and wasteful expenditure </w:t>
            </w:r>
            <w:r w:rsidR="005C133B" w:rsidRPr="00F0671C">
              <w:rPr>
                <w:rFonts w:ascii="Arial" w:hAnsi="Arial" w:cs="Arial"/>
                <w:sz w:val="24"/>
                <w:szCs w:val="24"/>
              </w:rPr>
              <w:t xml:space="preserve">are being pursued through Legal process </w:t>
            </w:r>
            <w:r w:rsidR="00D734B8" w:rsidRPr="00F0671C">
              <w:rPr>
                <w:rFonts w:ascii="Arial" w:hAnsi="Arial" w:cs="Arial"/>
                <w:sz w:val="24"/>
                <w:szCs w:val="24"/>
              </w:rPr>
              <w:t>against former</w:t>
            </w:r>
            <w:r w:rsidR="005C133B" w:rsidRPr="00F0671C">
              <w:rPr>
                <w:rFonts w:ascii="Arial" w:hAnsi="Arial" w:cs="Arial"/>
                <w:sz w:val="24"/>
                <w:szCs w:val="24"/>
              </w:rPr>
              <w:t xml:space="preserve"> officials and the former Minister of the Departme</w:t>
            </w:r>
            <w:r w:rsidR="00D734B8" w:rsidRPr="00F0671C">
              <w:rPr>
                <w:rFonts w:ascii="Arial" w:hAnsi="Arial" w:cs="Arial"/>
                <w:sz w:val="24"/>
                <w:szCs w:val="24"/>
              </w:rPr>
              <w:t>nt of Social development</w:t>
            </w:r>
            <w:r w:rsidR="005B7B18">
              <w:rPr>
                <w:rFonts w:ascii="Arial" w:hAnsi="Arial" w:cs="Arial"/>
                <w:sz w:val="24"/>
                <w:szCs w:val="24"/>
              </w:rPr>
              <w:t>. One</w:t>
            </w:r>
            <w:r w:rsidR="00D734B8" w:rsidRPr="00F0671C">
              <w:rPr>
                <w:rFonts w:ascii="Arial" w:hAnsi="Arial" w:cs="Arial"/>
                <w:sz w:val="24"/>
                <w:szCs w:val="24"/>
              </w:rPr>
              <w:t xml:space="preserve"> (1)</w:t>
            </w:r>
            <w:r w:rsidR="005C133B" w:rsidRPr="00F0671C">
              <w:rPr>
                <w:rFonts w:ascii="Arial" w:hAnsi="Arial" w:cs="Arial"/>
                <w:sz w:val="24"/>
                <w:szCs w:val="24"/>
              </w:rPr>
              <w:t xml:space="preserve"> case</w:t>
            </w:r>
            <w:r w:rsidR="00D734B8" w:rsidRPr="00F0671C">
              <w:rPr>
                <w:rFonts w:ascii="Arial" w:hAnsi="Arial" w:cs="Arial"/>
                <w:sz w:val="24"/>
                <w:szCs w:val="24"/>
              </w:rPr>
              <w:t>, the investigator has completed investigation</w:t>
            </w:r>
            <w:r w:rsidR="005B7B18">
              <w:rPr>
                <w:rFonts w:ascii="Arial" w:hAnsi="Arial" w:cs="Arial"/>
                <w:sz w:val="24"/>
                <w:szCs w:val="24"/>
              </w:rPr>
              <w:t xml:space="preserve"> and </w:t>
            </w:r>
            <w:r w:rsidR="00266C4A">
              <w:rPr>
                <w:rFonts w:ascii="Arial" w:hAnsi="Arial" w:cs="Arial"/>
                <w:sz w:val="24"/>
                <w:szCs w:val="24"/>
              </w:rPr>
              <w:t xml:space="preserve">the </w:t>
            </w:r>
            <w:r w:rsidR="00266C4A" w:rsidRPr="00F0671C">
              <w:rPr>
                <w:rFonts w:ascii="Arial" w:hAnsi="Arial" w:cs="Arial"/>
                <w:sz w:val="24"/>
                <w:szCs w:val="24"/>
              </w:rPr>
              <w:t>report</w:t>
            </w:r>
            <w:r w:rsidR="00D734B8" w:rsidRPr="00F0671C">
              <w:rPr>
                <w:rFonts w:ascii="Arial" w:hAnsi="Arial" w:cs="Arial"/>
                <w:sz w:val="24"/>
                <w:szCs w:val="24"/>
              </w:rPr>
              <w:t xml:space="preserve"> is under consideration for implementation. And the </w:t>
            </w:r>
            <w:r w:rsidR="00D3532A" w:rsidRPr="00F0671C">
              <w:rPr>
                <w:rFonts w:ascii="Arial" w:hAnsi="Arial" w:cs="Arial"/>
                <w:sz w:val="24"/>
                <w:szCs w:val="24"/>
              </w:rPr>
              <w:t>remaining other</w:t>
            </w:r>
            <w:r w:rsidR="00D734B8" w:rsidRPr="00F0671C">
              <w:rPr>
                <w:rFonts w:ascii="Arial" w:hAnsi="Arial" w:cs="Arial"/>
                <w:sz w:val="24"/>
                <w:szCs w:val="24"/>
              </w:rPr>
              <w:t xml:space="preserve"> case is still under investigation.</w:t>
            </w:r>
          </w:p>
          <w:p w:rsidR="00016E65" w:rsidRPr="00F0671C" w:rsidRDefault="00016E65" w:rsidP="00D734B8">
            <w:pPr>
              <w:pStyle w:val="ListParagraph"/>
              <w:spacing w:before="120"/>
              <w:ind w:left="817"/>
              <w:rPr>
                <w:rFonts w:ascii="Arial" w:hAnsi="Arial" w:cs="Arial"/>
                <w:sz w:val="24"/>
                <w:szCs w:val="24"/>
              </w:rPr>
            </w:pPr>
          </w:p>
        </w:tc>
        <w:tc>
          <w:tcPr>
            <w:tcW w:w="1792" w:type="dxa"/>
            <w:shd w:val="clear" w:color="auto" w:fill="auto"/>
          </w:tcPr>
          <w:p w:rsidR="00A06EE3" w:rsidRPr="00F0671C" w:rsidRDefault="00A06EE3" w:rsidP="007E319B">
            <w:pPr>
              <w:spacing w:before="120"/>
              <w:rPr>
                <w:rFonts w:ascii="Arial" w:hAnsi="Arial" w:cs="Arial"/>
                <w:sz w:val="24"/>
                <w:szCs w:val="24"/>
              </w:rPr>
            </w:pPr>
            <w:r w:rsidRPr="00F0671C">
              <w:rPr>
                <w:rFonts w:ascii="Arial" w:hAnsi="Arial" w:cs="Arial"/>
                <w:sz w:val="24"/>
                <w:szCs w:val="24"/>
              </w:rPr>
              <w:t>Mr Kuduku Mowa (Senior Manager- Internal Control)</w:t>
            </w:r>
          </w:p>
        </w:tc>
      </w:tr>
    </w:tbl>
    <w:p w:rsidR="00A06EE3" w:rsidRPr="00CC2003" w:rsidRDefault="00A06EE3" w:rsidP="00A06EE3">
      <w:pPr>
        <w:rPr>
          <w:rFonts w:ascii="Arial" w:hAnsi="Arial" w:cs="Arial"/>
          <w:sz w:val="24"/>
          <w:szCs w:val="24"/>
        </w:rPr>
      </w:pPr>
    </w:p>
    <w:p w:rsidR="00A06EE3" w:rsidRPr="00CC2003" w:rsidRDefault="00A06EE3" w:rsidP="00A06EE3">
      <w:pPr>
        <w:rPr>
          <w:rFonts w:ascii="Arial" w:hAnsi="Arial" w:cs="Arial"/>
          <w:sz w:val="24"/>
          <w:szCs w:val="24"/>
        </w:rPr>
      </w:pPr>
    </w:p>
    <w:p w:rsidR="003B7A3B" w:rsidRPr="00952E03" w:rsidRDefault="003B7A3B" w:rsidP="003B7A3B">
      <w:pPr>
        <w:pStyle w:val="Heading1"/>
        <w:ind w:left="576" w:hanging="576"/>
        <w:rPr>
          <w:rFonts w:ascii="Arial" w:hAnsi="Arial" w:cs="Arial"/>
        </w:rPr>
      </w:pPr>
      <w:bookmarkStart w:id="6" w:name="_Toc37343864"/>
      <w:r w:rsidRPr="00952E03">
        <w:rPr>
          <w:rFonts w:ascii="Arial" w:hAnsi="Arial" w:cs="Arial"/>
        </w:rPr>
        <w:t>Compliance Management</w:t>
      </w:r>
      <w:bookmarkEnd w:id="6"/>
    </w:p>
    <w:p w:rsidR="003B7A3B" w:rsidRPr="00CC2003" w:rsidRDefault="003B7A3B" w:rsidP="003B7A3B">
      <w:pPr>
        <w:rPr>
          <w:rFonts w:ascii="Arial" w:hAnsi="Arial" w:cs="Arial"/>
          <w:sz w:val="24"/>
          <w:szCs w:val="24"/>
        </w:rPr>
      </w:pPr>
    </w:p>
    <w:tbl>
      <w:tblPr>
        <w:tblStyle w:val="TableGrid"/>
        <w:tblW w:w="15456" w:type="dxa"/>
        <w:tblInd w:w="-702" w:type="dxa"/>
        <w:tblLook w:val="04A0" w:firstRow="1" w:lastRow="0" w:firstColumn="1" w:lastColumn="0" w:noHBand="0" w:noVBand="1"/>
      </w:tblPr>
      <w:tblGrid>
        <w:gridCol w:w="4747"/>
        <w:gridCol w:w="3420"/>
        <w:gridCol w:w="1643"/>
        <w:gridCol w:w="3937"/>
        <w:gridCol w:w="1709"/>
      </w:tblGrid>
      <w:tr w:rsidR="003B7A3B" w:rsidRPr="00CC2003" w:rsidTr="0034203D">
        <w:tc>
          <w:tcPr>
            <w:tcW w:w="4747" w:type="dxa"/>
            <w:shd w:val="clear" w:color="auto" w:fill="DEEAF6" w:themeFill="accent1" w:themeFillTint="33"/>
          </w:tcPr>
          <w:p w:rsidR="003B7A3B" w:rsidRPr="00CC2003" w:rsidRDefault="003B7A3B" w:rsidP="007E319B">
            <w:pPr>
              <w:spacing w:before="120"/>
              <w:rPr>
                <w:rFonts w:ascii="Arial" w:hAnsi="Arial" w:cs="Arial"/>
                <w:b/>
                <w:sz w:val="24"/>
                <w:szCs w:val="24"/>
              </w:rPr>
            </w:pPr>
            <w:r w:rsidRPr="00CC2003">
              <w:rPr>
                <w:rFonts w:ascii="Arial" w:hAnsi="Arial" w:cs="Arial"/>
                <w:b/>
                <w:sz w:val="24"/>
                <w:szCs w:val="24"/>
              </w:rPr>
              <w:t>AGSA Review to Portfolio Committee</w:t>
            </w:r>
          </w:p>
        </w:tc>
        <w:tc>
          <w:tcPr>
            <w:tcW w:w="3420" w:type="dxa"/>
            <w:shd w:val="clear" w:color="auto" w:fill="DEEAF6" w:themeFill="accent1" w:themeFillTint="33"/>
          </w:tcPr>
          <w:p w:rsidR="003B7A3B" w:rsidRPr="00CC2003" w:rsidRDefault="003B7A3B" w:rsidP="007E319B">
            <w:pPr>
              <w:spacing w:before="120"/>
              <w:rPr>
                <w:rFonts w:ascii="Arial" w:hAnsi="Arial" w:cs="Arial"/>
                <w:b/>
                <w:sz w:val="24"/>
                <w:szCs w:val="24"/>
              </w:rPr>
            </w:pPr>
            <w:r w:rsidRPr="00CC2003">
              <w:rPr>
                <w:rFonts w:ascii="Arial" w:hAnsi="Arial" w:cs="Arial"/>
                <w:b/>
                <w:sz w:val="24"/>
                <w:szCs w:val="24"/>
              </w:rPr>
              <w:t>Commitments</w:t>
            </w:r>
          </w:p>
        </w:tc>
        <w:tc>
          <w:tcPr>
            <w:tcW w:w="1643" w:type="dxa"/>
            <w:shd w:val="clear" w:color="auto" w:fill="DEEAF6" w:themeFill="accent1" w:themeFillTint="33"/>
          </w:tcPr>
          <w:p w:rsidR="003B7A3B" w:rsidRPr="00CC2003" w:rsidRDefault="003B7A3B" w:rsidP="007E319B">
            <w:pPr>
              <w:spacing w:before="120"/>
              <w:rPr>
                <w:rFonts w:ascii="Arial" w:hAnsi="Arial" w:cs="Arial"/>
                <w:b/>
                <w:sz w:val="24"/>
                <w:szCs w:val="24"/>
              </w:rPr>
            </w:pPr>
            <w:r w:rsidRPr="00CC2003">
              <w:rPr>
                <w:rFonts w:ascii="Arial" w:hAnsi="Arial" w:cs="Arial"/>
                <w:b/>
                <w:sz w:val="24"/>
                <w:szCs w:val="24"/>
              </w:rPr>
              <w:t>Date of commitment</w:t>
            </w:r>
          </w:p>
        </w:tc>
        <w:tc>
          <w:tcPr>
            <w:tcW w:w="3937" w:type="dxa"/>
            <w:shd w:val="clear" w:color="auto" w:fill="DEEAF6" w:themeFill="accent1" w:themeFillTint="33"/>
          </w:tcPr>
          <w:p w:rsidR="003B7A3B" w:rsidRPr="00CC2003" w:rsidRDefault="003B7A3B" w:rsidP="007E319B">
            <w:pPr>
              <w:spacing w:before="120"/>
              <w:rPr>
                <w:rFonts w:ascii="Arial" w:hAnsi="Arial" w:cs="Arial"/>
                <w:b/>
                <w:sz w:val="24"/>
                <w:szCs w:val="24"/>
              </w:rPr>
            </w:pPr>
            <w:r w:rsidRPr="00CC2003">
              <w:rPr>
                <w:rFonts w:ascii="Arial" w:hAnsi="Arial" w:cs="Arial"/>
                <w:b/>
                <w:sz w:val="24"/>
                <w:szCs w:val="24"/>
              </w:rPr>
              <w:t>Status</w:t>
            </w:r>
          </w:p>
          <w:p w:rsidR="003B7A3B" w:rsidRPr="00CC2003" w:rsidRDefault="003B7A3B" w:rsidP="007E319B">
            <w:pPr>
              <w:spacing w:before="120"/>
              <w:rPr>
                <w:rFonts w:ascii="Arial" w:hAnsi="Arial" w:cs="Arial"/>
                <w:b/>
                <w:sz w:val="24"/>
                <w:szCs w:val="24"/>
              </w:rPr>
            </w:pPr>
          </w:p>
        </w:tc>
        <w:tc>
          <w:tcPr>
            <w:tcW w:w="1709" w:type="dxa"/>
            <w:shd w:val="clear" w:color="auto" w:fill="DEEAF6" w:themeFill="accent1" w:themeFillTint="33"/>
          </w:tcPr>
          <w:p w:rsidR="003B7A3B" w:rsidRPr="00CC2003" w:rsidRDefault="003B7A3B" w:rsidP="007E319B">
            <w:pPr>
              <w:spacing w:before="120"/>
              <w:rPr>
                <w:rFonts w:ascii="Arial" w:hAnsi="Arial" w:cs="Arial"/>
                <w:b/>
                <w:sz w:val="24"/>
                <w:szCs w:val="24"/>
              </w:rPr>
            </w:pPr>
            <w:r w:rsidRPr="00CC2003">
              <w:rPr>
                <w:rFonts w:ascii="Arial" w:hAnsi="Arial" w:cs="Arial"/>
                <w:b/>
                <w:sz w:val="24"/>
                <w:szCs w:val="24"/>
              </w:rPr>
              <w:t>Responsible Person</w:t>
            </w:r>
          </w:p>
        </w:tc>
      </w:tr>
      <w:tr w:rsidR="003B7A3B" w:rsidRPr="00CC2003" w:rsidTr="0034203D">
        <w:tc>
          <w:tcPr>
            <w:tcW w:w="4747" w:type="dxa"/>
          </w:tcPr>
          <w:p w:rsidR="003B7A3B" w:rsidRPr="00CC2003" w:rsidRDefault="003B7A3B" w:rsidP="007E319B">
            <w:pPr>
              <w:spacing w:before="120"/>
              <w:rPr>
                <w:rFonts w:ascii="Arial" w:hAnsi="Arial" w:cs="Arial"/>
                <w:b/>
                <w:sz w:val="24"/>
                <w:szCs w:val="24"/>
              </w:rPr>
            </w:pPr>
            <w:r w:rsidRPr="00CC2003">
              <w:rPr>
                <w:rFonts w:ascii="Arial" w:hAnsi="Arial" w:cs="Arial"/>
                <w:b/>
                <w:sz w:val="24"/>
                <w:szCs w:val="24"/>
              </w:rPr>
              <w:t>Paragraph 29 &amp; 30</w:t>
            </w:r>
          </w:p>
          <w:p w:rsidR="003B7A3B" w:rsidRPr="00CC2003" w:rsidRDefault="003B7A3B" w:rsidP="007E319B">
            <w:pPr>
              <w:pStyle w:val="Default"/>
            </w:pPr>
            <w:r w:rsidRPr="00CC2003">
              <w:rPr>
                <w:b/>
              </w:rPr>
              <w:t xml:space="preserve">29: </w:t>
            </w:r>
            <w:r w:rsidRPr="00CC2003">
              <w:t xml:space="preserve">There are still long outstanding cases of irregular, fruitless and wasteful expenditure where investigations have not been finalised as yet. Management has reported that 17% (or 202 out of 1177) backlog cases were finalised during quarter 2. This results in ineffective consequence management processes as investigations are not finalized in time and corrective measures are not implemented. </w:t>
            </w:r>
          </w:p>
          <w:p w:rsidR="003B7A3B" w:rsidRPr="00CC2003" w:rsidRDefault="003B7A3B" w:rsidP="007E319B">
            <w:pPr>
              <w:pStyle w:val="Default"/>
            </w:pPr>
            <w:r w:rsidRPr="00CC2003">
              <w:rPr>
                <w:b/>
              </w:rPr>
              <w:t xml:space="preserve">30: </w:t>
            </w:r>
            <w:r w:rsidRPr="00CC2003">
              <w:t xml:space="preserve">The slow progress in finalising cases under investigation remains an issue of concern. SASSA is still not able to adhere to its own plan of finalising cases within 90 days. </w:t>
            </w:r>
          </w:p>
          <w:p w:rsidR="003B7A3B" w:rsidRPr="00CC2003" w:rsidRDefault="003B7A3B" w:rsidP="007E319B">
            <w:pPr>
              <w:pStyle w:val="Default"/>
              <w:rPr>
                <w:b/>
              </w:rPr>
            </w:pPr>
          </w:p>
        </w:tc>
        <w:tc>
          <w:tcPr>
            <w:tcW w:w="3420" w:type="dxa"/>
          </w:tcPr>
          <w:p w:rsidR="003B7A3B" w:rsidRPr="00CC2003" w:rsidRDefault="003B7A3B" w:rsidP="003B7A3B">
            <w:pPr>
              <w:pStyle w:val="ListParagraph"/>
              <w:numPr>
                <w:ilvl w:val="0"/>
                <w:numId w:val="34"/>
              </w:numPr>
              <w:spacing w:before="120" w:after="200" w:line="276" w:lineRule="auto"/>
              <w:ind w:left="252" w:hanging="270"/>
              <w:rPr>
                <w:rFonts w:ascii="Arial" w:hAnsi="Arial" w:cs="Arial"/>
                <w:b/>
                <w:sz w:val="24"/>
                <w:szCs w:val="24"/>
              </w:rPr>
            </w:pPr>
            <w:r w:rsidRPr="00CC2003">
              <w:rPr>
                <w:rFonts w:ascii="Arial" w:hAnsi="Arial" w:cs="Arial"/>
                <w:sz w:val="24"/>
                <w:szCs w:val="24"/>
              </w:rPr>
              <w:t>Enforce the 120 days’ turnaround time for finalization of financial misconduct cases (current cases)  and that the 95% of financial misconduct backlog cases must be finalised in the year 2019/20</w:t>
            </w:r>
          </w:p>
        </w:tc>
        <w:tc>
          <w:tcPr>
            <w:tcW w:w="1643" w:type="dxa"/>
            <w:shd w:val="clear" w:color="auto" w:fill="auto"/>
          </w:tcPr>
          <w:p w:rsidR="003B7A3B" w:rsidRPr="00731CE8" w:rsidRDefault="003B7A3B" w:rsidP="007E319B">
            <w:pPr>
              <w:spacing w:before="120"/>
              <w:rPr>
                <w:rFonts w:ascii="Arial" w:hAnsi="Arial" w:cs="Arial"/>
                <w:b/>
                <w:sz w:val="24"/>
                <w:szCs w:val="24"/>
              </w:rPr>
            </w:pPr>
            <w:r w:rsidRPr="00731CE8">
              <w:rPr>
                <w:rFonts w:ascii="Arial" w:hAnsi="Arial" w:cs="Arial"/>
                <w:sz w:val="24"/>
                <w:szCs w:val="24"/>
              </w:rPr>
              <w:t>31 March 2020</w:t>
            </w:r>
          </w:p>
        </w:tc>
        <w:tc>
          <w:tcPr>
            <w:tcW w:w="3937" w:type="dxa"/>
            <w:shd w:val="clear" w:color="auto" w:fill="auto"/>
          </w:tcPr>
          <w:p w:rsidR="00E84B7A" w:rsidRDefault="00BE7545" w:rsidP="00266C4A">
            <w:pPr>
              <w:pStyle w:val="ListParagraph"/>
              <w:numPr>
                <w:ilvl w:val="0"/>
                <w:numId w:val="43"/>
              </w:numPr>
              <w:spacing w:before="120"/>
              <w:rPr>
                <w:rFonts w:ascii="Arial" w:hAnsi="Arial" w:cs="Arial"/>
                <w:sz w:val="24"/>
                <w:szCs w:val="24"/>
              </w:rPr>
            </w:pPr>
            <w:r w:rsidRPr="00266C4A">
              <w:rPr>
                <w:rFonts w:ascii="Arial" w:hAnsi="Arial" w:cs="Arial"/>
                <w:sz w:val="24"/>
                <w:szCs w:val="24"/>
              </w:rPr>
              <w:t>79 % (or 244 out of 309) current cases were finalised within 120 days during the 4th Qua</w:t>
            </w:r>
            <w:r w:rsidR="00D94FF9" w:rsidRPr="00266C4A">
              <w:rPr>
                <w:rFonts w:ascii="Arial" w:hAnsi="Arial" w:cs="Arial"/>
                <w:sz w:val="24"/>
                <w:szCs w:val="24"/>
              </w:rPr>
              <w:t>rter and 46% (or 541</w:t>
            </w:r>
            <w:r w:rsidRPr="00266C4A">
              <w:rPr>
                <w:rFonts w:ascii="Arial" w:hAnsi="Arial" w:cs="Arial"/>
                <w:sz w:val="24"/>
                <w:szCs w:val="24"/>
              </w:rPr>
              <w:t xml:space="preserve"> out of 1179) backlog cases were finalised during the 2019/20 financial year.</w:t>
            </w:r>
          </w:p>
          <w:p w:rsidR="00796E59" w:rsidRPr="00266C4A" w:rsidRDefault="00796E59" w:rsidP="00266C4A">
            <w:pPr>
              <w:pStyle w:val="ListParagraph"/>
              <w:spacing w:before="120"/>
              <w:ind w:left="360"/>
              <w:rPr>
                <w:rFonts w:ascii="Arial" w:hAnsi="Arial" w:cs="Arial"/>
                <w:sz w:val="24"/>
                <w:szCs w:val="24"/>
              </w:rPr>
            </w:pPr>
          </w:p>
          <w:p w:rsidR="00796E59" w:rsidRPr="00266C4A" w:rsidRDefault="00796E59" w:rsidP="00266C4A">
            <w:pPr>
              <w:pStyle w:val="ListParagraph"/>
              <w:numPr>
                <w:ilvl w:val="0"/>
                <w:numId w:val="43"/>
              </w:numPr>
              <w:spacing w:before="120"/>
              <w:rPr>
                <w:rFonts w:ascii="Arial" w:hAnsi="Arial" w:cs="Arial"/>
                <w:sz w:val="24"/>
                <w:szCs w:val="24"/>
              </w:rPr>
            </w:pPr>
            <w:r w:rsidRPr="00266C4A">
              <w:rPr>
                <w:rFonts w:ascii="Arial" w:hAnsi="Arial" w:cs="Arial"/>
                <w:sz w:val="24"/>
                <w:szCs w:val="24"/>
              </w:rPr>
              <w:t xml:space="preserve">The Agency will further </w:t>
            </w:r>
            <w:r w:rsidR="00266C4A" w:rsidRPr="00266C4A">
              <w:rPr>
                <w:rFonts w:ascii="Arial" w:hAnsi="Arial" w:cs="Arial"/>
                <w:sz w:val="24"/>
                <w:szCs w:val="24"/>
              </w:rPr>
              <w:t>engage</w:t>
            </w:r>
            <w:r w:rsidRPr="00266C4A">
              <w:rPr>
                <w:rFonts w:ascii="Arial" w:hAnsi="Arial" w:cs="Arial"/>
                <w:sz w:val="24"/>
                <w:szCs w:val="24"/>
              </w:rPr>
              <w:t xml:space="preserve"> with National Treasury for the outstanding cases that require National Treasury consideration and condonation.</w:t>
            </w:r>
          </w:p>
        </w:tc>
        <w:tc>
          <w:tcPr>
            <w:tcW w:w="1709" w:type="dxa"/>
          </w:tcPr>
          <w:p w:rsidR="00E84B7A" w:rsidRPr="00731CE8" w:rsidRDefault="003B7A3B" w:rsidP="007E319B">
            <w:pPr>
              <w:spacing w:before="120"/>
              <w:rPr>
                <w:rFonts w:ascii="Arial" w:hAnsi="Arial" w:cs="Arial"/>
                <w:sz w:val="24"/>
                <w:szCs w:val="24"/>
              </w:rPr>
            </w:pPr>
            <w:r w:rsidRPr="00731CE8">
              <w:rPr>
                <w:rFonts w:ascii="Arial" w:hAnsi="Arial" w:cs="Arial"/>
                <w:sz w:val="24"/>
                <w:szCs w:val="24"/>
              </w:rPr>
              <w:t>Mr Kuduku Mowa (Senior Manager- Internal Control)</w:t>
            </w:r>
          </w:p>
          <w:p w:rsidR="00E84B7A" w:rsidRPr="00731CE8" w:rsidRDefault="00E84B7A" w:rsidP="00E84B7A">
            <w:pPr>
              <w:rPr>
                <w:rFonts w:ascii="Arial" w:hAnsi="Arial" w:cs="Arial"/>
                <w:sz w:val="24"/>
                <w:szCs w:val="24"/>
              </w:rPr>
            </w:pPr>
          </w:p>
          <w:p w:rsidR="00E84B7A" w:rsidRPr="00731CE8" w:rsidRDefault="00E84B7A" w:rsidP="00E84B7A">
            <w:pPr>
              <w:rPr>
                <w:rFonts w:ascii="Arial" w:hAnsi="Arial" w:cs="Arial"/>
                <w:sz w:val="24"/>
                <w:szCs w:val="24"/>
              </w:rPr>
            </w:pPr>
          </w:p>
          <w:p w:rsidR="00E84B7A" w:rsidRPr="00731CE8" w:rsidRDefault="00E84B7A" w:rsidP="00E84B7A">
            <w:pPr>
              <w:rPr>
                <w:rFonts w:ascii="Arial" w:hAnsi="Arial" w:cs="Arial"/>
                <w:sz w:val="24"/>
                <w:szCs w:val="24"/>
              </w:rPr>
            </w:pPr>
          </w:p>
          <w:p w:rsidR="00E84B7A" w:rsidRPr="00731CE8" w:rsidRDefault="00E84B7A" w:rsidP="00E84B7A">
            <w:pPr>
              <w:rPr>
                <w:rFonts w:ascii="Arial" w:hAnsi="Arial" w:cs="Arial"/>
                <w:sz w:val="24"/>
                <w:szCs w:val="24"/>
              </w:rPr>
            </w:pPr>
          </w:p>
          <w:p w:rsidR="003B7A3B" w:rsidRPr="00731CE8" w:rsidRDefault="003B7A3B" w:rsidP="00E84B7A">
            <w:pPr>
              <w:rPr>
                <w:rFonts w:ascii="Arial" w:hAnsi="Arial" w:cs="Arial"/>
                <w:sz w:val="24"/>
                <w:szCs w:val="24"/>
              </w:rPr>
            </w:pPr>
          </w:p>
        </w:tc>
      </w:tr>
      <w:tr w:rsidR="00BA67E6" w:rsidRPr="00CC2003" w:rsidTr="0034203D">
        <w:tc>
          <w:tcPr>
            <w:tcW w:w="4747" w:type="dxa"/>
          </w:tcPr>
          <w:p w:rsidR="00BA67E6" w:rsidRPr="00CC2003" w:rsidRDefault="00BA67E6" w:rsidP="00E824B9">
            <w:pPr>
              <w:spacing w:before="120"/>
              <w:ind w:right="-273"/>
              <w:rPr>
                <w:rFonts w:ascii="Arial" w:hAnsi="Arial" w:cs="Arial"/>
                <w:b/>
                <w:sz w:val="24"/>
                <w:szCs w:val="24"/>
              </w:rPr>
            </w:pPr>
          </w:p>
        </w:tc>
        <w:tc>
          <w:tcPr>
            <w:tcW w:w="3420" w:type="dxa"/>
            <w:shd w:val="clear" w:color="auto" w:fill="auto"/>
          </w:tcPr>
          <w:p w:rsidR="00BA67E6" w:rsidRPr="00E824B9" w:rsidRDefault="00BA67E6" w:rsidP="00E824B9">
            <w:pPr>
              <w:pStyle w:val="ListParagraph"/>
              <w:numPr>
                <w:ilvl w:val="0"/>
                <w:numId w:val="34"/>
              </w:numPr>
              <w:spacing w:before="120" w:after="200" w:line="276" w:lineRule="auto"/>
              <w:ind w:left="237" w:hanging="237"/>
              <w:rPr>
                <w:rFonts w:ascii="Arial" w:hAnsi="Arial" w:cs="Arial"/>
                <w:b/>
                <w:sz w:val="24"/>
                <w:szCs w:val="24"/>
              </w:rPr>
            </w:pPr>
            <w:r w:rsidRPr="00E824B9">
              <w:rPr>
                <w:rFonts w:ascii="Arial" w:hAnsi="Arial" w:cs="Arial"/>
                <w:sz w:val="24"/>
                <w:szCs w:val="24"/>
              </w:rPr>
              <w:t>Eight (8)  major irregular expenditure and  four (5) fruitless and wasteful expenditure</w:t>
            </w:r>
          </w:p>
        </w:tc>
        <w:tc>
          <w:tcPr>
            <w:tcW w:w="1643" w:type="dxa"/>
            <w:shd w:val="clear" w:color="auto" w:fill="auto"/>
          </w:tcPr>
          <w:p w:rsidR="00BA67E6" w:rsidRPr="00F0671C" w:rsidRDefault="00BA67E6" w:rsidP="00BA67E6">
            <w:pPr>
              <w:spacing w:before="120"/>
              <w:rPr>
                <w:rFonts w:ascii="Arial" w:hAnsi="Arial" w:cs="Arial"/>
                <w:b/>
                <w:sz w:val="24"/>
                <w:szCs w:val="24"/>
              </w:rPr>
            </w:pPr>
            <w:r w:rsidRPr="00F0671C">
              <w:rPr>
                <w:rFonts w:ascii="Arial" w:hAnsi="Arial" w:cs="Arial"/>
                <w:sz w:val="24"/>
                <w:szCs w:val="24"/>
              </w:rPr>
              <w:t>31 March 2020</w:t>
            </w:r>
          </w:p>
        </w:tc>
        <w:tc>
          <w:tcPr>
            <w:tcW w:w="3937" w:type="dxa"/>
            <w:shd w:val="clear" w:color="auto" w:fill="auto"/>
          </w:tcPr>
          <w:p w:rsidR="00796E59" w:rsidRPr="00F0671C" w:rsidRDefault="00266C4A" w:rsidP="00796E59">
            <w:pPr>
              <w:spacing w:before="120"/>
              <w:rPr>
                <w:rFonts w:ascii="Arial" w:hAnsi="Arial" w:cs="Arial"/>
                <w:sz w:val="24"/>
                <w:szCs w:val="24"/>
              </w:rPr>
            </w:pPr>
            <w:r w:rsidRPr="00F0671C">
              <w:rPr>
                <w:rFonts w:ascii="Arial" w:hAnsi="Arial" w:cs="Arial"/>
                <w:sz w:val="24"/>
                <w:szCs w:val="24"/>
              </w:rPr>
              <w:t xml:space="preserve">Two (2) irregular expenditure were </w:t>
            </w:r>
            <w:r>
              <w:rPr>
                <w:rFonts w:ascii="Arial" w:hAnsi="Arial" w:cs="Arial"/>
                <w:sz w:val="24"/>
                <w:szCs w:val="24"/>
              </w:rPr>
              <w:t>f</w:t>
            </w:r>
            <w:r w:rsidRPr="00F0671C">
              <w:rPr>
                <w:rFonts w:ascii="Arial" w:hAnsi="Arial" w:cs="Arial"/>
                <w:sz w:val="24"/>
                <w:szCs w:val="24"/>
              </w:rPr>
              <w:t>inalised</w:t>
            </w:r>
            <w:r w:rsidR="00796E59" w:rsidRPr="00F0671C">
              <w:rPr>
                <w:rFonts w:ascii="Arial" w:hAnsi="Arial" w:cs="Arial"/>
                <w:sz w:val="24"/>
                <w:szCs w:val="24"/>
              </w:rPr>
              <w:t xml:space="preserve">. i.e. </w:t>
            </w:r>
          </w:p>
          <w:p w:rsidR="00796E59" w:rsidRPr="00F0671C" w:rsidRDefault="00796E59" w:rsidP="00796E59">
            <w:pPr>
              <w:pStyle w:val="ListParagraph"/>
              <w:numPr>
                <w:ilvl w:val="0"/>
                <w:numId w:val="41"/>
              </w:numPr>
              <w:spacing w:before="120"/>
              <w:rPr>
                <w:rFonts w:ascii="Arial" w:hAnsi="Arial" w:cs="Arial"/>
                <w:sz w:val="24"/>
                <w:szCs w:val="24"/>
              </w:rPr>
            </w:pPr>
            <w:r w:rsidRPr="00F0671C">
              <w:rPr>
                <w:rFonts w:ascii="Arial" w:hAnsi="Arial" w:cs="Arial"/>
                <w:sz w:val="24"/>
                <w:szCs w:val="24"/>
              </w:rPr>
              <w:t xml:space="preserve">The case  of  the R 358 million in respect of the Trifecta lease payment was condoned by National Treasury </w:t>
            </w:r>
          </w:p>
          <w:p w:rsidR="00796E59" w:rsidRPr="00F0671C" w:rsidRDefault="00796E59" w:rsidP="00796E59">
            <w:pPr>
              <w:pStyle w:val="ListParagraph"/>
              <w:numPr>
                <w:ilvl w:val="0"/>
                <w:numId w:val="41"/>
              </w:numPr>
              <w:spacing w:before="120"/>
              <w:rPr>
                <w:rFonts w:ascii="Arial" w:hAnsi="Arial" w:cs="Arial"/>
                <w:sz w:val="24"/>
                <w:szCs w:val="24"/>
              </w:rPr>
            </w:pPr>
            <w:r w:rsidRPr="00F0671C">
              <w:rPr>
                <w:rFonts w:ascii="Arial" w:hAnsi="Arial" w:cs="Arial"/>
                <w:sz w:val="24"/>
                <w:szCs w:val="24"/>
              </w:rPr>
              <w:t>The case of R316 million Re-registration of beneficiary by CPS is to be recovered from CPS after the Constitutional Court dismissed CPS appeal.</w:t>
            </w:r>
          </w:p>
          <w:p w:rsidR="00796E59" w:rsidRPr="00F0671C" w:rsidRDefault="00796E59" w:rsidP="00796E59">
            <w:pPr>
              <w:pStyle w:val="ListParagraph"/>
              <w:spacing w:before="120"/>
              <w:ind w:left="97"/>
              <w:rPr>
                <w:rFonts w:ascii="Arial" w:hAnsi="Arial" w:cs="Arial"/>
                <w:sz w:val="24"/>
                <w:szCs w:val="24"/>
              </w:rPr>
            </w:pPr>
          </w:p>
          <w:p w:rsidR="00796E59" w:rsidRPr="00F0671C" w:rsidRDefault="00796E59" w:rsidP="00796E59">
            <w:pPr>
              <w:pStyle w:val="ListParagraph"/>
              <w:spacing w:before="120"/>
              <w:ind w:left="97"/>
              <w:rPr>
                <w:rFonts w:ascii="Arial" w:hAnsi="Arial" w:cs="Arial"/>
                <w:sz w:val="24"/>
                <w:szCs w:val="24"/>
              </w:rPr>
            </w:pPr>
            <w:r w:rsidRPr="00F0671C">
              <w:rPr>
                <w:rFonts w:ascii="Arial" w:hAnsi="Arial" w:cs="Arial"/>
                <w:sz w:val="24"/>
                <w:szCs w:val="24"/>
              </w:rPr>
              <w:t xml:space="preserve">The remaining six (6) cases of R706 million irregular expenditure are being considered by CEO and Labour Relations Unit for purposes finalizing consequence management. </w:t>
            </w:r>
          </w:p>
          <w:p w:rsidR="00796E59" w:rsidRPr="00F0671C" w:rsidRDefault="00796E59" w:rsidP="00796E59">
            <w:pPr>
              <w:pStyle w:val="ListParagraph"/>
              <w:spacing w:before="120"/>
              <w:ind w:left="97"/>
              <w:rPr>
                <w:rFonts w:ascii="Arial" w:hAnsi="Arial" w:cs="Arial"/>
                <w:sz w:val="24"/>
                <w:szCs w:val="24"/>
              </w:rPr>
            </w:pPr>
            <w:r>
              <w:rPr>
                <w:rFonts w:ascii="Arial" w:hAnsi="Arial" w:cs="Arial"/>
                <w:sz w:val="24"/>
                <w:szCs w:val="24"/>
              </w:rPr>
              <w:t xml:space="preserve">There are five (5) major fruitless and wasteful expenditure amounting to R85 million are prioritised by management </w:t>
            </w:r>
            <w:r w:rsidRPr="00F0671C">
              <w:rPr>
                <w:rFonts w:ascii="Arial" w:hAnsi="Arial" w:cs="Arial"/>
                <w:sz w:val="24"/>
                <w:szCs w:val="24"/>
              </w:rPr>
              <w:t>The three (3) of major fruitless and wasteful expenditure are being pursued through Legal process against former officials and the former Minister of the Department of Social development</w:t>
            </w:r>
            <w:r>
              <w:rPr>
                <w:rFonts w:ascii="Arial" w:hAnsi="Arial" w:cs="Arial"/>
                <w:sz w:val="24"/>
                <w:szCs w:val="24"/>
              </w:rPr>
              <w:t>. One</w:t>
            </w:r>
            <w:r w:rsidRPr="00F0671C">
              <w:rPr>
                <w:rFonts w:ascii="Arial" w:hAnsi="Arial" w:cs="Arial"/>
                <w:sz w:val="24"/>
                <w:szCs w:val="24"/>
              </w:rPr>
              <w:t xml:space="preserve"> (1) case, the investigator has completed investigation</w:t>
            </w:r>
            <w:r>
              <w:rPr>
                <w:rFonts w:ascii="Arial" w:hAnsi="Arial" w:cs="Arial"/>
                <w:sz w:val="24"/>
                <w:szCs w:val="24"/>
              </w:rPr>
              <w:t xml:space="preserve"> and </w:t>
            </w:r>
            <w:r w:rsidR="00A40C80">
              <w:rPr>
                <w:rFonts w:ascii="Arial" w:hAnsi="Arial" w:cs="Arial"/>
                <w:sz w:val="24"/>
                <w:szCs w:val="24"/>
              </w:rPr>
              <w:t xml:space="preserve">the </w:t>
            </w:r>
            <w:r w:rsidR="00A40C80" w:rsidRPr="00F0671C">
              <w:rPr>
                <w:rFonts w:ascii="Arial" w:hAnsi="Arial" w:cs="Arial"/>
                <w:sz w:val="24"/>
                <w:szCs w:val="24"/>
              </w:rPr>
              <w:t>report</w:t>
            </w:r>
            <w:r w:rsidRPr="00F0671C">
              <w:rPr>
                <w:rFonts w:ascii="Arial" w:hAnsi="Arial" w:cs="Arial"/>
                <w:sz w:val="24"/>
                <w:szCs w:val="24"/>
              </w:rPr>
              <w:t xml:space="preserve"> is under consideration for implementation. And the remaining other case is still under investigation.</w:t>
            </w:r>
          </w:p>
          <w:p w:rsidR="00BA67E6" w:rsidRPr="00F0671C" w:rsidRDefault="00BA67E6" w:rsidP="00266C4A">
            <w:pPr>
              <w:pStyle w:val="ListParagraph"/>
              <w:spacing w:before="120"/>
              <w:ind w:left="97"/>
              <w:rPr>
                <w:rFonts w:ascii="Arial" w:hAnsi="Arial" w:cs="Arial"/>
                <w:sz w:val="24"/>
                <w:szCs w:val="24"/>
              </w:rPr>
            </w:pPr>
          </w:p>
        </w:tc>
        <w:tc>
          <w:tcPr>
            <w:tcW w:w="1709" w:type="dxa"/>
            <w:shd w:val="clear" w:color="auto" w:fill="auto"/>
          </w:tcPr>
          <w:p w:rsidR="00BA67E6" w:rsidRPr="00F0671C" w:rsidRDefault="00BA67E6" w:rsidP="00BA67E6">
            <w:pPr>
              <w:spacing w:before="120"/>
              <w:rPr>
                <w:rFonts w:ascii="Arial" w:hAnsi="Arial" w:cs="Arial"/>
                <w:sz w:val="24"/>
                <w:szCs w:val="24"/>
              </w:rPr>
            </w:pPr>
            <w:r w:rsidRPr="00F0671C">
              <w:rPr>
                <w:rFonts w:ascii="Arial" w:hAnsi="Arial" w:cs="Arial"/>
                <w:sz w:val="24"/>
                <w:szCs w:val="24"/>
              </w:rPr>
              <w:t>Mr Kuduku Mowa (Senior Manager- Internal Control)</w:t>
            </w:r>
          </w:p>
        </w:tc>
      </w:tr>
    </w:tbl>
    <w:p w:rsidR="003B7A3B" w:rsidRDefault="003B7A3B" w:rsidP="003B7A3B">
      <w:pPr>
        <w:rPr>
          <w:rFonts w:ascii="Arial" w:hAnsi="Arial" w:cs="Arial"/>
          <w:sz w:val="24"/>
          <w:szCs w:val="24"/>
        </w:rPr>
      </w:pPr>
    </w:p>
    <w:p w:rsidR="00DE07E8" w:rsidRPr="00CC2003" w:rsidRDefault="00DE07E8" w:rsidP="003B7A3B">
      <w:pPr>
        <w:rPr>
          <w:rFonts w:ascii="Arial" w:hAnsi="Arial" w:cs="Arial"/>
          <w:sz w:val="24"/>
          <w:szCs w:val="24"/>
        </w:rPr>
      </w:pPr>
    </w:p>
    <w:p w:rsidR="00173B0F" w:rsidRPr="00952E03" w:rsidRDefault="00173B0F" w:rsidP="00173B0F">
      <w:pPr>
        <w:pStyle w:val="Heading1"/>
        <w:ind w:left="576" w:hanging="576"/>
        <w:rPr>
          <w:rFonts w:ascii="Arial" w:hAnsi="Arial" w:cs="Arial"/>
        </w:rPr>
      </w:pPr>
      <w:bookmarkStart w:id="7" w:name="_Toc37343865"/>
      <w:r w:rsidRPr="00952E03">
        <w:rPr>
          <w:rFonts w:ascii="Arial" w:hAnsi="Arial" w:cs="Arial"/>
        </w:rPr>
        <w:t>Human Resource Management</w:t>
      </w:r>
      <w:bookmarkEnd w:id="7"/>
    </w:p>
    <w:p w:rsidR="00173B0F" w:rsidRPr="00CC2003" w:rsidRDefault="00173B0F" w:rsidP="00173B0F">
      <w:pPr>
        <w:rPr>
          <w:rFonts w:ascii="Arial" w:hAnsi="Arial" w:cs="Arial"/>
          <w:sz w:val="24"/>
          <w:szCs w:val="24"/>
        </w:rPr>
      </w:pPr>
    </w:p>
    <w:tbl>
      <w:tblPr>
        <w:tblStyle w:val="TableGrid"/>
        <w:tblW w:w="15456" w:type="dxa"/>
        <w:tblInd w:w="-702" w:type="dxa"/>
        <w:tblLook w:val="04A0" w:firstRow="1" w:lastRow="0" w:firstColumn="1" w:lastColumn="0" w:noHBand="0" w:noVBand="1"/>
      </w:tblPr>
      <w:tblGrid>
        <w:gridCol w:w="4747"/>
        <w:gridCol w:w="3420"/>
        <w:gridCol w:w="1643"/>
        <w:gridCol w:w="3937"/>
        <w:gridCol w:w="1709"/>
      </w:tblGrid>
      <w:tr w:rsidR="00173B0F" w:rsidRPr="00CC2003" w:rsidTr="0006563E">
        <w:tc>
          <w:tcPr>
            <w:tcW w:w="4747" w:type="dxa"/>
            <w:shd w:val="clear" w:color="auto" w:fill="DEEAF6" w:themeFill="accent1" w:themeFillTint="33"/>
          </w:tcPr>
          <w:p w:rsidR="00173B0F" w:rsidRPr="00CC2003" w:rsidRDefault="00173B0F" w:rsidP="007E319B">
            <w:pPr>
              <w:spacing w:before="120"/>
              <w:jc w:val="center"/>
              <w:rPr>
                <w:rFonts w:ascii="Arial" w:hAnsi="Arial" w:cs="Arial"/>
                <w:b/>
                <w:sz w:val="24"/>
                <w:szCs w:val="24"/>
              </w:rPr>
            </w:pPr>
            <w:r w:rsidRPr="00CC2003">
              <w:rPr>
                <w:rFonts w:ascii="Arial" w:hAnsi="Arial" w:cs="Arial"/>
                <w:b/>
                <w:sz w:val="24"/>
                <w:szCs w:val="24"/>
              </w:rPr>
              <w:t>AGSA Review to Portfolio Committee</w:t>
            </w:r>
          </w:p>
        </w:tc>
        <w:tc>
          <w:tcPr>
            <w:tcW w:w="3420" w:type="dxa"/>
            <w:shd w:val="clear" w:color="auto" w:fill="DEEAF6" w:themeFill="accent1" w:themeFillTint="33"/>
          </w:tcPr>
          <w:p w:rsidR="00173B0F" w:rsidRPr="00CC2003" w:rsidRDefault="00173B0F" w:rsidP="007E319B">
            <w:pPr>
              <w:spacing w:before="120"/>
              <w:jc w:val="center"/>
              <w:rPr>
                <w:rFonts w:ascii="Arial" w:hAnsi="Arial" w:cs="Arial"/>
                <w:b/>
                <w:sz w:val="24"/>
                <w:szCs w:val="24"/>
              </w:rPr>
            </w:pPr>
            <w:r w:rsidRPr="00CC2003">
              <w:rPr>
                <w:rFonts w:ascii="Arial" w:hAnsi="Arial" w:cs="Arial"/>
                <w:b/>
                <w:sz w:val="24"/>
                <w:szCs w:val="24"/>
              </w:rPr>
              <w:t>Commitments</w:t>
            </w:r>
          </w:p>
        </w:tc>
        <w:tc>
          <w:tcPr>
            <w:tcW w:w="1643" w:type="dxa"/>
            <w:shd w:val="clear" w:color="auto" w:fill="DEEAF6" w:themeFill="accent1" w:themeFillTint="33"/>
          </w:tcPr>
          <w:p w:rsidR="00173B0F" w:rsidRPr="00CC2003" w:rsidRDefault="00173B0F" w:rsidP="007E319B">
            <w:pPr>
              <w:spacing w:before="120"/>
              <w:jc w:val="center"/>
              <w:rPr>
                <w:rFonts w:ascii="Arial" w:hAnsi="Arial" w:cs="Arial"/>
                <w:b/>
                <w:sz w:val="24"/>
                <w:szCs w:val="24"/>
              </w:rPr>
            </w:pPr>
            <w:r w:rsidRPr="00CC2003">
              <w:rPr>
                <w:rFonts w:ascii="Arial" w:hAnsi="Arial" w:cs="Arial"/>
                <w:b/>
                <w:sz w:val="24"/>
                <w:szCs w:val="24"/>
              </w:rPr>
              <w:t>Date of commitment</w:t>
            </w:r>
          </w:p>
        </w:tc>
        <w:tc>
          <w:tcPr>
            <w:tcW w:w="3937" w:type="dxa"/>
            <w:shd w:val="clear" w:color="auto" w:fill="DEEAF6" w:themeFill="accent1" w:themeFillTint="33"/>
          </w:tcPr>
          <w:p w:rsidR="00173B0F" w:rsidRPr="00CC2003" w:rsidRDefault="00173B0F" w:rsidP="007E319B">
            <w:pPr>
              <w:spacing w:before="120"/>
              <w:jc w:val="center"/>
              <w:rPr>
                <w:rFonts w:ascii="Arial" w:hAnsi="Arial" w:cs="Arial"/>
                <w:b/>
                <w:sz w:val="24"/>
                <w:szCs w:val="24"/>
              </w:rPr>
            </w:pPr>
            <w:r w:rsidRPr="00CC2003">
              <w:rPr>
                <w:rFonts w:ascii="Arial" w:hAnsi="Arial" w:cs="Arial"/>
                <w:b/>
                <w:sz w:val="24"/>
                <w:szCs w:val="24"/>
              </w:rPr>
              <w:t>Status</w:t>
            </w:r>
          </w:p>
          <w:p w:rsidR="00173B0F" w:rsidRPr="00CC2003" w:rsidRDefault="00173B0F" w:rsidP="007E319B">
            <w:pPr>
              <w:spacing w:before="120"/>
              <w:jc w:val="center"/>
              <w:rPr>
                <w:rFonts w:ascii="Arial" w:hAnsi="Arial" w:cs="Arial"/>
                <w:b/>
                <w:sz w:val="24"/>
                <w:szCs w:val="24"/>
              </w:rPr>
            </w:pPr>
          </w:p>
        </w:tc>
        <w:tc>
          <w:tcPr>
            <w:tcW w:w="1709" w:type="dxa"/>
            <w:shd w:val="clear" w:color="auto" w:fill="DEEAF6" w:themeFill="accent1" w:themeFillTint="33"/>
          </w:tcPr>
          <w:p w:rsidR="00173B0F" w:rsidRPr="00CC2003" w:rsidRDefault="00173B0F" w:rsidP="007E319B">
            <w:pPr>
              <w:spacing w:before="120"/>
              <w:jc w:val="center"/>
              <w:rPr>
                <w:rFonts w:ascii="Arial" w:hAnsi="Arial" w:cs="Arial"/>
                <w:b/>
                <w:sz w:val="24"/>
                <w:szCs w:val="24"/>
              </w:rPr>
            </w:pPr>
            <w:r w:rsidRPr="00CC2003">
              <w:rPr>
                <w:rFonts w:ascii="Arial" w:hAnsi="Arial" w:cs="Arial"/>
                <w:b/>
                <w:sz w:val="24"/>
                <w:szCs w:val="24"/>
              </w:rPr>
              <w:t>Responsible Person</w:t>
            </w:r>
          </w:p>
        </w:tc>
      </w:tr>
      <w:tr w:rsidR="00173B0F" w:rsidRPr="00CC2003" w:rsidTr="0006563E">
        <w:tc>
          <w:tcPr>
            <w:tcW w:w="4747" w:type="dxa"/>
          </w:tcPr>
          <w:p w:rsidR="00173B0F" w:rsidRPr="00CC2003" w:rsidRDefault="00173B0F" w:rsidP="007E319B">
            <w:pPr>
              <w:spacing w:before="120"/>
              <w:rPr>
                <w:rFonts w:ascii="Arial" w:hAnsi="Arial" w:cs="Arial"/>
                <w:sz w:val="24"/>
                <w:szCs w:val="24"/>
              </w:rPr>
            </w:pPr>
            <w:r w:rsidRPr="00CC2003">
              <w:rPr>
                <w:rFonts w:ascii="Arial" w:hAnsi="Arial" w:cs="Arial"/>
                <w:b/>
                <w:sz w:val="24"/>
                <w:szCs w:val="24"/>
              </w:rPr>
              <w:t xml:space="preserve">Paragraph 35: </w:t>
            </w:r>
            <w:r w:rsidRPr="00CC2003">
              <w:rPr>
                <w:rFonts w:ascii="Arial" w:hAnsi="Arial" w:cs="Arial"/>
                <w:sz w:val="24"/>
                <w:szCs w:val="24"/>
              </w:rPr>
              <w:t xml:space="preserve">There is an increase in the vacancy rate in senior management positions at the various divisions. The high vacancy rate may lead to the entity not being able to meet its financial reporting objectives at year-end and this could have a negative impact on the audit outcomes of the entity. This matter was raised during the previous audit and there has been no progress that has been made on the matter. However, it is noted that the MEMO rescinding the moratorium has been issued on 6 August 2019 to fill the critical positions especially administrative posts within local offices. With regard to senior management positions, only six senior management posts have been advertised since release of the memo that rescinded the moratorium </w:t>
            </w:r>
          </w:p>
          <w:p w:rsidR="00173B0F" w:rsidRPr="00CC2003" w:rsidRDefault="00173B0F" w:rsidP="007E319B">
            <w:pPr>
              <w:spacing w:before="120"/>
              <w:rPr>
                <w:rFonts w:ascii="Arial" w:hAnsi="Arial" w:cs="Arial"/>
                <w:b/>
                <w:sz w:val="24"/>
                <w:szCs w:val="24"/>
              </w:rPr>
            </w:pPr>
          </w:p>
        </w:tc>
        <w:tc>
          <w:tcPr>
            <w:tcW w:w="3420" w:type="dxa"/>
          </w:tcPr>
          <w:p w:rsidR="00173B0F" w:rsidRPr="00CC2003" w:rsidRDefault="00173B0F" w:rsidP="007E319B">
            <w:pPr>
              <w:spacing w:before="120"/>
              <w:rPr>
                <w:rFonts w:ascii="Arial" w:hAnsi="Arial" w:cs="Arial"/>
                <w:sz w:val="24"/>
                <w:szCs w:val="24"/>
              </w:rPr>
            </w:pPr>
            <w:r w:rsidRPr="00CC2003">
              <w:rPr>
                <w:rFonts w:ascii="Arial" w:hAnsi="Arial" w:cs="Arial"/>
                <w:sz w:val="24"/>
                <w:szCs w:val="24"/>
              </w:rPr>
              <w:t>Filling of critical positions at senior management level and key functions</w:t>
            </w:r>
          </w:p>
        </w:tc>
        <w:tc>
          <w:tcPr>
            <w:tcW w:w="1643" w:type="dxa"/>
          </w:tcPr>
          <w:p w:rsidR="00173B0F" w:rsidRPr="00CC2003" w:rsidRDefault="00173B0F" w:rsidP="007E319B">
            <w:pPr>
              <w:spacing w:before="120"/>
              <w:rPr>
                <w:rFonts w:ascii="Arial" w:hAnsi="Arial" w:cs="Arial"/>
                <w:sz w:val="24"/>
                <w:szCs w:val="24"/>
                <w:lang w:val="en-US"/>
              </w:rPr>
            </w:pPr>
            <w:r w:rsidRPr="00CC2003">
              <w:rPr>
                <w:rFonts w:ascii="Arial" w:hAnsi="Arial" w:cs="Arial"/>
                <w:sz w:val="24"/>
                <w:szCs w:val="24"/>
              </w:rPr>
              <w:t>Ongoing</w:t>
            </w:r>
          </w:p>
        </w:tc>
        <w:tc>
          <w:tcPr>
            <w:tcW w:w="3937" w:type="dxa"/>
            <w:shd w:val="clear" w:color="auto" w:fill="auto"/>
          </w:tcPr>
          <w:p w:rsidR="00233259" w:rsidRPr="00233259" w:rsidRDefault="00233259" w:rsidP="00233259">
            <w:pPr>
              <w:spacing w:before="120"/>
              <w:rPr>
                <w:rFonts w:ascii="Arial" w:hAnsi="Arial" w:cs="Arial"/>
                <w:sz w:val="24"/>
                <w:szCs w:val="24"/>
              </w:rPr>
            </w:pPr>
            <w:r w:rsidRPr="00233259">
              <w:rPr>
                <w:rFonts w:ascii="Arial" w:hAnsi="Arial" w:cs="Arial"/>
                <w:sz w:val="24"/>
                <w:szCs w:val="24"/>
              </w:rPr>
              <w:t>Of the 11 SMS posts that were identified to be filled</w:t>
            </w:r>
            <w:r w:rsidRPr="00233259">
              <w:rPr>
                <w:rFonts w:ascii="Arial" w:hAnsi="Arial" w:cs="Arial"/>
                <w:color w:val="000000" w:themeColor="text1"/>
                <w:sz w:val="24"/>
                <w:szCs w:val="24"/>
              </w:rPr>
              <w:t xml:space="preserve">, 4 (Senior Manager: Office of the CEO, Senior Manager: Information Security, Senior Manager: Demand and Senior Manager: Risk Management) posts were filled. Seven (7) SMS posts are still in the process of being filled. These are in the final stages of the </w:t>
            </w:r>
            <w:r w:rsidRPr="00233259">
              <w:rPr>
                <w:rFonts w:ascii="Arial" w:hAnsi="Arial" w:cs="Arial"/>
                <w:sz w:val="24"/>
                <w:szCs w:val="24"/>
              </w:rPr>
              <w:t xml:space="preserve">recruitment process, i.e. awaiting results of security vetting and awaiting candidate’s acceptance of offer.  </w:t>
            </w:r>
          </w:p>
          <w:p w:rsidR="00233259" w:rsidRPr="00233259" w:rsidRDefault="00233259" w:rsidP="00233259">
            <w:pPr>
              <w:spacing w:before="120"/>
              <w:rPr>
                <w:rFonts w:ascii="Arial" w:hAnsi="Arial" w:cs="Arial"/>
                <w:sz w:val="24"/>
                <w:szCs w:val="24"/>
              </w:rPr>
            </w:pPr>
            <w:r w:rsidRPr="00233259">
              <w:rPr>
                <w:rFonts w:ascii="Arial" w:hAnsi="Arial" w:cs="Arial"/>
                <w:sz w:val="24"/>
                <w:szCs w:val="24"/>
              </w:rPr>
              <w:t xml:space="preserve">A number of posts in the grants administration process, finance and supply chain management were also filled. In addition, support posts were also filled in local offices to ensure performance of support functions at local level.  </w:t>
            </w:r>
          </w:p>
          <w:p w:rsidR="00233259" w:rsidRPr="00233259" w:rsidRDefault="00233259" w:rsidP="00233259">
            <w:pPr>
              <w:spacing w:before="120"/>
              <w:rPr>
                <w:rFonts w:ascii="Arial" w:hAnsi="Arial" w:cs="Arial"/>
                <w:sz w:val="24"/>
                <w:szCs w:val="24"/>
              </w:rPr>
            </w:pPr>
            <w:r w:rsidRPr="00233259">
              <w:rPr>
                <w:rFonts w:ascii="Arial" w:hAnsi="Arial" w:cs="Arial"/>
                <w:sz w:val="24"/>
                <w:szCs w:val="24"/>
              </w:rPr>
              <w:t xml:space="preserve">Priority was given to Local Office posts as the Agency is undergoing a review of its operating model. </w:t>
            </w:r>
          </w:p>
          <w:p w:rsidR="00173B0F" w:rsidRPr="00233259" w:rsidRDefault="00173B0F" w:rsidP="007E319B">
            <w:pPr>
              <w:spacing w:before="120"/>
              <w:ind w:left="360"/>
              <w:rPr>
                <w:rFonts w:ascii="Arial" w:hAnsi="Arial" w:cs="Arial"/>
                <w:sz w:val="24"/>
                <w:szCs w:val="24"/>
              </w:rPr>
            </w:pPr>
          </w:p>
        </w:tc>
        <w:tc>
          <w:tcPr>
            <w:tcW w:w="1709" w:type="dxa"/>
          </w:tcPr>
          <w:p w:rsidR="00173B0F" w:rsidRPr="00233259" w:rsidRDefault="00173B0F" w:rsidP="007E319B">
            <w:pPr>
              <w:spacing w:before="120"/>
              <w:rPr>
                <w:rFonts w:ascii="Arial" w:hAnsi="Arial" w:cs="Arial"/>
                <w:sz w:val="24"/>
                <w:szCs w:val="24"/>
              </w:rPr>
            </w:pPr>
            <w:r w:rsidRPr="00233259">
              <w:rPr>
                <w:rFonts w:ascii="Arial" w:hAnsi="Arial" w:cs="Arial"/>
                <w:sz w:val="24"/>
                <w:szCs w:val="24"/>
              </w:rPr>
              <w:t>Ms Thandi Sibanyoni (Acting Executive Manager- Corporate Services)</w:t>
            </w:r>
          </w:p>
        </w:tc>
      </w:tr>
    </w:tbl>
    <w:p w:rsidR="00173B0F" w:rsidRPr="00CC2003" w:rsidRDefault="00173B0F" w:rsidP="00173B0F">
      <w:pPr>
        <w:rPr>
          <w:rFonts w:ascii="Arial" w:hAnsi="Arial" w:cs="Arial"/>
          <w:sz w:val="24"/>
          <w:szCs w:val="24"/>
        </w:rPr>
      </w:pPr>
    </w:p>
    <w:p w:rsidR="00173B0F" w:rsidRDefault="00173B0F" w:rsidP="00173B0F">
      <w:pPr>
        <w:rPr>
          <w:rFonts w:ascii="Arial" w:hAnsi="Arial" w:cs="Arial"/>
          <w:sz w:val="24"/>
          <w:szCs w:val="24"/>
        </w:rPr>
      </w:pPr>
    </w:p>
    <w:p w:rsidR="00266C4A" w:rsidRDefault="00266C4A" w:rsidP="00173B0F">
      <w:pPr>
        <w:rPr>
          <w:rFonts w:ascii="Arial" w:hAnsi="Arial" w:cs="Arial"/>
          <w:sz w:val="24"/>
          <w:szCs w:val="24"/>
        </w:rPr>
      </w:pPr>
    </w:p>
    <w:p w:rsidR="00266C4A" w:rsidRDefault="00266C4A" w:rsidP="00173B0F">
      <w:pPr>
        <w:rPr>
          <w:rFonts w:ascii="Arial" w:hAnsi="Arial" w:cs="Arial"/>
          <w:sz w:val="24"/>
          <w:szCs w:val="24"/>
        </w:rPr>
      </w:pPr>
    </w:p>
    <w:p w:rsidR="00266C4A" w:rsidRDefault="00266C4A" w:rsidP="00173B0F">
      <w:pPr>
        <w:rPr>
          <w:rFonts w:ascii="Arial" w:hAnsi="Arial" w:cs="Arial"/>
          <w:sz w:val="24"/>
          <w:szCs w:val="24"/>
        </w:rPr>
      </w:pPr>
    </w:p>
    <w:p w:rsidR="00266C4A" w:rsidRPr="00CC2003" w:rsidRDefault="00266C4A" w:rsidP="00173B0F">
      <w:pPr>
        <w:rPr>
          <w:rFonts w:ascii="Arial" w:hAnsi="Arial" w:cs="Arial"/>
          <w:sz w:val="24"/>
          <w:szCs w:val="24"/>
        </w:rPr>
      </w:pPr>
    </w:p>
    <w:p w:rsidR="00173B0F" w:rsidRPr="00952E03" w:rsidRDefault="00173B0F" w:rsidP="00173B0F">
      <w:pPr>
        <w:pStyle w:val="Heading1"/>
        <w:ind w:left="576" w:hanging="576"/>
        <w:rPr>
          <w:rFonts w:ascii="Arial" w:hAnsi="Arial" w:cs="Arial"/>
          <w:b w:val="0"/>
        </w:rPr>
      </w:pPr>
      <w:r w:rsidRPr="00952E03">
        <w:rPr>
          <w:rFonts w:ascii="Arial" w:hAnsi="Arial" w:cs="Arial"/>
        </w:rPr>
        <w:fldChar w:fldCharType="begin"/>
      </w:r>
      <w:r w:rsidRPr="00952E03">
        <w:rPr>
          <w:rFonts w:ascii="Arial" w:hAnsi="Arial" w:cs="Arial"/>
        </w:rPr>
        <w:instrText xml:space="preserve"> HYPERLINK  \l "_top" </w:instrText>
      </w:r>
      <w:r w:rsidRPr="00952E03">
        <w:rPr>
          <w:rFonts w:ascii="Arial" w:hAnsi="Arial" w:cs="Arial"/>
        </w:rPr>
        <w:fldChar w:fldCharType="separate"/>
      </w:r>
      <w:bookmarkStart w:id="8" w:name="_Toc37343866"/>
      <w:bookmarkStart w:id="9" w:name="_Toc22563048"/>
      <w:bookmarkStart w:id="10" w:name="_Toc22562376"/>
      <w:bookmarkStart w:id="11" w:name="_Toc9323216"/>
      <w:bookmarkStart w:id="12" w:name="_Toc22816266"/>
      <w:r w:rsidRPr="00952E03">
        <w:rPr>
          <w:rFonts w:ascii="Arial" w:hAnsi="Arial" w:cs="Arial"/>
        </w:rPr>
        <w:t>IT Management</w:t>
      </w:r>
      <w:bookmarkEnd w:id="8"/>
      <w:bookmarkEnd w:id="9"/>
      <w:bookmarkEnd w:id="10"/>
      <w:bookmarkEnd w:id="11"/>
      <w:bookmarkEnd w:id="12"/>
      <w:r w:rsidRPr="00952E03">
        <w:rPr>
          <w:rFonts w:ascii="Arial" w:hAnsi="Arial" w:cs="Arial"/>
        </w:rPr>
        <w:t xml:space="preserve"> </w:t>
      </w:r>
    </w:p>
    <w:p w:rsidR="00173B0F" w:rsidRPr="00CC2003" w:rsidRDefault="00173B0F" w:rsidP="00173B0F">
      <w:pPr>
        <w:pStyle w:val="Heading1"/>
        <w:numPr>
          <w:ilvl w:val="0"/>
          <w:numId w:val="0"/>
        </w:numPr>
        <w:ind w:left="576"/>
        <w:rPr>
          <w:rFonts w:ascii="Arial" w:hAnsi="Arial" w:cs="Arial"/>
          <w:sz w:val="24"/>
          <w:szCs w:val="24"/>
          <w:lang w:val="en-GB"/>
        </w:rPr>
      </w:pPr>
      <w:r w:rsidRPr="00952E03">
        <w:rPr>
          <w:rFonts w:ascii="Arial" w:hAnsi="Arial" w:cs="Arial"/>
        </w:rPr>
        <w:fldChar w:fldCharType="end"/>
      </w:r>
    </w:p>
    <w:tbl>
      <w:tblPr>
        <w:tblStyle w:val="TableGrid"/>
        <w:tblW w:w="15455" w:type="dxa"/>
        <w:tblInd w:w="-702" w:type="dxa"/>
        <w:tblLook w:val="04A0" w:firstRow="1" w:lastRow="0" w:firstColumn="1" w:lastColumn="0" w:noHBand="0" w:noVBand="1"/>
      </w:tblPr>
      <w:tblGrid>
        <w:gridCol w:w="4747"/>
        <w:gridCol w:w="3420"/>
        <w:gridCol w:w="1643"/>
        <w:gridCol w:w="3937"/>
        <w:gridCol w:w="1708"/>
      </w:tblGrid>
      <w:tr w:rsidR="00173B0F" w:rsidRPr="00CC2003" w:rsidTr="0006563E">
        <w:tc>
          <w:tcPr>
            <w:tcW w:w="4747" w:type="dxa"/>
            <w:shd w:val="clear" w:color="auto" w:fill="DEEAF6" w:themeFill="accent1" w:themeFillTint="33"/>
          </w:tcPr>
          <w:p w:rsidR="00173B0F" w:rsidRPr="00CC2003" w:rsidRDefault="00173B0F" w:rsidP="007E319B">
            <w:pPr>
              <w:spacing w:before="120"/>
              <w:jc w:val="center"/>
              <w:rPr>
                <w:rFonts w:ascii="Arial" w:hAnsi="Arial" w:cs="Arial"/>
                <w:b/>
                <w:sz w:val="24"/>
                <w:szCs w:val="24"/>
              </w:rPr>
            </w:pPr>
            <w:r w:rsidRPr="00CC2003">
              <w:rPr>
                <w:rFonts w:ascii="Arial" w:hAnsi="Arial" w:cs="Arial"/>
                <w:b/>
                <w:sz w:val="24"/>
                <w:szCs w:val="24"/>
              </w:rPr>
              <w:t>AGSA Review to Portfolio Committee</w:t>
            </w:r>
          </w:p>
        </w:tc>
        <w:tc>
          <w:tcPr>
            <w:tcW w:w="3420" w:type="dxa"/>
            <w:shd w:val="clear" w:color="auto" w:fill="DEEAF6" w:themeFill="accent1" w:themeFillTint="33"/>
          </w:tcPr>
          <w:p w:rsidR="00173B0F" w:rsidRPr="00CC2003" w:rsidRDefault="00173B0F" w:rsidP="007E319B">
            <w:pPr>
              <w:spacing w:before="120"/>
              <w:jc w:val="center"/>
              <w:rPr>
                <w:rFonts w:ascii="Arial" w:hAnsi="Arial" w:cs="Arial"/>
                <w:b/>
                <w:sz w:val="24"/>
                <w:szCs w:val="24"/>
              </w:rPr>
            </w:pPr>
            <w:r w:rsidRPr="00CC2003">
              <w:rPr>
                <w:rFonts w:ascii="Arial" w:hAnsi="Arial" w:cs="Arial"/>
                <w:b/>
                <w:sz w:val="24"/>
                <w:szCs w:val="24"/>
              </w:rPr>
              <w:t>Commitments</w:t>
            </w:r>
          </w:p>
        </w:tc>
        <w:tc>
          <w:tcPr>
            <w:tcW w:w="1643" w:type="dxa"/>
            <w:shd w:val="clear" w:color="auto" w:fill="DEEAF6" w:themeFill="accent1" w:themeFillTint="33"/>
          </w:tcPr>
          <w:p w:rsidR="00173B0F" w:rsidRPr="00CC2003" w:rsidRDefault="00173B0F" w:rsidP="007E319B">
            <w:pPr>
              <w:spacing w:before="120"/>
              <w:jc w:val="center"/>
              <w:rPr>
                <w:rFonts w:ascii="Arial" w:hAnsi="Arial" w:cs="Arial"/>
                <w:b/>
                <w:sz w:val="24"/>
                <w:szCs w:val="24"/>
              </w:rPr>
            </w:pPr>
            <w:r w:rsidRPr="00CC2003">
              <w:rPr>
                <w:rFonts w:ascii="Arial" w:hAnsi="Arial" w:cs="Arial"/>
                <w:b/>
                <w:sz w:val="24"/>
                <w:szCs w:val="24"/>
              </w:rPr>
              <w:t>Date of commitment</w:t>
            </w:r>
          </w:p>
        </w:tc>
        <w:tc>
          <w:tcPr>
            <w:tcW w:w="3937" w:type="dxa"/>
            <w:shd w:val="clear" w:color="auto" w:fill="DEEAF6" w:themeFill="accent1" w:themeFillTint="33"/>
          </w:tcPr>
          <w:p w:rsidR="00173B0F" w:rsidRPr="00CC2003" w:rsidRDefault="00173B0F" w:rsidP="007E319B">
            <w:pPr>
              <w:spacing w:before="120"/>
              <w:jc w:val="center"/>
              <w:rPr>
                <w:rFonts w:ascii="Arial" w:hAnsi="Arial" w:cs="Arial"/>
                <w:b/>
                <w:sz w:val="24"/>
                <w:szCs w:val="24"/>
              </w:rPr>
            </w:pPr>
            <w:r w:rsidRPr="00CC2003">
              <w:rPr>
                <w:rFonts w:ascii="Arial" w:hAnsi="Arial" w:cs="Arial"/>
                <w:b/>
                <w:sz w:val="24"/>
                <w:szCs w:val="24"/>
              </w:rPr>
              <w:t>Status</w:t>
            </w:r>
          </w:p>
          <w:p w:rsidR="00173B0F" w:rsidRPr="00CC2003" w:rsidRDefault="00173B0F" w:rsidP="007E319B">
            <w:pPr>
              <w:spacing w:before="120"/>
              <w:jc w:val="center"/>
              <w:rPr>
                <w:rFonts w:ascii="Arial" w:hAnsi="Arial" w:cs="Arial"/>
                <w:b/>
                <w:sz w:val="24"/>
                <w:szCs w:val="24"/>
              </w:rPr>
            </w:pPr>
          </w:p>
        </w:tc>
        <w:tc>
          <w:tcPr>
            <w:tcW w:w="1708" w:type="dxa"/>
            <w:shd w:val="clear" w:color="auto" w:fill="DEEAF6" w:themeFill="accent1" w:themeFillTint="33"/>
          </w:tcPr>
          <w:p w:rsidR="00173B0F" w:rsidRPr="00CC2003" w:rsidRDefault="00173B0F" w:rsidP="007E319B">
            <w:pPr>
              <w:spacing w:before="120"/>
              <w:jc w:val="center"/>
              <w:rPr>
                <w:rFonts w:ascii="Arial" w:hAnsi="Arial" w:cs="Arial"/>
                <w:b/>
                <w:sz w:val="24"/>
                <w:szCs w:val="24"/>
              </w:rPr>
            </w:pPr>
            <w:r w:rsidRPr="00CC2003">
              <w:rPr>
                <w:rFonts w:ascii="Arial" w:hAnsi="Arial" w:cs="Arial"/>
                <w:b/>
                <w:sz w:val="24"/>
                <w:szCs w:val="24"/>
              </w:rPr>
              <w:t>Responsible Person</w:t>
            </w:r>
          </w:p>
        </w:tc>
      </w:tr>
      <w:tr w:rsidR="00173B0F" w:rsidRPr="00CC2003" w:rsidTr="0006563E">
        <w:tc>
          <w:tcPr>
            <w:tcW w:w="4747" w:type="dxa"/>
          </w:tcPr>
          <w:p w:rsidR="00173B0F" w:rsidRPr="00CC2003" w:rsidRDefault="00173B0F" w:rsidP="007E319B">
            <w:pPr>
              <w:pStyle w:val="Default"/>
            </w:pPr>
            <w:r w:rsidRPr="00CC2003">
              <w:rPr>
                <w:b/>
              </w:rPr>
              <w:t>Paragraph 39:</w:t>
            </w:r>
            <w:r w:rsidRPr="00CC2003">
              <w:t xml:space="preserve"> The Information technology governance, IT service continuity and program change management focus areas were found to be adequately designed and implemented during the 2018-19 financial year. The auditors will verify if the controls are still in place for the current financial year audit review which has recently commenced. </w:t>
            </w:r>
          </w:p>
          <w:p w:rsidR="00173B0F" w:rsidRPr="00CC2003" w:rsidRDefault="00173B0F" w:rsidP="007E319B">
            <w:pPr>
              <w:spacing w:before="120"/>
              <w:rPr>
                <w:rFonts w:ascii="Arial" w:hAnsi="Arial" w:cs="Arial"/>
                <w:b/>
                <w:sz w:val="24"/>
                <w:szCs w:val="24"/>
              </w:rPr>
            </w:pPr>
          </w:p>
        </w:tc>
        <w:tc>
          <w:tcPr>
            <w:tcW w:w="3420" w:type="dxa"/>
            <w:shd w:val="clear" w:color="auto" w:fill="auto"/>
          </w:tcPr>
          <w:p w:rsidR="00173B0F" w:rsidRPr="00CC2003" w:rsidRDefault="00173B0F" w:rsidP="007E319B">
            <w:pPr>
              <w:spacing w:before="120"/>
              <w:rPr>
                <w:rFonts w:ascii="Arial" w:hAnsi="Arial" w:cs="Arial"/>
                <w:sz w:val="24"/>
                <w:szCs w:val="24"/>
              </w:rPr>
            </w:pPr>
            <w:r w:rsidRPr="00CC2003">
              <w:rPr>
                <w:rFonts w:ascii="Arial" w:hAnsi="Arial" w:cs="Arial"/>
                <w:sz w:val="24"/>
                <w:szCs w:val="24"/>
              </w:rPr>
              <w:t>N/A</w:t>
            </w:r>
          </w:p>
        </w:tc>
        <w:tc>
          <w:tcPr>
            <w:tcW w:w="1643" w:type="dxa"/>
            <w:shd w:val="clear" w:color="auto" w:fill="auto"/>
          </w:tcPr>
          <w:p w:rsidR="00173B0F" w:rsidRPr="00CC2003" w:rsidRDefault="00173B0F" w:rsidP="007E319B">
            <w:pPr>
              <w:spacing w:before="120"/>
              <w:rPr>
                <w:rFonts w:ascii="Arial" w:hAnsi="Arial" w:cs="Arial"/>
                <w:sz w:val="24"/>
                <w:szCs w:val="24"/>
              </w:rPr>
            </w:pPr>
            <w:r w:rsidRPr="00CC2003">
              <w:rPr>
                <w:rFonts w:ascii="Arial" w:hAnsi="Arial" w:cs="Arial"/>
                <w:sz w:val="24"/>
                <w:szCs w:val="24"/>
              </w:rPr>
              <w:t>N/A</w:t>
            </w:r>
          </w:p>
        </w:tc>
        <w:tc>
          <w:tcPr>
            <w:tcW w:w="3937" w:type="dxa"/>
            <w:shd w:val="clear" w:color="auto" w:fill="auto"/>
          </w:tcPr>
          <w:p w:rsidR="00173B0F" w:rsidRPr="00CC2003" w:rsidRDefault="00173B0F" w:rsidP="007E319B">
            <w:pPr>
              <w:spacing w:before="120"/>
              <w:rPr>
                <w:rFonts w:ascii="Arial" w:hAnsi="Arial" w:cs="Arial"/>
                <w:sz w:val="24"/>
                <w:szCs w:val="24"/>
              </w:rPr>
            </w:pPr>
            <w:r w:rsidRPr="00CC2003">
              <w:rPr>
                <w:rFonts w:ascii="Arial" w:hAnsi="Arial" w:cs="Arial"/>
                <w:sz w:val="24"/>
                <w:szCs w:val="24"/>
              </w:rPr>
              <w:t>N/A</w:t>
            </w:r>
          </w:p>
        </w:tc>
        <w:tc>
          <w:tcPr>
            <w:tcW w:w="1708" w:type="dxa"/>
          </w:tcPr>
          <w:p w:rsidR="00173B0F" w:rsidRPr="00CC2003" w:rsidRDefault="00173B0F" w:rsidP="007E319B">
            <w:pPr>
              <w:spacing w:before="120"/>
              <w:rPr>
                <w:rFonts w:ascii="Arial" w:hAnsi="Arial" w:cs="Arial"/>
                <w:sz w:val="24"/>
                <w:szCs w:val="24"/>
              </w:rPr>
            </w:pPr>
            <w:r w:rsidRPr="00CC2003">
              <w:rPr>
                <w:rFonts w:ascii="Arial" w:hAnsi="Arial" w:cs="Arial"/>
                <w:sz w:val="24"/>
                <w:szCs w:val="24"/>
              </w:rPr>
              <w:t>Mr Abraham Mahlangu (Chief Information Officer)</w:t>
            </w:r>
          </w:p>
        </w:tc>
      </w:tr>
    </w:tbl>
    <w:p w:rsidR="00DE07E8" w:rsidRDefault="00DE07E8" w:rsidP="00DE07E8">
      <w:pPr>
        <w:pStyle w:val="Heading1"/>
        <w:numPr>
          <w:ilvl w:val="0"/>
          <w:numId w:val="0"/>
        </w:numPr>
        <w:ind w:left="576"/>
        <w:rPr>
          <w:rFonts w:ascii="Arial" w:eastAsiaTheme="majorEastAsia" w:hAnsi="Arial" w:cs="Arial"/>
          <w:b w:val="0"/>
        </w:rPr>
      </w:pPr>
    </w:p>
    <w:p w:rsidR="00173B0F" w:rsidRPr="00952E03" w:rsidRDefault="00173B0F" w:rsidP="00173B0F">
      <w:pPr>
        <w:pStyle w:val="Heading1"/>
        <w:ind w:left="576" w:hanging="576"/>
        <w:rPr>
          <w:rFonts w:ascii="Arial" w:eastAsiaTheme="majorEastAsia" w:hAnsi="Arial" w:cs="Arial"/>
          <w:b w:val="0"/>
        </w:rPr>
      </w:pPr>
      <w:r w:rsidRPr="00952E03">
        <w:rPr>
          <w:rFonts w:ascii="Arial" w:hAnsi="Arial" w:cs="Arial"/>
        </w:rPr>
        <w:fldChar w:fldCharType="begin"/>
      </w:r>
      <w:r w:rsidRPr="00952E03">
        <w:rPr>
          <w:rFonts w:ascii="Arial" w:eastAsiaTheme="majorEastAsia" w:hAnsi="Arial" w:cs="Arial"/>
        </w:rPr>
        <w:instrText xml:space="preserve"> HYPERLINK  \l "_top" </w:instrText>
      </w:r>
      <w:r w:rsidRPr="00952E03">
        <w:rPr>
          <w:rFonts w:ascii="Arial" w:hAnsi="Arial" w:cs="Arial"/>
        </w:rPr>
        <w:fldChar w:fldCharType="separate"/>
      </w:r>
      <w:bookmarkStart w:id="13" w:name="_Toc37343867"/>
      <w:bookmarkStart w:id="14" w:name="_Toc22563050"/>
      <w:bookmarkStart w:id="15" w:name="_Toc22562378"/>
      <w:bookmarkStart w:id="16" w:name="_Toc9323218"/>
      <w:bookmarkStart w:id="17" w:name="_Toc22816268"/>
      <w:r w:rsidRPr="00952E03">
        <w:rPr>
          <w:rFonts w:ascii="Arial" w:eastAsiaTheme="majorEastAsia" w:hAnsi="Arial" w:cs="Arial"/>
        </w:rPr>
        <w:t>Financial Health</w:t>
      </w:r>
      <w:bookmarkEnd w:id="13"/>
      <w:bookmarkEnd w:id="14"/>
      <w:bookmarkEnd w:id="15"/>
      <w:bookmarkEnd w:id="16"/>
      <w:bookmarkEnd w:id="17"/>
    </w:p>
    <w:p w:rsidR="00173B0F" w:rsidRPr="00CC2003" w:rsidRDefault="00173B0F" w:rsidP="00173B0F">
      <w:pPr>
        <w:pStyle w:val="Heading1"/>
        <w:numPr>
          <w:ilvl w:val="0"/>
          <w:numId w:val="0"/>
        </w:numPr>
        <w:ind w:left="576"/>
        <w:rPr>
          <w:rFonts w:ascii="Arial" w:hAnsi="Arial" w:cs="Arial"/>
          <w:sz w:val="24"/>
          <w:szCs w:val="24"/>
          <w:lang w:val="en-GB"/>
        </w:rPr>
      </w:pPr>
      <w:r w:rsidRPr="00952E03">
        <w:rPr>
          <w:rFonts w:ascii="Arial" w:eastAsiaTheme="majorEastAsia" w:hAnsi="Arial" w:cs="Arial"/>
        </w:rPr>
        <w:fldChar w:fldCharType="end"/>
      </w:r>
    </w:p>
    <w:tbl>
      <w:tblPr>
        <w:tblStyle w:val="TableGrid"/>
        <w:tblW w:w="15455" w:type="dxa"/>
        <w:tblInd w:w="-702" w:type="dxa"/>
        <w:tblLook w:val="04A0" w:firstRow="1" w:lastRow="0" w:firstColumn="1" w:lastColumn="0" w:noHBand="0" w:noVBand="1"/>
      </w:tblPr>
      <w:tblGrid>
        <w:gridCol w:w="4747"/>
        <w:gridCol w:w="3420"/>
        <w:gridCol w:w="1643"/>
        <w:gridCol w:w="3937"/>
        <w:gridCol w:w="1708"/>
      </w:tblGrid>
      <w:tr w:rsidR="00173B0F" w:rsidRPr="00CC2003" w:rsidTr="0006563E">
        <w:tc>
          <w:tcPr>
            <w:tcW w:w="4747" w:type="dxa"/>
            <w:shd w:val="clear" w:color="auto" w:fill="DEEAF6" w:themeFill="accent1" w:themeFillTint="33"/>
          </w:tcPr>
          <w:p w:rsidR="00173B0F" w:rsidRPr="00CC2003" w:rsidRDefault="00173B0F" w:rsidP="007E319B">
            <w:pPr>
              <w:spacing w:before="120"/>
              <w:jc w:val="center"/>
              <w:rPr>
                <w:rFonts w:ascii="Arial" w:hAnsi="Arial" w:cs="Arial"/>
                <w:b/>
                <w:sz w:val="24"/>
                <w:szCs w:val="24"/>
              </w:rPr>
            </w:pPr>
            <w:r w:rsidRPr="00CC2003">
              <w:rPr>
                <w:rFonts w:ascii="Arial" w:hAnsi="Arial" w:cs="Arial"/>
                <w:b/>
                <w:sz w:val="24"/>
                <w:szCs w:val="24"/>
              </w:rPr>
              <w:t>AGSA Review to Portfolio Committee</w:t>
            </w:r>
          </w:p>
        </w:tc>
        <w:tc>
          <w:tcPr>
            <w:tcW w:w="3420" w:type="dxa"/>
            <w:shd w:val="clear" w:color="auto" w:fill="DEEAF6" w:themeFill="accent1" w:themeFillTint="33"/>
          </w:tcPr>
          <w:p w:rsidR="00173B0F" w:rsidRPr="00CC2003" w:rsidRDefault="00173B0F" w:rsidP="007E319B">
            <w:pPr>
              <w:spacing w:before="120"/>
              <w:jc w:val="center"/>
              <w:rPr>
                <w:rFonts w:ascii="Arial" w:hAnsi="Arial" w:cs="Arial"/>
                <w:b/>
                <w:sz w:val="24"/>
                <w:szCs w:val="24"/>
              </w:rPr>
            </w:pPr>
            <w:r w:rsidRPr="00CC2003">
              <w:rPr>
                <w:rFonts w:ascii="Arial" w:hAnsi="Arial" w:cs="Arial"/>
                <w:b/>
                <w:sz w:val="24"/>
                <w:szCs w:val="24"/>
              </w:rPr>
              <w:t>Commitments</w:t>
            </w:r>
          </w:p>
        </w:tc>
        <w:tc>
          <w:tcPr>
            <w:tcW w:w="1643" w:type="dxa"/>
            <w:shd w:val="clear" w:color="auto" w:fill="DEEAF6" w:themeFill="accent1" w:themeFillTint="33"/>
          </w:tcPr>
          <w:p w:rsidR="00173B0F" w:rsidRPr="00CC2003" w:rsidRDefault="00173B0F" w:rsidP="007E319B">
            <w:pPr>
              <w:spacing w:before="120"/>
              <w:jc w:val="center"/>
              <w:rPr>
                <w:rFonts w:ascii="Arial" w:hAnsi="Arial" w:cs="Arial"/>
                <w:b/>
                <w:sz w:val="24"/>
                <w:szCs w:val="24"/>
              </w:rPr>
            </w:pPr>
            <w:r w:rsidRPr="00CC2003">
              <w:rPr>
                <w:rFonts w:ascii="Arial" w:hAnsi="Arial" w:cs="Arial"/>
                <w:b/>
                <w:sz w:val="24"/>
                <w:szCs w:val="24"/>
              </w:rPr>
              <w:t>Date of commitment</w:t>
            </w:r>
          </w:p>
        </w:tc>
        <w:tc>
          <w:tcPr>
            <w:tcW w:w="3937" w:type="dxa"/>
            <w:shd w:val="clear" w:color="auto" w:fill="DEEAF6" w:themeFill="accent1" w:themeFillTint="33"/>
          </w:tcPr>
          <w:p w:rsidR="00173B0F" w:rsidRPr="00CC2003" w:rsidRDefault="00173B0F" w:rsidP="007E319B">
            <w:pPr>
              <w:spacing w:before="120"/>
              <w:jc w:val="center"/>
              <w:rPr>
                <w:rFonts w:ascii="Arial" w:hAnsi="Arial" w:cs="Arial"/>
                <w:b/>
                <w:sz w:val="24"/>
                <w:szCs w:val="24"/>
              </w:rPr>
            </w:pPr>
            <w:r w:rsidRPr="00CC2003">
              <w:rPr>
                <w:rFonts w:ascii="Arial" w:hAnsi="Arial" w:cs="Arial"/>
                <w:b/>
                <w:sz w:val="24"/>
                <w:szCs w:val="24"/>
              </w:rPr>
              <w:t>Status</w:t>
            </w:r>
          </w:p>
          <w:p w:rsidR="00173B0F" w:rsidRPr="00CC2003" w:rsidRDefault="00173B0F" w:rsidP="007E319B">
            <w:pPr>
              <w:spacing w:before="120"/>
              <w:jc w:val="center"/>
              <w:rPr>
                <w:rFonts w:ascii="Arial" w:hAnsi="Arial" w:cs="Arial"/>
                <w:b/>
                <w:sz w:val="24"/>
                <w:szCs w:val="24"/>
              </w:rPr>
            </w:pPr>
          </w:p>
        </w:tc>
        <w:tc>
          <w:tcPr>
            <w:tcW w:w="1708" w:type="dxa"/>
            <w:shd w:val="clear" w:color="auto" w:fill="DEEAF6" w:themeFill="accent1" w:themeFillTint="33"/>
          </w:tcPr>
          <w:p w:rsidR="00173B0F" w:rsidRPr="00CC2003" w:rsidRDefault="00173B0F" w:rsidP="007E319B">
            <w:pPr>
              <w:spacing w:before="120"/>
              <w:jc w:val="center"/>
              <w:rPr>
                <w:rFonts w:ascii="Arial" w:hAnsi="Arial" w:cs="Arial"/>
                <w:b/>
                <w:sz w:val="24"/>
                <w:szCs w:val="24"/>
              </w:rPr>
            </w:pPr>
            <w:r w:rsidRPr="00CC2003">
              <w:rPr>
                <w:rFonts w:ascii="Arial" w:hAnsi="Arial" w:cs="Arial"/>
                <w:b/>
                <w:sz w:val="24"/>
                <w:szCs w:val="24"/>
              </w:rPr>
              <w:t>Responsible Person</w:t>
            </w:r>
          </w:p>
        </w:tc>
      </w:tr>
      <w:tr w:rsidR="00266C4A" w:rsidRPr="00266C4A" w:rsidTr="0006563E">
        <w:tc>
          <w:tcPr>
            <w:tcW w:w="4747" w:type="dxa"/>
          </w:tcPr>
          <w:p w:rsidR="00173B0F" w:rsidRPr="00CC2003" w:rsidRDefault="00173B0F" w:rsidP="007E319B">
            <w:pPr>
              <w:spacing w:before="120"/>
              <w:rPr>
                <w:rFonts w:ascii="Arial" w:hAnsi="Arial" w:cs="Arial"/>
                <w:b/>
                <w:sz w:val="24"/>
                <w:szCs w:val="24"/>
              </w:rPr>
            </w:pPr>
            <w:r w:rsidRPr="00CC2003">
              <w:rPr>
                <w:rFonts w:ascii="Arial" w:hAnsi="Arial" w:cs="Arial"/>
                <w:b/>
                <w:sz w:val="24"/>
                <w:szCs w:val="24"/>
              </w:rPr>
              <w:t xml:space="preserve">Paragraph 45 &amp;46: </w:t>
            </w:r>
          </w:p>
          <w:p w:rsidR="00173B0F" w:rsidRPr="00CC2003" w:rsidRDefault="00173B0F" w:rsidP="007E319B">
            <w:pPr>
              <w:pStyle w:val="Default"/>
            </w:pPr>
          </w:p>
          <w:p w:rsidR="00173B0F" w:rsidRPr="00CC2003" w:rsidRDefault="00173B0F" w:rsidP="007E319B">
            <w:pPr>
              <w:pStyle w:val="Default"/>
            </w:pPr>
            <w:r w:rsidRPr="00CC2003">
              <w:rPr>
                <w:b/>
              </w:rPr>
              <w:t>45:</w:t>
            </w:r>
            <w:r w:rsidRPr="00CC2003">
              <w:t xml:space="preserve"> SASSA’s approved budget appropriation was reduced by 8% from prior year. The decline will have a negative impact as it is not aligned with the projected consumer price index. </w:t>
            </w:r>
          </w:p>
          <w:p w:rsidR="00173B0F" w:rsidRPr="00CC2003" w:rsidRDefault="00173B0F" w:rsidP="007E319B">
            <w:pPr>
              <w:pStyle w:val="Default"/>
            </w:pPr>
            <w:r w:rsidRPr="00CC2003">
              <w:rPr>
                <w:b/>
                <w:lang w:val="en-ZA"/>
              </w:rPr>
              <w:t>46:</w:t>
            </w:r>
            <w:r w:rsidRPr="00CC2003">
              <w:t xml:space="preserve">  According to the in-year monitor reports, a surplus of R459 million has been reported for the period 1 April 2019 to 30 September 2019. This is a 51.24% decrease compared to the interim R942.3 million surplus reported as at 30 September 2018. </w:t>
            </w:r>
          </w:p>
          <w:p w:rsidR="00173B0F" w:rsidRPr="00CC2003" w:rsidRDefault="00173B0F" w:rsidP="007E319B">
            <w:pPr>
              <w:spacing w:before="120"/>
              <w:rPr>
                <w:rFonts w:ascii="Arial" w:hAnsi="Arial" w:cs="Arial"/>
                <w:b/>
                <w:sz w:val="24"/>
                <w:szCs w:val="24"/>
              </w:rPr>
            </w:pPr>
          </w:p>
          <w:p w:rsidR="00173B0F" w:rsidRPr="00CC2003" w:rsidRDefault="00173B0F" w:rsidP="007E319B">
            <w:pPr>
              <w:spacing w:before="120"/>
              <w:rPr>
                <w:rFonts w:ascii="Arial" w:hAnsi="Arial" w:cs="Arial"/>
                <w:b/>
                <w:sz w:val="24"/>
                <w:szCs w:val="24"/>
              </w:rPr>
            </w:pPr>
          </w:p>
        </w:tc>
        <w:tc>
          <w:tcPr>
            <w:tcW w:w="3420" w:type="dxa"/>
            <w:shd w:val="clear" w:color="auto" w:fill="auto"/>
          </w:tcPr>
          <w:p w:rsidR="00173B0F" w:rsidRPr="00266C4A" w:rsidRDefault="00F63B0D" w:rsidP="00266C4A">
            <w:pPr>
              <w:pStyle w:val="ListParagraph"/>
              <w:numPr>
                <w:ilvl w:val="0"/>
                <w:numId w:val="44"/>
              </w:numPr>
              <w:spacing w:before="120"/>
              <w:jc w:val="both"/>
              <w:rPr>
                <w:rFonts w:ascii="Arial" w:hAnsi="Arial" w:cs="Arial"/>
                <w:sz w:val="24"/>
                <w:szCs w:val="24"/>
              </w:rPr>
            </w:pPr>
            <w:r w:rsidRPr="00266C4A">
              <w:rPr>
                <w:rFonts w:ascii="Arial" w:hAnsi="Arial" w:cs="Arial"/>
                <w:sz w:val="24"/>
                <w:szCs w:val="24"/>
              </w:rPr>
              <w:t>Engagement with National Treasury on the approval of 2018/19 retained surplus</w:t>
            </w:r>
          </w:p>
          <w:p w:rsidR="00F63B0D" w:rsidRPr="00266C4A" w:rsidRDefault="00F63B0D" w:rsidP="00266C4A">
            <w:pPr>
              <w:spacing w:before="120"/>
              <w:jc w:val="both"/>
              <w:rPr>
                <w:rFonts w:ascii="Arial" w:hAnsi="Arial" w:cs="Arial"/>
                <w:sz w:val="24"/>
                <w:szCs w:val="24"/>
              </w:rPr>
            </w:pPr>
          </w:p>
          <w:p w:rsidR="00F63B0D" w:rsidRPr="00266C4A" w:rsidRDefault="00F63B0D" w:rsidP="00266C4A">
            <w:pPr>
              <w:spacing w:before="120"/>
              <w:jc w:val="both"/>
              <w:rPr>
                <w:rFonts w:ascii="Arial" w:hAnsi="Arial" w:cs="Arial"/>
                <w:sz w:val="24"/>
                <w:szCs w:val="24"/>
              </w:rPr>
            </w:pPr>
          </w:p>
          <w:p w:rsidR="00F63B0D" w:rsidRPr="00266C4A" w:rsidRDefault="00F63B0D" w:rsidP="00266C4A">
            <w:pPr>
              <w:spacing w:before="120"/>
              <w:jc w:val="both"/>
              <w:rPr>
                <w:rFonts w:ascii="Arial" w:hAnsi="Arial" w:cs="Arial"/>
                <w:sz w:val="24"/>
                <w:szCs w:val="24"/>
              </w:rPr>
            </w:pPr>
          </w:p>
          <w:p w:rsidR="00F63B0D" w:rsidRPr="00266C4A" w:rsidRDefault="00F63B0D" w:rsidP="00266C4A">
            <w:pPr>
              <w:spacing w:before="120"/>
              <w:jc w:val="both"/>
              <w:rPr>
                <w:rFonts w:ascii="Arial" w:hAnsi="Arial" w:cs="Arial"/>
                <w:sz w:val="24"/>
                <w:szCs w:val="24"/>
              </w:rPr>
            </w:pPr>
          </w:p>
          <w:p w:rsidR="00F63B0D" w:rsidRPr="00266C4A" w:rsidRDefault="00F63B0D" w:rsidP="00266C4A">
            <w:pPr>
              <w:spacing w:before="120"/>
              <w:jc w:val="both"/>
              <w:rPr>
                <w:rFonts w:ascii="Arial" w:hAnsi="Arial" w:cs="Arial"/>
                <w:sz w:val="24"/>
                <w:szCs w:val="24"/>
              </w:rPr>
            </w:pPr>
          </w:p>
          <w:p w:rsidR="00F63B0D" w:rsidRPr="00266C4A" w:rsidRDefault="00F63B0D" w:rsidP="00266C4A">
            <w:pPr>
              <w:spacing w:before="120"/>
              <w:jc w:val="both"/>
              <w:rPr>
                <w:rFonts w:ascii="Arial" w:hAnsi="Arial" w:cs="Arial"/>
                <w:sz w:val="24"/>
                <w:szCs w:val="24"/>
              </w:rPr>
            </w:pPr>
          </w:p>
          <w:p w:rsidR="00F63B0D" w:rsidRPr="00266C4A" w:rsidRDefault="00F63B0D" w:rsidP="00266C4A">
            <w:pPr>
              <w:spacing w:before="120"/>
              <w:jc w:val="both"/>
              <w:rPr>
                <w:rFonts w:ascii="Arial" w:hAnsi="Arial" w:cs="Arial"/>
                <w:sz w:val="24"/>
                <w:szCs w:val="24"/>
              </w:rPr>
            </w:pPr>
          </w:p>
          <w:p w:rsidR="00F63B0D" w:rsidRPr="00266C4A" w:rsidRDefault="00F63B0D" w:rsidP="00266C4A">
            <w:pPr>
              <w:spacing w:before="120"/>
              <w:jc w:val="both"/>
              <w:rPr>
                <w:rFonts w:ascii="Arial" w:hAnsi="Arial" w:cs="Arial"/>
                <w:sz w:val="24"/>
                <w:szCs w:val="24"/>
              </w:rPr>
            </w:pPr>
          </w:p>
          <w:p w:rsidR="00F63B0D" w:rsidRPr="00266C4A" w:rsidRDefault="00F63B0D" w:rsidP="00266C4A">
            <w:pPr>
              <w:spacing w:before="120"/>
              <w:jc w:val="both"/>
              <w:rPr>
                <w:rFonts w:ascii="Arial" w:hAnsi="Arial" w:cs="Arial"/>
                <w:sz w:val="24"/>
                <w:szCs w:val="24"/>
              </w:rPr>
            </w:pPr>
          </w:p>
          <w:p w:rsidR="00F63B0D" w:rsidRPr="00266C4A" w:rsidRDefault="00F63B0D" w:rsidP="00266C4A">
            <w:pPr>
              <w:spacing w:before="120"/>
              <w:jc w:val="both"/>
              <w:rPr>
                <w:rFonts w:ascii="Arial" w:hAnsi="Arial" w:cs="Arial"/>
                <w:sz w:val="24"/>
                <w:szCs w:val="24"/>
              </w:rPr>
            </w:pPr>
          </w:p>
          <w:p w:rsidR="00F63B0D" w:rsidRPr="00266C4A" w:rsidRDefault="00F63B0D" w:rsidP="00266C4A">
            <w:pPr>
              <w:spacing w:before="120"/>
              <w:jc w:val="both"/>
              <w:rPr>
                <w:rFonts w:ascii="Arial" w:hAnsi="Arial" w:cs="Arial"/>
                <w:sz w:val="24"/>
                <w:szCs w:val="24"/>
              </w:rPr>
            </w:pPr>
          </w:p>
          <w:p w:rsidR="00F63B0D" w:rsidRPr="00266C4A" w:rsidRDefault="00F63B0D" w:rsidP="00266C4A">
            <w:pPr>
              <w:spacing w:before="120"/>
              <w:jc w:val="both"/>
              <w:rPr>
                <w:rFonts w:ascii="Arial" w:hAnsi="Arial" w:cs="Arial"/>
                <w:sz w:val="24"/>
                <w:szCs w:val="24"/>
              </w:rPr>
            </w:pPr>
          </w:p>
          <w:p w:rsidR="00F63B0D" w:rsidRPr="00266C4A" w:rsidRDefault="00F63B0D" w:rsidP="00266C4A">
            <w:pPr>
              <w:spacing w:before="120"/>
              <w:jc w:val="both"/>
              <w:rPr>
                <w:rFonts w:ascii="Arial" w:hAnsi="Arial" w:cs="Arial"/>
                <w:sz w:val="24"/>
                <w:szCs w:val="24"/>
              </w:rPr>
            </w:pPr>
          </w:p>
          <w:p w:rsidR="00F63B0D" w:rsidRPr="00266C4A" w:rsidRDefault="00F63B0D" w:rsidP="00F63B0D">
            <w:pPr>
              <w:pStyle w:val="ListParagraph"/>
              <w:numPr>
                <w:ilvl w:val="0"/>
                <w:numId w:val="44"/>
              </w:numPr>
              <w:spacing w:before="120"/>
              <w:jc w:val="both"/>
              <w:rPr>
                <w:rFonts w:ascii="Arial" w:hAnsi="Arial" w:cs="Arial"/>
                <w:sz w:val="24"/>
                <w:szCs w:val="24"/>
              </w:rPr>
            </w:pPr>
            <w:r w:rsidRPr="00266C4A">
              <w:rPr>
                <w:rFonts w:ascii="Arial" w:hAnsi="Arial" w:cs="Arial"/>
                <w:sz w:val="24"/>
                <w:szCs w:val="24"/>
              </w:rPr>
              <w:t xml:space="preserve">Reprioritise the 2020/21 Budget Allocation </w:t>
            </w:r>
          </w:p>
          <w:p w:rsidR="00F63B0D" w:rsidRPr="00266C4A" w:rsidRDefault="00F63B0D" w:rsidP="00266C4A">
            <w:pPr>
              <w:spacing w:before="120"/>
              <w:jc w:val="both"/>
              <w:rPr>
                <w:rFonts w:ascii="Arial" w:hAnsi="Arial" w:cs="Arial"/>
                <w:sz w:val="24"/>
                <w:szCs w:val="24"/>
              </w:rPr>
            </w:pPr>
          </w:p>
          <w:p w:rsidR="00F63B0D" w:rsidRPr="00266C4A" w:rsidRDefault="00F63B0D" w:rsidP="00266C4A">
            <w:pPr>
              <w:spacing w:before="120"/>
              <w:jc w:val="both"/>
              <w:rPr>
                <w:rFonts w:ascii="Arial" w:hAnsi="Arial" w:cs="Arial"/>
                <w:sz w:val="24"/>
                <w:szCs w:val="24"/>
              </w:rPr>
            </w:pPr>
          </w:p>
          <w:p w:rsidR="00F63B0D" w:rsidRPr="00266C4A" w:rsidRDefault="00F63B0D" w:rsidP="00F63B0D">
            <w:pPr>
              <w:pStyle w:val="ListParagraph"/>
              <w:numPr>
                <w:ilvl w:val="0"/>
                <w:numId w:val="44"/>
              </w:numPr>
              <w:spacing w:before="120"/>
              <w:jc w:val="both"/>
              <w:rPr>
                <w:rFonts w:ascii="Arial" w:hAnsi="Arial" w:cs="Arial"/>
                <w:sz w:val="24"/>
                <w:szCs w:val="24"/>
              </w:rPr>
            </w:pPr>
            <w:r w:rsidRPr="00266C4A">
              <w:rPr>
                <w:rFonts w:ascii="Arial" w:hAnsi="Arial" w:cs="Arial"/>
                <w:sz w:val="24"/>
                <w:szCs w:val="24"/>
              </w:rPr>
              <w:t>Prepare a bid for the approval of the 2019/20 retained surplus after the preparation of 2019/20 Annual Financial Statements</w:t>
            </w:r>
          </w:p>
          <w:p w:rsidR="00F63B0D" w:rsidRPr="00266C4A" w:rsidRDefault="00F63B0D" w:rsidP="00266C4A">
            <w:pPr>
              <w:pStyle w:val="ListParagraph"/>
              <w:spacing w:before="120"/>
              <w:ind w:left="360"/>
              <w:jc w:val="both"/>
              <w:rPr>
                <w:rFonts w:ascii="Arial" w:hAnsi="Arial" w:cs="Arial"/>
                <w:b/>
                <w:sz w:val="24"/>
                <w:szCs w:val="24"/>
              </w:rPr>
            </w:pPr>
          </w:p>
        </w:tc>
        <w:tc>
          <w:tcPr>
            <w:tcW w:w="1643" w:type="dxa"/>
            <w:shd w:val="clear" w:color="auto" w:fill="auto"/>
          </w:tcPr>
          <w:p w:rsidR="00173B0F" w:rsidRPr="00266C4A" w:rsidRDefault="002254A6" w:rsidP="007E319B">
            <w:pPr>
              <w:spacing w:before="120"/>
              <w:rPr>
                <w:rFonts w:ascii="Arial" w:hAnsi="Arial" w:cs="Arial"/>
                <w:sz w:val="24"/>
                <w:szCs w:val="24"/>
              </w:rPr>
            </w:pPr>
            <w:r w:rsidRPr="00266C4A">
              <w:rPr>
                <w:rFonts w:ascii="Arial" w:hAnsi="Arial" w:cs="Arial"/>
                <w:sz w:val="24"/>
                <w:szCs w:val="24"/>
              </w:rPr>
              <w:t>31 March 2020</w:t>
            </w:r>
          </w:p>
        </w:tc>
        <w:tc>
          <w:tcPr>
            <w:tcW w:w="3937" w:type="dxa"/>
            <w:shd w:val="clear" w:color="auto" w:fill="auto"/>
          </w:tcPr>
          <w:p w:rsidR="002254A6" w:rsidRPr="00266C4A" w:rsidRDefault="002254A6" w:rsidP="00266C4A">
            <w:pPr>
              <w:spacing w:before="120"/>
              <w:jc w:val="both"/>
              <w:rPr>
                <w:rFonts w:ascii="Arial" w:hAnsi="Arial" w:cs="Arial"/>
                <w:sz w:val="24"/>
                <w:szCs w:val="24"/>
              </w:rPr>
            </w:pPr>
            <w:r w:rsidRPr="00266C4A">
              <w:rPr>
                <w:rFonts w:ascii="Arial" w:hAnsi="Arial" w:cs="Arial"/>
                <w:sz w:val="24"/>
                <w:szCs w:val="24"/>
              </w:rPr>
              <w:t xml:space="preserve">At the end of the 2018/19 financial year SASSA made an application to retain R649 million realised for the reporting period. </w:t>
            </w:r>
          </w:p>
          <w:p w:rsidR="002254A6" w:rsidRPr="00266C4A" w:rsidRDefault="002254A6" w:rsidP="00266C4A">
            <w:pPr>
              <w:spacing w:before="120"/>
              <w:jc w:val="both"/>
              <w:rPr>
                <w:rFonts w:ascii="Arial" w:hAnsi="Arial" w:cs="Arial"/>
                <w:sz w:val="24"/>
                <w:szCs w:val="24"/>
              </w:rPr>
            </w:pPr>
          </w:p>
          <w:p w:rsidR="00173B0F" w:rsidRPr="00266C4A" w:rsidRDefault="002254A6" w:rsidP="00266C4A">
            <w:pPr>
              <w:spacing w:before="120"/>
              <w:jc w:val="both"/>
              <w:rPr>
                <w:rFonts w:ascii="Arial" w:hAnsi="Arial" w:cs="Arial"/>
                <w:sz w:val="24"/>
                <w:szCs w:val="24"/>
              </w:rPr>
            </w:pPr>
            <w:r w:rsidRPr="00266C4A">
              <w:rPr>
                <w:rFonts w:ascii="Arial" w:hAnsi="Arial" w:cs="Arial"/>
                <w:sz w:val="24"/>
                <w:szCs w:val="24"/>
              </w:rPr>
              <w:t>On 7 October 2019 National Treasury approved the R649 million cash retained surplus realised in 2018/19. This approval assisted to acquire additional or replace some of the ageing fleet required by regional offices. The approved surplus could not be committed in fully so SASSA will continue to engage with National Treasury on the further approval to use the remaining funds for the identified projects thus cushion the impact on budget reduction over the MTEF period.</w:t>
            </w:r>
          </w:p>
          <w:p w:rsidR="002254A6" w:rsidRPr="00266C4A" w:rsidRDefault="002254A6" w:rsidP="00266C4A">
            <w:pPr>
              <w:spacing w:before="120"/>
              <w:jc w:val="both"/>
              <w:rPr>
                <w:rFonts w:ascii="Arial" w:hAnsi="Arial" w:cs="Arial"/>
                <w:sz w:val="24"/>
                <w:szCs w:val="24"/>
              </w:rPr>
            </w:pPr>
          </w:p>
          <w:p w:rsidR="002254A6" w:rsidRPr="00266C4A" w:rsidRDefault="002254A6" w:rsidP="00266C4A">
            <w:pPr>
              <w:spacing w:before="120"/>
              <w:jc w:val="both"/>
              <w:rPr>
                <w:rFonts w:ascii="Arial" w:hAnsi="Arial" w:cs="Arial"/>
                <w:sz w:val="24"/>
                <w:szCs w:val="24"/>
              </w:rPr>
            </w:pPr>
            <w:r w:rsidRPr="00266C4A">
              <w:rPr>
                <w:rFonts w:ascii="Arial" w:hAnsi="Arial" w:cs="Arial"/>
                <w:sz w:val="24"/>
                <w:szCs w:val="24"/>
              </w:rPr>
              <w:t>SASSA will re-prioritise the 2020/21 budget allocation for the achievement of the most critical outcomes in the 2020/21 Annual Performance Plans</w:t>
            </w:r>
          </w:p>
          <w:p w:rsidR="00F63B0D" w:rsidRPr="00266C4A" w:rsidRDefault="00F63B0D" w:rsidP="00266C4A">
            <w:pPr>
              <w:spacing w:before="120"/>
              <w:jc w:val="both"/>
              <w:rPr>
                <w:rFonts w:ascii="Arial" w:hAnsi="Arial" w:cs="Arial"/>
                <w:sz w:val="24"/>
                <w:szCs w:val="24"/>
              </w:rPr>
            </w:pPr>
            <w:r w:rsidRPr="00266C4A">
              <w:rPr>
                <w:rFonts w:ascii="Arial" w:hAnsi="Arial" w:cs="Arial"/>
                <w:sz w:val="24"/>
                <w:szCs w:val="24"/>
              </w:rPr>
              <w:t xml:space="preserve">The bid will be presented to National Treasury to retain the 2019/20 retained surplus on 31 July 2020. </w:t>
            </w:r>
          </w:p>
        </w:tc>
        <w:tc>
          <w:tcPr>
            <w:tcW w:w="1708" w:type="dxa"/>
          </w:tcPr>
          <w:p w:rsidR="00173B0F" w:rsidRPr="00266C4A" w:rsidRDefault="001D61EB" w:rsidP="007E319B">
            <w:pPr>
              <w:spacing w:before="120"/>
              <w:rPr>
                <w:rFonts w:ascii="Arial" w:hAnsi="Arial" w:cs="Arial"/>
                <w:sz w:val="24"/>
                <w:szCs w:val="24"/>
              </w:rPr>
            </w:pPr>
            <w:r w:rsidRPr="00266C4A">
              <w:rPr>
                <w:rFonts w:ascii="Arial" w:hAnsi="Arial" w:cs="Arial"/>
                <w:sz w:val="24"/>
                <w:szCs w:val="24"/>
              </w:rPr>
              <w:t>Mr Tsakeriwa</w:t>
            </w:r>
            <w:r w:rsidR="00173B0F" w:rsidRPr="00266C4A">
              <w:rPr>
                <w:rFonts w:ascii="Arial" w:hAnsi="Arial" w:cs="Arial"/>
                <w:sz w:val="24"/>
                <w:szCs w:val="24"/>
              </w:rPr>
              <w:t xml:space="preserve"> Chauke (CFO)</w:t>
            </w:r>
          </w:p>
        </w:tc>
      </w:tr>
    </w:tbl>
    <w:p w:rsidR="00224F48" w:rsidRDefault="00224F48" w:rsidP="0006563E">
      <w:pPr>
        <w:rPr>
          <w:lang w:val="en-GB"/>
        </w:rPr>
      </w:pPr>
    </w:p>
    <w:p w:rsidR="00224F48" w:rsidRDefault="00224F48" w:rsidP="0006563E">
      <w:pPr>
        <w:rPr>
          <w:lang w:val="en-GB"/>
        </w:rPr>
      </w:pPr>
    </w:p>
    <w:p w:rsidR="0006054B" w:rsidRPr="00952E03" w:rsidRDefault="0006054B" w:rsidP="00292502">
      <w:pPr>
        <w:pStyle w:val="Heading1"/>
        <w:ind w:left="720" w:hanging="720"/>
        <w:rPr>
          <w:rFonts w:ascii="Arial" w:hAnsi="Arial" w:cs="Arial"/>
          <w:lang w:val="en-GB"/>
        </w:rPr>
      </w:pPr>
      <w:bookmarkStart w:id="18" w:name="_Toc37343868"/>
      <w:r w:rsidRPr="00952E03">
        <w:rPr>
          <w:rFonts w:ascii="Arial" w:hAnsi="Arial" w:cs="Arial"/>
          <w:lang w:val="en-GB"/>
        </w:rPr>
        <w:t>Recommendation</w:t>
      </w:r>
      <w:r w:rsidR="0028030F" w:rsidRPr="00952E03">
        <w:rPr>
          <w:rFonts w:ascii="Arial" w:hAnsi="Arial" w:cs="Arial"/>
          <w:lang w:val="en-GB"/>
        </w:rPr>
        <w:t>s</w:t>
      </w:r>
      <w:bookmarkEnd w:id="18"/>
    </w:p>
    <w:p w:rsidR="003B5A1C" w:rsidRPr="00CC2003" w:rsidRDefault="003B5A1C" w:rsidP="00292502">
      <w:pPr>
        <w:ind w:left="720" w:hanging="720"/>
        <w:jc w:val="both"/>
        <w:rPr>
          <w:rFonts w:ascii="Arial" w:hAnsi="Arial" w:cs="Arial"/>
          <w:color w:val="000000" w:themeColor="text1"/>
          <w:sz w:val="24"/>
          <w:szCs w:val="24"/>
          <w:lang w:val="en-GB"/>
        </w:rPr>
      </w:pPr>
    </w:p>
    <w:p w:rsidR="00E475D2" w:rsidRPr="00CC2003" w:rsidRDefault="00E475D2" w:rsidP="00292502">
      <w:pPr>
        <w:ind w:left="720" w:hanging="720"/>
        <w:jc w:val="both"/>
        <w:rPr>
          <w:rFonts w:ascii="Arial" w:hAnsi="Arial" w:cs="Arial"/>
          <w:color w:val="000000" w:themeColor="text1"/>
          <w:sz w:val="24"/>
          <w:szCs w:val="24"/>
          <w:lang w:val="en-GB"/>
        </w:rPr>
      </w:pPr>
      <w:r w:rsidRPr="00CC2003">
        <w:rPr>
          <w:rFonts w:ascii="Arial" w:hAnsi="Arial" w:cs="Arial"/>
          <w:color w:val="000000" w:themeColor="text1"/>
          <w:sz w:val="24"/>
          <w:szCs w:val="24"/>
          <w:lang w:val="en-GB"/>
        </w:rPr>
        <w:t>It is recommended that the Chief Executive Officer:</w:t>
      </w:r>
    </w:p>
    <w:p w:rsidR="00E475D2" w:rsidRPr="00CC2003" w:rsidRDefault="00E475D2" w:rsidP="00292502">
      <w:pPr>
        <w:ind w:left="720" w:hanging="720"/>
        <w:jc w:val="both"/>
        <w:rPr>
          <w:rFonts w:ascii="Arial" w:hAnsi="Arial" w:cs="Arial"/>
          <w:color w:val="000000" w:themeColor="text1"/>
          <w:sz w:val="24"/>
          <w:szCs w:val="24"/>
          <w:lang w:val="en-GB"/>
        </w:rPr>
      </w:pPr>
      <w:r w:rsidRPr="00CC2003">
        <w:rPr>
          <w:rFonts w:ascii="Arial" w:hAnsi="Arial" w:cs="Arial"/>
          <w:color w:val="000000" w:themeColor="text1"/>
          <w:sz w:val="24"/>
          <w:szCs w:val="24"/>
          <w:lang w:val="en-GB"/>
        </w:rPr>
        <w:t xml:space="preserve"> </w:t>
      </w:r>
    </w:p>
    <w:p w:rsidR="00E475D2" w:rsidRDefault="00E475D2" w:rsidP="00292502">
      <w:pPr>
        <w:pStyle w:val="ListParagraph"/>
        <w:numPr>
          <w:ilvl w:val="1"/>
          <w:numId w:val="39"/>
        </w:numPr>
        <w:spacing w:line="360" w:lineRule="auto"/>
        <w:ind w:left="720" w:hanging="720"/>
        <w:jc w:val="both"/>
        <w:rPr>
          <w:rFonts w:ascii="Arial" w:hAnsi="Arial" w:cs="Arial"/>
          <w:sz w:val="24"/>
          <w:szCs w:val="24"/>
          <w:lang w:val="en-GB"/>
        </w:rPr>
      </w:pPr>
      <w:r w:rsidRPr="00CC2003">
        <w:rPr>
          <w:rFonts w:ascii="Arial" w:hAnsi="Arial" w:cs="Arial"/>
          <w:sz w:val="24"/>
          <w:szCs w:val="24"/>
          <w:lang w:val="en-GB"/>
        </w:rPr>
        <w:t>Approves the Progress on the Status of Record Review as at 31 March 2020 for submission to the Minister of Social Development and Portfolio Committee as requested.</w:t>
      </w:r>
    </w:p>
    <w:p w:rsidR="007C1FF3" w:rsidRPr="00CC2003" w:rsidRDefault="00E475D2" w:rsidP="007C1FF3">
      <w:pPr>
        <w:spacing w:line="360" w:lineRule="auto"/>
        <w:jc w:val="both"/>
        <w:rPr>
          <w:rFonts w:ascii="Arial" w:hAnsi="Arial" w:cs="Arial"/>
          <w:sz w:val="24"/>
          <w:szCs w:val="24"/>
          <w:lang w:val="en-GB"/>
        </w:rPr>
      </w:pPr>
      <w:r w:rsidRPr="00CC2003">
        <w:rPr>
          <w:rFonts w:ascii="Arial" w:hAnsi="Arial" w:cs="Arial"/>
          <w:sz w:val="24"/>
          <w:szCs w:val="24"/>
          <w:lang w:val="en-GB"/>
        </w:rPr>
        <w:t>______________________________</w:t>
      </w:r>
    </w:p>
    <w:p w:rsidR="007C1FF3" w:rsidRPr="00CC2003" w:rsidRDefault="00840597" w:rsidP="007C1FF3">
      <w:pPr>
        <w:spacing w:line="360" w:lineRule="auto"/>
        <w:jc w:val="both"/>
        <w:rPr>
          <w:rFonts w:ascii="Arial" w:hAnsi="Arial" w:cs="Arial"/>
          <w:b/>
          <w:sz w:val="24"/>
          <w:szCs w:val="24"/>
          <w:lang w:val="en-GB"/>
        </w:rPr>
      </w:pPr>
      <w:r>
        <w:rPr>
          <w:rFonts w:ascii="Arial" w:hAnsi="Arial" w:cs="Arial"/>
          <w:b/>
          <w:sz w:val="24"/>
          <w:szCs w:val="24"/>
          <w:lang w:val="en-GB"/>
        </w:rPr>
        <w:t xml:space="preserve">MR. </w:t>
      </w:r>
      <w:r w:rsidR="007C1FF3" w:rsidRPr="00CC2003">
        <w:rPr>
          <w:rFonts w:ascii="Arial" w:hAnsi="Arial" w:cs="Arial"/>
          <w:b/>
          <w:sz w:val="24"/>
          <w:szCs w:val="24"/>
          <w:lang w:val="en-GB"/>
        </w:rPr>
        <w:t xml:space="preserve">T.J CHAUKE </w:t>
      </w:r>
    </w:p>
    <w:p w:rsidR="007C1FF3" w:rsidRPr="00CC2003" w:rsidRDefault="007C1FF3" w:rsidP="007C1FF3">
      <w:pPr>
        <w:spacing w:line="360" w:lineRule="auto"/>
        <w:jc w:val="both"/>
        <w:rPr>
          <w:rFonts w:ascii="Arial" w:hAnsi="Arial" w:cs="Arial"/>
          <w:b/>
          <w:sz w:val="24"/>
          <w:szCs w:val="24"/>
          <w:lang w:val="en-GB"/>
        </w:rPr>
      </w:pPr>
      <w:r w:rsidRPr="00CC2003">
        <w:rPr>
          <w:rFonts w:ascii="Arial" w:hAnsi="Arial" w:cs="Arial"/>
          <w:b/>
          <w:sz w:val="24"/>
          <w:szCs w:val="24"/>
          <w:lang w:val="en-GB"/>
        </w:rPr>
        <w:t>CHIEF FINANCIAL OFFICER</w:t>
      </w:r>
    </w:p>
    <w:p w:rsidR="007C1FF3" w:rsidRPr="00CC2003" w:rsidRDefault="007C1FF3" w:rsidP="007C1FF3">
      <w:pPr>
        <w:spacing w:line="360" w:lineRule="auto"/>
        <w:jc w:val="both"/>
        <w:rPr>
          <w:rFonts w:ascii="Arial" w:hAnsi="Arial" w:cs="Arial"/>
          <w:b/>
          <w:sz w:val="24"/>
          <w:szCs w:val="24"/>
          <w:lang w:val="en-GB"/>
        </w:rPr>
      </w:pPr>
      <w:r w:rsidRPr="00CC2003">
        <w:rPr>
          <w:rFonts w:ascii="Arial" w:hAnsi="Arial" w:cs="Arial"/>
          <w:b/>
          <w:sz w:val="24"/>
          <w:szCs w:val="24"/>
          <w:lang w:val="en-GB"/>
        </w:rPr>
        <w:t>DATE:</w:t>
      </w:r>
    </w:p>
    <w:p w:rsidR="007C1FF3" w:rsidRPr="00CC2003" w:rsidRDefault="00E475D2" w:rsidP="007C1FF3">
      <w:pPr>
        <w:spacing w:line="360" w:lineRule="auto"/>
        <w:ind w:left="360"/>
        <w:jc w:val="both"/>
        <w:rPr>
          <w:rFonts w:ascii="Arial" w:hAnsi="Arial" w:cs="Arial"/>
          <w:b/>
          <w:sz w:val="24"/>
          <w:szCs w:val="24"/>
          <w:lang w:val="en-GB"/>
        </w:rPr>
      </w:pPr>
      <w:r w:rsidRPr="00CC2003">
        <w:rPr>
          <w:rFonts w:ascii="Arial" w:hAnsi="Arial" w:cs="Arial"/>
          <w:b/>
          <w:sz w:val="24"/>
          <w:szCs w:val="24"/>
          <w:lang w:val="en-GB"/>
        </w:rPr>
        <w:t>Recommendation 10.1</w:t>
      </w:r>
      <w:r w:rsidR="007C1FF3" w:rsidRPr="00CC2003">
        <w:rPr>
          <w:rFonts w:ascii="Arial" w:hAnsi="Arial" w:cs="Arial"/>
          <w:b/>
          <w:sz w:val="24"/>
          <w:szCs w:val="24"/>
          <w:lang w:val="en-GB"/>
        </w:rPr>
        <w:t xml:space="preserve"> Approved/ Not Approved/ as amended</w:t>
      </w:r>
    </w:p>
    <w:p w:rsidR="007C1FF3" w:rsidRPr="00CC2003" w:rsidRDefault="00E475D2" w:rsidP="00E475D2">
      <w:pPr>
        <w:spacing w:line="360" w:lineRule="auto"/>
        <w:jc w:val="both"/>
        <w:rPr>
          <w:rFonts w:ascii="Arial" w:hAnsi="Arial" w:cs="Arial"/>
          <w:sz w:val="24"/>
          <w:szCs w:val="24"/>
          <w:lang w:val="en-GB"/>
        </w:rPr>
      </w:pPr>
      <w:r w:rsidRPr="00CC2003">
        <w:rPr>
          <w:rFonts w:ascii="Arial" w:hAnsi="Arial" w:cs="Arial"/>
          <w:sz w:val="24"/>
          <w:szCs w:val="24"/>
          <w:lang w:val="en-GB"/>
        </w:rPr>
        <w:t>_____________________________________________________________________________________________________________________________________________________________________________________________</w:t>
      </w:r>
      <w:r w:rsidR="005F26BF">
        <w:rPr>
          <w:rFonts w:ascii="Arial" w:hAnsi="Arial" w:cs="Arial"/>
          <w:sz w:val="24"/>
          <w:szCs w:val="24"/>
          <w:lang w:val="en-GB"/>
        </w:rPr>
        <w:t>________________</w:t>
      </w:r>
      <w:r w:rsidRPr="00CC2003">
        <w:rPr>
          <w:rFonts w:ascii="Arial" w:hAnsi="Arial" w:cs="Arial"/>
          <w:sz w:val="24"/>
          <w:szCs w:val="24"/>
          <w:lang w:val="en-GB"/>
        </w:rPr>
        <w:t>___</w:t>
      </w:r>
    </w:p>
    <w:p w:rsidR="007C1FF3" w:rsidRPr="00CC2003" w:rsidRDefault="00E475D2" w:rsidP="007C1FF3">
      <w:pPr>
        <w:spacing w:line="360" w:lineRule="auto"/>
        <w:jc w:val="both"/>
        <w:rPr>
          <w:rFonts w:ascii="Arial" w:hAnsi="Arial" w:cs="Arial"/>
          <w:sz w:val="24"/>
          <w:szCs w:val="24"/>
          <w:lang w:val="en-GB"/>
        </w:rPr>
      </w:pPr>
      <w:r w:rsidRPr="00CC2003">
        <w:rPr>
          <w:rFonts w:ascii="Arial" w:hAnsi="Arial" w:cs="Arial"/>
          <w:sz w:val="24"/>
          <w:szCs w:val="24"/>
          <w:lang w:val="en-GB"/>
        </w:rPr>
        <w:t>_____________________________</w:t>
      </w:r>
    </w:p>
    <w:p w:rsidR="007C1FF3" w:rsidRPr="00CC2003" w:rsidRDefault="007C1FF3" w:rsidP="007C1FF3">
      <w:pPr>
        <w:spacing w:line="360" w:lineRule="auto"/>
        <w:jc w:val="both"/>
        <w:rPr>
          <w:rFonts w:ascii="Arial" w:hAnsi="Arial" w:cs="Arial"/>
          <w:b/>
          <w:sz w:val="24"/>
          <w:szCs w:val="24"/>
          <w:lang w:val="en-GB"/>
        </w:rPr>
      </w:pPr>
      <w:r w:rsidRPr="00CC2003">
        <w:rPr>
          <w:rFonts w:ascii="Arial" w:hAnsi="Arial" w:cs="Arial"/>
          <w:b/>
          <w:sz w:val="24"/>
          <w:szCs w:val="24"/>
          <w:lang w:val="en-GB"/>
        </w:rPr>
        <w:t>M</w:t>
      </w:r>
      <w:r w:rsidR="00840597">
        <w:rPr>
          <w:rFonts w:ascii="Arial" w:hAnsi="Arial" w:cs="Arial"/>
          <w:b/>
          <w:sz w:val="24"/>
          <w:szCs w:val="24"/>
          <w:lang w:val="en-GB"/>
        </w:rPr>
        <w:t>S.</w:t>
      </w:r>
      <w:r w:rsidRPr="00CC2003">
        <w:rPr>
          <w:rFonts w:ascii="Arial" w:hAnsi="Arial" w:cs="Arial"/>
          <w:b/>
          <w:sz w:val="24"/>
          <w:szCs w:val="24"/>
          <w:lang w:val="en-GB"/>
        </w:rPr>
        <w:t xml:space="preserve"> </w:t>
      </w:r>
      <w:r w:rsidR="00E475D2" w:rsidRPr="00CC2003">
        <w:rPr>
          <w:rFonts w:ascii="Arial" w:hAnsi="Arial" w:cs="Arial"/>
          <w:b/>
          <w:sz w:val="24"/>
          <w:szCs w:val="24"/>
          <w:lang w:val="en-GB"/>
        </w:rPr>
        <w:t xml:space="preserve">T B J </w:t>
      </w:r>
      <w:r w:rsidR="004038FA">
        <w:rPr>
          <w:rFonts w:ascii="Arial" w:hAnsi="Arial" w:cs="Arial"/>
          <w:b/>
          <w:sz w:val="24"/>
          <w:szCs w:val="24"/>
          <w:lang w:val="en-GB"/>
        </w:rPr>
        <w:t>ME</w:t>
      </w:r>
      <w:r w:rsidR="00E475D2" w:rsidRPr="00CC2003">
        <w:rPr>
          <w:rFonts w:ascii="Arial" w:hAnsi="Arial" w:cs="Arial"/>
          <w:b/>
          <w:sz w:val="24"/>
          <w:szCs w:val="24"/>
          <w:lang w:val="en-GB"/>
        </w:rPr>
        <w:t>MELA</w:t>
      </w:r>
    </w:p>
    <w:p w:rsidR="007C1FF3" w:rsidRPr="00CC2003" w:rsidRDefault="007C1FF3" w:rsidP="007C1FF3">
      <w:pPr>
        <w:spacing w:line="360" w:lineRule="auto"/>
        <w:jc w:val="both"/>
        <w:rPr>
          <w:rFonts w:ascii="Arial" w:hAnsi="Arial" w:cs="Arial"/>
          <w:b/>
          <w:sz w:val="24"/>
          <w:szCs w:val="24"/>
          <w:lang w:val="en-GB"/>
        </w:rPr>
      </w:pPr>
      <w:r w:rsidRPr="00CC2003">
        <w:rPr>
          <w:rFonts w:ascii="Arial" w:hAnsi="Arial" w:cs="Arial"/>
          <w:b/>
          <w:sz w:val="24"/>
          <w:szCs w:val="24"/>
          <w:lang w:val="en-GB"/>
        </w:rPr>
        <w:t>CHIEF EXECUTIVE OFFICER</w:t>
      </w:r>
    </w:p>
    <w:p w:rsidR="00DA0F49" w:rsidRPr="00CC2003" w:rsidRDefault="007C1FF3" w:rsidP="007C1FF3">
      <w:pPr>
        <w:spacing w:line="360" w:lineRule="auto"/>
        <w:jc w:val="both"/>
        <w:rPr>
          <w:rFonts w:ascii="Arial" w:hAnsi="Arial" w:cs="Arial"/>
          <w:b/>
          <w:sz w:val="24"/>
          <w:szCs w:val="24"/>
          <w:lang w:val="en-GB"/>
        </w:rPr>
      </w:pPr>
      <w:r w:rsidRPr="00CC2003">
        <w:rPr>
          <w:rFonts w:ascii="Arial" w:hAnsi="Arial" w:cs="Arial"/>
          <w:b/>
          <w:sz w:val="24"/>
          <w:szCs w:val="24"/>
          <w:lang w:val="en-GB"/>
        </w:rPr>
        <w:t>DATE:</w:t>
      </w:r>
    </w:p>
    <w:sectPr w:rsidR="00DA0F49" w:rsidRPr="00CC2003" w:rsidSect="00CB5BA4">
      <w:footerReference w:type="default" r:id="rId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440" w:rsidRDefault="009F7440" w:rsidP="00C327FE">
      <w:pPr>
        <w:spacing w:after="0" w:line="240" w:lineRule="auto"/>
      </w:pPr>
      <w:r>
        <w:separator/>
      </w:r>
    </w:p>
  </w:endnote>
  <w:endnote w:type="continuationSeparator" w:id="0">
    <w:p w:rsidR="009F7440" w:rsidRDefault="009F7440" w:rsidP="00C3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162839"/>
      <w:docPartObj>
        <w:docPartGallery w:val="Page Numbers (Bottom of Page)"/>
        <w:docPartUnique/>
      </w:docPartObj>
    </w:sdtPr>
    <w:sdtEndPr>
      <w:rPr>
        <w:color w:val="7F7F7F" w:themeColor="background1" w:themeShade="7F"/>
        <w:spacing w:val="60"/>
      </w:rPr>
    </w:sdtEndPr>
    <w:sdtContent>
      <w:p w:rsidR="00395ECE" w:rsidRDefault="00395EC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3F0A" w:rsidRPr="008A3F0A">
          <w:rPr>
            <w:b/>
            <w:bCs/>
            <w:noProof/>
          </w:rPr>
          <w:t>1</w:t>
        </w:r>
        <w:r>
          <w:rPr>
            <w:b/>
            <w:bCs/>
            <w:noProof/>
          </w:rPr>
          <w:fldChar w:fldCharType="end"/>
        </w:r>
        <w:r>
          <w:rPr>
            <w:b/>
            <w:bCs/>
          </w:rPr>
          <w:t xml:space="preserve"> | </w:t>
        </w:r>
        <w:r>
          <w:rPr>
            <w:color w:val="7F7F7F" w:themeColor="background1" w:themeShade="7F"/>
            <w:spacing w:val="60"/>
          </w:rPr>
          <w:t>Page</w:t>
        </w:r>
      </w:p>
    </w:sdtContent>
  </w:sdt>
  <w:p w:rsidR="00CD3B44" w:rsidRDefault="00CD3B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440" w:rsidRDefault="009F7440" w:rsidP="00C327FE">
      <w:pPr>
        <w:spacing w:after="0" w:line="240" w:lineRule="auto"/>
      </w:pPr>
      <w:r>
        <w:separator/>
      </w:r>
    </w:p>
  </w:footnote>
  <w:footnote w:type="continuationSeparator" w:id="0">
    <w:p w:rsidR="009F7440" w:rsidRDefault="009F7440" w:rsidP="00C32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55B89"/>
    <w:multiLevelType w:val="hybridMultilevel"/>
    <w:tmpl w:val="EF2C0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06392C"/>
    <w:multiLevelType w:val="hybridMultilevel"/>
    <w:tmpl w:val="E12015C8"/>
    <w:lvl w:ilvl="0" w:tplc="18086C16">
      <w:start w:val="3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64C6A"/>
    <w:multiLevelType w:val="hybridMultilevel"/>
    <w:tmpl w:val="A3543CE6"/>
    <w:lvl w:ilvl="0" w:tplc="9E5CDB9E">
      <w:start w:val="1"/>
      <w:numFmt w:val="upperLetter"/>
      <w:lvlText w:val="%1."/>
      <w:lvlJc w:val="left"/>
      <w:pPr>
        <w:tabs>
          <w:tab w:val="num" w:pos="720"/>
        </w:tabs>
        <w:ind w:left="720" w:hanging="360"/>
      </w:pPr>
    </w:lvl>
    <w:lvl w:ilvl="1" w:tplc="EDA43E8C" w:tentative="1">
      <w:start w:val="1"/>
      <w:numFmt w:val="upperLetter"/>
      <w:lvlText w:val="%2."/>
      <w:lvlJc w:val="left"/>
      <w:pPr>
        <w:tabs>
          <w:tab w:val="num" w:pos="1440"/>
        </w:tabs>
        <w:ind w:left="1440" w:hanging="360"/>
      </w:pPr>
    </w:lvl>
    <w:lvl w:ilvl="2" w:tplc="DFE4E75E" w:tentative="1">
      <w:start w:val="1"/>
      <w:numFmt w:val="upperLetter"/>
      <w:lvlText w:val="%3."/>
      <w:lvlJc w:val="left"/>
      <w:pPr>
        <w:tabs>
          <w:tab w:val="num" w:pos="2160"/>
        </w:tabs>
        <w:ind w:left="2160" w:hanging="360"/>
      </w:pPr>
    </w:lvl>
    <w:lvl w:ilvl="3" w:tplc="B71ACD8E" w:tentative="1">
      <w:start w:val="1"/>
      <w:numFmt w:val="upperLetter"/>
      <w:lvlText w:val="%4."/>
      <w:lvlJc w:val="left"/>
      <w:pPr>
        <w:tabs>
          <w:tab w:val="num" w:pos="2880"/>
        </w:tabs>
        <w:ind w:left="2880" w:hanging="360"/>
      </w:pPr>
    </w:lvl>
    <w:lvl w:ilvl="4" w:tplc="66DECA6E" w:tentative="1">
      <w:start w:val="1"/>
      <w:numFmt w:val="upperLetter"/>
      <w:lvlText w:val="%5."/>
      <w:lvlJc w:val="left"/>
      <w:pPr>
        <w:tabs>
          <w:tab w:val="num" w:pos="3600"/>
        </w:tabs>
        <w:ind w:left="3600" w:hanging="360"/>
      </w:pPr>
    </w:lvl>
    <w:lvl w:ilvl="5" w:tplc="95FA40D2" w:tentative="1">
      <w:start w:val="1"/>
      <w:numFmt w:val="upperLetter"/>
      <w:lvlText w:val="%6."/>
      <w:lvlJc w:val="left"/>
      <w:pPr>
        <w:tabs>
          <w:tab w:val="num" w:pos="4320"/>
        </w:tabs>
        <w:ind w:left="4320" w:hanging="360"/>
      </w:pPr>
    </w:lvl>
    <w:lvl w:ilvl="6" w:tplc="077A4982" w:tentative="1">
      <w:start w:val="1"/>
      <w:numFmt w:val="upperLetter"/>
      <w:lvlText w:val="%7."/>
      <w:lvlJc w:val="left"/>
      <w:pPr>
        <w:tabs>
          <w:tab w:val="num" w:pos="5040"/>
        </w:tabs>
        <w:ind w:left="5040" w:hanging="360"/>
      </w:pPr>
    </w:lvl>
    <w:lvl w:ilvl="7" w:tplc="664AA36C" w:tentative="1">
      <w:start w:val="1"/>
      <w:numFmt w:val="upperLetter"/>
      <w:lvlText w:val="%8."/>
      <w:lvlJc w:val="left"/>
      <w:pPr>
        <w:tabs>
          <w:tab w:val="num" w:pos="5760"/>
        </w:tabs>
        <w:ind w:left="5760" w:hanging="360"/>
      </w:pPr>
    </w:lvl>
    <w:lvl w:ilvl="8" w:tplc="0D5829F8" w:tentative="1">
      <w:start w:val="1"/>
      <w:numFmt w:val="upperLetter"/>
      <w:lvlText w:val="%9."/>
      <w:lvlJc w:val="left"/>
      <w:pPr>
        <w:tabs>
          <w:tab w:val="num" w:pos="6480"/>
        </w:tabs>
        <w:ind w:left="6480" w:hanging="360"/>
      </w:pPr>
    </w:lvl>
  </w:abstractNum>
  <w:abstractNum w:abstractNumId="3" w15:restartNumberingAfterBreak="0">
    <w:nsid w:val="1DDE7ACF"/>
    <w:multiLevelType w:val="multilevel"/>
    <w:tmpl w:val="9E8AB35C"/>
    <w:lvl w:ilvl="0">
      <w:start w:val="1"/>
      <w:numFmt w:val="decimal"/>
      <w:lvlText w:val="%1."/>
      <w:lvlJc w:val="left"/>
      <w:pPr>
        <w:ind w:left="360" w:hanging="360"/>
      </w:pPr>
      <w:rPr>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D2496"/>
    <w:multiLevelType w:val="hybridMultilevel"/>
    <w:tmpl w:val="87B4A92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5" w15:restartNumberingAfterBreak="0">
    <w:nsid w:val="24161C4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716530"/>
    <w:multiLevelType w:val="hybridMultilevel"/>
    <w:tmpl w:val="C33C75AE"/>
    <w:lvl w:ilvl="0" w:tplc="24960234">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D55DD"/>
    <w:multiLevelType w:val="hybridMultilevel"/>
    <w:tmpl w:val="F3A0F2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D6F14"/>
    <w:multiLevelType w:val="hybridMultilevel"/>
    <w:tmpl w:val="4C9A22F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3251228"/>
    <w:multiLevelType w:val="hybridMultilevel"/>
    <w:tmpl w:val="93083AB6"/>
    <w:lvl w:ilvl="0" w:tplc="C3AE949E">
      <w:start w:val="1"/>
      <w:numFmt w:val="bullet"/>
      <w:lvlText w:val=""/>
      <w:lvlJc w:val="left"/>
      <w:pPr>
        <w:tabs>
          <w:tab w:val="num" w:pos="720"/>
        </w:tabs>
        <w:ind w:left="720" w:hanging="360"/>
      </w:pPr>
      <w:rPr>
        <w:rFonts w:ascii="Wingdings" w:hAnsi="Wingdings" w:hint="default"/>
      </w:rPr>
    </w:lvl>
    <w:lvl w:ilvl="1" w:tplc="11CAE81E" w:tentative="1">
      <w:start w:val="1"/>
      <w:numFmt w:val="bullet"/>
      <w:lvlText w:val=""/>
      <w:lvlJc w:val="left"/>
      <w:pPr>
        <w:tabs>
          <w:tab w:val="num" w:pos="1440"/>
        </w:tabs>
        <w:ind w:left="1440" w:hanging="360"/>
      </w:pPr>
      <w:rPr>
        <w:rFonts w:ascii="Wingdings" w:hAnsi="Wingdings" w:hint="default"/>
      </w:rPr>
    </w:lvl>
    <w:lvl w:ilvl="2" w:tplc="54769BDE" w:tentative="1">
      <w:start w:val="1"/>
      <w:numFmt w:val="bullet"/>
      <w:lvlText w:val=""/>
      <w:lvlJc w:val="left"/>
      <w:pPr>
        <w:tabs>
          <w:tab w:val="num" w:pos="2160"/>
        </w:tabs>
        <w:ind w:left="2160" w:hanging="360"/>
      </w:pPr>
      <w:rPr>
        <w:rFonts w:ascii="Wingdings" w:hAnsi="Wingdings" w:hint="default"/>
      </w:rPr>
    </w:lvl>
    <w:lvl w:ilvl="3" w:tplc="0910FA28" w:tentative="1">
      <w:start w:val="1"/>
      <w:numFmt w:val="bullet"/>
      <w:lvlText w:val=""/>
      <w:lvlJc w:val="left"/>
      <w:pPr>
        <w:tabs>
          <w:tab w:val="num" w:pos="2880"/>
        </w:tabs>
        <w:ind w:left="2880" w:hanging="360"/>
      </w:pPr>
      <w:rPr>
        <w:rFonts w:ascii="Wingdings" w:hAnsi="Wingdings" w:hint="default"/>
      </w:rPr>
    </w:lvl>
    <w:lvl w:ilvl="4" w:tplc="62FE0DF8" w:tentative="1">
      <w:start w:val="1"/>
      <w:numFmt w:val="bullet"/>
      <w:lvlText w:val=""/>
      <w:lvlJc w:val="left"/>
      <w:pPr>
        <w:tabs>
          <w:tab w:val="num" w:pos="3600"/>
        </w:tabs>
        <w:ind w:left="3600" w:hanging="360"/>
      </w:pPr>
      <w:rPr>
        <w:rFonts w:ascii="Wingdings" w:hAnsi="Wingdings" w:hint="default"/>
      </w:rPr>
    </w:lvl>
    <w:lvl w:ilvl="5" w:tplc="2C08A0E0" w:tentative="1">
      <w:start w:val="1"/>
      <w:numFmt w:val="bullet"/>
      <w:lvlText w:val=""/>
      <w:lvlJc w:val="left"/>
      <w:pPr>
        <w:tabs>
          <w:tab w:val="num" w:pos="4320"/>
        </w:tabs>
        <w:ind w:left="4320" w:hanging="360"/>
      </w:pPr>
      <w:rPr>
        <w:rFonts w:ascii="Wingdings" w:hAnsi="Wingdings" w:hint="default"/>
      </w:rPr>
    </w:lvl>
    <w:lvl w:ilvl="6" w:tplc="3572CA66" w:tentative="1">
      <w:start w:val="1"/>
      <w:numFmt w:val="bullet"/>
      <w:lvlText w:val=""/>
      <w:lvlJc w:val="left"/>
      <w:pPr>
        <w:tabs>
          <w:tab w:val="num" w:pos="5040"/>
        </w:tabs>
        <w:ind w:left="5040" w:hanging="360"/>
      </w:pPr>
      <w:rPr>
        <w:rFonts w:ascii="Wingdings" w:hAnsi="Wingdings" w:hint="default"/>
      </w:rPr>
    </w:lvl>
    <w:lvl w:ilvl="7" w:tplc="60B0CD1C" w:tentative="1">
      <w:start w:val="1"/>
      <w:numFmt w:val="bullet"/>
      <w:lvlText w:val=""/>
      <w:lvlJc w:val="left"/>
      <w:pPr>
        <w:tabs>
          <w:tab w:val="num" w:pos="5760"/>
        </w:tabs>
        <w:ind w:left="5760" w:hanging="360"/>
      </w:pPr>
      <w:rPr>
        <w:rFonts w:ascii="Wingdings" w:hAnsi="Wingdings" w:hint="default"/>
      </w:rPr>
    </w:lvl>
    <w:lvl w:ilvl="8" w:tplc="3814E8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75C88"/>
    <w:multiLevelType w:val="hybridMultilevel"/>
    <w:tmpl w:val="294812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E612B82"/>
    <w:multiLevelType w:val="hybridMultilevel"/>
    <w:tmpl w:val="B5F06170"/>
    <w:lvl w:ilvl="0" w:tplc="938603CE">
      <w:start w:val="1"/>
      <w:numFmt w:val="bullet"/>
      <w:lvlText w:val="•"/>
      <w:lvlJc w:val="left"/>
      <w:pPr>
        <w:tabs>
          <w:tab w:val="num" w:pos="720"/>
        </w:tabs>
        <w:ind w:left="720" w:hanging="360"/>
      </w:pPr>
      <w:rPr>
        <w:rFonts w:ascii="Arial" w:hAnsi="Arial" w:hint="default"/>
      </w:rPr>
    </w:lvl>
    <w:lvl w:ilvl="1" w:tplc="6C66E656">
      <w:start w:val="238"/>
      <w:numFmt w:val="bullet"/>
      <w:lvlText w:val="–"/>
      <w:lvlJc w:val="left"/>
      <w:pPr>
        <w:tabs>
          <w:tab w:val="num" w:pos="1440"/>
        </w:tabs>
        <w:ind w:left="1440" w:hanging="360"/>
      </w:pPr>
      <w:rPr>
        <w:rFonts w:ascii="Arial" w:hAnsi="Arial" w:hint="default"/>
      </w:rPr>
    </w:lvl>
    <w:lvl w:ilvl="2" w:tplc="03B80070" w:tentative="1">
      <w:start w:val="1"/>
      <w:numFmt w:val="bullet"/>
      <w:lvlText w:val="•"/>
      <w:lvlJc w:val="left"/>
      <w:pPr>
        <w:tabs>
          <w:tab w:val="num" w:pos="2160"/>
        </w:tabs>
        <w:ind w:left="2160" w:hanging="360"/>
      </w:pPr>
      <w:rPr>
        <w:rFonts w:ascii="Arial" w:hAnsi="Arial" w:hint="default"/>
      </w:rPr>
    </w:lvl>
    <w:lvl w:ilvl="3" w:tplc="3F24B7C4" w:tentative="1">
      <w:start w:val="1"/>
      <w:numFmt w:val="bullet"/>
      <w:lvlText w:val="•"/>
      <w:lvlJc w:val="left"/>
      <w:pPr>
        <w:tabs>
          <w:tab w:val="num" w:pos="2880"/>
        </w:tabs>
        <w:ind w:left="2880" w:hanging="360"/>
      </w:pPr>
      <w:rPr>
        <w:rFonts w:ascii="Arial" w:hAnsi="Arial" w:hint="default"/>
      </w:rPr>
    </w:lvl>
    <w:lvl w:ilvl="4" w:tplc="5DB2E326" w:tentative="1">
      <w:start w:val="1"/>
      <w:numFmt w:val="bullet"/>
      <w:lvlText w:val="•"/>
      <w:lvlJc w:val="left"/>
      <w:pPr>
        <w:tabs>
          <w:tab w:val="num" w:pos="3600"/>
        </w:tabs>
        <w:ind w:left="3600" w:hanging="360"/>
      </w:pPr>
      <w:rPr>
        <w:rFonts w:ascii="Arial" w:hAnsi="Arial" w:hint="default"/>
      </w:rPr>
    </w:lvl>
    <w:lvl w:ilvl="5" w:tplc="C14648E8" w:tentative="1">
      <w:start w:val="1"/>
      <w:numFmt w:val="bullet"/>
      <w:lvlText w:val="•"/>
      <w:lvlJc w:val="left"/>
      <w:pPr>
        <w:tabs>
          <w:tab w:val="num" w:pos="4320"/>
        </w:tabs>
        <w:ind w:left="4320" w:hanging="360"/>
      </w:pPr>
      <w:rPr>
        <w:rFonts w:ascii="Arial" w:hAnsi="Arial" w:hint="default"/>
      </w:rPr>
    </w:lvl>
    <w:lvl w:ilvl="6" w:tplc="840898DE" w:tentative="1">
      <w:start w:val="1"/>
      <w:numFmt w:val="bullet"/>
      <w:lvlText w:val="•"/>
      <w:lvlJc w:val="left"/>
      <w:pPr>
        <w:tabs>
          <w:tab w:val="num" w:pos="5040"/>
        </w:tabs>
        <w:ind w:left="5040" w:hanging="360"/>
      </w:pPr>
      <w:rPr>
        <w:rFonts w:ascii="Arial" w:hAnsi="Arial" w:hint="default"/>
      </w:rPr>
    </w:lvl>
    <w:lvl w:ilvl="7" w:tplc="0CF43680" w:tentative="1">
      <w:start w:val="1"/>
      <w:numFmt w:val="bullet"/>
      <w:lvlText w:val="•"/>
      <w:lvlJc w:val="left"/>
      <w:pPr>
        <w:tabs>
          <w:tab w:val="num" w:pos="5760"/>
        </w:tabs>
        <w:ind w:left="5760" w:hanging="360"/>
      </w:pPr>
      <w:rPr>
        <w:rFonts w:ascii="Arial" w:hAnsi="Arial" w:hint="default"/>
      </w:rPr>
    </w:lvl>
    <w:lvl w:ilvl="8" w:tplc="386A8C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10756A"/>
    <w:multiLevelType w:val="multilevel"/>
    <w:tmpl w:val="A8706A7E"/>
    <w:lvl w:ilvl="0">
      <w:start w:val="1"/>
      <w:numFmt w:val="decimal"/>
      <w:pStyle w:val="Style1"/>
      <w:lvlText w:val="%1"/>
      <w:lvlJc w:val="left"/>
      <w:pPr>
        <w:ind w:left="432" w:hanging="432"/>
      </w:pPr>
      <w:rPr>
        <w:rFonts w:hint="default"/>
        <w:b/>
      </w:rPr>
    </w:lvl>
    <w:lvl w:ilvl="1">
      <w:start w:val="1"/>
      <w:numFmt w:val="decimal"/>
      <w:lvlText w:val="%1.%2"/>
      <w:lvlJc w:val="left"/>
      <w:pPr>
        <w:ind w:left="576" w:hanging="576"/>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9D935C3"/>
    <w:multiLevelType w:val="multilevel"/>
    <w:tmpl w:val="6D944FFA"/>
    <w:lvl w:ilvl="0">
      <w:start w:val="1"/>
      <w:numFmt w:val="decimal"/>
      <w:pStyle w:val="Heading1"/>
      <w:lvlText w:val="%1."/>
      <w:lvlJc w:val="left"/>
      <w:pPr>
        <w:ind w:left="2062" w:hanging="360"/>
      </w:pPr>
      <w:rPr>
        <w:b/>
      </w:rPr>
    </w:lvl>
    <w:lvl w:ilvl="1">
      <w:start w:val="1"/>
      <w:numFmt w:val="decimal"/>
      <w:lvlText w:val="%1.%2."/>
      <w:lvlJc w:val="left"/>
      <w:pPr>
        <w:ind w:left="858" w:hanging="432"/>
      </w:pPr>
      <w:rPr>
        <w:b/>
        <w:sz w:val="24"/>
        <w:szCs w:val="24"/>
      </w:rPr>
    </w:lvl>
    <w:lvl w:ilvl="2">
      <w:start w:val="1"/>
      <w:numFmt w:val="decimal"/>
      <w:lvlText w:val="%1.%2.%3."/>
      <w:lvlJc w:val="left"/>
      <w:pPr>
        <w:ind w:left="1355"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06116D"/>
    <w:multiLevelType w:val="hybridMultilevel"/>
    <w:tmpl w:val="0B88D3E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32F4608"/>
    <w:multiLevelType w:val="multilevel"/>
    <w:tmpl w:val="9E8AB35C"/>
    <w:lvl w:ilvl="0">
      <w:start w:val="1"/>
      <w:numFmt w:val="decimal"/>
      <w:lvlText w:val="%1."/>
      <w:lvlJc w:val="left"/>
      <w:pPr>
        <w:ind w:left="360" w:hanging="360"/>
      </w:pPr>
      <w:rPr>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907240"/>
    <w:multiLevelType w:val="hybridMultilevel"/>
    <w:tmpl w:val="8DC6828A"/>
    <w:lvl w:ilvl="0" w:tplc="900EDFA8">
      <w:start w:val="2"/>
      <w:numFmt w:val="upperLetter"/>
      <w:lvlText w:val="%1."/>
      <w:lvlJc w:val="left"/>
      <w:pPr>
        <w:tabs>
          <w:tab w:val="num" w:pos="720"/>
        </w:tabs>
        <w:ind w:left="720" w:hanging="360"/>
      </w:pPr>
    </w:lvl>
    <w:lvl w:ilvl="1" w:tplc="C6EC09CA">
      <w:start w:val="88"/>
      <w:numFmt w:val="bullet"/>
      <w:lvlText w:val="–"/>
      <w:lvlJc w:val="left"/>
      <w:pPr>
        <w:tabs>
          <w:tab w:val="num" w:pos="1440"/>
        </w:tabs>
        <w:ind w:left="1440" w:hanging="360"/>
      </w:pPr>
      <w:rPr>
        <w:rFonts w:ascii="Arial" w:hAnsi="Arial" w:hint="default"/>
      </w:rPr>
    </w:lvl>
    <w:lvl w:ilvl="2" w:tplc="C61E269C" w:tentative="1">
      <w:start w:val="1"/>
      <w:numFmt w:val="upperLetter"/>
      <w:lvlText w:val="%3."/>
      <w:lvlJc w:val="left"/>
      <w:pPr>
        <w:tabs>
          <w:tab w:val="num" w:pos="2160"/>
        </w:tabs>
        <w:ind w:left="2160" w:hanging="360"/>
      </w:pPr>
    </w:lvl>
    <w:lvl w:ilvl="3" w:tplc="A4CC9A00" w:tentative="1">
      <w:start w:val="1"/>
      <w:numFmt w:val="upperLetter"/>
      <w:lvlText w:val="%4."/>
      <w:lvlJc w:val="left"/>
      <w:pPr>
        <w:tabs>
          <w:tab w:val="num" w:pos="2880"/>
        </w:tabs>
        <w:ind w:left="2880" w:hanging="360"/>
      </w:pPr>
    </w:lvl>
    <w:lvl w:ilvl="4" w:tplc="79E4BF7C" w:tentative="1">
      <w:start w:val="1"/>
      <w:numFmt w:val="upperLetter"/>
      <w:lvlText w:val="%5."/>
      <w:lvlJc w:val="left"/>
      <w:pPr>
        <w:tabs>
          <w:tab w:val="num" w:pos="3600"/>
        </w:tabs>
        <w:ind w:left="3600" w:hanging="360"/>
      </w:pPr>
    </w:lvl>
    <w:lvl w:ilvl="5" w:tplc="7498894C" w:tentative="1">
      <w:start w:val="1"/>
      <w:numFmt w:val="upperLetter"/>
      <w:lvlText w:val="%6."/>
      <w:lvlJc w:val="left"/>
      <w:pPr>
        <w:tabs>
          <w:tab w:val="num" w:pos="4320"/>
        </w:tabs>
        <w:ind w:left="4320" w:hanging="360"/>
      </w:pPr>
    </w:lvl>
    <w:lvl w:ilvl="6" w:tplc="9FD89AC4" w:tentative="1">
      <w:start w:val="1"/>
      <w:numFmt w:val="upperLetter"/>
      <w:lvlText w:val="%7."/>
      <w:lvlJc w:val="left"/>
      <w:pPr>
        <w:tabs>
          <w:tab w:val="num" w:pos="5040"/>
        </w:tabs>
        <w:ind w:left="5040" w:hanging="360"/>
      </w:pPr>
    </w:lvl>
    <w:lvl w:ilvl="7" w:tplc="DBF0164C" w:tentative="1">
      <w:start w:val="1"/>
      <w:numFmt w:val="upperLetter"/>
      <w:lvlText w:val="%8."/>
      <w:lvlJc w:val="left"/>
      <w:pPr>
        <w:tabs>
          <w:tab w:val="num" w:pos="5760"/>
        </w:tabs>
        <w:ind w:left="5760" w:hanging="360"/>
      </w:pPr>
    </w:lvl>
    <w:lvl w:ilvl="8" w:tplc="AB545D22" w:tentative="1">
      <w:start w:val="1"/>
      <w:numFmt w:val="upperLetter"/>
      <w:lvlText w:val="%9."/>
      <w:lvlJc w:val="left"/>
      <w:pPr>
        <w:tabs>
          <w:tab w:val="num" w:pos="6480"/>
        </w:tabs>
        <w:ind w:left="6480" w:hanging="360"/>
      </w:pPr>
    </w:lvl>
  </w:abstractNum>
  <w:abstractNum w:abstractNumId="17" w15:restartNumberingAfterBreak="0">
    <w:nsid w:val="766E275F"/>
    <w:multiLevelType w:val="hybridMultilevel"/>
    <w:tmpl w:val="A7FE669E"/>
    <w:lvl w:ilvl="0" w:tplc="30441EDA">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8E94BC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2C3319"/>
    <w:multiLevelType w:val="hybridMultilevel"/>
    <w:tmpl w:val="28301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B8289B"/>
    <w:multiLevelType w:val="hybridMultilevel"/>
    <w:tmpl w:val="EFC02302"/>
    <w:lvl w:ilvl="0" w:tplc="465E09A2">
      <w:start w:val="3"/>
      <w:numFmt w:val="upperLetter"/>
      <w:lvlText w:val="%1."/>
      <w:lvlJc w:val="left"/>
      <w:pPr>
        <w:tabs>
          <w:tab w:val="num" w:pos="720"/>
        </w:tabs>
        <w:ind w:left="720" w:hanging="360"/>
      </w:pPr>
    </w:lvl>
    <w:lvl w:ilvl="1" w:tplc="F05464A8" w:tentative="1">
      <w:start w:val="1"/>
      <w:numFmt w:val="upperLetter"/>
      <w:lvlText w:val="%2."/>
      <w:lvlJc w:val="left"/>
      <w:pPr>
        <w:tabs>
          <w:tab w:val="num" w:pos="1440"/>
        </w:tabs>
        <w:ind w:left="1440" w:hanging="360"/>
      </w:pPr>
    </w:lvl>
    <w:lvl w:ilvl="2" w:tplc="DE94582E">
      <w:start w:val="88"/>
      <w:numFmt w:val="bullet"/>
      <w:lvlText w:val="−"/>
      <w:lvlJc w:val="left"/>
      <w:pPr>
        <w:tabs>
          <w:tab w:val="num" w:pos="2160"/>
        </w:tabs>
        <w:ind w:left="2160" w:hanging="360"/>
      </w:pPr>
      <w:rPr>
        <w:rFonts w:ascii="Arial" w:hAnsi="Arial" w:hint="default"/>
      </w:rPr>
    </w:lvl>
    <w:lvl w:ilvl="3" w:tplc="503EDBC2" w:tentative="1">
      <w:start w:val="1"/>
      <w:numFmt w:val="upperLetter"/>
      <w:lvlText w:val="%4."/>
      <w:lvlJc w:val="left"/>
      <w:pPr>
        <w:tabs>
          <w:tab w:val="num" w:pos="2880"/>
        </w:tabs>
        <w:ind w:left="2880" w:hanging="360"/>
      </w:pPr>
    </w:lvl>
    <w:lvl w:ilvl="4" w:tplc="44A02856" w:tentative="1">
      <w:start w:val="1"/>
      <w:numFmt w:val="upperLetter"/>
      <w:lvlText w:val="%5."/>
      <w:lvlJc w:val="left"/>
      <w:pPr>
        <w:tabs>
          <w:tab w:val="num" w:pos="3600"/>
        </w:tabs>
        <w:ind w:left="3600" w:hanging="360"/>
      </w:pPr>
    </w:lvl>
    <w:lvl w:ilvl="5" w:tplc="BF22FB84" w:tentative="1">
      <w:start w:val="1"/>
      <w:numFmt w:val="upperLetter"/>
      <w:lvlText w:val="%6."/>
      <w:lvlJc w:val="left"/>
      <w:pPr>
        <w:tabs>
          <w:tab w:val="num" w:pos="4320"/>
        </w:tabs>
        <w:ind w:left="4320" w:hanging="360"/>
      </w:pPr>
    </w:lvl>
    <w:lvl w:ilvl="6" w:tplc="A7EA5E8A" w:tentative="1">
      <w:start w:val="1"/>
      <w:numFmt w:val="upperLetter"/>
      <w:lvlText w:val="%7."/>
      <w:lvlJc w:val="left"/>
      <w:pPr>
        <w:tabs>
          <w:tab w:val="num" w:pos="5040"/>
        </w:tabs>
        <w:ind w:left="5040" w:hanging="360"/>
      </w:pPr>
    </w:lvl>
    <w:lvl w:ilvl="7" w:tplc="475E4902" w:tentative="1">
      <w:start w:val="1"/>
      <w:numFmt w:val="upperLetter"/>
      <w:lvlText w:val="%8."/>
      <w:lvlJc w:val="left"/>
      <w:pPr>
        <w:tabs>
          <w:tab w:val="num" w:pos="5760"/>
        </w:tabs>
        <w:ind w:left="5760" w:hanging="360"/>
      </w:pPr>
    </w:lvl>
    <w:lvl w:ilvl="8" w:tplc="3DECF8CE" w:tentative="1">
      <w:start w:val="1"/>
      <w:numFmt w:val="upperLetter"/>
      <w:lvlText w:val="%9."/>
      <w:lvlJc w:val="left"/>
      <w:pPr>
        <w:tabs>
          <w:tab w:val="num" w:pos="6480"/>
        </w:tabs>
        <w:ind w:left="6480" w:hanging="360"/>
      </w:pPr>
    </w:lvl>
  </w:abstractNum>
  <w:num w:numId="1">
    <w:abstractNumId w:val="5"/>
  </w:num>
  <w:num w:numId="2">
    <w:abstractNumId w:val="9"/>
  </w:num>
  <w:num w:numId="3">
    <w:abstractNumId w:val="12"/>
  </w:num>
  <w:num w:numId="4">
    <w:abstractNumId w:val="15"/>
  </w:num>
  <w:num w:numId="5">
    <w:abstractNumId w:val="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8"/>
  </w:num>
  <w:num w:numId="15">
    <w:abstractNumId w:val="13"/>
    <w:lvlOverride w:ilvl="0">
      <w:startOverride w:val="3"/>
    </w:lvlOverride>
    <w:lvlOverride w:ilvl="1">
      <w:startOverride w:val="3"/>
    </w:lvlOverride>
  </w:num>
  <w:num w:numId="16">
    <w:abstractNumId w:val="13"/>
  </w:num>
  <w:num w:numId="17">
    <w:abstractNumId w:val="13"/>
  </w:num>
  <w:num w:numId="18">
    <w:abstractNumId w:val="13"/>
  </w:num>
  <w:num w:numId="19">
    <w:abstractNumId w:val="13"/>
  </w:num>
  <w:num w:numId="20">
    <w:abstractNumId w:val="8"/>
  </w:num>
  <w:num w:numId="21">
    <w:abstractNumId w:val="2"/>
  </w:num>
  <w:num w:numId="22">
    <w:abstractNumId w:val="16"/>
  </w:num>
  <w:num w:numId="23">
    <w:abstractNumId w:val="20"/>
  </w:num>
  <w:num w:numId="24">
    <w:abstractNumId w:val="13"/>
    <w:lvlOverride w:ilvl="0">
      <w:startOverride w:val="13"/>
    </w:lvlOverride>
  </w:num>
  <w:num w:numId="25">
    <w:abstractNumId w:val="14"/>
  </w:num>
  <w:num w:numId="26">
    <w:abstractNumId w:val="13"/>
  </w:num>
  <w:num w:numId="27">
    <w:abstractNumId w:val="13"/>
  </w:num>
  <w:num w:numId="28">
    <w:abstractNumId w:val="13"/>
  </w:num>
  <w:num w:numId="29">
    <w:abstractNumId w:val="13"/>
  </w:num>
  <w:num w:numId="30">
    <w:abstractNumId w:val="13"/>
  </w:num>
  <w:num w:numId="31">
    <w:abstractNumId w:val="11"/>
  </w:num>
  <w:num w:numId="32">
    <w:abstractNumId w:val="6"/>
  </w:num>
  <w:num w:numId="33">
    <w:abstractNumId w:val="13"/>
  </w:num>
  <w:num w:numId="34">
    <w:abstractNumId w:val="7"/>
  </w:num>
  <w:num w:numId="35">
    <w:abstractNumId w:val="13"/>
  </w:num>
  <w:num w:numId="36">
    <w:abstractNumId w:val="17"/>
  </w:num>
  <w:num w:numId="37">
    <w:abstractNumId w:val="13"/>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9"/>
  </w:num>
  <w:num w:numId="42">
    <w:abstractNumId w:val="4"/>
  </w:num>
  <w:num w:numId="43">
    <w:abstractNumId w:val="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2A"/>
    <w:rsid w:val="00000AE3"/>
    <w:rsid w:val="0000149F"/>
    <w:rsid w:val="000054D8"/>
    <w:rsid w:val="0000737E"/>
    <w:rsid w:val="000073AA"/>
    <w:rsid w:val="0000790C"/>
    <w:rsid w:val="000110E6"/>
    <w:rsid w:val="00011F1F"/>
    <w:rsid w:val="00011FAB"/>
    <w:rsid w:val="000132F1"/>
    <w:rsid w:val="00013F2D"/>
    <w:rsid w:val="0001434D"/>
    <w:rsid w:val="0001538E"/>
    <w:rsid w:val="0001662C"/>
    <w:rsid w:val="00016CE8"/>
    <w:rsid w:val="00016E65"/>
    <w:rsid w:val="0002529E"/>
    <w:rsid w:val="00025813"/>
    <w:rsid w:val="000271BF"/>
    <w:rsid w:val="00030B10"/>
    <w:rsid w:val="00030E3B"/>
    <w:rsid w:val="00031DF3"/>
    <w:rsid w:val="00032A20"/>
    <w:rsid w:val="00040610"/>
    <w:rsid w:val="00042AA8"/>
    <w:rsid w:val="00046645"/>
    <w:rsid w:val="000474FE"/>
    <w:rsid w:val="00047B36"/>
    <w:rsid w:val="000500CD"/>
    <w:rsid w:val="0006054B"/>
    <w:rsid w:val="00063A0F"/>
    <w:rsid w:val="0006563E"/>
    <w:rsid w:val="00067FA5"/>
    <w:rsid w:val="00076AE2"/>
    <w:rsid w:val="0007715B"/>
    <w:rsid w:val="00077658"/>
    <w:rsid w:val="000807EA"/>
    <w:rsid w:val="000816E3"/>
    <w:rsid w:val="00086465"/>
    <w:rsid w:val="0008767B"/>
    <w:rsid w:val="00090A8E"/>
    <w:rsid w:val="00092ECB"/>
    <w:rsid w:val="00097081"/>
    <w:rsid w:val="000A116A"/>
    <w:rsid w:val="000A156E"/>
    <w:rsid w:val="000A2AB3"/>
    <w:rsid w:val="000A4951"/>
    <w:rsid w:val="000A5189"/>
    <w:rsid w:val="000A5538"/>
    <w:rsid w:val="000A78CC"/>
    <w:rsid w:val="000B14C6"/>
    <w:rsid w:val="000B2544"/>
    <w:rsid w:val="000B44B1"/>
    <w:rsid w:val="000B4878"/>
    <w:rsid w:val="000B5145"/>
    <w:rsid w:val="000B66FA"/>
    <w:rsid w:val="000B67E9"/>
    <w:rsid w:val="000B704B"/>
    <w:rsid w:val="000B75F0"/>
    <w:rsid w:val="000B7CE4"/>
    <w:rsid w:val="000C08C7"/>
    <w:rsid w:val="000C51CF"/>
    <w:rsid w:val="000C634C"/>
    <w:rsid w:val="000C7F6D"/>
    <w:rsid w:val="000D27E0"/>
    <w:rsid w:val="000D2B1A"/>
    <w:rsid w:val="000D3825"/>
    <w:rsid w:val="000D61AE"/>
    <w:rsid w:val="000D6FFA"/>
    <w:rsid w:val="000E0D49"/>
    <w:rsid w:val="000E1215"/>
    <w:rsid w:val="000E2329"/>
    <w:rsid w:val="000E2A41"/>
    <w:rsid w:val="000E3812"/>
    <w:rsid w:val="000E4D09"/>
    <w:rsid w:val="000E5536"/>
    <w:rsid w:val="000E594D"/>
    <w:rsid w:val="000F0318"/>
    <w:rsid w:val="000F15E3"/>
    <w:rsid w:val="000F178A"/>
    <w:rsid w:val="000F1DD7"/>
    <w:rsid w:val="000F1ECE"/>
    <w:rsid w:val="000F7569"/>
    <w:rsid w:val="000F7EED"/>
    <w:rsid w:val="00100389"/>
    <w:rsid w:val="0010198A"/>
    <w:rsid w:val="00104F79"/>
    <w:rsid w:val="00105413"/>
    <w:rsid w:val="0010641C"/>
    <w:rsid w:val="00107339"/>
    <w:rsid w:val="0011168F"/>
    <w:rsid w:val="00111D3B"/>
    <w:rsid w:val="0011567C"/>
    <w:rsid w:val="001167BD"/>
    <w:rsid w:val="001170F7"/>
    <w:rsid w:val="00120506"/>
    <w:rsid w:val="00121DD1"/>
    <w:rsid w:val="0012316A"/>
    <w:rsid w:val="001246BF"/>
    <w:rsid w:val="00126CAA"/>
    <w:rsid w:val="001303C8"/>
    <w:rsid w:val="001327AC"/>
    <w:rsid w:val="001331F4"/>
    <w:rsid w:val="00134F6F"/>
    <w:rsid w:val="00137DDB"/>
    <w:rsid w:val="001401FA"/>
    <w:rsid w:val="00141E8D"/>
    <w:rsid w:val="00142FAA"/>
    <w:rsid w:val="00143AC7"/>
    <w:rsid w:val="00143FAE"/>
    <w:rsid w:val="001475B7"/>
    <w:rsid w:val="00150141"/>
    <w:rsid w:val="001558D3"/>
    <w:rsid w:val="0016019B"/>
    <w:rsid w:val="001601AB"/>
    <w:rsid w:val="00161C24"/>
    <w:rsid w:val="00163B94"/>
    <w:rsid w:val="00164338"/>
    <w:rsid w:val="00165019"/>
    <w:rsid w:val="0016603D"/>
    <w:rsid w:val="001709EE"/>
    <w:rsid w:val="0017296D"/>
    <w:rsid w:val="00173B0F"/>
    <w:rsid w:val="00174541"/>
    <w:rsid w:val="001755FC"/>
    <w:rsid w:val="00177FC6"/>
    <w:rsid w:val="0018488D"/>
    <w:rsid w:val="0018539E"/>
    <w:rsid w:val="00187CDC"/>
    <w:rsid w:val="001927E8"/>
    <w:rsid w:val="001928B7"/>
    <w:rsid w:val="00192B7E"/>
    <w:rsid w:val="00197078"/>
    <w:rsid w:val="00197DB7"/>
    <w:rsid w:val="001A5817"/>
    <w:rsid w:val="001A7237"/>
    <w:rsid w:val="001B349E"/>
    <w:rsid w:val="001B6F83"/>
    <w:rsid w:val="001C3FEF"/>
    <w:rsid w:val="001C44BE"/>
    <w:rsid w:val="001C4FB8"/>
    <w:rsid w:val="001C5E5F"/>
    <w:rsid w:val="001C79A9"/>
    <w:rsid w:val="001D1348"/>
    <w:rsid w:val="001D1CF3"/>
    <w:rsid w:val="001D2332"/>
    <w:rsid w:val="001D2E40"/>
    <w:rsid w:val="001D2FBA"/>
    <w:rsid w:val="001D61EB"/>
    <w:rsid w:val="001D7757"/>
    <w:rsid w:val="001E434E"/>
    <w:rsid w:val="001E4F4B"/>
    <w:rsid w:val="001E539C"/>
    <w:rsid w:val="001E557A"/>
    <w:rsid w:val="001E568D"/>
    <w:rsid w:val="001E5A5A"/>
    <w:rsid w:val="001E7D54"/>
    <w:rsid w:val="00201072"/>
    <w:rsid w:val="00201FF6"/>
    <w:rsid w:val="0020239A"/>
    <w:rsid w:val="002038DF"/>
    <w:rsid w:val="00204267"/>
    <w:rsid w:val="002071E9"/>
    <w:rsid w:val="0021162F"/>
    <w:rsid w:val="00211B69"/>
    <w:rsid w:val="00213747"/>
    <w:rsid w:val="00221B97"/>
    <w:rsid w:val="00224BE1"/>
    <w:rsid w:val="00224F48"/>
    <w:rsid w:val="002254A6"/>
    <w:rsid w:val="00225D10"/>
    <w:rsid w:val="00225EA5"/>
    <w:rsid w:val="002270C4"/>
    <w:rsid w:val="00227DEB"/>
    <w:rsid w:val="00231C0A"/>
    <w:rsid w:val="00233259"/>
    <w:rsid w:val="002352B7"/>
    <w:rsid w:val="00242BCD"/>
    <w:rsid w:val="00242C6A"/>
    <w:rsid w:val="00243D13"/>
    <w:rsid w:val="002462B5"/>
    <w:rsid w:val="00254E29"/>
    <w:rsid w:val="00256EB3"/>
    <w:rsid w:val="00257434"/>
    <w:rsid w:val="0026111C"/>
    <w:rsid w:val="00263C67"/>
    <w:rsid w:val="00266091"/>
    <w:rsid w:val="00266C4A"/>
    <w:rsid w:val="00267BB2"/>
    <w:rsid w:val="00272C66"/>
    <w:rsid w:val="00272CF8"/>
    <w:rsid w:val="00274130"/>
    <w:rsid w:val="002753BB"/>
    <w:rsid w:val="0027684B"/>
    <w:rsid w:val="00277922"/>
    <w:rsid w:val="0028030F"/>
    <w:rsid w:val="00280F85"/>
    <w:rsid w:val="00283519"/>
    <w:rsid w:val="00283787"/>
    <w:rsid w:val="00284FC0"/>
    <w:rsid w:val="00286267"/>
    <w:rsid w:val="00286385"/>
    <w:rsid w:val="00287256"/>
    <w:rsid w:val="00287A59"/>
    <w:rsid w:val="00290831"/>
    <w:rsid w:val="00291DA1"/>
    <w:rsid w:val="002921ED"/>
    <w:rsid w:val="00292502"/>
    <w:rsid w:val="00293E3B"/>
    <w:rsid w:val="002947F0"/>
    <w:rsid w:val="00296A5A"/>
    <w:rsid w:val="002A1653"/>
    <w:rsid w:val="002A197F"/>
    <w:rsid w:val="002A4624"/>
    <w:rsid w:val="002A4987"/>
    <w:rsid w:val="002A549B"/>
    <w:rsid w:val="002B20F9"/>
    <w:rsid w:val="002C19F3"/>
    <w:rsid w:val="002C4B03"/>
    <w:rsid w:val="002C7759"/>
    <w:rsid w:val="002D0850"/>
    <w:rsid w:val="002D1028"/>
    <w:rsid w:val="002D16FD"/>
    <w:rsid w:val="002D1B0E"/>
    <w:rsid w:val="002D277E"/>
    <w:rsid w:val="002D382C"/>
    <w:rsid w:val="002D6B34"/>
    <w:rsid w:val="002E0C4F"/>
    <w:rsid w:val="002E1B88"/>
    <w:rsid w:val="002F0FC5"/>
    <w:rsid w:val="002F3863"/>
    <w:rsid w:val="002F3EAD"/>
    <w:rsid w:val="00300D49"/>
    <w:rsid w:val="003019EE"/>
    <w:rsid w:val="00302109"/>
    <w:rsid w:val="003022DC"/>
    <w:rsid w:val="00302B52"/>
    <w:rsid w:val="00302D1D"/>
    <w:rsid w:val="00307EBD"/>
    <w:rsid w:val="003128ED"/>
    <w:rsid w:val="003160F6"/>
    <w:rsid w:val="003177A0"/>
    <w:rsid w:val="003206A9"/>
    <w:rsid w:val="00323441"/>
    <w:rsid w:val="0033301F"/>
    <w:rsid w:val="00336C67"/>
    <w:rsid w:val="00341BD3"/>
    <w:rsid w:val="0034203D"/>
    <w:rsid w:val="00347868"/>
    <w:rsid w:val="00352DE8"/>
    <w:rsid w:val="003537E6"/>
    <w:rsid w:val="00365085"/>
    <w:rsid w:val="00365B41"/>
    <w:rsid w:val="003741EE"/>
    <w:rsid w:val="00374F27"/>
    <w:rsid w:val="00377134"/>
    <w:rsid w:val="00382850"/>
    <w:rsid w:val="00383AC5"/>
    <w:rsid w:val="003841F4"/>
    <w:rsid w:val="00384AC6"/>
    <w:rsid w:val="00384CCA"/>
    <w:rsid w:val="003852DC"/>
    <w:rsid w:val="00386F2D"/>
    <w:rsid w:val="0039086A"/>
    <w:rsid w:val="00391BC7"/>
    <w:rsid w:val="003926FC"/>
    <w:rsid w:val="0039415B"/>
    <w:rsid w:val="003942DC"/>
    <w:rsid w:val="00394943"/>
    <w:rsid w:val="00395C50"/>
    <w:rsid w:val="00395ECE"/>
    <w:rsid w:val="003975C6"/>
    <w:rsid w:val="003A0FE9"/>
    <w:rsid w:val="003A72FB"/>
    <w:rsid w:val="003A750F"/>
    <w:rsid w:val="003B0D87"/>
    <w:rsid w:val="003B282F"/>
    <w:rsid w:val="003B5A1C"/>
    <w:rsid w:val="003B6024"/>
    <w:rsid w:val="003B7787"/>
    <w:rsid w:val="003B7A3B"/>
    <w:rsid w:val="003C0085"/>
    <w:rsid w:val="003C1B82"/>
    <w:rsid w:val="003C1DD3"/>
    <w:rsid w:val="003C2D27"/>
    <w:rsid w:val="003C5B60"/>
    <w:rsid w:val="003C7F49"/>
    <w:rsid w:val="003D11E5"/>
    <w:rsid w:val="003D15F7"/>
    <w:rsid w:val="003D3EAC"/>
    <w:rsid w:val="003D461C"/>
    <w:rsid w:val="003D4A02"/>
    <w:rsid w:val="003D5E43"/>
    <w:rsid w:val="003D7862"/>
    <w:rsid w:val="003E27E0"/>
    <w:rsid w:val="003E2F95"/>
    <w:rsid w:val="003F4396"/>
    <w:rsid w:val="003F5E47"/>
    <w:rsid w:val="003F629D"/>
    <w:rsid w:val="004038FA"/>
    <w:rsid w:val="00407399"/>
    <w:rsid w:val="00411601"/>
    <w:rsid w:val="004205E7"/>
    <w:rsid w:val="00421628"/>
    <w:rsid w:val="004220C1"/>
    <w:rsid w:val="0042241F"/>
    <w:rsid w:val="0042419A"/>
    <w:rsid w:val="00427738"/>
    <w:rsid w:val="004302F1"/>
    <w:rsid w:val="004355DB"/>
    <w:rsid w:val="00444520"/>
    <w:rsid w:val="00444D96"/>
    <w:rsid w:val="00445A04"/>
    <w:rsid w:val="00446664"/>
    <w:rsid w:val="00446CC8"/>
    <w:rsid w:val="00447FAD"/>
    <w:rsid w:val="00454584"/>
    <w:rsid w:val="00456CCB"/>
    <w:rsid w:val="00460AAE"/>
    <w:rsid w:val="004630D5"/>
    <w:rsid w:val="00463F04"/>
    <w:rsid w:val="004640E4"/>
    <w:rsid w:val="00464524"/>
    <w:rsid w:val="00465449"/>
    <w:rsid w:val="00465A2E"/>
    <w:rsid w:val="00465F3F"/>
    <w:rsid w:val="00466772"/>
    <w:rsid w:val="004667E6"/>
    <w:rsid w:val="00470B3C"/>
    <w:rsid w:val="004729AC"/>
    <w:rsid w:val="00474EE2"/>
    <w:rsid w:val="00476E49"/>
    <w:rsid w:val="004824F9"/>
    <w:rsid w:val="0048617E"/>
    <w:rsid w:val="00486FE3"/>
    <w:rsid w:val="00487E62"/>
    <w:rsid w:val="00490992"/>
    <w:rsid w:val="00491076"/>
    <w:rsid w:val="0049341D"/>
    <w:rsid w:val="00494087"/>
    <w:rsid w:val="00494FB0"/>
    <w:rsid w:val="00496CF9"/>
    <w:rsid w:val="004A032D"/>
    <w:rsid w:val="004A0CFD"/>
    <w:rsid w:val="004A5995"/>
    <w:rsid w:val="004A6FBE"/>
    <w:rsid w:val="004A7F69"/>
    <w:rsid w:val="004B0271"/>
    <w:rsid w:val="004B4B00"/>
    <w:rsid w:val="004B4E6C"/>
    <w:rsid w:val="004B60CD"/>
    <w:rsid w:val="004B6F05"/>
    <w:rsid w:val="004B7F64"/>
    <w:rsid w:val="004C18D6"/>
    <w:rsid w:val="004C222E"/>
    <w:rsid w:val="004C3E0A"/>
    <w:rsid w:val="004C6F14"/>
    <w:rsid w:val="004D2529"/>
    <w:rsid w:val="004D4A55"/>
    <w:rsid w:val="004D689E"/>
    <w:rsid w:val="004D6DD2"/>
    <w:rsid w:val="004D7B46"/>
    <w:rsid w:val="004E1257"/>
    <w:rsid w:val="004E22E5"/>
    <w:rsid w:val="004E234B"/>
    <w:rsid w:val="004E30FB"/>
    <w:rsid w:val="004E6096"/>
    <w:rsid w:val="004F448A"/>
    <w:rsid w:val="004F5BBF"/>
    <w:rsid w:val="004F7F0F"/>
    <w:rsid w:val="00501855"/>
    <w:rsid w:val="00503D52"/>
    <w:rsid w:val="00505991"/>
    <w:rsid w:val="00505BDC"/>
    <w:rsid w:val="005066C5"/>
    <w:rsid w:val="005069F5"/>
    <w:rsid w:val="00510AC0"/>
    <w:rsid w:val="00511A3C"/>
    <w:rsid w:val="0051361A"/>
    <w:rsid w:val="00514A36"/>
    <w:rsid w:val="00514C6F"/>
    <w:rsid w:val="005171E2"/>
    <w:rsid w:val="0052200B"/>
    <w:rsid w:val="00522387"/>
    <w:rsid w:val="005234B5"/>
    <w:rsid w:val="005243D4"/>
    <w:rsid w:val="005263D1"/>
    <w:rsid w:val="00526ECB"/>
    <w:rsid w:val="005315E5"/>
    <w:rsid w:val="00531DEA"/>
    <w:rsid w:val="00533075"/>
    <w:rsid w:val="005358E7"/>
    <w:rsid w:val="005370B4"/>
    <w:rsid w:val="00537F9B"/>
    <w:rsid w:val="00543698"/>
    <w:rsid w:val="0054388B"/>
    <w:rsid w:val="005445B7"/>
    <w:rsid w:val="00547032"/>
    <w:rsid w:val="00547BA4"/>
    <w:rsid w:val="0055094B"/>
    <w:rsid w:val="00557D9A"/>
    <w:rsid w:val="00561A3C"/>
    <w:rsid w:val="00567FEF"/>
    <w:rsid w:val="005711E2"/>
    <w:rsid w:val="00571B5A"/>
    <w:rsid w:val="00572511"/>
    <w:rsid w:val="00576494"/>
    <w:rsid w:val="005775EB"/>
    <w:rsid w:val="00581C63"/>
    <w:rsid w:val="00585CCA"/>
    <w:rsid w:val="0058639C"/>
    <w:rsid w:val="0058699E"/>
    <w:rsid w:val="00587B62"/>
    <w:rsid w:val="0059313E"/>
    <w:rsid w:val="0059449A"/>
    <w:rsid w:val="00594661"/>
    <w:rsid w:val="005A1C54"/>
    <w:rsid w:val="005A68F5"/>
    <w:rsid w:val="005A6EDE"/>
    <w:rsid w:val="005B0DBB"/>
    <w:rsid w:val="005B3EF0"/>
    <w:rsid w:val="005B3F9F"/>
    <w:rsid w:val="005B7B18"/>
    <w:rsid w:val="005C1136"/>
    <w:rsid w:val="005C133B"/>
    <w:rsid w:val="005C13ED"/>
    <w:rsid w:val="005C56AA"/>
    <w:rsid w:val="005C5D28"/>
    <w:rsid w:val="005C5F60"/>
    <w:rsid w:val="005C70C3"/>
    <w:rsid w:val="005C7166"/>
    <w:rsid w:val="005D2081"/>
    <w:rsid w:val="005D3F14"/>
    <w:rsid w:val="005D67DD"/>
    <w:rsid w:val="005D6812"/>
    <w:rsid w:val="005E0237"/>
    <w:rsid w:val="005E264E"/>
    <w:rsid w:val="005E49C9"/>
    <w:rsid w:val="005E6208"/>
    <w:rsid w:val="005F0253"/>
    <w:rsid w:val="005F2124"/>
    <w:rsid w:val="005F26BF"/>
    <w:rsid w:val="00601ABA"/>
    <w:rsid w:val="00601F20"/>
    <w:rsid w:val="006022E1"/>
    <w:rsid w:val="00604599"/>
    <w:rsid w:val="00604F87"/>
    <w:rsid w:val="006072F4"/>
    <w:rsid w:val="006108FA"/>
    <w:rsid w:val="00612BCE"/>
    <w:rsid w:val="00613101"/>
    <w:rsid w:val="00613DC2"/>
    <w:rsid w:val="00614DC9"/>
    <w:rsid w:val="006176B4"/>
    <w:rsid w:val="00620D2A"/>
    <w:rsid w:val="00621D37"/>
    <w:rsid w:val="00622C5B"/>
    <w:rsid w:val="0062501F"/>
    <w:rsid w:val="006302A5"/>
    <w:rsid w:val="00633D2B"/>
    <w:rsid w:val="0063616B"/>
    <w:rsid w:val="00642865"/>
    <w:rsid w:val="00647928"/>
    <w:rsid w:val="00650CE3"/>
    <w:rsid w:val="00655B76"/>
    <w:rsid w:val="00661B83"/>
    <w:rsid w:val="00661FF5"/>
    <w:rsid w:val="0066366C"/>
    <w:rsid w:val="00663B6F"/>
    <w:rsid w:val="0066515A"/>
    <w:rsid w:val="00665814"/>
    <w:rsid w:val="006678DD"/>
    <w:rsid w:val="00672045"/>
    <w:rsid w:val="006774B6"/>
    <w:rsid w:val="00682B7E"/>
    <w:rsid w:val="00685EF9"/>
    <w:rsid w:val="00693EDB"/>
    <w:rsid w:val="00694AA7"/>
    <w:rsid w:val="00695352"/>
    <w:rsid w:val="00697E91"/>
    <w:rsid w:val="006A4811"/>
    <w:rsid w:val="006A54EE"/>
    <w:rsid w:val="006A7A9F"/>
    <w:rsid w:val="006A7C33"/>
    <w:rsid w:val="006B0B9C"/>
    <w:rsid w:val="006B0CD0"/>
    <w:rsid w:val="006B2BF1"/>
    <w:rsid w:val="006B4D15"/>
    <w:rsid w:val="006B7341"/>
    <w:rsid w:val="006C2092"/>
    <w:rsid w:val="006C49C8"/>
    <w:rsid w:val="006C612B"/>
    <w:rsid w:val="006C6C04"/>
    <w:rsid w:val="006C70D0"/>
    <w:rsid w:val="006C768E"/>
    <w:rsid w:val="006D01D1"/>
    <w:rsid w:val="006D0861"/>
    <w:rsid w:val="006D6FC0"/>
    <w:rsid w:val="006E02AE"/>
    <w:rsid w:val="006E3141"/>
    <w:rsid w:val="006E4BB0"/>
    <w:rsid w:val="006E5278"/>
    <w:rsid w:val="006E6596"/>
    <w:rsid w:val="006E6FF1"/>
    <w:rsid w:val="006F21FF"/>
    <w:rsid w:val="006F621E"/>
    <w:rsid w:val="006F71E1"/>
    <w:rsid w:val="007026A2"/>
    <w:rsid w:val="00703FEE"/>
    <w:rsid w:val="00704D62"/>
    <w:rsid w:val="00705315"/>
    <w:rsid w:val="00707D4B"/>
    <w:rsid w:val="0071161C"/>
    <w:rsid w:val="00712203"/>
    <w:rsid w:val="00713A36"/>
    <w:rsid w:val="00717FF6"/>
    <w:rsid w:val="00721E4D"/>
    <w:rsid w:val="0072302A"/>
    <w:rsid w:val="00723E4A"/>
    <w:rsid w:val="00725AE6"/>
    <w:rsid w:val="00725E67"/>
    <w:rsid w:val="00731CE8"/>
    <w:rsid w:val="00733E9A"/>
    <w:rsid w:val="00735C0D"/>
    <w:rsid w:val="0073697F"/>
    <w:rsid w:val="00736B39"/>
    <w:rsid w:val="00740FA9"/>
    <w:rsid w:val="0074397A"/>
    <w:rsid w:val="00750E79"/>
    <w:rsid w:val="00751416"/>
    <w:rsid w:val="00756CED"/>
    <w:rsid w:val="007619D8"/>
    <w:rsid w:val="00764072"/>
    <w:rsid w:val="00767F74"/>
    <w:rsid w:val="007702A5"/>
    <w:rsid w:val="0077070C"/>
    <w:rsid w:val="00775B9F"/>
    <w:rsid w:val="007778C8"/>
    <w:rsid w:val="007825CB"/>
    <w:rsid w:val="0078402F"/>
    <w:rsid w:val="0078584A"/>
    <w:rsid w:val="00790EBD"/>
    <w:rsid w:val="007941F4"/>
    <w:rsid w:val="00794D73"/>
    <w:rsid w:val="007957D8"/>
    <w:rsid w:val="00796E59"/>
    <w:rsid w:val="00797550"/>
    <w:rsid w:val="007A1824"/>
    <w:rsid w:val="007A1985"/>
    <w:rsid w:val="007A1D4A"/>
    <w:rsid w:val="007A1EDB"/>
    <w:rsid w:val="007A4F6A"/>
    <w:rsid w:val="007A50A6"/>
    <w:rsid w:val="007A5688"/>
    <w:rsid w:val="007B0991"/>
    <w:rsid w:val="007B4F98"/>
    <w:rsid w:val="007B7F2E"/>
    <w:rsid w:val="007C1FF3"/>
    <w:rsid w:val="007C364E"/>
    <w:rsid w:val="007C4735"/>
    <w:rsid w:val="007C585E"/>
    <w:rsid w:val="007C74C4"/>
    <w:rsid w:val="007D0050"/>
    <w:rsid w:val="007D26A4"/>
    <w:rsid w:val="007D5E70"/>
    <w:rsid w:val="007F1C9B"/>
    <w:rsid w:val="007F4066"/>
    <w:rsid w:val="007F5C33"/>
    <w:rsid w:val="00812308"/>
    <w:rsid w:val="0081428D"/>
    <w:rsid w:val="00815BD6"/>
    <w:rsid w:val="008161E7"/>
    <w:rsid w:val="00816804"/>
    <w:rsid w:val="008177A5"/>
    <w:rsid w:val="00820899"/>
    <w:rsid w:val="008209E2"/>
    <w:rsid w:val="008217B1"/>
    <w:rsid w:val="00821B01"/>
    <w:rsid w:val="0082357B"/>
    <w:rsid w:val="00824251"/>
    <w:rsid w:val="00825CE2"/>
    <w:rsid w:val="00826654"/>
    <w:rsid w:val="008271A8"/>
    <w:rsid w:val="00827D73"/>
    <w:rsid w:val="00830141"/>
    <w:rsid w:val="00830F42"/>
    <w:rsid w:val="00831B04"/>
    <w:rsid w:val="00832D70"/>
    <w:rsid w:val="00834438"/>
    <w:rsid w:val="00840597"/>
    <w:rsid w:val="00842681"/>
    <w:rsid w:val="00851B87"/>
    <w:rsid w:val="00852957"/>
    <w:rsid w:val="00853648"/>
    <w:rsid w:val="008537E3"/>
    <w:rsid w:val="00854B26"/>
    <w:rsid w:val="0086475A"/>
    <w:rsid w:val="00866258"/>
    <w:rsid w:val="0086768D"/>
    <w:rsid w:val="008707F2"/>
    <w:rsid w:val="00873ECB"/>
    <w:rsid w:val="008750FE"/>
    <w:rsid w:val="00877D03"/>
    <w:rsid w:val="00880218"/>
    <w:rsid w:val="00881F25"/>
    <w:rsid w:val="00882ED9"/>
    <w:rsid w:val="008847A0"/>
    <w:rsid w:val="00885BFC"/>
    <w:rsid w:val="00892580"/>
    <w:rsid w:val="00895FD9"/>
    <w:rsid w:val="00896C2F"/>
    <w:rsid w:val="00896D86"/>
    <w:rsid w:val="00897516"/>
    <w:rsid w:val="008A145D"/>
    <w:rsid w:val="008A3F0A"/>
    <w:rsid w:val="008A4111"/>
    <w:rsid w:val="008A4179"/>
    <w:rsid w:val="008A475B"/>
    <w:rsid w:val="008B1905"/>
    <w:rsid w:val="008B2165"/>
    <w:rsid w:val="008B4C26"/>
    <w:rsid w:val="008B5C34"/>
    <w:rsid w:val="008B6D5E"/>
    <w:rsid w:val="008C247B"/>
    <w:rsid w:val="008C5E2A"/>
    <w:rsid w:val="008D1324"/>
    <w:rsid w:val="008D5607"/>
    <w:rsid w:val="008E1C75"/>
    <w:rsid w:val="008E2711"/>
    <w:rsid w:val="008E4811"/>
    <w:rsid w:val="008E4A4D"/>
    <w:rsid w:val="008F08AA"/>
    <w:rsid w:val="008F14EE"/>
    <w:rsid w:val="008F4B2D"/>
    <w:rsid w:val="008F73D3"/>
    <w:rsid w:val="00901931"/>
    <w:rsid w:val="0090447E"/>
    <w:rsid w:val="009057F9"/>
    <w:rsid w:val="00910890"/>
    <w:rsid w:val="009121C7"/>
    <w:rsid w:val="009138B2"/>
    <w:rsid w:val="00914727"/>
    <w:rsid w:val="00914826"/>
    <w:rsid w:val="00916084"/>
    <w:rsid w:val="0091686E"/>
    <w:rsid w:val="00917051"/>
    <w:rsid w:val="00920E6D"/>
    <w:rsid w:val="00921491"/>
    <w:rsid w:val="00923210"/>
    <w:rsid w:val="009247AF"/>
    <w:rsid w:val="0092672C"/>
    <w:rsid w:val="009273F0"/>
    <w:rsid w:val="00933940"/>
    <w:rsid w:val="00937604"/>
    <w:rsid w:val="009376D7"/>
    <w:rsid w:val="0094230D"/>
    <w:rsid w:val="00943938"/>
    <w:rsid w:val="00952E03"/>
    <w:rsid w:val="00953A98"/>
    <w:rsid w:val="009620E8"/>
    <w:rsid w:val="009629BB"/>
    <w:rsid w:val="00962FCB"/>
    <w:rsid w:val="0097243B"/>
    <w:rsid w:val="00974254"/>
    <w:rsid w:val="0097573C"/>
    <w:rsid w:val="00977181"/>
    <w:rsid w:val="009813BA"/>
    <w:rsid w:val="00982BEA"/>
    <w:rsid w:val="0098476A"/>
    <w:rsid w:val="00987177"/>
    <w:rsid w:val="00987228"/>
    <w:rsid w:val="009924C6"/>
    <w:rsid w:val="00993564"/>
    <w:rsid w:val="00993949"/>
    <w:rsid w:val="009A3C13"/>
    <w:rsid w:val="009A439B"/>
    <w:rsid w:val="009B2EDA"/>
    <w:rsid w:val="009B33AF"/>
    <w:rsid w:val="009B39F4"/>
    <w:rsid w:val="009B5107"/>
    <w:rsid w:val="009C19A4"/>
    <w:rsid w:val="009C44A2"/>
    <w:rsid w:val="009C4DAB"/>
    <w:rsid w:val="009C51B0"/>
    <w:rsid w:val="009C7CBD"/>
    <w:rsid w:val="009D0979"/>
    <w:rsid w:val="009D0EF8"/>
    <w:rsid w:val="009D118A"/>
    <w:rsid w:val="009D45B1"/>
    <w:rsid w:val="009D5CF8"/>
    <w:rsid w:val="009D7282"/>
    <w:rsid w:val="009E5DDA"/>
    <w:rsid w:val="009E5FAF"/>
    <w:rsid w:val="009F2509"/>
    <w:rsid w:val="009F3DCE"/>
    <w:rsid w:val="009F667B"/>
    <w:rsid w:val="009F7440"/>
    <w:rsid w:val="00A0245F"/>
    <w:rsid w:val="00A03B39"/>
    <w:rsid w:val="00A063F5"/>
    <w:rsid w:val="00A06DDD"/>
    <w:rsid w:val="00A06EE3"/>
    <w:rsid w:val="00A11B20"/>
    <w:rsid w:val="00A130C9"/>
    <w:rsid w:val="00A1769E"/>
    <w:rsid w:val="00A20A89"/>
    <w:rsid w:val="00A21507"/>
    <w:rsid w:val="00A2311A"/>
    <w:rsid w:val="00A300A7"/>
    <w:rsid w:val="00A31EA2"/>
    <w:rsid w:val="00A330FC"/>
    <w:rsid w:val="00A358B9"/>
    <w:rsid w:val="00A40C80"/>
    <w:rsid w:val="00A424D8"/>
    <w:rsid w:val="00A471D3"/>
    <w:rsid w:val="00A504F7"/>
    <w:rsid w:val="00A5207D"/>
    <w:rsid w:val="00A53A4C"/>
    <w:rsid w:val="00A55D97"/>
    <w:rsid w:val="00A60D4B"/>
    <w:rsid w:val="00A61888"/>
    <w:rsid w:val="00A6795F"/>
    <w:rsid w:val="00A729A4"/>
    <w:rsid w:val="00A73FB8"/>
    <w:rsid w:val="00A7420D"/>
    <w:rsid w:val="00A7726D"/>
    <w:rsid w:val="00A80631"/>
    <w:rsid w:val="00A81320"/>
    <w:rsid w:val="00A81E3C"/>
    <w:rsid w:val="00A85958"/>
    <w:rsid w:val="00A8675B"/>
    <w:rsid w:val="00A869AF"/>
    <w:rsid w:val="00A86A65"/>
    <w:rsid w:val="00A903E0"/>
    <w:rsid w:val="00A90F90"/>
    <w:rsid w:val="00A928D2"/>
    <w:rsid w:val="00A9317B"/>
    <w:rsid w:val="00A965A3"/>
    <w:rsid w:val="00A97D67"/>
    <w:rsid w:val="00AA21D7"/>
    <w:rsid w:val="00AA46CD"/>
    <w:rsid w:val="00AA6A5D"/>
    <w:rsid w:val="00AA7061"/>
    <w:rsid w:val="00AA75AF"/>
    <w:rsid w:val="00AB328B"/>
    <w:rsid w:val="00AB7289"/>
    <w:rsid w:val="00AB7558"/>
    <w:rsid w:val="00AB75F9"/>
    <w:rsid w:val="00AC3C02"/>
    <w:rsid w:val="00AC3FBA"/>
    <w:rsid w:val="00AC59AC"/>
    <w:rsid w:val="00AC61C9"/>
    <w:rsid w:val="00AD42A9"/>
    <w:rsid w:val="00AE028F"/>
    <w:rsid w:val="00AE4432"/>
    <w:rsid w:val="00AE6DBC"/>
    <w:rsid w:val="00AF0A3F"/>
    <w:rsid w:val="00AF1941"/>
    <w:rsid w:val="00AF2AC4"/>
    <w:rsid w:val="00AF7119"/>
    <w:rsid w:val="00AF7D77"/>
    <w:rsid w:val="00B01481"/>
    <w:rsid w:val="00B015EF"/>
    <w:rsid w:val="00B016EA"/>
    <w:rsid w:val="00B02694"/>
    <w:rsid w:val="00B0643E"/>
    <w:rsid w:val="00B07CFD"/>
    <w:rsid w:val="00B12EA2"/>
    <w:rsid w:val="00B14555"/>
    <w:rsid w:val="00B14802"/>
    <w:rsid w:val="00B16228"/>
    <w:rsid w:val="00B17C8E"/>
    <w:rsid w:val="00B22171"/>
    <w:rsid w:val="00B2410E"/>
    <w:rsid w:val="00B24676"/>
    <w:rsid w:val="00B24E4E"/>
    <w:rsid w:val="00B2545D"/>
    <w:rsid w:val="00B25786"/>
    <w:rsid w:val="00B26049"/>
    <w:rsid w:val="00B31771"/>
    <w:rsid w:val="00B33824"/>
    <w:rsid w:val="00B34781"/>
    <w:rsid w:val="00B37514"/>
    <w:rsid w:val="00B37F24"/>
    <w:rsid w:val="00B4196D"/>
    <w:rsid w:val="00B41ED9"/>
    <w:rsid w:val="00B43733"/>
    <w:rsid w:val="00B458D4"/>
    <w:rsid w:val="00B47132"/>
    <w:rsid w:val="00B474F3"/>
    <w:rsid w:val="00B47C4E"/>
    <w:rsid w:val="00B522B4"/>
    <w:rsid w:val="00B52C08"/>
    <w:rsid w:val="00B555E8"/>
    <w:rsid w:val="00B61B6C"/>
    <w:rsid w:val="00B67934"/>
    <w:rsid w:val="00B67936"/>
    <w:rsid w:val="00B703C6"/>
    <w:rsid w:val="00B717BF"/>
    <w:rsid w:val="00B7293C"/>
    <w:rsid w:val="00B81FF6"/>
    <w:rsid w:val="00B83D34"/>
    <w:rsid w:val="00B841BF"/>
    <w:rsid w:val="00B84CEF"/>
    <w:rsid w:val="00B86A86"/>
    <w:rsid w:val="00B86B54"/>
    <w:rsid w:val="00B90F4A"/>
    <w:rsid w:val="00B93635"/>
    <w:rsid w:val="00B94F6C"/>
    <w:rsid w:val="00B96E63"/>
    <w:rsid w:val="00B96F1F"/>
    <w:rsid w:val="00BA255E"/>
    <w:rsid w:val="00BA67E6"/>
    <w:rsid w:val="00BA75B6"/>
    <w:rsid w:val="00BB1ACB"/>
    <w:rsid w:val="00BB51DA"/>
    <w:rsid w:val="00BC0211"/>
    <w:rsid w:val="00BC064E"/>
    <w:rsid w:val="00BC2032"/>
    <w:rsid w:val="00BC4A1E"/>
    <w:rsid w:val="00BE0568"/>
    <w:rsid w:val="00BE2767"/>
    <w:rsid w:val="00BE3570"/>
    <w:rsid w:val="00BE4926"/>
    <w:rsid w:val="00BE6798"/>
    <w:rsid w:val="00BE6E28"/>
    <w:rsid w:val="00BE7545"/>
    <w:rsid w:val="00BE7B11"/>
    <w:rsid w:val="00BF1E3C"/>
    <w:rsid w:val="00BF3FEA"/>
    <w:rsid w:val="00BF510D"/>
    <w:rsid w:val="00BF5DFD"/>
    <w:rsid w:val="00BF608D"/>
    <w:rsid w:val="00BF7D51"/>
    <w:rsid w:val="00C03007"/>
    <w:rsid w:val="00C03A55"/>
    <w:rsid w:val="00C05557"/>
    <w:rsid w:val="00C05991"/>
    <w:rsid w:val="00C07F71"/>
    <w:rsid w:val="00C122FA"/>
    <w:rsid w:val="00C12467"/>
    <w:rsid w:val="00C136E4"/>
    <w:rsid w:val="00C16835"/>
    <w:rsid w:val="00C16B41"/>
    <w:rsid w:val="00C17DBC"/>
    <w:rsid w:val="00C21660"/>
    <w:rsid w:val="00C24D44"/>
    <w:rsid w:val="00C267C4"/>
    <w:rsid w:val="00C26D3C"/>
    <w:rsid w:val="00C27AE0"/>
    <w:rsid w:val="00C27C1C"/>
    <w:rsid w:val="00C27FBF"/>
    <w:rsid w:val="00C3006D"/>
    <w:rsid w:val="00C3225C"/>
    <w:rsid w:val="00C327FE"/>
    <w:rsid w:val="00C36AFD"/>
    <w:rsid w:val="00C36D2B"/>
    <w:rsid w:val="00C37A8E"/>
    <w:rsid w:val="00C37BC7"/>
    <w:rsid w:val="00C4079C"/>
    <w:rsid w:val="00C4591E"/>
    <w:rsid w:val="00C45C23"/>
    <w:rsid w:val="00C47A7F"/>
    <w:rsid w:val="00C50FD9"/>
    <w:rsid w:val="00C518F9"/>
    <w:rsid w:val="00C51DE3"/>
    <w:rsid w:val="00C564EC"/>
    <w:rsid w:val="00C617BF"/>
    <w:rsid w:val="00C62A8A"/>
    <w:rsid w:val="00C635D3"/>
    <w:rsid w:val="00C63DF3"/>
    <w:rsid w:val="00C65E83"/>
    <w:rsid w:val="00C670D7"/>
    <w:rsid w:val="00C73131"/>
    <w:rsid w:val="00C74040"/>
    <w:rsid w:val="00C76B2D"/>
    <w:rsid w:val="00C80608"/>
    <w:rsid w:val="00C80795"/>
    <w:rsid w:val="00C80F8A"/>
    <w:rsid w:val="00C840F8"/>
    <w:rsid w:val="00C84DBD"/>
    <w:rsid w:val="00C85A67"/>
    <w:rsid w:val="00C85E2D"/>
    <w:rsid w:val="00C8633C"/>
    <w:rsid w:val="00C8655D"/>
    <w:rsid w:val="00C8656C"/>
    <w:rsid w:val="00C908F2"/>
    <w:rsid w:val="00C92868"/>
    <w:rsid w:val="00C92BB3"/>
    <w:rsid w:val="00C954F9"/>
    <w:rsid w:val="00CA1245"/>
    <w:rsid w:val="00CA1CA3"/>
    <w:rsid w:val="00CA2D75"/>
    <w:rsid w:val="00CA4CBB"/>
    <w:rsid w:val="00CA5B5B"/>
    <w:rsid w:val="00CB29C0"/>
    <w:rsid w:val="00CB39D1"/>
    <w:rsid w:val="00CB5BA4"/>
    <w:rsid w:val="00CB6B69"/>
    <w:rsid w:val="00CB73D2"/>
    <w:rsid w:val="00CC0A35"/>
    <w:rsid w:val="00CC2003"/>
    <w:rsid w:val="00CC69DA"/>
    <w:rsid w:val="00CC6B85"/>
    <w:rsid w:val="00CD181D"/>
    <w:rsid w:val="00CD1A97"/>
    <w:rsid w:val="00CD3A77"/>
    <w:rsid w:val="00CD3B44"/>
    <w:rsid w:val="00CD6E5C"/>
    <w:rsid w:val="00CD7534"/>
    <w:rsid w:val="00CE2189"/>
    <w:rsid w:val="00CE2E77"/>
    <w:rsid w:val="00CE4D1B"/>
    <w:rsid w:val="00CF0380"/>
    <w:rsid w:val="00CF0F44"/>
    <w:rsid w:val="00CF258F"/>
    <w:rsid w:val="00CF3A32"/>
    <w:rsid w:val="00CF6DCE"/>
    <w:rsid w:val="00D01929"/>
    <w:rsid w:val="00D02E9C"/>
    <w:rsid w:val="00D031B3"/>
    <w:rsid w:val="00D13685"/>
    <w:rsid w:val="00D1379C"/>
    <w:rsid w:val="00D166FE"/>
    <w:rsid w:val="00D170BD"/>
    <w:rsid w:val="00D20878"/>
    <w:rsid w:val="00D20BE9"/>
    <w:rsid w:val="00D21F4D"/>
    <w:rsid w:val="00D22776"/>
    <w:rsid w:val="00D22C17"/>
    <w:rsid w:val="00D25694"/>
    <w:rsid w:val="00D270B6"/>
    <w:rsid w:val="00D312CC"/>
    <w:rsid w:val="00D336C7"/>
    <w:rsid w:val="00D3532A"/>
    <w:rsid w:val="00D36B3E"/>
    <w:rsid w:val="00D3740B"/>
    <w:rsid w:val="00D40823"/>
    <w:rsid w:val="00D42250"/>
    <w:rsid w:val="00D436CC"/>
    <w:rsid w:val="00D43C12"/>
    <w:rsid w:val="00D46284"/>
    <w:rsid w:val="00D46F9E"/>
    <w:rsid w:val="00D5333E"/>
    <w:rsid w:val="00D54E94"/>
    <w:rsid w:val="00D630B2"/>
    <w:rsid w:val="00D632C9"/>
    <w:rsid w:val="00D651F1"/>
    <w:rsid w:val="00D67F84"/>
    <w:rsid w:val="00D7083B"/>
    <w:rsid w:val="00D734B8"/>
    <w:rsid w:val="00D77F1E"/>
    <w:rsid w:val="00D81809"/>
    <w:rsid w:val="00D84FC4"/>
    <w:rsid w:val="00D85752"/>
    <w:rsid w:val="00D866F5"/>
    <w:rsid w:val="00D86F6A"/>
    <w:rsid w:val="00D94FF9"/>
    <w:rsid w:val="00D955D3"/>
    <w:rsid w:val="00DA0432"/>
    <w:rsid w:val="00DA0F49"/>
    <w:rsid w:val="00DA3882"/>
    <w:rsid w:val="00DA391A"/>
    <w:rsid w:val="00DA447C"/>
    <w:rsid w:val="00DA7E0B"/>
    <w:rsid w:val="00DB3656"/>
    <w:rsid w:val="00DB3C44"/>
    <w:rsid w:val="00DB4B51"/>
    <w:rsid w:val="00DB5099"/>
    <w:rsid w:val="00DB7FBF"/>
    <w:rsid w:val="00DC1C95"/>
    <w:rsid w:val="00DC4868"/>
    <w:rsid w:val="00DC588F"/>
    <w:rsid w:val="00DC6AEE"/>
    <w:rsid w:val="00DC6C7D"/>
    <w:rsid w:val="00DD744F"/>
    <w:rsid w:val="00DE07E8"/>
    <w:rsid w:val="00DE24B0"/>
    <w:rsid w:val="00DE485E"/>
    <w:rsid w:val="00DE6FD1"/>
    <w:rsid w:val="00DF15DE"/>
    <w:rsid w:val="00DF2ADC"/>
    <w:rsid w:val="00DF3B44"/>
    <w:rsid w:val="00DF3D36"/>
    <w:rsid w:val="00E00BBF"/>
    <w:rsid w:val="00E059AD"/>
    <w:rsid w:val="00E06316"/>
    <w:rsid w:val="00E06561"/>
    <w:rsid w:val="00E075C9"/>
    <w:rsid w:val="00E10190"/>
    <w:rsid w:val="00E12A83"/>
    <w:rsid w:val="00E132B2"/>
    <w:rsid w:val="00E17962"/>
    <w:rsid w:val="00E22375"/>
    <w:rsid w:val="00E2435E"/>
    <w:rsid w:val="00E27A1E"/>
    <w:rsid w:val="00E27D9A"/>
    <w:rsid w:val="00E27EC0"/>
    <w:rsid w:val="00E32F58"/>
    <w:rsid w:val="00E33C1D"/>
    <w:rsid w:val="00E340D7"/>
    <w:rsid w:val="00E354A5"/>
    <w:rsid w:val="00E37308"/>
    <w:rsid w:val="00E378E8"/>
    <w:rsid w:val="00E41AF0"/>
    <w:rsid w:val="00E42C7C"/>
    <w:rsid w:val="00E4337B"/>
    <w:rsid w:val="00E453AE"/>
    <w:rsid w:val="00E4599C"/>
    <w:rsid w:val="00E46747"/>
    <w:rsid w:val="00E475D2"/>
    <w:rsid w:val="00E50067"/>
    <w:rsid w:val="00E50741"/>
    <w:rsid w:val="00E53954"/>
    <w:rsid w:val="00E5712C"/>
    <w:rsid w:val="00E607AE"/>
    <w:rsid w:val="00E623CE"/>
    <w:rsid w:val="00E77971"/>
    <w:rsid w:val="00E77A72"/>
    <w:rsid w:val="00E824B9"/>
    <w:rsid w:val="00E8281C"/>
    <w:rsid w:val="00E84B7A"/>
    <w:rsid w:val="00E915E9"/>
    <w:rsid w:val="00E91FC5"/>
    <w:rsid w:val="00E93583"/>
    <w:rsid w:val="00E93B71"/>
    <w:rsid w:val="00E93C20"/>
    <w:rsid w:val="00E9413E"/>
    <w:rsid w:val="00E947A2"/>
    <w:rsid w:val="00E96346"/>
    <w:rsid w:val="00E97FFE"/>
    <w:rsid w:val="00EA3ECC"/>
    <w:rsid w:val="00EA5A46"/>
    <w:rsid w:val="00EA6375"/>
    <w:rsid w:val="00EA6A79"/>
    <w:rsid w:val="00EB0329"/>
    <w:rsid w:val="00EB0652"/>
    <w:rsid w:val="00EB0CA0"/>
    <w:rsid w:val="00EB355D"/>
    <w:rsid w:val="00EC3301"/>
    <w:rsid w:val="00EC6B91"/>
    <w:rsid w:val="00ED3879"/>
    <w:rsid w:val="00ED3A59"/>
    <w:rsid w:val="00ED4981"/>
    <w:rsid w:val="00EE0926"/>
    <w:rsid w:val="00EE12B2"/>
    <w:rsid w:val="00EE743C"/>
    <w:rsid w:val="00EE7835"/>
    <w:rsid w:val="00EF0E81"/>
    <w:rsid w:val="00EF0EA2"/>
    <w:rsid w:val="00EF1660"/>
    <w:rsid w:val="00EF2268"/>
    <w:rsid w:val="00EF52B6"/>
    <w:rsid w:val="00EF6AF0"/>
    <w:rsid w:val="00F02912"/>
    <w:rsid w:val="00F04CE4"/>
    <w:rsid w:val="00F04F92"/>
    <w:rsid w:val="00F0671C"/>
    <w:rsid w:val="00F20267"/>
    <w:rsid w:val="00F20295"/>
    <w:rsid w:val="00F24E77"/>
    <w:rsid w:val="00F25B12"/>
    <w:rsid w:val="00F25DEC"/>
    <w:rsid w:val="00F264B1"/>
    <w:rsid w:val="00F27482"/>
    <w:rsid w:val="00F2748C"/>
    <w:rsid w:val="00F274EC"/>
    <w:rsid w:val="00F33A4F"/>
    <w:rsid w:val="00F34320"/>
    <w:rsid w:val="00F3719D"/>
    <w:rsid w:val="00F37FA5"/>
    <w:rsid w:val="00F40A3D"/>
    <w:rsid w:val="00F4136B"/>
    <w:rsid w:val="00F41F6E"/>
    <w:rsid w:val="00F42F53"/>
    <w:rsid w:val="00F44F32"/>
    <w:rsid w:val="00F45767"/>
    <w:rsid w:val="00F47E20"/>
    <w:rsid w:val="00F54976"/>
    <w:rsid w:val="00F5657A"/>
    <w:rsid w:val="00F60EB4"/>
    <w:rsid w:val="00F63B0D"/>
    <w:rsid w:val="00F648F8"/>
    <w:rsid w:val="00F6640C"/>
    <w:rsid w:val="00F66B75"/>
    <w:rsid w:val="00F70F19"/>
    <w:rsid w:val="00F71206"/>
    <w:rsid w:val="00F757CF"/>
    <w:rsid w:val="00F80C08"/>
    <w:rsid w:val="00F8564B"/>
    <w:rsid w:val="00F85B64"/>
    <w:rsid w:val="00F86621"/>
    <w:rsid w:val="00F86C90"/>
    <w:rsid w:val="00F900F7"/>
    <w:rsid w:val="00F910D0"/>
    <w:rsid w:val="00F92119"/>
    <w:rsid w:val="00F9317C"/>
    <w:rsid w:val="00F931C4"/>
    <w:rsid w:val="00F93871"/>
    <w:rsid w:val="00F93FEC"/>
    <w:rsid w:val="00F94AAA"/>
    <w:rsid w:val="00F9544C"/>
    <w:rsid w:val="00F9550E"/>
    <w:rsid w:val="00F958AC"/>
    <w:rsid w:val="00F967D9"/>
    <w:rsid w:val="00FA104C"/>
    <w:rsid w:val="00FA2A82"/>
    <w:rsid w:val="00FA7401"/>
    <w:rsid w:val="00FA7ADE"/>
    <w:rsid w:val="00FB0570"/>
    <w:rsid w:val="00FB1D33"/>
    <w:rsid w:val="00FB5CD2"/>
    <w:rsid w:val="00FB630E"/>
    <w:rsid w:val="00FB6F57"/>
    <w:rsid w:val="00FC2F6E"/>
    <w:rsid w:val="00FD0B01"/>
    <w:rsid w:val="00FD0F55"/>
    <w:rsid w:val="00FD18CC"/>
    <w:rsid w:val="00FD71F4"/>
    <w:rsid w:val="00FD7EF8"/>
    <w:rsid w:val="00FE02BC"/>
    <w:rsid w:val="00FE1E47"/>
    <w:rsid w:val="00FE37E2"/>
    <w:rsid w:val="00FE6668"/>
    <w:rsid w:val="00FE7572"/>
    <w:rsid w:val="00FF0F2A"/>
    <w:rsid w:val="00FF12AB"/>
    <w:rsid w:val="00FF1F73"/>
    <w:rsid w:val="00FF335B"/>
    <w:rsid w:val="00FF5387"/>
    <w:rsid w:val="00FF639C"/>
    <w:rsid w:val="00FF67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42C5F6-14F2-474B-8C08-F7CA008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6A"/>
  </w:style>
  <w:style w:type="paragraph" w:styleId="Heading1">
    <w:name w:val="heading 1"/>
    <w:basedOn w:val="Normal"/>
    <w:next w:val="Normal"/>
    <w:link w:val="Heading1Char"/>
    <w:uiPriority w:val="9"/>
    <w:qFormat/>
    <w:rsid w:val="00BA255E"/>
    <w:pPr>
      <w:keepNext/>
      <w:keepLines/>
      <w:numPr>
        <w:numId w:val="6"/>
      </w:numPr>
      <w:spacing w:before="240" w:after="0"/>
      <w:outlineLvl w:val="0"/>
    </w:pPr>
    <w:rPr>
      <w:rFonts w:asciiTheme="majorHAnsi"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1,List Paragraph1,Table of contents numbered,footer text,Colorful List - Accent 11,Bulleted list,Citation List,BBD_List_Paragraph,Bullet List,normal,Standard Paragraph,Figure_name,Resume Title,DSR Bullet,EOH bullet"/>
    <w:basedOn w:val="Normal"/>
    <w:link w:val="ListParagraphChar"/>
    <w:uiPriority w:val="34"/>
    <w:qFormat/>
    <w:rsid w:val="003852DC"/>
    <w:pPr>
      <w:ind w:left="720"/>
      <w:contextualSpacing/>
    </w:pPr>
  </w:style>
  <w:style w:type="character" w:customStyle="1" w:styleId="Heading1Char">
    <w:name w:val="Heading 1 Char"/>
    <w:basedOn w:val="DefaultParagraphFont"/>
    <w:link w:val="Heading1"/>
    <w:uiPriority w:val="9"/>
    <w:rsid w:val="00BA255E"/>
    <w:rPr>
      <w:rFonts w:asciiTheme="majorHAnsi" w:hAnsiTheme="majorHAnsi" w:cstheme="majorBidi"/>
      <w:b/>
      <w:color w:val="000000" w:themeColor="text1"/>
      <w:sz w:val="32"/>
      <w:szCs w:val="32"/>
    </w:rPr>
  </w:style>
  <w:style w:type="paragraph" w:styleId="Header">
    <w:name w:val="header"/>
    <w:basedOn w:val="Normal"/>
    <w:link w:val="HeaderChar"/>
    <w:uiPriority w:val="99"/>
    <w:unhideWhenUsed/>
    <w:rsid w:val="00C32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7FE"/>
  </w:style>
  <w:style w:type="paragraph" w:styleId="Footer">
    <w:name w:val="footer"/>
    <w:basedOn w:val="Normal"/>
    <w:link w:val="FooterChar"/>
    <w:uiPriority w:val="99"/>
    <w:unhideWhenUsed/>
    <w:rsid w:val="00C32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7FE"/>
  </w:style>
  <w:style w:type="paragraph" w:styleId="NoSpacing">
    <w:name w:val="No Spacing"/>
    <w:link w:val="NoSpacingChar"/>
    <w:uiPriority w:val="1"/>
    <w:qFormat/>
    <w:rsid w:val="00143F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43FAE"/>
    <w:rPr>
      <w:rFonts w:eastAsiaTheme="minorEastAsia"/>
      <w:lang w:val="en-US"/>
    </w:rPr>
  </w:style>
  <w:style w:type="paragraph" w:styleId="NormalWeb">
    <w:name w:val="Normal (Web)"/>
    <w:basedOn w:val="Normal"/>
    <w:uiPriority w:val="99"/>
    <w:semiHidden/>
    <w:unhideWhenUsed/>
    <w:rsid w:val="001E539C"/>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
    <w:name w:val="Table Grid"/>
    <w:basedOn w:val="TableNormal"/>
    <w:rsid w:val="00CA5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514"/>
    <w:rPr>
      <w:rFonts w:ascii="Segoe UI" w:hAnsi="Segoe UI" w:cs="Segoe UI"/>
      <w:sz w:val="18"/>
      <w:szCs w:val="18"/>
    </w:rPr>
  </w:style>
  <w:style w:type="paragraph" w:styleId="TOCHeading">
    <w:name w:val="TOC Heading"/>
    <w:basedOn w:val="Heading1"/>
    <w:next w:val="Normal"/>
    <w:uiPriority w:val="39"/>
    <w:unhideWhenUsed/>
    <w:qFormat/>
    <w:rsid w:val="00BA255E"/>
    <w:pPr>
      <w:numPr>
        <w:numId w:val="0"/>
      </w:numPr>
      <w:outlineLvl w:val="9"/>
    </w:pPr>
    <w:rPr>
      <w:rFonts w:eastAsiaTheme="majorEastAsia"/>
      <w:b w:val="0"/>
      <w:color w:val="2E74B5" w:themeColor="accent1" w:themeShade="BF"/>
      <w:lang w:val="en-US"/>
    </w:rPr>
  </w:style>
  <w:style w:type="paragraph" w:styleId="TOC1">
    <w:name w:val="toc 1"/>
    <w:basedOn w:val="Normal"/>
    <w:next w:val="Normal"/>
    <w:autoRedefine/>
    <w:uiPriority w:val="39"/>
    <w:unhideWhenUsed/>
    <w:rsid w:val="00BA255E"/>
    <w:pPr>
      <w:spacing w:after="100"/>
    </w:pPr>
  </w:style>
  <w:style w:type="character" w:styleId="Hyperlink">
    <w:name w:val="Hyperlink"/>
    <w:basedOn w:val="DefaultParagraphFont"/>
    <w:uiPriority w:val="99"/>
    <w:unhideWhenUsed/>
    <w:rsid w:val="00BA255E"/>
    <w:rPr>
      <w:color w:val="0563C1" w:themeColor="hyperlink"/>
      <w:u w:val="single"/>
    </w:rPr>
  </w:style>
  <w:style w:type="paragraph" w:customStyle="1" w:styleId="Style1">
    <w:name w:val="Style1"/>
    <w:basedOn w:val="ListParagraph"/>
    <w:link w:val="Style1Char"/>
    <w:qFormat/>
    <w:rsid w:val="0059313E"/>
    <w:pPr>
      <w:numPr>
        <w:numId w:val="3"/>
      </w:numPr>
      <w:jc w:val="both"/>
    </w:pPr>
    <w:rPr>
      <w:rFonts w:ascii="Arial" w:hAnsi="Arial" w:cs="Arial"/>
      <w:sz w:val="24"/>
      <w:szCs w:val="24"/>
    </w:rPr>
  </w:style>
  <w:style w:type="character" w:customStyle="1" w:styleId="ListParagraphChar">
    <w:name w:val="List Paragraph Char"/>
    <w:aliases w:val="Bullets Char,List Paragraph 1 Char,List Paragraph1 Char,Table of contents numbered Char,footer text Char,Colorful List - Accent 11 Char,Bulleted list Char,Citation List Char,BBD_List_Paragraph Char,Bullet List Char,normal Char"/>
    <w:basedOn w:val="DefaultParagraphFont"/>
    <w:link w:val="ListParagraph"/>
    <w:uiPriority w:val="34"/>
    <w:qFormat/>
    <w:rsid w:val="0059313E"/>
  </w:style>
  <w:style w:type="character" w:customStyle="1" w:styleId="Style1Char">
    <w:name w:val="Style1 Char"/>
    <w:basedOn w:val="ListParagraphChar"/>
    <w:link w:val="Style1"/>
    <w:rsid w:val="0059313E"/>
    <w:rPr>
      <w:rFonts w:ascii="Arial" w:hAnsi="Arial" w:cs="Arial"/>
      <w:sz w:val="24"/>
      <w:szCs w:val="24"/>
    </w:rPr>
  </w:style>
  <w:style w:type="paragraph" w:customStyle="1" w:styleId="Default">
    <w:name w:val="Default"/>
    <w:rsid w:val="00B96E63"/>
    <w:pPr>
      <w:autoSpaceDE w:val="0"/>
      <w:autoSpaceDN w:val="0"/>
      <w:adjustRightInd w:val="0"/>
      <w:spacing w:after="0" w:line="240" w:lineRule="auto"/>
    </w:pPr>
    <w:rPr>
      <w:rFonts w:ascii="Arial" w:eastAsia="Times New Roman" w:hAnsi="Arial" w:cs="Arial"/>
      <w:color w:val="000000"/>
      <w:sz w:val="24"/>
      <w:szCs w:val="24"/>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726">
      <w:bodyDiv w:val="1"/>
      <w:marLeft w:val="0"/>
      <w:marRight w:val="0"/>
      <w:marTop w:val="0"/>
      <w:marBottom w:val="0"/>
      <w:divBdr>
        <w:top w:val="none" w:sz="0" w:space="0" w:color="auto"/>
        <w:left w:val="none" w:sz="0" w:space="0" w:color="auto"/>
        <w:bottom w:val="none" w:sz="0" w:space="0" w:color="auto"/>
        <w:right w:val="none" w:sz="0" w:space="0" w:color="auto"/>
      </w:divBdr>
    </w:div>
    <w:div w:id="329529487">
      <w:bodyDiv w:val="1"/>
      <w:marLeft w:val="0"/>
      <w:marRight w:val="0"/>
      <w:marTop w:val="0"/>
      <w:marBottom w:val="0"/>
      <w:divBdr>
        <w:top w:val="none" w:sz="0" w:space="0" w:color="auto"/>
        <w:left w:val="none" w:sz="0" w:space="0" w:color="auto"/>
        <w:bottom w:val="none" w:sz="0" w:space="0" w:color="auto"/>
        <w:right w:val="none" w:sz="0" w:space="0" w:color="auto"/>
      </w:divBdr>
    </w:div>
    <w:div w:id="363406181">
      <w:bodyDiv w:val="1"/>
      <w:marLeft w:val="0"/>
      <w:marRight w:val="0"/>
      <w:marTop w:val="0"/>
      <w:marBottom w:val="0"/>
      <w:divBdr>
        <w:top w:val="none" w:sz="0" w:space="0" w:color="auto"/>
        <w:left w:val="none" w:sz="0" w:space="0" w:color="auto"/>
        <w:bottom w:val="none" w:sz="0" w:space="0" w:color="auto"/>
        <w:right w:val="none" w:sz="0" w:space="0" w:color="auto"/>
      </w:divBdr>
    </w:div>
    <w:div w:id="457529966">
      <w:bodyDiv w:val="1"/>
      <w:marLeft w:val="0"/>
      <w:marRight w:val="0"/>
      <w:marTop w:val="0"/>
      <w:marBottom w:val="0"/>
      <w:divBdr>
        <w:top w:val="none" w:sz="0" w:space="0" w:color="auto"/>
        <w:left w:val="none" w:sz="0" w:space="0" w:color="auto"/>
        <w:bottom w:val="none" w:sz="0" w:space="0" w:color="auto"/>
        <w:right w:val="none" w:sz="0" w:space="0" w:color="auto"/>
      </w:divBdr>
      <w:divsChild>
        <w:div w:id="556824975">
          <w:marLeft w:val="547"/>
          <w:marRight w:val="0"/>
          <w:marTop w:val="115"/>
          <w:marBottom w:val="0"/>
          <w:divBdr>
            <w:top w:val="none" w:sz="0" w:space="0" w:color="auto"/>
            <w:left w:val="none" w:sz="0" w:space="0" w:color="auto"/>
            <w:bottom w:val="none" w:sz="0" w:space="0" w:color="auto"/>
            <w:right w:val="none" w:sz="0" w:space="0" w:color="auto"/>
          </w:divBdr>
        </w:div>
        <w:div w:id="900671591">
          <w:marLeft w:val="547"/>
          <w:marRight w:val="0"/>
          <w:marTop w:val="115"/>
          <w:marBottom w:val="0"/>
          <w:divBdr>
            <w:top w:val="none" w:sz="0" w:space="0" w:color="auto"/>
            <w:left w:val="none" w:sz="0" w:space="0" w:color="auto"/>
            <w:bottom w:val="none" w:sz="0" w:space="0" w:color="auto"/>
            <w:right w:val="none" w:sz="0" w:space="0" w:color="auto"/>
          </w:divBdr>
        </w:div>
        <w:div w:id="553585899">
          <w:marLeft w:val="547"/>
          <w:marRight w:val="0"/>
          <w:marTop w:val="115"/>
          <w:marBottom w:val="0"/>
          <w:divBdr>
            <w:top w:val="none" w:sz="0" w:space="0" w:color="auto"/>
            <w:left w:val="none" w:sz="0" w:space="0" w:color="auto"/>
            <w:bottom w:val="none" w:sz="0" w:space="0" w:color="auto"/>
            <w:right w:val="none" w:sz="0" w:space="0" w:color="auto"/>
          </w:divBdr>
        </w:div>
        <w:div w:id="474447314">
          <w:marLeft w:val="547"/>
          <w:marRight w:val="0"/>
          <w:marTop w:val="115"/>
          <w:marBottom w:val="0"/>
          <w:divBdr>
            <w:top w:val="none" w:sz="0" w:space="0" w:color="auto"/>
            <w:left w:val="none" w:sz="0" w:space="0" w:color="auto"/>
            <w:bottom w:val="none" w:sz="0" w:space="0" w:color="auto"/>
            <w:right w:val="none" w:sz="0" w:space="0" w:color="auto"/>
          </w:divBdr>
        </w:div>
        <w:div w:id="1441757497">
          <w:marLeft w:val="547"/>
          <w:marRight w:val="0"/>
          <w:marTop w:val="115"/>
          <w:marBottom w:val="0"/>
          <w:divBdr>
            <w:top w:val="none" w:sz="0" w:space="0" w:color="auto"/>
            <w:left w:val="none" w:sz="0" w:space="0" w:color="auto"/>
            <w:bottom w:val="none" w:sz="0" w:space="0" w:color="auto"/>
            <w:right w:val="none" w:sz="0" w:space="0" w:color="auto"/>
          </w:divBdr>
        </w:div>
        <w:div w:id="134496615">
          <w:marLeft w:val="547"/>
          <w:marRight w:val="0"/>
          <w:marTop w:val="115"/>
          <w:marBottom w:val="0"/>
          <w:divBdr>
            <w:top w:val="none" w:sz="0" w:space="0" w:color="auto"/>
            <w:left w:val="none" w:sz="0" w:space="0" w:color="auto"/>
            <w:bottom w:val="none" w:sz="0" w:space="0" w:color="auto"/>
            <w:right w:val="none" w:sz="0" w:space="0" w:color="auto"/>
          </w:divBdr>
        </w:div>
      </w:divsChild>
    </w:div>
    <w:div w:id="712968063">
      <w:bodyDiv w:val="1"/>
      <w:marLeft w:val="0"/>
      <w:marRight w:val="0"/>
      <w:marTop w:val="0"/>
      <w:marBottom w:val="0"/>
      <w:divBdr>
        <w:top w:val="none" w:sz="0" w:space="0" w:color="auto"/>
        <w:left w:val="none" w:sz="0" w:space="0" w:color="auto"/>
        <w:bottom w:val="none" w:sz="0" w:space="0" w:color="auto"/>
        <w:right w:val="none" w:sz="0" w:space="0" w:color="auto"/>
      </w:divBdr>
    </w:div>
    <w:div w:id="747770522">
      <w:bodyDiv w:val="1"/>
      <w:marLeft w:val="0"/>
      <w:marRight w:val="0"/>
      <w:marTop w:val="0"/>
      <w:marBottom w:val="0"/>
      <w:divBdr>
        <w:top w:val="none" w:sz="0" w:space="0" w:color="auto"/>
        <w:left w:val="none" w:sz="0" w:space="0" w:color="auto"/>
        <w:bottom w:val="none" w:sz="0" w:space="0" w:color="auto"/>
        <w:right w:val="none" w:sz="0" w:space="0" w:color="auto"/>
      </w:divBdr>
    </w:div>
    <w:div w:id="823619486">
      <w:bodyDiv w:val="1"/>
      <w:marLeft w:val="0"/>
      <w:marRight w:val="0"/>
      <w:marTop w:val="0"/>
      <w:marBottom w:val="0"/>
      <w:divBdr>
        <w:top w:val="none" w:sz="0" w:space="0" w:color="auto"/>
        <w:left w:val="none" w:sz="0" w:space="0" w:color="auto"/>
        <w:bottom w:val="none" w:sz="0" w:space="0" w:color="auto"/>
        <w:right w:val="none" w:sz="0" w:space="0" w:color="auto"/>
      </w:divBdr>
    </w:div>
    <w:div w:id="1021468479">
      <w:bodyDiv w:val="1"/>
      <w:marLeft w:val="0"/>
      <w:marRight w:val="0"/>
      <w:marTop w:val="0"/>
      <w:marBottom w:val="0"/>
      <w:divBdr>
        <w:top w:val="none" w:sz="0" w:space="0" w:color="auto"/>
        <w:left w:val="none" w:sz="0" w:space="0" w:color="auto"/>
        <w:bottom w:val="none" w:sz="0" w:space="0" w:color="auto"/>
        <w:right w:val="none" w:sz="0" w:space="0" w:color="auto"/>
      </w:divBdr>
      <w:divsChild>
        <w:div w:id="118686722">
          <w:marLeft w:val="720"/>
          <w:marRight w:val="0"/>
          <w:marTop w:val="0"/>
          <w:marBottom w:val="0"/>
          <w:divBdr>
            <w:top w:val="none" w:sz="0" w:space="0" w:color="auto"/>
            <w:left w:val="none" w:sz="0" w:space="0" w:color="auto"/>
            <w:bottom w:val="none" w:sz="0" w:space="0" w:color="auto"/>
            <w:right w:val="none" w:sz="0" w:space="0" w:color="auto"/>
          </w:divBdr>
        </w:div>
        <w:div w:id="671640529">
          <w:marLeft w:val="1166"/>
          <w:marRight w:val="0"/>
          <w:marTop w:val="0"/>
          <w:marBottom w:val="0"/>
          <w:divBdr>
            <w:top w:val="none" w:sz="0" w:space="0" w:color="auto"/>
            <w:left w:val="none" w:sz="0" w:space="0" w:color="auto"/>
            <w:bottom w:val="none" w:sz="0" w:space="0" w:color="auto"/>
            <w:right w:val="none" w:sz="0" w:space="0" w:color="auto"/>
          </w:divBdr>
        </w:div>
        <w:div w:id="1570379992">
          <w:marLeft w:val="1166"/>
          <w:marRight w:val="0"/>
          <w:marTop w:val="0"/>
          <w:marBottom w:val="0"/>
          <w:divBdr>
            <w:top w:val="none" w:sz="0" w:space="0" w:color="auto"/>
            <w:left w:val="none" w:sz="0" w:space="0" w:color="auto"/>
            <w:bottom w:val="none" w:sz="0" w:space="0" w:color="auto"/>
            <w:right w:val="none" w:sz="0" w:space="0" w:color="auto"/>
          </w:divBdr>
        </w:div>
        <w:div w:id="1702626532">
          <w:marLeft w:val="1166"/>
          <w:marRight w:val="0"/>
          <w:marTop w:val="0"/>
          <w:marBottom w:val="0"/>
          <w:divBdr>
            <w:top w:val="none" w:sz="0" w:space="0" w:color="auto"/>
            <w:left w:val="none" w:sz="0" w:space="0" w:color="auto"/>
            <w:bottom w:val="none" w:sz="0" w:space="0" w:color="auto"/>
            <w:right w:val="none" w:sz="0" w:space="0" w:color="auto"/>
          </w:divBdr>
        </w:div>
        <w:div w:id="1574125845">
          <w:marLeft w:val="1166"/>
          <w:marRight w:val="0"/>
          <w:marTop w:val="0"/>
          <w:marBottom w:val="0"/>
          <w:divBdr>
            <w:top w:val="none" w:sz="0" w:space="0" w:color="auto"/>
            <w:left w:val="none" w:sz="0" w:space="0" w:color="auto"/>
            <w:bottom w:val="none" w:sz="0" w:space="0" w:color="auto"/>
            <w:right w:val="none" w:sz="0" w:space="0" w:color="auto"/>
          </w:divBdr>
        </w:div>
        <w:div w:id="970787779">
          <w:marLeft w:val="1166"/>
          <w:marRight w:val="0"/>
          <w:marTop w:val="0"/>
          <w:marBottom w:val="0"/>
          <w:divBdr>
            <w:top w:val="none" w:sz="0" w:space="0" w:color="auto"/>
            <w:left w:val="none" w:sz="0" w:space="0" w:color="auto"/>
            <w:bottom w:val="none" w:sz="0" w:space="0" w:color="auto"/>
            <w:right w:val="none" w:sz="0" w:space="0" w:color="auto"/>
          </w:divBdr>
        </w:div>
      </w:divsChild>
    </w:div>
    <w:div w:id="1182890960">
      <w:bodyDiv w:val="1"/>
      <w:marLeft w:val="0"/>
      <w:marRight w:val="0"/>
      <w:marTop w:val="0"/>
      <w:marBottom w:val="0"/>
      <w:divBdr>
        <w:top w:val="none" w:sz="0" w:space="0" w:color="auto"/>
        <w:left w:val="none" w:sz="0" w:space="0" w:color="auto"/>
        <w:bottom w:val="none" w:sz="0" w:space="0" w:color="auto"/>
        <w:right w:val="none" w:sz="0" w:space="0" w:color="auto"/>
      </w:divBdr>
    </w:div>
    <w:div w:id="1261599305">
      <w:bodyDiv w:val="1"/>
      <w:marLeft w:val="0"/>
      <w:marRight w:val="0"/>
      <w:marTop w:val="0"/>
      <w:marBottom w:val="0"/>
      <w:divBdr>
        <w:top w:val="none" w:sz="0" w:space="0" w:color="auto"/>
        <w:left w:val="none" w:sz="0" w:space="0" w:color="auto"/>
        <w:bottom w:val="none" w:sz="0" w:space="0" w:color="auto"/>
        <w:right w:val="none" w:sz="0" w:space="0" w:color="auto"/>
      </w:divBdr>
    </w:div>
    <w:div w:id="1396195729">
      <w:bodyDiv w:val="1"/>
      <w:marLeft w:val="0"/>
      <w:marRight w:val="0"/>
      <w:marTop w:val="0"/>
      <w:marBottom w:val="0"/>
      <w:divBdr>
        <w:top w:val="none" w:sz="0" w:space="0" w:color="auto"/>
        <w:left w:val="none" w:sz="0" w:space="0" w:color="auto"/>
        <w:bottom w:val="none" w:sz="0" w:space="0" w:color="auto"/>
        <w:right w:val="none" w:sz="0" w:space="0" w:color="auto"/>
      </w:divBdr>
    </w:div>
    <w:div w:id="1442644414">
      <w:bodyDiv w:val="1"/>
      <w:marLeft w:val="0"/>
      <w:marRight w:val="0"/>
      <w:marTop w:val="0"/>
      <w:marBottom w:val="0"/>
      <w:divBdr>
        <w:top w:val="none" w:sz="0" w:space="0" w:color="auto"/>
        <w:left w:val="none" w:sz="0" w:space="0" w:color="auto"/>
        <w:bottom w:val="none" w:sz="0" w:space="0" w:color="auto"/>
        <w:right w:val="none" w:sz="0" w:space="0" w:color="auto"/>
      </w:divBdr>
    </w:div>
    <w:div w:id="1444377727">
      <w:bodyDiv w:val="1"/>
      <w:marLeft w:val="0"/>
      <w:marRight w:val="0"/>
      <w:marTop w:val="0"/>
      <w:marBottom w:val="0"/>
      <w:divBdr>
        <w:top w:val="none" w:sz="0" w:space="0" w:color="auto"/>
        <w:left w:val="none" w:sz="0" w:space="0" w:color="auto"/>
        <w:bottom w:val="none" w:sz="0" w:space="0" w:color="auto"/>
        <w:right w:val="none" w:sz="0" w:space="0" w:color="auto"/>
      </w:divBdr>
    </w:div>
    <w:div w:id="1494373293">
      <w:bodyDiv w:val="1"/>
      <w:marLeft w:val="0"/>
      <w:marRight w:val="0"/>
      <w:marTop w:val="0"/>
      <w:marBottom w:val="0"/>
      <w:divBdr>
        <w:top w:val="none" w:sz="0" w:space="0" w:color="auto"/>
        <w:left w:val="none" w:sz="0" w:space="0" w:color="auto"/>
        <w:bottom w:val="none" w:sz="0" w:space="0" w:color="auto"/>
        <w:right w:val="none" w:sz="0" w:space="0" w:color="auto"/>
      </w:divBdr>
      <w:divsChild>
        <w:div w:id="1397053342">
          <w:marLeft w:val="720"/>
          <w:marRight w:val="0"/>
          <w:marTop w:val="0"/>
          <w:marBottom w:val="0"/>
          <w:divBdr>
            <w:top w:val="none" w:sz="0" w:space="0" w:color="auto"/>
            <w:left w:val="none" w:sz="0" w:space="0" w:color="auto"/>
            <w:bottom w:val="none" w:sz="0" w:space="0" w:color="auto"/>
            <w:right w:val="none" w:sz="0" w:space="0" w:color="auto"/>
          </w:divBdr>
        </w:div>
      </w:divsChild>
    </w:div>
    <w:div w:id="1496453998">
      <w:bodyDiv w:val="1"/>
      <w:marLeft w:val="0"/>
      <w:marRight w:val="0"/>
      <w:marTop w:val="0"/>
      <w:marBottom w:val="0"/>
      <w:divBdr>
        <w:top w:val="none" w:sz="0" w:space="0" w:color="auto"/>
        <w:left w:val="none" w:sz="0" w:space="0" w:color="auto"/>
        <w:bottom w:val="none" w:sz="0" w:space="0" w:color="auto"/>
        <w:right w:val="none" w:sz="0" w:space="0" w:color="auto"/>
      </w:divBdr>
    </w:div>
    <w:div w:id="1499689193">
      <w:bodyDiv w:val="1"/>
      <w:marLeft w:val="0"/>
      <w:marRight w:val="0"/>
      <w:marTop w:val="0"/>
      <w:marBottom w:val="0"/>
      <w:divBdr>
        <w:top w:val="none" w:sz="0" w:space="0" w:color="auto"/>
        <w:left w:val="none" w:sz="0" w:space="0" w:color="auto"/>
        <w:bottom w:val="none" w:sz="0" w:space="0" w:color="auto"/>
        <w:right w:val="none" w:sz="0" w:space="0" w:color="auto"/>
      </w:divBdr>
    </w:div>
    <w:div w:id="1504273532">
      <w:bodyDiv w:val="1"/>
      <w:marLeft w:val="0"/>
      <w:marRight w:val="0"/>
      <w:marTop w:val="0"/>
      <w:marBottom w:val="0"/>
      <w:divBdr>
        <w:top w:val="none" w:sz="0" w:space="0" w:color="auto"/>
        <w:left w:val="none" w:sz="0" w:space="0" w:color="auto"/>
        <w:bottom w:val="none" w:sz="0" w:space="0" w:color="auto"/>
        <w:right w:val="none" w:sz="0" w:space="0" w:color="auto"/>
      </w:divBdr>
    </w:div>
    <w:div w:id="1534657178">
      <w:bodyDiv w:val="1"/>
      <w:marLeft w:val="0"/>
      <w:marRight w:val="0"/>
      <w:marTop w:val="0"/>
      <w:marBottom w:val="0"/>
      <w:divBdr>
        <w:top w:val="none" w:sz="0" w:space="0" w:color="auto"/>
        <w:left w:val="none" w:sz="0" w:space="0" w:color="auto"/>
        <w:bottom w:val="none" w:sz="0" w:space="0" w:color="auto"/>
        <w:right w:val="none" w:sz="0" w:space="0" w:color="auto"/>
      </w:divBdr>
    </w:div>
    <w:div w:id="1538665944">
      <w:bodyDiv w:val="1"/>
      <w:marLeft w:val="0"/>
      <w:marRight w:val="0"/>
      <w:marTop w:val="0"/>
      <w:marBottom w:val="0"/>
      <w:divBdr>
        <w:top w:val="none" w:sz="0" w:space="0" w:color="auto"/>
        <w:left w:val="none" w:sz="0" w:space="0" w:color="auto"/>
        <w:bottom w:val="none" w:sz="0" w:space="0" w:color="auto"/>
        <w:right w:val="none" w:sz="0" w:space="0" w:color="auto"/>
      </w:divBdr>
    </w:div>
    <w:div w:id="1705866607">
      <w:bodyDiv w:val="1"/>
      <w:marLeft w:val="0"/>
      <w:marRight w:val="0"/>
      <w:marTop w:val="0"/>
      <w:marBottom w:val="0"/>
      <w:divBdr>
        <w:top w:val="none" w:sz="0" w:space="0" w:color="auto"/>
        <w:left w:val="none" w:sz="0" w:space="0" w:color="auto"/>
        <w:bottom w:val="none" w:sz="0" w:space="0" w:color="auto"/>
        <w:right w:val="none" w:sz="0" w:space="0" w:color="auto"/>
      </w:divBdr>
      <w:divsChild>
        <w:div w:id="267199510">
          <w:marLeft w:val="720"/>
          <w:marRight w:val="0"/>
          <w:marTop w:val="0"/>
          <w:marBottom w:val="0"/>
          <w:divBdr>
            <w:top w:val="none" w:sz="0" w:space="0" w:color="auto"/>
            <w:left w:val="none" w:sz="0" w:space="0" w:color="auto"/>
            <w:bottom w:val="none" w:sz="0" w:space="0" w:color="auto"/>
            <w:right w:val="none" w:sz="0" w:space="0" w:color="auto"/>
          </w:divBdr>
        </w:div>
        <w:div w:id="1354070301">
          <w:marLeft w:val="1166"/>
          <w:marRight w:val="0"/>
          <w:marTop w:val="0"/>
          <w:marBottom w:val="0"/>
          <w:divBdr>
            <w:top w:val="none" w:sz="0" w:space="0" w:color="auto"/>
            <w:left w:val="none" w:sz="0" w:space="0" w:color="auto"/>
            <w:bottom w:val="none" w:sz="0" w:space="0" w:color="auto"/>
            <w:right w:val="none" w:sz="0" w:space="0" w:color="auto"/>
          </w:divBdr>
        </w:div>
        <w:div w:id="410929190">
          <w:marLeft w:val="1166"/>
          <w:marRight w:val="0"/>
          <w:marTop w:val="0"/>
          <w:marBottom w:val="0"/>
          <w:divBdr>
            <w:top w:val="none" w:sz="0" w:space="0" w:color="auto"/>
            <w:left w:val="none" w:sz="0" w:space="0" w:color="auto"/>
            <w:bottom w:val="none" w:sz="0" w:space="0" w:color="auto"/>
            <w:right w:val="none" w:sz="0" w:space="0" w:color="auto"/>
          </w:divBdr>
        </w:div>
        <w:div w:id="397704240">
          <w:marLeft w:val="1166"/>
          <w:marRight w:val="0"/>
          <w:marTop w:val="0"/>
          <w:marBottom w:val="0"/>
          <w:divBdr>
            <w:top w:val="none" w:sz="0" w:space="0" w:color="auto"/>
            <w:left w:val="none" w:sz="0" w:space="0" w:color="auto"/>
            <w:bottom w:val="none" w:sz="0" w:space="0" w:color="auto"/>
            <w:right w:val="none" w:sz="0" w:space="0" w:color="auto"/>
          </w:divBdr>
        </w:div>
        <w:div w:id="1417821201">
          <w:marLeft w:val="1166"/>
          <w:marRight w:val="0"/>
          <w:marTop w:val="0"/>
          <w:marBottom w:val="0"/>
          <w:divBdr>
            <w:top w:val="none" w:sz="0" w:space="0" w:color="auto"/>
            <w:left w:val="none" w:sz="0" w:space="0" w:color="auto"/>
            <w:bottom w:val="none" w:sz="0" w:space="0" w:color="auto"/>
            <w:right w:val="none" w:sz="0" w:space="0" w:color="auto"/>
          </w:divBdr>
        </w:div>
        <w:div w:id="18942216">
          <w:marLeft w:val="1166"/>
          <w:marRight w:val="0"/>
          <w:marTop w:val="0"/>
          <w:marBottom w:val="0"/>
          <w:divBdr>
            <w:top w:val="none" w:sz="0" w:space="0" w:color="auto"/>
            <w:left w:val="none" w:sz="0" w:space="0" w:color="auto"/>
            <w:bottom w:val="none" w:sz="0" w:space="0" w:color="auto"/>
            <w:right w:val="none" w:sz="0" w:space="0" w:color="auto"/>
          </w:divBdr>
        </w:div>
        <w:div w:id="1143810633">
          <w:marLeft w:val="1166"/>
          <w:marRight w:val="0"/>
          <w:marTop w:val="0"/>
          <w:marBottom w:val="0"/>
          <w:divBdr>
            <w:top w:val="none" w:sz="0" w:space="0" w:color="auto"/>
            <w:left w:val="none" w:sz="0" w:space="0" w:color="auto"/>
            <w:bottom w:val="none" w:sz="0" w:space="0" w:color="auto"/>
            <w:right w:val="none" w:sz="0" w:space="0" w:color="auto"/>
          </w:divBdr>
        </w:div>
        <w:div w:id="137038143">
          <w:marLeft w:val="1166"/>
          <w:marRight w:val="0"/>
          <w:marTop w:val="0"/>
          <w:marBottom w:val="0"/>
          <w:divBdr>
            <w:top w:val="none" w:sz="0" w:space="0" w:color="auto"/>
            <w:left w:val="none" w:sz="0" w:space="0" w:color="auto"/>
            <w:bottom w:val="none" w:sz="0" w:space="0" w:color="auto"/>
            <w:right w:val="none" w:sz="0" w:space="0" w:color="auto"/>
          </w:divBdr>
        </w:div>
        <w:div w:id="1885750873">
          <w:marLeft w:val="1166"/>
          <w:marRight w:val="0"/>
          <w:marTop w:val="0"/>
          <w:marBottom w:val="0"/>
          <w:divBdr>
            <w:top w:val="none" w:sz="0" w:space="0" w:color="auto"/>
            <w:left w:val="none" w:sz="0" w:space="0" w:color="auto"/>
            <w:bottom w:val="none" w:sz="0" w:space="0" w:color="auto"/>
            <w:right w:val="none" w:sz="0" w:space="0" w:color="auto"/>
          </w:divBdr>
        </w:div>
      </w:divsChild>
    </w:div>
    <w:div w:id="1734503115">
      <w:bodyDiv w:val="1"/>
      <w:marLeft w:val="0"/>
      <w:marRight w:val="0"/>
      <w:marTop w:val="0"/>
      <w:marBottom w:val="0"/>
      <w:divBdr>
        <w:top w:val="none" w:sz="0" w:space="0" w:color="auto"/>
        <w:left w:val="none" w:sz="0" w:space="0" w:color="auto"/>
        <w:bottom w:val="none" w:sz="0" w:space="0" w:color="auto"/>
        <w:right w:val="none" w:sz="0" w:space="0" w:color="auto"/>
      </w:divBdr>
    </w:div>
    <w:div w:id="1774589442">
      <w:bodyDiv w:val="1"/>
      <w:marLeft w:val="0"/>
      <w:marRight w:val="0"/>
      <w:marTop w:val="0"/>
      <w:marBottom w:val="0"/>
      <w:divBdr>
        <w:top w:val="none" w:sz="0" w:space="0" w:color="auto"/>
        <w:left w:val="none" w:sz="0" w:space="0" w:color="auto"/>
        <w:bottom w:val="none" w:sz="0" w:space="0" w:color="auto"/>
        <w:right w:val="none" w:sz="0" w:space="0" w:color="auto"/>
      </w:divBdr>
    </w:div>
    <w:div w:id="1843354099">
      <w:bodyDiv w:val="1"/>
      <w:marLeft w:val="0"/>
      <w:marRight w:val="0"/>
      <w:marTop w:val="0"/>
      <w:marBottom w:val="0"/>
      <w:divBdr>
        <w:top w:val="none" w:sz="0" w:space="0" w:color="auto"/>
        <w:left w:val="none" w:sz="0" w:space="0" w:color="auto"/>
        <w:bottom w:val="none" w:sz="0" w:space="0" w:color="auto"/>
        <w:right w:val="none" w:sz="0" w:space="0" w:color="auto"/>
      </w:divBdr>
    </w:div>
    <w:div w:id="2110807961">
      <w:bodyDiv w:val="1"/>
      <w:marLeft w:val="0"/>
      <w:marRight w:val="0"/>
      <w:marTop w:val="0"/>
      <w:marBottom w:val="0"/>
      <w:divBdr>
        <w:top w:val="none" w:sz="0" w:space="0" w:color="auto"/>
        <w:left w:val="none" w:sz="0" w:space="0" w:color="auto"/>
        <w:bottom w:val="none" w:sz="0" w:space="0" w:color="auto"/>
        <w:right w:val="none" w:sz="0" w:space="0" w:color="auto"/>
      </w:divBdr>
    </w:div>
    <w:div w:id="21344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2BAB1B33B54DCB8FF57C5F8080F8AB"/>
        <w:category>
          <w:name w:val="General"/>
          <w:gallery w:val="placeholder"/>
        </w:category>
        <w:types>
          <w:type w:val="bbPlcHdr"/>
        </w:types>
        <w:behaviors>
          <w:behavior w:val="content"/>
        </w:behaviors>
        <w:guid w:val="{31F70BF1-B7E6-44B9-AFCB-3DD17435F491}"/>
      </w:docPartPr>
      <w:docPartBody>
        <w:p w:rsidR="003A3B06" w:rsidRDefault="003C5B40" w:rsidP="003C5B40">
          <w:pPr>
            <w:pStyle w:val="4C2BAB1B33B54DCB8FF57C5F8080F8AB"/>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40"/>
    <w:rsid w:val="00050E2A"/>
    <w:rsid w:val="00062642"/>
    <w:rsid w:val="000F5556"/>
    <w:rsid w:val="00177F92"/>
    <w:rsid w:val="001A43DA"/>
    <w:rsid w:val="001D501B"/>
    <w:rsid w:val="0020013F"/>
    <w:rsid w:val="002054F2"/>
    <w:rsid w:val="002431A1"/>
    <w:rsid w:val="00262F3E"/>
    <w:rsid w:val="00375658"/>
    <w:rsid w:val="003A3B06"/>
    <w:rsid w:val="003C4D37"/>
    <w:rsid w:val="003C5B40"/>
    <w:rsid w:val="004402F8"/>
    <w:rsid w:val="0045681D"/>
    <w:rsid w:val="004C7A12"/>
    <w:rsid w:val="004D2630"/>
    <w:rsid w:val="005120A7"/>
    <w:rsid w:val="005532B1"/>
    <w:rsid w:val="00651AE5"/>
    <w:rsid w:val="00673841"/>
    <w:rsid w:val="00814258"/>
    <w:rsid w:val="00907704"/>
    <w:rsid w:val="009520CD"/>
    <w:rsid w:val="009E2402"/>
    <w:rsid w:val="009E7A64"/>
    <w:rsid w:val="00A44F7F"/>
    <w:rsid w:val="00A47F19"/>
    <w:rsid w:val="00A51762"/>
    <w:rsid w:val="00A77012"/>
    <w:rsid w:val="00B11E60"/>
    <w:rsid w:val="00B827FE"/>
    <w:rsid w:val="00BD498C"/>
    <w:rsid w:val="00BE3A2A"/>
    <w:rsid w:val="00BF2D7B"/>
    <w:rsid w:val="00C542C1"/>
    <w:rsid w:val="00D63621"/>
    <w:rsid w:val="00E17580"/>
    <w:rsid w:val="00F0349B"/>
    <w:rsid w:val="00F84B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2BAB1B33B54DCB8FF57C5F8080F8AB">
    <w:name w:val="4C2BAB1B33B54DCB8FF57C5F8080F8AB"/>
    <w:rsid w:val="003C5B40"/>
  </w:style>
  <w:style w:type="paragraph" w:customStyle="1" w:styleId="D74075345A6346F0AA8B07B47F02827E">
    <w:name w:val="D74075345A6346F0AA8B07B47F02827E"/>
    <w:rsid w:val="003C5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39223-3303-4FA9-BFDC-5A5F670E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STATUS OF RECORDS REVIEW REPORT AS AT 31 MARCH 2020</vt:lpstr>
    </vt:vector>
  </TitlesOfParts>
  <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RECORDS REVIEW REPORT AS AT 31 MARCH 2020</dc:title>
  <dc:subject>State of Financial miscondy</dc:subject>
  <dc:creator>Setuka Nkadimeng</dc:creator>
  <cp:keywords/>
  <dc:description/>
  <cp:lastModifiedBy>Lindiwe Ntsabo</cp:lastModifiedBy>
  <cp:revision>2</cp:revision>
  <cp:lastPrinted>2019-02-20T10:34:00Z</cp:lastPrinted>
  <dcterms:created xsi:type="dcterms:W3CDTF">2020-05-12T07:25:00Z</dcterms:created>
  <dcterms:modified xsi:type="dcterms:W3CDTF">2020-05-12T07:25:00Z</dcterms:modified>
</cp:coreProperties>
</file>