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468" w:rsidRDefault="00D02468" w:rsidP="00D02468">
      <w:pPr>
        <w:spacing w:line="360" w:lineRule="auto"/>
        <w:jc w:val="both"/>
        <w:rPr>
          <w:rFonts w:ascii="Century Gothic" w:hAnsi="Century Gothic"/>
          <w:b/>
        </w:rPr>
      </w:pPr>
      <w:bookmarkStart w:id="0" w:name="_GoBack"/>
      <w:bookmarkEnd w:id="0"/>
      <w:r w:rsidRPr="0059652F">
        <w:rPr>
          <w:rFonts w:ascii="Century Gothic" w:hAnsi="Century Gothic"/>
          <w:b/>
        </w:rPr>
        <w:t>PFS17-18-0-000028</w:t>
      </w:r>
      <w:r w:rsidRPr="0059652F">
        <w:rPr>
          <w:rFonts w:ascii="Century Gothic" w:hAnsi="Century Gothic"/>
          <w:b/>
        </w:rPr>
        <w:tab/>
      </w:r>
    </w:p>
    <w:p w:rsidR="00D02468" w:rsidRDefault="00D02468" w:rsidP="00D02468">
      <w:pPr>
        <w:spacing w:line="360" w:lineRule="auto"/>
        <w:jc w:val="both"/>
        <w:rPr>
          <w:rFonts w:ascii="Century Gothic" w:hAnsi="Century Gothic"/>
          <w:b/>
        </w:rPr>
      </w:pPr>
      <w:r>
        <w:rPr>
          <w:rFonts w:ascii="Century Gothic" w:hAnsi="Century Gothic"/>
          <w:b/>
        </w:rPr>
        <w:t xml:space="preserve">Nature of allegation: </w:t>
      </w:r>
      <w:r w:rsidRPr="0059652F">
        <w:rPr>
          <w:rFonts w:ascii="Century Gothic" w:hAnsi="Century Gothic"/>
          <w:b/>
        </w:rPr>
        <w:t>Al</w:t>
      </w:r>
      <w:r>
        <w:rPr>
          <w:rFonts w:ascii="Century Gothic" w:hAnsi="Century Gothic"/>
          <w:b/>
        </w:rPr>
        <w:t>leged Corruption</w:t>
      </w:r>
    </w:p>
    <w:p w:rsidR="00D02468" w:rsidRDefault="00D02468" w:rsidP="00D02468">
      <w:pPr>
        <w:spacing w:line="360" w:lineRule="auto"/>
        <w:jc w:val="both"/>
        <w:rPr>
          <w:rFonts w:ascii="Century Gothic" w:hAnsi="Century Gothic"/>
          <w:b/>
        </w:rPr>
      </w:pPr>
      <w:r>
        <w:rPr>
          <w:rFonts w:ascii="Century Gothic" w:hAnsi="Century Gothic"/>
          <w:b/>
        </w:rPr>
        <w:t>Source: whistle-blower</w:t>
      </w:r>
    </w:p>
    <w:p w:rsidR="00D02468" w:rsidRDefault="00D02468" w:rsidP="00D02468">
      <w:pPr>
        <w:spacing w:line="360" w:lineRule="auto"/>
        <w:jc w:val="both"/>
        <w:rPr>
          <w:rFonts w:ascii="Century Gothic" w:hAnsi="Century Gothic"/>
          <w:b/>
        </w:rPr>
      </w:pPr>
      <w:r w:rsidRPr="0059652F">
        <w:rPr>
          <w:rFonts w:ascii="Century Gothic" w:hAnsi="Century Gothic"/>
          <w:b/>
        </w:rPr>
        <w:t>Investigation outcome:</w:t>
      </w:r>
      <w:r>
        <w:rPr>
          <w:rFonts w:ascii="Century Gothic" w:hAnsi="Century Gothic"/>
          <w:b/>
        </w:rPr>
        <w:t xml:space="preserve"> fraud and/or corruption (case reported to SAPS)</w:t>
      </w:r>
    </w:p>
    <w:p w:rsidR="00D02468" w:rsidRPr="00AC3763" w:rsidRDefault="00D02468" w:rsidP="00D02468">
      <w:pPr>
        <w:spacing w:line="360" w:lineRule="auto"/>
        <w:jc w:val="both"/>
        <w:rPr>
          <w:rFonts w:ascii="Century Gothic" w:hAnsi="Century Gothic"/>
        </w:rPr>
      </w:pPr>
      <w:r w:rsidRPr="00AC3763">
        <w:rPr>
          <w:rFonts w:ascii="Century Gothic" w:hAnsi="Century Gothic"/>
        </w:rPr>
        <w:t>P</w:t>
      </w:r>
      <w:r w:rsidR="005437C1">
        <w:rPr>
          <w:rFonts w:ascii="Century Gothic" w:hAnsi="Century Gothic"/>
        </w:rPr>
        <w:t xml:space="preserve">rovincial </w:t>
      </w:r>
      <w:r w:rsidRPr="00AC3763">
        <w:rPr>
          <w:rFonts w:ascii="Century Gothic" w:hAnsi="Century Gothic"/>
        </w:rPr>
        <w:t>F</w:t>
      </w:r>
      <w:r w:rsidR="005437C1">
        <w:rPr>
          <w:rFonts w:ascii="Century Gothic" w:hAnsi="Century Gothic"/>
        </w:rPr>
        <w:t xml:space="preserve">orensic </w:t>
      </w:r>
      <w:r w:rsidRPr="00AC3763">
        <w:rPr>
          <w:rFonts w:ascii="Century Gothic" w:hAnsi="Century Gothic"/>
        </w:rPr>
        <w:t>S</w:t>
      </w:r>
      <w:r w:rsidR="005437C1">
        <w:rPr>
          <w:rFonts w:ascii="Century Gothic" w:hAnsi="Century Gothic"/>
        </w:rPr>
        <w:t>ervices (PFS)</w:t>
      </w:r>
      <w:r w:rsidRPr="00AC3763">
        <w:rPr>
          <w:rFonts w:ascii="Century Gothic" w:hAnsi="Century Gothic"/>
        </w:rPr>
        <w:t xml:space="preserve"> received an allegation from a whistle-blower of possible unethical and</w:t>
      </w:r>
      <w:r>
        <w:rPr>
          <w:rFonts w:ascii="Century Gothic" w:hAnsi="Century Gothic"/>
        </w:rPr>
        <w:t xml:space="preserve"> corrupt conduct by an official</w:t>
      </w:r>
      <w:r w:rsidRPr="00AC3763">
        <w:rPr>
          <w:rFonts w:ascii="Century Gothic" w:hAnsi="Century Gothic"/>
        </w:rPr>
        <w:t xml:space="preserve">. It was alleged that </w:t>
      </w:r>
      <w:r w:rsidRPr="00763A55">
        <w:rPr>
          <w:rFonts w:ascii="Century Gothic" w:hAnsi="Century Gothic"/>
          <w:color w:val="000000" w:themeColor="text1"/>
        </w:rPr>
        <w:t xml:space="preserve">a senior </w:t>
      </w:r>
      <w:r w:rsidRPr="00AC3763">
        <w:rPr>
          <w:rFonts w:ascii="Century Gothic" w:hAnsi="Century Gothic"/>
        </w:rPr>
        <w:t>official approached a service provider (“Service Provider A”) to solicit a bribe subsequent to being awarded a contract.</w:t>
      </w:r>
    </w:p>
    <w:p w:rsidR="00D02468" w:rsidRPr="00AC3763" w:rsidRDefault="00D02468" w:rsidP="00D02468">
      <w:pPr>
        <w:spacing w:line="360" w:lineRule="auto"/>
        <w:jc w:val="both"/>
        <w:rPr>
          <w:rFonts w:ascii="Century Gothic" w:hAnsi="Century Gothic"/>
        </w:rPr>
      </w:pPr>
      <w:r w:rsidRPr="00AC3763">
        <w:rPr>
          <w:rFonts w:ascii="Century Gothic" w:hAnsi="Century Gothic"/>
        </w:rPr>
        <w:t xml:space="preserve">The investigation revealed that this official approached “Service Provider A” with a request to use resources of a previous service provider (“Service Provider B”) whose contract had ended with the Western Cape Government, which “Service Provider A” agreed to. The whistle-blower reported the incident to PFS shortly after the official approached and invoiced “Service Provider A” for commission.  PFS further established during the investigation that the official chaired the Bid Specification Committee and altered official procurement documents which resulted in an approval of a R10,054,800.00 contract, rather than the initial R4,309,200.00 approved. This led to an order being issued to “Service Provider A” for R10,054,800.00. </w:t>
      </w:r>
    </w:p>
    <w:p w:rsidR="00D02468" w:rsidRDefault="00D02468" w:rsidP="00D02468">
      <w:pPr>
        <w:spacing w:line="360" w:lineRule="auto"/>
        <w:jc w:val="both"/>
        <w:rPr>
          <w:rFonts w:ascii="Century Gothic" w:hAnsi="Century Gothic"/>
        </w:rPr>
      </w:pPr>
      <w:r w:rsidRPr="00AC3763">
        <w:rPr>
          <w:rFonts w:ascii="Century Gothic" w:hAnsi="Century Gothic"/>
        </w:rPr>
        <w:t xml:space="preserve">During the course of the investigation, PFS registered a criminal matter at the Directorate for Priority Investigations (Hawks) for further investigation.  </w:t>
      </w:r>
    </w:p>
    <w:p w:rsidR="00D02468" w:rsidRPr="00AC3763" w:rsidRDefault="00D02468" w:rsidP="00D02468">
      <w:pPr>
        <w:spacing w:line="360" w:lineRule="auto"/>
        <w:jc w:val="both"/>
        <w:rPr>
          <w:rFonts w:ascii="Century Gothic" w:hAnsi="Century Gothic"/>
        </w:rPr>
      </w:pPr>
      <w:r>
        <w:rPr>
          <w:rFonts w:ascii="Century Gothic" w:hAnsi="Century Gothic"/>
        </w:rPr>
        <w:t>The official</w:t>
      </w:r>
      <w:r w:rsidRPr="00AC3763">
        <w:rPr>
          <w:rFonts w:ascii="Century Gothic" w:hAnsi="Century Gothic"/>
        </w:rPr>
        <w:t xml:space="preserve"> terminated his employment with the WCG, prior to the expiration of his employment contract in April 2018. </w:t>
      </w:r>
    </w:p>
    <w:p w:rsidR="00D02468" w:rsidRPr="00AC3763" w:rsidRDefault="00D02468" w:rsidP="00D02468">
      <w:pPr>
        <w:spacing w:line="360" w:lineRule="auto"/>
        <w:jc w:val="both"/>
        <w:rPr>
          <w:rFonts w:ascii="Century Gothic" w:hAnsi="Century Gothic"/>
        </w:rPr>
      </w:pPr>
      <w:r w:rsidRPr="00AC3763">
        <w:rPr>
          <w:rFonts w:ascii="Century Gothic" w:hAnsi="Century Gothic"/>
        </w:rPr>
        <w:t xml:space="preserve">PFS made the following recommendations: </w:t>
      </w:r>
    </w:p>
    <w:p w:rsidR="00D02468" w:rsidRPr="00AC3763" w:rsidRDefault="00D02468" w:rsidP="00D02468">
      <w:pPr>
        <w:spacing w:line="360" w:lineRule="auto"/>
        <w:jc w:val="both"/>
        <w:rPr>
          <w:rFonts w:ascii="Century Gothic" w:hAnsi="Century Gothic"/>
        </w:rPr>
      </w:pPr>
      <w:r w:rsidRPr="00AC3763">
        <w:rPr>
          <w:rFonts w:ascii="Century Gothic" w:hAnsi="Century Gothic"/>
        </w:rPr>
        <w:t>•</w:t>
      </w:r>
      <w:r w:rsidRPr="00AC3763">
        <w:rPr>
          <w:rFonts w:ascii="Century Gothic" w:hAnsi="Century Gothic"/>
        </w:rPr>
        <w:tab/>
        <w:t xml:space="preserve">That the Accounting Officer consider whether or not the Department, as a result of the </w:t>
      </w:r>
      <w:r w:rsidRPr="00DB6BF3">
        <w:rPr>
          <w:rFonts w:ascii="Century Gothic" w:hAnsi="Century Gothic"/>
          <w:i/>
        </w:rPr>
        <w:t>prima facie</w:t>
      </w:r>
      <w:r w:rsidRPr="00AC3763">
        <w:rPr>
          <w:rFonts w:ascii="Century Gothic" w:hAnsi="Century Gothic"/>
        </w:rPr>
        <w:t xml:space="preserve"> forgery and uttering by the official was deprived of value for money, which may necessitate the institution of a civil claim and/or whether irregular expenditure arose from these actions. </w:t>
      </w:r>
      <w:r>
        <w:rPr>
          <w:rFonts w:ascii="Century Gothic" w:hAnsi="Century Gothic"/>
        </w:rPr>
        <w:t xml:space="preserve"> (</w:t>
      </w:r>
      <w:r w:rsidRPr="00763A55">
        <w:rPr>
          <w:rFonts w:ascii="Century Gothic" w:hAnsi="Century Gothic"/>
          <w:color w:val="000000" w:themeColor="text1"/>
        </w:rPr>
        <w:t xml:space="preserve">DotP responded that </w:t>
      </w:r>
      <w:r>
        <w:rPr>
          <w:rFonts w:ascii="Century Gothic" w:hAnsi="Century Gothic"/>
          <w:color w:val="000000" w:themeColor="text1"/>
        </w:rPr>
        <w:t>t</w:t>
      </w:r>
      <w:r w:rsidRPr="00763A55">
        <w:rPr>
          <w:rFonts w:ascii="Century Gothic" w:hAnsi="Century Gothic"/>
          <w:color w:val="000000" w:themeColor="text1"/>
        </w:rPr>
        <w:t>he Dep</w:t>
      </w:r>
      <w:r>
        <w:rPr>
          <w:rFonts w:ascii="Century Gothic" w:hAnsi="Century Gothic"/>
          <w:color w:val="000000" w:themeColor="text1"/>
        </w:rPr>
        <w:t>ar</w:t>
      </w:r>
      <w:r w:rsidRPr="00763A55">
        <w:rPr>
          <w:rFonts w:ascii="Century Gothic" w:hAnsi="Century Gothic"/>
          <w:color w:val="000000" w:themeColor="text1"/>
        </w:rPr>
        <w:t>t</w:t>
      </w:r>
      <w:r>
        <w:rPr>
          <w:rFonts w:ascii="Century Gothic" w:hAnsi="Century Gothic"/>
          <w:color w:val="000000" w:themeColor="text1"/>
        </w:rPr>
        <w:t>ment</w:t>
      </w:r>
      <w:r w:rsidRPr="00763A55">
        <w:rPr>
          <w:rFonts w:ascii="Century Gothic" w:hAnsi="Century Gothic"/>
          <w:color w:val="000000" w:themeColor="text1"/>
        </w:rPr>
        <w:t xml:space="preserve"> conducted an internal </w:t>
      </w:r>
      <w:r w:rsidRPr="00763A55">
        <w:rPr>
          <w:rFonts w:ascii="Century Gothic" w:hAnsi="Century Gothic"/>
          <w:color w:val="000000" w:themeColor="text1"/>
        </w:rPr>
        <w:lastRenderedPageBreak/>
        <w:t>investigation and concluded that the expenditure does not amount to irregular expenditure</w:t>
      </w:r>
      <w:r>
        <w:rPr>
          <w:rFonts w:ascii="Century Gothic" w:hAnsi="Century Gothic"/>
          <w:color w:val="000000" w:themeColor="text1"/>
        </w:rPr>
        <w:t>)</w:t>
      </w:r>
      <w:r w:rsidRPr="00763A55">
        <w:rPr>
          <w:rFonts w:ascii="Century Gothic" w:hAnsi="Century Gothic"/>
          <w:color w:val="000000" w:themeColor="text1"/>
        </w:rPr>
        <w:t xml:space="preserve">.  </w:t>
      </w:r>
    </w:p>
    <w:p w:rsidR="00D02468" w:rsidRPr="006E58E2" w:rsidRDefault="00D02468" w:rsidP="00D02468">
      <w:pPr>
        <w:spacing w:line="360" w:lineRule="auto"/>
        <w:jc w:val="both"/>
        <w:rPr>
          <w:rFonts w:ascii="Century Gothic" w:hAnsi="Century Gothic"/>
        </w:rPr>
      </w:pPr>
      <w:r w:rsidRPr="00AC3763">
        <w:rPr>
          <w:rFonts w:ascii="Century Gothic" w:hAnsi="Century Gothic"/>
        </w:rPr>
        <w:t>•</w:t>
      </w:r>
      <w:r w:rsidRPr="00AC3763">
        <w:rPr>
          <w:rFonts w:ascii="Century Gothic" w:hAnsi="Century Gothic"/>
        </w:rPr>
        <w:tab/>
        <w:t xml:space="preserve">In connection with different interpretations highlighted in the report, that Legal Service provide advice and/ or clarity regarding the correct process to be followed when goods or service are procured by means of a “piggy-back” process. Such advice should include the process to be followed when a government contract is expanded, varied, amended or extended as the DotP Accounting Officer’s Systems does not reflect any.  </w:t>
      </w:r>
      <w:r>
        <w:rPr>
          <w:rFonts w:ascii="Century Gothic" w:hAnsi="Century Gothic"/>
        </w:rPr>
        <w:t>(DotP responded that it was</w:t>
      </w:r>
      <w:r w:rsidRPr="006E58E2">
        <w:rPr>
          <w:rFonts w:ascii="Century Gothic" w:hAnsi="Century Gothic"/>
        </w:rPr>
        <w:t xml:space="preserve"> alerted to a draft National Treasury Instruction (NTI) on piggy-backing, which was submitted to Provincial Treasury for comment.</w:t>
      </w:r>
      <w:r>
        <w:rPr>
          <w:rFonts w:ascii="Century Gothic" w:hAnsi="Century Gothic"/>
        </w:rPr>
        <w:t xml:space="preserve"> DotP</w:t>
      </w:r>
      <w:r w:rsidRPr="006E58E2">
        <w:rPr>
          <w:rFonts w:ascii="Century Gothic" w:hAnsi="Century Gothic"/>
        </w:rPr>
        <w:t xml:space="preserve"> commented on the draft instruction, in conjunction with Provincial Treasury. </w:t>
      </w:r>
      <w:r>
        <w:rPr>
          <w:rFonts w:ascii="Century Gothic" w:hAnsi="Century Gothic"/>
        </w:rPr>
        <w:t xml:space="preserve">The implementation of the </w:t>
      </w:r>
      <w:r w:rsidRPr="006E58E2">
        <w:rPr>
          <w:rFonts w:ascii="Century Gothic" w:hAnsi="Century Gothic"/>
        </w:rPr>
        <w:t xml:space="preserve">recommendation </w:t>
      </w:r>
      <w:r>
        <w:rPr>
          <w:rFonts w:ascii="Century Gothic" w:hAnsi="Century Gothic"/>
        </w:rPr>
        <w:t xml:space="preserve">will </w:t>
      </w:r>
      <w:r w:rsidRPr="006E58E2">
        <w:rPr>
          <w:rFonts w:ascii="Century Gothic" w:hAnsi="Century Gothic"/>
        </w:rPr>
        <w:t>be held in abeyance pending receipt of the final NTI, which will determine the rules that apply to piggy-backing going forward.</w:t>
      </w:r>
      <w:r>
        <w:rPr>
          <w:rFonts w:ascii="Century Gothic" w:hAnsi="Century Gothic"/>
        </w:rPr>
        <w:t>)</w:t>
      </w:r>
      <w:r w:rsidRPr="006E58E2">
        <w:rPr>
          <w:rFonts w:ascii="Century Gothic" w:hAnsi="Century Gothic"/>
        </w:rPr>
        <w:t xml:space="preserve"> </w:t>
      </w:r>
    </w:p>
    <w:p w:rsidR="00E13DAD" w:rsidRDefault="00D02468" w:rsidP="003D12B8">
      <w:pPr>
        <w:spacing w:line="360" w:lineRule="auto"/>
        <w:jc w:val="both"/>
      </w:pPr>
      <w:r w:rsidRPr="00AC3763">
        <w:rPr>
          <w:rFonts w:ascii="Century Gothic" w:hAnsi="Century Gothic"/>
        </w:rPr>
        <w:t>•</w:t>
      </w:r>
      <w:r w:rsidRPr="00AC3763">
        <w:rPr>
          <w:rFonts w:ascii="Century Gothic" w:hAnsi="Century Gothic"/>
        </w:rPr>
        <w:tab/>
        <w:t xml:space="preserve">That the Department implement a practice in which the minutes of the various procurement committees should depict all deliberations and that each page of the approved minutes and recommendations be signed by the Chairperson of the specific committee. </w:t>
      </w:r>
      <w:r>
        <w:rPr>
          <w:rFonts w:ascii="Century Gothic" w:hAnsi="Century Gothic"/>
        </w:rPr>
        <w:t>(DotP responded that SCM implemented the following: all minutes now include the full item / service description, quoted amount, quotation number, CEI Ditcom number and all members of the committee are to initial each page of the minutes, quotations that served before the committee and the BSC recommendation.)</w:t>
      </w:r>
    </w:p>
    <w:sectPr w:rsidR="00E13DA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7D6" w:rsidRDefault="004157D6" w:rsidP="005437C1">
      <w:pPr>
        <w:spacing w:after="0" w:line="240" w:lineRule="auto"/>
      </w:pPr>
      <w:r>
        <w:separator/>
      </w:r>
    </w:p>
  </w:endnote>
  <w:endnote w:type="continuationSeparator" w:id="0">
    <w:p w:rsidR="004157D6" w:rsidRDefault="004157D6" w:rsidP="0054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436976"/>
      <w:docPartObj>
        <w:docPartGallery w:val="Page Numbers (Bottom of Page)"/>
        <w:docPartUnique/>
      </w:docPartObj>
    </w:sdtPr>
    <w:sdtEndPr>
      <w:rPr>
        <w:noProof/>
      </w:rPr>
    </w:sdtEndPr>
    <w:sdtContent>
      <w:p w:rsidR="005437C1" w:rsidRDefault="005437C1">
        <w:pPr>
          <w:pStyle w:val="Footer"/>
          <w:jc w:val="right"/>
        </w:pPr>
        <w:r>
          <w:fldChar w:fldCharType="begin"/>
        </w:r>
        <w:r>
          <w:instrText xml:space="preserve"> PAGE   \* MERGEFORMAT </w:instrText>
        </w:r>
        <w:r>
          <w:fldChar w:fldCharType="separate"/>
        </w:r>
        <w:r w:rsidR="004157D6">
          <w:rPr>
            <w:noProof/>
          </w:rPr>
          <w:t>1</w:t>
        </w:r>
        <w:r>
          <w:rPr>
            <w:noProof/>
          </w:rPr>
          <w:fldChar w:fldCharType="end"/>
        </w:r>
      </w:p>
    </w:sdtContent>
  </w:sdt>
  <w:p w:rsidR="005437C1" w:rsidRDefault="00543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7D6" w:rsidRDefault="004157D6" w:rsidP="005437C1">
      <w:pPr>
        <w:spacing w:after="0" w:line="240" w:lineRule="auto"/>
      </w:pPr>
      <w:r>
        <w:separator/>
      </w:r>
    </w:p>
  </w:footnote>
  <w:footnote w:type="continuationSeparator" w:id="0">
    <w:p w:rsidR="004157D6" w:rsidRDefault="004157D6" w:rsidP="005437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68"/>
    <w:rsid w:val="00151BDB"/>
    <w:rsid w:val="003D12B8"/>
    <w:rsid w:val="004157D6"/>
    <w:rsid w:val="004350E3"/>
    <w:rsid w:val="00452294"/>
    <w:rsid w:val="00476612"/>
    <w:rsid w:val="005437C1"/>
    <w:rsid w:val="00BE5C72"/>
    <w:rsid w:val="00D02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B038E-33CE-463C-8E6F-EFD5D03A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02468"/>
    <w:pPr>
      <w:spacing w:after="200" w:line="276" w:lineRule="auto"/>
    </w:pPr>
    <w:rPr>
      <w:rFonts w:asciiTheme="minorHAnsi" w:hAnsiTheme="minorHAnsi"/>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7C1"/>
    <w:rPr>
      <w:rFonts w:asciiTheme="minorHAnsi" w:hAnsiTheme="minorHAnsi"/>
      <w:lang w:val="en-ZA"/>
    </w:rPr>
  </w:style>
  <w:style w:type="paragraph" w:styleId="Footer">
    <w:name w:val="footer"/>
    <w:basedOn w:val="Normal"/>
    <w:link w:val="FooterChar"/>
    <w:uiPriority w:val="99"/>
    <w:unhideWhenUsed/>
    <w:rsid w:val="00543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7C1"/>
    <w:rPr>
      <w:rFonts w:asciiTheme="minorHAnsi" w:hAnsiTheme="minorHAnsi"/>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Ruthven Janse van Rensburg</dc:creator>
  <cp:keywords/>
  <dc:description/>
  <cp:lastModifiedBy>Nozipho Maholwana</cp:lastModifiedBy>
  <cp:revision>2</cp:revision>
  <dcterms:created xsi:type="dcterms:W3CDTF">2020-04-28T10:25:00Z</dcterms:created>
  <dcterms:modified xsi:type="dcterms:W3CDTF">2020-04-28T10:25:00Z</dcterms:modified>
</cp:coreProperties>
</file>