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5C" w:rsidRPr="00043AEC" w:rsidRDefault="00043AEC" w:rsidP="009163CC">
      <w:pPr>
        <w:spacing w:after="0" w:line="360" w:lineRule="auto"/>
        <w:jc w:val="both"/>
        <w:rPr>
          <w:rFonts w:ascii="Times New Roman" w:hAnsi="Times New Roman"/>
          <w:b/>
          <w:sz w:val="28"/>
          <w:szCs w:val="28"/>
        </w:rPr>
      </w:pPr>
      <w:bookmarkStart w:id="0" w:name="_GoBack"/>
      <w:bookmarkEnd w:id="0"/>
      <w:r w:rsidRPr="00043AEC">
        <w:rPr>
          <w:rFonts w:ascii="Times New Roman" w:hAnsi="Times New Roman"/>
          <w:b/>
          <w:sz w:val="28"/>
          <w:szCs w:val="28"/>
        </w:rPr>
        <w:t xml:space="preserve">1. </w:t>
      </w:r>
      <w:r w:rsidR="00AC035C" w:rsidRPr="00043AEC">
        <w:rPr>
          <w:rFonts w:ascii="Times New Roman" w:hAnsi="Times New Roman"/>
          <w:b/>
          <w:sz w:val="28"/>
          <w:szCs w:val="28"/>
        </w:rPr>
        <w:t>REPORT OF THE STANDING COMMITTEE ON APPROPRIATIONS ON THE DIVISION OF REVENUE BILL [B</w:t>
      </w:r>
      <w:r w:rsidR="0069255D" w:rsidRPr="00043AEC">
        <w:rPr>
          <w:rFonts w:ascii="Times New Roman" w:hAnsi="Times New Roman"/>
          <w:b/>
          <w:sz w:val="28"/>
          <w:szCs w:val="28"/>
        </w:rPr>
        <w:t>3 –2020</w:t>
      </w:r>
      <w:r w:rsidR="00AC035C" w:rsidRPr="00043AEC">
        <w:rPr>
          <w:rFonts w:ascii="Times New Roman" w:hAnsi="Times New Roman"/>
          <w:b/>
          <w:sz w:val="28"/>
          <w:szCs w:val="28"/>
        </w:rPr>
        <w:t xml:space="preserve">] (NATIONAL ASSEMBLY </w:t>
      </w:r>
      <w:r w:rsidR="00E3369D" w:rsidRPr="00043AEC">
        <w:rPr>
          <w:rFonts w:ascii="Times New Roman" w:hAnsi="Times New Roman"/>
          <w:b/>
          <w:sz w:val="28"/>
          <w:szCs w:val="28"/>
        </w:rPr>
        <w:t>– SECTION</w:t>
      </w:r>
      <w:r w:rsidR="0069255D" w:rsidRPr="00043AEC">
        <w:rPr>
          <w:rFonts w:ascii="Times New Roman" w:hAnsi="Times New Roman"/>
          <w:b/>
          <w:sz w:val="28"/>
          <w:szCs w:val="28"/>
        </w:rPr>
        <w:t xml:space="preserve"> 76), </w:t>
      </w:r>
      <w:r w:rsidR="004F57A9" w:rsidRPr="00043AEC">
        <w:rPr>
          <w:rFonts w:ascii="Times New Roman" w:hAnsi="Times New Roman"/>
          <w:b/>
          <w:sz w:val="28"/>
          <w:szCs w:val="28"/>
        </w:rPr>
        <w:t>DATED 17</w:t>
      </w:r>
      <w:r w:rsidR="0069255D" w:rsidRPr="00043AEC">
        <w:rPr>
          <w:rFonts w:ascii="Times New Roman" w:hAnsi="Times New Roman"/>
          <w:b/>
          <w:sz w:val="28"/>
          <w:szCs w:val="28"/>
        </w:rPr>
        <w:t>MARCH 2020</w:t>
      </w:r>
    </w:p>
    <w:p w:rsidR="00AC035C" w:rsidRPr="007112B5" w:rsidRDefault="00AC035C" w:rsidP="009163CC">
      <w:pPr>
        <w:spacing w:after="0" w:line="360" w:lineRule="auto"/>
        <w:jc w:val="both"/>
        <w:rPr>
          <w:rFonts w:ascii="Times New Roman" w:hAnsi="Times New Roman"/>
          <w:b/>
          <w:sz w:val="24"/>
          <w:szCs w:val="24"/>
          <w:highlight w:val="yellow"/>
        </w:rPr>
      </w:pPr>
    </w:p>
    <w:p w:rsidR="00AC035C" w:rsidRPr="007112B5" w:rsidRDefault="00AC035C" w:rsidP="009163CC">
      <w:pPr>
        <w:autoSpaceDE w:val="0"/>
        <w:autoSpaceDN w:val="0"/>
        <w:adjustRightInd w:val="0"/>
        <w:spacing w:after="0" w:line="360" w:lineRule="auto"/>
        <w:jc w:val="both"/>
        <w:rPr>
          <w:rFonts w:ascii="Times New Roman" w:hAnsi="Times New Roman"/>
          <w:sz w:val="24"/>
          <w:szCs w:val="24"/>
        </w:rPr>
      </w:pPr>
      <w:r w:rsidRPr="007112B5">
        <w:rPr>
          <w:rFonts w:ascii="Times New Roman" w:hAnsi="Times New Roman"/>
          <w:sz w:val="24"/>
          <w:szCs w:val="24"/>
        </w:rPr>
        <w:t xml:space="preserve">The Standing Committee on Appropriations (the Committee), having considered the </w:t>
      </w:r>
      <w:r w:rsidRPr="007112B5">
        <w:rPr>
          <w:rFonts w:ascii="Times New Roman" w:hAnsi="Times New Roman"/>
          <w:b/>
          <w:bCs/>
          <w:i/>
          <w:iCs/>
          <w:sz w:val="24"/>
          <w:szCs w:val="24"/>
        </w:rPr>
        <w:t xml:space="preserve">Division of Revenue Bill </w:t>
      </w:r>
      <w:r w:rsidRPr="007112B5">
        <w:rPr>
          <w:rFonts w:ascii="Times New Roman" w:hAnsi="Times New Roman"/>
          <w:b/>
          <w:bCs/>
          <w:iCs/>
          <w:sz w:val="24"/>
          <w:szCs w:val="24"/>
        </w:rPr>
        <w:t>[</w:t>
      </w:r>
      <w:r w:rsidR="0069255D" w:rsidRPr="007112B5">
        <w:rPr>
          <w:rFonts w:ascii="Times New Roman" w:hAnsi="Times New Roman"/>
          <w:b/>
          <w:sz w:val="24"/>
          <w:szCs w:val="24"/>
        </w:rPr>
        <w:t>B3—2020</w:t>
      </w:r>
      <w:r w:rsidRPr="007112B5">
        <w:rPr>
          <w:rFonts w:ascii="Times New Roman" w:hAnsi="Times New Roman"/>
          <w:b/>
          <w:sz w:val="24"/>
          <w:szCs w:val="24"/>
        </w:rPr>
        <w:t>]</w:t>
      </w:r>
      <w:r w:rsidRPr="007112B5">
        <w:rPr>
          <w:rFonts w:ascii="Times New Roman" w:hAnsi="Times New Roman"/>
          <w:sz w:val="24"/>
          <w:szCs w:val="24"/>
        </w:rPr>
        <w:t xml:space="preserve">(National Assembly), </w:t>
      </w:r>
      <w:r w:rsidR="00D03BDE" w:rsidRPr="007112B5">
        <w:rPr>
          <w:rFonts w:ascii="Times New Roman" w:hAnsi="Times New Roman"/>
          <w:sz w:val="24"/>
          <w:szCs w:val="24"/>
        </w:rPr>
        <w:t xml:space="preserve">referred to it on </w:t>
      </w:r>
      <w:r w:rsidR="004F57A9" w:rsidRPr="004F57A9">
        <w:rPr>
          <w:rFonts w:ascii="Times New Roman" w:hAnsi="Times New Roman"/>
          <w:sz w:val="24"/>
          <w:szCs w:val="24"/>
        </w:rPr>
        <w:t>11</w:t>
      </w:r>
      <w:r w:rsidR="00537AC1" w:rsidRPr="004F57A9">
        <w:rPr>
          <w:rFonts w:ascii="Times New Roman" w:hAnsi="Times New Roman"/>
          <w:sz w:val="24"/>
          <w:szCs w:val="24"/>
        </w:rPr>
        <w:t xml:space="preserve"> March 2020</w:t>
      </w:r>
      <w:r w:rsidR="009163CC" w:rsidRPr="007112B5">
        <w:rPr>
          <w:rFonts w:ascii="Times New Roman" w:hAnsi="Times New Roman"/>
          <w:sz w:val="24"/>
          <w:szCs w:val="24"/>
        </w:rPr>
        <w:t xml:space="preserve">and tagged </w:t>
      </w:r>
      <w:r w:rsidRPr="007112B5">
        <w:rPr>
          <w:rFonts w:ascii="Times New Roman" w:hAnsi="Times New Roman"/>
          <w:sz w:val="24"/>
          <w:szCs w:val="24"/>
        </w:rPr>
        <w:t>as a section 76 Bill, reports as follows:</w:t>
      </w:r>
    </w:p>
    <w:p w:rsidR="00AC035C" w:rsidRPr="007112B5" w:rsidRDefault="00AC035C" w:rsidP="00AC035C">
      <w:pPr>
        <w:spacing w:after="0" w:line="240" w:lineRule="auto"/>
        <w:jc w:val="both"/>
        <w:rPr>
          <w:rFonts w:ascii="Times New Roman" w:hAnsi="Times New Roman"/>
          <w:b/>
          <w:sz w:val="24"/>
          <w:szCs w:val="24"/>
          <w:highlight w:val="yellow"/>
        </w:rPr>
      </w:pPr>
    </w:p>
    <w:p w:rsidR="00AC035C" w:rsidRPr="007112B5" w:rsidRDefault="00AC035C" w:rsidP="001D2491">
      <w:pPr>
        <w:pStyle w:val="ListParagraph"/>
        <w:numPr>
          <w:ilvl w:val="0"/>
          <w:numId w:val="2"/>
        </w:numPr>
        <w:spacing w:after="0" w:line="240" w:lineRule="auto"/>
        <w:jc w:val="both"/>
        <w:rPr>
          <w:rFonts w:ascii="Times New Roman" w:hAnsi="Times New Roman"/>
          <w:b/>
          <w:sz w:val="24"/>
          <w:szCs w:val="24"/>
        </w:rPr>
      </w:pPr>
      <w:r w:rsidRPr="007112B5">
        <w:rPr>
          <w:rFonts w:ascii="Times New Roman" w:hAnsi="Times New Roman"/>
          <w:b/>
          <w:sz w:val="24"/>
          <w:szCs w:val="24"/>
        </w:rPr>
        <w:t>Introduction</w:t>
      </w:r>
    </w:p>
    <w:p w:rsidR="00AC035C" w:rsidRPr="007112B5" w:rsidRDefault="00AC035C" w:rsidP="00AC035C">
      <w:pPr>
        <w:spacing w:after="0" w:line="240" w:lineRule="auto"/>
        <w:jc w:val="both"/>
        <w:rPr>
          <w:rFonts w:ascii="Times New Roman" w:hAnsi="Times New Roman"/>
          <w:sz w:val="24"/>
          <w:szCs w:val="24"/>
          <w:highlight w:val="yellow"/>
        </w:rPr>
      </w:pPr>
    </w:p>
    <w:p w:rsidR="00AC035C" w:rsidRPr="007112B5" w:rsidRDefault="00AC035C" w:rsidP="005D5677">
      <w:pPr>
        <w:spacing w:after="0" w:line="360" w:lineRule="auto"/>
        <w:jc w:val="both"/>
        <w:rPr>
          <w:rFonts w:ascii="Times New Roman" w:hAnsi="Times New Roman"/>
          <w:sz w:val="24"/>
          <w:szCs w:val="24"/>
        </w:rPr>
      </w:pPr>
      <w:r w:rsidRPr="007112B5">
        <w:rPr>
          <w:rFonts w:ascii="Times New Roman" w:hAnsi="Times New Roman"/>
          <w:sz w:val="24"/>
          <w:szCs w:val="24"/>
        </w:rPr>
        <w:t>Section 214(1) of the Constitution</w:t>
      </w:r>
      <w:r w:rsidR="00136A23" w:rsidRPr="007112B5">
        <w:rPr>
          <w:rFonts w:ascii="Times New Roman" w:hAnsi="Times New Roman"/>
          <w:sz w:val="24"/>
          <w:szCs w:val="24"/>
        </w:rPr>
        <w:t xml:space="preserve"> of </w:t>
      </w:r>
      <w:r w:rsidRPr="007112B5">
        <w:rPr>
          <w:rFonts w:ascii="Times New Roman" w:hAnsi="Times New Roman"/>
          <w:sz w:val="24"/>
          <w:szCs w:val="24"/>
        </w:rPr>
        <w:t>1996 (the Constitution) requires that a Division of Revenue Act (DORA) determines the equitable division of nationally raised revenue among the three spheres of government</w:t>
      </w:r>
      <w:r w:rsidR="00296812" w:rsidRPr="007112B5">
        <w:rPr>
          <w:rFonts w:ascii="Times New Roman" w:hAnsi="Times New Roman"/>
          <w:sz w:val="24"/>
          <w:szCs w:val="24"/>
        </w:rPr>
        <w:t xml:space="preserve"> (National, Provincial and Local)</w:t>
      </w:r>
      <w:r w:rsidRPr="007112B5">
        <w:rPr>
          <w:rFonts w:ascii="Times New Roman" w:hAnsi="Times New Roman"/>
          <w:sz w:val="24"/>
          <w:szCs w:val="24"/>
        </w:rPr>
        <w:t>. This is intended to foster transparency</w:t>
      </w:r>
      <w:r w:rsidR="00296812" w:rsidRPr="007112B5">
        <w:rPr>
          <w:rFonts w:ascii="Times New Roman" w:hAnsi="Times New Roman"/>
          <w:sz w:val="24"/>
          <w:szCs w:val="24"/>
        </w:rPr>
        <w:t xml:space="preserve"> in the sharing of nationally raised revenue</w:t>
      </w:r>
      <w:r w:rsidRPr="007112B5">
        <w:rPr>
          <w:rFonts w:ascii="Times New Roman" w:hAnsi="Times New Roman"/>
          <w:sz w:val="24"/>
          <w:szCs w:val="24"/>
        </w:rPr>
        <w:t xml:space="preserve"> and ensure smooth intergovernmental relations. The Intergovernmental Fiscal Relations Act, No. 97 of 1997 prescribes the process for the determination of an equitable sharing and allocation of revenue raised nationally. Sections 9 and 10 (4) of this Act set out the consultation process to be followed with the Finan</w:t>
      </w:r>
      <w:r w:rsidR="00765FA5">
        <w:rPr>
          <w:rFonts w:ascii="Times New Roman" w:hAnsi="Times New Roman"/>
          <w:sz w:val="24"/>
          <w:szCs w:val="24"/>
        </w:rPr>
        <w:t>cial and Fiscal Commission</w:t>
      </w:r>
      <w:r w:rsidRPr="007112B5">
        <w:rPr>
          <w:rFonts w:ascii="Times New Roman" w:hAnsi="Times New Roman"/>
          <w:sz w:val="24"/>
          <w:szCs w:val="24"/>
        </w:rPr>
        <w:t>, including the process of considering recommendations made with regard to the equitable division of nationally raised revenue.</w:t>
      </w:r>
    </w:p>
    <w:p w:rsidR="00AC035C" w:rsidRPr="007112B5" w:rsidRDefault="00AC035C" w:rsidP="005D5677">
      <w:pPr>
        <w:spacing w:after="0" w:line="360" w:lineRule="auto"/>
        <w:jc w:val="both"/>
        <w:rPr>
          <w:rFonts w:ascii="Times New Roman" w:hAnsi="Times New Roman"/>
          <w:sz w:val="24"/>
          <w:szCs w:val="24"/>
        </w:rPr>
      </w:pPr>
    </w:p>
    <w:p w:rsidR="00AC035C" w:rsidRPr="007112B5" w:rsidRDefault="00AC035C" w:rsidP="005D5677">
      <w:pPr>
        <w:spacing w:after="0" w:line="360" w:lineRule="auto"/>
        <w:jc w:val="both"/>
        <w:rPr>
          <w:rFonts w:ascii="Times New Roman" w:hAnsi="Times New Roman"/>
          <w:sz w:val="24"/>
          <w:szCs w:val="24"/>
        </w:rPr>
      </w:pPr>
      <w:r w:rsidRPr="007112B5">
        <w:rPr>
          <w:rFonts w:ascii="Times New Roman" w:hAnsi="Times New Roman"/>
          <w:sz w:val="24"/>
          <w:szCs w:val="24"/>
        </w:rPr>
        <w:t xml:space="preserve">In giving effect to </w:t>
      </w:r>
      <w:r w:rsidR="007D2B60" w:rsidRPr="007112B5">
        <w:rPr>
          <w:rFonts w:ascii="Times New Roman" w:hAnsi="Times New Roman"/>
          <w:sz w:val="24"/>
          <w:szCs w:val="24"/>
        </w:rPr>
        <w:t>S</w:t>
      </w:r>
      <w:r w:rsidRPr="007112B5">
        <w:rPr>
          <w:rFonts w:ascii="Times New Roman" w:hAnsi="Times New Roman"/>
          <w:sz w:val="24"/>
          <w:szCs w:val="24"/>
        </w:rPr>
        <w:t>ection 73 of the Constitution, the Money Bills</w:t>
      </w:r>
      <w:r w:rsidR="00DF0B9F">
        <w:rPr>
          <w:rFonts w:ascii="Times New Roman" w:hAnsi="Times New Roman"/>
          <w:sz w:val="24"/>
          <w:szCs w:val="24"/>
        </w:rPr>
        <w:t xml:space="preserve">and </w:t>
      </w:r>
      <w:r w:rsidRPr="007112B5">
        <w:rPr>
          <w:rFonts w:ascii="Times New Roman" w:hAnsi="Times New Roman"/>
          <w:sz w:val="24"/>
          <w:szCs w:val="24"/>
        </w:rPr>
        <w:t>Related Matters Act, No. 9 of 2009 (the Money Bills Act)</w:t>
      </w:r>
      <w:r w:rsidR="00296812" w:rsidRPr="007112B5">
        <w:rPr>
          <w:rFonts w:ascii="Times New Roman" w:hAnsi="Times New Roman"/>
          <w:sz w:val="24"/>
          <w:szCs w:val="24"/>
        </w:rPr>
        <w:t xml:space="preserve"> as amended by the Money Bills Amendment </w:t>
      </w:r>
      <w:r w:rsidR="00A40847">
        <w:rPr>
          <w:rFonts w:ascii="Times New Roman" w:hAnsi="Times New Roman"/>
          <w:sz w:val="24"/>
          <w:szCs w:val="24"/>
        </w:rPr>
        <w:t xml:space="preserve">Procedure and </w:t>
      </w:r>
      <w:r w:rsidR="00296812" w:rsidRPr="007112B5">
        <w:rPr>
          <w:rFonts w:ascii="Times New Roman" w:hAnsi="Times New Roman"/>
          <w:sz w:val="24"/>
          <w:szCs w:val="24"/>
        </w:rPr>
        <w:t>Related Matters Amendment Act No.13 of 2018</w:t>
      </w:r>
      <w:r w:rsidRPr="007112B5">
        <w:rPr>
          <w:rFonts w:ascii="Times New Roman" w:hAnsi="Times New Roman"/>
          <w:sz w:val="24"/>
          <w:szCs w:val="24"/>
        </w:rPr>
        <w:t xml:space="preserve"> was enacte</w:t>
      </w:r>
      <w:r w:rsidR="00906367" w:rsidRPr="007112B5">
        <w:rPr>
          <w:rFonts w:ascii="Times New Roman" w:hAnsi="Times New Roman"/>
          <w:sz w:val="24"/>
          <w:szCs w:val="24"/>
        </w:rPr>
        <w:t xml:space="preserve">d. In line with </w:t>
      </w:r>
      <w:r w:rsidR="007D2B60" w:rsidRPr="007112B5">
        <w:rPr>
          <w:rFonts w:ascii="Times New Roman" w:hAnsi="Times New Roman"/>
          <w:sz w:val="24"/>
          <w:szCs w:val="24"/>
        </w:rPr>
        <w:t>S</w:t>
      </w:r>
      <w:r w:rsidR="00DE18C8">
        <w:rPr>
          <w:rFonts w:ascii="Times New Roman" w:hAnsi="Times New Roman"/>
          <w:sz w:val="24"/>
          <w:szCs w:val="24"/>
        </w:rPr>
        <w:t>ection 7(1</w:t>
      </w:r>
      <w:r w:rsidR="00DF0B9F">
        <w:rPr>
          <w:rFonts w:ascii="Times New Roman" w:hAnsi="Times New Roman"/>
          <w:sz w:val="24"/>
          <w:szCs w:val="24"/>
        </w:rPr>
        <w:t xml:space="preserve"> and </w:t>
      </w:r>
      <w:r w:rsidRPr="007112B5">
        <w:rPr>
          <w:rFonts w:ascii="Times New Roman" w:hAnsi="Times New Roman"/>
          <w:sz w:val="24"/>
          <w:szCs w:val="24"/>
        </w:rPr>
        <w:t>3) of the Money Bills Act</w:t>
      </w:r>
      <w:r w:rsidR="00906367" w:rsidRPr="007112B5">
        <w:rPr>
          <w:rFonts w:ascii="Times New Roman" w:hAnsi="Times New Roman"/>
          <w:sz w:val="24"/>
          <w:szCs w:val="24"/>
        </w:rPr>
        <w:t xml:space="preserve"> and </w:t>
      </w:r>
      <w:r w:rsidR="007D2B60" w:rsidRPr="007112B5">
        <w:rPr>
          <w:rFonts w:ascii="Times New Roman" w:hAnsi="Times New Roman"/>
          <w:sz w:val="24"/>
          <w:szCs w:val="24"/>
        </w:rPr>
        <w:t>S</w:t>
      </w:r>
      <w:r w:rsidR="00906367" w:rsidRPr="007112B5">
        <w:rPr>
          <w:rFonts w:ascii="Times New Roman" w:hAnsi="Times New Roman"/>
          <w:sz w:val="24"/>
          <w:szCs w:val="24"/>
        </w:rPr>
        <w:t xml:space="preserve">ection 27 of the Public </w:t>
      </w:r>
      <w:r w:rsidR="00DE18C8" w:rsidRPr="007112B5">
        <w:rPr>
          <w:rFonts w:ascii="Times New Roman" w:hAnsi="Times New Roman"/>
          <w:sz w:val="24"/>
          <w:szCs w:val="24"/>
        </w:rPr>
        <w:t>Finance</w:t>
      </w:r>
      <w:r w:rsidR="00906367" w:rsidRPr="007112B5">
        <w:rPr>
          <w:rFonts w:ascii="Times New Roman" w:hAnsi="Times New Roman"/>
          <w:sz w:val="24"/>
          <w:szCs w:val="24"/>
        </w:rPr>
        <w:t xml:space="preserve"> Management Act No. 1 of </w:t>
      </w:r>
      <w:r w:rsidR="003D4FD8" w:rsidRPr="007112B5">
        <w:rPr>
          <w:rFonts w:ascii="Times New Roman" w:hAnsi="Times New Roman"/>
          <w:sz w:val="24"/>
          <w:szCs w:val="24"/>
        </w:rPr>
        <w:t>1999;</w:t>
      </w:r>
      <w:r w:rsidRPr="007112B5">
        <w:rPr>
          <w:rFonts w:ascii="Times New Roman" w:hAnsi="Times New Roman"/>
          <w:sz w:val="24"/>
          <w:szCs w:val="24"/>
        </w:rPr>
        <w:t xml:space="preserve"> the Min</w:t>
      </w:r>
      <w:r w:rsidR="001E25E7" w:rsidRPr="007112B5">
        <w:rPr>
          <w:rFonts w:ascii="Times New Roman" w:hAnsi="Times New Roman"/>
          <w:sz w:val="24"/>
          <w:szCs w:val="24"/>
        </w:rPr>
        <w:t>ister of Finance tabled</w:t>
      </w:r>
      <w:r w:rsidR="003D4FD8" w:rsidRPr="007112B5">
        <w:rPr>
          <w:rFonts w:ascii="Times New Roman" w:hAnsi="Times New Roman"/>
          <w:sz w:val="24"/>
          <w:szCs w:val="24"/>
        </w:rPr>
        <w:t xml:space="preserve"> the 2020</w:t>
      </w:r>
      <w:r w:rsidR="004C255B" w:rsidRPr="007112B5">
        <w:rPr>
          <w:rFonts w:ascii="Times New Roman" w:hAnsi="Times New Roman"/>
          <w:sz w:val="24"/>
          <w:szCs w:val="24"/>
        </w:rPr>
        <w:t>N</w:t>
      </w:r>
      <w:r w:rsidRPr="007112B5">
        <w:rPr>
          <w:rFonts w:ascii="Times New Roman" w:hAnsi="Times New Roman"/>
          <w:sz w:val="24"/>
          <w:szCs w:val="24"/>
        </w:rPr>
        <w:t>a</w:t>
      </w:r>
      <w:r w:rsidR="003D4FD8" w:rsidRPr="007112B5">
        <w:rPr>
          <w:rFonts w:ascii="Times New Roman" w:hAnsi="Times New Roman"/>
          <w:sz w:val="24"/>
          <w:szCs w:val="24"/>
        </w:rPr>
        <w:t>tional Budget including the 2020</w:t>
      </w:r>
      <w:r w:rsidRPr="007112B5">
        <w:rPr>
          <w:rFonts w:ascii="Times New Roman" w:hAnsi="Times New Roman"/>
          <w:sz w:val="24"/>
          <w:szCs w:val="24"/>
        </w:rPr>
        <w:t xml:space="preserve"> Di</w:t>
      </w:r>
      <w:r w:rsidR="001E25E7" w:rsidRPr="007112B5">
        <w:rPr>
          <w:rFonts w:ascii="Times New Roman" w:hAnsi="Times New Roman"/>
          <w:sz w:val="24"/>
          <w:szCs w:val="24"/>
        </w:rPr>
        <w:t>vision of t</w:t>
      </w:r>
      <w:r w:rsidR="00DE18C8">
        <w:rPr>
          <w:rFonts w:ascii="Times New Roman" w:hAnsi="Times New Roman"/>
          <w:sz w:val="24"/>
          <w:szCs w:val="24"/>
        </w:rPr>
        <w:t>he Revenue Bill (t</w:t>
      </w:r>
      <w:r w:rsidR="003D4FD8" w:rsidRPr="007112B5">
        <w:rPr>
          <w:rFonts w:ascii="Times New Roman" w:hAnsi="Times New Roman"/>
          <w:sz w:val="24"/>
          <w:szCs w:val="24"/>
        </w:rPr>
        <w:t>he Bill) on 26 February 2020</w:t>
      </w:r>
      <w:r w:rsidRPr="007112B5">
        <w:rPr>
          <w:rFonts w:ascii="Times New Roman" w:hAnsi="Times New Roman"/>
          <w:sz w:val="24"/>
          <w:szCs w:val="24"/>
        </w:rPr>
        <w:t>. The Bill was then referred</w:t>
      </w:r>
      <w:r w:rsidR="00DE18C8">
        <w:rPr>
          <w:rFonts w:ascii="Times New Roman" w:hAnsi="Times New Roman"/>
          <w:sz w:val="24"/>
          <w:szCs w:val="24"/>
        </w:rPr>
        <w:t xml:space="preserve"> to the Committeeon 11 March 2020 </w:t>
      </w:r>
      <w:r w:rsidRPr="007112B5">
        <w:rPr>
          <w:rFonts w:ascii="Times New Roman" w:hAnsi="Times New Roman"/>
          <w:sz w:val="24"/>
          <w:szCs w:val="24"/>
        </w:rPr>
        <w:t>in line with Section 9 (</w:t>
      </w:r>
      <w:r w:rsidR="00906367" w:rsidRPr="007112B5">
        <w:rPr>
          <w:rFonts w:ascii="Times New Roman" w:hAnsi="Times New Roman"/>
          <w:sz w:val="24"/>
          <w:szCs w:val="24"/>
        </w:rPr>
        <w:t>1</w:t>
      </w:r>
      <w:r w:rsidRPr="007112B5">
        <w:rPr>
          <w:rFonts w:ascii="Times New Roman" w:hAnsi="Times New Roman"/>
          <w:sz w:val="24"/>
          <w:szCs w:val="24"/>
        </w:rPr>
        <w:t xml:space="preserve">) of the Money Bills Act. </w:t>
      </w:r>
    </w:p>
    <w:p w:rsidR="00AC035C" w:rsidRPr="007112B5" w:rsidRDefault="00AC035C" w:rsidP="005D5677">
      <w:pPr>
        <w:spacing w:after="0" w:line="360" w:lineRule="auto"/>
        <w:jc w:val="both"/>
        <w:rPr>
          <w:rFonts w:ascii="Times New Roman" w:hAnsi="Times New Roman"/>
          <w:sz w:val="24"/>
          <w:szCs w:val="24"/>
        </w:rPr>
      </w:pPr>
    </w:p>
    <w:p w:rsidR="009E04B4" w:rsidRPr="0013061E" w:rsidRDefault="00FF239E" w:rsidP="0013061E">
      <w:pPr>
        <w:shd w:val="clear" w:color="auto" w:fill="FFFFFF"/>
        <w:spacing w:after="150" w:line="360" w:lineRule="auto"/>
        <w:contextualSpacing/>
        <w:jc w:val="both"/>
        <w:rPr>
          <w:rFonts w:ascii="Times New Roman" w:hAnsi="Times New Roman"/>
          <w:sz w:val="24"/>
          <w:szCs w:val="24"/>
          <w:lang w:eastAsia="en-ZA"/>
        </w:rPr>
      </w:pPr>
      <w:r w:rsidRPr="007112B5">
        <w:rPr>
          <w:rFonts w:ascii="Times New Roman" w:hAnsi="Times New Roman"/>
          <w:sz w:val="24"/>
          <w:szCs w:val="24"/>
        </w:rPr>
        <w:t>Subsequent to the Bill being referred to the Committee, t</w:t>
      </w:r>
      <w:r w:rsidR="00AC035C" w:rsidRPr="007112B5">
        <w:rPr>
          <w:rFonts w:ascii="Times New Roman" w:hAnsi="Times New Roman"/>
          <w:sz w:val="24"/>
          <w:szCs w:val="24"/>
        </w:rPr>
        <w:t xml:space="preserve">he Committee received a briefing on the Bill from the National Treasury and also had engagements with the </w:t>
      </w:r>
      <w:r w:rsidR="00AC035C" w:rsidRPr="007112B5">
        <w:rPr>
          <w:rFonts w:ascii="Times New Roman" w:hAnsi="Times New Roman"/>
          <w:sz w:val="24"/>
          <w:szCs w:val="24"/>
        </w:rPr>
        <w:lastRenderedPageBreak/>
        <w:t>Financial and Fiscal Co</w:t>
      </w:r>
      <w:r w:rsidR="00765FA5">
        <w:rPr>
          <w:rFonts w:ascii="Times New Roman" w:hAnsi="Times New Roman"/>
          <w:sz w:val="24"/>
          <w:szCs w:val="24"/>
        </w:rPr>
        <w:t>mmission</w:t>
      </w:r>
      <w:r w:rsidR="00906367" w:rsidRPr="007112B5">
        <w:rPr>
          <w:rFonts w:ascii="Times New Roman" w:hAnsi="Times New Roman"/>
          <w:sz w:val="24"/>
          <w:szCs w:val="24"/>
        </w:rPr>
        <w:t xml:space="preserve"> as required by </w:t>
      </w:r>
      <w:r w:rsidR="00E3369D" w:rsidRPr="007112B5">
        <w:rPr>
          <w:rFonts w:ascii="Times New Roman" w:hAnsi="Times New Roman"/>
          <w:sz w:val="24"/>
          <w:szCs w:val="24"/>
        </w:rPr>
        <w:t>S</w:t>
      </w:r>
      <w:r w:rsidR="00906367" w:rsidRPr="007112B5">
        <w:rPr>
          <w:rFonts w:ascii="Times New Roman" w:hAnsi="Times New Roman"/>
          <w:sz w:val="24"/>
          <w:szCs w:val="24"/>
        </w:rPr>
        <w:t>ection 9 (7) (a) of the Money Bills Act</w:t>
      </w:r>
      <w:r w:rsidR="007C055C" w:rsidRPr="007112B5">
        <w:rPr>
          <w:rFonts w:ascii="Times New Roman" w:hAnsi="Times New Roman"/>
          <w:sz w:val="24"/>
          <w:szCs w:val="24"/>
        </w:rPr>
        <w:t xml:space="preserve">. Furthermore, </w:t>
      </w:r>
      <w:r w:rsidR="00EF5664">
        <w:rPr>
          <w:rFonts w:ascii="Times New Roman" w:hAnsi="Times New Roman"/>
          <w:sz w:val="24"/>
          <w:szCs w:val="24"/>
        </w:rPr>
        <w:t xml:space="preserve">the Committee also consulted with the Parliamentary Budget Office and received </w:t>
      </w:r>
      <w:r w:rsidR="007C055C" w:rsidRPr="007112B5">
        <w:rPr>
          <w:rFonts w:ascii="Times New Roman" w:hAnsi="Times New Roman"/>
          <w:sz w:val="24"/>
          <w:szCs w:val="24"/>
        </w:rPr>
        <w:t xml:space="preserve">a briefing from </w:t>
      </w:r>
      <w:r w:rsidR="00AC035C" w:rsidRPr="007112B5">
        <w:rPr>
          <w:rFonts w:ascii="Times New Roman" w:hAnsi="Times New Roman"/>
          <w:sz w:val="24"/>
          <w:szCs w:val="24"/>
        </w:rPr>
        <w:t xml:space="preserve">the South African Local Government </w:t>
      </w:r>
      <w:r w:rsidR="00765FA5">
        <w:rPr>
          <w:rFonts w:ascii="Times New Roman" w:hAnsi="Times New Roman"/>
          <w:sz w:val="24"/>
          <w:szCs w:val="24"/>
        </w:rPr>
        <w:t xml:space="preserve">Association </w:t>
      </w:r>
      <w:r w:rsidR="00906367" w:rsidRPr="007112B5">
        <w:rPr>
          <w:rFonts w:ascii="Times New Roman" w:hAnsi="Times New Roman"/>
          <w:sz w:val="24"/>
          <w:szCs w:val="24"/>
        </w:rPr>
        <w:t>as</w:t>
      </w:r>
      <w:r w:rsidRPr="007112B5">
        <w:rPr>
          <w:rFonts w:ascii="Times New Roman" w:hAnsi="Times New Roman"/>
          <w:sz w:val="24"/>
          <w:szCs w:val="24"/>
        </w:rPr>
        <w:t xml:space="preserve"> required by Section 214 (2)</w:t>
      </w:r>
      <w:r w:rsidR="00906367" w:rsidRPr="007112B5">
        <w:rPr>
          <w:rFonts w:ascii="Times New Roman" w:hAnsi="Times New Roman"/>
          <w:sz w:val="24"/>
          <w:szCs w:val="24"/>
        </w:rPr>
        <w:t xml:space="preserve"> of the </w:t>
      </w:r>
      <w:r w:rsidR="007D2B60" w:rsidRPr="007112B5">
        <w:rPr>
          <w:rFonts w:ascii="Times New Roman" w:hAnsi="Times New Roman"/>
          <w:sz w:val="24"/>
          <w:szCs w:val="24"/>
        </w:rPr>
        <w:t>C</w:t>
      </w:r>
      <w:r w:rsidR="00906367" w:rsidRPr="007112B5">
        <w:rPr>
          <w:rFonts w:ascii="Times New Roman" w:hAnsi="Times New Roman"/>
          <w:sz w:val="24"/>
          <w:szCs w:val="24"/>
        </w:rPr>
        <w:t>onstitution</w:t>
      </w:r>
      <w:r w:rsidR="00136A23" w:rsidRPr="007112B5">
        <w:rPr>
          <w:rFonts w:ascii="Times New Roman" w:hAnsi="Times New Roman"/>
          <w:sz w:val="24"/>
          <w:szCs w:val="24"/>
        </w:rPr>
        <w:t xml:space="preserve"> of the Republic</w:t>
      </w:r>
      <w:r w:rsidR="00AC035C" w:rsidRPr="007112B5">
        <w:rPr>
          <w:rFonts w:ascii="Times New Roman" w:hAnsi="Times New Roman"/>
          <w:sz w:val="24"/>
          <w:szCs w:val="24"/>
        </w:rPr>
        <w:t>. I</w:t>
      </w:r>
      <w:r w:rsidR="007C186C" w:rsidRPr="007112B5">
        <w:rPr>
          <w:rFonts w:ascii="Times New Roman" w:hAnsi="Times New Roman"/>
          <w:sz w:val="24"/>
          <w:szCs w:val="24"/>
          <w:lang w:eastAsia="en-ZA"/>
        </w:rPr>
        <w:t>n line with s</w:t>
      </w:r>
      <w:r w:rsidR="00AC035C" w:rsidRPr="007112B5">
        <w:rPr>
          <w:rFonts w:ascii="Times New Roman" w:hAnsi="Times New Roman"/>
          <w:sz w:val="24"/>
          <w:szCs w:val="24"/>
          <w:lang w:eastAsia="en-ZA"/>
        </w:rPr>
        <w:t>ection 9 (5) (b) of the Money Bills Act, th</w:t>
      </w:r>
      <w:r w:rsidR="0013061E">
        <w:rPr>
          <w:rFonts w:ascii="Times New Roman" w:hAnsi="Times New Roman"/>
          <w:sz w:val="24"/>
          <w:szCs w:val="24"/>
          <w:lang w:eastAsia="en-ZA"/>
        </w:rPr>
        <w:t>e Committee is required</w:t>
      </w:r>
      <w:r w:rsidR="00AC035C" w:rsidRPr="007112B5">
        <w:rPr>
          <w:rFonts w:ascii="Times New Roman" w:hAnsi="Times New Roman"/>
          <w:sz w:val="24"/>
          <w:szCs w:val="24"/>
          <w:lang w:eastAsia="en-ZA"/>
        </w:rPr>
        <w:t xml:space="preserve"> to hold public hearings on the Division of Revenue Bill. To this end, adverts calling for </w:t>
      </w:r>
      <w:r w:rsidR="00AC035C" w:rsidRPr="0013061E">
        <w:rPr>
          <w:rFonts w:ascii="Times New Roman" w:hAnsi="Times New Roman"/>
          <w:sz w:val="24"/>
          <w:szCs w:val="24"/>
          <w:lang w:eastAsia="en-ZA"/>
        </w:rPr>
        <w:t xml:space="preserve">public submissions on the Bill were published in </w:t>
      </w:r>
      <w:r w:rsidR="007C186C" w:rsidRPr="0013061E">
        <w:rPr>
          <w:rFonts w:ascii="Times New Roman" w:hAnsi="Times New Roman"/>
          <w:sz w:val="24"/>
          <w:szCs w:val="24"/>
          <w:lang w:eastAsia="en-ZA"/>
        </w:rPr>
        <w:t xml:space="preserve">both national and local </w:t>
      </w:r>
      <w:r w:rsidR="00AC035C" w:rsidRPr="0013061E">
        <w:rPr>
          <w:rFonts w:ascii="Times New Roman" w:hAnsi="Times New Roman"/>
          <w:sz w:val="24"/>
          <w:szCs w:val="24"/>
          <w:lang w:eastAsia="en-ZA"/>
        </w:rPr>
        <w:t>print media</w:t>
      </w:r>
      <w:r w:rsidR="0013061E" w:rsidRPr="0013061E">
        <w:rPr>
          <w:rFonts w:ascii="Times New Roman" w:hAnsi="Times New Roman"/>
          <w:sz w:val="24"/>
          <w:szCs w:val="24"/>
          <w:lang w:eastAsia="en-ZA"/>
        </w:rPr>
        <w:t xml:space="preserve"> from 23 to 28 February 2020</w:t>
      </w:r>
      <w:r w:rsidR="007C186C" w:rsidRPr="0013061E">
        <w:rPr>
          <w:rFonts w:ascii="Times New Roman" w:hAnsi="Times New Roman"/>
          <w:sz w:val="24"/>
          <w:szCs w:val="24"/>
          <w:lang w:eastAsia="en-ZA"/>
        </w:rPr>
        <w:t>.</w:t>
      </w:r>
      <w:r w:rsidR="00AC035C" w:rsidRPr="0013061E">
        <w:rPr>
          <w:rFonts w:ascii="Times New Roman" w:hAnsi="Times New Roman"/>
          <w:sz w:val="24"/>
          <w:szCs w:val="24"/>
          <w:lang w:eastAsia="en-ZA"/>
        </w:rPr>
        <w:t xml:space="preserve"> Submissions</w:t>
      </w:r>
      <w:r w:rsidR="00AC035C" w:rsidRPr="007112B5">
        <w:rPr>
          <w:rFonts w:ascii="Times New Roman" w:hAnsi="Times New Roman"/>
          <w:sz w:val="24"/>
          <w:szCs w:val="24"/>
          <w:lang w:eastAsia="en-ZA"/>
        </w:rPr>
        <w:t>from the following organisations or interest groups were received:</w:t>
      </w:r>
    </w:p>
    <w:p w:rsidR="0013061E" w:rsidRDefault="0013061E" w:rsidP="0013061E">
      <w:pPr>
        <w:pStyle w:val="ListParagraph"/>
        <w:numPr>
          <w:ilvl w:val="0"/>
          <w:numId w:val="8"/>
        </w:numPr>
        <w:autoSpaceDE w:val="0"/>
        <w:autoSpaceDN w:val="0"/>
        <w:adjustRightInd w:val="0"/>
        <w:spacing w:after="0" w:line="360" w:lineRule="auto"/>
        <w:ind w:firstLine="66"/>
        <w:jc w:val="both"/>
        <w:rPr>
          <w:rFonts w:ascii="Times New Roman" w:hAnsi="Times New Roman"/>
          <w:sz w:val="24"/>
          <w:szCs w:val="24"/>
        </w:rPr>
      </w:pPr>
      <w:r w:rsidRPr="0013061E">
        <w:rPr>
          <w:rFonts w:ascii="Times New Roman" w:hAnsi="Times New Roman"/>
          <w:sz w:val="24"/>
          <w:szCs w:val="24"/>
        </w:rPr>
        <w:t>Pietermaritzburg Pensioners Forum</w:t>
      </w:r>
      <w:r w:rsidR="004B5FD3">
        <w:rPr>
          <w:rFonts w:ascii="Times New Roman" w:hAnsi="Times New Roman"/>
          <w:sz w:val="24"/>
          <w:szCs w:val="24"/>
        </w:rPr>
        <w:t>;</w:t>
      </w:r>
    </w:p>
    <w:p w:rsidR="0013061E" w:rsidRDefault="0013061E" w:rsidP="0013061E">
      <w:pPr>
        <w:pStyle w:val="ListParagraph"/>
        <w:numPr>
          <w:ilvl w:val="0"/>
          <w:numId w:val="8"/>
        </w:numPr>
        <w:autoSpaceDE w:val="0"/>
        <w:autoSpaceDN w:val="0"/>
        <w:adjustRightInd w:val="0"/>
        <w:spacing w:after="0" w:line="360" w:lineRule="auto"/>
        <w:ind w:firstLine="66"/>
        <w:jc w:val="both"/>
        <w:rPr>
          <w:rFonts w:ascii="Times New Roman" w:hAnsi="Times New Roman"/>
          <w:sz w:val="24"/>
          <w:szCs w:val="24"/>
        </w:rPr>
      </w:pPr>
      <w:r>
        <w:rPr>
          <w:rFonts w:ascii="Times New Roman" w:hAnsi="Times New Roman"/>
          <w:sz w:val="24"/>
          <w:szCs w:val="24"/>
        </w:rPr>
        <w:t>Amandla.mobi</w:t>
      </w:r>
      <w:r w:rsidR="004B5FD3">
        <w:rPr>
          <w:rFonts w:ascii="Times New Roman" w:hAnsi="Times New Roman"/>
          <w:sz w:val="24"/>
          <w:szCs w:val="24"/>
        </w:rPr>
        <w:t>;</w:t>
      </w:r>
    </w:p>
    <w:p w:rsidR="009E04B4" w:rsidRPr="0013061E" w:rsidRDefault="009E04B4" w:rsidP="0013061E">
      <w:pPr>
        <w:pStyle w:val="ListParagraph"/>
        <w:numPr>
          <w:ilvl w:val="0"/>
          <w:numId w:val="8"/>
        </w:numPr>
        <w:autoSpaceDE w:val="0"/>
        <w:autoSpaceDN w:val="0"/>
        <w:adjustRightInd w:val="0"/>
        <w:spacing w:after="0" w:line="360" w:lineRule="auto"/>
        <w:ind w:firstLine="66"/>
        <w:jc w:val="both"/>
        <w:rPr>
          <w:rFonts w:ascii="Times New Roman" w:hAnsi="Times New Roman"/>
          <w:sz w:val="24"/>
          <w:szCs w:val="24"/>
        </w:rPr>
      </w:pPr>
      <w:r w:rsidRPr="0013061E">
        <w:rPr>
          <w:rFonts w:ascii="Times New Roman" w:hAnsi="Times New Roman"/>
          <w:sz w:val="24"/>
          <w:szCs w:val="24"/>
        </w:rPr>
        <w:t>Organ</w:t>
      </w:r>
      <w:r w:rsidR="0013061E">
        <w:rPr>
          <w:rFonts w:ascii="Times New Roman" w:hAnsi="Times New Roman"/>
          <w:sz w:val="24"/>
          <w:szCs w:val="24"/>
        </w:rPr>
        <w:t>isation Undoing Tax Abuse</w:t>
      </w:r>
      <w:r w:rsidRPr="0013061E">
        <w:rPr>
          <w:rFonts w:ascii="Times New Roman" w:hAnsi="Times New Roman"/>
          <w:sz w:val="24"/>
          <w:szCs w:val="24"/>
        </w:rPr>
        <w:t>;</w:t>
      </w:r>
    </w:p>
    <w:p w:rsidR="009E04B4" w:rsidRPr="0013061E" w:rsidRDefault="009E04B4" w:rsidP="0013061E">
      <w:pPr>
        <w:pStyle w:val="ListParagraph"/>
        <w:numPr>
          <w:ilvl w:val="0"/>
          <w:numId w:val="8"/>
        </w:numPr>
        <w:autoSpaceDE w:val="0"/>
        <w:autoSpaceDN w:val="0"/>
        <w:adjustRightInd w:val="0"/>
        <w:spacing w:after="0" w:line="360" w:lineRule="auto"/>
        <w:ind w:firstLine="66"/>
        <w:jc w:val="both"/>
        <w:rPr>
          <w:rFonts w:ascii="Times New Roman" w:hAnsi="Times New Roman"/>
          <w:sz w:val="24"/>
          <w:szCs w:val="24"/>
        </w:rPr>
      </w:pPr>
      <w:r w:rsidRPr="0013061E">
        <w:rPr>
          <w:rFonts w:ascii="Times New Roman" w:hAnsi="Times New Roman"/>
          <w:sz w:val="24"/>
          <w:szCs w:val="24"/>
        </w:rPr>
        <w:t>Ru</w:t>
      </w:r>
      <w:r w:rsidR="0013061E">
        <w:rPr>
          <w:rFonts w:ascii="Times New Roman" w:hAnsi="Times New Roman"/>
          <w:sz w:val="24"/>
          <w:szCs w:val="24"/>
        </w:rPr>
        <w:t xml:space="preserve">ral Health Advocacy Project; and </w:t>
      </w:r>
    </w:p>
    <w:p w:rsidR="009E04B4" w:rsidRPr="0013061E" w:rsidRDefault="0013061E" w:rsidP="0013061E">
      <w:pPr>
        <w:pStyle w:val="ListParagraph"/>
        <w:numPr>
          <w:ilvl w:val="0"/>
          <w:numId w:val="8"/>
        </w:numPr>
        <w:autoSpaceDE w:val="0"/>
        <w:autoSpaceDN w:val="0"/>
        <w:adjustRightInd w:val="0"/>
        <w:spacing w:after="0" w:line="360" w:lineRule="auto"/>
        <w:ind w:firstLine="66"/>
        <w:jc w:val="both"/>
        <w:rPr>
          <w:rFonts w:ascii="Times New Roman" w:hAnsi="Times New Roman"/>
          <w:sz w:val="24"/>
          <w:szCs w:val="24"/>
        </w:rPr>
      </w:pPr>
      <w:r>
        <w:rPr>
          <w:rFonts w:ascii="Times New Roman" w:hAnsi="Times New Roman"/>
          <w:sz w:val="24"/>
          <w:szCs w:val="24"/>
        </w:rPr>
        <w:t>Mr MG Buthelezi.</w:t>
      </w:r>
    </w:p>
    <w:p w:rsidR="005D35AF" w:rsidRDefault="005D35AF" w:rsidP="0013061E">
      <w:pPr>
        <w:spacing w:after="0" w:line="360" w:lineRule="auto"/>
        <w:jc w:val="both"/>
        <w:rPr>
          <w:rFonts w:ascii="Times New Roman" w:eastAsiaTheme="minorHAnsi" w:hAnsi="Times New Roman"/>
          <w:b/>
          <w:color w:val="000000" w:themeColor="text1"/>
          <w:sz w:val="24"/>
          <w:szCs w:val="24"/>
        </w:rPr>
      </w:pPr>
    </w:p>
    <w:p w:rsidR="00D548B5" w:rsidRPr="00BB7783" w:rsidRDefault="00340D23" w:rsidP="00D548B5">
      <w:p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sz w:val="24"/>
          <w:szCs w:val="24"/>
        </w:rPr>
        <w:t>H</w:t>
      </w:r>
      <w:r w:rsidR="00D548B5" w:rsidRPr="00BB7783">
        <w:rPr>
          <w:rFonts w:ascii="Times New Roman" w:hAnsi="Times New Roman"/>
          <w:sz w:val="24"/>
          <w:szCs w:val="24"/>
        </w:rPr>
        <w:t xml:space="preserve">aving considered the submission from Mr MG Buthelezi, the Committee was of the view that it was not relevant to the Bill and therefore it was not included in the report.  </w:t>
      </w:r>
    </w:p>
    <w:p w:rsidR="00D548B5" w:rsidRPr="0013061E" w:rsidRDefault="00D548B5" w:rsidP="0013061E">
      <w:pPr>
        <w:spacing w:after="0" w:line="360" w:lineRule="auto"/>
        <w:jc w:val="both"/>
        <w:rPr>
          <w:rFonts w:ascii="Times New Roman" w:eastAsiaTheme="minorHAnsi" w:hAnsi="Times New Roman"/>
          <w:b/>
          <w:color w:val="000000" w:themeColor="text1"/>
          <w:sz w:val="24"/>
          <w:szCs w:val="24"/>
        </w:rPr>
      </w:pPr>
    </w:p>
    <w:p w:rsidR="005D35AF" w:rsidRPr="007112B5" w:rsidRDefault="005D35AF" w:rsidP="001D2491">
      <w:pPr>
        <w:pStyle w:val="ListParagraph"/>
        <w:numPr>
          <w:ilvl w:val="0"/>
          <w:numId w:val="2"/>
        </w:numPr>
        <w:spacing w:after="0" w:line="240" w:lineRule="auto"/>
        <w:jc w:val="both"/>
        <w:rPr>
          <w:rFonts w:ascii="Times New Roman" w:hAnsi="Times New Roman"/>
          <w:b/>
          <w:sz w:val="24"/>
          <w:szCs w:val="24"/>
        </w:rPr>
      </w:pPr>
      <w:r w:rsidRPr="007112B5">
        <w:rPr>
          <w:rFonts w:ascii="Times New Roman" w:hAnsi="Times New Roman"/>
          <w:b/>
          <w:sz w:val="24"/>
          <w:szCs w:val="24"/>
        </w:rPr>
        <w:t>D</w:t>
      </w:r>
      <w:r w:rsidR="0013061E">
        <w:rPr>
          <w:rFonts w:ascii="Times New Roman" w:hAnsi="Times New Roman"/>
          <w:b/>
          <w:sz w:val="24"/>
          <w:szCs w:val="24"/>
        </w:rPr>
        <w:t>ivision of Revenue Bill 2020</w:t>
      </w:r>
    </w:p>
    <w:p w:rsidR="00DC3F04" w:rsidRPr="007112B5" w:rsidRDefault="00DC3F04" w:rsidP="00DC3F04">
      <w:pPr>
        <w:spacing w:after="0" w:line="360" w:lineRule="auto"/>
        <w:rPr>
          <w:rFonts w:ascii="Times New Roman" w:eastAsiaTheme="minorHAnsi" w:hAnsi="Times New Roman"/>
          <w:color w:val="000000" w:themeColor="text1"/>
          <w:sz w:val="24"/>
          <w:szCs w:val="24"/>
        </w:rPr>
      </w:pPr>
    </w:p>
    <w:p w:rsidR="00A46E61" w:rsidRPr="007112B5" w:rsidRDefault="00E45122" w:rsidP="000F3307">
      <w:pPr>
        <w:spacing w:after="0" w:line="360" w:lineRule="auto"/>
        <w:jc w:val="both"/>
        <w:rPr>
          <w:rFonts w:ascii="Times New Roman" w:eastAsiaTheme="minorHAnsi" w:hAnsi="Times New Roman"/>
          <w:color w:val="000000" w:themeColor="text1"/>
          <w:sz w:val="24"/>
          <w:szCs w:val="24"/>
        </w:rPr>
      </w:pPr>
      <w:r w:rsidRPr="007112B5">
        <w:rPr>
          <w:rFonts w:ascii="Times New Roman" w:eastAsiaTheme="minorHAnsi" w:hAnsi="Times New Roman"/>
          <w:color w:val="000000" w:themeColor="text1"/>
          <w:sz w:val="24"/>
          <w:szCs w:val="24"/>
        </w:rPr>
        <w:t xml:space="preserve">The central objectives of </w:t>
      </w:r>
      <w:r w:rsidRPr="00667FEA">
        <w:rPr>
          <w:rFonts w:ascii="Times New Roman" w:eastAsiaTheme="minorHAnsi" w:hAnsi="Times New Roman"/>
          <w:color w:val="000000" w:themeColor="text1"/>
          <w:sz w:val="24"/>
          <w:szCs w:val="24"/>
        </w:rPr>
        <w:t>the 2020 Medium Term Expenditure Framework (MTEF)</w:t>
      </w:r>
      <w:r w:rsidRPr="007112B5">
        <w:rPr>
          <w:rFonts w:ascii="Times New Roman" w:eastAsiaTheme="minorHAnsi" w:hAnsi="Times New Roman"/>
          <w:color w:val="000000" w:themeColor="text1"/>
          <w:sz w:val="24"/>
          <w:szCs w:val="24"/>
        </w:rPr>
        <w:t xml:space="preserve"> period are to stabilise growth of government debt as a share of </w:t>
      </w:r>
      <w:r w:rsidR="00CA4C39">
        <w:rPr>
          <w:rFonts w:ascii="Times New Roman" w:eastAsiaTheme="minorHAnsi" w:hAnsi="Times New Roman"/>
          <w:color w:val="000000" w:themeColor="text1"/>
          <w:sz w:val="24"/>
          <w:szCs w:val="24"/>
        </w:rPr>
        <w:t>Gross Domestic Product (</w:t>
      </w:r>
      <w:r w:rsidRPr="007112B5">
        <w:rPr>
          <w:rFonts w:ascii="Times New Roman" w:eastAsiaTheme="minorHAnsi" w:hAnsi="Times New Roman"/>
          <w:color w:val="000000" w:themeColor="text1"/>
          <w:sz w:val="24"/>
          <w:szCs w:val="24"/>
        </w:rPr>
        <w:t>GDP</w:t>
      </w:r>
      <w:r w:rsidR="00CA4C39">
        <w:rPr>
          <w:rFonts w:ascii="Times New Roman" w:eastAsiaTheme="minorHAnsi" w:hAnsi="Times New Roman"/>
          <w:color w:val="000000" w:themeColor="text1"/>
          <w:sz w:val="24"/>
          <w:szCs w:val="24"/>
        </w:rPr>
        <w:t>)</w:t>
      </w:r>
      <w:r w:rsidRPr="007112B5">
        <w:rPr>
          <w:rFonts w:ascii="Times New Roman" w:eastAsiaTheme="minorHAnsi" w:hAnsi="Times New Roman"/>
          <w:color w:val="000000" w:themeColor="text1"/>
          <w:sz w:val="24"/>
          <w:szCs w:val="24"/>
        </w:rPr>
        <w:t xml:space="preserve"> and strictly adhere to planned expenditure ceiling. Furthermore, the 2020 MTEF emphases on the need to </w:t>
      </w:r>
      <w:r w:rsidR="00A46E61" w:rsidRPr="007112B5">
        <w:rPr>
          <w:rFonts w:ascii="Times New Roman" w:eastAsiaTheme="minorHAnsi" w:hAnsi="Times New Roman"/>
          <w:color w:val="000000" w:themeColor="text1"/>
          <w:sz w:val="24"/>
          <w:szCs w:val="24"/>
        </w:rPr>
        <w:t xml:space="preserve">reduce public sector spending as a share of </w:t>
      </w:r>
      <w:r w:rsidR="000F3307" w:rsidRPr="007112B5">
        <w:rPr>
          <w:rFonts w:ascii="Times New Roman" w:eastAsiaTheme="minorHAnsi" w:hAnsi="Times New Roman"/>
          <w:color w:val="000000" w:themeColor="text1"/>
          <w:sz w:val="24"/>
          <w:szCs w:val="24"/>
        </w:rPr>
        <w:t xml:space="preserve">GDP, improve the composition of spending by reducing </w:t>
      </w:r>
      <w:r w:rsidR="00CA4C39">
        <w:rPr>
          <w:rFonts w:ascii="Times New Roman" w:eastAsiaTheme="minorHAnsi" w:hAnsi="Times New Roman"/>
          <w:color w:val="000000" w:themeColor="text1"/>
          <w:sz w:val="24"/>
          <w:szCs w:val="24"/>
        </w:rPr>
        <w:t xml:space="preserve">the </w:t>
      </w:r>
      <w:r w:rsidR="000F3307" w:rsidRPr="007112B5">
        <w:rPr>
          <w:rFonts w:ascii="Times New Roman" w:eastAsiaTheme="minorHAnsi" w:hAnsi="Times New Roman"/>
          <w:color w:val="000000" w:themeColor="text1"/>
          <w:sz w:val="24"/>
          <w:szCs w:val="24"/>
        </w:rPr>
        <w:t xml:space="preserve">growth </w:t>
      </w:r>
      <w:r w:rsidR="00CA4C39">
        <w:rPr>
          <w:rFonts w:ascii="Times New Roman" w:eastAsiaTheme="minorHAnsi" w:hAnsi="Times New Roman"/>
          <w:color w:val="000000" w:themeColor="text1"/>
          <w:sz w:val="24"/>
          <w:szCs w:val="24"/>
        </w:rPr>
        <w:t>of</w:t>
      </w:r>
      <w:r w:rsidR="000F3307" w:rsidRPr="007112B5">
        <w:rPr>
          <w:rFonts w:ascii="Times New Roman" w:eastAsiaTheme="minorHAnsi" w:hAnsi="Times New Roman"/>
          <w:color w:val="000000" w:themeColor="text1"/>
          <w:sz w:val="24"/>
          <w:szCs w:val="24"/>
        </w:rPr>
        <w:t xml:space="preserve"> the public sector wage bill, and ensure su</w:t>
      </w:r>
      <w:r w:rsidR="00D51267" w:rsidRPr="007112B5">
        <w:rPr>
          <w:rFonts w:ascii="Times New Roman" w:eastAsiaTheme="minorHAnsi" w:hAnsi="Times New Roman"/>
          <w:color w:val="000000" w:themeColor="text1"/>
          <w:sz w:val="24"/>
          <w:szCs w:val="24"/>
        </w:rPr>
        <w:t>stainability of the public debt.</w:t>
      </w:r>
      <w:r w:rsidRPr="007112B5">
        <w:rPr>
          <w:rFonts w:ascii="Times New Roman" w:eastAsiaTheme="minorHAnsi" w:hAnsi="Times New Roman"/>
          <w:color w:val="000000" w:themeColor="text1"/>
          <w:sz w:val="24"/>
          <w:szCs w:val="24"/>
        </w:rPr>
        <w:t xml:space="preserve"> However, the most important public spending programmes that help poor South African</w:t>
      </w:r>
      <w:r w:rsidR="00CA4C39">
        <w:rPr>
          <w:rFonts w:ascii="Times New Roman" w:eastAsiaTheme="minorHAnsi" w:hAnsi="Times New Roman"/>
          <w:color w:val="000000" w:themeColor="text1"/>
          <w:sz w:val="24"/>
          <w:szCs w:val="24"/>
        </w:rPr>
        <w:t>s</w:t>
      </w:r>
      <w:r w:rsidRPr="007112B5">
        <w:rPr>
          <w:rFonts w:ascii="Times New Roman" w:eastAsiaTheme="minorHAnsi" w:hAnsi="Times New Roman"/>
          <w:color w:val="000000" w:themeColor="text1"/>
          <w:sz w:val="24"/>
          <w:szCs w:val="24"/>
        </w:rPr>
        <w:t>, contribute to growth and job creation have been prioritised and protected from major reductions. The 2020 Division of Revenue reprioritises existing funds to ensure that these government fiscal objectives are met.</w:t>
      </w:r>
      <w:r w:rsidR="00D51267" w:rsidRPr="007112B5">
        <w:rPr>
          <w:rFonts w:ascii="Times New Roman" w:eastAsiaTheme="minorHAnsi" w:hAnsi="Times New Roman"/>
          <w:color w:val="000000" w:themeColor="text1"/>
          <w:sz w:val="24"/>
          <w:szCs w:val="24"/>
        </w:rPr>
        <w:t xml:space="preserve"> Table 1 below indicates overall </w:t>
      </w:r>
      <w:r w:rsidR="007C038B" w:rsidRPr="007112B5">
        <w:rPr>
          <w:rFonts w:ascii="Times New Roman" w:eastAsiaTheme="minorHAnsi" w:hAnsi="Times New Roman"/>
          <w:color w:val="000000" w:themeColor="text1"/>
          <w:sz w:val="24"/>
          <w:szCs w:val="24"/>
        </w:rPr>
        <w:t xml:space="preserve">allocation to national, provincial and local spheres of government for 2020/21, 2021/22, 2022/23 financial years respectively. </w:t>
      </w:r>
    </w:p>
    <w:p w:rsidR="00E45122" w:rsidRPr="007112B5" w:rsidRDefault="00E45122" w:rsidP="000F3307">
      <w:pPr>
        <w:spacing w:after="0" w:line="360" w:lineRule="auto"/>
        <w:jc w:val="both"/>
        <w:rPr>
          <w:rFonts w:ascii="Times New Roman" w:eastAsiaTheme="minorHAnsi" w:hAnsi="Times New Roman"/>
          <w:color w:val="000000" w:themeColor="text1"/>
          <w:sz w:val="24"/>
          <w:szCs w:val="24"/>
        </w:rPr>
      </w:pPr>
    </w:p>
    <w:p w:rsidR="00E45122" w:rsidRDefault="00E45122" w:rsidP="000F3307">
      <w:pPr>
        <w:spacing w:after="0" w:line="360" w:lineRule="auto"/>
        <w:jc w:val="both"/>
        <w:rPr>
          <w:rFonts w:ascii="Times New Roman" w:eastAsiaTheme="minorHAnsi" w:hAnsi="Times New Roman"/>
          <w:color w:val="000000" w:themeColor="text1"/>
          <w:sz w:val="24"/>
          <w:szCs w:val="24"/>
        </w:rPr>
      </w:pPr>
    </w:p>
    <w:p w:rsidR="00875CDB" w:rsidRDefault="00875CDB" w:rsidP="000F3307">
      <w:pPr>
        <w:spacing w:after="0" w:line="360" w:lineRule="auto"/>
        <w:jc w:val="both"/>
        <w:rPr>
          <w:rFonts w:ascii="Times New Roman" w:eastAsiaTheme="minorHAnsi" w:hAnsi="Times New Roman"/>
          <w:color w:val="000000" w:themeColor="text1"/>
          <w:sz w:val="24"/>
          <w:szCs w:val="24"/>
        </w:rPr>
      </w:pPr>
    </w:p>
    <w:p w:rsidR="00875CDB" w:rsidRDefault="00875CDB" w:rsidP="000F3307">
      <w:pPr>
        <w:spacing w:after="0" w:line="360" w:lineRule="auto"/>
        <w:jc w:val="both"/>
        <w:rPr>
          <w:rFonts w:ascii="Times New Roman" w:eastAsiaTheme="minorHAnsi" w:hAnsi="Times New Roman"/>
          <w:color w:val="000000" w:themeColor="text1"/>
          <w:sz w:val="24"/>
          <w:szCs w:val="24"/>
        </w:rPr>
      </w:pPr>
    </w:p>
    <w:p w:rsidR="00E45122" w:rsidRPr="007112B5" w:rsidRDefault="00E45122" w:rsidP="000F3307">
      <w:pPr>
        <w:spacing w:after="0" w:line="360" w:lineRule="auto"/>
        <w:jc w:val="both"/>
        <w:rPr>
          <w:rFonts w:ascii="Times New Roman" w:eastAsiaTheme="minorHAnsi" w:hAnsi="Times New Roman"/>
          <w:color w:val="000000" w:themeColor="text1"/>
          <w:sz w:val="24"/>
          <w:szCs w:val="24"/>
        </w:rPr>
      </w:pPr>
    </w:p>
    <w:p w:rsidR="00066D81" w:rsidRPr="007112B5" w:rsidRDefault="00445E9E" w:rsidP="00ED5D61">
      <w:pPr>
        <w:spacing w:after="0" w:line="360" w:lineRule="auto"/>
        <w:jc w:val="both"/>
        <w:rPr>
          <w:rFonts w:ascii="Times New Roman" w:eastAsiaTheme="minorHAnsi" w:hAnsi="Times New Roman"/>
          <w:b/>
          <w:color w:val="000000" w:themeColor="text1"/>
          <w:sz w:val="24"/>
          <w:szCs w:val="24"/>
        </w:rPr>
      </w:pPr>
      <w:r w:rsidRPr="007112B5">
        <w:rPr>
          <w:rFonts w:ascii="Times New Roman" w:eastAsiaTheme="minorHAnsi" w:hAnsi="Times New Roman"/>
          <w:b/>
          <w:color w:val="000000" w:themeColor="text1"/>
          <w:sz w:val="24"/>
          <w:szCs w:val="24"/>
        </w:rPr>
        <w:t xml:space="preserve">Table 1: </w:t>
      </w:r>
      <w:r w:rsidR="00916357" w:rsidRPr="007112B5">
        <w:rPr>
          <w:rFonts w:ascii="Times New Roman" w:eastAsiaTheme="minorHAnsi" w:hAnsi="Times New Roman"/>
          <w:b/>
          <w:color w:val="000000" w:themeColor="text1"/>
          <w:sz w:val="24"/>
          <w:szCs w:val="24"/>
        </w:rPr>
        <w:t xml:space="preserve">Equitable </w:t>
      </w:r>
      <w:r w:rsidRPr="007112B5">
        <w:rPr>
          <w:rFonts w:ascii="Times New Roman" w:eastAsiaTheme="minorHAnsi" w:hAnsi="Times New Roman"/>
          <w:b/>
          <w:color w:val="000000" w:themeColor="text1"/>
          <w:sz w:val="24"/>
          <w:szCs w:val="24"/>
        </w:rPr>
        <w:t>Division of Revenue</w:t>
      </w:r>
      <w:r w:rsidR="00916357" w:rsidRPr="007112B5">
        <w:rPr>
          <w:rFonts w:ascii="Times New Roman" w:eastAsiaTheme="minorHAnsi" w:hAnsi="Times New Roman"/>
          <w:b/>
          <w:color w:val="000000" w:themeColor="text1"/>
          <w:sz w:val="24"/>
          <w:szCs w:val="24"/>
        </w:rPr>
        <w:t xml:space="preserve"> Raised Nationally</w:t>
      </w:r>
    </w:p>
    <w:tbl>
      <w:tblPr>
        <w:tblW w:w="8421" w:type="dxa"/>
        <w:tblLook w:val="04A0"/>
      </w:tblPr>
      <w:tblGrid>
        <w:gridCol w:w="3505"/>
        <w:gridCol w:w="1620"/>
        <w:gridCol w:w="1620"/>
        <w:gridCol w:w="1676"/>
      </w:tblGrid>
      <w:tr w:rsidR="00D51267" w:rsidRPr="007112B5" w:rsidTr="003354FD">
        <w:trPr>
          <w:trHeight w:val="374"/>
        </w:trPr>
        <w:tc>
          <w:tcPr>
            <w:tcW w:w="3505" w:type="dxa"/>
            <w:vMerge w:val="restart"/>
            <w:tcBorders>
              <w:top w:val="single" w:sz="4" w:space="0" w:color="auto"/>
              <w:left w:val="single" w:sz="4" w:space="0" w:color="auto"/>
              <w:right w:val="single" w:sz="12" w:space="0" w:color="auto"/>
            </w:tcBorders>
            <w:shd w:val="clear" w:color="auto" w:fill="auto"/>
            <w:noWrap/>
            <w:vAlign w:val="center"/>
            <w:hideMark/>
          </w:tcPr>
          <w:p w:rsidR="00D51267" w:rsidRPr="007112B5" w:rsidRDefault="00D51267" w:rsidP="003B7885">
            <w:pPr>
              <w:spacing w:after="0" w:line="240" w:lineRule="auto"/>
              <w:rPr>
                <w:rFonts w:ascii="Times New Roman" w:hAnsi="Times New Roman"/>
                <w:b/>
                <w:bCs/>
                <w:sz w:val="24"/>
                <w:szCs w:val="24"/>
              </w:rPr>
            </w:pPr>
            <w:r w:rsidRPr="007112B5">
              <w:rPr>
                <w:rFonts w:ascii="Times New Roman" w:hAnsi="Times New Roman"/>
                <w:b/>
                <w:bCs/>
                <w:sz w:val="24"/>
                <w:szCs w:val="24"/>
              </w:rPr>
              <w:t>Spheres of Government</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51267" w:rsidRPr="007112B5" w:rsidRDefault="00D51267" w:rsidP="003B7885">
            <w:pPr>
              <w:spacing w:after="0" w:line="240" w:lineRule="auto"/>
              <w:jc w:val="center"/>
              <w:rPr>
                <w:rFonts w:ascii="Times New Roman" w:hAnsi="Times New Roman"/>
                <w:b/>
                <w:bCs/>
                <w:sz w:val="24"/>
                <w:szCs w:val="24"/>
              </w:rPr>
            </w:pPr>
            <w:r w:rsidRPr="007112B5">
              <w:rPr>
                <w:rFonts w:ascii="Times New Roman" w:hAnsi="Times New Roman"/>
                <w:b/>
                <w:bCs/>
                <w:sz w:val="24"/>
                <w:szCs w:val="24"/>
              </w:rPr>
              <w:t>Column A</w:t>
            </w:r>
          </w:p>
        </w:tc>
        <w:tc>
          <w:tcPr>
            <w:tcW w:w="329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D51267" w:rsidRPr="007112B5" w:rsidRDefault="00D51267" w:rsidP="003B7885">
            <w:pPr>
              <w:spacing w:after="0" w:line="240" w:lineRule="auto"/>
              <w:jc w:val="center"/>
              <w:rPr>
                <w:rFonts w:ascii="Times New Roman" w:hAnsi="Times New Roman"/>
                <w:b/>
                <w:bCs/>
                <w:sz w:val="24"/>
                <w:szCs w:val="24"/>
              </w:rPr>
            </w:pPr>
            <w:r w:rsidRPr="007112B5">
              <w:rPr>
                <w:rFonts w:ascii="Times New Roman" w:hAnsi="Times New Roman"/>
                <w:b/>
                <w:bCs/>
                <w:sz w:val="24"/>
                <w:szCs w:val="24"/>
              </w:rPr>
              <w:t>Column B</w:t>
            </w:r>
          </w:p>
        </w:tc>
      </w:tr>
      <w:tr w:rsidR="00D51267" w:rsidRPr="007112B5" w:rsidTr="003354FD">
        <w:trPr>
          <w:trHeight w:val="374"/>
        </w:trPr>
        <w:tc>
          <w:tcPr>
            <w:tcW w:w="3505" w:type="dxa"/>
            <w:vMerge/>
            <w:tcBorders>
              <w:left w:val="single" w:sz="4" w:space="0" w:color="auto"/>
              <w:right w:val="single" w:sz="12" w:space="0" w:color="auto"/>
            </w:tcBorders>
            <w:shd w:val="clear" w:color="auto" w:fill="auto"/>
            <w:noWrap/>
          </w:tcPr>
          <w:p w:rsidR="00D51267" w:rsidRPr="007112B5" w:rsidRDefault="00D51267" w:rsidP="003B7885">
            <w:pPr>
              <w:spacing w:after="0" w:line="240" w:lineRule="auto"/>
              <w:rPr>
                <w:rFonts w:ascii="Times New Roman" w:hAnsi="Times New Roman"/>
                <w:sz w:val="24"/>
                <w:szCs w:val="24"/>
              </w:rPr>
            </w:pPr>
          </w:p>
        </w:tc>
        <w:tc>
          <w:tcPr>
            <w:tcW w:w="1620" w:type="dxa"/>
            <w:vMerge w:val="restart"/>
            <w:tcBorders>
              <w:top w:val="single" w:sz="12" w:space="0" w:color="auto"/>
              <w:left w:val="single" w:sz="12" w:space="0" w:color="auto"/>
              <w:right w:val="single" w:sz="12" w:space="0" w:color="auto"/>
            </w:tcBorders>
            <w:shd w:val="clear" w:color="auto" w:fill="auto"/>
            <w:noWrap/>
          </w:tcPr>
          <w:p w:rsidR="00D51267" w:rsidRPr="007112B5" w:rsidRDefault="00D51267" w:rsidP="00D51267">
            <w:pPr>
              <w:spacing w:after="0" w:line="240" w:lineRule="auto"/>
              <w:jc w:val="right"/>
              <w:rPr>
                <w:rFonts w:ascii="Times New Roman" w:hAnsi="Times New Roman"/>
                <w:b/>
                <w:bCs/>
                <w:sz w:val="24"/>
                <w:szCs w:val="24"/>
              </w:rPr>
            </w:pPr>
          </w:p>
          <w:p w:rsidR="00D51267" w:rsidRPr="007112B5" w:rsidRDefault="00D51267" w:rsidP="00916357">
            <w:pPr>
              <w:spacing w:after="0" w:line="240" w:lineRule="auto"/>
              <w:jc w:val="center"/>
              <w:rPr>
                <w:rFonts w:ascii="Times New Roman" w:hAnsi="Times New Roman"/>
                <w:sz w:val="24"/>
                <w:szCs w:val="24"/>
              </w:rPr>
            </w:pPr>
            <w:r w:rsidRPr="007112B5">
              <w:rPr>
                <w:rFonts w:ascii="Times New Roman" w:hAnsi="Times New Roman"/>
                <w:b/>
                <w:bCs/>
                <w:sz w:val="24"/>
                <w:szCs w:val="24"/>
              </w:rPr>
              <w:t>2020/21</w:t>
            </w:r>
            <w:r w:rsidR="00916357" w:rsidRPr="007112B5">
              <w:rPr>
                <w:rFonts w:ascii="Times New Roman" w:hAnsi="Times New Roman"/>
                <w:b/>
                <w:bCs/>
                <w:sz w:val="24"/>
                <w:szCs w:val="24"/>
              </w:rPr>
              <w:t xml:space="preserve"> (R’000)</w:t>
            </w:r>
          </w:p>
        </w:tc>
        <w:tc>
          <w:tcPr>
            <w:tcW w:w="3296" w:type="dxa"/>
            <w:gridSpan w:val="2"/>
            <w:tcBorders>
              <w:top w:val="single" w:sz="12" w:space="0" w:color="auto"/>
              <w:left w:val="single" w:sz="12" w:space="0" w:color="auto"/>
              <w:bottom w:val="single" w:sz="12" w:space="0" w:color="auto"/>
              <w:right w:val="single" w:sz="12" w:space="0" w:color="auto"/>
            </w:tcBorders>
            <w:shd w:val="clear" w:color="auto" w:fill="auto"/>
            <w:noWrap/>
          </w:tcPr>
          <w:p w:rsidR="00D51267" w:rsidRPr="007112B5" w:rsidRDefault="00D51267" w:rsidP="00CF337C">
            <w:pPr>
              <w:spacing w:after="0" w:line="240" w:lineRule="auto"/>
              <w:jc w:val="center"/>
              <w:rPr>
                <w:rFonts w:ascii="Times New Roman" w:hAnsi="Times New Roman"/>
                <w:b/>
                <w:sz w:val="24"/>
                <w:szCs w:val="24"/>
              </w:rPr>
            </w:pPr>
            <w:r w:rsidRPr="007112B5">
              <w:rPr>
                <w:rFonts w:ascii="Times New Roman" w:hAnsi="Times New Roman"/>
                <w:b/>
                <w:sz w:val="24"/>
                <w:szCs w:val="24"/>
              </w:rPr>
              <w:t>Forward Estimates</w:t>
            </w:r>
          </w:p>
        </w:tc>
      </w:tr>
      <w:tr w:rsidR="00D51267" w:rsidRPr="007112B5" w:rsidTr="003354FD">
        <w:trPr>
          <w:trHeight w:val="374"/>
        </w:trPr>
        <w:tc>
          <w:tcPr>
            <w:tcW w:w="3505" w:type="dxa"/>
            <w:vMerge/>
            <w:tcBorders>
              <w:left w:val="single" w:sz="4" w:space="0" w:color="auto"/>
              <w:bottom w:val="nil"/>
              <w:right w:val="single" w:sz="12" w:space="0" w:color="auto"/>
            </w:tcBorders>
            <w:shd w:val="clear" w:color="auto" w:fill="auto"/>
            <w:noWrap/>
          </w:tcPr>
          <w:p w:rsidR="00D51267" w:rsidRPr="007112B5" w:rsidRDefault="00D51267" w:rsidP="00D51267">
            <w:pPr>
              <w:spacing w:after="0" w:line="240" w:lineRule="auto"/>
              <w:rPr>
                <w:rFonts w:ascii="Times New Roman" w:hAnsi="Times New Roman"/>
                <w:sz w:val="24"/>
                <w:szCs w:val="24"/>
              </w:rPr>
            </w:pPr>
          </w:p>
        </w:tc>
        <w:tc>
          <w:tcPr>
            <w:tcW w:w="1620" w:type="dxa"/>
            <w:vMerge/>
            <w:tcBorders>
              <w:left w:val="single" w:sz="12" w:space="0" w:color="auto"/>
              <w:bottom w:val="single" w:sz="12" w:space="0" w:color="auto"/>
              <w:right w:val="single" w:sz="12" w:space="0" w:color="auto"/>
            </w:tcBorders>
            <w:shd w:val="clear" w:color="auto" w:fill="auto"/>
            <w:noWrap/>
            <w:vAlign w:val="center"/>
          </w:tcPr>
          <w:p w:rsidR="00D51267" w:rsidRPr="007112B5" w:rsidRDefault="00D51267" w:rsidP="00D51267">
            <w:pPr>
              <w:spacing w:after="0" w:line="240" w:lineRule="auto"/>
              <w:jc w:val="right"/>
              <w:rPr>
                <w:rFonts w:ascii="Times New Roman" w:hAnsi="Times New Roman"/>
                <w:sz w:val="24"/>
                <w:szCs w:val="24"/>
              </w:rPr>
            </w:pP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51267" w:rsidRPr="007112B5" w:rsidRDefault="00D51267" w:rsidP="00CF337C">
            <w:pPr>
              <w:spacing w:after="0" w:line="240" w:lineRule="auto"/>
              <w:jc w:val="center"/>
              <w:rPr>
                <w:rFonts w:ascii="Times New Roman" w:hAnsi="Times New Roman"/>
                <w:sz w:val="24"/>
                <w:szCs w:val="24"/>
              </w:rPr>
            </w:pPr>
            <w:r w:rsidRPr="007112B5">
              <w:rPr>
                <w:rFonts w:ascii="Times New Roman" w:hAnsi="Times New Roman"/>
                <w:b/>
                <w:bCs/>
                <w:sz w:val="24"/>
                <w:szCs w:val="24"/>
              </w:rPr>
              <w:t>2021/22</w:t>
            </w:r>
            <w:r w:rsidR="00916357" w:rsidRPr="007112B5">
              <w:rPr>
                <w:rFonts w:ascii="Times New Roman" w:hAnsi="Times New Roman"/>
                <w:b/>
                <w:bCs/>
                <w:sz w:val="24"/>
                <w:szCs w:val="24"/>
              </w:rPr>
              <w:t xml:space="preserve"> (R’000)</w:t>
            </w:r>
          </w:p>
        </w:tc>
        <w:tc>
          <w:tcPr>
            <w:tcW w:w="167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51267" w:rsidRPr="007112B5" w:rsidRDefault="00D51267" w:rsidP="00CF337C">
            <w:pPr>
              <w:spacing w:after="0" w:line="240" w:lineRule="auto"/>
              <w:jc w:val="center"/>
              <w:rPr>
                <w:rFonts w:ascii="Times New Roman" w:hAnsi="Times New Roman"/>
                <w:sz w:val="24"/>
                <w:szCs w:val="24"/>
              </w:rPr>
            </w:pPr>
            <w:r w:rsidRPr="007112B5">
              <w:rPr>
                <w:rFonts w:ascii="Times New Roman" w:hAnsi="Times New Roman"/>
                <w:b/>
                <w:bCs/>
                <w:sz w:val="24"/>
                <w:szCs w:val="24"/>
              </w:rPr>
              <w:t>2022/23</w:t>
            </w:r>
            <w:r w:rsidR="00916357" w:rsidRPr="007112B5">
              <w:rPr>
                <w:rFonts w:ascii="Times New Roman" w:hAnsi="Times New Roman"/>
                <w:b/>
                <w:bCs/>
                <w:sz w:val="24"/>
                <w:szCs w:val="24"/>
              </w:rPr>
              <w:t xml:space="preserve"> (R’000)</w:t>
            </w:r>
          </w:p>
        </w:tc>
      </w:tr>
      <w:tr w:rsidR="00D51267" w:rsidRPr="007112B5" w:rsidTr="003354FD">
        <w:trPr>
          <w:trHeight w:val="374"/>
        </w:trPr>
        <w:tc>
          <w:tcPr>
            <w:tcW w:w="3505" w:type="dxa"/>
            <w:tcBorders>
              <w:top w:val="single" w:sz="4" w:space="0" w:color="000000"/>
              <w:left w:val="single" w:sz="4" w:space="0" w:color="auto"/>
              <w:bottom w:val="nil"/>
              <w:right w:val="single" w:sz="12" w:space="0" w:color="auto"/>
            </w:tcBorders>
            <w:shd w:val="clear" w:color="auto" w:fill="auto"/>
            <w:noWrap/>
            <w:hideMark/>
          </w:tcPr>
          <w:p w:rsidR="00D51267" w:rsidRPr="007112B5" w:rsidRDefault="00D51267" w:rsidP="00D51267">
            <w:pPr>
              <w:spacing w:after="0" w:line="240" w:lineRule="auto"/>
              <w:rPr>
                <w:rFonts w:ascii="Times New Roman" w:hAnsi="Times New Roman"/>
                <w:sz w:val="24"/>
                <w:szCs w:val="24"/>
              </w:rPr>
            </w:pPr>
            <w:r w:rsidRPr="007112B5">
              <w:rPr>
                <w:rFonts w:ascii="Times New Roman" w:hAnsi="Times New Roman"/>
                <w:sz w:val="24"/>
                <w:szCs w:val="24"/>
              </w:rPr>
              <w:t>National allocations</w:t>
            </w:r>
            <w:r w:rsidR="00CF337C" w:rsidRPr="007112B5">
              <w:rPr>
                <w:rFonts w:ascii="Times New Roman" w:hAnsi="Times New Roman"/>
                <w:b/>
                <w:sz w:val="24"/>
                <w:szCs w:val="24"/>
                <w:vertAlign w:val="superscript"/>
              </w:rPr>
              <w:t>1,2</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hideMark/>
          </w:tcPr>
          <w:p w:rsidR="00D51267" w:rsidRPr="007112B5" w:rsidRDefault="00D51267" w:rsidP="00D51267">
            <w:pPr>
              <w:spacing w:after="0" w:line="240" w:lineRule="auto"/>
              <w:rPr>
                <w:rFonts w:ascii="Times New Roman" w:hAnsi="Times New Roman"/>
                <w:sz w:val="24"/>
                <w:szCs w:val="24"/>
              </w:rPr>
            </w:pPr>
            <w:r w:rsidRPr="007112B5">
              <w:rPr>
                <w:rFonts w:ascii="Times New Roman" w:hAnsi="Times New Roman"/>
                <w:sz w:val="24"/>
                <w:szCs w:val="24"/>
              </w:rPr>
              <w:t xml:space="preserve">1 152 839 556     </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hideMark/>
          </w:tcPr>
          <w:p w:rsidR="00D51267" w:rsidRPr="007112B5" w:rsidRDefault="003354FD" w:rsidP="003354FD">
            <w:pPr>
              <w:spacing w:after="0" w:line="240" w:lineRule="auto"/>
              <w:rPr>
                <w:rFonts w:ascii="Times New Roman" w:hAnsi="Times New Roman"/>
                <w:sz w:val="24"/>
                <w:szCs w:val="24"/>
              </w:rPr>
            </w:pPr>
            <w:r w:rsidRPr="007112B5">
              <w:rPr>
                <w:rFonts w:ascii="Times New Roman" w:hAnsi="Times New Roman"/>
                <w:sz w:val="24"/>
                <w:szCs w:val="24"/>
              </w:rPr>
              <w:t xml:space="preserve">1 195 617 107  </w:t>
            </w:r>
          </w:p>
        </w:tc>
        <w:tc>
          <w:tcPr>
            <w:tcW w:w="1676" w:type="dxa"/>
            <w:tcBorders>
              <w:top w:val="single" w:sz="12" w:space="0" w:color="auto"/>
              <w:left w:val="single" w:sz="12" w:space="0" w:color="auto"/>
              <w:bottom w:val="single" w:sz="12" w:space="0" w:color="auto"/>
              <w:right w:val="single" w:sz="12" w:space="0" w:color="auto"/>
            </w:tcBorders>
            <w:shd w:val="clear" w:color="auto" w:fill="auto"/>
            <w:noWrap/>
            <w:hideMark/>
          </w:tcPr>
          <w:p w:rsidR="00D51267" w:rsidRPr="007112B5" w:rsidRDefault="003354FD" w:rsidP="003354FD">
            <w:pPr>
              <w:spacing w:after="0" w:line="240" w:lineRule="auto"/>
              <w:jc w:val="both"/>
              <w:rPr>
                <w:rFonts w:ascii="Times New Roman" w:hAnsi="Times New Roman"/>
                <w:sz w:val="24"/>
                <w:szCs w:val="24"/>
              </w:rPr>
            </w:pPr>
            <w:r w:rsidRPr="007112B5">
              <w:rPr>
                <w:rFonts w:ascii="Times New Roman" w:hAnsi="Times New Roman"/>
                <w:sz w:val="24"/>
                <w:szCs w:val="24"/>
              </w:rPr>
              <w:t>1 245 458 677</w:t>
            </w:r>
          </w:p>
        </w:tc>
      </w:tr>
      <w:tr w:rsidR="00D51267" w:rsidRPr="007112B5" w:rsidTr="003354FD">
        <w:trPr>
          <w:trHeight w:val="374"/>
        </w:trPr>
        <w:tc>
          <w:tcPr>
            <w:tcW w:w="3505" w:type="dxa"/>
            <w:tcBorders>
              <w:top w:val="nil"/>
              <w:left w:val="single" w:sz="4" w:space="0" w:color="auto"/>
              <w:bottom w:val="nil"/>
              <w:right w:val="single" w:sz="12" w:space="0" w:color="auto"/>
            </w:tcBorders>
            <w:shd w:val="clear" w:color="auto" w:fill="auto"/>
            <w:noWrap/>
            <w:hideMark/>
          </w:tcPr>
          <w:p w:rsidR="00D51267" w:rsidRPr="007112B5" w:rsidRDefault="00D51267" w:rsidP="00D51267">
            <w:pPr>
              <w:spacing w:after="0" w:line="240" w:lineRule="auto"/>
              <w:rPr>
                <w:rFonts w:ascii="Times New Roman" w:hAnsi="Times New Roman"/>
                <w:sz w:val="24"/>
                <w:szCs w:val="24"/>
              </w:rPr>
            </w:pPr>
            <w:r w:rsidRPr="007112B5">
              <w:rPr>
                <w:rFonts w:ascii="Times New Roman" w:hAnsi="Times New Roman"/>
                <w:sz w:val="24"/>
                <w:szCs w:val="24"/>
              </w:rPr>
              <w:t>Provincial allocations</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hideMark/>
          </w:tcPr>
          <w:p w:rsidR="00D51267" w:rsidRPr="007112B5" w:rsidRDefault="003354FD" w:rsidP="003354FD">
            <w:pPr>
              <w:spacing w:after="0" w:line="240" w:lineRule="auto"/>
              <w:rPr>
                <w:rFonts w:ascii="Times New Roman" w:hAnsi="Times New Roman"/>
                <w:sz w:val="24"/>
                <w:szCs w:val="24"/>
              </w:rPr>
            </w:pPr>
            <w:r w:rsidRPr="007112B5">
              <w:rPr>
                <w:rFonts w:ascii="Times New Roman" w:hAnsi="Times New Roman"/>
                <w:sz w:val="24"/>
                <w:szCs w:val="24"/>
              </w:rPr>
              <w:t xml:space="preserve">   538 471 528 </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hideMark/>
          </w:tcPr>
          <w:p w:rsidR="00D51267" w:rsidRPr="007112B5" w:rsidRDefault="003354FD" w:rsidP="003354FD">
            <w:pPr>
              <w:spacing w:after="0" w:line="240" w:lineRule="auto"/>
              <w:rPr>
                <w:rFonts w:ascii="Times New Roman" w:hAnsi="Times New Roman"/>
                <w:sz w:val="24"/>
                <w:szCs w:val="24"/>
              </w:rPr>
            </w:pPr>
            <w:r w:rsidRPr="007112B5">
              <w:rPr>
                <w:rFonts w:ascii="Times New Roman" w:hAnsi="Times New Roman"/>
                <w:sz w:val="24"/>
                <w:szCs w:val="24"/>
              </w:rPr>
              <w:t xml:space="preserve">   573 989 526</w:t>
            </w:r>
          </w:p>
        </w:tc>
        <w:tc>
          <w:tcPr>
            <w:tcW w:w="1676" w:type="dxa"/>
            <w:tcBorders>
              <w:top w:val="single" w:sz="12" w:space="0" w:color="auto"/>
              <w:left w:val="single" w:sz="12" w:space="0" w:color="auto"/>
              <w:bottom w:val="single" w:sz="12" w:space="0" w:color="auto"/>
              <w:right w:val="single" w:sz="12" w:space="0" w:color="auto"/>
            </w:tcBorders>
            <w:shd w:val="clear" w:color="auto" w:fill="auto"/>
            <w:noWrap/>
            <w:hideMark/>
          </w:tcPr>
          <w:p w:rsidR="00D51267" w:rsidRPr="007112B5" w:rsidRDefault="003354FD" w:rsidP="003354FD">
            <w:pPr>
              <w:spacing w:after="0" w:line="240" w:lineRule="auto"/>
              <w:rPr>
                <w:rFonts w:ascii="Times New Roman" w:hAnsi="Times New Roman"/>
                <w:sz w:val="24"/>
                <w:szCs w:val="24"/>
              </w:rPr>
            </w:pPr>
            <w:r w:rsidRPr="007112B5">
              <w:rPr>
                <w:rFonts w:ascii="Times New Roman" w:hAnsi="Times New Roman"/>
                <w:sz w:val="24"/>
                <w:szCs w:val="24"/>
              </w:rPr>
              <w:t xml:space="preserve">   607 553 532</w:t>
            </w:r>
          </w:p>
        </w:tc>
      </w:tr>
      <w:tr w:rsidR="00D51267" w:rsidRPr="007112B5" w:rsidTr="003354FD">
        <w:trPr>
          <w:trHeight w:val="374"/>
        </w:trPr>
        <w:tc>
          <w:tcPr>
            <w:tcW w:w="3505" w:type="dxa"/>
            <w:tcBorders>
              <w:top w:val="nil"/>
              <w:left w:val="single" w:sz="4" w:space="0" w:color="auto"/>
              <w:bottom w:val="single" w:sz="12" w:space="0" w:color="auto"/>
              <w:right w:val="single" w:sz="12" w:space="0" w:color="auto"/>
            </w:tcBorders>
            <w:shd w:val="clear" w:color="auto" w:fill="auto"/>
            <w:noWrap/>
            <w:hideMark/>
          </w:tcPr>
          <w:p w:rsidR="00D51267" w:rsidRPr="007112B5" w:rsidRDefault="00D51267" w:rsidP="00D51267">
            <w:pPr>
              <w:spacing w:after="0" w:line="240" w:lineRule="auto"/>
              <w:rPr>
                <w:rFonts w:ascii="Times New Roman" w:hAnsi="Times New Roman"/>
                <w:color w:val="000000"/>
                <w:sz w:val="24"/>
                <w:szCs w:val="24"/>
              </w:rPr>
            </w:pPr>
            <w:r w:rsidRPr="007112B5">
              <w:rPr>
                <w:rFonts w:ascii="Times New Roman" w:hAnsi="Times New Roman"/>
                <w:color w:val="000000"/>
                <w:sz w:val="24"/>
                <w:szCs w:val="24"/>
              </w:rPr>
              <w:t>Local government allocations</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hideMark/>
          </w:tcPr>
          <w:p w:rsidR="00D51267" w:rsidRPr="007112B5" w:rsidRDefault="003354FD" w:rsidP="003354FD">
            <w:pPr>
              <w:spacing w:after="0" w:line="240" w:lineRule="auto"/>
              <w:rPr>
                <w:rFonts w:ascii="Times New Roman" w:hAnsi="Times New Roman"/>
                <w:sz w:val="24"/>
                <w:szCs w:val="24"/>
              </w:rPr>
            </w:pPr>
            <w:r w:rsidRPr="007112B5">
              <w:rPr>
                <w:rFonts w:ascii="Times New Roman" w:hAnsi="Times New Roman"/>
                <w:sz w:val="24"/>
                <w:szCs w:val="24"/>
              </w:rPr>
              <w:t xml:space="preserve">     74 683 326</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hideMark/>
          </w:tcPr>
          <w:p w:rsidR="00D51267" w:rsidRPr="007112B5" w:rsidRDefault="003354FD" w:rsidP="003354FD">
            <w:pPr>
              <w:spacing w:after="0" w:line="240" w:lineRule="auto"/>
              <w:rPr>
                <w:rFonts w:ascii="Times New Roman" w:hAnsi="Times New Roman"/>
                <w:sz w:val="24"/>
                <w:szCs w:val="24"/>
              </w:rPr>
            </w:pPr>
            <w:r w:rsidRPr="007112B5">
              <w:rPr>
                <w:rFonts w:ascii="Times New Roman" w:hAnsi="Times New Roman"/>
                <w:sz w:val="24"/>
                <w:szCs w:val="24"/>
              </w:rPr>
              <w:t xml:space="preserve">     81 061 819</w:t>
            </w:r>
          </w:p>
        </w:tc>
        <w:tc>
          <w:tcPr>
            <w:tcW w:w="1676" w:type="dxa"/>
            <w:tcBorders>
              <w:top w:val="single" w:sz="12" w:space="0" w:color="auto"/>
              <w:left w:val="single" w:sz="12" w:space="0" w:color="auto"/>
              <w:bottom w:val="single" w:sz="12" w:space="0" w:color="auto"/>
              <w:right w:val="single" w:sz="12" w:space="0" w:color="auto"/>
            </w:tcBorders>
            <w:shd w:val="clear" w:color="auto" w:fill="auto"/>
            <w:noWrap/>
            <w:hideMark/>
          </w:tcPr>
          <w:p w:rsidR="00D51267" w:rsidRPr="007112B5" w:rsidRDefault="003354FD" w:rsidP="003354FD">
            <w:pPr>
              <w:spacing w:after="0" w:line="240" w:lineRule="auto"/>
              <w:rPr>
                <w:rFonts w:ascii="Times New Roman" w:hAnsi="Times New Roman"/>
                <w:sz w:val="24"/>
                <w:szCs w:val="24"/>
              </w:rPr>
            </w:pPr>
            <w:r w:rsidRPr="007112B5">
              <w:rPr>
                <w:rFonts w:ascii="Times New Roman" w:hAnsi="Times New Roman"/>
                <w:sz w:val="24"/>
                <w:szCs w:val="24"/>
              </w:rPr>
              <w:t xml:space="preserve">     87 212 717</w:t>
            </w:r>
          </w:p>
        </w:tc>
      </w:tr>
      <w:tr w:rsidR="00D51267" w:rsidRPr="007112B5" w:rsidTr="003354FD">
        <w:trPr>
          <w:trHeight w:val="374"/>
        </w:trPr>
        <w:tc>
          <w:tcPr>
            <w:tcW w:w="3505" w:type="dxa"/>
            <w:tcBorders>
              <w:top w:val="single" w:sz="4" w:space="0" w:color="000000"/>
              <w:left w:val="single" w:sz="12" w:space="0" w:color="auto"/>
              <w:bottom w:val="single" w:sz="12" w:space="0" w:color="auto"/>
              <w:right w:val="single" w:sz="12" w:space="0" w:color="auto"/>
            </w:tcBorders>
            <w:shd w:val="clear" w:color="auto" w:fill="auto"/>
            <w:noWrap/>
            <w:hideMark/>
          </w:tcPr>
          <w:p w:rsidR="00D51267" w:rsidRPr="007112B5" w:rsidRDefault="00D51267" w:rsidP="00D51267">
            <w:pPr>
              <w:spacing w:after="0" w:line="240" w:lineRule="auto"/>
              <w:rPr>
                <w:rFonts w:ascii="Times New Roman" w:hAnsi="Times New Roman"/>
                <w:b/>
                <w:bCs/>
                <w:color w:val="000000"/>
                <w:sz w:val="24"/>
                <w:szCs w:val="24"/>
              </w:rPr>
            </w:pPr>
            <w:r w:rsidRPr="007112B5">
              <w:rPr>
                <w:rFonts w:ascii="Times New Roman" w:hAnsi="Times New Roman"/>
                <w:b/>
                <w:bCs/>
                <w:color w:val="000000"/>
                <w:sz w:val="24"/>
                <w:szCs w:val="24"/>
              </w:rPr>
              <w:t>Total allocations</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hideMark/>
          </w:tcPr>
          <w:p w:rsidR="00D51267" w:rsidRPr="007112B5" w:rsidRDefault="003354FD" w:rsidP="003354FD">
            <w:pPr>
              <w:spacing w:after="0" w:line="240" w:lineRule="auto"/>
              <w:rPr>
                <w:rFonts w:ascii="Times New Roman" w:hAnsi="Times New Roman"/>
                <w:b/>
                <w:bCs/>
                <w:sz w:val="24"/>
                <w:szCs w:val="24"/>
              </w:rPr>
            </w:pPr>
            <w:r w:rsidRPr="007112B5">
              <w:rPr>
                <w:rFonts w:ascii="Times New Roman" w:hAnsi="Times New Roman"/>
                <w:b/>
                <w:bCs/>
                <w:sz w:val="24"/>
                <w:szCs w:val="24"/>
              </w:rPr>
              <w:t xml:space="preserve">1 765 994 410  </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hideMark/>
          </w:tcPr>
          <w:p w:rsidR="00D51267" w:rsidRPr="007112B5" w:rsidRDefault="00C164BB" w:rsidP="003354FD">
            <w:pPr>
              <w:spacing w:after="0" w:line="240" w:lineRule="auto"/>
              <w:rPr>
                <w:rFonts w:ascii="Times New Roman" w:hAnsi="Times New Roman"/>
                <w:b/>
                <w:bCs/>
                <w:sz w:val="24"/>
                <w:szCs w:val="24"/>
              </w:rPr>
            </w:pPr>
            <w:r w:rsidRPr="007112B5">
              <w:rPr>
                <w:rFonts w:ascii="Times New Roman" w:hAnsi="Times New Roman"/>
                <w:b/>
                <w:bCs/>
                <w:sz w:val="24"/>
                <w:szCs w:val="24"/>
              </w:rPr>
              <w:t>1 850 668 452</w:t>
            </w:r>
          </w:p>
        </w:tc>
        <w:tc>
          <w:tcPr>
            <w:tcW w:w="1676" w:type="dxa"/>
            <w:tcBorders>
              <w:top w:val="single" w:sz="12" w:space="0" w:color="auto"/>
              <w:left w:val="single" w:sz="12" w:space="0" w:color="auto"/>
              <w:bottom w:val="single" w:sz="12" w:space="0" w:color="auto"/>
              <w:right w:val="single" w:sz="12" w:space="0" w:color="auto"/>
            </w:tcBorders>
            <w:shd w:val="clear" w:color="auto" w:fill="auto"/>
            <w:noWrap/>
            <w:hideMark/>
          </w:tcPr>
          <w:p w:rsidR="00D51267" w:rsidRPr="007112B5" w:rsidRDefault="00C164BB" w:rsidP="00C164BB">
            <w:pPr>
              <w:spacing w:after="0" w:line="240" w:lineRule="auto"/>
              <w:rPr>
                <w:rFonts w:ascii="Times New Roman" w:hAnsi="Times New Roman"/>
                <w:b/>
                <w:bCs/>
                <w:sz w:val="24"/>
                <w:szCs w:val="24"/>
              </w:rPr>
            </w:pPr>
            <w:r w:rsidRPr="007112B5">
              <w:rPr>
                <w:rFonts w:ascii="Times New Roman" w:hAnsi="Times New Roman"/>
                <w:b/>
                <w:bCs/>
                <w:sz w:val="24"/>
                <w:szCs w:val="24"/>
              </w:rPr>
              <w:t>1 940 224 926</w:t>
            </w:r>
          </w:p>
        </w:tc>
      </w:tr>
    </w:tbl>
    <w:p w:rsidR="003B7885" w:rsidRPr="007112B5" w:rsidRDefault="00CF337C" w:rsidP="00CF337C">
      <w:pPr>
        <w:pStyle w:val="ListParagraph"/>
        <w:numPr>
          <w:ilvl w:val="0"/>
          <w:numId w:val="5"/>
        </w:numPr>
        <w:spacing w:after="0" w:line="240" w:lineRule="auto"/>
        <w:jc w:val="both"/>
        <w:rPr>
          <w:rFonts w:ascii="Times New Roman" w:eastAsiaTheme="minorHAnsi" w:hAnsi="Times New Roman"/>
          <w:i/>
          <w:color w:val="000000" w:themeColor="text1"/>
          <w:sz w:val="18"/>
          <w:szCs w:val="24"/>
        </w:rPr>
      </w:pPr>
      <w:r w:rsidRPr="007112B5">
        <w:rPr>
          <w:rFonts w:ascii="Times New Roman" w:eastAsiaTheme="minorHAnsi" w:hAnsi="Times New Roman"/>
          <w:i/>
          <w:color w:val="000000" w:themeColor="text1"/>
          <w:sz w:val="18"/>
          <w:szCs w:val="24"/>
        </w:rPr>
        <w:t>The National share includes conditional allocations to provincial and local spheres, general fuel levy sharing with metropolitan municipalities, debt-service costs, the contingency reserve and provisional allocation</w:t>
      </w:r>
    </w:p>
    <w:p w:rsidR="00CF337C" w:rsidRPr="007112B5" w:rsidRDefault="00CF337C" w:rsidP="00CF337C">
      <w:pPr>
        <w:pStyle w:val="ListParagraph"/>
        <w:numPr>
          <w:ilvl w:val="0"/>
          <w:numId w:val="5"/>
        </w:numPr>
        <w:spacing w:after="0" w:line="240" w:lineRule="auto"/>
        <w:jc w:val="both"/>
        <w:rPr>
          <w:rFonts w:ascii="Times New Roman" w:eastAsiaTheme="minorHAnsi" w:hAnsi="Times New Roman"/>
          <w:i/>
          <w:color w:val="000000" w:themeColor="text1"/>
          <w:sz w:val="18"/>
          <w:szCs w:val="24"/>
        </w:rPr>
      </w:pPr>
      <w:r w:rsidRPr="007112B5">
        <w:rPr>
          <w:rFonts w:ascii="Times New Roman" w:eastAsiaTheme="minorHAnsi" w:hAnsi="Times New Roman"/>
          <w:i/>
          <w:color w:val="000000" w:themeColor="text1"/>
          <w:sz w:val="18"/>
          <w:szCs w:val="24"/>
        </w:rPr>
        <w:t>The direct charges for the provincial equitable share are netted out</w:t>
      </w:r>
    </w:p>
    <w:p w:rsidR="00CF337C" w:rsidRPr="007112B5" w:rsidRDefault="00CF337C" w:rsidP="000F3307">
      <w:pPr>
        <w:spacing w:after="0" w:line="360" w:lineRule="auto"/>
        <w:jc w:val="both"/>
        <w:rPr>
          <w:rFonts w:ascii="Times New Roman" w:eastAsiaTheme="minorHAnsi" w:hAnsi="Times New Roman"/>
          <w:color w:val="000000" w:themeColor="text1"/>
          <w:sz w:val="24"/>
          <w:szCs w:val="24"/>
        </w:rPr>
      </w:pPr>
    </w:p>
    <w:p w:rsidR="00D74216" w:rsidRPr="007112B5" w:rsidRDefault="00F17326" w:rsidP="00E45122">
      <w:pPr>
        <w:pStyle w:val="ListParagraph"/>
        <w:numPr>
          <w:ilvl w:val="1"/>
          <w:numId w:val="2"/>
        </w:numPr>
        <w:tabs>
          <w:tab w:val="left" w:pos="284"/>
          <w:tab w:val="left" w:pos="567"/>
        </w:tabs>
        <w:spacing w:before="240" w:after="0" w:line="360" w:lineRule="auto"/>
        <w:jc w:val="both"/>
        <w:rPr>
          <w:rFonts w:ascii="Times New Roman" w:hAnsi="Times New Roman"/>
          <w:b/>
          <w:sz w:val="24"/>
          <w:szCs w:val="24"/>
        </w:rPr>
      </w:pPr>
      <w:r w:rsidRPr="007112B5">
        <w:rPr>
          <w:rFonts w:ascii="Times New Roman" w:hAnsi="Times New Roman"/>
          <w:b/>
          <w:sz w:val="24"/>
          <w:szCs w:val="24"/>
        </w:rPr>
        <w:t xml:space="preserve">Main Budget Allocation </w:t>
      </w:r>
    </w:p>
    <w:p w:rsidR="00D74216" w:rsidRPr="007112B5" w:rsidRDefault="00D74216" w:rsidP="00E45122">
      <w:pPr>
        <w:tabs>
          <w:tab w:val="left" w:pos="284"/>
          <w:tab w:val="left" w:pos="567"/>
        </w:tabs>
        <w:spacing w:before="240" w:after="0" w:line="360" w:lineRule="auto"/>
        <w:jc w:val="both"/>
        <w:rPr>
          <w:rFonts w:ascii="Times New Roman" w:hAnsi="Times New Roman"/>
          <w:sz w:val="24"/>
          <w:szCs w:val="24"/>
        </w:rPr>
      </w:pPr>
      <w:r w:rsidRPr="007112B5">
        <w:rPr>
          <w:rFonts w:ascii="Times New Roman" w:hAnsi="Times New Roman"/>
          <w:sz w:val="24"/>
          <w:szCs w:val="24"/>
        </w:rPr>
        <w:t xml:space="preserve">Over the medium-term expenditure framework (MTEF) period, after budgeting for debt-service costs, the contingency reserve and provisional allocations, 48.2 per cent of nationally raised revenue are allocated to the national government, 43 per cent to provincial government and 8.8 per cent to local government. Furthermore, it worth noting that the proposed changes to the public sector wage bill are not yet reflected in the allocations to the national and provincial </w:t>
      </w:r>
      <w:r w:rsidR="00634524" w:rsidRPr="007112B5">
        <w:rPr>
          <w:rFonts w:ascii="Times New Roman" w:hAnsi="Times New Roman"/>
          <w:sz w:val="24"/>
          <w:szCs w:val="24"/>
        </w:rPr>
        <w:t xml:space="preserve">government </w:t>
      </w:r>
      <w:r w:rsidRPr="007112B5">
        <w:rPr>
          <w:rFonts w:ascii="Times New Roman" w:hAnsi="Times New Roman"/>
          <w:sz w:val="24"/>
          <w:szCs w:val="24"/>
        </w:rPr>
        <w:t xml:space="preserve">department allocation or in the equitable share allocation in the Division of </w:t>
      </w:r>
      <w:r w:rsidR="005D6CB0" w:rsidRPr="007112B5">
        <w:rPr>
          <w:rFonts w:ascii="Times New Roman" w:hAnsi="Times New Roman"/>
          <w:sz w:val="24"/>
          <w:szCs w:val="24"/>
        </w:rPr>
        <w:t xml:space="preserve">Revenue Bill. Once these changes have been agreed on in the Public Service Co-ordinating Bargaining Council, they will be implement in the 2020/21 adjustment budget. </w:t>
      </w:r>
      <w:r w:rsidR="00FC3137" w:rsidRPr="007112B5">
        <w:rPr>
          <w:rFonts w:ascii="Times New Roman" w:hAnsi="Times New Roman"/>
          <w:sz w:val="24"/>
          <w:szCs w:val="24"/>
        </w:rPr>
        <w:t xml:space="preserve">This will reduce the national and provincial share of the division of revenue and increase that of local government in relative terms. </w:t>
      </w:r>
      <w:r w:rsidR="009F1CEE" w:rsidRPr="007112B5">
        <w:rPr>
          <w:rFonts w:ascii="Times New Roman" w:hAnsi="Times New Roman"/>
          <w:sz w:val="24"/>
          <w:szCs w:val="24"/>
        </w:rPr>
        <w:t xml:space="preserve">The share in the Division of Revenue is also sensitive to the increase </w:t>
      </w:r>
      <w:r w:rsidR="00CA4C39">
        <w:rPr>
          <w:rFonts w:ascii="Times New Roman" w:hAnsi="Times New Roman"/>
          <w:sz w:val="24"/>
          <w:szCs w:val="24"/>
        </w:rPr>
        <w:t xml:space="preserve">of </w:t>
      </w:r>
      <w:r w:rsidR="009F1CEE" w:rsidRPr="007112B5">
        <w:rPr>
          <w:rFonts w:ascii="Times New Roman" w:hAnsi="Times New Roman"/>
          <w:sz w:val="24"/>
          <w:szCs w:val="24"/>
        </w:rPr>
        <w:t>support of public entities,</w:t>
      </w:r>
      <w:r w:rsidR="00591934" w:rsidRPr="007112B5">
        <w:rPr>
          <w:rFonts w:ascii="Times New Roman" w:hAnsi="Times New Roman"/>
          <w:sz w:val="24"/>
          <w:szCs w:val="24"/>
        </w:rPr>
        <w:t xml:space="preserve"> which is provided for at</w:t>
      </w:r>
      <w:r w:rsidR="009F1CEE" w:rsidRPr="007112B5">
        <w:rPr>
          <w:rFonts w:ascii="Times New Roman" w:hAnsi="Times New Roman"/>
          <w:sz w:val="24"/>
          <w:szCs w:val="24"/>
        </w:rPr>
        <w:t xml:space="preserve"> national government</w:t>
      </w:r>
      <w:r w:rsidR="00FC3137" w:rsidRPr="007112B5">
        <w:rPr>
          <w:rFonts w:ascii="Times New Roman" w:hAnsi="Times New Roman"/>
          <w:sz w:val="24"/>
          <w:szCs w:val="24"/>
        </w:rPr>
        <w:t xml:space="preserve"> and this explain</w:t>
      </w:r>
      <w:r w:rsidR="00CA4C39">
        <w:rPr>
          <w:rFonts w:ascii="Times New Roman" w:hAnsi="Times New Roman"/>
          <w:sz w:val="24"/>
          <w:szCs w:val="24"/>
        </w:rPr>
        <w:t>s</w:t>
      </w:r>
      <w:r w:rsidR="00FC3137" w:rsidRPr="007112B5">
        <w:rPr>
          <w:rFonts w:ascii="Times New Roman" w:hAnsi="Times New Roman"/>
          <w:sz w:val="24"/>
          <w:szCs w:val="24"/>
        </w:rPr>
        <w:t xml:space="preserve"> the somewhat larger share in 2019/20</w:t>
      </w:r>
      <w:r w:rsidR="009F1CEE" w:rsidRPr="007112B5">
        <w:rPr>
          <w:rFonts w:ascii="Times New Roman" w:hAnsi="Times New Roman"/>
          <w:sz w:val="24"/>
          <w:szCs w:val="24"/>
        </w:rPr>
        <w:t>. Table 2 below indicates the overview of the division of nationally raised re</w:t>
      </w:r>
      <w:r w:rsidR="00591934" w:rsidRPr="007112B5">
        <w:rPr>
          <w:rFonts w:ascii="Times New Roman" w:hAnsi="Times New Roman"/>
          <w:sz w:val="24"/>
          <w:szCs w:val="24"/>
        </w:rPr>
        <w:t>venue between the period 2016/17 and 2022/23.</w:t>
      </w:r>
      <w:r w:rsidR="00146CBB" w:rsidRPr="007112B5">
        <w:rPr>
          <w:rFonts w:ascii="Times New Roman" w:hAnsi="Times New Roman"/>
          <w:sz w:val="24"/>
          <w:szCs w:val="24"/>
        </w:rPr>
        <w:t xml:space="preserve"> The Division of Revenue Bill is redistributive as funds allocation are based on the demand for public service in each province and municipality, and not its contribution to national revenues. </w:t>
      </w:r>
    </w:p>
    <w:p w:rsidR="009A1A2C" w:rsidRPr="007112B5" w:rsidRDefault="009A1A2C" w:rsidP="00D74216">
      <w:pPr>
        <w:tabs>
          <w:tab w:val="left" w:pos="284"/>
          <w:tab w:val="left" w:pos="567"/>
        </w:tabs>
        <w:spacing w:after="0" w:line="360" w:lineRule="auto"/>
        <w:jc w:val="both"/>
        <w:rPr>
          <w:rFonts w:ascii="Times New Roman" w:hAnsi="Times New Roman"/>
          <w:sz w:val="24"/>
          <w:szCs w:val="24"/>
        </w:rPr>
      </w:pPr>
    </w:p>
    <w:p w:rsidR="009A1A2C" w:rsidRPr="007112B5" w:rsidRDefault="009A1A2C" w:rsidP="00D74216">
      <w:pPr>
        <w:tabs>
          <w:tab w:val="left" w:pos="284"/>
          <w:tab w:val="left" w:pos="567"/>
        </w:tabs>
        <w:spacing w:after="0" w:line="360" w:lineRule="auto"/>
        <w:jc w:val="both"/>
        <w:rPr>
          <w:rFonts w:ascii="Times New Roman" w:hAnsi="Times New Roman"/>
          <w:sz w:val="24"/>
          <w:szCs w:val="24"/>
        </w:rPr>
      </w:pPr>
    </w:p>
    <w:p w:rsidR="009A1A2C" w:rsidRPr="007112B5" w:rsidRDefault="009A1A2C" w:rsidP="00D74216">
      <w:pPr>
        <w:tabs>
          <w:tab w:val="left" w:pos="284"/>
          <w:tab w:val="left" w:pos="567"/>
        </w:tabs>
        <w:spacing w:after="0" w:line="360" w:lineRule="auto"/>
        <w:jc w:val="both"/>
        <w:rPr>
          <w:rFonts w:ascii="Times New Roman" w:hAnsi="Times New Roman"/>
          <w:sz w:val="24"/>
          <w:szCs w:val="24"/>
        </w:rPr>
      </w:pPr>
    </w:p>
    <w:p w:rsidR="009A1A2C" w:rsidRPr="007112B5" w:rsidRDefault="009A1A2C" w:rsidP="00D74216">
      <w:pPr>
        <w:tabs>
          <w:tab w:val="left" w:pos="284"/>
          <w:tab w:val="left" w:pos="567"/>
        </w:tabs>
        <w:spacing w:after="0" w:line="360" w:lineRule="auto"/>
        <w:jc w:val="both"/>
        <w:rPr>
          <w:rFonts w:ascii="Times New Roman" w:hAnsi="Times New Roman"/>
          <w:b/>
          <w:sz w:val="24"/>
          <w:szCs w:val="24"/>
        </w:rPr>
      </w:pPr>
      <w:r w:rsidRPr="007112B5">
        <w:rPr>
          <w:rFonts w:ascii="Times New Roman" w:hAnsi="Times New Roman"/>
          <w:b/>
          <w:sz w:val="24"/>
          <w:szCs w:val="24"/>
        </w:rPr>
        <w:t>Table 2: Division of Nationally raised revenue (2016/17-2022/23)</w:t>
      </w:r>
    </w:p>
    <w:p w:rsidR="00D74216" w:rsidRPr="007112B5" w:rsidRDefault="009A1A2C" w:rsidP="009A1A2C">
      <w:pPr>
        <w:tabs>
          <w:tab w:val="left" w:pos="284"/>
          <w:tab w:val="left" w:pos="567"/>
        </w:tabs>
        <w:spacing w:after="0" w:line="360" w:lineRule="auto"/>
        <w:jc w:val="both"/>
        <w:rPr>
          <w:rFonts w:ascii="Times New Roman" w:hAnsi="Times New Roman"/>
          <w:sz w:val="24"/>
          <w:szCs w:val="24"/>
        </w:rPr>
      </w:pPr>
      <w:r w:rsidRPr="007112B5">
        <w:rPr>
          <w:noProof/>
          <w:lang w:eastAsia="en-ZA"/>
        </w:rPr>
        <w:drawing>
          <wp:inline distT="0" distB="0" distL="0" distR="0">
            <wp:extent cx="5274310" cy="4965747"/>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4310" cy="4965747"/>
                    </a:xfrm>
                    <a:prstGeom prst="rect">
                      <a:avLst/>
                    </a:prstGeom>
                    <a:noFill/>
                    <a:ln>
                      <a:noFill/>
                    </a:ln>
                  </pic:spPr>
                </pic:pic>
              </a:graphicData>
            </a:graphic>
          </wp:inline>
        </w:drawing>
      </w:r>
    </w:p>
    <w:p w:rsidR="00F17326" w:rsidRPr="00ED79D4" w:rsidRDefault="009A1A2C" w:rsidP="001D2491">
      <w:pPr>
        <w:pStyle w:val="ListParagraph"/>
        <w:numPr>
          <w:ilvl w:val="0"/>
          <w:numId w:val="3"/>
        </w:numPr>
        <w:tabs>
          <w:tab w:val="left" w:pos="284"/>
          <w:tab w:val="left" w:pos="567"/>
        </w:tabs>
        <w:spacing w:after="0" w:line="240" w:lineRule="auto"/>
        <w:jc w:val="both"/>
        <w:rPr>
          <w:rFonts w:ascii="Times New Roman" w:hAnsi="Times New Roman"/>
          <w:i/>
          <w:sz w:val="18"/>
          <w:szCs w:val="24"/>
        </w:rPr>
      </w:pPr>
      <w:r w:rsidRPr="00ED79D4">
        <w:rPr>
          <w:rFonts w:ascii="Times New Roman" w:hAnsi="Times New Roman"/>
          <w:i/>
          <w:sz w:val="18"/>
          <w:szCs w:val="24"/>
        </w:rPr>
        <w:t xml:space="preserve">Includes proposed compensation reductions, support to Eskom, amounts for Budget Facility for Infrastructure projects and other provisional allocations  </w:t>
      </w:r>
    </w:p>
    <w:p w:rsidR="00F17326" w:rsidRPr="007112B5" w:rsidRDefault="00F17326" w:rsidP="005D5677">
      <w:pPr>
        <w:tabs>
          <w:tab w:val="left" w:pos="284"/>
          <w:tab w:val="left" w:pos="567"/>
        </w:tabs>
        <w:spacing w:after="0" w:line="240" w:lineRule="auto"/>
        <w:jc w:val="both"/>
        <w:rPr>
          <w:rFonts w:ascii="Times New Roman" w:hAnsi="Times New Roman"/>
          <w:b/>
          <w:sz w:val="24"/>
          <w:szCs w:val="24"/>
        </w:rPr>
      </w:pPr>
    </w:p>
    <w:p w:rsidR="00F17326" w:rsidRDefault="00F17326" w:rsidP="005D5677">
      <w:pPr>
        <w:tabs>
          <w:tab w:val="left" w:pos="284"/>
          <w:tab w:val="left" w:pos="567"/>
        </w:tabs>
        <w:spacing w:after="0" w:line="240" w:lineRule="auto"/>
        <w:jc w:val="both"/>
        <w:rPr>
          <w:rFonts w:ascii="Times New Roman" w:hAnsi="Times New Roman"/>
          <w:b/>
          <w:sz w:val="24"/>
          <w:szCs w:val="24"/>
        </w:rPr>
      </w:pPr>
    </w:p>
    <w:p w:rsidR="003E225E" w:rsidRDefault="00875CDB" w:rsidP="003E225E">
      <w:pPr>
        <w:pStyle w:val="ListParagraph"/>
        <w:numPr>
          <w:ilvl w:val="1"/>
          <w:numId w:val="2"/>
        </w:numPr>
        <w:tabs>
          <w:tab w:val="left" w:pos="284"/>
          <w:tab w:val="left" w:pos="567"/>
        </w:tabs>
        <w:spacing w:after="0" w:line="240" w:lineRule="auto"/>
        <w:jc w:val="both"/>
        <w:rPr>
          <w:rFonts w:ascii="Times New Roman" w:hAnsi="Times New Roman"/>
          <w:b/>
          <w:sz w:val="24"/>
          <w:szCs w:val="24"/>
        </w:rPr>
      </w:pPr>
      <w:r>
        <w:rPr>
          <w:rFonts w:ascii="Times New Roman" w:hAnsi="Times New Roman"/>
          <w:b/>
          <w:sz w:val="24"/>
          <w:szCs w:val="24"/>
        </w:rPr>
        <w:t>Overall changes to the c</w:t>
      </w:r>
      <w:r w:rsidR="003E225E">
        <w:rPr>
          <w:rFonts w:ascii="Times New Roman" w:hAnsi="Times New Roman"/>
          <w:b/>
          <w:sz w:val="24"/>
          <w:szCs w:val="24"/>
        </w:rPr>
        <w:t xml:space="preserve">lauses </w:t>
      </w:r>
      <w:r>
        <w:rPr>
          <w:rFonts w:ascii="Times New Roman" w:hAnsi="Times New Roman"/>
          <w:b/>
          <w:sz w:val="24"/>
          <w:szCs w:val="24"/>
        </w:rPr>
        <w:t>in the Bill</w:t>
      </w:r>
    </w:p>
    <w:p w:rsidR="003E225E" w:rsidRDefault="003E225E" w:rsidP="003E225E">
      <w:pPr>
        <w:tabs>
          <w:tab w:val="left" w:pos="284"/>
          <w:tab w:val="left" w:pos="567"/>
        </w:tabs>
        <w:spacing w:after="0" w:line="240" w:lineRule="auto"/>
        <w:jc w:val="both"/>
        <w:rPr>
          <w:rFonts w:ascii="Times New Roman" w:hAnsi="Times New Roman"/>
          <w:b/>
          <w:sz w:val="24"/>
          <w:szCs w:val="24"/>
        </w:rPr>
      </w:pPr>
    </w:p>
    <w:p w:rsidR="003E225E" w:rsidRPr="009C0F96" w:rsidRDefault="00051694" w:rsidP="00051694">
      <w:pPr>
        <w:pStyle w:val="ListParagraph"/>
        <w:numPr>
          <w:ilvl w:val="2"/>
          <w:numId w:val="2"/>
        </w:numPr>
        <w:tabs>
          <w:tab w:val="left" w:pos="284"/>
          <w:tab w:val="left" w:pos="567"/>
        </w:tabs>
        <w:spacing w:after="0" w:line="360" w:lineRule="auto"/>
        <w:jc w:val="both"/>
        <w:rPr>
          <w:rFonts w:ascii="Times New Roman" w:hAnsi="Times New Roman"/>
          <w:b/>
          <w:sz w:val="24"/>
          <w:szCs w:val="24"/>
        </w:rPr>
      </w:pPr>
      <w:r w:rsidRPr="00012634">
        <w:rPr>
          <w:rFonts w:ascii="Times New Roman" w:hAnsi="Times New Roman"/>
          <w:b/>
          <w:sz w:val="24"/>
          <w:szCs w:val="24"/>
        </w:rPr>
        <w:t>Built Environment Performance Plan (BEPP):</w:t>
      </w:r>
      <w:r w:rsidRPr="00081B35">
        <w:rPr>
          <w:rFonts w:ascii="Times New Roman" w:hAnsi="Times New Roman"/>
          <w:i/>
          <w:sz w:val="24"/>
          <w:szCs w:val="24"/>
        </w:rPr>
        <w:t>Section 9, 10 and 14</w:t>
      </w:r>
      <w:r w:rsidR="00081B35">
        <w:rPr>
          <w:rFonts w:ascii="Times New Roman" w:hAnsi="Times New Roman"/>
          <w:sz w:val="24"/>
          <w:szCs w:val="24"/>
        </w:rPr>
        <w:t xml:space="preserve"> of the Bill are</w:t>
      </w:r>
      <w:r>
        <w:rPr>
          <w:rFonts w:ascii="Times New Roman" w:hAnsi="Times New Roman"/>
          <w:sz w:val="24"/>
          <w:szCs w:val="24"/>
        </w:rPr>
        <w:t xml:space="preserve"> changed to allow metropolit</w:t>
      </w:r>
      <w:r w:rsidR="00081B35">
        <w:rPr>
          <w:rFonts w:ascii="Times New Roman" w:hAnsi="Times New Roman"/>
          <w:sz w:val="24"/>
          <w:szCs w:val="24"/>
        </w:rPr>
        <w:t>an municipalities to be exempted</w:t>
      </w:r>
      <w:r>
        <w:rPr>
          <w:rFonts w:ascii="Times New Roman" w:hAnsi="Times New Roman"/>
          <w:sz w:val="24"/>
          <w:szCs w:val="24"/>
        </w:rPr>
        <w:t xml:space="preserve"> from the Built Environment Plan requirements for </w:t>
      </w:r>
      <w:r w:rsidRPr="00081B35">
        <w:rPr>
          <w:rFonts w:ascii="Times New Roman" w:hAnsi="Times New Roman"/>
          <w:i/>
          <w:sz w:val="24"/>
          <w:szCs w:val="24"/>
        </w:rPr>
        <w:t>Schedule 4</w:t>
      </w:r>
      <w:r w:rsidR="00081B35" w:rsidRPr="00081B35">
        <w:rPr>
          <w:rFonts w:ascii="Times New Roman" w:hAnsi="Times New Roman"/>
          <w:i/>
          <w:sz w:val="24"/>
          <w:szCs w:val="24"/>
        </w:rPr>
        <w:t>, 5, 6</w:t>
      </w:r>
      <w:r w:rsidR="00081B35">
        <w:rPr>
          <w:rFonts w:ascii="Times New Roman" w:hAnsi="Times New Roman"/>
          <w:sz w:val="24"/>
          <w:szCs w:val="24"/>
        </w:rPr>
        <w:t xml:space="preserve"> and infrastructure grant</w:t>
      </w:r>
      <w:r>
        <w:rPr>
          <w:rFonts w:ascii="Times New Roman" w:hAnsi="Times New Roman"/>
          <w:sz w:val="24"/>
          <w:szCs w:val="24"/>
        </w:rPr>
        <w:t xml:space="preserve"> allocations to these municipalities once planning reforms have been institutionalised. These institutionalised planning reforms includes evidence of </w:t>
      </w:r>
      <w:r>
        <w:rPr>
          <w:rFonts w:ascii="Times New Roman" w:hAnsi="Times New Roman"/>
          <w:sz w:val="24"/>
          <w:szCs w:val="24"/>
        </w:rPr>
        <w:lastRenderedPageBreak/>
        <w:t xml:space="preserve">a clear content, practices, process and approach in a built environment performance plan. </w:t>
      </w:r>
    </w:p>
    <w:p w:rsidR="009C0F96" w:rsidRPr="00BD62F4" w:rsidRDefault="009758C2" w:rsidP="00051694">
      <w:pPr>
        <w:pStyle w:val="ListParagraph"/>
        <w:numPr>
          <w:ilvl w:val="2"/>
          <w:numId w:val="2"/>
        </w:numPr>
        <w:tabs>
          <w:tab w:val="left" w:pos="284"/>
          <w:tab w:val="left" w:pos="567"/>
        </w:tabs>
        <w:spacing w:after="0" w:line="360" w:lineRule="auto"/>
        <w:jc w:val="both"/>
        <w:rPr>
          <w:rFonts w:ascii="Times New Roman" w:hAnsi="Times New Roman"/>
          <w:b/>
          <w:sz w:val="24"/>
          <w:szCs w:val="24"/>
        </w:rPr>
      </w:pPr>
      <w:r>
        <w:rPr>
          <w:rFonts w:ascii="Times New Roman" w:hAnsi="Times New Roman"/>
          <w:b/>
          <w:sz w:val="24"/>
          <w:szCs w:val="24"/>
        </w:rPr>
        <w:t>Transitional m</w:t>
      </w:r>
      <w:r w:rsidR="00AF0663">
        <w:rPr>
          <w:rFonts w:ascii="Times New Roman" w:hAnsi="Times New Roman"/>
          <w:b/>
          <w:sz w:val="24"/>
          <w:szCs w:val="24"/>
        </w:rPr>
        <w:t>easures for municipal election in 2021</w:t>
      </w:r>
      <w:r w:rsidR="005E0ADB">
        <w:rPr>
          <w:rFonts w:ascii="Times New Roman" w:hAnsi="Times New Roman"/>
          <w:sz w:val="24"/>
          <w:szCs w:val="24"/>
        </w:rPr>
        <w:t xml:space="preserve">: </w:t>
      </w:r>
      <w:r w:rsidR="005E0ADB" w:rsidRPr="00081B35">
        <w:rPr>
          <w:rFonts w:ascii="Times New Roman" w:hAnsi="Times New Roman"/>
          <w:i/>
          <w:sz w:val="24"/>
          <w:szCs w:val="24"/>
        </w:rPr>
        <w:t>Section 38</w:t>
      </w:r>
      <w:r w:rsidR="005E0ADB">
        <w:rPr>
          <w:rFonts w:ascii="Times New Roman" w:hAnsi="Times New Roman"/>
          <w:sz w:val="24"/>
          <w:szCs w:val="24"/>
        </w:rPr>
        <w:t xml:space="preserve"> of the</w:t>
      </w:r>
      <w:r w:rsidR="00081B35">
        <w:rPr>
          <w:rFonts w:ascii="Times New Roman" w:hAnsi="Times New Roman"/>
          <w:sz w:val="24"/>
          <w:szCs w:val="24"/>
        </w:rPr>
        <w:t xml:space="preserve"> B</w:t>
      </w:r>
      <w:r w:rsidR="005E0ADB">
        <w:rPr>
          <w:rFonts w:ascii="Times New Roman" w:hAnsi="Times New Roman"/>
          <w:sz w:val="24"/>
          <w:szCs w:val="24"/>
        </w:rPr>
        <w:t xml:space="preserve">ill regulate how the equitable division of local government share among municipalities (section 5) and conditional allocation (section 8) will </w:t>
      </w:r>
      <w:r w:rsidR="00634524">
        <w:rPr>
          <w:rFonts w:ascii="Times New Roman" w:hAnsi="Times New Roman"/>
          <w:sz w:val="24"/>
          <w:szCs w:val="24"/>
        </w:rPr>
        <w:t xml:space="preserve">be </w:t>
      </w:r>
      <w:r w:rsidR="005E0ADB">
        <w:rPr>
          <w:rFonts w:ascii="Times New Roman" w:hAnsi="Times New Roman"/>
          <w:sz w:val="24"/>
          <w:szCs w:val="24"/>
        </w:rPr>
        <w:t>regulated</w:t>
      </w:r>
      <w:r w:rsidR="00B90814">
        <w:rPr>
          <w:rFonts w:ascii="Times New Roman" w:hAnsi="Times New Roman"/>
          <w:sz w:val="24"/>
          <w:szCs w:val="24"/>
        </w:rPr>
        <w:t xml:space="preserve"> in 2021/22 and 2022/23</w:t>
      </w:r>
      <w:r w:rsidR="005E0ADB">
        <w:rPr>
          <w:rFonts w:ascii="Times New Roman" w:hAnsi="Times New Roman"/>
          <w:sz w:val="24"/>
          <w:szCs w:val="24"/>
        </w:rPr>
        <w:t xml:space="preserve"> following a redetermination in terms of section 21(1)(b) of the Municipal Demarcation Act. </w:t>
      </w:r>
    </w:p>
    <w:p w:rsidR="00BD62F4" w:rsidRPr="00012634" w:rsidRDefault="00BD62F4" w:rsidP="00BD62F4">
      <w:pPr>
        <w:pStyle w:val="ListParagraph"/>
        <w:tabs>
          <w:tab w:val="left" w:pos="284"/>
          <w:tab w:val="left" w:pos="567"/>
        </w:tabs>
        <w:spacing w:after="0" w:line="360" w:lineRule="auto"/>
        <w:jc w:val="both"/>
        <w:rPr>
          <w:rFonts w:ascii="Times New Roman" w:hAnsi="Times New Roman"/>
          <w:b/>
          <w:sz w:val="24"/>
          <w:szCs w:val="24"/>
        </w:rPr>
      </w:pPr>
    </w:p>
    <w:p w:rsidR="00BD62F4" w:rsidRDefault="00012634" w:rsidP="00051694">
      <w:pPr>
        <w:pStyle w:val="ListParagraph"/>
        <w:numPr>
          <w:ilvl w:val="2"/>
          <w:numId w:val="2"/>
        </w:numPr>
        <w:tabs>
          <w:tab w:val="left" w:pos="284"/>
          <w:tab w:val="left" w:pos="567"/>
        </w:tabs>
        <w:spacing w:after="0" w:line="360" w:lineRule="auto"/>
        <w:jc w:val="both"/>
        <w:rPr>
          <w:rFonts w:ascii="Times New Roman" w:hAnsi="Times New Roman"/>
          <w:b/>
          <w:sz w:val="24"/>
          <w:szCs w:val="24"/>
        </w:rPr>
      </w:pPr>
      <w:r>
        <w:rPr>
          <w:rFonts w:ascii="Times New Roman" w:hAnsi="Times New Roman"/>
          <w:b/>
          <w:sz w:val="24"/>
          <w:szCs w:val="24"/>
        </w:rPr>
        <w:t xml:space="preserve">  Improving grant administration</w:t>
      </w:r>
      <w:r w:rsidR="001F6D85">
        <w:rPr>
          <w:rFonts w:ascii="Times New Roman" w:hAnsi="Times New Roman"/>
          <w:b/>
          <w:sz w:val="24"/>
          <w:szCs w:val="24"/>
        </w:rPr>
        <w:t>, responsibilities for</w:t>
      </w:r>
      <w:r w:rsidR="00A83F7A">
        <w:rPr>
          <w:rFonts w:ascii="Times New Roman" w:hAnsi="Times New Roman"/>
          <w:b/>
          <w:sz w:val="24"/>
          <w:szCs w:val="24"/>
        </w:rPr>
        <w:t xml:space="preserve"> national department</w:t>
      </w:r>
    </w:p>
    <w:p w:rsidR="00BD62F4" w:rsidRPr="00BD62F4" w:rsidRDefault="00BD62F4" w:rsidP="00BD62F4">
      <w:pPr>
        <w:pStyle w:val="ListParagraph"/>
        <w:rPr>
          <w:rFonts w:ascii="Times New Roman" w:hAnsi="Times New Roman"/>
          <w:b/>
          <w:sz w:val="24"/>
          <w:szCs w:val="24"/>
        </w:rPr>
      </w:pPr>
    </w:p>
    <w:p w:rsidR="00012634" w:rsidRPr="00BD62F4" w:rsidRDefault="00FC5A1A" w:rsidP="00BD62F4">
      <w:pPr>
        <w:pStyle w:val="ListParagraph"/>
        <w:numPr>
          <w:ilvl w:val="3"/>
          <w:numId w:val="2"/>
        </w:numPr>
        <w:tabs>
          <w:tab w:val="left" w:pos="284"/>
          <w:tab w:val="left" w:pos="567"/>
        </w:tabs>
        <w:spacing w:after="0" w:line="360" w:lineRule="auto"/>
        <w:jc w:val="both"/>
        <w:rPr>
          <w:rFonts w:ascii="Times New Roman" w:hAnsi="Times New Roman"/>
          <w:b/>
          <w:sz w:val="24"/>
          <w:szCs w:val="24"/>
        </w:rPr>
      </w:pPr>
      <w:r w:rsidRPr="00081B35">
        <w:rPr>
          <w:rFonts w:ascii="Times New Roman" w:hAnsi="Times New Roman"/>
          <w:i/>
          <w:sz w:val="24"/>
          <w:szCs w:val="24"/>
        </w:rPr>
        <w:t>Section 17</w:t>
      </w:r>
      <w:r w:rsidR="00472CB2" w:rsidRPr="00081B35">
        <w:rPr>
          <w:rFonts w:ascii="Times New Roman" w:hAnsi="Times New Roman"/>
          <w:i/>
          <w:sz w:val="24"/>
          <w:szCs w:val="24"/>
        </w:rPr>
        <w:t>(</w:t>
      </w:r>
      <w:r w:rsidRPr="00081B35">
        <w:rPr>
          <w:rFonts w:ascii="Times New Roman" w:hAnsi="Times New Roman"/>
          <w:i/>
          <w:sz w:val="24"/>
          <w:szCs w:val="24"/>
        </w:rPr>
        <w:t>2)</w:t>
      </w:r>
      <w:r w:rsidRPr="00BD62F4">
        <w:rPr>
          <w:rFonts w:ascii="Times New Roman" w:hAnsi="Times New Roman"/>
          <w:sz w:val="24"/>
          <w:szCs w:val="24"/>
        </w:rPr>
        <w:t xml:space="preserve"> of the Bill provides for the creation of compon</w:t>
      </w:r>
      <w:r w:rsidR="00081B35">
        <w:rPr>
          <w:rFonts w:ascii="Times New Roman" w:hAnsi="Times New Roman"/>
          <w:sz w:val="24"/>
          <w:szCs w:val="24"/>
        </w:rPr>
        <w:t>ents within a conditional grant</w:t>
      </w:r>
      <w:r w:rsidRPr="00BD62F4">
        <w:rPr>
          <w:rFonts w:ascii="Times New Roman" w:hAnsi="Times New Roman"/>
          <w:sz w:val="24"/>
          <w:szCs w:val="24"/>
        </w:rPr>
        <w:t xml:space="preserve"> and allow </w:t>
      </w:r>
      <w:r w:rsidR="000A2FD3" w:rsidRPr="00BD62F4">
        <w:rPr>
          <w:rFonts w:ascii="Times New Roman" w:hAnsi="Times New Roman"/>
          <w:sz w:val="24"/>
          <w:szCs w:val="24"/>
        </w:rPr>
        <w:t>funds</w:t>
      </w:r>
      <w:r w:rsidRPr="00BD62F4">
        <w:rPr>
          <w:rFonts w:ascii="Times New Roman" w:hAnsi="Times New Roman"/>
          <w:sz w:val="24"/>
          <w:szCs w:val="24"/>
        </w:rPr>
        <w:t xml:space="preserve"> to be shifted from one component to the other component with</w:t>
      </w:r>
      <w:r w:rsidR="000A2FD3">
        <w:rPr>
          <w:rFonts w:ascii="Times New Roman" w:hAnsi="Times New Roman"/>
          <w:sz w:val="24"/>
          <w:szCs w:val="24"/>
        </w:rPr>
        <w:t>in</w:t>
      </w:r>
      <w:r w:rsidRPr="00BD62F4">
        <w:rPr>
          <w:rFonts w:ascii="Times New Roman" w:hAnsi="Times New Roman"/>
          <w:sz w:val="24"/>
          <w:szCs w:val="24"/>
        </w:rPr>
        <w:t xml:space="preserve"> the </w:t>
      </w:r>
      <w:r w:rsidR="003E3B95" w:rsidRPr="003E3B95">
        <w:rPr>
          <w:rFonts w:ascii="Times New Roman" w:hAnsi="Times New Roman"/>
          <w:sz w:val="24"/>
          <w:szCs w:val="24"/>
        </w:rPr>
        <w:t xml:space="preserve">grantafter </w:t>
      </w:r>
      <w:r w:rsidRPr="003E3B95">
        <w:rPr>
          <w:rFonts w:ascii="Times New Roman" w:hAnsi="Times New Roman"/>
          <w:sz w:val="24"/>
          <w:szCs w:val="24"/>
        </w:rPr>
        <w:t>consulting</w:t>
      </w:r>
      <w:r w:rsidRPr="00BD62F4">
        <w:rPr>
          <w:rFonts w:ascii="Times New Roman" w:hAnsi="Times New Roman"/>
          <w:sz w:val="24"/>
          <w:szCs w:val="24"/>
        </w:rPr>
        <w:t xml:space="preserve"> the receiving office and getting approval</w:t>
      </w:r>
      <w:r w:rsidR="00F80CF6" w:rsidRPr="00BD62F4">
        <w:rPr>
          <w:rFonts w:ascii="Times New Roman" w:hAnsi="Times New Roman"/>
          <w:sz w:val="24"/>
          <w:szCs w:val="24"/>
        </w:rPr>
        <w:t xml:space="preserve"> from the National treasury. H</w:t>
      </w:r>
      <w:r w:rsidRPr="00BD62F4">
        <w:rPr>
          <w:rFonts w:ascii="Times New Roman" w:hAnsi="Times New Roman"/>
          <w:sz w:val="24"/>
          <w:szCs w:val="24"/>
        </w:rPr>
        <w:t xml:space="preserve">owever, that must be in accordance with the applicable appropriations legislation. </w:t>
      </w:r>
    </w:p>
    <w:p w:rsidR="00090CA0" w:rsidRPr="00BD62F4" w:rsidRDefault="00090CA0" w:rsidP="00BD62F4">
      <w:pPr>
        <w:pStyle w:val="ListParagraph"/>
        <w:numPr>
          <w:ilvl w:val="3"/>
          <w:numId w:val="2"/>
        </w:numPr>
        <w:tabs>
          <w:tab w:val="left" w:pos="284"/>
          <w:tab w:val="left" w:pos="567"/>
        </w:tabs>
        <w:spacing w:after="0" w:line="360" w:lineRule="auto"/>
        <w:jc w:val="both"/>
        <w:rPr>
          <w:rFonts w:ascii="Times New Roman" w:hAnsi="Times New Roman"/>
          <w:b/>
          <w:sz w:val="24"/>
          <w:szCs w:val="24"/>
        </w:rPr>
      </w:pPr>
      <w:r w:rsidRPr="00081B35">
        <w:rPr>
          <w:rFonts w:ascii="Times New Roman" w:hAnsi="Times New Roman"/>
          <w:i/>
          <w:sz w:val="24"/>
          <w:szCs w:val="24"/>
        </w:rPr>
        <w:t>Withholding of equitable division of provincial share among provinces and municipal share among municipalities</w:t>
      </w:r>
      <w:r w:rsidRPr="00081B35">
        <w:rPr>
          <w:rFonts w:ascii="Times New Roman" w:hAnsi="Times New Roman"/>
          <w:b/>
          <w:i/>
          <w:sz w:val="24"/>
          <w:szCs w:val="24"/>
        </w:rPr>
        <w:t xml:space="preserve">: </w:t>
      </w:r>
      <w:r w:rsidR="00F436CE" w:rsidRPr="00081B35">
        <w:rPr>
          <w:rFonts w:ascii="Times New Roman" w:hAnsi="Times New Roman"/>
          <w:i/>
          <w:sz w:val="24"/>
          <w:szCs w:val="24"/>
        </w:rPr>
        <w:t>Section 18(4)(iii)</w:t>
      </w:r>
      <w:r w:rsidR="00826F85">
        <w:rPr>
          <w:rFonts w:ascii="Times New Roman" w:hAnsi="Times New Roman"/>
          <w:sz w:val="24"/>
          <w:szCs w:val="24"/>
        </w:rPr>
        <w:t>o</w:t>
      </w:r>
      <w:r w:rsidR="00F436CE" w:rsidRPr="00BD62F4">
        <w:rPr>
          <w:rFonts w:ascii="Times New Roman" w:hAnsi="Times New Roman"/>
          <w:sz w:val="24"/>
          <w:szCs w:val="24"/>
        </w:rPr>
        <w:t>f the Bill requires that national departments set a timeline for when the province or municipality must respond if they disagree with the proposed withholding of Schedule 4 or 5 allocation.</w:t>
      </w:r>
    </w:p>
    <w:p w:rsidR="00BD62F4" w:rsidRPr="00BD62F4" w:rsidRDefault="00BD62F4" w:rsidP="00BD62F4">
      <w:pPr>
        <w:pStyle w:val="ListParagraph"/>
        <w:tabs>
          <w:tab w:val="left" w:pos="284"/>
          <w:tab w:val="left" w:pos="567"/>
        </w:tabs>
        <w:spacing w:after="0" w:line="360" w:lineRule="auto"/>
        <w:jc w:val="both"/>
        <w:rPr>
          <w:rFonts w:ascii="Times New Roman" w:hAnsi="Times New Roman"/>
          <w:b/>
          <w:sz w:val="24"/>
          <w:szCs w:val="24"/>
        </w:rPr>
      </w:pPr>
    </w:p>
    <w:p w:rsidR="00BD62F4" w:rsidRDefault="001F6D85" w:rsidP="000A2FD3">
      <w:pPr>
        <w:pStyle w:val="ListParagraph"/>
        <w:numPr>
          <w:ilvl w:val="2"/>
          <w:numId w:val="2"/>
        </w:numPr>
        <w:tabs>
          <w:tab w:val="left" w:pos="284"/>
          <w:tab w:val="left" w:pos="567"/>
        </w:tabs>
        <w:spacing w:after="0" w:line="360" w:lineRule="auto"/>
        <w:jc w:val="both"/>
        <w:rPr>
          <w:rFonts w:ascii="Times New Roman" w:hAnsi="Times New Roman"/>
          <w:b/>
          <w:sz w:val="24"/>
          <w:szCs w:val="24"/>
        </w:rPr>
      </w:pPr>
      <w:r>
        <w:rPr>
          <w:rFonts w:ascii="Times New Roman" w:hAnsi="Times New Roman"/>
          <w:b/>
          <w:sz w:val="24"/>
          <w:szCs w:val="24"/>
        </w:rPr>
        <w:t xml:space="preserve">  Improving grant administration, responsibilities for provinces and municipalities</w:t>
      </w:r>
    </w:p>
    <w:p w:rsidR="00BD62F4" w:rsidRDefault="00BD62F4">
      <w:pPr>
        <w:pStyle w:val="ListParagraph"/>
        <w:tabs>
          <w:tab w:val="left" w:pos="284"/>
          <w:tab w:val="left" w:pos="567"/>
        </w:tabs>
        <w:spacing w:after="0" w:line="360" w:lineRule="auto"/>
        <w:jc w:val="both"/>
        <w:rPr>
          <w:rFonts w:ascii="Times New Roman" w:hAnsi="Times New Roman"/>
          <w:b/>
          <w:sz w:val="24"/>
          <w:szCs w:val="24"/>
        </w:rPr>
      </w:pPr>
    </w:p>
    <w:p w:rsidR="00E705BA" w:rsidRPr="00BD62F4" w:rsidRDefault="00BD62F4">
      <w:pPr>
        <w:pStyle w:val="ListParagraph"/>
        <w:numPr>
          <w:ilvl w:val="3"/>
          <w:numId w:val="2"/>
        </w:numPr>
        <w:tabs>
          <w:tab w:val="left" w:pos="284"/>
          <w:tab w:val="left" w:pos="567"/>
        </w:tabs>
        <w:spacing w:after="0" w:line="360" w:lineRule="auto"/>
        <w:jc w:val="both"/>
        <w:rPr>
          <w:rFonts w:ascii="Times New Roman" w:hAnsi="Times New Roman"/>
          <w:b/>
          <w:sz w:val="24"/>
          <w:szCs w:val="24"/>
        </w:rPr>
      </w:pPr>
      <w:r w:rsidRPr="00081B35">
        <w:rPr>
          <w:rFonts w:ascii="Times New Roman" w:hAnsi="Times New Roman"/>
          <w:i/>
          <w:sz w:val="24"/>
          <w:szCs w:val="24"/>
        </w:rPr>
        <w:t>S</w:t>
      </w:r>
      <w:r w:rsidR="00E705BA" w:rsidRPr="00081B35">
        <w:rPr>
          <w:rFonts w:ascii="Times New Roman" w:hAnsi="Times New Roman"/>
          <w:i/>
          <w:sz w:val="24"/>
          <w:szCs w:val="24"/>
        </w:rPr>
        <w:t>ection 12(3)(b)</w:t>
      </w:r>
      <w:r w:rsidR="00CB7EE9" w:rsidRPr="00BD62F4">
        <w:rPr>
          <w:rFonts w:ascii="Times New Roman" w:hAnsi="Times New Roman"/>
          <w:sz w:val="24"/>
          <w:szCs w:val="24"/>
        </w:rPr>
        <w:t xml:space="preserve">of the Bill </w:t>
      </w:r>
      <w:r w:rsidR="00E705BA" w:rsidRPr="00BD62F4">
        <w:rPr>
          <w:rFonts w:ascii="Times New Roman" w:hAnsi="Times New Roman"/>
          <w:sz w:val="24"/>
          <w:szCs w:val="24"/>
        </w:rPr>
        <w:t xml:space="preserve">requires that provinces and municipalities must report the amount withheld or stopped in terms of </w:t>
      </w:r>
      <w:r w:rsidR="00E705BA" w:rsidRPr="008E5737">
        <w:rPr>
          <w:rFonts w:ascii="Times New Roman" w:hAnsi="Times New Roman"/>
          <w:i/>
          <w:sz w:val="24"/>
          <w:szCs w:val="24"/>
        </w:rPr>
        <w:t>section 18 and 19</w:t>
      </w:r>
      <w:r w:rsidR="00E705BA" w:rsidRPr="00BD62F4">
        <w:rPr>
          <w:rFonts w:ascii="Times New Roman" w:hAnsi="Times New Roman"/>
          <w:sz w:val="24"/>
          <w:szCs w:val="24"/>
        </w:rPr>
        <w:t xml:space="preserve">, provide reasons for such and provide remedial actions that they have taken to address the matters that resulted in stopping or withholding of allocations. </w:t>
      </w:r>
    </w:p>
    <w:p w:rsidR="003949B1" w:rsidRPr="00BD62F4" w:rsidRDefault="00E705BA" w:rsidP="00BD62F4">
      <w:pPr>
        <w:pStyle w:val="ListParagraph"/>
        <w:numPr>
          <w:ilvl w:val="3"/>
          <w:numId w:val="2"/>
        </w:numPr>
        <w:tabs>
          <w:tab w:val="left" w:pos="284"/>
          <w:tab w:val="left" w:pos="567"/>
        </w:tabs>
        <w:spacing w:after="0" w:line="360" w:lineRule="auto"/>
        <w:jc w:val="both"/>
        <w:rPr>
          <w:rFonts w:ascii="Times New Roman" w:hAnsi="Times New Roman"/>
          <w:b/>
          <w:sz w:val="24"/>
          <w:szCs w:val="24"/>
        </w:rPr>
      </w:pPr>
      <w:r w:rsidRPr="00081B35">
        <w:rPr>
          <w:rFonts w:ascii="Times New Roman" w:hAnsi="Times New Roman"/>
          <w:i/>
          <w:sz w:val="24"/>
          <w:szCs w:val="24"/>
        </w:rPr>
        <w:t>Human Settlement Development Grant</w:t>
      </w:r>
      <w:r w:rsidR="003949B1" w:rsidRPr="00081B35">
        <w:rPr>
          <w:rFonts w:ascii="Times New Roman" w:hAnsi="Times New Roman"/>
          <w:i/>
          <w:sz w:val="24"/>
          <w:szCs w:val="24"/>
        </w:rPr>
        <w:t xml:space="preserve"> (HSDG)</w:t>
      </w:r>
      <w:r w:rsidRPr="00081B35">
        <w:rPr>
          <w:rFonts w:ascii="Times New Roman" w:hAnsi="Times New Roman"/>
          <w:i/>
          <w:sz w:val="24"/>
          <w:szCs w:val="24"/>
        </w:rPr>
        <w:t xml:space="preserve">: </w:t>
      </w:r>
      <w:r w:rsidR="003949B1" w:rsidRPr="00081B35">
        <w:rPr>
          <w:rFonts w:ascii="Times New Roman" w:hAnsi="Times New Roman"/>
          <w:i/>
          <w:sz w:val="24"/>
          <w:szCs w:val="24"/>
        </w:rPr>
        <w:t>Section 12(6)(a)</w:t>
      </w:r>
      <w:r w:rsidR="00CB7EE9" w:rsidRPr="00BD62F4">
        <w:rPr>
          <w:rFonts w:ascii="Times New Roman" w:hAnsi="Times New Roman"/>
          <w:sz w:val="24"/>
          <w:szCs w:val="24"/>
        </w:rPr>
        <w:t xml:space="preserve">of the Bill </w:t>
      </w:r>
      <w:r w:rsidR="003949B1" w:rsidRPr="00BD62F4">
        <w:rPr>
          <w:rFonts w:ascii="Times New Roman" w:hAnsi="Times New Roman"/>
          <w:sz w:val="24"/>
          <w:szCs w:val="24"/>
        </w:rPr>
        <w:t xml:space="preserve">requires that provinces must consult with affected municipalities before gazetting the HSDG transfers to them and a set payment schedule. </w:t>
      </w:r>
    </w:p>
    <w:p w:rsidR="001F6D85" w:rsidRPr="00BD62F4" w:rsidRDefault="00CD0FD3" w:rsidP="00BD62F4">
      <w:pPr>
        <w:pStyle w:val="ListParagraph"/>
        <w:numPr>
          <w:ilvl w:val="3"/>
          <w:numId w:val="2"/>
        </w:numPr>
        <w:tabs>
          <w:tab w:val="left" w:pos="284"/>
          <w:tab w:val="left" w:pos="567"/>
        </w:tabs>
        <w:spacing w:after="0" w:line="360" w:lineRule="auto"/>
        <w:jc w:val="both"/>
        <w:rPr>
          <w:rFonts w:ascii="Times New Roman" w:hAnsi="Times New Roman"/>
          <w:b/>
          <w:sz w:val="24"/>
          <w:szCs w:val="24"/>
        </w:rPr>
      </w:pPr>
      <w:r w:rsidRPr="00081B35">
        <w:rPr>
          <w:rFonts w:ascii="Times New Roman" w:hAnsi="Times New Roman"/>
          <w:i/>
          <w:sz w:val="24"/>
          <w:szCs w:val="24"/>
        </w:rPr>
        <w:t xml:space="preserve">Financial statements of provincial government departments: </w:t>
      </w:r>
      <w:r w:rsidR="007D69FD" w:rsidRPr="00081B35">
        <w:rPr>
          <w:rFonts w:ascii="Times New Roman" w:hAnsi="Times New Roman"/>
          <w:i/>
          <w:sz w:val="24"/>
          <w:szCs w:val="24"/>
        </w:rPr>
        <w:t>Section 15(3)(b)</w:t>
      </w:r>
      <w:r w:rsidR="00CB7EE9" w:rsidRPr="00BD62F4">
        <w:rPr>
          <w:rFonts w:ascii="Times New Roman" w:hAnsi="Times New Roman"/>
          <w:sz w:val="24"/>
          <w:szCs w:val="24"/>
        </w:rPr>
        <w:t xml:space="preserve"> of the Bill </w:t>
      </w:r>
      <w:r w:rsidR="007D69FD" w:rsidRPr="00BD62F4">
        <w:rPr>
          <w:rFonts w:ascii="Times New Roman" w:hAnsi="Times New Roman"/>
          <w:sz w:val="24"/>
          <w:szCs w:val="24"/>
        </w:rPr>
        <w:t xml:space="preserve">requires that the financial statements of provincial departments </w:t>
      </w:r>
      <w:r w:rsidR="007D69FD" w:rsidRPr="00BD62F4">
        <w:rPr>
          <w:rFonts w:ascii="Times New Roman" w:hAnsi="Times New Roman"/>
          <w:sz w:val="24"/>
          <w:szCs w:val="24"/>
        </w:rPr>
        <w:lastRenderedPageBreak/>
        <w:t xml:space="preserve">receiving schedule 4, 5 and 7 must include the total amount of allocation received that were budgeted to be transferred to municipalities and public entities respectively and also report reasons for </w:t>
      </w:r>
      <w:r w:rsidR="00BF676A">
        <w:rPr>
          <w:rFonts w:ascii="Times New Roman" w:hAnsi="Times New Roman"/>
          <w:sz w:val="24"/>
          <w:szCs w:val="24"/>
        </w:rPr>
        <w:t xml:space="preserve">any </w:t>
      </w:r>
      <w:r w:rsidR="007D69FD" w:rsidRPr="00BD62F4">
        <w:rPr>
          <w:rFonts w:ascii="Times New Roman" w:hAnsi="Times New Roman"/>
          <w:sz w:val="24"/>
          <w:szCs w:val="24"/>
        </w:rPr>
        <w:t>discrepancies.</w:t>
      </w:r>
    </w:p>
    <w:p w:rsidR="00CB7EE9" w:rsidRPr="00BD62F4" w:rsidRDefault="00CB7EE9" w:rsidP="00BD62F4">
      <w:pPr>
        <w:pStyle w:val="ListParagraph"/>
        <w:numPr>
          <w:ilvl w:val="3"/>
          <w:numId w:val="2"/>
        </w:numPr>
        <w:tabs>
          <w:tab w:val="left" w:pos="284"/>
          <w:tab w:val="left" w:pos="567"/>
        </w:tabs>
        <w:spacing w:after="0" w:line="360" w:lineRule="auto"/>
        <w:jc w:val="both"/>
        <w:rPr>
          <w:rFonts w:ascii="Times New Roman" w:hAnsi="Times New Roman"/>
          <w:b/>
          <w:sz w:val="24"/>
          <w:szCs w:val="24"/>
        </w:rPr>
      </w:pPr>
      <w:r w:rsidRPr="00081B35">
        <w:rPr>
          <w:rFonts w:ascii="Times New Roman" w:hAnsi="Times New Roman"/>
          <w:i/>
          <w:sz w:val="24"/>
          <w:szCs w:val="24"/>
        </w:rPr>
        <w:t>Section 30(5)</w:t>
      </w:r>
      <w:r w:rsidRPr="00081B35">
        <w:rPr>
          <w:rFonts w:ascii="Times New Roman" w:hAnsi="Times New Roman"/>
          <w:sz w:val="24"/>
          <w:szCs w:val="24"/>
        </w:rPr>
        <w:t xml:space="preserve"> of the Bill,</w:t>
      </w:r>
      <w:r w:rsidRPr="00BD62F4">
        <w:rPr>
          <w:rFonts w:ascii="Times New Roman" w:hAnsi="Times New Roman"/>
          <w:sz w:val="24"/>
          <w:szCs w:val="24"/>
        </w:rPr>
        <w:t>allows for amendments to be made to the payment schedule between provincial departments, and any municipality, school, hospital or public entity if there is an agreement between the provincial department and the recipient.</w:t>
      </w:r>
    </w:p>
    <w:p w:rsidR="00B84595" w:rsidRPr="003E225E" w:rsidRDefault="00B84595" w:rsidP="00BD62F4">
      <w:pPr>
        <w:pStyle w:val="ListParagraph"/>
        <w:tabs>
          <w:tab w:val="left" w:pos="284"/>
          <w:tab w:val="left" w:pos="567"/>
        </w:tabs>
        <w:spacing w:after="0" w:line="360" w:lineRule="auto"/>
        <w:jc w:val="both"/>
        <w:rPr>
          <w:rFonts w:ascii="Times New Roman" w:hAnsi="Times New Roman"/>
          <w:b/>
          <w:sz w:val="24"/>
          <w:szCs w:val="24"/>
        </w:rPr>
      </w:pPr>
    </w:p>
    <w:p w:rsidR="00694AF9" w:rsidRPr="007112B5" w:rsidRDefault="00694AF9" w:rsidP="00081B35">
      <w:pPr>
        <w:pStyle w:val="ListParagraph"/>
        <w:numPr>
          <w:ilvl w:val="1"/>
          <w:numId w:val="2"/>
        </w:numPr>
        <w:tabs>
          <w:tab w:val="left" w:pos="284"/>
          <w:tab w:val="left" w:pos="567"/>
        </w:tabs>
        <w:spacing w:before="240" w:after="0" w:line="360" w:lineRule="auto"/>
        <w:jc w:val="both"/>
        <w:rPr>
          <w:rFonts w:ascii="Times New Roman" w:hAnsi="Times New Roman"/>
          <w:b/>
          <w:sz w:val="24"/>
          <w:szCs w:val="24"/>
        </w:rPr>
      </w:pPr>
      <w:r w:rsidRPr="007112B5">
        <w:rPr>
          <w:rFonts w:ascii="Times New Roman" w:hAnsi="Times New Roman"/>
          <w:b/>
          <w:sz w:val="24"/>
          <w:szCs w:val="24"/>
        </w:rPr>
        <w:t xml:space="preserve"> Summary of the main changes to the Bill and key considerations in transfers to provinces and municipalities</w:t>
      </w:r>
    </w:p>
    <w:p w:rsidR="00667FEA" w:rsidRPr="007112B5" w:rsidRDefault="00D90F38" w:rsidP="00081B35">
      <w:pPr>
        <w:tabs>
          <w:tab w:val="left" w:pos="284"/>
          <w:tab w:val="left" w:pos="567"/>
        </w:tabs>
        <w:spacing w:before="240" w:after="0" w:line="360" w:lineRule="auto"/>
        <w:jc w:val="both"/>
        <w:rPr>
          <w:rFonts w:ascii="Times New Roman" w:hAnsi="Times New Roman"/>
          <w:sz w:val="24"/>
          <w:szCs w:val="24"/>
        </w:rPr>
      </w:pPr>
      <w:r w:rsidRPr="007112B5">
        <w:rPr>
          <w:rFonts w:ascii="Times New Roman" w:hAnsi="Times New Roman"/>
          <w:sz w:val="24"/>
          <w:szCs w:val="24"/>
        </w:rPr>
        <w:t>Following the expenditure reductions made in the 2019 MTPBS, further changes were made both on the Provincial and Local Gove</w:t>
      </w:r>
      <w:r w:rsidR="00667FEA">
        <w:rPr>
          <w:rFonts w:ascii="Times New Roman" w:hAnsi="Times New Roman"/>
          <w:sz w:val="24"/>
          <w:szCs w:val="24"/>
        </w:rPr>
        <w:t xml:space="preserve">rnment Equitable Share, namely;                                           </w:t>
      </w:r>
    </w:p>
    <w:p w:rsidR="00D90F38" w:rsidRPr="007112B5" w:rsidRDefault="00D90F38" w:rsidP="00667FEA">
      <w:pPr>
        <w:pStyle w:val="ListParagraph"/>
        <w:numPr>
          <w:ilvl w:val="0"/>
          <w:numId w:val="9"/>
        </w:numPr>
        <w:tabs>
          <w:tab w:val="left" w:pos="709"/>
        </w:tabs>
        <w:spacing w:after="0" w:line="360" w:lineRule="auto"/>
        <w:jc w:val="both"/>
        <w:rPr>
          <w:rFonts w:ascii="Times New Roman" w:hAnsi="Times New Roman"/>
          <w:sz w:val="24"/>
          <w:szCs w:val="24"/>
        </w:rPr>
      </w:pPr>
      <w:r w:rsidRPr="007112B5">
        <w:rPr>
          <w:rFonts w:ascii="Times New Roman" w:hAnsi="Times New Roman"/>
          <w:sz w:val="24"/>
          <w:szCs w:val="24"/>
        </w:rPr>
        <w:t xml:space="preserve">The provincial equitable share has been reduced by R7.3 billion through a 2 per cent reduction in all non-compensation spending per year and R5.2 billion </w:t>
      </w:r>
      <w:r w:rsidR="0035170A" w:rsidRPr="007112B5">
        <w:rPr>
          <w:rFonts w:ascii="Times New Roman" w:hAnsi="Times New Roman"/>
          <w:sz w:val="24"/>
          <w:szCs w:val="24"/>
        </w:rPr>
        <w:t>reduction</w:t>
      </w:r>
      <w:r w:rsidR="003B6E32">
        <w:rPr>
          <w:rFonts w:ascii="Times New Roman" w:hAnsi="Times New Roman"/>
          <w:sz w:val="24"/>
          <w:szCs w:val="24"/>
        </w:rPr>
        <w:t>s</w:t>
      </w:r>
      <w:r w:rsidR="0035170A" w:rsidRPr="007112B5">
        <w:rPr>
          <w:rFonts w:ascii="Times New Roman" w:hAnsi="Times New Roman"/>
          <w:sz w:val="24"/>
          <w:szCs w:val="24"/>
        </w:rPr>
        <w:t xml:space="preserve"> in compensation of employees.</w:t>
      </w:r>
    </w:p>
    <w:p w:rsidR="0035170A" w:rsidRPr="007112B5" w:rsidRDefault="0035170A" w:rsidP="00667FEA">
      <w:pPr>
        <w:pStyle w:val="ListParagraph"/>
        <w:numPr>
          <w:ilvl w:val="0"/>
          <w:numId w:val="9"/>
        </w:numPr>
        <w:tabs>
          <w:tab w:val="left" w:pos="709"/>
        </w:tabs>
        <w:spacing w:after="0" w:line="360" w:lineRule="auto"/>
        <w:jc w:val="both"/>
        <w:rPr>
          <w:rFonts w:ascii="Times New Roman" w:hAnsi="Times New Roman"/>
          <w:sz w:val="24"/>
          <w:szCs w:val="24"/>
        </w:rPr>
      </w:pPr>
      <w:r w:rsidRPr="00667FEA">
        <w:rPr>
          <w:rFonts w:ascii="Times New Roman" w:hAnsi="Times New Roman"/>
          <w:sz w:val="24"/>
          <w:szCs w:val="24"/>
        </w:rPr>
        <w:t>Direct conditional grants</w:t>
      </w:r>
      <w:r w:rsidRPr="007112B5">
        <w:rPr>
          <w:rFonts w:ascii="Times New Roman" w:hAnsi="Times New Roman"/>
          <w:sz w:val="24"/>
          <w:szCs w:val="24"/>
        </w:rPr>
        <w:t xml:space="preserve"> to provinces have been reduced by a net R13.3 billion, as the reduction of R16.2 billion is partly offset by reprioritisation of R2.9 billion. </w:t>
      </w:r>
    </w:p>
    <w:p w:rsidR="0035170A" w:rsidRPr="00667FEA" w:rsidRDefault="0035170A" w:rsidP="00667FEA">
      <w:pPr>
        <w:pStyle w:val="ListParagraph"/>
        <w:numPr>
          <w:ilvl w:val="0"/>
          <w:numId w:val="9"/>
        </w:numPr>
        <w:tabs>
          <w:tab w:val="left" w:pos="709"/>
        </w:tabs>
        <w:spacing w:after="0" w:line="360" w:lineRule="auto"/>
        <w:jc w:val="both"/>
        <w:rPr>
          <w:rFonts w:ascii="Times New Roman" w:hAnsi="Times New Roman"/>
          <w:sz w:val="24"/>
          <w:szCs w:val="24"/>
        </w:rPr>
      </w:pPr>
      <w:r w:rsidRPr="007112B5">
        <w:rPr>
          <w:rFonts w:ascii="Times New Roman" w:hAnsi="Times New Roman"/>
          <w:sz w:val="24"/>
          <w:szCs w:val="24"/>
        </w:rPr>
        <w:t>The local</w:t>
      </w:r>
      <w:r w:rsidR="003B6E32">
        <w:rPr>
          <w:rFonts w:ascii="Times New Roman" w:hAnsi="Times New Roman"/>
          <w:sz w:val="24"/>
          <w:szCs w:val="24"/>
        </w:rPr>
        <w:t xml:space="preserve"> government reductions comprise</w:t>
      </w:r>
      <w:r w:rsidRPr="007112B5">
        <w:rPr>
          <w:rFonts w:ascii="Times New Roman" w:hAnsi="Times New Roman"/>
          <w:sz w:val="24"/>
          <w:szCs w:val="24"/>
        </w:rPr>
        <w:t xml:space="preserve"> of </w:t>
      </w:r>
      <w:r w:rsidRPr="00667FEA">
        <w:rPr>
          <w:rFonts w:ascii="Times New Roman" w:hAnsi="Times New Roman"/>
          <w:sz w:val="24"/>
          <w:szCs w:val="24"/>
        </w:rPr>
        <w:t>R3.2 billion from the local government equitable share, and a R16.8 billion reductions to direct conditional grants.</w:t>
      </w:r>
    </w:p>
    <w:p w:rsidR="0035170A" w:rsidRPr="007112B5" w:rsidRDefault="0035170A" w:rsidP="0035170A">
      <w:pPr>
        <w:pStyle w:val="ListParagraph"/>
        <w:tabs>
          <w:tab w:val="left" w:pos="284"/>
          <w:tab w:val="left" w:pos="567"/>
        </w:tabs>
        <w:spacing w:after="0" w:line="360" w:lineRule="auto"/>
        <w:ind w:left="360"/>
        <w:jc w:val="both"/>
        <w:rPr>
          <w:rFonts w:ascii="Times New Roman" w:hAnsi="Times New Roman"/>
          <w:sz w:val="24"/>
          <w:szCs w:val="24"/>
        </w:rPr>
      </w:pPr>
    </w:p>
    <w:p w:rsidR="00146CBB" w:rsidRPr="007112B5" w:rsidRDefault="00D41DF3" w:rsidP="0035170A">
      <w:pPr>
        <w:tabs>
          <w:tab w:val="left" w:pos="284"/>
          <w:tab w:val="left" w:pos="567"/>
        </w:tabs>
        <w:spacing w:after="0" w:line="360" w:lineRule="auto"/>
        <w:jc w:val="both"/>
        <w:rPr>
          <w:rFonts w:ascii="Times New Roman" w:hAnsi="Times New Roman"/>
          <w:sz w:val="24"/>
          <w:szCs w:val="24"/>
        </w:rPr>
      </w:pPr>
      <w:r w:rsidRPr="007112B5">
        <w:rPr>
          <w:rFonts w:ascii="Times New Roman" w:hAnsi="Times New Roman"/>
          <w:sz w:val="24"/>
          <w:szCs w:val="24"/>
        </w:rPr>
        <w:t xml:space="preserve">The large </w:t>
      </w:r>
      <w:r w:rsidR="00BF676A">
        <w:rPr>
          <w:rFonts w:ascii="Times New Roman" w:hAnsi="Times New Roman"/>
          <w:sz w:val="24"/>
          <w:szCs w:val="24"/>
        </w:rPr>
        <w:t xml:space="preserve">part </w:t>
      </w:r>
      <w:r w:rsidRPr="007112B5">
        <w:rPr>
          <w:rFonts w:ascii="Times New Roman" w:hAnsi="Times New Roman"/>
          <w:sz w:val="24"/>
          <w:szCs w:val="24"/>
        </w:rPr>
        <w:t>of funding reduction in the 2020 MTEF has been on conditional grant allocation</w:t>
      </w:r>
      <w:r w:rsidR="0035170A" w:rsidRPr="007112B5">
        <w:rPr>
          <w:rFonts w:ascii="Times New Roman" w:hAnsi="Times New Roman"/>
          <w:sz w:val="24"/>
          <w:szCs w:val="24"/>
        </w:rPr>
        <w:t xml:space="preserve"> and all direct conditional grants have been reduced, </w:t>
      </w:r>
      <w:r w:rsidR="0035170A" w:rsidRPr="007112B5">
        <w:rPr>
          <w:rFonts w:ascii="Times New Roman" w:hAnsi="Times New Roman"/>
          <w:b/>
          <w:i/>
          <w:sz w:val="24"/>
          <w:szCs w:val="24"/>
        </w:rPr>
        <w:t>except the early childhood development grant</w:t>
      </w:r>
      <w:r w:rsidR="0035170A" w:rsidRPr="007112B5">
        <w:rPr>
          <w:rFonts w:ascii="Times New Roman" w:hAnsi="Times New Roman"/>
          <w:sz w:val="24"/>
          <w:szCs w:val="24"/>
        </w:rPr>
        <w:t xml:space="preserve"> and </w:t>
      </w:r>
      <w:r w:rsidR="0035170A" w:rsidRPr="007112B5">
        <w:rPr>
          <w:rFonts w:ascii="Times New Roman" w:hAnsi="Times New Roman"/>
          <w:b/>
          <w:i/>
          <w:sz w:val="24"/>
          <w:szCs w:val="24"/>
        </w:rPr>
        <w:t>the learner with profound intellectual disabilities grant</w:t>
      </w:r>
      <w:r w:rsidRPr="007112B5">
        <w:rPr>
          <w:rFonts w:ascii="Times New Roman" w:hAnsi="Times New Roman"/>
          <w:sz w:val="24"/>
          <w:szCs w:val="24"/>
        </w:rPr>
        <w:t>. National Treasury has indicated that conditional grants allocation has been reduced as part of government’s effort to reduce growth in government expenditure and to ensure sustainable public debt. However, to manage and minimize the impact on service delivery, reductions in grant allocations takes into account t</w:t>
      </w:r>
      <w:r w:rsidR="00667FEA">
        <w:rPr>
          <w:rFonts w:ascii="Times New Roman" w:hAnsi="Times New Roman"/>
          <w:sz w:val="24"/>
          <w:szCs w:val="24"/>
        </w:rPr>
        <w:t>he following key consideration</w:t>
      </w:r>
      <w:r w:rsidR="00B65DE2">
        <w:rPr>
          <w:rFonts w:ascii="Times New Roman" w:hAnsi="Times New Roman"/>
          <w:sz w:val="24"/>
          <w:szCs w:val="24"/>
        </w:rPr>
        <w:t>s</w:t>
      </w:r>
      <w:r w:rsidR="00667FEA">
        <w:rPr>
          <w:rFonts w:ascii="Times New Roman" w:hAnsi="Times New Roman"/>
          <w:sz w:val="24"/>
          <w:szCs w:val="24"/>
        </w:rPr>
        <w:t>:</w:t>
      </w:r>
    </w:p>
    <w:p w:rsidR="00D41DF3" w:rsidRPr="007112B5" w:rsidRDefault="00667FEA" w:rsidP="00667FEA">
      <w:pPr>
        <w:pStyle w:val="ListParagraph"/>
        <w:numPr>
          <w:ilvl w:val="0"/>
          <w:numId w:val="9"/>
        </w:num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Past spending and performance; </w:t>
      </w:r>
    </w:p>
    <w:p w:rsidR="00D41DF3" w:rsidRPr="007112B5" w:rsidRDefault="00D41DF3" w:rsidP="00667FEA">
      <w:pPr>
        <w:pStyle w:val="ListParagraph"/>
        <w:numPr>
          <w:ilvl w:val="0"/>
          <w:numId w:val="9"/>
        </w:numPr>
        <w:tabs>
          <w:tab w:val="left" w:pos="709"/>
        </w:tabs>
        <w:spacing w:after="0" w:line="360" w:lineRule="auto"/>
        <w:jc w:val="both"/>
        <w:rPr>
          <w:rFonts w:ascii="Times New Roman" w:hAnsi="Times New Roman"/>
          <w:sz w:val="24"/>
          <w:szCs w:val="24"/>
        </w:rPr>
      </w:pPr>
      <w:r w:rsidRPr="007112B5">
        <w:rPr>
          <w:rFonts w:ascii="Times New Roman" w:hAnsi="Times New Roman"/>
          <w:sz w:val="24"/>
          <w:szCs w:val="24"/>
        </w:rPr>
        <w:t xml:space="preserve">Whether the grant fund salaries, medicine and food; and </w:t>
      </w:r>
    </w:p>
    <w:p w:rsidR="00D41DF3" w:rsidRPr="007112B5" w:rsidRDefault="00D41DF3" w:rsidP="00667FEA">
      <w:pPr>
        <w:pStyle w:val="ListParagraph"/>
        <w:numPr>
          <w:ilvl w:val="0"/>
          <w:numId w:val="9"/>
        </w:numPr>
        <w:tabs>
          <w:tab w:val="left" w:pos="709"/>
        </w:tabs>
        <w:spacing w:after="0" w:line="360" w:lineRule="auto"/>
        <w:jc w:val="both"/>
        <w:rPr>
          <w:rFonts w:ascii="Times New Roman" w:hAnsi="Times New Roman"/>
          <w:sz w:val="24"/>
          <w:szCs w:val="24"/>
        </w:rPr>
      </w:pPr>
      <w:r w:rsidRPr="007112B5">
        <w:rPr>
          <w:rFonts w:ascii="Times New Roman" w:hAnsi="Times New Roman"/>
          <w:sz w:val="24"/>
          <w:szCs w:val="24"/>
        </w:rPr>
        <w:lastRenderedPageBreak/>
        <w:t xml:space="preserve">Whether there has been significant real growth in allocations in recent year. </w:t>
      </w:r>
    </w:p>
    <w:p w:rsidR="0035170A" w:rsidRPr="007112B5" w:rsidRDefault="0035170A" w:rsidP="0035170A">
      <w:pPr>
        <w:tabs>
          <w:tab w:val="left" w:pos="284"/>
          <w:tab w:val="left" w:pos="567"/>
        </w:tabs>
        <w:spacing w:after="0" w:line="360" w:lineRule="auto"/>
        <w:jc w:val="both"/>
        <w:rPr>
          <w:rFonts w:ascii="Times New Roman" w:hAnsi="Times New Roman"/>
          <w:sz w:val="24"/>
          <w:szCs w:val="24"/>
        </w:rPr>
      </w:pPr>
    </w:p>
    <w:p w:rsidR="007112B5" w:rsidRDefault="0035170A" w:rsidP="0035170A">
      <w:pPr>
        <w:tabs>
          <w:tab w:val="left" w:pos="284"/>
          <w:tab w:val="left" w:pos="567"/>
        </w:tabs>
        <w:spacing w:after="0" w:line="360" w:lineRule="auto"/>
        <w:jc w:val="both"/>
        <w:rPr>
          <w:rFonts w:ascii="Times New Roman" w:hAnsi="Times New Roman"/>
          <w:sz w:val="24"/>
          <w:szCs w:val="24"/>
        </w:rPr>
      </w:pPr>
      <w:r w:rsidRPr="007112B5">
        <w:rPr>
          <w:rFonts w:ascii="Times New Roman" w:hAnsi="Times New Roman"/>
          <w:sz w:val="24"/>
          <w:szCs w:val="24"/>
        </w:rPr>
        <w:t xml:space="preserve">Larger reductions have also been made to grants </w:t>
      </w:r>
      <w:r w:rsidR="00A73663">
        <w:rPr>
          <w:rFonts w:ascii="Times New Roman" w:hAnsi="Times New Roman"/>
          <w:sz w:val="24"/>
          <w:szCs w:val="24"/>
        </w:rPr>
        <w:t xml:space="preserve">allocations </w:t>
      </w:r>
      <w:r w:rsidRPr="007112B5">
        <w:rPr>
          <w:rFonts w:ascii="Times New Roman" w:hAnsi="Times New Roman"/>
          <w:sz w:val="24"/>
          <w:szCs w:val="24"/>
        </w:rPr>
        <w:t xml:space="preserve">to urban </w:t>
      </w:r>
      <w:r w:rsidR="00657E19" w:rsidRPr="007112B5">
        <w:rPr>
          <w:rFonts w:ascii="Times New Roman" w:hAnsi="Times New Roman"/>
          <w:sz w:val="24"/>
          <w:szCs w:val="24"/>
        </w:rPr>
        <w:t>municipalities, which</w:t>
      </w:r>
      <w:r w:rsidRPr="007112B5">
        <w:rPr>
          <w:rFonts w:ascii="Times New Roman" w:hAnsi="Times New Roman"/>
          <w:sz w:val="24"/>
          <w:szCs w:val="24"/>
        </w:rPr>
        <w:t xml:space="preserve"> have more capacity to offset the reductions through </w:t>
      </w:r>
      <w:r w:rsidR="00657E19" w:rsidRPr="007112B5">
        <w:rPr>
          <w:rFonts w:ascii="Times New Roman" w:hAnsi="Times New Roman"/>
          <w:sz w:val="24"/>
          <w:szCs w:val="24"/>
        </w:rPr>
        <w:t>by increasing their own revenue sources.</w:t>
      </w:r>
      <w:r w:rsidR="00C26536" w:rsidRPr="007112B5">
        <w:rPr>
          <w:rFonts w:ascii="Times New Roman" w:hAnsi="Times New Roman"/>
          <w:sz w:val="24"/>
          <w:szCs w:val="24"/>
        </w:rPr>
        <w:t xml:space="preserve"> In order to meet government policy objectives while remaining within the revised expenditure ceiling, existing </w:t>
      </w:r>
      <w:r w:rsidR="007112B5" w:rsidRPr="007112B5">
        <w:rPr>
          <w:rFonts w:ascii="Times New Roman" w:hAnsi="Times New Roman"/>
          <w:sz w:val="24"/>
          <w:szCs w:val="24"/>
        </w:rPr>
        <w:t xml:space="preserve">budgets have been reprioritised to </w:t>
      </w:r>
      <w:r w:rsidR="007112B5">
        <w:rPr>
          <w:rFonts w:ascii="Times New Roman" w:hAnsi="Times New Roman"/>
          <w:sz w:val="24"/>
          <w:szCs w:val="24"/>
        </w:rPr>
        <w:t>meet government’s policy goals as follows;</w:t>
      </w:r>
    </w:p>
    <w:p w:rsidR="00667FEA" w:rsidRDefault="00667FEA" w:rsidP="0035170A">
      <w:pPr>
        <w:tabs>
          <w:tab w:val="left" w:pos="284"/>
          <w:tab w:val="left" w:pos="567"/>
        </w:tabs>
        <w:spacing w:after="0" w:line="360" w:lineRule="auto"/>
        <w:jc w:val="both"/>
        <w:rPr>
          <w:rFonts w:ascii="Times New Roman" w:hAnsi="Times New Roman"/>
          <w:sz w:val="24"/>
          <w:szCs w:val="24"/>
        </w:rPr>
      </w:pPr>
    </w:p>
    <w:p w:rsidR="0035170A" w:rsidRDefault="007112B5" w:rsidP="00667FEA">
      <w:pPr>
        <w:pStyle w:val="ListParagraph"/>
        <w:numPr>
          <w:ilvl w:val="0"/>
          <w:numId w:val="9"/>
        </w:numPr>
        <w:tabs>
          <w:tab w:val="left" w:pos="709"/>
        </w:tabs>
        <w:spacing w:after="0" w:line="360" w:lineRule="auto"/>
        <w:jc w:val="both"/>
        <w:rPr>
          <w:rFonts w:ascii="Times New Roman" w:hAnsi="Times New Roman"/>
          <w:sz w:val="24"/>
          <w:szCs w:val="24"/>
        </w:rPr>
      </w:pPr>
      <w:r>
        <w:rPr>
          <w:rFonts w:ascii="Times New Roman" w:hAnsi="Times New Roman"/>
          <w:sz w:val="24"/>
          <w:szCs w:val="24"/>
        </w:rPr>
        <w:t>Increasing the per-child subsidy for early childhood development services from R15 per day to R17 per day in 2020/21, rising to R18.57 per day in 2022/23.</w:t>
      </w:r>
    </w:p>
    <w:p w:rsidR="007112B5" w:rsidRDefault="007112B5" w:rsidP="00667FEA">
      <w:pPr>
        <w:pStyle w:val="ListParagraph"/>
        <w:numPr>
          <w:ilvl w:val="0"/>
          <w:numId w:val="9"/>
        </w:num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Addressing the shortfalls in the funding of community outreach services </w:t>
      </w:r>
      <w:r w:rsidR="005B71EA">
        <w:rPr>
          <w:rFonts w:ascii="Times New Roman" w:hAnsi="Times New Roman"/>
          <w:sz w:val="24"/>
          <w:szCs w:val="24"/>
        </w:rPr>
        <w:t xml:space="preserve">in the health sector. </w:t>
      </w:r>
    </w:p>
    <w:p w:rsidR="005B71EA" w:rsidRDefault="005B71EA" w:rsidP="00667FEA">
      <w:pPr>
        <w:pStyle w:val="ListParagraph"/>
        <w:numPr>
          <w:ilvl w:val="0"/>
          <w:numId w:val="9"/>
        </w:num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Supporting the continued rollout of sanitary products to learners from </w:t>
      </w:r>
      <w:r w:rsidR="00E06DDC">
        <w:rPr>
          <w:rFonts w:ascii="Times New Roman" w:hAnsi="Times New Roman"/>
          <w:sz w:val="24"/>
          <w:szCs w:val="24"/>
        </w:rPr>
        <w:t>low-income</w:t>
      </w:r>
      <w:r>
        <w:rPr>
          <w:rFonts w:ascii="Times New Roman" w:hAnsi="Times New Roman"/>
          <w:sz w:val="24"/>
          <w:szCs w:val="24"/>
        </w:rPr>
        <w:t xml:space="preserve"> households</w:t>
      </w:r>
      <w:r w:rsidR="00E06DDC">
        <w:rPr>
          <w:rFonts w:ascii="Times New Roman" w:hAnsi="Times New Roman"/>
          <w:sz w:val="24"/>
          <w:szCs w:val="24"/>
        </w:rPr>
        <w:t>, a total of R652 million has been added to continue rolling out the Sanitary Dignity Programme</w:t>
      </w:r>
      <w:r>
        <w:rPr>
          <w:rFonts w:ascii="Times New Roman" w:hAnsi="Times New Roman"/>
          <w:sz w:val="24"/>
          <w:szCs w:val="24"/>
        </w:rPr>
        <w:t>.</w:t>
      </w:r>
    </w:p>
    <w:p w:rsidR="00E06DDC" w:rsidRDefault="00E06DDC" w:rsidP="00667FEA">
      <w:pPr>
        <w:pStyle w:val="ListParagraph"/>
        <w:numPr>
          <w:ilvl w:val="0"/>
          <w:numId w:val="9"/>
        </w:num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Over the 2020 MTEF period, a total of R398 million has been reprioritised from national government to provinces to </w:t>
      </w:r>
      <w:r w:rsidR="00765FA5">
        <w:rPr>
          <w:rFonts w:ascii="Times New Roman" w:hAnsi="Times New Roman"/>
          <w:sz w:val="24"/>
          <w:szCs w:val="24"/>
        </w:rPr>
        <w:t>continue employing</w:t>
      </w:r>
      <w:r>
        <w:rPr>
          <w:rFonts w:ascii="Times New Roman" w:hAnsi="Times New Roman"/>
          <w:sz w:val="24"/>
          <w:szCs w:val="24"/>
        </w:rPr>
        <w:t xml:space="preserve"> social workers in areas with high level of gender based violence, substance abuse and social problems </w:t>
      </w:r>
      <w:r w:rsidR="00520960">
        <w:rPr>
          <w:rFonts w:ascii="Times New Roman" w:hAnsi="Times New Roman"/>
          <w:sz w:val="24"/>
          <w:szCs w:val="24"/>
        </w:rPr>
        <w:t xml:space="preserve">affecting children. </w:t>
      </w:r>
    </w:p>
    <w:p w:rsidR="00520960" w:rsidRDefault="00520960" w:rsidP="00667FEA">
      <w:pPr>
        <w:pStyle w:val="ListParagraph"/>
        <w:numPr>
          <w:ilvl w:val="0"/>
          <w:numId w:val="9"/>
        </w:numPr>
        <w:tabs>
          <w:tab w:val="left" w:pos="709"/>
        </w:tabs>
        <w:spacing w:after="0" w:line="360" w:lineRule="auto"/>
        <w:jc w:val="both"/>
        <w:rPr>
          <w:rFonts w:ascii="Times New Roman" w:hAnsi="Times New Roman"/>
          <w:sz w:val="24"/>
          <w:szCs w:val="24"/>
        </w:rPr>
      </w:pPr>
      <w:r>
        <w:rPr>
          <w:rFonts w:ascii="Times New Roman" w:hAnsi="Times New Roman"/>
          <w:sz w:val="24"/>
          <w:szCs w:val="24"/>
        </w:rPr>
        <w:t>Over the 2020 MTEF, an additional R315 million has been reprioritised to continue supporting non-profit organisations in implementing the social behavioural change programmes to address social and structural drivers of HIV, TB and sexually transmitted infections.</w:t>
      </w:r>
    </w:p>
    <w:p w:rsidR="005B71EA" w:rsidRDefault="005B71EA" w:rsidP="00667FEA">
      <w:pPr>
        <w:pStyle w:val="ListParagraph"/>
        <w:numPr>
          <w:ilvl w:val="0"/>
          <w:numId w:val="9"/>
        </w:num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Repairing the wastewater </w:t>
      </w:r>
      <w:r w:rsidR="000C6482">
        <w:rPr>
          <w:rFonts w:ascii="Times New Roman" w:hAnsi="Times New Roman"/>
          <w:sz w:val="24"/>
          <w:szCs w:val="24"/>
        </w:rPr>
        <w:t>treatment</w:t>
      </w:r>
      <w:r>
        <w:rPr>
          <w:rFonts w:ascii="Times New Roman" w:hAnsi="Times New Roman"/>
          <w:sz w:val="24"/>
          <w:szCs w:val="24"/>
        </w:rPr>
        <w:t xml:space="preserve"> infrastructure in the Vaal River </w:t>
      </w:r>
      <w:r w:rsidR="000C6482">
        <w:rPr>
          <w:rFonts w:ascii="Times New Roman" w:hAnsi="Times New Roman"/>
          <w:sz w:val="24"/>
          <w:szCs w:val="24"/>
        </w:rPr>
        <w:t>System</w:t>
      </w:r>
      <w:r w:rsidR="00B13B9D">
        <w:rPr>
          <w:rFonts w:ascii="Times New Roman" w:hAnsi="Times New Roman"/>
          <w:sz w:val="24"/>
          <w:szCs w:val="24"/>
        </w:rPr>
        <w:t xml:space="preserve"> has a total allocation of R400 million in 2020/21</w:t>
      </w:r>
      <w:r>
        <w:rPr>
          <w:rFonts w:ascii="Times New Roman" w:hAnsi="Times New Roman"/>
          <w:sz w:val="24"/>
          <w:szCs w:val="24"/>
        </w:rPr>
        <w:t xml:space="preserve">. </w:t>
      </w:r>
    </w:p>
    <w:p w:rsidR="000C6482" w:rsidRDefault="000C6482" w:rsidP="000C6482">
      <w:pPr>
        <w:tabs>
          <w:tab w:val="left" w:pos="284"/>
          <w:tab w:val="left" w:pos="567"/>
        </w:tabs>
        <w:spacing w:after="0" w:line="360" w:lineRule="auto"/>
        <w:jc w:val="both"/>
        <w:rPr>
          <w:rFonts w:ascii="Times New Roman" w:hAnsi="Times New Roman"/>
          <w:sz w:val="24"/>
          <w:szCs w:val="24"/>
        </w:rPr>
      </w:pPr>
    </w:p>
    <w:p w:rsidR="00393500" w:rsidRPr="000C6482" w:rsidRDefault="00393500" w:rsidP="000C6482">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The reprioritisation complements the baseline that provides R2.07 trillion to provinces and R426.4 billion to local government in transfers of the 2020 MT</w:t>
      </w:r>
      <w:r w:rsidR="00D26702">
        <w:rPr>
          <w:rFonts w:ascii="Times New Roman" w:hAnsi="Times New Roman"/>
          <w:sz w:val="24"/>
          <w:szCs w:val="24"/>
        </w:rPr>
        <w:t xml:space="preserve">EF to fund core government priorities including basic education, health, social development, roads, housing and municipal services. </w:t>
      </w:r>
    </w:p>
    <w:p w:rsidR="00AA0158" w:rsidRDefault="00AA0158" w:rsidP="005D5677">
      <w:pPr>
        <w:tabs>
          <w:tab w:val="left" w:pos="284"/>
          <w:tab w:val="left" w:pos="567"/>
        </w:tabs>
        <w:spacing w:after="0" w:line="240" w:lineRule="auto"/>
        <w:jc w:val="both"/>
        <w:rPr>
          <w:rFonts w:ascii="Times New Roman" w:hAnsi="Times New Roman"/>
          <w:b/>
          <w:sz w:val="24"/>
          <w:szCs w:val="24"/>
        </w:rPr>
      </w:pPr>
    </w:p>
    <w:p w:rsidR="00CA4C39" w:rsidRDefault="00CA4C39" w:rsidP="005D5677">
      <w:pPr>
        <w:tabs>
          <w:tab w:val="left" w:pos="284"/>
          <w:tab w:val="left" w:pos="567"/>
        </w:tabs>
        <w:spacing w:after="0" w:line="240" w:lineRule="auto"/>
        <w:jc w:val="both"/>
        <w:rPr>
          <w:rFonts w:ascii="Times New Roman" w:hAnsi="Times New Roman"/>
          <w:b/>
          <w:sz w:val="24"/>
          <w:szCs w:val="24"/>
        </w:rPr>
      </w:pPr>
    </w:p>
    <w:p w:rsidR="00CA4C39" w:rsidRDefault="00CA4C39" w:rsidP="005D5677">
      <w:pPr>
        <w:tabs>
          <w:tab w:val="left" w:pos="284"/>
          <w:tab w:val="left" w:pos="567"/>
        </w:tabs>
        <w:spacing w:after="0" w:line="240" w:lineRule="auto"/>
        <w:jc w:val="both"/>
        <w:rPr>
          <w:rFonts w:ascii="Times New Roman" w:hAnsi="Times New Roman"/>
          <w:b/>
          <w:sz w:val="24"/>
          <w:szCs w:val="24"/>
        </w:rPr>
      </w:pPr>
    </w:p>
    <w:p w:rsidR="003E3B95" w:rsidRDefault="003E3B95" w:rsidP="005D5677">
      <w:pPr>
        <w:tabs>
          <w:tab w:val="left" w:pos="284"/>
          <w:tab w:val="left" w:pos="567"/>
        </w:tabs>
        <w:spacing w:after="0" w:line="240" w:lineRule="auto"/>
        <w:jc w:val="both"/>
        <w:rPr>
          <w:rFonts w:ascii="Times New Roman" w:hAnsi="Times New Roman"/>
          <w:b/>
          <w:sz w:val="24"/>
          <w:szCs w:val="24"/>
        </w:rPr>
      </w:pPr>
    </w:p>
    <w:p w:rsidR="003E3B95" w:rsidRDefault="003E3B95" w:rsidP="005D5677">
      <w:pPr>
        <w:tabs>
          <w:tab w:val="left" w:pos="284"/>
          <w:tab w:val="left" w:pos="567"/>
        </w:tabs>
        <w:spacing w:after="0" w:line="240" w:lineRule="auto"/>
        <w:jc w:val="both"/>
        <w:rPr>
          <w:rFonts w:ascii="Times New Roman" w:hAnsi="Times New Roman"/>
          <w:b/>
          <w:sz w:val="24"/>
          <w:szCs w:val="24"/>
        </w:rPr>
      </w:pPr>
    </w:p>
    <w:p w:rsidR="00CA4C39" w:rsidRPr="007112B5" w:rsidRDefault="00CA4C39" w:rsidP="005D5677">
      <w:pPr>
        <w:tabs>
          <w:tab w:val="left" w:pos="284"/>
          <w:tab w:val="left" w:pos="567"/>
        </w:tabs>
        <w:spacing w:after="0" w:line="240" w:lineRule="auto"/>
        <w:jc w:val="both"/>
        <w:rPr>
          <w:rFonts w:ascii="Times New Roman" w:hAnsi="Times New Roman"/>
          <w:b/>
          <w:sz w:val="24"/>
          <w:szCs w:val="24"/>
        </w:rPr>
      </w:pPr>
    </w:p>
    <w:p w:rsidR="00AA0158" w:rsidRPr="007112B5" w:rsidRDefault="00AA0158" w:rsidP="005D5677">
      <w:pPr>
        <w:tabs>
          <w:tab w:val="left" w:pos="284"/>
          <w:tab w:val="left" w:pos="567"/>
        </w:tabs>
        <w:spacing w:after="0" w:line="240" w:lineRule="auto"/>
        <w:jc w:val="both"/>
        <w:rPr>
          <w:rFonts w:ascii="Times New Roman" w:hAnsi="Times New Roman"/>
          <w:b/>
          <w:sz w:val="24"/>
          <w:szCs w:val="24"/>
        </w:rPr>
      </w:pPr>
    </w:p>
    <w:p w:rsidR="00AF0E79" w:rsidRPr="007112B5" w:rsidRDefault="00694AF9" w:rsidP="00694AF9">
      <w:pPr>
        <w:pStyle w:val="ListParagraph"/>
        <w:numPr>
          <w:ilvl w:val="0"/>
          <w:numId w:val="2"/>
        </w:numPr>
        <w:tabs>
          <w:tab w:val="left" w:pos="284"/>
          <w:tab w:val="left" w:pos="567"/>
        </w:tabs>
        <w:spacing w:after="0" w:line="240" w:lineRule="auto"/>
        <w:jc w:val="both"/>
        <w:rPr>
          <w:rFonts w:ascii="Times New Roman" w:hAnsi="Times New Roman"/>
          <w:b/>
          <w:sz w:val="24"/>
          <w:szCs w:val="24"/>
        </w:rPr>
      </w:pPr>
      <w:r w:rsidRPr="007112B5">
        <w:rPr>
          <w:rFonts w:ascii="Times New Roman" w:hAnsi="Times New Roman"/>
          <w:b/>
          <w:sz w:val="24"/>
          <w:szCs w:val="24"/>
        </w:rPr>
        <w:t>Overall Conditional Grant Allocations to Provincial Government</w:t>
      </w:r>
    </w:p>
    <w:p w:rsidR="00694AF9" w:rsidRPr="007112B5" w:rsidRDefault="00694AF9" w:rsidP="00694AF9">
      <w:pPr>
        <w:tabs>
          <w:tab w:val="left" w:pos="284"/>
          <w:tab w:val="left" w:pos="567"/>
        </w:tabs>
        <w:spacing w:after="0" w:line="240" w:lineRule="auto"/>
        <w:jc w:val="both"/>
        <w:rPr>
          <w:rFonts w:ascii="Times New Roman" w:hAnsi="Times New Roman"/>
          <w:b/>
          <w:sz w:val="24"/>
          <w:szCs w:val="24"/>
        </w:rPr>
      </w:pPr>
    </w:p>
    <w:p w:rsidR="00FB7155" w:rsidRPr="00340D23" w:rsidRDefault="00591BC2" w:rsidP="00340D23">
      <w:pPr>
        <w:tabs>
          <w:tab w:val="left" w:pos="284"/>
          <w:tab w:val="left" w:pos="567"/>
        </w:tabs>
        <w:spacing w:after="0" w:line="360" w:lineRule="auto"/>
        <w:jc w:val="both"/>
        <w:rPr>
          <w:rFonts w:ascii="Times New Roman" w:hAnsi="Times New Roman"/>
          <w:sz w:val="24"/>
          <w:szCs w:val="24"/>
        </w:rPr>
      </w:pPr>
      <w:r w:rsidRPr="00081B35">
        <w:rPr>
          <w:rFonts w:ascii="Times New Roman" w:hAnsi="Times New Roman"/>
          <w:i/>
          <w:sz w:val="24"/>
          <w:szCs w:val="24"/>
        </w:rPr>
        <w:t>Direct conditional grant</w:t>
      </w:r>
      <w:r w:rsidR="00081B35" w:rsidRPr="00081B35">
        <w:rPr>
          <w:rFonts w:ascii="Times New Roman" w:hAnsi="Times New Roman"/>
          <w:i/>
          <w:sz w:val="24"/>
          <w:szCs w:val="24"/>
        </w:rPr>
        <w:t>s</w:t>
      </w:r>
      <w:r>
        <w:rPr>
          <w:rFonts w:ascii="Times New Roman" w:hAnsi="Times New Roman"/>
          <w:sz w:val="24"/>
          <w:szCs w:val="24"/>
        </w:rPr>
        <w:t xml:space="preserve"> baseline to provinces increases from R110.8 billion in 2020/21 to R117.9 billion and R123.1 billion in 2021/22 and 2022/23 financial years respectively. </w:t>
      </w:r>
      <w:r w:rsidRPr="00081B35">
        <w:rPr>
          <w:rFonts w:ascii="Times New Roman" w:hAnsi="Times New Roman"/>
          <w:i/>
          <w:sz w:val="24"/>
          <w:szCs w:val="24"/>
        </w:rPr>
        <w:t>Indirect conditional grant</w:t>
      </w:r>
      <w:r w:rsidR="00081B35" w:rsidRPr="00081B35">
        <w:rPr>
          <w:rFonts w:ascii="Times New Roman" w:hAnsi="Times New Roman"/>
          <w:i/>
          <w:sz w:val="24"/>
          <w:szCs w:val="24"/>
        </w:rPr>
        <w:t>s</w:t>
      </w:r>
      <w:r>
        <w:rPr>
          <w:rFonts w:ascii="Times New Roman" w:hAnsi="Times New Roman"/>
          <w:sz w:val="24"/>
          <w:szCs w:val="24"/>
        </w:rPr>
        <w:t xml:space="preserve"> baseline increase from R4.1 billion in 2020/21 to R4.8 billion and R5.1 billion </w:t>
      </w:r>
      <w:r w:rsidR="007A0454">
        <w:rPr>
          <w:rFonts w:ascii="Times New Roman" w:hAnsi="Times New Roman"/>
          <w:sz w:val="24"/>
          <w:szCs w:val="24"/>
        </w:rPr>
        <w:t xml:space="preserve">in 2021/22 an 2022/23 financial years respectively. </w:t>
      </w:r>
    </w:p>
    <w:p w:rsidR="00694AF9" w:rsidRPr="007112B5" w:rsidRDefault="00694AF9" w:rsidP="00694AF9">
      <w:pPr>
        <w:tabs>
          <w:tab w:val="left" w:pos="284"/>
          <w:tab w:val="left" w:pos="567"/>
        </w:tabs>
        <w:spacing w:after="0" w:line="240" w:lineRule="auto"/>
        <w:jc w:val="both"/>
        <w:rPr>
          <w:rFonts w:ascii="Times New Roman" w:hAnsi="Times New Roman"/>
          <w:b/>
          <w:sz w:val="24"/>
          <w:szCs w:val="24"/>
        </w:rPr>
      </w:pPr>
    </w:p>
    <w:p w:rsidR="00694AF9" w:rsidRDefault="00694AF9" w:rsidP="00694AF9">
      <w:pPr>
        <w:pStyle w:val="ListParagraph"/>
        <w:numPr>
          <w:ilvl w:val="1"/>
          <w:numId w:val="2"/>
        </w:numPr>
        <w:tabs>
          <w:tab w:val="left" w:pos="284"/>
          <w:tab w:val="left" w:pos="567"/>
        </w:tabs>
        <w:spacing w:after="0" w:line="240" w:lineRule="auto"/>
        <w:jc w:val="both"/>
        <w:rPr>
          <w:rFonts w:ascii="Times New Roman" w:hAnsi="Times New Roman"/>
          <w:b/>
          <w:sz w:val="24"/>
          <w:szCs w:val="24"/>
        </w:rPr>
      </w:pPr>
      <w:r w:rsidRPr="007112B5">
        <w:rPr>
          <w:rFonts w:ascii="Times New Roman" w:hAnsi="Times New Roman"/>
          <w:b/>
          <w:sz w:val="24"/>
          <w:szCs w:val="24"/>
        </w:rPr>
        <w:t xml:space="preserve"> Major Changes to the provincial conditional grant framework</w:t>
      </w:r>
    </w:p>
    <w:p w:rsidR="007A0454" w:rsidRDefault="007A0454" w:rsidP="007A0454">
      <w:pPr>
        <w:tabs>
          <w:tab w:val="left" w:pos="284"/>
          <w:tab w:val="left" w:pos="567"/>
        </w:tabs>
        <w:spacing w:after="0" w:line="240" w:lineRule="auto"/>
        <w:jc w:val="both"/>
        <w:rPr>
          <w:rFonts w:ascii="Times New Roman" w:hAnsi="Times New Roman"/>
          <w:b/>
          <w:sz w:val="24"/>
          <w:szCs w:val="24"/>
        </w:rPr>
      </w:pPr>
    </w:p>
    <w:p w:rsidR="007A0454" w:rsidRPr="0067543C" w:rsidRDefault="007A0454" w:rsidP="0067543C">
      <w:pPr>
        <w:pStyle w:val="ListParagraph"/>
        <w:numPr>
          <w:ilvl w:val="2"/>
          <w:numId w:val="2"/>
        </w:numPr>
        <w:tabs>
          <w:tab w:val="left" w:pos="284"/>
          <w:tab w:val="left" w:pos="567"/>
        </w:tabs>
        <w:spacing w:after="0" w:line="360" w:lineRule="auto"/>
        <w:jc w:val="both"/>
        <w:rPr>
          <w:rFonts w:ascii="Times New Roman" w:hAnsi="Times New Roman"/>
          <w:b/>
          <w:sz w:val="24"/>
          <w:szCs w:val="24"/>
        </w:rPr>
      </w:pPr>
      <w:r w:rsidRPr="006C6901">
        <w:rPr>
          <w:rFonts w:ascii="Times New Roman" w:hAnsi="Times New Roman"/>
          <w:i/>
          <w:sz w:val="24"/>
          <w:szCs w:val="24"/>
        </w:rPr>
        <w:t>Early Childhood Development Grant</w:t>
      </w:r>
      <w:r w:rsidR="0067543C" w:rsidRPr="006C6901">
        <w:rPr>
          <w:rFonts w:ascii="Times New Roman" w:hAnsi="Times New Roman"/>
          <w:i/>
          <w:sz w:val="24"/>
          <w:szCs w:val="24"/>
        </w:rPr>
        <w:t xml:space="preserve"> (ECDG)</w:t>
      </w:r>
      <w:r w:rsidR="0067543C">
        <w:rPr>
          <w:rFonts w:ascii="Times New Roman" w:hAnsi="Times New Roman"/>
          <w:sz w:val="24"/>
          <w:szCs w:val="24"/>
        </w:rPr>
        <w:t xml:space="preserve">: over the MTEF period, a total of R1.4 billion to the ECDG to increase the subsidy paid for children receiving early childhood development services and to provide for additional children to access this services. </w:t>
      </w:r>
    </w:p>
    <w:p w:rsidR="00C175E8" w:rsidRPr="00C175E8" w:rsidRDefault="0067543C" w:rsidP="0067543C">
      <w:pPr>
        <w:pStyle w:val="ListParagraph"/>
        <w:numPr>
          <w:ilvl w:val="2"/>
          <w:numId w:val="2"/>
        </w:numPr>
        <w:tabs>
          <w:tab w:val="left" w:pos="284"/>
          <w:tab w:val="left" w:pos="567"/>
        </w:tabs>
        <w:spacing w:after="0" w:line="360" w:lineRule="auto"/>
        <w:jc w:val="both"/>
        <w:rPr>
          <w:rFonts w:ascii="Times New Roman" w:hAnsi="Times New Roman"/>
          <w:b/>
          <w:sz w:val="24"/>
          <w:szCs w:val="24"/>
        </w:rPr>
      </w:pPr>
      <w:r w:rsidRPr="006C6901">
        <w:rPr>
          <w:rFonts w:ascii="Times New Roman" w:hAnsi="Times New Roman"/>
          <w:i/>
          <w:sz w:val="24"/>
          <w:szCs w:val="24"/>
        </w:rPr>
        <w:t>Comprehensive Agricultural Support Grant (CASG)</w:t>
      </w:r>
      <w:r>
        <w:rPr>
          <w:rFonts w:ascii="Times New Roman" w:hAnsi="Times New Roman"/>
          <w:sz w:val="24"/>
          <w:szCs w:val="24"/>
        </w:rPr>
        <w:t xml:space="preserve">: </w:t>
      </w:r>
      <w:r w:rsidR="00652295">
        <w:rPr>
          <w:rFonts w:ascii="Times New Roman" w:hAnsi="Times New Roman"/>
          <w:sz w:val="24"/>
          <w:szCs w:val="24"/>
        </w:rPr>
        <w:t xml:space="preserve">a total of R255 million over the MTEF has been reprioritised out of this grant for the Department of Agriculture, Land Reform, and Rural Development to support animal and plant health in order to support export. This reprioritised funding will be used to improve </w:t>
      </w:r>
      <w:r w:rsidR="00C175E8">
        <w:rPr>
          <w:rFonts w:ascii="Times New Roman" w:hAnsi="Times New Roman"/>
          <w:sz w:val="24"/>
          <w:szCs w:val="24"/>
        </w:rPr>
        <w:t xml:space="preserve">laboratory capacity, border control and inspection by the department. </w:t>
      </w:r>
    </w:p>
    <w:p w:rsidR="0067543C" w:rsidRPr="00E06DDC" w:rsidRDefault="00C175E8" w:rsidP="0067543C">
      <w:pPr>
        <w:pStyle w:val="ListParagraph"/>
        <w:numPr>
          <w:ilvl w:val="2"/>
          <w:numId w:val="2"/>
        </w:numPr>
        <w:tabs>
          <w:tab w:val="left" w:pos="284"/>
          <w:tab w:val="left" w:pos="567"/>
        </w:tabs>
        <w:spacing w:after="0" w:line="360" w:lineRule="auto"/>
        <w:jc w:val="both"/>
        <w:rPr>
          <w:rFonts w:ascii="Times New Roman" w:hAnsi="Times New Roman"/>
          <w:b/>
          <w:sz w:val="24"/>
          <w:szCs w:val="24"/>
        </w:rPr>
      </w:pPr>
      <w:r w:rsidRPr="006C6901">
        <w:rPr>
          <w:rFonts w:ascii="Times New Roman" w:hAnsi="Times New Roman"/>
          <w:i/>
          <w:sz w:val="24"/>
          <w:szCs w:val="24"/>
        </w:rPr>
        <w:t>Provincial Road Maintenance Grant (PRMG)</w:t>
      </w:r>
      <w:r>
        <w:rPr>
          <w:rFonts w:ascii="Times New Roman" w:hAnsi="Times New Roman"/>
          <w:sz w:val="24"/>
          <w:szCs w:val="24"/>
        </w:rPr>
        <w:t xml:space="preserve">: a total of R500 million has been reduced from the PRMG in 2020/21 and this amount has been set aside as a provincial allocation to fund disaster recovery projects. </w:t>
      </w:r>
      <w:r w:rsidR="00704F67">
        <w:rPr>
          <w:rFonts w:ascii="Times New Roman" w:hAnsi="Times New Roman"/>
          <w:sz w:val="24"/>
          <w:szCs w:val="24"/>
        </w:rPr>
        <w:t xml:space="preserve">Furthermore, a total of R1 billion and R1.3 billion in 2021/22 and 2022/23 has been reduced from this grant. </w:t>
      </w:r>
    </w:p>
    <w:p w:rsidR="00E06DDC" w:rsidRPr="001562BC" w:rsidRDefault="00101673" w:rsidP="0067543C">
      <w:pPr>
        <w:pStyle w:val="ListParagraph"/>
        <w:numPr>
          <w:ilvl w:val="2"/>
          <w:numId w:val="2"/>
        </w:numPr>
        <w:tabs>
          <w:tab w:val="left" w:pos="284"/>
          <w:tab w:val="left" w:pos="567"/>
        </w:tabs>
        <w:spacing w:after="0" w:line="360" w:lineRule="auto"/>
        <w:jc w:val="both"/>
        <w:rPr>
          <w:rFonts w:ascii="Times New Roman" w:hAnsi="Times New Roman"/>
          <w:b/>
          <w:sz w:val="24"/>
          <w:szCs w:val="24"/>
        </w:rPr>
      </w:pPr>
      <w:r w:rsidRPr="006C6901">
        <w:rPr>
          <w:rFonts w:ascii="Times New Roman" w:hAnsi="Times New Roman"/>
          <w:i/>
          <w:sz w:val="24"/>
          <w:szCs w:val="24"/>
        </w:rPr>
        <w:t>Ilima/Letsema Indirect Grant</w:t>
      </w:r>
      <w:r>
        <w:rPr>
          <w:rFonts w:ascii="Times New Roman" w:hAnsi="Times New Roman"/>
          <w:sz w:val="24"/>
          <w:szCs w:val="24"/>
        </w:rPr>
        <w:t xml:space="preserve">: a total of R36 million has been shifted from the </w:t>
      </w:r>
      <w:r w:rsidR="008859AD">
        <w:rPr>
          <w:rFonts w:ascii="Times New Roman" w:hAnsi="Times New Roman"/>
          <w:i/>
          <w:sz w:val="24"/>
          <w:szCs w:val="24"/>
        </w:rPr>
        <w:t xml:space="preserve">Ilima/Letsema </w:t>
      </w:r>
      <w:r w:rsidRPr="008859AD">
        <w:rPr>
          <w:rFonts w:ascii="Times New Roman" w:hAnsi="Times New Roman"/>
          <w:i/>
          <w:sz w:val="24"/>
          <w:szCs w:val="24"/>
        </w:rPr>
        <w:t>direct Grant</w:t>
      </w:r>
      <w:r w:rsidR="008859AD">
        <w:rPr>
          <w:rFonts w:ascii="Times New Roman" w:hAnsi="Times New Roman"/>
          <w:sz w:val="24"/>
          <w:szCs w:val="24"/>
        </w:rPr>
        <w:t>to the newly established direct component of the grant</w:t>
      </w:r>
      <w:r w:rsidR="00D90E47">
        <w:rPr>
          <w:rFonts w:ascii="Times New Roman" w:hAnsi="Times New Roman"/>
          <w:sz w:val="24"/>
          <w:szCs w:val="24"/>
        </w:rPr>
        <w:t>,</w:t>
      </w:r>
      <w:r>
        <w:rPr>
          <w:rFonts w:ascii="Times New Roman" w:hAnsi="Times New Roman"/>
          <w:sz w:val="24"/>
          <w:szCs w:val="24"/>
        </w:rPr>
        <w:t>to fund the National Food and Nutrition Survey conducted by Human Science Research Co</w:t>
      </w:r>
      <w:r w:rsidR="001562BC">
        <w:rPr>
          <w:rFonts w:ascii="Times New Roman" w:hAnsi="Times New Roman"/>
          <w:sz w:val="24"/>
          <w:szCs w:val="24"/>
        </w:rPr>
        <w:t>uncil</w:t>
      </w:r>
      <w:r w:rsidR="00D90E47">
        <w:rPr>
          <w:rFonts w:ascii="Times New Roman" w:hAnsi="Times New Roman"/>
          <w:sz w:val="24"/>
          <w:szCs w:val="24"/>
        </w:rPr>
        <w:t>. This grant aims to</w:t>
      </w:r>
      <w:r w:rsidR="001562BC">
        <w:rPr>
          <w:rFonts w:ascii="Times New Roman" w:hAnsi="Times New Roman"/>
          <w:sz w:val="24"/>
          <w:szCs w:val="24"/>
        </w:rPr>
        <w:t xml:space="preserve"> establish a baseline for poverty and food security that can be used to improve the targeting of poverty-relief programmes. </w:t>
      </w:r>
    </w:p>
    <w:p w:rsidR="001562BC" w:rsidRPr="0030087A" w:rsidRDefault="001562BC" w:rsidP="0067543C">
      <w:pPr>
        <w:pStyle w:val="ListParagraph"/>
        <w:numPr>
          <w:ilvl w:val="2"/>
          <w:numId w:val="2"/>
        </w:numPr>
        <w:tabs>
          <w:tab w:val="left" w:pos="284"/>
          <w:tab w:val="left" w:pos="567"/>
        </w:tabs>
        <w:spacing w:after="0" w:line="360" w:lineRule="auto"/>
        <w:jc w:val="both"/>
        <w:rPr>
          <w:rFonts w:ascii="Times New Roman" w:hAnsi="Times New Roman"/>
          <w:b/>
          <w:sz w:val="24"/>
          <w:szCs w:val="24"/>
        </w:rPr>
      </w:pPr>
      <w:r w:rsidRPr="006C6901">
        <w:rPr>
          <w:rFonts w:ascii="Times New Roman" w:hAnsi="Times New Roman"/>
          <w:i/>
          <w:sz w:val="24"/>
          <w:szCs w:val="24"/>
        </w:rPr>
        <w:lastRenderedPageBreak/>
        <w:t>National Health Insurance Direct Grant (NHIDG)</w:t>
      </w:r>
      <w:r>
        <w:rPr>
          <w:rFonts w:ascii="Times New Roman" w:hAnsi="Times New Roman"/>
          <w:sz w:val="24"/>
          <w:szCs w:val="24"/>
        </w:rPr>
        <w:t xml:space="preserve">: over the 2020 MTEF, a total of R900 million has been allocated to the </w:t>
      </w:r>
      <w:r w:rsidRPr="00D90E47">
        <w:rPr>
          <w:rFonts w:ascii="Times New Roman" w:hAnsi="Times New Roman"/>
          <w:i/>
          <w:sz w:val="24"/>
          <w:szCs w:val="24"/>
        </w:rPr>
        <w:t>national health insurance direct grant</w:t>
      </w:r>
      <w:r>
        <w:rPr>
          <w:rFonts w:ascii="Times New Roman" w:hAnsi="Times New Roman"/>
          <w:sz w:val="24"/>
          <w:szCs w:val="24"/>
        </w:rPr>
        <w:t xml:space="preserve"> to continue with the contracting of health professionals to continue with the implementation of the national health insurance.  </w:t>
      </w:r>
    </w:p>
    <w:p w:rsidR="0030087A" w:rsidRPr="00442615" w:rsidRDefault="0030087A" w:rsidP="0067543C">
      <w:pPr>
        <w:pStyle w:val="ListParagraph"/>
        <w:numPr>
          <w:ilvl w:val="2"/>
          <w:numId w:val="2"/>
        </w:numPr>
        <w:tabs>
          <w:tab w:val="left" w:pos="284"/>
          <w:tab w:val="left" w:pos="567"/>
        </w:tabs>
        <w:spacing w:after="0" w:line="360" w:lineRule="auto"/>
        <w:jc w:val="both"/>
        <w:rPr>
          <w:rFonts w:ascii="Times New Roman" w:hAnsi="Times New Roman"/>
          <w:b/>
          <w:sz w:val="24"/>
          <w:szCs w:val="24"/>
        </w:rPr>
      </w:pPr>
      <w:r>
        <w:rPr>
          <w:rFonts w:ascii="Times New Roman" w:hAnsi="Times New Roman"/>
          <w:sz w:val="24"/>
          <w:szCs w:val="24"/>
        </w:rPr>
        <w:t xml:space="preserve">  The introduction of a separate </w:t>
      </w:r>
      <w:r w:rsidRPr="006C6901">
        <w:rPr>
          <w:rFonts w:ascii="Times New Roman" w:hAnsi="Times New Roman"/>
          <w:i/>
          <w:sz w:val="24"/>
          <w:szCs w:val="24"/>
        </w:rPr>
        <w:t>Informal Settlement Upgrading Pa</w:t>
      </w:r>
      <w:r w:rsidR="007A4E2E" w:rsidRPr="006C6901">
        <w:rPr>
          <w:rFonts w:ascii="Times New Roman" w:hAnsi="Times New Roman"/>
          <w:i/>
          <w:sz w:val="24"/>
          <w:szCs w:val="24"/>
        </w:rPr>
        <w:t xml:space="preserve">rtnership Grant (ISUPG) </w:t>
      </w:r>
      <w:r>
        <w:rPr>
          <w:rFonts w:ascii="Times New Roman" w:hAnsi="Times New Roman"/>
          <w:sz w:val="24"/>
          <w:szCs w:val="24"/>
        </w:rPr>
        <w:t xml:space="preserve">has been delayed until 2021/22 and consequently, a total </w:t>
      </w:r>
      <w:r w:rsidRPr="008041ED">
        <w:rPr>
          <w:rFonts w:ascii="Times New Roman" w:hAnsi="Times New Roman"/>
          <w:sz w:val="24"/>
          <w:szCs w:val="24"/>
        </w:rPr>
        <w:t xml:space="preserve">of </w:t>
      </w:r>
      <w:r w:rsidR="007A4E2E" w:rsidRPr="008041ED">
        <w:rPr>
          <w:rFonts w:ascii="Times New Roman" w:hAnsi="Times New Roman"/>
          <w:sz w:val="24"/>
          <w:szCs w:val="24"/>
        </w:rPr>
        <w:t>R3 billion</w:t>
      </w:r>
      <w:r w:rsidR="002F2D9E">
        <w:rPr>
          <w:rFonts w:ascii="Times New Roman" w:hAnsi="Times New Roman"/>
          <w:sz w:val="24"/>
          <w:szCs w:val="24"/>
        </w:rPr>
        <w:t xml:space="preserve">2020/21 indicative allocation has been shifted back to </w:t>
      </w:r>
      <w:r w:rsidR="002F2D9E" w:rsidRPr="006C6901">
        <w:rPr>
          <w:rFonts w:ascii="Times New Roman" w:hAnsi="Times New Roman"/>
          <w:i/>
          <w:sz w:val="24"/>
          <w:szCs w:val="24"/>
        </w:rPr>
        <w:t>Human Settlement Development Grant</w:t>
      </w:r>
      <w:r w:rsidR="00765FA5">
        <w:rPr>
          <w:rFonts w:ascii="Times New Roman" w:hAnsi="Times New Roman"/>
          <w:i/>
          <w:sz w:val="24"/>
          <w:szCs w:val="24"/>
        </w:rPr>
        <w:t xml:space="preserve"> (U</w:t>
      </w:r>
      <w:r w:rsidR="007A4E2E" w:rsidRPr="006C6901">
        <w:rPr>
          <w:rFonts w:ascii="Times New Roman" w:hAnsi="Times New Roman"/>
          <w:i/>
          <w:sz w:val="24"/>
          <w:szCs w:val="24"/>
        </w:rPr>
        <w:t>SDG)</w:t>
      </w:r>
      <w:r w:rsidR="002F2D9E" w:rsidRPr="006C6901">
        <w:rPr>
          <w:rFonts w:ascii="Times New Roman" w:hAnsi="Times New Roman"/>
          <w:i/>
          <w:sz w:val="24"/>
          <w:szCs w:val="24"/>
        </w:rPr>
        <w:t>.</w:t>
      </w:r>
    </w:p>
    <w:p w:rsidR="00A45E57" w:rsidRPr="00081B35" w:rsidRDefault="00442615" w:rsidP="00A45E57">
      <w:pPr>
        <w:pStyle w:val="ListParagraph"/>
        <w:numPr>
          <w:ilvl w:val="2"/>
          <w:numId w:val="2"/>
        </w:numPr>
        <w:tabs>
          <w:tab w:val="left" w:pos="284"/>
          <w:tab w:val="left" w:pos="567"/>
        </w:tabs>
        <w:spacing w:after="0" w:line="360" w:lineRule="auto"/>
        <w:jc w:val="both"/>
        <w:rPr>
          <w:rFonts w:ascii="Times New Roman" w:hAnsi="Times New Roman"/>
          <w:b/>
          <w:sz w:val="24"/>
          <w:szCs w:val="24"/>
        </w:rPr>
      </w:pPr>
      <w:r w:rsidRPr="00D90E47">
        <w:rPr>
          <w:rFonts w:ascii="Times New Roman" w:hAnsi="Times New Roman"/>
          <w:i/>
          <w:sz w:val="24"/>
          <w:szCs w:val="24"/>
        </w:rPr>
        <w:t>Health Facility Revitalisation Direct Grant</w:t>
      </w:r>
      <w:r w:rsidR="00765FA5">
        <w:rPr>
          <w:rFonts w:ascii="Times New Roman" w:hAnsi="Times New Roman"/>
          <w:i/>
          <w:sz w:val="24"/>
          <w:szCs w:val="24"/>
        </w:rPr>
        <w:t xml:space="preserve"> (HFRG)</w:t>
      </w:r>
      <w:r>
        <w:rPr>
          <w:rFonts w:ascii="Times New Roman" w:hAnsi="Times New Roman"/>
          <w:sz w:val="24"/>
          <w:szCs w:val="24"/>
        </w:rPr>
        <w:t xml:space="preserve">: </w:t>
      </w:r>
      <w:r w:rsidR="00A45E57">
        <w:rPr>
          <w:rFonts w:ascii="Times New Roman" w:hAnsi="Times New Roman"/>
          <w:sz w:val="24"/>
          <w:szCs w:val="24"/>
        </w:rPr>
        <w:t xml:space="preserve">a total of R199 million has been shifted from the </w:t>
      </w:r>
      <w:r w:rsidR="00A45E57" w:rsidRPr="00D90E47">
        <w:rPr>
          <w:rFonts w:ascii="Times New Roman" w:hAnsi="Times New Roman"/>
          <w:i/>
          <w:sz w:val="24"/>
          <w:szCs w:val="24"/>
        </w:rPr>
        <w:t xml:space="preserve">National Health Insurance Indirect Grant </w:t>
      </w:r>
      <w:r w:rsidR="00A45E57">
        <w:rPr>
          <w:rFonts w:ascii="Times New Roman" w:hAnsi="Times New Roman"/>
          <w:sz w:val="24"/>
          <w:szCs w:val="24"/>
        </w:rPr>
        <w:t xml:space="preserve">to the </w:t>
      </w:r>
      <w:r w:rsidR="00765FA5">
        <w:rPr>
          <w:rFonts w:ascii="Times New Roman" w:hAnsi="Times New Roman"/>
          <w:i/>
          <w:sz w:val="24"/>
          <w:szCs w:val="24"/>
        </w:rPr>
        <w:t>HFRG</w:t>
      </w:r>
      <w:r w:rsidR="00A45E57">
        <w:rPr>
          <w:rFonts w:ascii="Times New Roman" w:hAnsi="Times New Roman"/>
          <w:sz w:val="24"/>
          <w:szCs w:val="24"/>
        </w:rPr>
        <w:t xml:space="preserve"> for the completion of a project in Limpopo.  </w:t>
      </w:r>
    </w:p>
    <w:p w:rsidR="00081B35" w:rsidRPr="001D10E0" w:rsidRDefault="00081B35" w:rsidP="00A45E57">
      <w:pPr>
        <w:pStyle w:val="ListParagraph"/>
        <w:numPr>
          <w:ilvl w:val="2"/>
          <w:numId w:val="2"/>
        </w:numPr>
        <w:tabs>
          <w:tab w:val="left" w:pos="284"/>
          <w:tab w:val="left" w:pos="567"/>
        </w:tabs>
        <w:spacing w:after="0" w:line="360" w:lineRule="auto"/>
        <w:jc w:val="both"/>
        <w:rPr>
          <w:rFonts w:ascii="Times New Roman" w:hAnsi="Times New Roman"/>
          <w:b/>
          <w:sz w:val="24"/>
          <w:szCs w:val="24"/>
        </w:rPr>
      </w:pPr>
      <w:r w:rsidRPr="001D10E0">
        <w:rPr>
          <w:rFonts w:ascii="Times New Roman" w:hAnsi="Times New Roman"/>
          <w:i/>
          <w:sz w:val="24"/>
          <w:szCs w:val="24"/>
        </w:rPr>
        <w:t>Education Infrastructure Grant</w:t>
      </w:r>
      <w:r w:rsidRPr="00081B35">
        <w:rPr>
          <w:rFonts w:ascii="Times New Roman" w:hAnsi="Times New Roman"/>
          <w:b/>
          <w:sz w:val="24"/>
          <w:szCs w:val="24"/>
        </w:rPr>
        <w:t>:</w:t>
      </w:r>
      <w:r w:rsidR="003E0B03">
        <w:rPr>
          <w:rFonts w:ascii="Times New Roman" w:hAnsi="Times New Roman"/>
          <w:sz w:val="24"/>
          <w:szCs w:val="24"/>
        </w:rPr>
        <w:t xml:space="preserve">over the 2020 MTEF, the </w:t>
      </w:r>
      <w:r w:rsidR="001D10E0">
        <w:rPr>
          <w:rFonts w:ascii="Times New Roman" w:hAnsi="Times New Roman"/>
          <w:sz w:val="24"/>
          <w:szCs w:val="24"/>
        </w:rPr>
        <w:t xml:space="preserve">education infrastructure grant is reduced by a total of R1.9 billion, increasing from R459 million in 2020/21 to R616 million in 2021/22 and R775 million in 2022/23. </w:t>
      </w:r>
    </w:p>
    <w:p w:rsidR="001D10E0" w:rsidRPr="00A45E57" w:rsidRDefault="001D10E0" w:rsidP="00A45E57">
      <w:pPr>
        <w:pStyle w:val="ListParagraph"/>
        <w:numPr>
          <w:ilvl w:val="2"/>
          <w:numId w:val="2"/>
        </w:numPr>
        <w:tabs>
          <w:tab w:val="left" w:pos="284"/>
          <w:tab w:val="left" w:pos="567"/>
        </w:tabs>
        <w:spacing w:after="0" w:line="360" w:lineRule="auto"/>
        <w:jc w:val="both"/>
        <w:rPr>
          <w:rFonts w:ascii="Times New Roman" w:hAnsi="Times New Roman"/>
          <w:b/>
          <w:sz w:val="24"/>
          <w:szCs w:val="24"/>
        </w:rPr>
      </w:pPr>
      <w:r w:rsidRPr="001D10E0">
        <w:rPr>
          <w:rFonts w:ascii="Times New Roman" w:hAnsi="Times New Roman"/>
          <w:i/>
          <w:sz w:val="24"/>
          <w:szCs w:val="24"/>
        </w:rPr>
        <w:t>School Infrastructure Backlog Grant</w:t>
      </w:r>
      <w:r>
        <w:rPr>
          <w:rFonts w:ascii="Times New Roman" w:hAnsi="Times New Roman"/>
          <w:sz w:val="24"/>
          <w:szCs w:val="24"/>
        </w:rPr>
        <w:t xml:space="preserve"> is reduced by R123 million over the MTEF, increasing from R33 million in 2020/21 to R44 million and R46 million in 2022/23 financial year respectively.  </w:t>
      </w:r>
    </w:p>
    <w:p w:rsidR="00694AF9" w:rsidRPr="007112B5" w:rsidRDefault="00694AF9" w:rsidP="00694AF9">
      <w:pPr>
        <w:tabs>
          <w:tab w:val="left" w:pos="284"/>
          <w:tab w:val="left" w:pos="567"/>
        </w:tabs>
        <w:spacing w:after="0" w:line="240" w:lineRule="auto"/>
        <w:jc w:val="both"/>
        <w:rPr>
          <w:rFonts w:ascii="Times New Roman" w:hAnsi="Times New Roman"/>
          <w:b/>
          <w:sz w:val="24"/>
          <w:szCs w:val="24"/>
        </w:rPr>
      </w:pPr>
    </w:p>
    <w:p w:rsidR="00694AF9" w:rsidRDefault="00694AF9" w:rsidP="00694AF9">
      <w:pPr>
        <w:pStyle w:val="ListParagraph"/>
        <w:numPr>
          <w:ilvl w:val="0"/>
          <w:numId w:val="2"/>
        </w:numPr>
        <w:tabs>
          <w:tab w:val="left" w:pos="284"/>
          <w:tab w:val="left" w:pos="567"/>
        </w:tabs>
        <w:spacing w:after="0" w:line="240" w:lineRule="auto"/>
        <w:jc w:val="both"/>
        <w:rPr>
          <w:rFonts w:ascii="Times New Roman" w:hAnsi="Times New Roman"/>
          <w:b/>
          <w:sz w:val="24"/>
          <w:szCs w:val="24"/>
        </w:rPr>
      </w:pPr>
      <w:r w:rsidRPr="007112B5">
        <w:rPr>
          <w:rFonts w:ascii="Times New Roman" w:hAnsi="Times New Roman"/>
          <w:b/>
          <w:sz w:val="24"/>
          <w:szCs w:val="24"/>
        </w:rPr>
        <w:t>Overall Conditional Grant Allocations to Local Government</w:t>
      </w:r>
    </w:p>
    <w:p w:rsidR="008761F5" w:rsidRDefault="008761F5" w:rsidP="008761F5">
      <w:pPr>
        <w:tabs>
          <w:tab w:val="left" w:pos="284"/>
          <w:tab w:val="left" w:pos="567"/>
        </w:tabs>
        <w:spacing w:after="0" w:line="240" w:lineRule="auto"/>
        <w:jc w:val="both"/>
        <w:rPr>
          <w:rFonts w:ascii="Times New Roman" w:hAnsi="Times New Roman"/>
          <w:b/>
          <w:sz w:val="24"/>
          <w:szCs w:val="24"/>
        </w:rPr>
      </w:pPr>
    </w:p>
    <w:p w:rsidR="008761F5" w:rsidRPr="00F0133C" w:rsidRDefault="007A1B9F" w:rsidP="007A1B9F">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National government allocates funds to local government through a variety of conditional grants that falls within two main groups (infrastructure and capacity building). Over the 2020 MTEF, the total value of conditional grants directly transferred to local government increases from R43.8 billion in 2020/21 to R46.2 billion in 2021/22 and R48.1 billion in 2022/23 financial year.</w:t>
      </w:r>
    </w:p>
    <w:p w:rsidR="00694AF9" w:rsidRPr="007112B5" w:rsidRDefault="00694AF9" w:rsidP="00694AF9">
      <w:pPr>
        <w:tabs>
          <w:tab w:val="left" w:pos="284"/>
          <w:tab w:val="left" w:pos="567"/>
        </w:tabs>
        <w:spacing w:after="0" w:line="240" w:lineRule="auto"/>
        <w:jc w:val="both"/>
        <w:rPr>
          <w:rFonts w:ascii="Times New Roman" w:hAnsi="Times New Roman"/>
          <w:b/>
          <w:sz w:val="24"/>
          <w:szCs w:val="24"/>
        </w:rPr>
      </w:pPr>
    </w:p>
    <w:p w:rsidR="00694AF9" w:rsidRPr="007112B5" w:rsidRDefault="00694AF9" w:rsidP="00694AF9">
      <w:pPr>
        <w:pStyle w:val="ListParagraph"/>
        <w:numPr>
          <w:ilvl w:val="1"/>
          <w:numId w:val="2"/>
        </w:numPr>
        <w:tabs>
          <w:tab w:val="left" w:pos="284"/>
          <w:tab w:val="left" w:pos="567"/>
        </w:tabs>
        <w:spacing w:after="0" w:line="240" w:lineRule="auto"/>
        <w:jc w:val="both"/>
        <w:rPr>
          <w:rFonts w:ascii="Times New Roman" w:hAnsi="Times New Roman"/>
          <w:b/>
          <w:sz w:val="24"/>
          <w:szCs w:val="24"/>
        </w:rPr>
      </w:pPr>
      <w:r w:rsidRPr="007112B5">
        <w:rPr>
          <w:rFonts w:ascii="Times New Roman" w:hAnsi="Times New Roman"/>
          <w:b/>
          <w:sz w:val="24"/>
          <w:szCs w:val="24"/>
        </w:rPr>
        <w:t xml:space="preserve"> Major Changes to the Local Government Conditional Grant Framework</w:t>
      </w:r>
    </w:p>
    <w:p w:rsidR="00694AF9" w:rsidRPr="007112B5" w:rsidRDefault="00694AF9" w:rsidP="00694AF9">
      <w:pPr>
        <w:tabs>
          <w:tab w:val="left" w:pos="284"/>
          <w:tab w:val="left" w:pos="567"/>
        </w:tabs>
        <w:spacing w:after="0" w:line="240" w:lineRule="auto"/>
        <w:jc w:val="both"/>
        <w:rPr>
          <w:rFonts w:ascii="Times New Roman" w:hAnsi="Times New Roman"/>
          <w:b/>
          <w:sz w:val="24"/>
          <w:szCs w:val="24"/>
        </w:rPr>
      </w:pPr>
    </w:p>
    <w:p w:rsidR="00694AF9" w:rsidRDefault="00C506DF" w:rsidP="00C506DF">
      <w:pPr>
        <w:pStyle w:val="ListParagraph"/>
        <w:numPr>
          <w:ilvl w:val="2"/>
          <w:numId w:val="2"/>
        </w:numPr>
        <w:tabs>
          <w:tab w:val="left" w:pos="284"/>
          <w:tab w:val="left" w:pos="567"/>
        </w:tabs>
        <w:spacing w:after="0" w:line="360" w:lineRule="auto"/>
        <w:jc w:val="both"/>
        <w:rPr>
          <w:rFonts w:ascii="Times New Roman" w:hAnsi="Times New Roman"/>
          <w:sz w:val="24"/>
          <w:szCs w:val="24"/>
        </w:rPr>
      </w:pPr>
      <w:r w:rsidRPr="00D23530">
        <w:rPr>
          <w:rFonts w:ascii="Times New Roman" w:hAnsi="Times New Roman"/>
          <w:i/>
          <w:sz w:val="24"/>
          <w:szCs w:val="24"/>
        </w:rPr>
        <w:t>Regional Bulk Infrastructure Grant (RBIG)</w:t>
      </w:r>
      <w:r w:rsidR="00A83FFB" w:rsidRPr="007B2D60">
        <w:rPr>
          <w:rFonts w:ascii="Times New Roman" w:hAnsi="Times New Roman"/>
          <w:sz w:val="24"/>
          <w:szCs w:val="24"/>
        </w:rPr>
        <w:t>:</w:t>
      </w:r>
      <w:r w:rsidR="00905F18">
        <w:rPr>
          <w:rFonts w:ascii="Times New Roman" w:hAnsi="Times New Roman"/>
          <w:sz w:val="24"/>
          <w:szCs w:val="24"/>
        </w:rPr>
        <w:t>a total of R400 million</w:t>
      </w:r>
      <w:r w:rsidR="00552B76">
        <w:rPr>
          <w:rFonts w:ascii="Times New Roman" w:hAnsi="Times New Roman"/>
          <w:sz w:val="24"/>
          <w:szCs w:val="24"/>
        </w:rPr>
        <w:t xml:space="preserve"> in 2020/21</w:t>
      </w:r>
      <w:r w:rsidR="00905F18">
        <w:rPr>
          <w:rFonts w:ascii="Times New Roman" w:hAnsi="Times New Roman"/>
          <w:sz w:val="24"/>
          <w:szCs w:val="24"/>
        </w:rPr>
        <w:t xml:space="preserve"> has allocated to the regional bulk infrastructure grant to assist in funding the rehabilitation of wastewater treatment infrastructure in the Vaal River System. T</w:t>
      </w:r>
      <w:r w:rsidR="007C5DE3">
        <w:rPr>
          <w:rFonts w:ascii="Times New Roman" w:hAnsi="Times New Roman"/>
          <w:sz w:val="24"/>
          <w:szCs w:val="24"/>
        </w:rPr>
        <w:t>hese</w:t>
      </w:r>
      <w:r w:rsidR="00905F18">
        <w:rPr>
          <w:rFonts w:ascii="Times New Roman" w:hAnsi="Times New Roman"/>
          <w:sz w:val="24"/>
          <w:szCs w:val="24"/>
        </w:rPr>
        <w:t xml:space="preserve"> funds have been shifted from the </w:t>
      </w:r>
      <w:r w:rsidRPr="00D23530">
        <w:rPr>
          <w:rFonts w:ascii="Times New Roman" w:hAnsi="Times New Roman"/>
          <w:i/>
          <w:sz w:val="24"/>
          <w:szCs w:val="24"/>
        </w:rPr>
        <w:t>Municipal Infrastructure Grant (MIG)</w:t>
      </w:r>
      <w:r w:rsidRPr="00C506DF">
        <w:rPr>
          <w:rFonts w:ascii="Times New Roman" w:hAnsi="Times New Roman"/>
          <w:sz w:val="24"/>
          <w:szCs w:val="24"/>
        </w:rPr>
        <w:t xml:space="preserve">, </w:t>
      </w:r>
      <w:r w:rsidRPr="00D23530">
        <w:rPr>
          <w:rFonts w:ascii="Times New Roman" w:hAnsi="Times New Roman"/>
          <w:i/>
          <w:sz w:val="24"/>
          <w:szCs w:val="24"/>
        </w:rPr>
        <w:t>Water Services Infrastructure Grant (WSIG)</w:t>
      </w:r>
      <w:r w:rsidRPr="00C506DF">
        <w:rPr>
          <w:rFonts w:ascii="Times New Roman" w:hAnsi="Times New Roman"/>
          <w:sz w:val="24"/>
          <w:szCs w:val="24"/>
        </w:rPr>
        <w:t xml:space="preserve"> and the </w:t>
      </w:r>
      <w:r w:rsidRPr="00D23530">
        <w:rPr>
          <w:rFonts w:ascii="Times New Roman" w:hAnsi="Times New Roman"/>
          <w:i/>
          <w:sz w:val="24"/>
          <w:szCs w:val="24"/>
        </w:rPr>
        <w:t>Urban Settlement Development Grant (USDG)</w:t>
      </w:r>
      <w:r w:rsidR="002D3C2E">
        <w:rPr>
          <w:rFonts w:ascii="Times New Roman" w:hAnsi="Times New Roman"/>
          <w:sz w:val="24"/>
          <w:szCs w:val="24"/>
        </w:rPr>
        <w:t xml:space="preserve">. In addition to the shifts from the local government grants, a total of R250 million has been added to the </w:t>
      </w:r>
      <w:r w:rsidR="002D3C2E" w:rsidRPr="00D23530">
        <w:rPr>
          <w:rFonts w:ascii="Times New Roman" w:hAnsi="Times New Roman"/>
          <w:i/>
          <w:sz w:val="24"/>
          <w:szCs w:val="24"/>
        </w:rPr>
        <w:t xml:space="preserve">regional bulk </w:t>
      </w:r>
      <w:r w:rsidR="002D3C2E" w:rsidRPr="00D23530">
        <w:rPr>
          <w:rFonts w:ascii="Times New Roman" w:hAnsi="Times New Roman"/>
          <w:i/>
          <w:sz w:val="24"/>
          <w:szCs w:val="24"/>
        </w:rPr>
        <w:lastRenderedPageBreak/>
        <w:t>infrastructure indirect component of the grant</w:t>
      </w:r>
      <w:r w:rsidR="002D3C2E">
        <w:rPr>
          <w:rFonts w:ascii="Times New Roman" w:hAnsi="Times New Roman"/>
          <w:sz w:val="24"/>
          <w:szCs w:val="24"/>
        </w:rPr>
        <w:t xml:space="preserve"> in order to address pollution into the Vaal River System. </w:t>
      </w:r>
    </w:p>
    <w:p w:rsidR="003844B4" w:rsidRDefault="003844B4" w:rsidP="00C506DF">
      <w:pPr>
        <w:pStyle w:val="ListParagraph"/>
        <w:numPr>
          <w:ilvl w:val="2"/>
          <w:numId w:val="2"/>
        </w:numPr>
        <w:tabs>
          <w:tab w:val="left" w:pos="284"/>
          <w:tab w:val="left" w:pos="567"/>
        </w:tabs>
        <w:spacing w:after="0" w:line="360" w:lineRule="auto"/>
        <w:jc w:val="both"/>
        <w:rPr>
          <w:rFonts w:ascii="Times New Roman" w:hAnsi="Times New Roman"/>
          <w:sz w:val="24"/>
          <w:szCs w:val="24"/>
        </w:rPr>
      </w:pPr>
      <w:r w:rsidRPr="00D23530">
        <w:rPr>
          <w:rFonts w:ascii="Times New Roman" w:hAnsi="Times New Roman"/>
          <w:i/>
          <w:sz w:val="24"/>
          <w:szCs w:val="24"/>
        </w:rPr>
        <w:t>Neighbourhood Development Partnership Direct Grant</w:t>
      </w:r>
      <w:r>
        <w:rPr>
          <w:rFonts w:ascii="Times New Roman" w:hAnsi="Times New Roman"/>
          <w:b/>
          <w:sz w:val="24"/>
          <w:szCs w:val="24"/>
        </w:rPr>
        <w:t xml:space="preserve">: </w:t>
      </w:r>
      <w:r w:rsidR="00AF174E">
        <w:rPr>
          <w:rFonts w:ascii="Times New Roman" w:hAnsi="Times New Roman"/>
          <w:sz w:val="24"/>
          <w:szCs w:val="24"/>
        </w:rPr>
        <w:t xml:space="preserve">Over the 2020 MTEF period, a total of R160 million has reprioritised to the indirect component of the grant. </w:t>
      </w:r>
    </w:p>
    <w:p w:rsidR="00AF174E" w:rsidRDefault="00AF174E" w:rsidP="00AF174E">
      <w:pPr>
        <w:pStyle w:val="ListParagraph"/>
        <w:numPr>
          <w:ilvl w:val="2"/>
          <w:numId w:val="2"/>
        </w:numPr>
        <w:tabs>
          <w:tab w:val="left" w:pos="284"/>
          <w:tab w:val="left" w:pos="567"/>
        </w:tabs>
        <w:spacing w:after="0" w:line="360" w:lineRule="auto"/>
        <w:jc w:val="both"/>
        <w:rPr>
          <w:rFonts w:ascii="Times New Roman" w:hAnsi="Times New Roman"/>
          <w:sz w:val="24"/>
          <w:szCs w:val="24"/>
        </w:rPr>
      </w:pPr>
      <w:r w:rsidRPr="00AF174E">
        <w:rPr>
          <w:rFonts w:ascii="Times New Roman" w:hAnsi="Times New Roman"/>
          <w:sz w:val="24"/>
          <w:szCs w:val="24"/>
        </w:rPr>
        <w:t xml:space="preserve">The introduction of a separate </w:t>
      </w:r>
      <w:r w:rsidRPr="00D23530">
        <w:rPr>
          <w:rFonts w:ascii="Times New Roman" w:hAnsi="Times New Roman"/>
          <w:i/>
          <w:sz w:val="24"/>
          <w:szCs w:val="24"/>
        </w:rPr>
        <w:t>Informal Settlement Upgrading Partnership Grant (ISUPG)</w:t>
      </w:r>
      <w:r w:rsidRPr="00AF174E">
        <w:rPr>
          <w:rFonts w:ascii="Times New Roman" w:hAnsi="Times New Roman"/>
          <w:sz w:val="24"/>
          <w:szCs w:val="24"/>
        </w:rPr>
        <w:t xml:space="preserve"> has been delayed until 2021/22 and consequently, a total of R3 billion 2020/21 indicative allocation has been shifted back to </w:t>
      </w:r>
      <w:r w:rsidRPr="00D23530">
        <w:rPr>
          <w:rFonts w:ascii="Times New Roman" w:hAnsi="Times New Roman"/>
          <w:i/>
          <w:sz w:val="24"/>
          <w:szCs w:val="24"/>
        </w:rPr>
        <w:t>Human Settlement Development Grant (USDG)</w:t>
      </w:r>
      <w:r w:rsidRPr="00AF174E">
        <w:rPr>
          <w:rFonts w:ascii="Times New Roman" w:hAnsi="Times New Roman"/>
          <w:sz w:val="24"/>
          <w:szCs w:val="24"/>
        </w:rPr>
        <w:t>.</w:t>
      </w:r>
    </w:p>
    <w:p w:rsidR="00AF174E" w:rsidRDefault="00AF174E" w:rsidP="00AF174E">
      <w:pPr>
        <w:pStyle w:val="ListParagraph"/>
        <w:numPr>
          <w:ilvl w:val="2"/>
          <w:numId w:val="2"/>
        </w:numPr>
        <w:tabs>
          <w:tab w:val="left" w:pos="284"/>
          <w:tab w:val="left" w:pos="567"/>
        </w:tabs>
        <w:spacing w:after="0" w:line="360" w:lineRule="auto"/>
        <w:jc w:val="both"/>
        <w:rPr>
          <w:rFonts w:ascii="Times New Roman" w:hAnsi="Times New Roman"/>
          <w:sz w:val="24"/>
          <w:szCs w:val="24"/>
        </w:rPr>
      </w:pPr>
      <w:r w:rsidRPr="00D23530">
        <w:rPr>
          <w:rFonts w:ascii="Times New Roman" w:hAnsi="Times New Roman"/>
          <w:i/>
          <w:sz w:val="24"/>
          <w:szCs w:val="24"/>
        </w:rPr>
        <w:t>Integrated Urban Development Grant</w:t>
      </w:r>
      <w:r>
        <w:rPr>
          <w:rFonts w:ascii="Times New Roman" w:hAnsi="Times New Roman"/>
          <w:sz w:val="24"/>
          <w:szCs w:val="24"/>
        </w:rPr>
        <w:t xml:space="preserve">: over the 2020 MTEF, a total of R166 million has been shifted from the </w:t>
      </w:r>
      <w:r w:rsidRPr="00D23530">
        <w:rPr>
          <w:rFonts w:ascii="Times New Roman" w:hAnsi="Times New Roman"/>
          <w:i/>
          <w:sz w:val="24"/>
          <w:szCs w:val="24"/>
        </w:rPr>
        <w:t>Municipal Infrastructure Grant (MIG)</w:t>
      </w:r>
      <w:r>
        <w:rPr>
          <w:rFonts w:ascii="Times New Roman" w:hAnsi="Times New Roman"/>
          <w:sz w:val="24"/>
          <w:szCs w:val="24"/>
        </w:rPr>
        <w:t xml:space="preserve"> to the </w:t>
      </w:r>
      <w:r w:rsidRPr="00D23530">
        <w:rPr>
          <w:rFonts w:ascii="Times New Roman" w:hAnsi="Times New Roman"/>
          <w:i/>
          <w:sz w:val="24"/>
          <w:szCs w:val="24"/>
        </w:rPr>
        <w:t>Integrated Urban Development Grant</w:t>
      </w:r>
      <w:r>
        <w:rPr>
          <w:rFonts w:ascii="Times New Roman" w:hAnsi="Times New Roman"/>
          <w:sz w:val="24"/>
          <w:szCs w:val="24"/>
        </w:rPr>
        <w:t xml:space="preserve">. This occurred after the Steve Tshwete Local Municipality applied to be moved from the municipal infrastructure grant to the integrated urban </w:t>
      </w:r>
      <w:r w:rsidR="00DA26DC">
        <w:rPr>
          <w:rFonts w:ascii="Times New Roman" w:hAnsi="Times New Roman"/>
          <w:sz w:val="24"/>
          <w:szCs w:val="24"/>
        </w:rPr>
        <w:t xml:space="preserve">development grant, and the municipality met the requirements. </w:t>
      </w:r>
    </w:p>
    <w:p w:rsidR="008E4E35" w:rsidRPr="00C506DF" w:rsidRDefault="008E4E35" w:rsidP="00AF174E">
      <w:pPr>
        <w:pStyle w:val="ListParagraph"/>
        <w:numPr>
          <w:ilvl w:val="2"/>
          <w:numId w:val="2"/>
        </w:numPr>
        <w:tabs>
          <w:tab w:val="left" w:pos="284"/>
          <w:tab w:val="left" w:pos="567"/>
        </w:tabs>
        <w:spacing w:after="0" w:line="360" w:lineRule="auto"/>
        <w:jc w:val="both"/>
        <w:rPr>
          <w:rFonts w:ascii="Times New Roman" w:hAnsi="Times New Roman"/>
          <w:sz w:val="24"/>
          <w:szCs w:val="24"/>
        </w:rPr>
      </w:pPr>
      <w:r w:rsidRPr="00D23530">
        <w:rPr>
          <w:rFonts w:ascii="Times New Roman" w:hAnsi="Times New Roman"/>
          <w:i/>
          <w:sz w:val="24"/>
          <w:szCs w:val="24"/>
        </w:rPr>
        <w:t>Public Transport Network Grant</w:t>
      </w:r>
      <w:r w:rsidR="002E12A6">
        <w:rPr>
          <w:rFonts w:ascii="Times New Roman" w:hAnsi="Times New Roman"/>
          <w:i/>
          <w:sz w:val="24"/>
          <w:szCs w:val="24"/>
        </w:rPr>
        <w:t>(</w:t>
      </w:r>
      <w:r w:rsidR="00175FBD">
        <w:rPr>
          <w:rFonts w:ascii="Times New Roman" w:hAnsi="Times New Roman"/>
          <w:i/>
          <w:sz w:val="24"/>
          <w:szCs w:val="24"/>
        </w:rPr>
        <w:t>PTNG)</w:t>
      </w:r>
      <w:r>
        <w:rPr>
          <w:rFonts w:ascii="Times New Roman" w:hAnsi="Times New Roman"/>
          <w:sz w:val="24"/>
          <w:szCs w:val="24"/>
        </w:rPr>
        <w:t xml:space="preserve">: over the 2020 MTEF period, a total of R1 billion in 2020/21, R1.6 billion in 2021/22 and R1.7 billion in 2022/23 is reduced from the </w:t>
      </w:r>
      <w:r w:rsidR="00175FBD">
        <w:rPr>
          <w:rFonts w:ascii="Times New Roman" w:hAnsi="Times New Roman"/>
          <w:i/>
          <w:sz w:val="24"/>
          <w:szCs w:val="24"/>
        </w:rPr>
        <w:t>PTNG</w:t>
      </w:r>
      <w:r w:rsidR="003B6E32">
        <w:rPr>
          <w:rFonts w:ascii="Times New Roman" w:hAnsi="Times New Roman"/>
          <w:sz w:val="24"/>
          <w:szCs w:val="24"/>
        </w:rPr>
        <w:t>. These reductions emanate</w:t>
      </w:r>
      <w:r>
        <w:rPr>
          <w:rFonts w:ascii="Times New Roman" w:hAnsi="Times New Roman"/>
          <w:sz w:val="24"/>
          <w:szCs w:val="24"/>
        </w:rPr>
        <w:t xml:space="preserve"> from the immediate exclusion of Mbombela, Buffalo City and Msunduzi from the grant due to a lack of progress in rolling out of services as required by the grant framework.</w:t>
      </w:r>
    </w:p>
    <w:p w:rsidR="00694AF9" w:rsidRPr="007112B5" w:rsidRDefault="00694AF9" w:rsidP="00694AF9">
      <w:pPr>
        <w:tabs>
          <w:tab w:val="left" w:pos="284"/>
          <w:tab w:val="left" w:pos="567"/>
        </w:tabs>
        <w:spacing w:after="0" w:line="240" w:lineRule="auto"/>
        <w:jc w:val="both"/>
        <w:rPr>
          <w:rFonts w:ascii="Times New Roman" w:hAnsi="Times New Roman"/>
          <w:b/>
          <w:sz w:val="24"/>
          <w:szCs w:val="24"/>
        </w:rPr>
      </w:pPr>
    </w:p>
    <w:p w:rsidR="00AF0E79" w:rsidRPr="007112B5" w:rsidRDefault="00694AF9" w:rsidP="00694AF9">
      <w:pPr>
        <w:pStyle w:val="ListParagraph"/>
        <w:numPr>
          <w:ilvl w:val="0"/>
          <w:numId w:val="2"/>
        </w:numPr>
        <w:tabs>
          <w:tab w:val="left" w:pos="284"/>
          <w:tab w:val="left" w:pos="567"/>
        </w:tabs>
        <w:spacing w:after="0" w:line="240" w:lineRule="auto"/>
        <w:jc w:val="both"/>
        <w:rPr>
          <w:rFonts w:ascii="Times New Roman" w:hAnsi="Times New Roman"/>
          <w:b/>
          <w:sz w:val="24"/>
          <w:szCs w:val="24"/>
        </w:rPr>
      </w:pPr>
      <w:r w:rsidRPr="007112B5">
        <w:rPr>
          <w:rFonts w:ascii="Times New Roman" w:hAnsi="Times New Roman"/>
          <w:b/>
          <w:sz w:val="24"/>
          <w:szCs w:val="24"/>
        </w:rPr>
        <w:t>Stakeholders and Public Inputs on the 2020 Division of Revenue Bill</w:t>
      </w:r>
    </w:p>
    <w:p w:rsidR="00694AF9" w:rsidRPr="007112B5" w:rsidRDefault="00694AF9" w:rsidP="00694AF9">
      <w:pPr>
        <w:tabs>
          <w:tab w:val="left" w:pos="284"/>
          <w:tab w:val="left" w:pos="567"/>
        </w:tabs>
        <w:spacing w:after="0" w:line="240" w:lineRule="auto"/>
        <w:jc w:val="both"/>
        <w:rPr>
          <w:rFonts w:ascii="Times New Roman" w:hAnsi="Times New Roman"/>
          <w:b/>
          <w:sz w:val="24"/>
          <w:szCs w:val="24"/>
        </w:rPr>
      </w:pPr>
    </w:p>
    <w:p w:rsidR="00694AF9" w:rsidRDefault="009E04B4" w:rsidP="009E04B4">
      <w:pPr>
        <w:tabs>
          <w:tab w:val="left" w:pos="284"/>
          <w:tab w:val="left" w:pos="567"/>
        </w:tabs>
        <w:spacing w:after="0" w:line="360" w:lineRule="auto"/>
        <w:jc w:val="both"/>
        <w:rPr>
          <w:rFonts w:ascii="Times New Roman" w:hAnsi="Times New Roman"/>
          <w:sz w:val="24"/>
          <w:szCs w:val="24"/>
        </w:rPr>
      </w:pPr>
      <w:r w:rsidRPr="009E04B4">
        <w:rPr>
          <w:rFonts w:ascii="Times New Roman" w:hAnsi="Times New Roman"/>
          <w:sz w:val="24"/>
          <w:szCs w:val="24"/>
        </w:rPr>
        <w:t xml:space="preserve">This section provides an overview of the comments on the Bill from the Financial and Fiscal Commission and the South African Local Government Association. Furthermore, </w:t>
      </w:r>
      <w:r w:rsidR="0013061E">
        <w:rPr>
          <w:rFonts w:ascii="Times New Roman" w:hAnsi="Times New Roman"/>
          <w:sz w:val="24"/>
          <w:szCs w:val="24"/>
        </w:rPr>
        <w:t xml:space="preserve">this section will also provide a </w:t>
      </w:r>
      <w:r w:rsidRPr="009E04B4">
        <w:rPr>
          <w:rFonts w:ascii="Times New Roman" w:hAnsi="Times New Roman"/>
          <w:sz w:val="24"/>
          <w:szCs w:val="24"/>
        </w:rPr>
        <w:t xml:space="preserve">summary of </w:t>
      </w:r>
      <w:r w:rsidR="0013061E">
        <w:rPr>
          <w:rFonts w:ascii="Times New Roman" w:hAnsi="Times New Roman"/>
          <w:sz w:val="24"/>
          <w:szCs w:val="24"/>
        </w:rPr>
        <w:t xml:space="preserve">pubic </w:t>
      </w:r>
      <w:r w:rsidR="000B3A88">
        <w:rPr>
          <w:rFonts w:ascii="Times New Roman" w:hAnsi="Times New Roman"/>
          <w:sz w:val="24"/>
          <w:szCs w:val="24"/>
        </w:rPr>
        <w:t>submissions received on the Bill</w:t>
      </w:r>
      <w:r w:rsidR="003D1E6E">
        <w:rPr>
          <w:rFonts w:ascii="Times New Roman" w:hAnsi="Times New Roman"/>
          <w:sz w:val="24"/>
          <w:szCs w:val="24"/>
        </w:rPr>
        <w:t xml:space="preserve"> from other interest group</w:t>
      </w:r>
      <w:r w:rsidR="00625272">
        <w:rPr>
          <w:rFonts w:ascii="Times New Roman" w:hAnsi="Times New Roman"/>
          <w:sz w:val="24"/>
          <w:szCs w:val="24"/>
        </w:rPr>
        <w:t>s</w:t>
      </w:r>
      <w:r w:rsidR="000B3A88">
        <w:rPr>
          <w:rFonts w:ascii="Times New Roman" w:hAnsi="Times New Roman"/>
          <w:sz w:val="24"/>
          <w:szCs w:val="24"/>
        </w:rPr>
        <w:t xml:space="preserve">. </w:t>
      </w:r>
    </w:p>
    <w:p w:rsidR="000B3A88" w:rsidRDefault="000B3A88" w:rsidP="009E04B4">
      <w:pPr>
        <w:tabs>
          <w:tab w:val="left" w:pos="284"/>
          <w:tab w:val="left" w:pos="567"/>
        </w:tabs>
        <w:spacing w:after="0" w:line="360" w:lineRule="auto"/>
        <w:jc w:val="both"/>
        <w:rPr>
          <w:rFonts w:ascii="Times New Roman" w:hAnsi="Times New Roman"/>
          <w:sz w:val="24"/>
          <w:szCs w:val="24"/>
        </w:rPr>
      </w:pPr>
    </w:p>
    <w:p w:rsidR="000B3A88" w:rsidRPr="000B3A88" w:rsidRDefault="000B3A88" w:rsidP="009E04B4">
      <w:pPr>
        <w:tabs>
          <w:tab w:val="left" w:pos="284"/>
          <w:tab w:val="left" w:pos="567"/>
        </w:tabs>
        <w:spacing w:after="0" w:line="360" w:lineRule="auto"/>
        <w:jc w:val="both"/>
        <w:rPr>
          <w:rFonts w:ascii="Times New Roman" w:hAnsi="Times New Roman"/>
          <w:b/>
          <w:sz w:val="24"/>
          <w:szCs w:val="24"/>
        </w:rPr>
      </w:pPr>
      <w:r w:rsidRPr="000B3A88">
        <w:rPr>
          <w:rFonts w:ascii="Times New Roman" w:hAnsi="Times New Roman"/>
          <w:b/>
          <w:sz w:val="24"/>
          <w:szCs w:val="24"/>
        </w:rPr>
        <w:t>5.1</w:t>
      </w:r>
      <w:r w:rsidR="007B22D2">
        <w:rPr>
          <w:rFonts w:ascii="Times New Roman" w:hAnsi="Times New Roman"/>
          <w:b/>
          <w:sz w:val="24"/>
          <w:szCs w:val="24"/>
        </w:rPr>
        <w:t>.</w:t>
      </w:r>
      <w:r w:rsidRPr="000B3A88">
        <w:rPr>
          <w:rFonts w:ascii="Times New Roman" w:hAnsi="Times New Roman"/>
          <w:b/>
          <w:sz w:val="24"/>
          <w:szCs w:val="24"/>
        </w:rPr>
        <w:tab/>
        <w:t>Financial and Fiscal Commission</w:t>
      </w:r>
    </w:p>
    <w:p w:rsidR="000B3A88" w:rsidRDefault="000B3A88" w:rsidP="009E04B4">
      <w:pPr>
        <w:tabs>
          <w:tab w:val="left" w:pos="284"/>
          <w:tab w:val="left" w:pos="567"/>
        </w:tabs>
        <w:spacing w:after="0" w:line="360" w:lineRule="auto"/>
        <w:jc w:val="both"/>
        <w:rPr>
          <w:rFonts w:ascii="Times New Roman" w:hAnsi="Times New Roman"/>
          <w:sz w:val="24"/>
          <w:szCs w:val="24"/>
        </w:rPr>
      </w:pPr>
    </w:p>
    <w:p w:rsidR="000B3A88" w:rsidRDefault="0027741A" w:rsidP="009E04B4">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The FFC’s submissi</w:t>
      </w:r>
      <w:r w:rsidR="00AF4DA2">
        <w:rPr>
          <w:rFonts w:ascii="Times New Roman" w:hAnsi="Times New Roman"/>
          <w:sz w:val="24"/>
          <w:szCs w:val="24"/>
        </w:rPr>
        <w:t>on on the Bill included an overview of</w:t>
      </w:r>
      <w:r>
        <w:rPr>
          <w:rFonts w:ascii="Times New Roman" w:hAnsi="Times New Roman"/>
          <w:sz w:val="24"/>
          <w:szCs w:val="24"/>
        </w:rPr>
        <w:t xml:space="preserve"> the baseline adjustments to the 2020 division of revenue when compared to the 2019 budget, the division of revenue between the three spheres of government, trends in funds available to provinces and local government, specific changes to provincial conditional grants, </w:t>
      </w:r>
      <w:r>
        <w:rPr>
          <w:rFonts w:ascii="Times New Roman" w:hAnsi="Times New Roman"/>
          <w:sz w:val="24"/>
          <w:szCs w:val="24"/>
        </w:rPr>
        <w:lastRenderedPageBreak/>
        <w:t xml:space="preserve">local government conditional grants, and government’s responses to the </w:t>
      </w:r>
      <w:r w:rsidR="00AF4DA2">
        <w:rPr>
          <w:rFonts w:ascii="Times New Roman" w:hAnsi="Times New Roman"/>
          <w:sz w:val="24"/>
          <w:szCs w:val="24"/>
        </w:rPr>
        <w:t xml:space="preserve">FFC </w:t>
      </w:r>
      <w:r>
        <w:rPr>
          <w:rFonts w:ascii="Times New Roman" w:hAnsi="Times New Roman"/>
          <w:sz w:val="24"/>
          <w:szCs w:val="24"/>
        </w:rPr>
        <w:t xml:space="preserve">recommendations. </w:t>
      </w:r>
    </w:p>
    <w:p w:rsidR="0027741A" w:rsidRDefault="0027741A" w:rsidP="009E04B4">
      <w:pPr>
        <w:tabs>
          <w:tab w:val="left" w:pos="284"/>
          <w:tab w:val="left" w:pos="567"/>
        </w:tabs>
        <w:spacing w:after="0" w:line="360" w:lineRule="auto"/>
        <w:jc w:val="both"/>
        <w:rPr>
          <w:rFonts w:ascii="Times New Roman" w:hAnsi="Times New Roman"/>
          <w:sz w:val="24"/>
          <w:szCs w:val="24"/>
        </w:rPr>
      </w:pPr>
    </w:p>
    <w:p w:rsidR="00F47ED7" w:rsidRDefault="00D62EFA" w:rsidP="009E04B4">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The FFC submitted that in terms of baseline adjustments to the 2020 division of revenue when compared to the 2019 budget, an additional amount of R24.597 </w:t>
      </w:r>
      <w:r w:rsidR="00526F47">
        <w:rPr>
          <w:rFonts w:ascii="Times New Roman" w:hAnsi="Times New Roman"/>
          <w:sz w:val="24"/>
          <w:szCs w:val="24"/>
        </w:rPr>
        <w:t xml:space="preserve">billion in 2020/21 </w:t>
      </w:r>
      <w:r w:rsidR="00765FA5">
        <w:rPr>
          <w:rFonts w:ascii="Times New Roman" w:hAnsi="Times New Roman"/>
          <w:sz w:val="24"/>
          <w:szCs w:val="24"/>
        </w:rPr>
        <w:t>is allocated</w:t>
      </w:r>
      <w:r>
        <w:rPr>
          <w:rFonts w:ascii="Times New Roman" w:hAnsi="Times New Roman"/>
          <w:sz w:val="24"/>
          <w:szCs w:val="24"/>
        </w:rPr>
        <w:t xml:space="preserve"> to national departments for financial assistance to SOEs, provincial baseline allocations </w:t>
      </w:r>
      <w:r w:rsidR="00765FA5">
        <w:rPr>
          <w:rFonts w:ascii="Times New Roman" w:hAnsi="Times New Roman"/>
          <w:sz w:val="24"/>
          <w:szCs w:val="24"/>
        </w:rPr>
        <w:t>are</w:t>
      </w:r>
      <w:r>
        <w:rPr>
          <w:rFonts w:ascii="Times New Roman" w:hAnsi="Times New Roman"/>
          <w:sz w:val="24"/>
          <w:szCs w:val="24"/>
        </w:rPr>
        <w:t xml:space="preserve"> reduced by R7.858 billion w</w:t>
      </w:r>
      <w:r w:rsidR="003B6E32">
        <w:rPr>
          <w:rFonts w:ascii="Times New Roman" w:hAnsi="Times New Roman"/>
          <w:sz w:val="24"/>
          <w:szCs w:val="24"/>
        </w:rPr>
        <w:t>hilst local government baseline</w:t>
      </w:r>
      <w:r w:rsidR="00526F47">
        <w:rPr>
          <w:rFonts w:ascii="Times New Roman" w:hAnsi="Times New Roman"/>
          <w:sz w:val="24"/>
          <w:szCs w:val="24"/>
        </w:rPr>
        <w:t xml:space="preserve"> is</w:t>
      </w:r>
      <w:r>
        <w:rPr>
          <w:rFonts w:ascii="Times New Roman" w:hAnsi="Times New Roman"/>
          <w:sz w:val="24"/>
          <w:szCs w:val="24"/>
        </w:rPr>
        <w:t xml:space="preserve"> reduced by R5.3</w:t>
      </w:r>
      <w:r w:rsidR="00526F47">
        <w:rPr>
          <w:rFonts w:ascii="Times New Roman" w:hAnsi="Times New Roman"/>
          <w:sz w:val="24"/>
          <w:szCs w:val="24"/>
        </w:rPr>
        <w:t>25</w:t>
      </w:r>
      <w:r>
        <w:rPr>
          <w:rFonts w:ascii="Times New Roman" w:hAnsi="Times New Roman"/>
          <w:sz w:val="24"/>
          <w:szCs w:val="24"/>
        </w:rPr>
        <w:t xml:space="preserve"> billion in the 2020/21 financial year. </w:t>
      </w:r>
    </w:p>
    <w:p w:rsidR="00F47ED7" w:rsidRDefault="00F47ED7" w:rsidP="009E04B4">
      <w:pPr>
        <w:tabs>
          <w:tab w:val="left" w:pos="284"/>
          <w:tab w:val="left" w:pos="567"/>
        </w:tabs>
        <w:spacing w:after="0" w:line="360" w:lineRule="auto"/>
        <w:jc w:val="both"/>
        <w:rPr>
          <w:rFonts w:ascii="Times New Roman" w:hAnsi="Times New Roman"/>
          <w:sz w:val="24"/>
          <w:szCs w:val="24"/>
        </w:rPr>
      </w:pPr>
    </w:p>
    <w:p w:rsidR="00D62EFA" w:rsidRDefault="00F47ED7" w:rsidP="009E04B4">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The FFC further submitted that whilst baselines have been adjusted downward, substantial funds still remained available to provinces and local government and key budget lines remain somewhat protected against the effect</w:t>
      </w:r>
      <w:r w:rsidR="00526F47">
        <w:rPr>
          <w:rFonts w:ascii="Times New Roman" w:hAnsi="Times New Roman"/>
          <w:sz w:val="24"/>
          <w:szCs w:val="24"/>
        </w:rPr>
        <w:t>s</w:t>
      </w:r>
      <w:r>
        <w:rPr>
          <w:rFonts w:ascii="Times New Roman" w:hAnsi="Times New Roman"/>
          <w:sz w:val="24"/>
          <w:szCs w:val="24"/>
        </w:rPr>
        <w:t xml:space="preserve"> of inflation. Given the trends in the division of revenue, the FFC emphasised the need for urgency of turning around the current economic growth trends as well as governance trends that lead to unproductive use of resources. There was as such an urgent need for more effective support in turning around struggling municipalities and provinces. </w:t>
      </w:r>
    </w:p>
    <w:p w:rsidR="00D62EFA" w:rsidRDefault="00D62EFA" w:rsidP="009E04B4">
      <w:pPr>
        <w:tabs>
          <w:tab w:val="left" w:pos="284"/>
          <w:tab w:val="left" w:pos="567"/>
        </w:tabs>
        <w:spacing w:after="0" w:line="360" w:lineRule="auto"/>
        <w:jc w:val="both"/>
        <w:rPr>
          <w:rFonts w:ascii="Times New Roman" w:hAnsi="Times New Roman"/>
          <w:sz w:val="24"/>
          <w:szCs w:val="24"/>
        </w:rPr>
      </w:pPr>
    </w:p>
    <w:p w:rsidR="006A1A01" w:rsidRDefault="006A1A01" w:rsidP="009E04B4">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The FFC made the following comments in terms of </w:t>
      </w:r>
      <w:r w:rsidR="00AF4DA2">
        <w:rPr>
          <w:rFonts w:ascii="Times New Roman" w:hAnsi="Times New Roman"/>
          <w:sz w:val="24"/>
          <w:szCs w:val="24"/>
        </w:rPr>
        <w:t xml:space="preserve">the </w:t>
      </w:r>
      <w:r>
        <w:rPr>
          <w:rFonts w:ascii="Times New Roman" w:hAnsi="Times New Roman"/>
          <w:sz w:val="24"/>
          <w:szCs w:val="24"/>
        </w:rPr>
        <w:t>provincial conditional grants</w:t>
      </w:r>
      <w:r w:rsidR="00AF4DA2">
        <w:rPr>
          <w:rFonts w:ascii="Times New Roman" w:hAnsi="Times New Roman"/>
          <w:sz w:val="24"/>
          <w:szCs w:val="24"/>
        </w:rPr>
        <w:t xml:space="preserve"> allocations over the 2020 MTEF</w:t>
      </w:r>
      <w:r>
        <w:rPr>
          <w:rFonts w:ascii="Times New Roman" w:hAnsi="Times New Roman"/>
          <w:sz w:val="24"/>
          <w:szCs w:val="24"/>
        </w:rPr>
        <w:t>:</w:t>
      </w:r>
    </w:p>
    <w:p w:rsidR="006A1A01" w:rsidRDefault="006A1A01" w:rsidP="009E04B4">
      <w:pPr>
        <w:tabs>
          <w:tab w:val="left" w:pos="284"/>
          <w:tab w:val="left" w:pos="567"/>
        </w:tabs>
        <w:spacing w:after="0" w:line="360" w:lineRule="auto"/>
        <w:jc w:val="both"/>
        <w:rPr>
          <w:rFonts w:ascii="Times New Roman" w:hAnsi="Times New Roman"/>
          <w:sz w:val="24"/>
          <w:szCs w:val="24"/>
        </w:rPr>
      </w:pPr>
    </w:p>
    <w:p w:rsidR="006A1A01" w:rsidRDefault="006A1A01" w:rsidP="009E04B4">
      <w:pPr>
        <w:tabs>
          <w:tab w:val="left" w:pos="284"/>
          <w:tab w:val="left" w:pos="567"/>
        </w:tabs>
        <w:spacing w:after="0" w:line="360" w:lineRule="auto"/>
        <w:jc w:val="both"/>
        <w:rPr>
          <w:rFonts w:ascii="Times New Roman" w:hAnsi="Times New Roman"/>
          <w:sz w:val="24"/>
          <w:szCs w:val="24"/>
        </w:rPr>
      </w:pPr>
      <w:r w:rsidRPr="00AF4DA2">
        <w:rPr>
          <w:rFonts w:ascii="Times New Roman" w:hAnsi="Times New Roman"/>
          <w:b/>
          <w:sz w:val="24"/>
          <w:szCs w:val="24"/>
        </w:rPr>
        <w:t>Education</w:t>
      </w:r>
      <w:r w:rsidR="004F1EC3">
        <w:rPr>
          <w:rFonts w:ascii="Times New Roman" w:hAnsi="Times New Roman"/>
          <w:b/>
          <w:sz w:val="24"/>
          <w:szCs w:val="24"/>
        </w:rPr>
        <w:t>gr</w:t>
      </w:r>
      <w:r w:rsidRPr="00AF4DA2">
        <w:rPr>
          <w:rFonts w:ascii="Times New Roman" w:hAnsi="Times New Roman"/>
          <w:b/>
          <w:sz w:val="24"/>
          <w:szCs w:val="24"/>
        </w:rPr>
        <w:t xml:space="preserve">ants: </w:t>
      </w:r>
      <w:r>
        <w:rPr>
          <w:rFonts w:ascii="Times New Roman" w:hAnsi="Times New Roman"/>
          <w:sz w:val="24"/>
          <w:szCs w:val="24"/>
        </w:rPr>
        <w:t xml:space="preserve">FFC expressed concerns about the baseline reductions to the Education Infrastructure Grant and the Schools Infrastructure Backlogs Grant </w:t>
      </w:r>
      <w:r w:rsidR="00AF4DA2">
        <w:rPr>
          <w:rFonts w:ascii="Times New Roman" w:hAnsi="Times New Roman"/>
          <w:sz w:val="24"/>
          <w:szCs w:val="24"/>
        </w:rPr>
        <w:t xml:space="preserve">over the 2020 MTEF </w:t>
      </w:r>
      <w:r>
        <w:rPr>
          <w:rFonts w:ascii="Times New Roman" w:hAnsi="Times New Roman"/>
          <w:sz w:val="24"/>
          <w:szCs w:val="24"/>
        </w:rPr>
        <w:t xml:space="preserve">given the importance in addressing education </w:t>
      </w:r>
      <w:r w:rsidR="00AF4DA2">
        <w:rPr>
          <w:rFonts w:ascii="Times New Roman" w:hAnsi="Times New Roman"/>
          <w:sz w:val="24"/>
          <w:szCs w:val="24"/>
        </w:rPr>
        <w:t>sector infrastructure backlogs. It recommended that the status quo of the infrastructure delivery value chain needed to be reviewed in line with its findings and recommendations.</w:t>
      </w:r>
    </w:p>
    <w:p w:rsidR="00AF4DA2" w:rsidRDefault="00AF4DA2" w:rsidP="009E04B4">
      <w:pPr>
        <w:tabs>
          <w:tab w:val="left" w:pos="284"/>
          <w:tab w:val="left" w:pos="567"/>
        </w:tabs>
        <w:spacing w:after="0" w:line="360" w:lineRule="auto"/>
        <w:jc w:val="both"/>
        <w:rPr>
          <w:rFonts w:ascii="Times New Roman" w:hAnsi="Times New Roman"/>
          <w:sz w:val="24"/>
          <w:szCs w:val="24"/>
        </w:rPr>
      </w:pPr>
    </w:p>
    <w:p w:rsidR="00AF4DA2" w:rsidRDefault="00AF4DA2" w:rsidP="009E04B4">
      <w:pPr>
        <w:tabs>
          <w:tab w:val="left" w:pos="284"/>
          <w:tab w:val="left" w:pos="567"/>
        </w:tabs>
        <w:spacing w:after="0" w:line="360" w:lineRule="auto"/>
        <w:jc w:val="both"/>
        <w:rPr>
          <w:rFonts w:ascii="Times New Roman" w:hAnsi="Times New Roman"/>
          <w:sz w:val="24"/>
          <w:szCs w:val="24"/>
        </w:rPr>
      </w:pPr>
      <w:r w:rsidRPr="00AF4DA2">
        <w:rPr>
          <w:rFonts w:ascii="Times New Roman" w:hAnsi="Times New Roman"/>
          <w:b/>
          <w:sz w:val="24"/>
          <w:szCs w:val="24"/>
        </w:rPr>
        <w:t xml:space="preserve">Social Development </w:t>
      </w:r>
      <w:r w:rsidR="004F1EC3">
        <w:rPr>
          <w:rFonts w:ascii="Times New Roman" w:hAnsi="Times New Roman"/>
          <w:b/>
          <w:sz w:val="24"/>
          <w:szCs w:val="24"/>
        </w:rPr>
        <w:t>g</w:t>
      </w:r>
      <w:r w:rsidRPr="00AF4DA2">
        <w:rPr>
          <w:rFonts w:ascii="Times New Roman" w:hAnsi="Times New Roman"/>
          <w:b/>
          <w:sz w:val="24"/>
          <w:szCs w:val="24"/>
        </w:rPr>
        <w:t>rant</w:t>
      </w:r>
      <w:r w:rsidR="004F1EC3">
        <w:rPr>
          <w:rFonts w:ascii="Times New Roman" w:hAnsi="Times New Roman"/>
          <w:b/>
          <w:sz w:val="24"/>
          <w:szCs w:val="24"/>
        </w:rPr>
        <w:t>s</w:t>
      </w:r>
      <w:r w:rsidRPr="00AF4DA2">
        <w:rPr>
          <w:rFonts w:ascii="Times New Roman" w:hAnsi="Times New Roman"/>
          <w:b/>
          <w:sz w:val="24"/>
          <w:szCs w:val="24"/>
        </w:rPr>
        <w:t xml:space="preserve">: </w:t>
      </w:r>
      <w:r>
        <w:rPr>
          <w:rFonts w:ascii="Times New Roman" w:hAnsi="Times New Roman"/>
          <w:sz w:val="24"/>
          <w:szCs w:val="24"/>
        </w:rPr>
        <w:t xml:space="preserve">The FFC welcomed the additional funds to the Early Childhood Development (ECD) Grant over the 2020 MTEF as this will ensure more access for children to ECD including basic infrastructure. </w:t>
      </w:r>
    </w:p>
    <w:p w:rsidR="00AF4DA2" w:rsidRDefault="00AF4DA2" w:rsidP="009E04B4">
      <w:pPr>
        <w:tabs>
          <w:tab w:val="left" w:pos="284"/>
          <w:tab w:val="left" w:pos="567"/>
        </w:tabs>
        <w:spacing w:after="0" w:line="360" w:lineRule="auto"/>
        <w:jc w:val="both"/>
        <w:rPr>
          <w:rFonts w:ascii="Times New Roman" w:hAnsi="Times New Roman"/>
          <w:sz w:val="24"/>
          <w:szCs w:val="24"/>
        </w:rPr>
      </w:pPr>
    </w:p>
    <w:p w:rsidR="00AF4DA2" w:rsidRDefault="00AF4DA2" w:rsidP="009E04B4">
      <w:pPr>
        <w:tabs>
          <w:tab w:val="left" w:pos="284"/>
          <w:tab w:val="left" w:pos="567"/>
        </w:tabs>
        <w:spacing w:after="0" w:line="360" w:lineRule="auto"/>
        <w:jc w:val="both"/>
        <w:rPr>
          <w:rFonts w:ascii="Times New Roman" w:hAnsi="Times New Roman"/>
          <w:sz w:val="24"/>
          <w:szCs w:val="24"/>
        </w:rPr>
      </w:pPr>
      <w:r w:rsidRPr="006811DE">
        <w:rPr>
          <w:rFonts w:ascii="Times New Roman" w:hAnsi="Times New Roman"/>
          <w:b/>
          <w:sz w:val="24"/>
          <w:szCs w:val="24"/>
        </w:rPr>
        <w:t>Housing Grants:</w:t>
      </w:r>
      <w:r>
        <w:rPr>
          <w:rFonts w:ascii="Times New Roman" w:hAnsi="Times New Roman"/>
          <w:sz w:val="24"/>
          <w:szCs w:val="24"/>
        </w:rPr>
        <w:t xml:space="preserve"> The FFC supported the ring-fencing of R544 million in the Human Settlements Grant to upgrade settlements in mining towns in six provinces. The FFC</w:t>
      </w:r>
      <w:r w:rsidR="006811DE">
        <w:rPr>
          <w:rFonts w:ascii="Times New Roman" w:hAnsi="Times New Roman"/>
          <w:sz w:val="24"/>
          <w:szCs w:val="24"/>
        </w:rPr>
        <w:t xml:space="preserve"> also noted </w:t>
      </w:r>
      <w:r>
        <w:rPr>
          <w:rFonts w:ascii="Times New Roman" w:hAnsi="Times New Roman"/>
          <w:sz w:val="24"/>
          <w:szCs w:val="24"/>
        </w:rPr>
        <w:t xml:space="preserve">the termination of the </w:t>
      </w:r>
      <w:r w:rsidR="006811DE">
        <w:rPr>
          <w:rFonts w:ascii="Times New Roman" w:hAnsi="Times New Roman"/>
          <w:sz w:val="24"/>
          <w:szCs w:val="24"/>
        </w:rPr>
        <w:t xml:space="preserve">Title Deeds Restoration Grant in 2020/21 however it </w:t>
      </w:r>
      <w:r w:rsidR="006811DE">
        <w:rPr>
          <w:rFonts w:ascii="Times New Roman" w:hAnsi="Times New Roman"/>
          <w:sz w:val="24"/>
          <w:szCs w:val="24"/>
        </w:rPr>
        <w:lastRenderedPageBreak/>
        <w:t xml:space="preserve">reiterated the need for a review of the grant to determine whether its goals, targets and targets have been achieved. </w:t>
      </w:r>
    </w:p>
    <w:p w:rsidR="006811DE" w:rsidRDefault="006811DE" w:rsidP="009E04B4">
      <w:pPr>
        <w:tabs>
          <w:tab w:val="left" w:pos="284"/>
          <w:tab w:val="left" w:pos="567"/>
        </w:tabs>
        <w:spacing w:after="0" w:line="360" w:lineRule="auto"/>
        <w:jc w:val="both"/>
        <w:rPr>
          <w:rFonts w:ascii="Times New Roman" w:hAnsi="Times New Roman"/>
          <w:sz w:val="24"/>
          <w:szCs w:val="24"/>
        </w:rPr>
      </w:pPr>
    </w:p>
    <w:p w:rsidR="00A8393A" w:rsidRDefault="006811DE" w:rsidP="009E04B4">
      <w:pPr>
        <w:tabs>
          <w:tab w:val="left" w:pos="284"/>
          <w:tab w:val="left" w:pos="567"/>
        </w:tabs>
        <w:spacing w:after="0" w:line="360" w:lineRule="auto"/>
        <w:jc w:val="both"/>
        <w:rPr>
          <w:rFonts w:ascii="Times New Roman" w:hAnsi="Times New Roman"/>
          <w:sz w:val="24"/>
          <w:szCs w:val="24"/>
        </w:rPr>
      </w:pPr>
      <w:r w:rsidRPr="00A8393A">
        <w:rPr>
          <w:rFonts w:ascii="Times New Roman" w:hAnsi="Times New Roman"/>
          <w:b/>
          <w:sz w:val="24"/>
          <w:szCs w:val="24"/>
        </w:rPr>
        <w:t xml:space="preserve">Health </w:t>
      </w:r>
      <w:r w:rsidR="004F1EC3">
        <w:rPr>
          <w:rFonts w:ascii="Times New Roman" w:hAnsi="Times New Roman"/>
          <w:b/>
          <w:sz w:val="24"/>
          <w:szCs w:val="24"/>
        </w:rPr>
        <w:t>g</w:t>
      </w:r>
      <w:r w:rsidRPr="00A8393A">
        <w:rPr>
          <w:rFonts w:ascii="Times New Roman" w:hAnsi="Times New Roman"/>
          <w:b/>
          <w:sz w:val="24"/>
          <w:szCs w:val="24"/>
        </w:rPr>
        <w:t>rants:</w:t>
      </w:r>
      <w:r>
        <w:rPr>
          <w:rFonts w:ascii="Times New Roman" w:hAnsi="Times New Roman"/>
          <w:sz w:val="24"/>
          <w:szCs w:val="24"/>
        </w:rPr>
        <w:t xml:space="preserve"> The FFC welcomed the shifting of R199 million in 2020/21 and R5.7 million in 2021/22 from the NHI: Health Facility Revitalisation Grant (HFRG) indirect grant to the direct HFGR grant for the Pietersburg Hospital Project. This change is in line with the FFC’s previous recommendations that there was a need to streamline conditional grants with the same purpose in order to avoid duplication. </w:t>
      </w:r>
    </w:p>
    <w:p w:rsidR="00A8393A" w:rsidRDefault="00A8393A" w:rsidP="009E04B4">
      <w:pPr>
        <w:tabs>
          <w:tab w:val="left" w:pos="284"/>
          <w:tab w:val="left" w:pos="567"/>
        </w:tabs>
        <w:spacing w:after="0" w:line="360" w:lineRule="auto"/>
        <w:jc w:val="both"/>
        <w:rPr>
          <w:rFonts w:ascii="Times New Roman" w:hAnsi="Times New Roman"/>
          <w:sz w:val="24"/>
          <w:szCs w:val="24"/>
        </w:rPr>
      </w:pPr>
    </w:p>
    <w:p w:rsidR="006811DE" w:rsidRDefault="006811DE" w:rsidP="009E04B4">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The FF</w:t>
      </w:r>
      <w:r w:rsidR="00A8393A">
        <w:rPr>
          <w:rFonts w:ascii="Times New Roman" w:hAnsi="Times New Roman"/>
          <w:sz w:val="24"/>
          <w:szCs w:val="24"/>
        </w:rPr>
        <w:t>C</w:t>
      </w:r>
      <w:r>
        <w:rPr>
          <w:rFonts w:ascii="Times New Roman" w:hAnsi="Times New Roman"/>
          <w:sz w:val="24"/>
          <w:szCs w:val="24"/>
        </w:rPr>
        <w:t xml:space="preserve"> also supported the merger of the Human Resources </w:t>
      </w:r>
      <w:r w:rsidR="00F65057">
        <w:rPr>
          <w:rFonts w:ascii="Times New Roman" w:hAnsi="Times New Roman"/>
          <w:sz w:val="24"/>
          <w:szCs w:val="24"/>
        </w:rPr>
        <w:t>C</w:t>
      </w:r>
      <w:r>
        <w:rPr>
          <w:rFonts w:ascii="Times New Roman" w:hAnsi="Times New Roman"/>
          <w:sz w:val="24"/>
          <w:szCs w:val="24"/>
        </w:rPr>
        <w:t xml:space="preserve">apacitation Grant and the </w:t>
      </w:r>
      <w:r w:rsidR="00175FBD">
        <w:rPr>
          <w:rFonts w:ascii="Times New Roman" w:hAnsi="Times New Roman"/>
          <w:sz w:val="24"/>
          <w:szCs w:val="24"/>
        </w:rPr>
        <w:t>H</w:t>
      </w:r>
      <w:r>
        <w:rPr>
          <w:rFonts w:ascii="Times New Roman" w:hAnsi="Times New Roman"/>
          <w:sz w:val="24"/>
          <w:szCs w:val="24"/>
        </w:rPr>
        <w:t>ealth Professions Training and Development Grant to create the Statutory Human Resources Training and Development Grant</w:t>
      </w:r>
      <w:r w:rsidR="00A8393A">
        <w:rPr>
          <w:rFonts w:ascii="Times New Roman" w:hAnsi="Times New Roman"/>
          <w:sz w:val="24"/>
          <w:szCs w:val="24"/>
        </w:rPr>
        <w:t xml:space="preserve">. The merger of </w:t>
      </w:r>
      <w:r w:rsidR="00F65057">
        <w:rPr>
          <w:rFonts w:ascii="Times New Roman" w:hAnsi="Times New Roman"/>
          <w:sz w:val="24"/>
          <w:szCs w:val="24"/>
        </w:rPr>
        <w:t xml:space="preserve">these </w:t>
      </w:r>
      <w:r w:rsidR="00A8393A">
        <w:rPr>
          <w:rFonts w:ascii="Times New Roman" w:hAnsi="Times New Roman"/>
          <w:sz w:val="24"/>
          <w:szCs w:val="24"/>
        </w:rPr>
        <w:t xml:space="preserve">grants with the same purpose would minimise inefficiencies associated with overlaps and duplication. </w:t>
      </w:r>
      <w:r w:rsidR="00DF79F8">
        <w:rPr>
          <w:rFonts w:ascii="Times New Roman" w:hAnsi="Times New Roman"/>
          <w:sz w:val="24"/>
          <w:szCs w:val="24"/>
        </w:rPr>
        <w:t>The FFC</w:t>
      </w:r>
      <w:r w:rsidR="00A8393A">
        <w:rPr>
          <w:rFonts w:ascii="Times New Roman" w:hAnsi="Times New Roman"/>
          <w:sz w:val="24"/>
          <w:szCs w:val="24"/>
        </w:rPr>
        <w:t>however noted with concern the funding of some posts that were previously funded from the Provincial Equitable Share (PES) and suggested that these</w:t>
      </w:r>
      <w:r w:rsidR="00175FBD">
        <w:rPr>
          <w:rFonts w:ascii="Times New Roman" w:hAnsi="Times New Roman"/>
          <w:sz w:val="24"/>
          <w:szCs w:val="24"/>
        </w:rPr>
        <w:t xml:space="preserve"> posts</w:t>
      </w:r>
      <w:r w:rsidR="00A8393A">
        <w:rPr>
          <w:rFonts w:ascii="Times New Roman" w:hAnsi="Times New Roman"/>
          <w:sz w:val="24"/>
          <w:szCs w:val="24"/>
        </w:rPr>
        <w:t xml:space="preserve"> should be clearly stated in order to avoid confusion and duplication that would result in wasteful expenditure. </w:t>
      </w:r>
    </w:p>
    <w:p w:rsidR="00A8393A" w:rsidRDefault="00A8393A" w:rsidP="009E04B4">
      <w:pPr>
        <w:tabs>
          <w:tab w:val="left" w:pos="284"/>
          <w:tab w:val="left" w:pos="567"/>
        </w:tabs>
        <w:spacing w:after="0" w:line="360" w:lineRule="auto"/>
        <w:jc w:val="both"/>
        <w:rPr>
          <w:rFonts w:ascii="Times New Roman" w:hAnsi="Times New Roman"/>
          <w:sz w:val="24"/>
          <w:szCs w:val="24"/>
        </w:rPr>
      </w:pPr>
    </w:p>
    <w:p w:rsidR="00A8393A" w:rsidRDefault="00A8393A" w:rsidP="009E04B4">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The FFC noted with concern the proposed reprioritisation of R800 million in 2020/21 from the HIV/AIDS component of the HIV/AIDS, TB, Malaria and Community Outreach Grant to the community outreach component to cover </w:t>
      </w:r>
      <w:r w:rsidR="009C41BF">
        <w:rPr>
          <w:rFonts w:ascii="Times New Roman" w:hAnsi="Times New Roman"/>
          <w:sz w:val="24"/>
          <w:szCs w:val="24"/>
        </w:rPr>
        <w:t xml:space="preserve">the </w:t>
      </w:r>
      <w:r>
        <w:rPr>
          <w:rFonts w:ascii="Times New Roman" w:hAnsi="Times New Roman"/>
          <w:sz w:val="24"/>
          <w:szCs w:val="24"/>
        </w:rPr>
        <w:t>shortfall in the salaries of community health</w:t>
      </w:r>
      <w:r w:rsidR="009C41BF">
        <w:rPr>
          <w:rFonts w:ascii="Times New Roman" w:hAnsi="Times New Roman"/>
          <w:sz w:val="24"/>
          <w:szCs w:val="24"/>
        </w:rPr>
        <w:t>care</w:t>
      </w:r>
      <w:r>
        <w:rPr>
          <w:rFonts w:ascii="Times New Roman" w:hAnsi="Times New Roman"/>
          <w:sz w:val="24"/>
          <w:szCs w:val="24"/>
        </w:rPr>
        <w:t xml:space="preserve"> workers. </w:t>
      </w:r>
      <w:r w:rsidR="00105EBC">
        <w:rPr>
          <w:rFonts w:ascii="Times New Roman" w:hAnsi="Times New Roman"/>
          <w:sz w:val="24"/>
          <w:szCs w:val="24"/>
        </w:rPr>
        <w:t xml:space="preserve">It further expressed concerns with the proposed merger of the Human Papillomavirus Vaccine (HPV) Grant to the aforementioned grant </w:t>
      </w:r>
      <w:r w:rsidR="004F1EC3">
        <w:rPr>
          <w:rFonts w:ascii="Times New Roman" w:hAnsi="Times New Roman"/>
          <w:sz w:val="24"/>
          <w:szCs w:val="24"/>
        </w:rPr>
        <w:t>as it had too many objectives which could hamper the realisation of its targets and intended outcomes. The FFC reiterated its previous submission with regard to the HPV Grant that proper financial planning and infrastructure was need</w:t>
      </w:r>
      <w:r w:rsidR="00DF79F8">
        <w:rPr>
          <w:rFonts w:ascii="Times New Roman" w:hAnsi="Times New Roman"/>
          <w:sz w:val="24"/>
          <w:szCs w:val="24"/>
        </w:rPr>
        <w:t>ed</w:t>
      </w:r>
      <w:r w:rsidR="004F1EC3">
        <w:rPr>
          <w:rFonts w:ascii="Times New Roman" w:hAnsi="Times New Roman"/>
          <w:sz w:val="24"/>
          <w:szCs w:val="24"/>
        </w:rPr>
        <w:t xml:space="preserve"> in relation to the roll-out of such a vaccine grant. </w:t>
      </w:r>
    </w:p>
    <w:p w:rsidR="004F1EC3" w:rsidRDefault="004F1EC3" w:rsidP="009E04B4">
      <w:pPr>
        <w:tabs>
          <w:tab w:val="left" w:pos="284"/>
          <w:tab w:val="left" w:pos="567"/>
        </w:tabs>
        <w:spacing w:after="0" w:line="360" w:lineRule="auto"/>
        <w:jc w:val="both"/>
        <w:rPr>
          <w:rFonts w:ascii="Times New Roman" w:hAnsi="Times New Roman"/>
          <w:sz w:val="24"/>
          <w:szCs w:val="24"/>
        </w:rPr>
      </w:pPr>
    </w:p>
    <w:p w:rsidR="004F1EC3" w:rsidRDefault="004F1EC3" w:rsidP="009E04B4">
      <w:pPr>
        <w:tabs>
          <w:tab w:val="left" w:pos="284"/>
          <w:tab w:val="left" w:pos="567"/>
        </w:tabs>
        <w:spacing w:after="0" w:line="360" w:lineRule="auto"/>
        <w:jc w:val="both"/>
        <w:rPr>
          <w:rFonts w:ascii="Times New Roman" w:hAnsi="Times New Roman"/>
          <w:sz w:val="24"/>
          <w:szCs w:val="24"/>
        </w:rPr>
      </w:pPr>
      <w:r w:rsidRPr="001D318E">
        <w:rPr>
          <w:rFonts w:ascii="Times New Roman" w:hAnsi="Times New Roman"/>
          <w:b/>
          <w:sz w:val="24"/>
          <w:szCs w:val="24"/>
        </w:rPr>
        <w:t>Agriculture grants:</w:t>
      </w:r>
      <w:r>
        <w:rPr>
          <w:rFonts w:ascii="Times New Roman" w:hAnsi="Times New Roman"/>
          <w:sz w:val="24"/>
          <w:szCs w:val="24"/>
        </w:rPr>
        <w:t xml:space="preserve"> The FFC welcomed the shift of R36 million from the direct Ilima/Letsema Grant to the newly created indirect Ilima/Letsema Grant to fund a survey that would improve targeting of poverty relief programmes. </w:t>
      </w:r>
    </w:p>
    <w:p w:rsidR="001D318E" w:rsidRDefault="001D318E" w:rsidP="009E04B4">
      <w:pPr>
        <w:tabs>
          <w:tab w:val="left" w:pos="284"/>
          <w:tab w:val="left" w:pos="567"/>
        </w:tabs>
        <w:spacing w:after="0" w:line="360" w:lineRule="auto"/>
        <w:jc w:val="both"/>
        <w:rPr>
          <w:rFonts w:ascii="Times New Roman" w:hAnsi="Times New Roman"/>
          <w:sz w:val="24"/>
          <w:szCs w:val="24"/>
        </w:rPr>
      </w:pPr>
    </w:p>
    <w:p w:rsidR="001D318E" w:rsidRDefault="001D318E" w:rsidP="009E04B4">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lastRenderedPageBreak/>
        <w:t xml:space="preserve">The FFC cautioned against the extension of the scope of Land Care Programme Grant, other than for its intended objectives and to also guard against duplication. The 2020 Budget Review states that provinces are encouraged to use this grant to create jobs through the Expanded Public Works Programme (EPWP). </w:t>
      </w:r>
    </w:p>
    <w:p w:rsidR="006A1A01" w:rsidRDefault="006A1A01" w:rsidP="009E04B4">
      <w:pPr>
        <w:tabs>
          <w:tab w:val="left" w:pos="284"/>
          <w:tab w:val="left" w:pos="567"/>
        </w:tabs>
        <w:spacing w:after="0" w:line="360" w:lineRule="auto"/>
        <w:jc w:val="both"/>
        <w:rPr>
          <w:rFonts w:ascii="Times New Roman" w:hAnsi="Times New Roman"/>
          <w:sz w:val="24"/>
          <w:szCs w:val="24"/>
        </w:rPr>
      </w:pPr>
    </w:p>
    <w:p w:rsidR="0027741A" w:rsidRDefault="00DF79F8" w:rsidP="009E04B4">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Regarding</w:t>
      </w:r>
      <w:r w:rsidR="0027741A">
        <w:rPr>
          <w:rFonts w:ascii="Times New Roman" w:hAnsi="Times New Roman"/>
          <w:sz w:val="24"/>
          <w:szCs w:val="24"/>
        </w:rPr>
        <w:t xml:space="preserve"> baseline reductions </w:t>
      </w:r>
      <w:r>
        <w:rPr>
          <w:rFonts w:ascii="Times New Roman" w:hAnsi="Times New Roman"/>
          <w:sz w:val="24"/>
          <w:szCs w:val="24"/>
        </w:rPr>
        <w:t>in</w:t>
      </w:r>
      <w:r w:rsidR="0027741A">
        <w:rPr>
          <w:rFonts w:ascii="Times New Roman" w:hAnsi="Times New Roman"/>
          <w:sz w:val="24"/>
          <w:szCs w:val="24"/>
        </w:rPr>
        <w:t xml:space="preserve"> local government grants, the FFC expressed concerns about the </w:t>
      </w:r>
      <w:r w:rsidR="001D318E">
        <w:rPr>
          <w:rFonts w:ascii="Times New Roman" w:hAnsi="Times New Roman"/>
          <w:sz w:val="24"/>
          <w:szCs w:val="24"/>
        </w:rPr>
        <w:t xml:space="preserve">proposed </w:t>
      </w:r>
      <w:r w:rsidR="0027741A">
        <w:rPr>
          <w:rFonts w:ascii="Times New Roman" w:hAnsi="Times New Roman"/>
          <w:sz w:val="24"/>
          <w:szCs w:val="24"/>
        </w:rPr>
        <w:t xml:space="preserve">cuts in infrastructure grants and submitted that with the current struggling economy, it was important that government pursued </w:t>
      </w:r>
      <w:r w:rsidR="00BF1D4D">
        <w:rPr>
          <w:rFonts w:ascii="Times New Roman" w:hAnsi="Times New Roman"/>
          <w:sz w:val="24"/>
          <w:szCs w:val="24"/>
        </w:rPr>
        <w:t xml:space="preserve">the </w:t>
      </w:r>
      <w:r w:rsidR="0027741A">
        <w:rPr>
          <w:rFonts w:ascii="Times New Roman" w:hAnsi="Times New Roman"/>
          <w:sz w:val="24"/>
          <w:szCs w:val="24"/>
        </w:rPr>
        <w:t xml:space="preserve">infrastructure led </w:t>
      </w:r>
      <w:r w:rsidR="00BF1D4D">
        <w:rPr>
          <w:rFonts w:ascii="Times New Roman" w:hAnsi="Times New Roman"/>
          <w:sz w:val="24"/>
          <w:szCs w:val="24"/>
        </w:rPr>
        <w:t xml:space="preserve">growth strategy more vigorously. </w:t>
      </w:r>
      <w:r w:rsidR="001D318E">
        <w:rPr>
          <w:rFonts w:ascii="Times New Roman" w:hAnsi="Times New Roman"/>
          <w:sz w:val="24"/>
          <w:szCs w:val="24"/>
        </w:rPr>
        <w:t xml:space="preserve">Furthermore, </w:t>
      </w:r>
      <w:r>
        <w:rPr>
          <w:rFonts w:ascii="Times New Roman" w:hAnsi="Times New Roman"/>
          <w:sz w:val="24"/>
          <w:szCs w:val="24"/>
        </w:rPr>
        <w:t xml:space="preserve">FFC </w:t>
      </w:r>
      <w:r w:rsidR="001D318E">
        <w:rPr>
          <w:rFonts w:ascii="Times New Roman" w:hAnsi="Times New Roman"/>
          <w:sz w:val="24"/>
          <w:szCs w:val="24"/>
        </w:rPr>
        <w:t xml:space="preserve">has noted that reductions were mainly targeted at poorly performing grants in terms of expenditure, however the FFC’s initial analysis only found the INEP (Eskom) Grant to be a good candidate for reductions due to its under expenditure between 2015/16 and 2018/19. </w:t>
      </w:r>
    </w:p>
    <w:p w:rsidR="00045E0A" w:rsidRDefault="00045E0A" w:rsidP="009E04B4">
      <w:pPr>
        <w:tabs>
          <w:tab w:val="left" w:pos="284"/>
          <w:tab w:val="left" w:pos="567"/>
        </w:tabs>
        <w:spacing w:after="0" w:line="360" w:lineRule="auto"/>
        <w:jc w:val="both"/>
        <w:rPr>
          <w:rFonts w:ascii="Times New Roman" w:hAnsi="Times New Roman"/>
          <w:sz w:val="24"/>
          <w:szCs w:val="24"/>
        </w:rPr>
      </w:pPr>
    </w:p>
    <w:p w:rsidR="00694AF9" w:rsidRDefault="00045E0A" w:rsidP="00045E0A">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In terms of government’s responses to the FFC’s recommendations for the 2020/21 division of revenue, concerns were expressed that only 8 of the 19 recommendations were responded to.</w:t>
      </w:r>
    </w:p>
    <w:p w:rsidR="002502F8" w:rsidRDefault="002502F8" w:rsidP="00045E0A">
      <w:pPr>
        <w:tabs>
          <w:tab w:val="left" w:pos="284"/>
          <w:tab w:val="left" w:pos="567"/>
        </w:tabs>
        <w:spacing w:after="0" w:line="360" w:lineRule="auto"/>
        <w:jc w:val="both"/>
        <w:rPr>
          <w:rFonts w:ascii="Times New Roman" w:hAnsi="Times New Roman"/>
          <w:sz w:val="24"/>
          <w:szCs w:val="24"/>
        </w:rPr>
      </w:pPr>
    </w:p>
    <w:p w:rsidR="00051D60" w:rsidRPr="00667FEA" w:rsidRDefault="00FB3E22" w:rsidP="00045E0A">
      <w:pPr>
        <w:tabs>
          <w:tab w:val="left" w:pos="284"/>
          <w:tab w:val="left" w:pos="567"/>
        </w:tabs>
        <w:spacing w:after="0" w:line="360" w:lineRule="auto"/>
        <w:jc w:val="both"/>
        <w:rPr>
          <w:rFonts w:ascii="Times New Roman" w:hAnsi="Times New Roman"/>
          <w:b/>
          <w:sz w:val="24"/>
          <w:szCs w:val="24"/>
        </w:rPr>
      </w:pPr>
      <w:r w:rsidRPr="00667FEA">
        <w:rPr>
          <w:rFonts w:ascii="Times New Roman" w:hAnsi="Times New Roman"/>
          <w:b/>
          <w:sz w:val="24"/>
          <w:szCs w:val="24"/>
        </w:rPr>
        <w:t>5.2</w:t>
      </w:r>
      <w:r w:rsidR="007B22D2">
        <w:rPr>
          <w:rFonts w:ascii="Times New Roman" w:hAnsi="Times New Roman"/>
          <w:b/>
          <w:sz w:val="24"/>
          <w:szCs w:val="24"/>
        </w:rPr>
        <w:t>.</w:t>
      </w:r>
      <w:r w:rsidRPr="00667FEA">
        <w:rPr>
          <w:rFonts w:ascii="Times New Roman" w:hAnsi="Times New Roman"/>
          <w:b/>
          <w:sz w:val="24"/>
          <w:szCs w:val="24"/>
        </w:rPr>
        <w:tab/>
        <w:t>South African Local Government Association</w:t>
      </w:r>
    </w:p>
    <w:p w:rsidR="00FB3E22" w:rsidRDefault="00FB3E22" w:rsidP="00045E0A">
      <w:pPr>
        <w:tabs>
          <w:tab w:val="left" w:pos="284"/>
          <w:tab w:val="left" w:pos="567"/>
        </w:tabs>
        <w:spacing w:after="0" w:line="360" w:lineRule="auto"/>
        <w:jc w:val="both"/>
        <w:rPr>
          <w:rFonts w:ascii="Times New Roman" w:hAnsi="Times New Roman"/>
          <w:sz w:val="24"/>
          <w:szCs w:val="24"/>
        </w:rPr>
      </w:pPr>
    </w:p>
    <w:p w:rsidR="002502F8" w:rsidRDefault="00521EEC" w:rsidP="00045E0A">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The South African Local Government Association (SALGA) commented that the Bill perpetuated the continuation of financial incapacitation of local government which has been decried for many years. SALGA further submitted that </w:t>
      </w:r>
      <w:r w:rsidR="00B11B68">
        <w:rPr>
          <w:rFonts w:ascii="Times New Roman" w:hAnsi="Times New Roman"/>
          <w:sz w:val="24"/>
          <w:szCs w:val="24"/>
        </w:rPr>
        <w:t xml:space="preserve">the Bill, in its current form, placed an unaffordable burden on struggling ratepayers. The financial resources available to municipalities have fallen short of the demands on municipalities for services and infrastructure over the past 20 years. </w:t>
      </w:r>
      <w:r w:rsidR="003E3B95">
        <w:rPr>
          <w:rFonts w:ascii="Times New Roman" w:hAnsi="Times New Roman"/>
          <w:sz w:val="24"/>
          <w:szCs w:val="24"/>
        </w:rPr>
        <w:t>This</w:t>
      </w:r>
      <w:r w:rsidR="00B11B68" w:rsidRPr="003E3B95">
        <w:rPr>
          <w:rFonts w:ascii="Times New Roman" w:hAnsi="Times New Roman"/>
          <w:sz w:val="24"/>
          <w:szCs w:val="24"/>
        </w:rPr>
        <w:t>ha</w:t>
      </w:r>
      <w:r w:rsidR="003E3B95">
        <w:rPr>
          <w:rFonts w:ascii="Times New Roman" w:hAnsi="Times New Roman"/>
          <w:sz w:val="24"/>
          <w:szCs w:val="24"/>
        </w:rPr>
        <w:t>s</w:t>
      </w:r>
      <w:r w:rsidR="00B11B68">
        <w:rPr>
          <w:rFonts w:ascii="Times New Roman" w:hAnsi="Times New Roman"/>
          <w:sz w:val="24"/>
          <w:szCs w:val="24"/>
        </w:rPr>
        <w:t xml:space="preserve"> been further complicated by the current state of the </w:t>
      </w:r>
      <w:r w:rsidR="00986F45">
        <w:rPr>
          <w:rFonts w:ascii="Times New Roman" w:hAnsi="Times New Roman"/>
          <w:sz w:val="24"/>
          <w:szCs w:val="24"/>
        </w:rPr>
        <w:t>economy, which</w:t>
      </w:r>
      <w:r w:rsidR="00B11B68">
        <w:rPr>
          <w:rFonts w:ascii="Times New Roman" w:hAnsi="Times New Roman"/>
          <w:sz w:val="24"/>
          <w:szCs w:val="24"/>
        </w:rPr>
        <w:t xml:space="preserve"> was characterised by limited tax revenues, retracted economic growth and rising debt levels. </w:t>
      </w:r>
    </w:p>
    <w:p w:rsidR="002502F8" w:rsidRDefault="002502F8" w:rsidP="00045E0A">
      <w:pPr>
        <w:tabs>
          <w:tab w:val="left" w:pos="284"/>
          <w:tab w:val="left" w:pos="567"/>
        </w:tabs>
        <w:spacing w:after="0" w:line="360" w:lineRule="auto"/>
        <w:jc w:val="both"/>
        <w:rPr>
          <w:rFonts w:ascii="Times New Roman" w:hAnsi="Times New Roman"/>
          <w:sz w:val="24"/>
          <w:szCs w:val="24"/>
        </w:rPr>
      </w:pPr>
    </w:p>
    <w:p w:rsidR="00667FEA" w:rsidRDefault="00B11B68" w:rsidP="00045E0A">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SALGA</w:t>
      </w:r>
      <w:r w:rsidR="002502F8">
        <w:rPr>
          <w:rFonts w:ascii="Times New Roman" w:hAnsi="Times New Roman"/>
          <w:sz w:val="24"/>
          <w:szCs w:val="24"/>
        </w:rPr>
        <w:t xml:space="preserve"> proposed </w:t>
      </w:r>
      <w:r>
        <w:rPr>
          <w:rFonts w:ascii="Times New Roman" w:hAnsi="Times New Roman"/>
          <w:sz w:val="24"/>
          <w:szCs w:val="24"/>
        </w:rPr>
        <w:t>the following</w:t>
      </w:r>
      <w:r w:rsidR="002502F8">
        <w:rPr>
          <w:rFonts w:ascii="Times New Roman" w:hAnsi="Times New Roman"/>
          <w:sz w:val="24"/>
          <w:szCs w:val="24"/>
        </w:rPr>
        <w:t xml:space="preserve"> as a way forward</w:t>
      </w:r>
      <w:r>
        <w:rPr>
          <w:rFonts w:ascii="Times New Roman" w:hAnsi="Times New Roman"/>
          <w:sz w:val="24"/>
          <w:szCs w:val="24"/>
        </w:rPr>
        <w:t xml:space="preserve"> in terms of the Bill:</w:t>
      </w:r>
    </w:p>
    <w:p w:rsidR="00B11B68" w:rsidRDefault="00B11B68" w:rsidP="00045E0A">
      <w:pPr>
        <w:tabs>
          <w:tab w:val="left" w:pos="284"/>
          <w:tab w:val="left" w:pos="567"/>
        </w:tabs>
        <w:spacing w:after="0" w:line="360" w:lineRule="auto"/>
        <w:jc w:val="both"/>
        <w:rPr>
          <w:rFonts w:ascii="Times New Roman" w:hAnsi="Times New Roman"/>
          <w:sz w:val="24"/>
          <w:szCs w:val="24"/>
        </w:rPr>
      </w:pPr>
    </w:p>
    <w:p w:rsidR="00B11B68" w:rsidRDefault="00B11B68" w:rsidP="00045E0A">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Over the short term</w:t>
      </w:r>
    </w:p>
    <w:p w:rsidR="00B11B68" w:rsidRDefault="00B11B68" w:rsidP="00B11B68">
      <w:pPr>
        <w:pStyle w:val="ListParagraph"/>
        <w:numPr>
          <w:ilvl w:val="0"/>
          <w:numId w:val="12"/>
        </w:num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lastRenderedPageBreak/>
        <w:t xml:space="preserve">The Bill should ensure that in cases where functions are delegated/assigned to municipalities, funding for those functions must be appropriated directly </w:t>
      </w:r>
      <w:r w:rsidR="002502F8">
        <w:rPr>
          <w:rFonts w:ascii="Times New Roman" w:hAnsi="Times New Roman"/>
          <w:sz w:val="24"/>
          <w:szCs w:val="24"/>
        </w:rPr>
        <w:t>to those</w:t>
      </w:r>
      <w:r>
        <w:rPr>
          <w:rFonts w:ascii="Times New Roman" w:hAnsi="Times New Roman"/>
          <w:sz w:val="24"/>
          <w:szCs w:val="24"/>
        </w:rPr>
        <w:t xml:space="preserve"> municipalities in the Division of Revue Bill</w:t>
      </w:r>
      <w:r w:rsidR="002502F8">
        <w:rPr>
          <w:rFonts w:ascii="Times New Roman" w:hAnsi="Times New Roman"/>
          <w:sz w:val="24"/>
          <w:szCs w:val="24"/>
        </w:rPr>
        <w:t>;</w:t>
      </w:r>
    </w:p>
    <w:p w:rsidR="002502F8" w:rsidRDefault="002502F8" w:rsidP="00B11B68">
      <w:pPr>
        <w:pStyle w:val="ListParagraph"/>
        <w:numPr>
          <w:ilvl w:val="0"/>
          <w:numId w:val="12"/>
        </w:num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The Bill must provide for (i) the creation of effective capacity to support municipalities to root out and prevent corruption, and (ii) a mechanism to support municipalities to </w:t>
      </w:r>
      <w:r w:rsidR="00C65EFB">
        <w:rPr>
          <w:rFonts w:ascii="Times New Roman" w:hAnsi="Times New Roman"/>
          <w:sz w:val="24"/>
          <w:szCs w:val="24"/>
        </w:rPr>
        <w:t>build</w:t>
      </w:r>
      <w:r>
        <w:rPr>
          <w:rFonts w:ascii="Times New Roman" w:hAnsi="Times New Roman"/>
          <w:sz w:val="24"/>
          <w:szCs w:val="24"/>
        </w:rPr>
        <w:t xml:space="preserve"> technical, managerial and leadership capacity. </w:t>
      </w:r>
    </w:p>
    <w:p w:rsidR="002502F8" w:rsidRDefault="002502F8" w:rsidP="002502F8">
      <w:pPr>
        <w:tabs>
          <w:tab w:val="left" w:pos="284"/>
          <w:tab w:val="left" w:pos="567"/>
        </w:tabs>
        <w:spacing w:after="0" w:line="360" w:lineRule="auto"/>
        <w:jc w:val="both"/>
        <w:rPr>
          <w:rFonts w:ascii="Times New Roman" w:hAnsi="Times New Roman"/>
          <w:sz w:val="24"/>
          <w:szCs w:val="24"/>
        </w:rPr>
      </w:pPr>
    </w:p>
    <w:p w:rsidR="003E3B95" w:rsidRDefault="003E3B95" w:rsidP="002502F8">
      <w:pPr>
        <w:tabs>
          <w:tab w:val="left" w:pos="284"/>
          <w:tab w:val="left" w:pos="567"/>
        </w:tabs>
        <w:spacing w:after="0" w:line="360" w:lineRule="auto"/>
        <w:jc w:val="both"/>
        <w:rPr>
          <w:rFonts w:ascii="Times New Roman" w:hAnsi="Times New Roman"/>
          <w:sz w:val="24"/>
          <w:szCs w:val="24"/>
        </w:rPr>
      </w:pPr>
    </w:p>
    <w:p w:rsidR="00340D23" w:rsidRDefault="00340D23" w:rsidP="002502F8">
      <w:pPr>
        <w:tabs>
          <w:tab w:val="left" w:pos="284"/>
          <w:tab w:val="left" w:pos="567"/>
        </w:tabs>
        <w:spacing w:after="0" w:line="360" w:lineRule="auto"/>
        <w:jc w:val="both"/>
        <w:rPr>
          <w:rFonts w:ascii="Times New Roman" w:hAnsi="Times New Roman"/>
          <w:sz w:val="24"/>
          <w:szCs w:val="24"/>
        </w:rPr>
      </w:pPr>
    </w:p>
    <w:p w:rsidR="002502F8" w:rsidRDefault="002502F8" w:rsidP="002502F8">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Over the medium term</w:t>
      </w:r>
    </w:p>
    <w:p w:rsidR="002502F8" w:rsidRDefault="002502F8" w:rsidP="002502F8">
      <w:pPr>
        <w:pStyle w:val="ListParagraph"/>
        <w:numPr>
          <w:ilvl w:val="0"/>
          <w:numId w:val="13"/>
        </w:num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A process of review of the division of revenue between the three spheres of government;</w:t>
      </w:r>
    </w:p>
    <w:p w:rsidR="002502F8" w:rsidRDefault="002502F8" w:rsidP="002502F8">
      <w:pPr>
        <w:pStyle w:val="ListParagraph"/>
        <w:numPr>
          <w:ilvl w:val="0"/>
          <w:numId w:val="13"/>
        </w:num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An opportunity for SALGA to participate in the Budget Forum Lekgotla as mentioned by the Minister of Finance;</w:t>
      </w:r>
    </w:p>
    <w:p w:rsidR="002502F8" w:rsidRDefault="002502F8" w:rsidP="002502F8">
      <w:pPr>
        <w:pStyle w:val="ListParagraph"/>
        <w:numPr>
          <w:ilvl w:val="0"/>
          <w:numId w:val="13"/>
        </w:num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Parliament to fulfil its oversight function to ensure that stakeholders remain fully accountable in relation to the commitment to review the division of revenue through the Budget Forum Lekgotla process; and</w:t>
      </w:r>
    </w:p>
    <w:p w:rsidR="002502F8" w:rsidRPr="002502F8" w:rsidRDefault="002502F8" w:rsidP="002502F8">
      <w:pPr>
        <w:pStyle w:val="ListParagraph"/>
        <w:numPr>
          <w:ilvl w:val="0"/>
          <w:numId w:val="13"/>
        </w:num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Discussions on the policy changes at the Budget Forum Lekgotla in order to leave all stakeholders in a better position to come up with a more equitable division of revenue from 2021 onwards. </w:t>
      </w:r>
    </w:p>
    <w:p w:rsidR="00B11B68" w:rsidRDefault="00B11B68" w:rsidP="00045E0A">
      <w:pPr>
        <w:tabs>
          <w:tab w:val="left" w:pos="284"/>
          <w:tab w:val="left" w:pos="567"/>
        </w:tabs>
        <w:spacing w:after="0" w:line="360" w:lineRule="auto"/>
        <w:jc w:val="both"/>
        <w:rPr>
          <w:rFonts w:ascii="Times New Roman" w:hAnsi="Times New Roman"/>
          <w:sz w:val="24"/>
          <w:szCs w:val="24"/>
        </w:rPr>
      </w:pPr>
    </w:p>
    <w:p w:rsidR="00FB3E22" w:rsidRDefault="00FB3E22" w:rsidP="008F3982">
      <w:pPr>
        <w:tabs>
          <w:tab w:val="left" w:pos="284"/>
          <w:tab w:val="left" w:pos="567"/>
        </w:tabs>
        <w:spacing w:after="0" w:line="360" w:lineRule="auto"/>
        <w:jc w:val="both"/>
        <w:rPr>
          <w:rFonts w:ascii="Times New Roman" w:hAnsi="Times New Roman"/>
          <w:b/>
          <w:sz w:val="24"/>
          <w:szCs w:val="24"/>
        </w:rPr>
      </w:pPr>
      <w:r w:rsidRPr="00E06752">
        <w:rPr>
          <w:rFonts w:ascii="Times New Roman" w:hAnsi="Times New Roman"/>
          <w:b/>
          <w:sz w:val="24"/>
          <w:szCs w:val="24"/>
        </w:rPr>
        <w:t>5.3</w:t>
      </w:r>
      <w:r w:rsidR="007B22D2">
        <w:rPr>
          <w:rFonts w:ascii="Times New Roman" w:hAnsi="Times New Roman"/>
          <w:b/>
          <w:sz w:val="24"/>
          <w:szCs w:val="24"/>
        </w:rPr>
        <w:t>.</w:t>
      </w:r>
      <w:r w:rsidRPr="00E06752">
        <w:rPr>
          <w:rFonts w:ascii="Times New Roman" w:hAnsi="Times New Roman"/>
          <w:b/>
          <w:sz w:val="24"/>
          <w:szCs w:val="24"/>
        </w:rPr>
        <w:tab/>
        <w:t>Pi</w:t>
      </w:r>
      <w:r w:rsidR="00667FEA">
        <w:rPr>
          <w:rFonts w:ascii="Times New Roman" w:hAnsi="Times New Roman"/>
          <w:b/>
          <w:sz w:val="24"/>
          <w:szCs w:val="24"/>
        </w:rPr>
        <w:t>etermaritzburg Pensioners Forum</w:t>
      </w:r>
    </w:p>
    <w:p w:rsidR="007B22D2" w:rsidRPr="00667FEA" w:rsidRDefault="007B22D2">
      <w:pPr>
        <w:tabs>
          <w:tab w:val="left" w:pos="284"/>
          <w:tab w:val="left" w:pos="567"/>
        </w:tabs>
        <w:spacing w:after="0" w:line="360" w:lineRule="auto"/>
        <w:jc w:val="both"/>
        <w:rPr>
          <w:rFonts w:ascii="Times New Roman" w:hAnsi="Times New Roman"/>
          <w:b/>
          <w:sz w:val="24"/>
          <w:szCs w:val="24"/>
        </w:rPr>
      </w:pPr>
    </w:p>
    <w:p w:rsidR="00FB3E22" w:rsidRDefault="00FB3E22">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The Pietermaritzburg Pensioners Forum (PMBPP) submitted that the Corporate Income Tax has decreased from 34.55 per cent in 2010 to 28 per cent to date which was unacceptable considering the ever-shrinking </w:t>
      </w:r>
      <w:r w:rsidRPr="003B6E32">
        <w:rPr>
          <w:rFonts w:ascii="Times New Roman" w:hAnsi="Times New Roman"/>
          <w:i/>
          <w:sz w:val="24"/>
          <w:szCs w:val="24"/>
        </w:rPr>
        <w:t>fiscus</w:t>
      </w:r>
      <w:r>
        <w:rPr>
          <w:rFonts w:ascii="Times New Roman" w:hAnsi="Times New Roman"/>
          <w:sz w:val="24"/>
          <w:szCs w:val="24"/>
        </w:rPr>
        <w:t xml:space="preserve">. Furthermore, it made reference to the research study titled Southern Africa – Towards Inclusive Economic Development where it is reported that South Africa was losing an estimated R7 billion a year due to profit shifting by multinational corporations. Thus on top of paying low taxes, corporates are also avoiding paying taxes. </w:t>
      </w:r>
    </w:p>
    <w:p w:rsidR="00FB3E22" w:rsidRDefault="00FB3E22" w:rsidP="00045E0A">
      <w:pPr>
        <w:tabs>
          <w:tab w:val="left" w:pos="284"/>
          <w:tab w:val="left" w:pos="567"/>
        </w:tabs>
        <w:spacing w:after="0" w:line="360" w:lineRule="auto"/>
        <w:jc w:val="both"/>
        <w:rPr>
          <w:rFonts w:ascii="Times New Roman" w:hAnsi="Times New Roman"/>
          <w:sz w:val="24"/>
          <w:szCs w:val="24"/>
        </w:rPr>
      </w:pPr>
    </w:p>
    <w:p w:rsidR="00FB3E22" w:rsidRDefault="00FB3E22" w:rsidP="00045E0A">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lastRenderedPageBreak/>
        <w:t xml:space="preserve">The PMBPP also submitted that those who are wealthy were not paying their fair share of taxes. It submitted that the implementation of a Wealth Tax would help mitigate </w:t>
      </w:r>
      <w:r w:rsidR="000C7AB4">
        <w:rPr>
          <w:rFonts w:ascii="Times New Roman" w:hAnsi="Times New Roman"/>
          <w:sz w:val="24"/>
          <w:szCs w:val="24"/>
        </w:rPr>
        <w:t xml:space="preserve">the extreme levels of wealth inequality in South Africa. </w:t>
      </w:r>
    </w:p>
    <w:p w:rsidR="000C7AB4" w:rsidRDefault="000C7AB4" w:rsidP="00045E0A">
      <w:pPr>
        <w:tabs>
          <w:tab w:val="left" w:pos="284"/>
          <w:tab w:val="left" w:pos="567"/>
        </w:tabs>
        <w:spacing w:after="0" w:line="360" w:lineRule="auto"/>
        <w:jc w:val="both"/>
        <w:rPr>
          <w:rFonts w:ascii="Times New Roman" w:hAnsi="Times New Roman"/>
          <w:sz w:val="24"/>
          <w:szCs w:val="24"/>
        </w:rPr>
      </w:pPr>
    </w:p>
    <w:p w:rsidR="00461C37" w:rsidRDefault="000C7AB4" w:rsidP="00045E0A">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In light of the above, the PMBPP recommended that a Wealth tax should be implemented and that the Corporate Income Tax be increased in order to give the old-age grant pensioners R2500 per months and a 13</w:t>
      </w:r>
      <w:r w:rsidRPr="000C7AB4">
        <w:rPr>
          <w:rFonts w:ascii="Times New Roman" w:hAnsi="Times New Roman"/>
          <w:sz w:val="24"/>
          <w:szCs w:val="24"/>
          <w:vertAlign w:val="superscript"/>
        </w:rPr>
        <w:t>th</w:t>
      </w:r>
      <w:r>
        <w:rPr>
          <w:rFonts w:ascii="Times New Roman" w:hAnsi="Times New Roman"/>
          <w:sz w:val="24"/>
          <w:szCs w:val="24"/>
        </w:rPr>
        <w:t xml:space="preserve"> cheque in December. It submitted that adequate grants could play an important role in driving increased productivity, job creation and overall economic growth. </w:t>
      </w:r>
    </w:p>
    <w:p w:rsidR="00E06752" w:rsidRDefault="00E06752" w:rsidP="00045E0A">
      <w:pPr>
        <w:tabs>
          <w:tab w:val="left" w:pos="284"/>
          <w:tab w:val="left" w:pos="567"/>
        </w:tabs>
        <w:spacing w:after="0" w:line="360" w:lineRule="auto"/>
        <w:jc w:val="both"/>
        <w:rPr>
          <w:rFonts w:ascii="Times New Roman" w:hAnsi="Times New Roman"/>
          <w:sz w:val="24"/>
          <w:szCs w:val="24"/>
        </w:rPr>
      </w:pPr>
    </w:p>
    <w:p w:rsidR="003E3B95" w:rsidRDefault="003E3B95" w:rsidP="00045E0A">
      <w:pPr>
        <w:tabs>
          <w:tab w:val="left" w:pos="284"/>
          <w:tab w:val="left" w:pos="567"/>
        </w:tabs>
        <w:spacing w:after="0" w:line="360" w:lineRule="auto"/>
        <w:jc w:val="both"/>
        <w:rPr>
          <w:rFonts w:ascii="Times New Roman" w:hAnsi="Times New Roman"/>
          <w:sz w:val="24"/>
          <w:szCs w:val="24"/>
        </w:rPr>
      </w:pPr>
    </w:p>
    <w:p w:rsidR="00E06752" w:rsidRDefault="00F51218" w:rsidP="008F3982">
      <w:pPr>
        <w:tabs>
          <w:tab w:val="left" w:pos="284"/>
          <w:tab w:val="left" w:pos="567"/>
        </w:tabs>
        <w:spacing w:after="0" w:line="360" w:lineRule="auto"/>
        <w:jc w:val="both"/>
        <w:rPr>
          <w:rFonts w:ascii="Times New Roman" w:hAnsi="Times New Roman"/>
          <w:b/>
          <w:sz w:val="24"/>
          <w:szCs w:val="24"/>
        </w:rPr>
      </w:pPr>
      <w:r>
        <w:rPr>
          <w:rFonts w:ascii="Times New Roman" w:hAnsi="Times New Roman"/>
          <w:b/>
          <w:sz w:val="24"/>
          <w:szCs w:val="24"/>
        </w:rPr>
        <w:t>5.4</w:t>
      </w:r>
      <w:r w:rsidR="008F3982">
        <w:rPr>
          <w:rFonts w:ascii="Times New Roman" w:hAnsi="Times New Roman"/>
          <w:b/>
          <w:sz w:val="24"/>
          <w:szCs w:val="24"/>
        </w:rPr>
        <w:t>.</w:t>
      </w:r>
      <w:r>
        <w:rPr>
          <w:rFonts w:ascii="Times New Roman" w:hAnsi="Times New Roman"/>
          <w:b/>
          <w:sz w:val="24"/>
          <w:szCs w:val="24"/>
        </w:rPr>
        <w:tab/>
        <w:t>Amandla.mobi</w:t>
      </w:r>
    </w:p>
    <w:p w:rsidR="008F3982" w:rsidRPr="00F51218" w:rsidRDefault="008F3982">
      <w:pPr>
        <w:tabs>
          <w:tab w:val="left" w:pos="284"/>
          <w:tab w:val="left" w:pos="567"/>
        </w:tabs>
        <w:spacing w:after="0" w:line="360" w:lineRule="auto"/>
        <w:jc w:val="both"/>
        <w:rPr>
          <w:rFonts w:ascii="Times New Roman" w:hAnsi="Times New Roman"/>
          <w:b/>
          <w:sz w:val="24"/>
          <w:szCs w:val="24"/>
        </w:rPr>
      </w:pPr>
    </w:p>
    <w:p w:rsidR="00E06752" w:rsidRDefault="00461C37">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Amandla.mobi submitted that the 2020 budget proposals failed to provide a straightforward </w:t>
      </w:r>
      <w:r w:rsidR="006061D6">
        <w:rPr>
          <w:rFonts w:ascii="Times New Roman" w:hAnsi="Times New Roman"/>
          <w:sz w:val="24"/>
          <w:szCs w:val="24"/>
        </w:rPr>
        <w:t xml:space="preserve">plan </w:t>
      </w:r>
      <w:r>
        <w:rPr>
          <w:rFonts w:ascii="Times New Roman" w:hAnsi="Times New Roman"/>
          <w:sz w:val="24"/>
          <w:szCs w:val="24"/>
        </w:rPr>
        <w:t>with a financial breakdown on how government planned to fight against Gender-based Violence (GBV) in South Africa. It made reference to the commitment made by the President of the Republic of South Africa (the President) to have a resourced, implemented and monitored National Strategic Plan on GBV and femicide. The</w:t>
      </w:r>
      <w:r w:rsidR="008F3982">
        <w:rPr>
          <w:rFonts w:ascii="Times New Roman" w:hAnsi="Times New Roman"/>
          <w:sz w:val="24"/>
          <w:szCs w:val="24"/>
        </w:rPr>
        <w:t>se</w:t>
      </w:r>
      <w:r w:rsidR="00210DCA">
        <w:rPr>
          <w:rFonts w:ascii="Times New Roman" w:hAnsi="Times New Roman"/>
          <w:sz w:val="24"/>
          <w:szCs w:val="24"/>
        </w:rPr>
        <w:t xml:space="preserve"> commitment</w:t>
      </w:r>
      <w:r w:rsidR="008F3982">
        <w:rPr>
          <w:rFonts w:ascii="Times New Roman" w:hAnsi="Times New Roman"/>
          <w:sz w:val="24"/>
          <w:szCs w:val="24"/>
        </w:rPr>
        <w:t>s</w:t>
      </w:r>
      <w:r w:rsidR="00210DCA">
        <w:rPr>
          <w:rFonts w:ascii="Times New Roman" w:hAnsi="Times New Roman"/>
          <w:sz w:val="24"/>
          <w:szCs w:val="24"/>
        </w:rPr>
        <w:t xml:space="preserve"> w</w:t>
      </w:r>
      <w:r w:rsidR="008F3982">
        <w:rPr>
          <w:rFonts w:ascii="Times New Roman" w:hAnsi="Times New Roman"/>
          <w:sz w:val="24"/>
          <w:szCs w:val="24"/>
        </w:rPr>
        <w:t>ere</w:t>
      </w:r>
      <w:r w:rsidR="00210DCA">
        <w:rPr>
          <w:rFonts w:ascii="Times New Roman" w:hAnsi="Times New Roman"/>
          <w:sz w:val="24"/>
          <w:szCs w:val="24"/>
        </w:rPr>
        <w:t xml:space="preserve"> made in the D</w:t>
      </w:r>
      <w:r>
        <w:rPr>
          <w:rFonts w:ascii="Times New Roman" w:hAnsi="Times New Roman"/>
          <w:sz w:val="24"/>
          <w:szCs w:val="24"/>
        </w:rPr>
        <w:t>eclaration of the Presidential Summit Against Gender-based Violence and Femicide where an amount of R1.1 billion was mentioned to deal with the</w:t>
      </w:r>
      <w:r w:rsidR="00194681">
        <w:rPr>
          <w:rFonts w:ascii="Times New Roman" w:hAnsi="Times New Roman"/>
          <w:sz w:val="24"/>
          <w:szCs w:val="24"/>
        </w:rPr>
        <w:t>se</w:t>
      </w:r>
      <w:r>
        <w:rPr>
          <w:rFonts w:ascii="Times New Roman" w:hAnsi="Times New Roman"/>
          <w:sz w:val="24"/>
          <w:szCs w:val="24"/>
        </w:rPr>
        <w:t xml:space="preserve"> issues however, no mention has been made of this amount since. </w:t>
      </w:r>
    </w:p>
    <w:p w:rsidR="00210DCA" w:rsidRDefault="00210DCA" w:rsidP="00045E0A">
      <w:pPr>
        <w:tabs>
          <w:tab w:val="left" w:pos="284"/>
          <w:tab w:val="left" w:pos="567"/>
        </w:tabs>
        <w:spacing w:after="0" w:line="360" w:lineRule="auto"/>
        <w:jc w:val="both"/>
        <w:rPr>
          <w:rFonts w:ascii="Times New Roman" w:hAnsi="Times New Roman"/>
          <w:sz w:val="24"/>
          <w:szCs w:val="24"/>
        </w:rPr>
      </w:pPr>
    </w:p>
    <w:p w:rsidR="00210DCA" w:rsidRDefault="00210DCA" w:rsidP="00045E0A">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Amandla.mobi also made reference to an additional R15 million that would be set aside for a National Council to combat GBV </w:t>
      </w:r>
      <w:r w:rsidRPr="00EB7194">
        <w:rPr>
          <w:rFonts w:ascii="Times New Roman" w:hAnsi="Times New Roman"/>
          <w:sz w:val="24"/>
          <w:szCs w:val="24"/>
        </w:rPr>
        <w:t>and femicide according to the 2020 budget</w:t>
      </w:r>
      <w:r>
        <w:rPr>
          <w:rFonts w:ascii="Times New Roman" w:hAnsi="Times New Roman"/>
          <w:sz w:val="24"/>
          <w:szCs w:val="24"/>
        </w:rPr>
        <w:t xml:space="preserve">. The organisation called for more clarity to be provided by government around the R15 million and also submitted that this amount was not in line with the R1.1 billion which the President mentioned in the above-mentioned declaration. </w:t>
      </w:r>
    </w:p>
    <w:p w:rsidR="00210DCA" w:rsidRDefault="00210DCA" w:rsidP="00045E0A">
      <w:pPr>
        <w:tabs>
          <w:tab w:val="left" w:pos="284"/>
          <w:tab w:val="left" w:pos="567"/>
        </w:tabs>
        <w:spacing w:after="0" w:line="360" w:lineRule="auto"/>
        <w:jc w:val="both"/>
        <w:rPr>
          <w:rFonts w:ascii="Times New Roman" w:hAnsi="Times New Roman"/>
          <w:sz w:val="24"/>
          <w:szCs w:val="24"/>
        </w:rPr>
      </w:pPr>
    </w:p>
    <w:p w:rsidR="00210DCA" w:rsidRDefault="00210DCA" w:rsidP="00045E0A">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Whilst Amandla.modi commended the work done around the Ministerial handbook where there are reductions in perks for Members of Executive Council and Ministers, it was of the view that this was not enough. It proposed an increase </w:t>
      </w:r>
      <w:r w:rsidR="006061D6">
        <w:rPr>
          <w:rFonts w:ascii="Times New Roman" w:hAnsi="Times New Roman"/>
          <w:sz w:val="24"/>
          <w:szCs w:val="24"/>
        </w:rPr>
        <w:t>in C</w:t>
      </w:r>
      <w:r>
        <w:rPr>
          <w:rFonts w:ascii="Times New Roman" w:hAnsi="Times New Roman"/>
          <w:sz w:val="24"/>
          <w:szCs w:val="24"/>
        </w:rPr>
        <w:t xml:space="preserve">orporate Income </w:t>
      </w:r>
      <w:r w:rsidR="006061D6">
        <w:rPr>
          <w:rFonts w:ascii="Times New Roman" w:hAnsi="Times New Roman"/>
          <w:sz w:val="24"/>
          <w:szCs w:val="24"/>
        </w:rPr>
        <w:t xml:space="preserve">Tax and reductions in fruitless and wasteful expenditure. </w:t>
      </w:r>
    </w:p>
    <w:p w:rsidR="006061D6" w:rsidRDefault="006061D6" w:rsidP="00045E0A">
      <w:pPr>
        <w:tabs>
          <w:tab w:val="left" w:pos="284"/>
          <w:tab w:val="left" w:pos="567"/>
        </w:tabs>
        <w:spacing w:after="0" w:line="360" w:lineRule="auto"/>
        <w:jc w:val="both"/>
        <w:rPr>
          <w:rFonts w:ascii="Times New Roman" w:hAnsi="Times New Roman"/>
          <w:sz w:val="24"/>
          <w:szCs w:val="24"/>
        </w:rPr>
      </w:pPr>
    </w:p>
    <w:p w:rsidR="006061D6" w:rsidRDefault="006061D6" w:rsidP="00346779">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Amandla.mobi recommended that government provides a straightforward plan with a financial breakdown on how government planned to fight against Gender-based Violence (GBV) in South Africa. </w:t>
      </w:r>
    </w:p>
    <w:p w:rsidR="006061D6" w:rsidRDefault="006061D6">
      <w:pPr>
        <w:tabs>
          <w:tab w:val="left" w:pos="284"/>
          <w:tab w:val="left" w:pos="567"/>
        </w:tabs>
        <w:spacing w:after="0" w:line="360" w:lineRule="auto"/>
        <w:jc w:val="both"/>
        <w:rPr>
          <w:rFonts w:ascii="Times New Roman" w:hAnsi="Times New Roman"/>
          <w:sz w:val="24"/>
          <w:szCs w:val="24"/>
        </w:rPr>
      </w:pPr>
    </w:p>
    <w:p w:rsidR="009D7CDD" w:rsidRDefault="00F51218">
      <w:pPr>
        <w:tabs>
          <w:tab w:val="left" w:pos="567"/>
        </w:tabs>
        <w:spacing w:after="0" w:line="360" w:lineRule="auto"/>
        <w:jc w:val="both"/>
        <w:rPr>
          <w:rFonts w:ascii="Times New Roman" w:hAnsi="Times New Roman"/>
          <w:b/>
          <w:sz w:val="24"/>
          <w:szCs w:val="24"/>
        </w:rPr>
      </w:pPr>
      <w:r w:rsidRPr="00F51218">
        <w:rPr>
          <w:rFonts w:ascii="Times New Roman" w:hAnsi="Times New Roman"/>
          <w:b/>
          <w:sz w:val="24"/>
          <w:szCs w:val="24"/>
        </w:rPr>
        <w:t xml:space="preserve">5.5 </w:t>
      </w:r>
      <w:r>
        <w:rPr>
          <w:rFonts w:ascii="Times New Roman" w:hAnsi="Times New Roman"/>
          <w:b/>
          <w:sz w:val="24"/>
          <w:szCs w:val="24"/>
        </w:rPr>
        <w:tab/>
      </w:r>
      <w:r w:rsidRPr="00F51218">
        <w:rPr>
          <w:rFonts w:ascii="Times New Roman" w:hAnsi="Times New Roman"/>
          <w:b/>
          <w:sz w:val="24"/>
          <w:szCs w:val="24"/>
        </w:rPr>
        <w:t xml:space="preserve">Organisation Undoing Tax Abuse </w:t>
      </w:r>
    </w:p>
    <w:p w:rsidR="00573579" w:rsidRDefault="00573579">
      <w:pPr>
        <w:tabs>
          <w:tab w:val="left" w:pos="567"/>
        </w:tabs>
        <w:spacing w:after="0" w:line="360" w:lineRule="auto"/>
        <w:jc w:val="both"/>
        <w:rPr>
          <w:rFonts w:ascii="Times New Roman" w:hAnsi="Times New Roman"/>
          <w:sz w:val="24"/>
          <w:szCs w:val="24"/>
        </w:rPr>
      </w:pPr>
    </w:p>
    <w:p w:rsidR="00573579" w:rsidRPr="00EB7194" w:rsidRDefault="00346779">
      <w:pPr>
        <w:tabs>
          <w:tab w:val="left" w:pos="567"/>
        </w:tabs>
        <w:spacing w:after="0" w:line="360" w:lineRule="auto"/>
        <w:jc w:val="both"/>
        <w:rPr>
          <w:rFonts w:ascii="Times New Roman" w:hAnsi="Times New Roman"/>
          <w:sz w:val="24"/>
          <w:szCs w:val="24"/>
        </w:rPr>
      </w:pPr>
      <w:r>
        <w:rPr>
          <w:rFonts w:ascii="Times New Roman" w:hAnsi="Times New Roman"/>
          <w:sz w:val="24"/>
          <w:szCs w:val="24"/>
        </w:rPr>
        <w:t>Regarding</w:t>
      </w:r>
      <w:r w:rsidR="00E47ED5" w:rsidRPr="00EB7194">
        <w:rPr>
          <w:rFonts w:ascii="Times New Roman" w:hAnsi="Times New Roman"/>
          <w:sz w:val="24"/>
          <w:szCs w:val="24"/>
        </w:rPr>
        <w:t xml:space="preserve"> local government, OUTA recommended that among the structural reviews to be undertaken, alternative and existing revenue models for municipalities should be critically analysed and simulated. This exercise should include a thorough review of international literature to determine what types of rates, taxes and revenue generation mechanisms other countries use at a local level.</w:t>
      </w:r>
    </w:p>
    <w:p w:rsidR="00EB7194" w:rsidRDefault="00EB7194" w:rsidP="00EB7194">
      <w:pPr>
        <w:tabs>
          <w:tab w:val="left" w:pos="567"/>
        </w:tabs>
        <w:spacing w:after="0" w:line="360" w:lineRule="auto"/>
        <w:jc w:val="both"/>
        <w:rPr>
          <w:rFonts w:ascii="Times New Roman" w:hAnsi="Times New Roman"/>
          <w:sz w:val="24"/>
          <w:szCs w:val="24"/>
        </w:rPr>
      </w:pPr>
    </w:p>
    <w:p w:rsidR="00573579" w:rsidRPr="00EB7194" w:rsidRDefault="00904BD1" w:rsidP="00EB7194">
      <w:pPr>
        <w:tabs>
          <w:tab w:val="left" w:pos="567"/>
        </w:tabs>
        <w:spacing w:after="0" w:line="360" w:lineRule="auto"/>
        <w:jc w:val="both"/>
        <w:rPr>
          <w:rFonts w:ascii="Times New Roman" w:hAnsi="Times New Roman"/>
          <w:sz w:val="24"/>
          <w:szCs w:val="24"/>
        </w:rPr>
      </w:pPr>
      <w:r>
        <w:rPr>
          <w:rFonts w:ascii="Times New Roman" w:hAnsi="Times New Roman"/>
          <w:sz w:val="24"/>
          <w:szCs w:val="24"/>
        </w:rPr>
        <w:t>Regarding</w:t>
      </w:r>
      <w:r w:rsidR="00E47ED5" w:rsidRPr="00EB7194">
        <w:rPr>
          <w:rFonts w:ascii="Times New Roman" w:hAnsi="Times New Roman"/>
          <w:sz w:val="24"/>
          <w:szCs w:val="24"/>
        </w:rPr>
        <w:t xml:space="preserve"> the District Development Model, OUTA submitted that while it welcomes that there are efforts underway to address incoherent planning and implementation, </w:t>
      </w:r>
      <w:r w:rsidR="00A17975" w:rsidRPr="00EB7194">
        <w:rPr>
          <w:rFonts w:ascii="Times New Roman" w:hAnsi="Times New Roman"/>
          <w:sz w:val="24"/>
          <w:szCs w:val="24"/>
        </w:rPr>
        <w:t xml:space="preserve">there is </w:t>
      </w:r>
      <w:r w:rsidR="00E47ED5" w:rsidRPr="00EB7194">
        <w:rPr>
          <w:rFonts w:ascii="Times New Roman" w:hAnsi="Times New Roman"/>
          <w:sz w:val="24"/>
          <w:szCs w:val="24"/>
        </w:rPr>
        <w:t>litt</w:t>
      </w:r>
      <w:r w:rsidR="00A17975" w:rsidRPr="00EB7194">
        <w:rPr>
          <w:rFonts w:ascii="Times New Roman" w:hAnsi="Times New Roman"/>
          <w:sz w:val="24"/>
          <w:szCs w:val="24"/>
        </w:rPr>
        <w:t>le clarity as to how the</w:t>
      </w:r>
      <w:r w:rsidR="00E47ED5" w:rsidRPr="00EB7194">
        <w:rPr>
          <w:rFonts w:ascii="Times New Roman" w:hAnsi="Times New Roman"/>
          <w:sz w:val="24"/>
          <w:szCs w:val="24"/>
        </w:rPr>
        <w:t xml:space="preserve"> new District Development Model will itself work and will be funded. It argued that South Africa’s planning is already well-developed and that extensive planning is done at all levels of government. More planning without follow through and cost-effective spending of budget allocations will not address the levels of frustration that South Africans experience with failures in service delivery.</w:t>
      </w:r>
    </w:p>
    <w:p w:rsidR="00EB7194" w:rsidRDefault="00EB7194" w:rsidP="00EB7194">
      <w:pPr>
        <w:tabs>
          <w:tab w:val="left" w:pos="567"/>
        </w:tabs>
        <w:spacing w:after="0" w:line="360" w:lineRule="auto"/>
        <w:jc w:val="both"/>
        <w:rPr>
          <w:rFonts w:ascii="Times New Roman" w:hAnsi="Times New Roman"/>
          <w:sz w:val="24"/>
          <w:szCs w:val="24"/>
        </w:rPr>
      </w:pPr>
    </w:p>
    <w:p w:rsidR="00573579" w:rsidRPr="00EB7194" w:rsidRDefault="0015220F" w:rsidP="00EB7194">
      <w:pPr>
        <w:tabs>
          <w:tab w:val="left" w:pos="567"/>
        </w:tabs>
        <w:spacing w:after="0" w:line="360" w:lineRule="auto"/>
        <w:jc w:val="both"/>
        <w:rPr>
          <w:rFonts w:ascii="Times New Roman" w:hAnsi="Times New Roman"/>
          <w:sz w:val="24"/>
          <w:szCs w:val="24"/>
        </w:rPr>
      </w:pPr>
      <w:r w:rsidRPr="00EB7194">
        <w:rPr>
          <w:rFonts w:ascii="Times New Roman" w:hAnsi="Times New Roman"/>
          <w:sz w:val="24"/>
          <w:szCs w:val="24"/>
        </w:rPr>
        <w:t>With regard to local government, OUTA submitted that there was an urgent need for better value for money from local government.  While it may easily be argued that local government needs more rather than less funding, as this is the point of delivery of essential services and there are significant backlogs to be overcome, the reality is that local government financial management remains disastrous. There is no guarantee that money will be properly spent in the majority of municipalities thus OUTA emphasised the need better value for money which required better oversight and, more importantly, real conseq</w:t>
      </w:r>
      <w:r w:rsidR="00E95AEC" w:rsidRPr="00EB7194">
        <w:rPr>
          <w:rFonts w:ascii="Times New Roman" w:hAnsi="Times New Roman"/>
          <w:sz w:val="24"/>
          <w:szCs w:val="24"/>
        </w:rPr>
        <w:t xml:space="preserve">uences for repeated delinquency i.e. non-compliance with the PFMA, MFMA, and AGSA findings and recommendations. </w:t>
      </w:r>
    </w:p>
    <w:p w:rsidR="00EB7194" w:rsidRDefault="00EB7194" w:rsidP="00EB7194">
      <w:pPr>
        <w:tabs>
          <w:tab w:val="left" w:pos="567"/>
        </w:tabs>
        <w:spacing w:after="0" w:line="360" w:lineRule="auto"/>
        <w:jc w:val="both"/>
        <w:rPr>
          <w:rFonts w:ascii="Times New Roman" w:hAnsi="Times New Roman"/>
          <w:sz w:val="24"/>
          <w:szCs w:val="24"/>
        </w:rPr>
      </w:pPr>
    </w:p>
    <w:p w:rsidR="00E95AEC" w:rsidRPr="00EB7194" w:rsidRDefault="00E95AEC" w:rsidP="00EB7194">
      <w:pPr>
        <w:tabs>
          <w:tab w:val="left" w:pos="567"/>
        </w:tabs>
        <w:spacing w:after="0" w:line="360" w:lineRule="auto"/>
        <w:jc w:val="both"/>
        <w:rPr>
          <w:rFonts w:ascii="Times New Roman" w:hAnsi="Times New Roman"/>
          <w:sz w:val="24"/>
          <w:szCs w:val="24"/>
        </w:rPr>
      </w:pPr>
      <w:r w:rsidRPr="00EB7194">
        <w:rPr>
          <w:rFonts w:ascii="Times New Roman" w:hAnsi="Times New Roman"/>
          <w:sz w:val="24"/>
          <w:szCs w:val="24"/>
        </w:rPr>
        <w:lastRenderedPageBreak/>
        <w:t xml:space="preserve">Whilst OUTA welcomed the inclusion of funding for the Vaal River clean-up and Emfuleni sewerage system improvements, it was of the view that this was delayed and will go through the dysfunctional Emfuleni Local Municipality. It also submitted that it was unfortunate that the R650 million through the Regional Bulk Infrastructure Grant for upgrading the Emfuleni sanitation system and cleaning up pollution in the Vaal River had been cut from grants intended for water delivery.OUTA recommended that the Committee look carefully at the funding for the </w:t>
      </w:r>
      <w:r w:rsidR="00EA1948">
        <w:rPr>
          <w:rFonts w:ascii="Times New Roman" w:hAnsi="Times New Roman"/>
          <w:sz w:val="24"/>
          <w:szCs w:val="24"/>
        </w:rPr>
        <w:t>this crucial</w:t>
      </w:r>
      <w:r w:rsidRPr="00EB7194">
        <w:rPr>
          <w:rFonts w:ascii="Times New Roman" w:hAnsi="Times New Roman"/>
          <w:sz w:val="24"/>
          <w:szCs w:val="24"/>
        </w:rPr>
        <w:t xml:space="preserve"> and much-delayed work, and ensure that it is properly spent and accounted for.</w:t>
      </w:r>
    </w:p>
    <w:p w:rsidR="00E95AEC" w:rsidRDefault="00E95AEC" w:rsidP="00E95AEC">
      <w:pPr>
        <w:tabs>
          <w:tab w:val="left" w:pos="284"/>
          <w:tab w:val="left" w:pos="567"/>
        </w:tabs>
        <w:spacing w:after="0" w:line="360" w:lineRule="auto"/>
        <w:jc w:val="both"/>
        <w:rPr>
          <w:rFonts w:ascii="Times New Roman" w:hAnsi="Times New Roman"/>
          <w:sz w:val="24"/>
          <w:szCs w:val="24"/>
        </w:rPr>
      </w:pPr>
    </w:p>
    <w:p w:rsidR="00E95AEC" w:rsidRPr="00EB7194" w:rsidRDefault="00EA1948" w:rsidP="009C5BD5">
      <w:pPr>
        <w:tabs>
          <w:tab w:val="left" w:pos="284"/>
          <w:tab w:val="left" w:pos="567"/>
        </w:tabs>
        <w:spacing w:after="0" w:line="360" w:lineRule="auto"/>
        <w:jc w:val="both"/>
        <w:rPr>
          <w:rFonts w:ascii="Times New Roman" w:hAnsi="Times New Roman"/>
          <w:sz w:val="24"/>
          <w:szCs w:val="24"/>
        </w:rPr>
      </w:pPr>
      <w:r>
        <w:rPr>
          <w:rFonts w:ascii="Times New Roman" w:hAnsi="Times New Roman"/>
          <w:sz w:val="24"/>
          <w:szCs w:val="24"/>
        </w:rPr>
        <w:t>Regarding</w:t>
      </w:r>
      <w:r w:rsidR="009C5BD5" w:rsidRPr="00EB7194">
        <w:rPr>
          <w:rFonts w:ascii="Times New Roman" w:hAnsi="Times New Roman"/>
          <w:sz w:val="24"/>
          <w:szCs w:val="24"/>
        </w:rPr>
        <w:t xml:space="preserve"> improved spending patterns, OUTA recommends that the Appropriations Committees request that National Treasury undertake closer monitoring of fiscal dumping. The committees may wish to invite National Treasury to present an analysis of the final quarter of the prior financial year’s spending in which it identifies which departments have had surges in spending in the last month of the year and from which sub</w:t>
      </w:r>
      <w:r w:rsidR="00EB7194">
        <w:rPr>
          <w:rFonts w:ascii="Times New Roman" w:hAnsi="Times New Roman"/>
          <w:sz w:val="24"/>
          <w:szCs w:val="24"/>
        </w:rPr>
        <w:t>-</w:t>
      </w:r>
      <w:r w:rsidR="009C5BD5" w:rsidRPr="00EB7194">
        <w:rPr>
          <w:rFonts w:ascii="Times New Roman" w:hAnsi="Times New Roman"/>
          <w:sz w:val="24"/>
          <w:szCs w:val="24"/>
        </w:rPr>
        <w:t>programmes’ potential fiscal dumping is emanating.</w:t>
      </w:r>
    </w:p>
    <w:p w:rsidR="009C5BD5" w:rsidRPr="00EB7194" w:rsidRDefault="009C5BD5" w:rsidP="009C5BD5">
      <w:pPr>
        <w:tabs>
          <w:tab w:val="left" w:pos="284"/>
          <w:tab w:val="left" w:pos="567"/>
        </w:tabs>
        <w:spacing w:after="0" w:line="360" w:lineRule="auto"/>
        <w:jc w:val="both"/>
        <w:rPr>
          <w:rFonts w:ascii="Times New Roman" w:hAnsi="Times New Roman"/>
          <w:sz w:val="24"/>
          <w:szCs w:val="24"/>
        </w:rPr>
      </w:pPr>
    </w:p>
    <w:p w:rsidR="002339E3" w:rsidRPr="00EB7194" w:rsidRDefault="002339E3" w:rsidP="009C5BD5">
      <w:pPr>
        <w:tabs>
          <w:tab w:val="left" w:pos="284"/>
          <w:tab w:val="left" w:pos="567"/>
        </w:tabs>
        <w:spacing w:after="0" w:line="360" w:lineRule="auto"/>
        <w:jc w:val="both"/>
        <w:rPr>
          <w:rFonts w:ascii="Times New Roman" w:hAnsi="Times New Roman"/>
          <w:sz w:val="24"/>
          <w:szCs w:val="24"/>
        </w:rPr>
      </w:pPr>
      <w:r w:rsidRPr="00EB7194">
        <w:rPr>
          <w:rFonts w:ascii="Times New Roman" w:hAnsi="Times New Roman"/>
          <w:sz w:val="24"/>
          <w:szCs w:val="24"/>
        </w:rPr>
        <w:t>OUTA requested</w:t>
      </w:r>
      <w:r w:rsidR="009C5BD5" w:rsidRPr="00EB7194">
        <w:rPr>
          <w:rFonts w:ascii="Times New Roman" w:hAnsi="Times New Roman"/>
          <w:sz w:val="24"/>
          <w:szCs w:val="24"/>
        </w:rPr>
        <w:t xml:space="preserve"> that the Appropriations Committees recommend to National Treasury that it specifically consider measure</w:t>
      </w:r>
      <w:r w:rsidRPr="00EB7194">
        <w:rPr>
          <w:rFonts w:ascii="Times New Roman" w:hAnsi="Times New Roman"/>
          <w:sz w:val="24"/>
          <w:szCs w:val="24"/>
        </w:rPr>
        <w:t>s to address the procuring of Information Technology</w:t>
      </w:r>
      <w:r w:rsidR="009C5BD5" w:rsidRPr="00EB7194">
        <w:rPr>
          <w:rFonts w:ascii="Times New Roman" w:hAnsi="Times New Roman"/>
          <w:sz w:val="24"/>
          <w:szCs w:val="24"/>
        </w:rPr>
        <w:t xml:space="preserve"> services. Specifically, Treasury should examine whether the procurement regulations and guidelines are geared such that departments are dealing in the most cost-effective manner with considerations of software intellectual property rights and being locked into systems which require repeat licences after an initial outlay to implement the system. </w:t>
      </w:r>
    </w:p>
    <w:p w:rsidR="002339E3" w:rsidRPr="00EB7194" w:rsidRDefault="002339E3" w:rsidP="009C5BD5">
      <w:pPr>
        <w:tabs>
          <w:tab w:val="left" w:pos="284"/>
          <w:tab w:val="left" w:pos="567"/>
        </w:tabs>
        <w:spacing w:after="0" w:line="360" w:lineRule="auto"/>
        <w:jc w:val="both"/>
        <w:rPr>
          <w:rFonts w:ascii="Times New Roman" w:hAnsi="Times New Roman"/>
          <w:sz w:val="24"/>
          <w:szCs w:val="24"/>
        </w:rPr>
      </w:pPr>
    </w:p>
    <w:p w:rsidR="009C5BD5" w:rsidRPr="00EB7194" w:rsidRDefault="009C5BD5" w:rsidP="009C5BD5">
      <w:pPr>
        <w:tabs>
          <w:tab w:val="left" w:pos="284"/>
          <w:tab w:val="left" w:pos="567"/>
        </w:tabs>
        <w:spacing w:after="0" w:line="360" w:lineRule="auto"/>
        <w:jc w:val="both"/>
        <w:rPr>
          <w:rFonts w:ascii="Times New Roman" w:hAnsi="Times New Roman"/>
          <w:sz w:val="24"/>
          <w:szCs w:val="24"/>
        </w:rPr>
      </w:pPr>
      <w:r w:rsidRPr="00EB7194">
        <w:rPr>
          <w:rFonts w:ascii="Times New Roman" w:hAnsi="Times New Roman"/>
          <w:sz w:val="24"/>
          <w:szCs w:val="24"/>
        </w:rPr>
        <w:t>OUTA n</w:t>
      </w:r>
      <w:r w:rsidR="002339E3" w:rsidRPr="00EB7194">
        <w:rPr>
          <w:rFonts w:ascii="Times New Roman" w:hAnsi="Times New Roman"/>
          <w:sz w:val="24"/>
          <w:szCs w:val="24"/>
        </w:rPr>
        <w:t>oted</w:t>
      </w:r>
      <w:r w:rsidRPr="00EB7194">
        <w:rPr>
          <w:rFonts w:ascii="Times New Roman" w:hAnsi="Times New Roman"/>
          <w:sz w:val="24"/>
          <w:szCs w:val="24"/>
        </w:rPr>
        <w:t xml:space="preserve"> that at the same time as </w:t>
      </w:r>
      <w:r w:rsidR="002339E3" w:rsidRPr="00EB7194">
        <w:rPr>
          <w:rFonts w:ascii="Times New Roman" w:hAnsi="Times New Roman"/>
          <w:sz w:val="24"/>
          <w:szCs w:val="24"/>
        </w:rPr>
        <w:t xml:space="preserve">National </w:t>
      </w:r>
      <w:r w:rsidRPr="00EB7194">
        <w:rPr>
          <w:rFonts w:ascii="Times New Roman" w:hAnsi="Times New Roman"/>
          <w:sz w:val="24"/>
          <w:szCs w:val="24"/>
        </w:rPr>
        <w:t xml:space="preserve">Treasury is ensuring that municipalities reduce underfunded budgets, it is also reporting that many local governments adopted unrealistic spending plans of a different nature, where as a result, 211 municipalities underspent their operating budgets and 214 municipalities underspent their capital budgets. This speaks to poor financial management capability and perhaps of more concern to citizens, poor capacity to deliver planned programmes, projects and services. </w:t>
      </w:r>
      <w:r w:rsidR="002339E3" w:rsidRPr="00EB7194">
        <w:rPr>
          <w:rFonts w:ascii="Times New Roman" w:hAnsi="Times New Roman"/>
          <w:sz w:val="24"/>
          <w:szCs w:val="24"/>
        </w:rPr>
        <w:t>In light of the above OUTA recommended that t</w:t>
      </w:r>
      <w:r w:rsidRPr="00EB7194">
        <w:rPr>
          <w:rFonts w:ascii="Times New Roman" w:hAnsi="Times New Roman"/>
          <w:sz w:val="24"/>
          <w:szCs w:val="24"/>
        </w:rPr>
        <w:t xml:space="preserve">he provincial equitable share and other usual distribution mechanisms in mainstream </w:t>
      </w:r>
      <w:r w:rsidRPr="00EB7194">
        <w:rPr>
          <w:rFonts w:ascii="Times New Roman" w:hAnsi="Times New Roman"/>
          <w:sz w:val="24"/>
          <w:szCs w:val="24"/>
        </w:rPr>
        <w:lastRenderedPageBreak/>
        <w:t>intergo</w:t>
      </w:r>
      <w:r w:rsidR="002339E3" w:rsidRPr="00EB7194">
        <w:rPr>
          <w:rFonts w:ascii="Times New Roman" w:hAnsi="Times New Roman"/>
          <w:sz w:val="24"/>
          <w:szCs w:val="24"/>
        </w:rPr>
        <w:t>vernmental fiscal relations</w:t>
      </w:r>
      <w:r w:rsidRPr="00EB7194">
        <w:rPr>
          <w:rFonts w:ascii="Times New Roman" w:hAnsi="Times New Roman"/>
          <w:sz w:val="24"/>
          <w:szCs w:val="24"/>
        </w:rPr>
        <w:t xml:space="preserve"> be reviewed in light of worsening audit outcomes published by the Auditor-General of South Africa.</w:t>
      </w:r>
    </w:p>
    <w:p w:rsidR="00667FEA" w:rsidRDefault="00667FEA" w:rsidP="00F51218">
      <w:pPr>
        <w:tabs>
          <w:tab w:val="left" w:pos="567"/>
        </w:tabs>
        <w:spacing w:after="0" w:line="360" w:lineRule="auto"/>
        <w:jc w:val="both"/>
        <w:rPr>
          <w:rFonts w:ascii="Times New Roman" w:hAnsi="Times New Roman"/>
          <w:sz w:val="24"/>
          <w:szCs w:val="24"/>
        </w:rPr>
      </w:pPr>
    </w:p>
    <w:p w:rsidR="009C5BD5" w:rsidRPr="00EB7194" w:rsidRDefault="00573579" w:rsidP="009C5BD5">
      <w:pPr>
        <w:tabs>
          <w:tab w:val="left" w:pos="567"/>
        </w:tabs>
        <w:spacing w:after="0" w:line="360" w:lineRule="auto"/>
        <w:jc w:val="both"/>
        <w:rPr>
          <w:rFonts w:ascii="Times New Roman" w:hAnsi="Times New Roman"/>
          <w:sz w:val="24"/>
          <w:szCs w:val="24"/>
        </w:rPr>
      </w:pPr>
      <w:r w:rsidRPr="00EB7194">
        <w:rPr>
          <w:rFonts w:ascii="Times New Roman" w:hAnsi="Times New Roman"/>
          <w:sz w:val="24"/>
          <w:szCs w:val="24"/>
        </w:rPr>
        <w:t>OUTA</w:t>
      </w:r>
      <w:r w:rsidR="009C5BD5" w:rsidRPr="00EB7194">
        <w:rPr>
          <w:rFonts w:ascii="Times New Roman" w:hAnsi="Times New Roman"/>
          <w:sz w:val="24"/>
          <w:szCs w:val="24"/>
        </w:rPr>
        <w:t xml:space="preserve"> highlight</w:t>
      </w:r>
      <w:r w:rsidR="002339E3" w:rsidRPr="00EB7194">
        <w:rPr>
          <w:rFonts w:ascii="Times New Roman" w:hAnsi="Times New Roman"/>
          <w:sz w:val="24"/>
          <w:szCs w:val="24"/>
        </w:rPr>
        <w:t xml:space="preserve">ed </w:t>
      </w:r>
      <w:r w:rsidR="009C5BD5" w:rsidRPr="00EB7194">
        <w:rPr>
          <w:rFonts w:ascii="Times New Roman" w:hAnsi="Times New Roman"/>
          <w:sz w:val="24"/>
          <w:szCs w:val="24"/>
        </w:rPr>
        <w:t>the relative silence on provincial oversi</w:t>
      </w:r>
      <w:r w:rsidR="002339E3" w:rsidRPr="00EB7194">
        <w:rPr>
          <w:rFonts w:ascii="Times New Roman" w:hAnsi="Times New Roman"/>
          <w:sz w:val="24"/>
          <w:szCs w:val="24"/>
        </w:rPr>
        <w:t>ght structures and allocations while h</w:t>
      </w:r>
      <w:r w:rsidR="009C5BD5" w:rsidRPr="00EB7194">
        <w:rPr>
          <w:rFonts w:ascii="Times New Roman" w:hAnsi="Times New Roman"/>
          <w:sz w:val="24"/>
          <w:szCs w:val="24"/>
        </w:rPr>
        <w:t>arsh consequences are being faced by municipalities that repeatedly underperform</w:t>
      </w:r>
      <w:r w:rsidR="002339E3" w:rsidRPr="00EB7194">
        <w:rPr>
          <w:rFonts w:ascii="Times New Roman" w:hAnsi="Times New Roman"/>
          <w:sz w:val="24"/>
          <w:szCs w:val="24"/>
        </w:rPr>
        <w:t>. OUTA submitted that a</w:t>
      </w:r>
      <w:r w:rsidR="009C5BD5" w:rsidRPr="00EB7194">
        <w:rPr>
          <w:rFonts w:ascii="Times New Roman" w:hAnsi="Times New Roman"/>
          <w:sz w:val="24"/>
          <w:szCs w:val="24"/>
        </w:rPr>
        <w:t xml:space="preserve"> key area of provincial underperformance is in their own roles in holding local government to account. Over and above quantitative adaptations or reductions, </w:t>
      </w:r>
      <w:r w:rsidR="002339E3" w:rsidRPr="00EB7194">
        <w:rPr>
          <w:rFonts w:ascii="Times New Roman" w:hAnsi="Times New Roman"/>
          <w:sz w:val="24"/>
          <w:szCs w:val="24"/>
        </w:rPr>
        <w:t xml:space="preserve">OUTA </w:t>
      </w:r>
      <w:r w:rsidR="009C5BD5" w:rsidRPr="00EB7194">
        <w:rPr>
          <w:rFonts w:ascii="Times New Roman" w:hAnsi="Times New Roman"/>
          <w:sz w:val="24"/>
          <w:szCs w:val="24"/>
        </w:rPr>
        <w:t>recommend</w:t>
      </w:r>
      <w:r w:rsidR="002339E3" w:rsidRPr="00EB7194">
        <w:rPr>
          <w:rFonts w:ascii="Times New Roman" w:hAnsi="Times New Roman"/>
          <w:sz w:val="24"/>
          <w:szCs w:val="24"/>
        </w:rPr>
        <w:t>ed that the C</w:t>
      </w:r>
      <w:r w:rsidR="009C5BD5" w:rsidRPr="00EB7194">
        <w:rPr>
          <w:rFonts w:ascii="Times New Roman" w:hAnsi="Times New Roman"/>
          <w:sz w:val="24"/>
          <w:szCs w:val="24"/>
        </w:rPr>
        <w:t>ommittee raises the neglected matter of structural adaptations that must go hand in hand with punitive reductions to appropriations.</w:t>
      </w:r>
    </w:p>
    <w:p w:rsidR="009C5BD5" w:rsidRDefault="009C5BD5" w:rsidP="009C5BD5">
      <w:pPr>
        <w:tabs>
          <w:tab w:val="left" w:pos="567"/>
        </w:tabs>
        <w:spacing w:after="0" w:line="360" w:lineRule="auto"/>
        <w:jc w:val="both"/>
      </w:pPr>
    </w:p>
    <w:p w:rsidR="009C5BD5" w:rsidRPr="00EB7194" w:rsidRDefault="001C0E58" w:rsidP="009C5BD5">
      <w:pPr>
        <w:tabs>
          <w:tab w:val="left" w:pos="567"/>
        </w:tabs>
        <w:spacing w:after="0" w:line="360" w:lineRule="auto"/>
        <w:jc w:val="both"/>
        <w:rPr>
          <w:rFonts w:ascii="Times New Roman" w:hAnsi="Times New Roman"/>
          <w:sz w:val="24"/>
          <w:szCs w:val="24"/>
        </w:rPr>
      </w:pPr>
      <w:r>
        <w:rPr>
          <w:rFonts w:ascii="Times New Roman" w:hAnsi="Times New Roman"/>
          <w:sz w:val="24"/>
          <w:szCs w:val="24"/>
        </w:rPr>
        <w:t>Regarding</w:t>
      </w:r>
      <w:r w:rsidR="00EB7194" w:rsidRPr="00EB7194">
        <w:rPr>
          <w:rFonts w:ascii="Times New Roman" w:hAnsi="Times New Roman"/>
          <w:sz w:val="24"/>
          <w:szCs w:val="24"/>
        </w:rPr>
        <w:t xml:space="preserve"> the NHI, OUTA expressed concerns</w:t>
      </w:r>
      <w:r w:rsidR="009C5BD5" w:rsidRPr="00EB7194">
        <w:rPr>
          <w:rFonts w:ascii="Times New Roman" w:hAnsi="Times New Roman"/>
          <w:sz w:val="24"/>
          <w:szCs w:val="24"/>
        </w:rPr>
        <w:t xml:space="preserve"> about the governance arrangements proposed for the NHI Fund in the National Health Insurance Bill that has been tabled. The governance arrangement for the NHI fund will pool a massive amount of public finances for spending on health. The governance arrangements have to be strengthened to mitigate against corruption or we will not be looking at quality health care for all as the bill envisions, but at the paving of the way to more looting of public resources.</w:t>
      </w:r>
    </w:p>
    <w:p w:rsidR="009C5BD5" w:rsidRPr="00EB7194" w:rsidRDefault="009C5BD5" w:rsidP="009C5BD5">
      <w:pPr>
        <w:tabs>
          <w:tab w:val="left" w:pos="567"/>
        </w:tabs>
        <w:spacing w:after="0" w:line="360" w:lineRule="auto"/>
        <w:jc w:val="both"/>
        <w:rPr>
          <w:rFonts w:ascii="Times New Roman" w:hAnsi="Times New Roman"/>
          <w:sz w:val="24"/>
          <w:szCs w:val="24"/>
        </w:rPr>
      </w:pPr>
    </w:p>
    <w:p w:rsidR="009C5BD5" w:rsidRPr="00EB7194" w:rsidRDefault="001C0E58" w:rsidP="009C5BD5">
      <w:pPr>
        <w:tabs>
          <w:tab w:val="left" w:pos="567"/>
        </w:tabs>
        <w:spacing w:after="0" w:line="360" w:lineRule="auto"/>
        <w:jc w:val="both"/>
        <w:rPr>
          <w:rFonts w:ascii="Times New Roman" w:hAnsi="Times New Roman"/>
          <w:sz w:val="24"/>
          <w:szCs w:val="24"/>
        </w:rPr>
      </w:pPr>
      <w:r>
        <w:rPr>
          <w:rFonts w:ascii="Times New Roman" w:hAnsi="Times New Roman"/>
          <w:sz w:val="24"/>
          <w:szCs w:val="24"/>
        </w:rPr>
        <w:t>Regarding</w:t>
      </w:r>
      <w:r w:rsidR="009C5BD5" w:rsidRPr="00EB7194">
        <w:rPr>
          <w:rFonts w:ascii="Times New Roman" w:hAnsi="Times New Roman"/>
          <w:sz w:val="24"/>
          <w:szCs w:val="24"/>
        </w:rPr>
        <w:t xml:space="preserve"> Schools Infrastructure Backlog Grant, OUTA recommended that </w:t>
      </w:r>
      <w:r w:rsidR="005F1D22" w:rsidRPr="00EB7194">
        <w:rPr>
          <w:rFonts w:ascii="Times New Roman" w:hAnsi="Times New Roman"/>
          <w:sz w:val="24"/>
          <w:szCs w:val="24"/>
        </w:rPr>
        <w:t>more information be included in the budget i.e.</w:t>
      </w:r>
      <w:r w:rsidR="009C5BD5" w:rsidRPr="00EB7194">
        <w:rPr>
          <w:rFonts w:ascii="Times New Roman" w:hAnsi="Times New Roman"/>
          <w:sz w:val="24"/>
          <w:szCs w:val="24"/>
        </w:rPr>
        <w:t xml:space="preserve"> a list of new schools completed, those started but incomplete, and those where sanitation and/or water was provided. These schools should be named. There should also be a list of schools where this work is planned for the upcoming year.</w:t>
      </w:r>
    </w:p>
    <w:p w:rsidR="005F1D22" w:rsidRPr="00EB7194" w:rsidRDefault="005F1D22" w:rsidP="009C5BD5">
      <w:pPr>
        <w:tabs>
          <w:tab w:val="left" w:pos="567"/>
        </w:tabs>
        <w:spacing w:after="0" w:line="360" w:lineRule="auto"/>
        <w:jc w:val="both"/>
        <w:rPr>
          <w:rFonts w:ascii="Times New Roman" w:hAnsi="Times New Roman"/>
          <w:sz w:val="24"/>
          <w:szCs w:val="24"/>
        </w:rPr>
      </w:pPr>
    </w:p>
    <w:p w:rsidR="005F1D22" w:rsidRPr="00EB7194" w:rsidRDefault="005F1D22" w:rsidP="005F1D22">
      <w:pPr>
        <w:tabs>
          <w:tab w:val="left" w:pos="567"/>
        </w:tabs>
        <w:spacing w:after="0" w:line="360" w:lineRule="auto"/>
        <w:jc w:val="both"/>
        <w:rPr>
          <w:rFonts w:ascii="Times New Roman" w:hAnsi="Times New Roman"/>
          <w:sz w:val="24"/>
          <w:szCs w:val="24"/>
        </w:rPr>
      </w:pPr>
      <w:r w:rsidRPr="00EB7194">
        <w:rPr>
          <w:rFonts w:ascii="Times New Roman" w:hAnsi="Times New Roman"/>
          <w:sz w:val="24"/>
          <w:szCs w:val="24"/>
        </w:rPr>
        <w:t xml:space="preserve">While National Treasury is having to make tough choices about spending levels, OUTA is concerned that it may be forgetting that the quality of South Africa’s basic education is linked to the country’s ability to be globally competitive on an economic level. Learners being educated in structurally unsound schools that have inadequate sanitation facilities and whose numeracy and literacy levels are not adequate must somehow enter the job market in today’s global village. </w:t>
      </w:r>
      <w:r w:rsidR="002339E3" w:rsidRPr="00EB7194">
        <w:rPr>
          <w:rFonts w:ascii="Times New Roman" w:hAnsi="Times New Roman"/>
          <w:sz w:val="24"/>
          <w:szCs w:val="24"/>
        </w:rPr>
        <w:t xml:space="preserve">OUTA recommended that </w:t>
      </w:r>
      <w:r w:rsidRPr="00EB7194">
        <w:rPr>
          <w:rFonts w:ascii="Times New Roman" w:hAnsi="Times New Roman"/>
          <w:sz w:val="24"/>
          <w:szCs w:val="24"/>
        </w:rPr>
        <w:t xml:space="preserve">National Treasury should look at the number of public entities that have proliferated </w:t>
      </w:r>
      <w:r w:rsidRPr="00EB7194">
        <w:rPr>
          <w:rFonts w:ascii="Times New Roman" w:hAnsi="Times New Roman"/>
          <w:sz w:val="24"/>
          <w:szCs w:val="24"/>
        </w:rPr>
        <w:lastRenderedPageBreak/>
        <w:t>and determine how many of these are funded off government department’s budgets, have overlapping mandates and are wasting public funds.</w:t>
      </w:r>
    </w:p>
    <w:p w:rsidR="005F1D22" w:rsidRPr="002339E3" w:rsidRDefault="005F1D22" w:rsidP="005F1D22">
      <w:pPr>
        <w:tabs>
          <w:tab w:val="left" w:pos="567"/>
        </w:tabs>
        <w:spacing w:after="0" w:line="360" w:lineRule="auto"/>
        <w:jc w:val="both"/>
        <w:rPr>
          <w:rFonts w:ascii="Times New Roman" w:hAnsi="Times New Roman"/>
          <w:sz w:val="24"/>
          <w:szCs w:val="24"/>
        </w:rPr>
      </w:pPr>
    </w:p>
    <w:p w:rsidR="005F1D22" w:rsidRPr="002339E3" w:rsidRDefault="001C0E58" w:rsidP="005F1D22">
      <w:pPr>
        <w:tabs>
          <w:tab w:val="left" w:pos="567"/>
        </w:tabs>
        <w:spacing w:after="0" w:line="360" w:lineRule="auto"/>
        <w:jc w:val="both"/>
        <w:rPr>
          <w:rFonts w:ascii="Times New Roman" w:hAnsi="Times New Roman"/>
          <w:sz w:val="24"/>
          <w:szCs w:val="24"/>
        </w:rPr>
      </w:pPr>
      <w:r>
        <w:rPr>
          <w:rFonts w:ascii="Times New Roman" w:hAnsi="Times New Roman"/>
          <w:sz w:val="24"/>
          <w:szCs w:val="24"/>
        </w:rPr>
        <w:t>Regarding</w:t>
      </w:r>
      <w:r w:rsidR="005F1D22">
        <w:rPr>
          <w:rFonts w:ascii="Times New Roman" w:hAnsi="Times New Roman"/>
          <w:sz w:val="24"/>
          <w:szCs w:val="24"/>
        </w:rPr>
        <w:t xml:space="preserve"> water and sanitation, OUTA recommended </w:t>
      </w:r>
      <w:r w:rsidR="005F1D22" w:rsidRPr="002339E3">
        <w:rPr>
          <w:rFonts w:ascii="Times New Roman" w:hAnsi="Times New Roman"/>
          <w:sz w:val="24"/>
          <w:szCs w:val="24"/>
        </w:rPr>
        <w:t>that the Com</w:t>
      </w:r>
      <w:r w:rsidR="00573579" w:rsidRPr="002339E3">
        <w:rPr>
          <w:rFonts w:ascii="Times New Roman" w:hAnsi="Times New Roman"/>
          <w:sz w:val="24"/>
          <w:szCs w:val="24"/>
        </w:rPr>
        <w:t>mittees on Appropriations engage with</w:t>
      </w:r>
      <w:r w:rsidR="005F1D22" w:rsidRPr="002339E3">
        <w:rPr>
          <w:rFonts w:ascii="Times New Roman" w:hAnsi="Times New Roman"/>
          <w:sz w:val="24"/>
          <w:szCs w:val="24"/>
        </w:rPr>
        <w:t xml:space="preserve"> the Portfolio Committee on Human Settlements,</w:t>
      </w:r>
      <w:r w:rsidR="002339E3" w:rsidRPr="002339E3">
        <w:rPr>
          <w:rFonts w:ascii="Times New Roman" w:hAnsi="Times New Roman"/>
          <w:sz w:val="24"/>
          <w:szCs w:val="24"/>
        </w:rPr>
        <w:t xml:space="preserve"> Water &amp; Sanitation to assess</w:t>
      </w:r>
      <w:r w:rsidR="005F1D22" w:rsidRPr="002339E3">
        <w:rPr>
          <w:rFonts w:ascii="Times New Roman" w:hAnsi="Times New Roman"/>
          <w:sz w:val="24"/>
          <w:szCs w:val="24"/>
        </w:rPr>
        <w:t xml:space="preserve"> the persistent adverse findings reported by the Auditor General in this Department.</w:t>
      </w:r>
      <w:r w:rsidR="002339E3" w:rsidRPr="002339E3">
        <w:rPr>
          <w:rFonts w:ascii="Times New Roman" w:hAnsi="Times New Roman"/>
          <w:sz w:val="24"/>
          <w:szCs w:val="24"/>
        </w:rPr>
        <w:t xml:space="preserve"> It also recommended that</w:t>
      </w:r>
      <w:r w:rsidR="005F1D22" w:rsidRPr="002339E3">
        <w:rPr>
          <w:rFonts w:ascii="Times New Roman" w:hAnsi="Times New Roman"/>
          <w:sz w:val="24"/>
          <w:szCs w:val="24"/>
        </w:rPr>
        <w:t xml:space="preserve"> the Department of Performance Monitoring and Evaluation </w:t>
      </w:r>
      <w:r w:rsidR="00573579" w:rsidRPr="002339E3">
        <w:rPr>
          <w:rFonts w:ascii="Times New Roman" w:hAnsi="Times New Roman"/>
          <w:sz w:val="24"/>
          <w:szCs w:val="24"/>
        </w:rPr>
        <w:t xml:space="preserve">should </w:t>
      </w:r>
      <w:r w:rsidR="005F1D22" w:rsidRPr="002339E3">
        <w:rPr>
          <w:rFonts w:ascii="Times New Roman" w:hAnsi="Times New Roman"/>
          <w:sz w:val="24"/>
          <w:szCs w:val="24"/>
        </w:rPr>
        <w:t xml:space="preserve">conduct an Expenditure Review on the “War on Leaks” programme. </w:t>
      </w:r>
      <w:r w:rsidR="002339E3" w:rsidRPr="002339E3">
        <w:rPr>
          <w:rFonts w:ascii="Times New Roman" w:hAnsi="Times New Roman"/>
          <w:sz w:val="24"/>
          <w:szCs w:val="24"/>
        </w:rPr>
        <w:t>Given all the challenges facing the delivery of water and sanitation services, OUTA</w:t>
      </w:r>
      <w:r w:rsidR="005F1D22" w:rsidRPr="002339E3">
        <w:rPr>
          <w:rFonts w:ascii="Times New Roman" w:hAnsi="Times New Roman"/>
          <w:sz w:val="24"/>
          <w:szCs w:val="24"/>
        </w:rPr>
        <w:t xml:space="preserve"> recommend</w:t>
      </w:r>
      <w:r w:rsidR="002339E3" w:rsidRPr="002339E3">
        <w:rPr>
          <w:rFonts w:ascii="Times New Roman" w:hAnsi="Times New Roman"/>
          <w:sz w:val="24"/>
          <w:szCs w:val="24"/>
        </w:rPr>
        <w:t>ed that the Appropriations C</w:t>
      </w:r>
      <w:r w:rsidR="005F1D22" w:rsidRPr="002339E3">
        <w:rPr>
          <w:rFonts w:ascii="Times New Roman" w:hAnsi="Times New Roman"/>
          <w:sz w:val="24"/>
          <w:szCs w:val="24"/>
        </w:rPr>
        <w:t>ommittees clamp down and allocate grants conditionally.</w:t>
      </w:r>
    </w:p>
    <w:p w:rsidR="005F1D22" w:rsidRDefault="005F1D22" w:rsidP="005F1D22">
      <w:pPr>
        <w:tabs>
          <w:tab w:val="left" w:pos="567"/>
        </w:tabs>
        <w:spacing w:after="0" w:line="360" w:lineRule="auto"/>
        <w:jc w:val="both"/>
        <w:rPr>
          <w:rFonts w:ascii="Times New Roman" w:hAnsi="Times New Roman"/>
          <w:sz w:val="24"/>
          <w:szCs w:val="24"/>
        </w:rPr>
      </w:pPr>
    </w:p>
    <w:p w:rsidR="003E3B95" w:rsidRDefault="003E3B95" w:rsidP="005F1D22">
      <w:pPr>
        <w:tabs>
          <w:tab w:val="left" w:pos="567"/>
        </w:tabs>
        <w:spacing w:after="0" w:line="360" w:lineRule="auto"/>
        <w:jc w:val="both"/>
        <w:rPr>
          <w:rFonts w:ascii="Times New Roman" w:hAnsi="Times New Roman"/>
          <w:sz w:val="24"/>
          <w:szCs w:val="24"/>
        </w:rPr>
      </w:pPr>
    </w:p>
    <w:p w:rsidR="003E3B95" w:rsidRDefault="003E3B95" w:rsidP="005F1D22">
      <w:pPr>
        <w:tabs>
          <w:tab w:val="left" w:pos="567"/>
        </w:tabs>
        <w:spacing w:after="0" w:line="360" w:lineRule="auto"/>
        <w:jc w:val="both"/>
        <w:rPr>
          <w:rFonts w:ascii="Times New Roman" w:hAnsi="Times New Roman"/>
          <w:sz w:val="24"/>
          <w:szCs w:val="24"/>
        </w:rPr>
      </w:pPr>
    </w:p>
    <w:p w:rsidR="003E3B95" w:rsidRPr="00E47ED5" w:rsidRDefault="003E3B95" w:rsidP="005F1D22">
      <w:pPr>
        <w:tabs>
          <w:tab w:val="left" w:pos="567"/>
        </w:tabs>
        <w:spacing w:after="0" w:line="360" w:lineRule="auto"/>
        <w:jc w:val="both"/>
        <w:rPr>
          <w:rFonts w:ascii="Times New Roman" w:hAnsi="Times New Roman"/>
          <w:sz w:val="24"/>
          <w:szCs w:val="24"/>
        </w:rPr>
      </w:pPr>
    </w:p>
    <w:p w:rsidR="009D7CDD" w:rsidRDefault="009D7CDD" w:rsidP="00092DEA">
      <w:pPr>
        <w:tabs>
          <w:tab w:val="left" w:pos="567"/>
        </w:tabs>
        <w:spacing w:after="0" w:line="360" w:lineRule="auto"/>
        <w:jc w:val="both"/>
        <w:rPr>
          <w:rFonts w:ascii="Times New Roman" w:hAnsi="Times New Roman"/>
          <w:b/>
          <w:sz w:val="24"/>
          <w:szCs w:val="24"/>
        </w:rPr>
      </w:pPr>
      <w:r>
        <w:rPr>
          <w:rFonts w:ascii="Times New Roman" w:hAnsi="Times New Roman"/>
          <w:b/>
          <w:sz w:val="24"/>
          <w:szCs w:val="24"/>
        </w:rPr>
        <w:t>5.6</w:t>
      </w:r>
      <w:r>
        <w:rPr>
          <w:rFonts w:ascii="Times New Roman" w:hAnsi="Times New Roman"/>
          <w:b/>
          <w:sz w:val="24"/>
          <w:szCs w:val="24"/>
        </w:rPr>
        <w:tab/>
        <w:t>Rural Health Advocacy Project</w:t>
      </w:r>
    </w:p>
    <w:p w:rsidR="009D7CDD" w:rsidRDefault="009D7CDD">
      <w:pPr>
        <w:tabs>
          <w:tab w:val="left" w:pos="567"/>
        </w:tabs>
        <w:spacing w:after="0" w:line="360" w:lineRule="auto"/>
        <w:jc w:val="both"/>
        <w:rPr>
          <w:rFonts w:ascii="Times New Roman" w:hAnsi="Times New Roman"/>
          <w:b/>
          <w:sz w:val="24"/>
          <w:szCs w:val="24"/>
        </w:rPr>
      </w:pPr>
    </w:p>
    <w:p w:rsidR="009D7CDD" w:rsidRDefault="009D7CDD">
      <w:pPr>
        <w:tabs>
          <w:tab w:val="left" w:pos="567"/>
        </w:tabs>
        <w:spacing w:after="0" w:line="360" w:lineRule="auto"/>
        <w:jc w:val="both"/>
        <w:rPr>
          <w:rFonts w:ascii="Times New Roman" w:hAnsi="Times New Roman"/>
          <w:sz w:val="24"/>
          <w:szCs w:val="24"/>
        </w:rPr>
      </w:pPr>
      <w:r w:rsidRPr="009D7CDD">
        <w:rPr>
          <w:rFonts w:ascii="Times New Roman" w:hAnsi="Times New Roman"/>
          <w:sz w:val="24"/>
          <w:szCs w:val="24"/>
        </w:rPr>
        <w:t>The Rural Health Advocacy Project (RHAP)</w:t>
      </w:r>
      <w:r>
        <w:rPr>
          <w:rFonts w:ascii="Times New Roman" w:hAnsi="Times New Roman"/>
          <w:sz w:val="24"/>
          <w:szCs w:val="24"/>
        </w:rPr>
        <w:t xml:space="preserve"> commented on the Bill in writing and gave an assessment of the impact of the current fiscal space on social spending. The submission further gave an overview of the spending on health care over the 2020 MTEF and gave assessment of human resources for health services. The RHAP also commented on the improvement of efficiencies within the health sector and welcomed that National Treasury and the Department of Planning, Monitoring and Evaluation would undertake a new round of expenditure reviews to identify cost savings and improve efficiency. The RHAP made the following recommendations:</w:t>
      </w:r>
    </w:p>
    <w:p w:rsidR="009D7CDD" w:rsidRDefault="009D7CDD" w:rsidP="00F51218">
      <w:pPr>
        <w:tabs>
          <w:tab w:val="left" w:pos="567"/>
        </w:tabs>
        <w:spacing w:after="0" w:line="360" w:lineRule="auto"/>
        <w:jc w:val="both"/>
        <w:rPr>
          <w:rFonts w:ascii="Times New Roman" w:hAnsi="Times New Roman"/>
          <w:sz w:val="24"/>
          <w:szCs w:val="24"/>
        </w:rPr>
      </w:pPr>
    </w:p>
    <w:p w:rsidR="009D7CDD" w:rsidRDefault="009D7CDD" w:rsidP="00875CDB">
      <w:pPr>
        <w:pStyle w:val="ListParagraph"/>
        <w:numPr>
          <w:ilvl w:val="0"/>
          <w:numId w:val="9"/>
        </w:numPr>
        <w:tabs>
          <w:tab w:val="left" w:pos="709"/>
        </w:tabs>
        <w:spacing w:after="0" w:line="360" w:lineRule="auto"/>
        <w:jc w:val="both"/>
        <w:rPr>
          <w:rFonts w:ascii="Times New Roman" w:hAnsi="Times New Roman"/>
          <w:sz w:val="24"/>
          <w:szCs w:val="24"/>
        </w:rPr>
      </w:pPr>
      <w:r>
        <w:rPr>
          <w:rFonts w:ascii="Times New Roman" w:hAnsi="Times New Roman"/>
          <w:sz w:val="24"/>
          <w:szCs w:val="24"/>
        </w:rPr>
        <w:t>That the Committee engage the Parliamentary Budget Office and Financial and Fiscal Commission about research on the fiscal space to implement the NHI.</w:t>
      </w:r>
    </w:p>
    <w:p w:rsidR="009D7CDD" w:rsidRDefault="009D7CDD" w:rsidP="00875CDB">
      <w:pPr>
        <w:pStyle w:val="ListParagraph"/>
        <w:numPr>
          <w:ilvl w:val="0"/>
          <w:numId w:val="9"/>
        </w:num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That the Committee </w:t>
      </w:r>
      <w:r w:rsidR="00875CDB">
        <w:rPr>
          <w:rFonts w:ascii="Times New Roman" w:hAnsi="Times New Roman"/>
          <w:sz w:val="24"/>
          <w:szCs w:val="24"/>
        </w:rPr>
        <w:t>engage National Treasury about making the actuarial model and costing studies on the NHI available to the public.</w:t>
      </w:r>
    </w:p>
    <w:p w:rsidR="00875CDB" w:rsidRDefault="00875CDB" w:rsidP="00875CDB">
      <w:pPr>
        <w:pStyle w:val="ListParagraph"/>
        <w:numPr>
          <w:ilvl w:val="0"/>
          <w:numId w:val="9"/>
        </w:numPr>
        <w:tabs>
          <w:tab w:val="left" w:pos="709"/>
        </w:tabs>
        <w:spacing w:after="0" w:line="360" w:lineRule="auto"/>
        <w:jc w:val="both"/>
        <w:rPr>
          <w:rFonts w:ascii="Times New Roman" w:hAnsi="Times New Roman"/>
          <w:sz w:val="24"/>
          <w:szCs w:val="24"/>
        </w:rPr>
      </w:pPr>
      <w:r>
        <w:rPr>
          <w:rFonts w:ascii="Times New Roman" w:hAnsi="Times New Roman"/>
          <w:sz w:val="24"/>
          <w:szCs w:val="24"/>
        </w:rPr>
        <w:t>That the rural adjuster be included in budgeting guidelines issued by National Treasury to provinces.</w:t>
      </w:r>
    </w:p>
    <w:p w:rsidR="00875CDB" w:rsidRDefault="00875CDB" w:rsidP="00875CDB">
      <w:pPr>
        <w:pStyle w:val="ListParagraph"/>
        <w:numPr>
          <w:ilvl w:val="0"/>
          <w:numId w:val="9"/>
        </w:numPr>
        <w:tabs>
          <w:tab w:val="left" w:pos="709"/>
        </w:tabs>
        <w:spacing w:after="0" w:line="360" w:lineRule="auto"/>
        <w:jc w:val="both"/>
        <w:rPr>
          <w:rFonts w:ascii="Times New Roman" w:hAnsi="Times New Roman"/>
          <w:sz w:val="24"/>
          <w:szCs w:val="24"/>
        </w:rPr>
      </w:pPr>
      <w:r>
        <w:rPr>
          <w:rFonts w:ascii="Times New Roman" w:hAnsi="Times New Roman"/>
          <w:sz w:val="24"/>
          <w:szCs w:val="24"/>
        </w:rPr>
        <w:lastRenderedPageBreak/>
        <w:t>That the Committee request</w:t>
      </w:r>
      <w:r w:rsidR="003B6E32">
        <w:rPr>
          <w:rFonts w:ascii="Times New Roman" w:hAnsi="Times New Roman"/>
          <w:sz w:val="24"/>
          <w:szCs w:val="24"/>
        </w:rPr>
        <w:t>s</w:t>
      </w:r>
      <w:r>
        <w:rPr>
          <w:rFonts w:ascii="Times New Roman" w:hAnsi="Times New Roman"/>
          <w:sz w:val="24"/>
          <w:szCs w:val="24"/>
        </w:rPr>
        <w:t xml:space="preserve"> National Treasury to publish all health infrastructure projects being considered and that the Budget Facility for Infrastructure develop a mechanism to prioritise rural infrastructure in order to address the infrastructure inequality gap.</w:t>
      </w:r>
    </w:p>
    <w:p w:rsidR="00875CDB" w:rsidRPr="009D7CDD" w:rsidRDefault="00875CDB" w:rsidP="00875CDB">
      <w:pPr>
        <w:pStyle w:val="ListParagraph"/>
        <w:numPr>
          <w:ilvl w:val="0"/>
          <w:numId w:val="9"/>
        </w:num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That the Department of Health in collaboration with National Treasury provide guidance through policy on how provinces are expected to protect critical posts at times of spending reductions. </w:t>
      </w:r>
    </w:p>
    <w:p w:rsidR="00045E0A" w:rsidRPr="007112B5" w:rsidRDefault="00045E0A" w:rsidP="00045E0A">
      <w:pPr>
        <w:tabs>
          <w:tab w:val="left" w:pos="284"/>
          <w:tab w:val="left" w:pos="567"/>
        </w:tabs>
        <w:spacing w:after="0" w:line="360" w:lineRule="auto"/>
        <w:jc w:val="both"/>
        <w:rPr>
          <w:rFonts w:ascii="Times New Roman" w:hAnsi="Times New Roman"/>
          <w:b/>
          <w:sz w:val="24"/>
          <w:szCs w:val="24"/>
        </w:rPr>
      </w:pPr>
    </w:p>
    <w:p w:rsidR="00AC035C" w:rsidRPr="007112B5" w:rsidRDefault="00AC035C" w:rsidP="00FC0F98">
      <w:pPr>
        <w:pStyle w:val="ListParagraph"/>
        <w:numPr>
          <w:ilvl w:val="0"/>
          <w:numId w:val="2"/>
        </w:numPr>
        <w:spacing w:after="0" w:line="240" w:lineRule="auto"/>
        <w:ind w:left="567" w:hanging="567"/>
        <w:jc w:val="both"/>
        <w:rPr>
          <w:rFonts w:ascii="Times New Roman" w:hAnsi="Times New Roman"/>
          <w:b/>
          <w:sz w:val="24"/>
          <w:szCs w:val="24"/>
        </w:rPr>
      </w:pPr>
      <w:r w:rsidRPr="007112B5">
        <w:rPr>
          <w:rFonts w:ascii="Times New Roman" w:hAnsi="Times New Roman"/>
          <w:b/>
          <w:sz w:val="24"/>
          <w:szCs w:val="24"/>
        </w:rPr>
        <w:t>Findings and Observations</w:t>
      </w:r>
    </w:p>
    <w:p w:rsidR="006D464E" w:rsidRPr="007112B5" w:rsidRDefault="006D464E" w:rsidP="00AC035C">
      <w:pPr>
        <w:pStyle w:val="ListParagraph"/>
        <w:spacing w:after="0" w:line="240" w:lineRule="auto"/>
        <w:ind w:left="360"/>
        <w:jc w:val="both"/>
        <w:rPr>
          <w:rFonts w:ascii="Times New Roman" w:hAnsi="Times New Roman"/>
          <w:b/>
          <w:sz w:val="24"/>
          <w:szCs w:val="24"/>
        </w:rPr>
      </w:pPr>
    </w:p>
    <w:p w:rsidR="004E39D3" w:rsidRDefault="004E39D3" w:rsidP="004E39D3">
      <w:pPr>
        <w:spacing w:after="0" w:line="360" w:lineRule="auto"/>
        <w:jc w:val="both"/>
        <w:rPr>
          <w:rFonts w:ascii="Times New Roman" w:hAnsi="Times New Roman"/>
          <w:sz w:val="24"/>
          <w:szCs w:val="24"/>
        </w:rPr>
      </w:pPr>
      <w:r w:rsidRPr="007112B5">
        <w:rPr>
          <w:rFonts w:ascii="Times New Roman" w:hAnsi="Times New Roman"/>
          <w:sz w:val="24"/>
          <w:szCs w:val="24"/>
        </w:rPr>
        <w:t>The Standing Committee on Appropria</w:t>
      </w:r>
      <w:r>
        <w:rPr>
          <w:rFonts w:ascii="Times New Roman" w:hAnsi="Times New Roman"/>
          <w:sz w:val="24"/>
          <w:szCs w:val="24"/>
        </w:rPr>
        <w:t xml:space="preserve">tions having considered the </w:t>
      </w:r>
      <w:r w:rsidRPr="007112B5">
        <w:rPr>
          <w:rFonts w:ascii="Times New Roman" w:hAnsi="Times New Roman"/>
          <w:sz w:val="24"/>
          <w:szCs w:val="24"/>
        </w:rPr>
        <w:t xml:space="preserve">Division of Revenue Bill </w:t>
      </w:r>
      <w:r>
        <w:rPr>
          <w:rFonts w:ascii="Times New Roman" w:hAnsi="Times New Roman"/>
          <w:sz w:val="24"/>
          <w:szCs w:val="24"/>
        </w:rPr>
        <w:t xml:space="preserve">[B3-2020] </w:t>
      </w:r>
      <w:r w:rsidRPr="007112B5">
        <w:rPr>
          <w:rFonts w:ascii="Times New Roman" w:hAnsi="Times New Roman"/>
          <w:sz w:val="24"/>
          <w:szCs w:val="24"/>
        </w:rPr>
        <w:t>and received inputs thereon found the following:</w:t>
      </w:r>
    </w:p>
    <w:p w:rsidR="004E39D3" w:rsidRDefault="004E39D3" w:rsidP="004E39D3">
      <w:pPr>
        <w:spacing w:after="0" w:line="360" w:lineRule="auto"/>
        <w:jc w:val="both"/>
        <w:rPr>
          <w:rFonts w:ascii="Times New Roman" w:hAnsi="Times New Roman"/>
          <w:sz w:val="24"/>
          <w:szCs w:val="24"/>
        </w:rPr>
      </w:pPr>
    </w:p>
    <w:p w:rsidR="004E39D3" w:rsidRDefault="004E39D3" w:rsidP="007E708A">
      <w:pPr>
        <w:pStyle w:val="ListParagraph"/>
        <w:numPr>
          <w:ilvl w:val="1"/>
          <w:numId w:val="2"/>
        </w:numPr>
        <w:spacing w:after="0" w:line="360" w:lineRule="auto"/>
        <w:ind w:left="567" w:hanging="567"/>
        <w:jc w:val="both"/>
        <w:rPr>
          <w:rFonts w:ascii="Times New Roman" w:hAnsi="Times New Roman"/>
          <w:sz w:val="24"/>
          <w:szCs w:val="24"/>
        </w:rPr>
      </w:pPr>
      <w:r w:rsidRPr="000D4AE7">
        <w:rPr>
          <w:rFonts w:ascii="Times New Roman" w:hAnsi="Times New Roman"/>
          <w:sz w:val="24"/>
          <w:szCs w:val="24"/>
        </w:rPr>
        <w:t>The committee is encouraged by the provisions made in</w:t>
      </w:r>
      <w:r>
        <w:rPr>
          <w:rFonts w:ascii="Times New Roman" w:hAnsi="Times New Roman"/>
          <w:sz w:val="24"/>
          <w:szCs w:val="24"/>
        </w:rPr>
        <w:t xml:space="preserve"> section 38 of the Bill which caters for t</w:t>
      </w:r>
      <w:r w:rsidRPr="000D4AE7">
        <w:rPr>
          <w:rFonts w:ascii="Times New Roman" w:hAnsi="Times New Roman"/>
          <w:sz w:val="24"/>
          <w:szCs w:val="24"/>
        </w:rPr>
        <w:t>ransitional m</w:t>
      </w:r>
      <w:r>
        <w:rPr>
          <w:rFonts w:ascii="Times New Roman" w:hAnsi="Times New Roman"/>
          <w:sz w:val="24"/>
          <w:szCs w:val="24"/>
        </w:rPr>
        <w:t>easures for the 2021 1ocal government elections. The committee views this as an important step in anticipating any changes that may be as a result of changes to municipal demarcations in line with process</w:t>
      </w:r>
      <w:r w:rsidR="002C0988">
        <w:rPr>
          <w:rFonts w:ascii="Times New Roman" w:hAnsi="Times New Roman"/>
          <w:sz w:val="24"/>
          <w:szCs w:val="24"/>
        </w:rPr>
        <w:t>es</w:t>
      </w:r>
      <w:r>
        <w:rPr>
          <w:rFonts w:ascii="Times New Roman" w:hAnsi="Times New Roman"/>
          <w:sz w:val="24"/>
          <w:szCs w:val="24"/>
        </w:rPr>
        <w:t xml:space="preserve"> that may follow a r</w:t>
      </w:r>
      <w:r w:rsidRPr="000D4AE7">
        <w:rPr>
          <w:rFonts w:ascii="Times New Roman" w:hAnsi="Times New Roman"/>
          <w:sz w:val="24"/>
          <w:szCs w:val="24"/>
        </w:rPr>
        <w:t>edetermination in terms of section 21(1)(b) of the Municipal Demarcation Act</w:t>
      </w:r>
      <w:r>
        <w:rPr>
          <w:rFonts w:ascii="Times New Roman" w:hAnsi="Times New Roman"/>
          <w:sz w:val="24"/>
          <w:szCs w:val="24"/>
        </w:rPr>
        <w:t xml:space="preserve">. </w:t>
      </w:r>
    </w:p>
    <w:p w:rsidR="004E39D3" w:rsidRDefault="004E39D3" w:rsidP="007E708A">
      <w:pPr>
        <w:pStyle w:val="ListParagraph"/>
        <w:numPr>
          <w:ilvl w:val="1"/>
          <w:numId w:val="2"/>
        </w:num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 The Committee note</w:t>
      </w:r>
      <w:r w:rsidR="000B1294">
        <w:rPr>
          <w:rFonts w:ascii="Times New Roman" w:hAnsi="Times New Roman"/>
          <w:sz w:val="24"/>
          <w:szCs w:val="24"/>
        </w:rPr>
        <w:t>s</w:t>
      </w:r>
      <w:r>
        <w:rPr>
          <w:rFonts w:ascii="Times New Roman" w:hAnsi="Times New Roman"/>
          <w:sz w:val="24"/>
          <w:szCs w:val="24"/>
        </w:rPr>
        <w:t xml:space="preserve"> with concern that direct conditional grants to provinces is reduced by a net of R13.3 billion. The committee is of the view that most of the provincial grants to provinces are intended to address key service delivery challenges in areas like education, health, roads and key infrastructure for the previously disadvantaged and needy. </w:t>
      </w:r>
    </w:p>
    <w:p w:rsidR="004E39D3" w:rsidRDefault="004E39D3" w:rsidP="007E708A">
      <w:pPr>
        <w:pStyle w:val="ListParagraph"/>
        <w:numPr>
          <w:ilvl w:val="1"/>
          <w:numId w:val="2"/>
        </w:num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 The committee welcomes the increase in the subsidy for Early Childhood Development (ECD) per child from R15 to R17 per day in 2020/21, increasing to R18.57 in 2022/23. </w:t>
      </w:r>
    </w:p>
    <w:p w:rsidR="004E39D3" w:rsidRDefault="004E39D3" w:rsidP="007E708A">
      <w:pPr>
        <w:pStyle w:val="ListParagraph"/>
        <w:numPr>
          <w:ilvl w:val="1"/>
          <w:numId w:val="2"/>
        </w:num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The Committee welcomes the R652 million allocated for the Sanitary Dignity Programme for the procurement of sanitary products for low-income households </w:t>
      </w:r>
    </w:p>
    <w:p w:rsidR="004E39D3" w:rsidRDefault="004E39D3" w:rsidP="007E708A">
      <w:pPr>
        <w:pStyle w:val="ListParagraph"/>
        <w:numPr>
          <w:ilvl w:val="1"/>
          <w:numId w:val="2"/>
        </w:num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The Committee welcomes the R398 million that has been reprioritised from national government to provinces for the employment of more social workers in areas with high levels of gender based violence, substance abuse and social problems affecting children over the MTEF. The </w:t>
      </w:r>
      <w:r w:rsidR="00375247">
        <w:rPr>
          <w:rFonts w:ascii="Times New Roman" w:hAnsi="Times New Roman"/>
          <w:sz w:val="24"/>
          <w:szCs w:val="24"/>
        </w:rPr>
        <w:t>C</w:t>
      </w:r>
      <w:r>
        <w:rPr>
          <w:rFonts w:ascii="Times New Roman" w:hAnsi="Times New Roman"/>
          <w:sz w:val="24"/>
          <w:szCs w:val="24"/>
        </w:rPr>
        <w:t xml:space="preserve">ommittee supports these </w:t>
      </w:r>
      <w:r>
        <w:rPr>
          <w:rFonts w:ascii="Times New Roman" w:hAnsi="Times New Roman"/>
          <w:sz w:val="24"/>
          <w:szCs w:val="24"/>
        </w:rPr>
        <w:lastRenderedPageBreak/>
        <w:t>government efforts in helping victims of abuse, particularly women and children, while also acknowledging government’s effort in dealing with substance abuse in societies which in most case</w:t>
      </w:r>
      <w:r w:rsidR="000B1294">
        <w:rPr>
          <w:rFonts w:ascii="Times New Roman" w:hAnsi="Times New Roman"/>
          <w:sz w:val="24"/>
          <w:szCs w:val="24"/>
        </w:rPr>
        <w:t>s</w:t>
      </w:r>
      <w:r>
        <w:rPr>
          <w:rFonts w:ascii="Times New Roman" w:hAnsi="Times New Roman"/>
          <w:sz w:val="24"/>
          <w:szCs w:val="24"/>
        </w:rPr>
        <w:t xml:space="preserve"> result </w:t>
      </w:r>
      <w:r w:rsidR="003E3B95">
        <w:rPr>
          <w:rFonts w:ascii="Times New Roman" w:hAnsi="Times New Roman"/>
          <w:sz w:val="24"/>
          <w:szCs w:val="24"/>
        </w:rPr>
        <w:t>in</w:t>
      </w:r>
      <w:r>
        <w:rPr>
          <w:rFonts w:ascii="Times New Roman" w:hAnsi="Times New Roman"/>
          <w:sz w:val="24"/>
          <w:szCs w:val="24"/>
        </w:rPr>
        <w:t xml:space="preserve"> abuse against</w:t>
      </w:r>
      <w:r w:rsidR="002C0988">
        <w:rPr>
          <w:rFonts w:ascii="Times New Roman" w:hAnsi="Times New Roman"/>
          <w:sz w:val="24"/>
          <w:szCs w:val="24"/>
        </w:rPr>
        <w:t xml:space="preserve"> the vulnerable groups</w:t>
      </w:r>
      <w:r>
        <w:rPr>
          <w:rFonts w:ascii="Times New Roman" w:hAnsi="Times New Roman"/>
          <w:sz w:val="24"/>
          <w:szCs w:val="24"/>
        </w:rPr>
        <w:t xml:space="preserve">. </w:t>
      </w:r>
    </w:p>
    <w:p w:rsidR="004E39D3" w:rsidRDefault="004E39D3" w:rsidP="007E708A">
      <w:pPr>
        <w:pStyle w:val="ListParagraph"/>
        <w:numPr>
          <w:ilvl w:val="1"/>
          <w:numId w:val="2"/>
        </w:num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The Committee welcomes the additional funding allocation of R315 million reprioritised to continue supporting non-profit organisations in implementing behavioural social changes programmes dealing with HIV, TB and sexually transmitted infections. Though the </w:t>
      </w:r>
      <w:r w:rsidR="000B1294">
        <w:rPr>
          <w:rFonts w:ascii="Times New Roman" w:hAnsi="Times New Roman"/>
          <w:sz w:val="24"/>
          <w:szCs w:val="24"/>
        </w:rPr>
        <w:t>C</w:t>
      </w:r>
      <w:r>
        <w:rPr>
          <w:rFonts w:ascii="Times New Roman" w:hAnsi="Times New Roman"/>
          <w:sz w:val="24"/>
          <w:szCs w:val="24"/>
        </w:rPr>
        <w:t>ommittee supports these programmes offered by the non-profit organisations, National Treasury is encouraged to continue monitor spending on these programme</w:t>
      </w:r>
      <w:r w:rsidR="000B1294">
        <w:rPr>
          <w:rFonts w:ascii="Times New Roman" w:hAnsi="Times New Roman"/>
          <w:sz w:val="24"/>
          <w:szCs w:val="24"/>
        </w:rPr>
        <w:t>s</w:t>
      </w:r>
      <w:r>
        <w:rPr>
          <w:rFonts w:ascii="Times New Roman" w:hAnsi="Times New Roman"/>
          <w:sz w:val="24"/>
          <w:szCs w:val="24"/>
        </w:rPr>
        <w:t xml:space="preserve"> to ensure government receives value for money</w:t>
      </w:r>
      <w:r w:rsidR="000B1294">
        <w:rPr>
          <w:rFonts w:ascii="Times New Roman" w:hAnsi="Times New Roman"/>
          <w:sz w:val="24"/>
          <w:szCs w:val="24"/>
        </w:rPr>
        <w:t xml:space="preserve"> and measures should be put in place to ensure that corruption is eliminated</w:t>
      </w:r>
    </w:p>
    <w:p w:rsidR="004E39D3" w:rsidRPr="007E708A" w:rsidRDefault="004E39D3" w:rsidP="007E708A">
      <w:pPr>
        <w:pStyle w:val="ListParagraph"/>
        <w:numPr>
          <w:ilvl w:val="1"/>
          <w:numId w:val="2"/>
        </w:numPr>
        <w:spacing w:after="0" w:line="360" w:lineRule="auto"/>
        <w:ind w:left="567" w:hanging="567"/>
        <w:jc w:val="both"/>
        <w:rPr>
          <w:rFonts w:ascii="Times New Roman" w:hAnsi="Times New Roman"/>
          <w:sz w:val="24"/>
          <w:szCs w:val="24"/>
        </w:rPr>
      </w:pPr>
      <w:r w:rsidRPr="007E708A">
        <w:rPr>
          <w:rFonts w:ascii="Times New Roman" w:hAnsi="Times New Roman"/>
          <w:sz w:val="24"/>
          <w:szCs w:val="24"/>
        </w:rPr>
        <w:t xml:space="preserve">The Committee welcomes and is encouraged by government’s </w:t>
      </w:r>
      <w:r w:rsidR="000B1294">
        <w:rPr>
          <w:rFonts w:ascii="Times New Roman" w:hAnsi="Times New Roman"/>
          <w:sz w:val="24"/>
          <w:szCs w:val="24"/>
        </w:rPr>
        <w:t>addition</w:t>
      </w:r>
      <w:r w:rsidRPr="007E708A">
        <w:rPr>
          <w:rFonts w:ascii="Times New Roman" w:hAnsi="Times New Roman"/>
          <w:sz w:val="24"/>
          <w:szCs w:val="24"/>
        </w:rPr>
        <w:t xml:space="preserve"> of R1.4 billion over the MTEF for the ECD Grant in order to increase the subsidy paid per child receiving early childhood services and to province for additional children to have access to the</w:t>
      </w:r>
      <w:r w:rsidR="000B1294">
        <w:rPr>
          <w:rFonts w:ascii="Times New Roman" w:hAnsi="Times New Roman"/>
          <w:sz w:val="24"/>
          <w:szCs w:val="24"/>
        </w:rPr>
        <w:t>se</w:t>
      </w:r>
      <w:r w:rsidRPr="007E708A">
        <w:rPr>
          <w:rFonts w:ascii="Times New Roman" w:hAnsi="Times New Roman"/>
          <w:sz w:val="24"/>
          <w:szCs w:val="24"/>
        </w:rPr>
        <w:t xml:space="preserve"> service. </w:t>
      </w:r>
    </w:p>
    <w:p w:rsidR="004E39D3" w:rsidRPr="00340D23" w:rsidRDefault="004E39D3" w:rsidP="007E708A">
      <w:pPr>
        <w:pStyle w:val="ListParagraph"/>
        <w:numPr>
          <w:ilvl w:val="1"/>
          <w:numId w:val="2"/>
        </w:numPr>
        <w:spacing w:after="0" w:line="360" w:lineRule="auto"/>
        <w:ind w:left="567" w:hanging="567"/>
        <w:jc w:val="both"/>
        <w:rPr>
          <w:rFonts w:ascii="Times New Roman" w:hAnsi="Times New Roman"/>
          <w:sz w:val="24"/>
          <w:szCs w:val="24"/>
        </w:rPr>
      </w:pPr>
      <w:r w:rsidRPr="00340D23">
        <w:rPr>
          <w:rFonts w:ascii="Times New Roman" w:hAnsi="Times New Roman"/>
          <w:sz w:val="24"/>
          <w:szCs w:val="24"/>
        </w:rPr>
        <w:t xml:space="preserve">The Committee is concerned </w:t>
      </w:r>
      <w:r w:rsidR="000B1294">
        <w:rPr>
          <w:rFonts w:ascii="Times New Roman" w:hAnsi="Times New Roman"/>
          <w:sz w:val="24"/>
          <w:szCs w:val="24"/>
        </w:rPr>
        <w:t>about</w:t>
      </w:r>
      <w:r w:rsidRPr="00340D23">
        <w:rPr>
          <w:rFonts w:ascii="Times New Roman" w:hAnsi="Times New Roman"/>
          <w:sz w:val="24"/>
          <w:szCs w:val="24"/>
        </w:rPr>
        <w:t xml:space="preserve"> the total allocation reduction of R2.8 billion over the MTEF for the Provincial Road Maintenance Grant. The committee is concerned by </w:t>
      </w:r>
      <w:r w:rsidR="007E708A" w:rsidRPr="00340D23">
        <w:rPr>
          <w:rFonts w:ascii="Times New Roman" w:hAnsi="Times New Roman"/>
          <w:sz w:val="24"/>
          <w:szCs w:val="24"/>
        </w:rPr>
        <w:t>these reductions due to</w:t>
      </w:r>
      <w:r w:rsidRPr="00340D23">
        <w:rPr>
          <w:rFonts w:ascii="Times New Roman" w:hAnsi="Times New Roman"/>
          <w:sz w:val="24"/>
          <w:szCs w:val="24"/>
        </w:rPr>
        <w:t xml:space="preserve"> the poor state of provinc</w:t>
      </w:r>
      <w:r w:rsidR="007E708A" w:rsidRPr="00340D23">
        <w:rPr>
          <w:rFonts w:ascii="Times New Roman" w:hAnsi="Times New Roman"/>
          <w:sz w:val="24"/>
          <w:szCs w:val="24"/>
        </w:rPr>
        <w:t>ial roads in South Africa. The C</w:t>
      </w:r>
      <w:r w:rsidRPr="00340D23">
        <w:rPr>
          <w:rFonts w:ascii="Times New Roman" w:hAnsi="Times New Roman"/>
          <w:sz w:val="24"/>
          <w:szCs w:val="24"/>
        </w:rPr>
        <w:t xml:space="preserve">ommittee is also concerned because by </w:t>
      </w:r>
      <w:r w:rsidR="005310A6">
        <w:rPr>
          <w:rFonts w:ascii="Times New Roman" w:hAnsi="Times New Roman"/>
          <w:sz w:val="24"/>
          <w:szCs w:val="24"/>
        </w:rPr>
        <w:t xml:space="preserve">National </w:t>
      </w:r>
      <w:r w:rsidR="00C41EDD">
        <w:rPr>
          <w:rFonts w:ascii="Times New Roman" w:hAnsi="Times New Roman"/>
          <w:sz w:val="24"/>
          <w:szCs w:val="24"/>
        </w:rPr>
        <w:t xml:space="preserve">Treasury’s </w:t>
      </w:r>
      <w:r w:rsidR="00C41EDD" w:rsidRPr="00340D23">
        <w:rPr>
          <w:rFonts w:ascii="Times New Roman" w:hAnsi="Times New Roman"/>
          <w:sz w:val="24"/>
          <w:szCs w:val="24"/>
        </w:rPr>
        <w:t>own</w:t>
      </w:r>
      <w:r w:rsidRPr="00340D23">
        <w:rPr>
          <w:rFonts w:ascii="Times New Roman" w:hAnsi="Times New Roman"/>
          <w:sz w:val="24"/>
          <w:szCs w:val="24"/>
        </w:rPr>
        <w:t xml:space="preserve"> admission in the 2020 Budget review (p.69), </w:t>
      </w:r>
      <w:r w:rsidR="005310A6">
        <w:rPr>
          <w:rFonts w:ascii="Times New Roman" w:hAnsi="Times New Roman"/>
          <w:sz w:val="24"/>
          <w:szCs w:val="24"/>
        </w:rPr>
        <w:t>it</w:t>
      </w:r>
      <w:r w:rsidRPr="00340D23">
        <w:rPr>
          <w:rFonts w:ascii="Times New Roman" w:hAnsi="Times New Roman"/>
          <w:sz w:val="24"/>
          <w:szCs w:val="24"/>
        </w:rPr>
        <w:t>a</w:t>
      </w:r>
      <w:r w:rsidR="007E708A" w:rsidRPr="00340D23">
        <w:rPr>
          <w:rFonts w:ascii="Times New Roman" w:hAnsi="Times New Roman"/>
          <w:sz w:val="24"/>
          <w:szCs w:val="24"/>
        </w:rPr>
        <w:t>cknowledges that provinces do not</w:t>
      </w:r>
      <w:r w:rsidRPr="00340D23">
        <w:rPr>
          <w:rFonts w:ascii="Times New Roman" w:hAnsi="Times New Roman"/>
          <w:sz w:val="24"/>
          <w:szCs w:val="24"/>
        </w:rPr>
        <w:t xml:space="preserve"> have large significant </w:t>
      </w:r>
      <w:r w:rsidR="002827F1">
        <w:rPr>
          <w:rFonts w:ascii="Times New Roman" w:hAnsi="Times New Roman"/>
          <w:sz w:val="24"/>
          <w:szCs w:val="24"/>
        </w:rPr>
        <w:t xml:space="preserve">tax </w:t>
      </w:r>
      <w:r w:rsidRPr="00340D23">
        <w:rPr>
          <w:rFonts w:ascii="Times New Roman" w:hAnsi="Times New Roman"/>
          <w:sz w:val="24"/>
          <w:szCs w:val="24"/>
        </w:rPr>
        <w:t>power</w:t>
      </w:r>
      <w:r w:rsidR="002827F1">
        <w:rPr>
          <w:rFonts w:ascii="Times New Roman" w:hAnsi="Times New Roman"/>
          <w:sz w:val="24"/>
          <w:szCs w:val="24"/>
        </w:rPr>
        <w:t>s</w:t>
      </w:r>
      <w:r w:rsidRPr="00340D23">
        <w:rPr>
          <w:rFonts w:ascii="Times New Roman" w:hAnsi="Times New Roman"/>
          <w:sz w:val="24"/>
          <w:szCs w:val="24"/>
        </w:rPr>
        <w:t xml:space="preserve"> and are dependent on transfers through the Division of Revenue, this therefore renders the reductions to </w:t>
      </w:r>
      <w:r w:rsidR="007E708A" w:rsidRPr="00340D23">
        <w:rPr>
          <w:rFonts w:ascii="Times New Roman" w:hAnsi="Times New Roman"/>
          <w:sz w:val="24"/>
          <w:szCs w:val="24"/>
        </w:rPr>
        <w:t>these impor</w:t>
      </w:r>
      <w:r w:rsidR="00011D15">
        <w:rPr>
          <w:rFonts w:ascii="Times New Roman" w:hAnsi="Times New Roman"/>
          <w:sz w:val="24"/>
          <w:szCs w:val="24"/>
        </w:rPr>
        <w:t>tant</w:t>
      </w:r>
      <w:r w:rsidR="007E708A" w:rsidRPr="00340D23">
        <w:rPr>
          <w:rFonts w:ascii="Times New Roman" w:hAnsi="Times New Roman"/>
          <w:sz w:val="24"/>
          <w:szCs w:val="24"/>
        </w:rPr>
        <w:t xml:space="preserve"> allocations to provinces problematic. </w:t>
      </w:r>
    </w:p>
    <w:p w:rsidR="004E39D3" w:rsidRPr="00340D23" w:rsidRDefault="004E39D3" w:rsidP="007E708A">
      <w:pPr>
        <w:pStyle w:val="ListParagraph"/>
        <w:numPr>
          <w:ilvl w:val="1"/>
          <w:numId w:val="2"/>
        </w:numPr>
        <w:spacing w:after="0" w:line="360" w:lineRule="auto"/>
        <w:ind w:left="567" w:hanging="567"/>
        <w:jc w:val="both"/>
        <w:rPr>
          <w:rFonts w:ascii="Times New Roman" w:hAnsi="Times New Roman"/>
          <w:sz w:val="24"/>
          <w:szCs w:val="24"/>
        </w:rPr>
      </w:pPr>
      <w:r w:rsidRPr="00340D23">
        <w:rPr>
          <w:rFonts w:ascii="Times New Roman" w:hAnsi="Times New Roman"/>
          <w:sz w:val="24"/>
          <w:szCs w:val="24"/>
        </w:rPr>
        <w:t>The Committee note</w:t>
      </w:r>
      <w:r w:rsidR="00011D15">
        <w:rPr>
          <w:rFonts w:ascii="Times New Roman" w:hAnsi="Times New Roman"/>
          <w:sz w:val="24"/>
          <w:szCs w:val="24"/>
        </w:rPr>
        <w:t>s</w:t>
      </w:r>
      <w:r w:rsidR="007E708A" w:rsidRPr="00340D23">
        <w:rPr>
          <w:rFonts w:ascii="Times New Roman" w:hAnsi="Times New Roman"/>
          <w:sz w:val="24"/>
          <w:szCs w:val="24"/>
        </w:rPr>
        <w:t xml:space="preserve"> withconcern</w:t>
      </w:r>
      <w:r w:rsidRPr="00340D23">
        <w:rPr>
          <w:rFonts w:ascii="Times New Roman" w:hAnsi="Times New Roman"/>
          <w:sz w:val="24"/>
          <w:szCs w:val="24"/>
        </w:rPr>
        <w:t xml:space="preserve"> the</w:t>
      </w:r>
      <w:r w:rsidR="007E708A" w:rsidRPr="00340D23">
        <w:rPr>
          <w:rFonts w:ascii="Times New Roman" w:hAnsi="Times New Roman"/>
          <w:sz w:val="24"/>
          <w:szCs w:val="24"/>
        </w:rPr>
        <w:t xml:space="preserve"> R1.9 billion reduction</w:t>
      </w:r>
      <w:r w:rsidR="003B6E32">
        <w:rPr>
          <w:rFonts w:ascii="Times New Roman" w:hAnsi="Times New Roman"/>
          <w:sz w:val="24"/>
          <w:szCs w:val="24"/>
        </w:rPr>
        <w:t>s</w:t>
      </w:r>
      <w:r w:rsidR="007E708A" w:rsidRPr="00340D23">
        <w:rPr>
          <w:rFonts w:ascii="Times New Roman" w:hAnsi="Times New Roman"/>
          <w:sz w:val="24"/>
          <w:szCs w:val="24"/>
        </w:rPr>
        <w:t xml:space="preserve"> on the Education Infrastructure G</w:t>
      </w:r>
      <w:r w:rsidRPr="00340D23">
        <w:rPr>
          <w:rFonts w:ascii="Times New Roman" w:hAnsi="Times New Roman"/>
          <w:sz w:val="24"/>
          <w:szCs w:val="24"/>
        </w:rPr>
        <w:t xml:space="preserve">rant over the MTEF. The </w:t>
      </w:r>
      <w:r w:rsidR="00011D15">
        <w:rPr>
          <w:rFonts w:ascii="Times New Roman" w:hAnsi="Times New Roman"/>
          <w:sz w:val="24"/>
          <w:szCs w:val="24"/>
        </w:rPr>
        <w:t>C</w:t>
      </w:r>
      <w:r w:rsidRPr="00340D23">
        <w:rPr>
          <w:rFonts w:ascii="Times New Roman" w:hAnsi="Times New Roman"/>
          <w:sz w:val="24"/>
          <w:szCs w:val="24"/>
        </w:rPr>
        <w:t xml:space="preserve">ommittee is of the view that school infrastructure is a very important component </w:t>
      </w:r>
      <w:r w:rsidR="00011D15">
        <w:rPr>
          <w:rFonts w:ascii="Times New Roman" w:hAnsi="Times New Roman"/>
          <w:sz w:val="24"/>
          <w:szCs w:val="24"/>
        </w:rPr>
        <w:t>in</w:t>
      </w:r>
      <w:r w:rsidRPr="00340D23">
        <w:rPr>
          <w:rFonts w:ascii="Times New Roman" w:hAnsi="Times New Roman"/>
          <w:sz w:val="24"/>
          <w:szCs w:val="24"/>
        </w:rPr>
        <w:t xml:space="preserve"> the learning and culture function of government; </w:t>
      </w:r>
      <w:r w:rsidR="003B6E32" w:rsidRPr="00340D23">
        <w:rPr>
          <w:rFonts w:ascii="Times New Roman" w:hAnsi="Times New Roman"/>
          <w:sz w:val="24"/>
          <w:szCs w:val="24"/>
        </w:rPr>
        <w:t>therefore,</w:t>
      </w:r>
      <w:r w:rsidRPr="00340D23">
        <w:rPr>
          <w:rFonts w:ascii="Times New Roman" w:hAnsi="Times New Roman"/>
          <w:sz w:val="24"/>
          <w:szCs w:val="24"/>
        </w:rPr>
        <w:t xml:space="preserve"> reducing the </w:t>
      </w:r>
      <w:r w:rsidR="00011D15">
        <w:rPr>
          <w:rFonts w:ascii="Times New Roman" w:hAnsi="Times New Roman"/>
          <w:sz w:val="24"/>
          <w:szCs w:val="24"/>
        </w:rPr>
        <w:t>E</w:t>
      </w:r>
      <w:r w:rsidRPr="00340D23">
        <w:rPr>
          <w:rFonts w:ascii="Times New Roman" w:hAnsi="Times New Roman"/>
          <w:sz w:val="24"/>
          <w:szCs w:val="24"/>
        </w:rPr>
        <w:t xml:space="preserve">ducation </w:t>
      </w:r>
      <w:r w:rsidR="00011D15">
        <w:rPr>
          <w:rFonts w:ascii="Times New Roman" w:hAnsi="Times New Roman"/>
          <w:sz w:val="24"/>
          <w:szCs w:val="24"/>
        </w:rPr>
        <w:t>I</w:t>
      </w:r>
      <w:r w:rsidRPr="00340D23">
        <w:rPr>
          <w:rFonts w:ascii="Times New Roman" w:hAnsi="Times New Roman"/>
          <w:sz w:val="24"/>
          <w:szCs w:val="24"/>
        </w:rPr>
        <w:t xml:space="preserve">nfrastructure </w:t>
      </w:r>
      <w:r w:rsidR="00011D15">
        <w:rPr>
          <w:rFonts w:ascii="Times New Roman" w:hAnsi="Times New Roman"/>
          <w:sz w:val="24"/>
          <w:szCs w:val="24"/>
        </w:rPr>
        <w:t>G</w:t>
      </w:r>
      <w:r w:rsidRPr="00340D23">
        <w:rPr>
          <w:rFonts w:ascii="Times New Roman" w:hAnsi="Times New Roman"/>
          <w:sz w:val="24"/>
          <w:szCs w:val="24"/>
        </w:rPr>
        <w:t>rant cast</w:t>
      </w:r>
      <w:r w:rsidR="00011D15">
        <w:rPr>
          <w:rFonts w:ascii="Times New Roman" w:hAnsi="Times New Roman"/>
          <w:sz w:val="24"/>
          <w:szCs w:val="24"/>
        </w:rPr>
        <w:t>s</w:t>
      </w:r>
      <w:r w:rsidRPr="00340D23">
        <w:rPr>
          <w:rFonts w:ascii="Times New Roman" w:hAnsi="Times New Roman"/>
          <w:sz w:val="24"/>
          <w:szCs w:val="24"/>
        </w:rPr>
        <w:t xml:space="preserve"> doubts on government</w:t>
      </w:r>
      <w:r w:rsidR="00011D15">
        <w:rPr>
          <w:rFonts w:ascii="Times New Roman" w:hAnsi="Times New Roman"/>
          <w:sz w:val="24"/>
          <w:szCs w:val="24"/>
        </w:rPr>
        <w:t>’s</w:t>
      </w:r>
      <w:r w:rsidRPr="00340D23">
        <w:rPr>
          <w:rFonts w:ascii="Times New Roman" w:hAnsi="Times New Roman"/>
          <w:sz w:val="24"/>
          <w:szCs w:val="24"/>
        </w:rPr>
        <w:t xml:space="preserve"> ability to eradicate the education infrastructure related challenges in the interest of the poor majority.</w:t>
      </w:r>
    </w:p>
    <w:p w:rsidR="004E39D3" w:rsidRPr="00340D23" w:rsidRDefault="007E708A" w:rsidP="007E708A">
      <w:pPr>
        <w:pStyle w:val="ListParagraph"/>
        <w:numPr>
          <w:ilvl w:val="1"/>
          <w:numId w:val="2"/>
        </w:numPr>
        <w:spacing w:after="0" w:line="360" w:lineRule="auto"/>
        <w:ind w:left="567" w:hanging="567"/>
        <w:jc w:val="both"/>
        <w:rPr>
          <w:rFonts w:ascii="Times New Roman" w:hAnsi="Times New Roman"/>
          <w:sz w:val="24"/>
          <w:szCs w:val="24"/>
        </w:rPr>
      </w:pPr>
      <w:r w:rsidRPr="00340D23">
        <w:rPr>
          <w:rFonts w:ascii="Times New Roman" w:hAnsi="Times New Roman"/>
          <w:sz w:val="24"/>
          <w:szCs w:val="24"/>
        </w:rPr>
        <w:t>The C</w:t>
      </w:r>
      <w:r w:rsidR="004E39D3" w:rsidRPr="00340D23">
        <w:rPr>
          <w:rFonts w:ascii="Times New Roman" w:hAnsi="Times New Roman"/>
          <w:sz w:val="24"/>
          <w:szCs w:val="24"/>
        </w:rPr>
        <w:t>ommittee note</w:t>
      </w:r>
      <w:r w:rsidR="00011D15">
        <w:rPr>
          <w:rFonts w:ascii="Times New Roman" w:hAnsi="Times New Roman"/>
          <w:sz w:val="24"/>
          <w:szCs w:val="24"/>
        </w:rPr>
        <w:t>s</w:t>
      </w:r>
      <w:r w:rsidR="003E3B95" w:rsidRPr="00340D23">
        <w:rPr>
          <w:rFonts w:ascii="Times New Roman" w:hAnsi="Times New Roman"/>
          <w:sz w:val="24"/>
          <w:szCs w:val="24"/>
        </w:rPr>
        <w:t>with concern</w:t>
      </w:r>
      <w:r w:rsidR="004E39D3" w:rsidRPr="00340D23">
        <w:rPr>
          <w:rFonts w:ascii="Times New Roman" w:hAnsi="Times New Roman"/>
          <w:sz w:val="24"/>
          <w:szCs w:val="24"/>
        </w:rPr>
        <w:t xml:space="preserve"> that there is </w:t>
      </w:r>
      <w:r w:rsidRPr="00340D23">
        <w:rPr>
          <w:rFonts w:ascii="Times New Roman" w:hAnsi="Times New Roman"/>
          <w:sz w:val="24"/>
          <w:szCs w:val="24"/>
        </w:rPr>
        <w:t xml:space="preserve">a R123 million reduction in </w:t>
      </w:r>
      <w:r w:rsidR="00375247">
        <w:rPr>
          <w:rFonts w:ascii="Times New Roman" w:hAnsi="Times New Roman"/>
          <w:sz w:val="24"/>
          <w:szCs w:val="24"/>
        </w:rPr>
        <w:t xml:space="preserve">the </w:t>
      </w:r>
      <w:r w:rsidRPr="00340D23">
        <w:rPr>
          <w:rFonts w:ascii="Times New Roman" w:hAnsi="Times New Roman"/>
          <w:sz w:val="24"/>
          <w:szCs w:val="24"/>
        </w:rPr>
        <w:t>Schools Infrastructure B</w:t>
      </w:r>
      <w:r w:rsidR="004E39D3" w:rsidRPr="00340D23">
        <w:rPr>
          <w:rFonts w:ascii="Times New Roman" w:hAnsi="Times New Roman"/>
          <w:sz w:val="24"/>
          <w:szCs w:val="24"/>
        </w:rPr>
        <w:t>acklog</w:t>
      </w:r>
      <w:r w:rsidRPr="00340D23">
        <w:rPr>
          <w:rFonts w:ascii="Times New Roman" w:hAnsi="Times New Roman"/>
          <w:sz w:val="24"/>
          <w:szCs w:val="24"/>
        </w:rPr>
        <w:t>s G</w:t>
      </w:r>
      <w:r w:rsidR="004E39D3" w:rsidRPr="00340D23">
        <w:rPr>
          <w:rFonts w:ascii="Times New Roman" w:hAnsi="Times New Roman"/>
          <w:sz w:val="24"/>
          <w:szCs w:val="24"/>
        </w:rPr>
        <w:t xml:space="preserve">rant over the 2020 MTEF. There is a general consensus in South Africa that public </w:t>
      </w:r>
      <w:r w:rsidR="003B6E32" w:rsidRPr="00340D23">
        <w:rPr>
          <w:rFonts w:ascii="Times New Roman" w:hAnsi="Times New Roman"/>
          <w:sz w:val="24"/>
          <w:szCs w:val="24"/>
        </w:rPr>
        <w:t>schools’</w:t>
      </w:r>
      <w:r w:rsidR="004E39D3" w:rsidRPr="00340D23">
        <w:rPr>
          <w:rFonts w:ascii="Times New Roman" w:hAnsi="Times New Roman"/>
          <w:sz w:val="24"/>
          <w:szCs w:val="24"/>
        </w:rPr>
        <w:t xml:space="preserve"> infrastructure is poor in rural </w:t>
      </w:r>
      <w:r w:rsidR="004E39D3" w:rsidRPr="00340D23">
        <w:rPr>
          <w:rFonts w:ascii="Times New Roman" w:hAnsi="Times New Roman"/>
          <w:sz w:val="24"/>
          <w:szCs w:val="24"/>
        </w:rPr>
        <w:lastRenderedPageBreak/>
        <w:t>areas</w:t>
      </w:r>
      <w:r w:rsidR="000F6CF3">
        <w:rPr>
          <w:rFonts w:ascii="Times New Roman" w:hAnsi="Times New Roman"/>
          <w:sz w:val="24"/>
          <w:szCs w:val="24"/>
        </w:rPr>
        <w:t>.</w:t>
      </w:r>
      <w:r w:rsidR="003E3B95">
        <w:rPr>
          <w:rFonts w:ascii="Times New Roman" w:hAnsi="Times New Roman"/>
          <w:sz w:val="24"/>
          <w:szCs w:val="24"/>
        </w:rPr>
        <w:t>T</w:t>
      </w:r>
      <w:r w:rsidR="003E3B95" w:rsidRPr="00340D23">
        <w:rPr>
          <w:rFonts w:ascii="Times New Roman" w:hAnsi="Times New Roman"/>
          <w:sz w:val="24"/>
          <w:szCs w:val="24"/>
        </w:rPr>
        <w:t>herefore,</w:t>
      </w:r>
      <w:r w:rsidR="004E39D3" w:rsidRPr="00340D23">
        <w:rPr>
          <w:rFonts w:ascii="Times New Roman" w:hAnsi="Times New Roman"/>
          <w:sz w:val="24"/>
          <w:szCs w:val="24"/>
        </w:rPr>
        <w:t xml:space="preserve"> reducing this grant is not sending a positive message to those public schools who are in need of</w:t>
      </w:r>
      <w:r w:rsidR="002827F1">
        <w:rPr>
          <w:rFonts w:ascii="Times New Roman" w:hAnsi="Times New Roman"/>
          <w:sz w:val="24"/>
          <w:szCs w:val="24"/>
        </w:rPr>
        <w:t xml:space="preserve"> critical school</w:t>
      </w:r>
      <w:r w:rsidR="004E39D3" w:rsidRPr="00340D23">
        <w:rPr>
          <w:rFonts w:ascii="Times New Roman" w:hAnsi="Times New Roman"/>
          <w:sz w:val="24"/>
          <w:szCs w:val="24"/>
        </w:rPr>
        <w:t xml:space="preserve"> infrastructure. </w:t>
      </w:r>
    </w:p>
    <w:p w:rsidR="004E39D3" w:rsidRPr="00340D23" w:rsidRDefault="007E708A" w:rsidP="007E708A">
      <w:pPr>
        <w:pStyle w:val="ListParagraph"/>
        <w:numPr>
          <w:ilvl w:val="1"/>
          <w:numId w:val="2"/>
        </w:numPr>
        <w:spacing w:after="0" w:line="360" w:lineRule="auto"/>
        <w:ind w:left="567" w:hanging="567"/>
        <w:jc w:val="both"/>
        <w:rPr>
          <w:rFonts w:ascii="Times New Roman" w:hAnsi="Times New Roman"/>
          <w:sz w:val="24"/>
          <w:szCs w:val="24"/>
        </w:rPr>
      </w:pPr>
      <w:r w:rsidRPr="00340D23">
        <w:rPr>
          <w:rFonts w:ascii="Times New Roman" w:hAnsi="Times New Roman"/>
          <w:sz w:val="24"/>
          <w:szCs w:val="24"/>
        </w:rPr>
        <w:t>The Committee notes with concern</w:t>
      </w:r>
      <w:r w:rsidR="004E39D3" w:rsidRPr="00340D23">
        <w:rPr>
          <w:rFonts w:ascii="Times New Roman" w:hAnsi="Times New Roman"/>
          <w:sz w:val="24"/>
          <w:szCs w:val="24"/>
        </w:rPr>
        <w:t xml:space="preserve"> t</w:t>
      </w:r>
      <w:r w:rsidR="000F6CF3">
        <w:rPr>
          <w:rFonts w:ascii="Times New Roman" w:hAnsi="Times New Roman"/>
          <w:sz w:val="24"/>
          <w:szCs w:val="24"/>
        </w:rPr>
        <w:t>he</w:t>
      </w:r>
      <w:r w:rsidR="004E39D3" w:rsidRPr="00340D23">
        <w:rPr>
          <w:rFonts w:ascii="Times New Roman" w:hAnsi="Times New Roman"/>
          <w:sz w:val="24"/>
          <w:szCs w:val="24"/>
        </w:rPr>
        <w:t>R4.3 billion</w:t>
      </w:r>
      <w:r w:rsidR="003B6E32" w:rsidRPr="00340D23">
        <w:rPr>
          <w:rFonts w:ascii="Times New Roman" w:hAnsi="Times New Roman"/>
          <w:sz w:val="24"/>
          <w:szCs w:val="24"/>
        </w:rPr>
        <w:t>reductions</w:t>
      </w:r>
      <w:r w:rsidRPr="00340D23">
        <w:rPr>
          <w:rFonts w:ascii="Times New Roman" w:hAnsi="Times New Roman"/>
          <w:sz w:val="24"/>
          <w:szCs w:val="24"/>
        </w:rPr>
        <w:t xml:space="preserve"> in the Public </w:t>
      </w:r>
      <w:r w:rsidR="000F6CF3">
        <w:rPr>
          <w:rFonts w:ascii="Times New Roman" w:hAnsi="Times New Roman"/>
          <w:sz w:val="24"/>
          <w:szCs w:val="24"/>
        </w:rPr>
        <w:t xml:space="preserve">Transport </w:t>
      </w:r>
      <w:r w:rsidRPr="00340D23">
        <w:rPr>
          <w:rFonts w:ascii="Times New Roman" w:hAnsi="Times New Roman"/>
          <w:sz w:val="24"/>
          <w:szCs w:val="24"/>
        </w:rPr>
        <w:t>Network G</w:t>
      </w:r>
      <w:r w:rsidR="004E39D3" w:rsidRPr="00340D23">
        <w:rPr>
          <w:rFonts w:ascii="Times New Roman" w:hAnsi="Times New Roman"/>
          <w:sz w:val="24"/>
          <w:szCs w:val="24"/>
        </w:rPr>
        <w:t xml:space="preserve">rant over the 2020 MTEF. The </w:t>
      </w:r>
      <w:r w:rsidR="000F6CF3">
        <w:rPr>
          <w:rFonts w:ascii="Times New Roman" w:hAnsi="Times New Roman"/>
          <w:sz w:val="24"/>
          <w:szCs w:val="24"/>
        </w:rPr>
        <w:t>C</w:t>
      </w:r>
      <w:r w:rsidR="004E39D3" w:rsidRPr="00340D23">
        <w:rPr>
          <w:rFonts w:ascii="Times New Roman" w:hAnsi="Times New Roman"/>
          <w:sz w:val="24"/>
          <w:szCs w:val="24"/>
        </w:rPr>
        <w:t>ommittee</w:t>
      </w:r>
      <w:r w:rsidR="000F6CF3">
        <w:rPr>
          <w:rFonts w:ascii="Times New Roman" w:hAnsi="Times New Roman"/>
          <w:sz w:val="24"/>
          <w:szCs w:val="24"/>
        </w:rPr>
        <w:t>’s</w:t>
      </w:r>
      <w:r w:rsidR="004E39D3" w:rsidRPr="00340D23">
        <w:rPr>
          <w:rFonts w:ascii="Times New Roman" w:hAnsi="Times New Roman"/>
          <w:sz w:val="24"/>
          <w:szCs w:val="24"/>
        </w:rPr>
        <w:t xml:space="preserve"> concerns emanate from the fact that the provision of affordable public transport is one of the key objectives of the democratic government in an effort to address the apartheid spatial planning. </w:t>
      </w:r>
      <w:r w:rsidR="004E39D3" w:rsidRPr="005310A6">
        <w:rPr>
          <w:rFonts w:ascii="Times New Roman" w:hAnsi="Times New Roman"/>
          <w:sz w:val="24"/>
          <w:szCs w:val="24"/>
        </w:rPr>
        <w:t xml:space="preserve">The immediate </w:t>
      </w:r>
      <w:r w:rsidR="00DD1A8D" w:rsidRPr="003E3B95">
        <w:rPr>
          <w:rFonts w:ascii="Times New Roman" w:hAnsi="Times New Roman"/>
          <w:sz w:val="24"/>
          <w:szCs w:val="24"/>
        </w:rPr>
        <w:t>suspension</w:t>
      </w:r>
      <w:r w:rsidR="004E39D3" w:rsidRPr="005310A6">
        <w:rPr>
          <w:rFonts w:ascii="Times New Roman" w:hAnsi="Times New Roman"/>
          <w:sz w:val="24"/>
          <w:szCs w:val="24"/>
        </w:rPr>
        <w:t xml:space="preserve"> of Mbombela, Buffalo City and Msunduzi in this grant is unacceptable </w:t>
      </w:r>
      <w:r w:rsidR="002827F1" w:rsidRPr="005310A6">
        <w:rPr>
          <w:rFonts w:ascii="Times New Roman" w:hAnsi="Times New Roman"/>
          <w:sz w:val="24"/>
          <w:szCs w:val="24"/>
        </w:rPr>
        <w:t>to</w:t>
      </w:r>
      <w:r w:rsidR="004E39D3" w:rsidRPr="005310A6">
        <w:rPr>
          <w:rFonts w:ascii="Times New Roman" w:hAnsi="Times New Roman"/>
          <w:sz w:val="24"/>
          <w:szCs w:val="24"/>
        </w:rPr>
        <w:t xml:space="preserve"> th</w:t>
      </w:r>
      <w:r w:rsidR="002827F1" w:rsidRPr="005310A6">
        <w:rPr>
          <w:rFonts w:ascii="Times New Roman" w:hAnsi="Times New Roman"/>
          <w:sz w:val="24"/>
          <w:szCs w:val="24"/>
        </w:rPr>
        <w:t>e</w:t>
      </w:r>
      <w:r w:rsidR="000F6CF3" w:rsidRPr="003E3B95">
        <w:rPr>
          <w:rFonts w:ascii="Times New Roman" w:hAnsi="Times New Roman"/>
          <w:sz w:val="24"/>
          <w:szCs w:val="24"/>
        </w:rPr>
        <w:t>C</w:t>
      </w:r>
      <w:r w:rsidR="004E39D3" w:rsidRPr="003E3B95">
        <w:rPr>
          <w:rFonts w:ascii="Times New Roman" w:hAnsi="Times New Roman"/>
          <w:sz w:val="24"/>
          <w:szCs w:val="24"/>
        </w:rPr>
        <w:t>ommittee.</w:t>
      </w:r>
      <w:r w:rsidR="004E39D3" w:rsidRPr="00340D23">
        <w:rPr>
          <w:rFonts w:ascii="Times New Roman" w:hAnsi="Times New Roman"/>
          <w:sz w:val="24"/>
          <w:szCs w:val="24"/>
        </w:rPr>
        <w:t xml:space="preserve"> The </w:t>
      </w:r>
      <w:r w:rsidR="00DD1A8D">
        <w:rPr>
          <w:rFonts w:ascii="Times New Roman" w:hAnsi="Times New Roman"/>
          <w:sz w:val="24"/>
          <w:szCs w:val="24"/>
        </w:rPr>
        <w:t>C</w:t>
      </w:r>
      <w:r w:rsidR="004E39D3" w:rsidRPr="00340D23">
        <w:rPr>
          <w:rFonts w:ascii="Times New Roman" w:hAnsi="Times New Roman"/>
          <w:sz w:val="24"/>
          <w:szCs w:val="24"/>
        </w:rPr>
        <w:t xml:space="preserve">ommittee is of the view that rather than </w:t>
      </w:r>
      <w:r w:rsidR="00DD1A8D">
        <w:rPr>
          <w:rFonts w:ascii="Times New Roman" w:hAnsi="Times New Roman"/>
          <w:sz w:val="24"/>
          <w:szCs w:val="24"/>
        </w:rPr>
        <w:t>suspension</w:t>
      </w:r>
      <w:r w:rsidR="004E39D3" w:rsidRPr="00340D23">
        <w:rPr>
          <w:rFonts w:ascii="Times New Roman" w:hAnsi="Times New Roman"/>
          <w:sz w:val="24"/>
          <w:szCs w:val="24"/>
        </w:rPr>
        <w:t xml:space="preserve">, other intergovernmental solutions could have been found due to the huge negative consequence that </w:t>
      </w:r>
      <w:r w:rsidR="003E3B95" w:rsidRPr="00340D23">
        <w:rPr>
          <w:rFonts w:ascii="Times New Roman" w:hAnsi="Times New Roman"/>
          <w:sz w:val="24"/>
          <w:szCs w:val="24"/>
        </w:rPr>
        <w:t>this decision</w:t>
      </w:r>
      <w:r w:rsidR="004E39D3" w:rsidRPr="00340D23">
        <w:rPr>
          <w:rFonts w:ascii="Times New Roman" w:hAnsi="Times New Roman"/>
          <w:sz w:val="24"/>
          <w:szCs w:val="24"/>
        </w:rPr>
        <w:t xml:space="preserve"> has on the communities who were intended beneficiaries of the transport services provided through this </w:t>
      </w:r>
      <w:r w:rsidR="002827F1">
        <w:rPr>
          <w:rFonts w:ascii="Times New Roman" w:hAnsi="Times New Roman"/>
          <w:sz w:val="24"/>
          <w:szCs w:val="24"/>
        </w:rPr>
        <w:t xml:space="preserve">grant </w:t>
      </w:r>
      <w:r w:rsidR="004E39D3" w:rsidRPr="00340D23">
        <w:rPr>
          <w:rFonts w:ascii="Times New Roman" w:hAnsi="Times New Roman"/>
          <w:sz w:val="24"/>
          <w:szCs w:val="24"/>
        </w:rPr>
        <w:t xml:space="preserve">allocation. </w:t>
      </w:r>
    </w:p>
    <w:p w:rsidR="004E39D3" w:rsidRDefault="007E708A" w:rsidP="007E708A">
      <w:pPr>
        <w:pStyle w:val="ListParagraph"/>
        <w:numPr>
          <w:ilvl w:val="1"/>
          <w:numId w:val="2"/>
        </w:numPr>
        <w:spacing w:after="0" w:line="360" w:lineRule="auto"/>
        <w:ind w:left="567" w:hanging="567"/>
        <w:jc w:val="both"/>
        <w:rPr>
          <w:rFonts w:ascii="Times New Roman" w:hAnsi="Times New Roman"/>
          <w:sz w:val="24"/>
          <w:szCs w:val="24"/>
        </w:rPr>
      </w:pPr>
      <w:r>
        <w:rPr>
          <w:rFonts w:ascii="Times New Roman" w:hAnsi="Times New Roman"/>
          <w:sz w:val="24"/>
          <w:szCs w:val="24"/>
        </w:rPr>
        <w:t>The C</w:t>
      </w:r>
      <w:r w:rsidR="004E39D3">
        <w:rPr>
          <w:rFonts w:ascii="Times New Roman" w:hAnsi="Times New Roman"/>
          <w:sz w:val="24"/>
          <w:szCs w:val="24"/>
        </w:rPr>
        <w:t>ommittee welcome</w:t>
      </w:r>
      <w:r>
        <w:rPr>
          <w:rFonts w:ascii="Times New Roman" w:hAnsi="Times New Roman"/>
          <w:sz w:val="24"/>
          <w:szCs w:val="24"/>
        </w:rPr>
        <w:t>s</w:t>
      </w:r>
      <w:r w:rsidR="004E39D3">
        <w:rPr>
          <w:rFonts w:ascii="Times New Roman" w:hAnsi="Times New Roman"/>
          <w:sz w:val="24"/>
          <w:szCs w:val="24"/>
        </w:rPr>
        <w:t xml:space="preserve"> the </w:t>
      </w:r>
      <w:r w:rsidR="004E39D3" w:rsidRPr="00065998">
        <w:rPr>
          <w:rFonts w:ascii="Times New Roman" w:hAnsi="Times New Roman"/>
          <w:sz w:val="24"/>
          <w:szCs w:val="24"/>
        </w:rPr>
        <w:t>R</w:t>
      </w:r>
      <w:r w:rsidR="00AF06E0" w:rsidRPr="003E3B95">
        <w:rPr>
          <w:rFonts w:ascii="Times New Roman" w:hAnsi="Times New Roman"/>
          <w:sz w:val="24"/>
          <w:szCs w:val="24"/>
        </w:rPr>
        <w:t>750</w:t>
      </w:r>
      <w:r w:rsidR="004E39D3">
        <w:rPr>
          <w:rFonts w:ascii="Times New Roman" w:hAnsi="Times New Roman"/>
          <w:sz w:val="24"/>
          <w:szCs w:val="24"/>
        </w:rPr>
        <w:t xml:space="preserve"> millio</w:t>
      </w:r>
      <w:r>
        <w:rPr>
          <w:rFonts w:ascii="Times New Roman" w:hAnsi="Times New Roman"/>
          <w:sz w:val="24"/>
          <w:szCs w:val="24"/>
        </w:rPr>
        <w:t>n allocated in 2020/21 for the Regional Bulk Infrastructure G</w:t>
      </w:r>
      <w:r w:rsidR="004E39D3">
        <w:rPr>
          <w:rFonts w:ascii="Times New Roman" w:hAnsi="Times New Roman"/>
          <w:sz w:val="24"/>
          <w:szCs w:val="24"/>
        </w:rPr>
        <w:t xml:space="preserve">rant for the rehabilitation of waste treatment infrastructure in the Vaal River System. However, the </w:t>
      </w:r>
      <w:r w:rsidR="00F05F9E">
        <w:rPr>
          <w:rFonts w:ascii="Times New Roman" w:hAnsi="Times New Roman"/>
          <w:sz w:val="24"/>
          <w:szCs w:val="24"/>
        </w:rPr>
        <w:t>C</w:t>
      </w:r>
      <w:r w:rsidR="004E39D3">
        <w:rPr>
          <w:rFonts w:ascii="Times New Roman" w:hAnsi="Times New Roman"/>
          <w:sz w:val="24"/>
          <w:szCs w:val="24"/>
        </w:rPr>
        <w:t>ommittee recommended in the 2019 Division of Revenue Amendment Bill (15-2019) that National Treasury identify all those responsible for polluting the Vaal River System and a cost sharing mechanism for the rehabilitation be established and implemented</w:t>
      </w:r>
      <w:r w:rsidR="00836AC1">
        <w:rPr>
          <w:rFonts w:ascii="Times New Roman" w:hAnsi="Times New Roman"/>
          <w:sz w:val="24"/>
          <w:szCs w:val="24"/>
        </w:rPr>
        <w:t xml:space="preserve"> where possible</w:t>
      </w:r>
      <w:r w:rsidR="004E39D3">
        <w:rPr>
          <w:rFonts w:ascii="Times New Roman" w:hAnsi="Times New Roman"/>
          <w:sz w:val="24"/>
          <w:szCs w:val="24"/>
        </w:rPr>
        <w:t xml:space="preserve">. </w:t>
      </w:r>
    </w:p>
    <w:p w:rsidR="004E39D3" w:rsidRPr="00FD7C28" w:rsidRDefault="004E39D3" w:rsidP="007E708A">
      <w:pPr>
        <w:pStyle w:val="ListParagraph"/>
        <w:spacing w:after="0" w:line="360" w:lineRule="auto"/>
        <w:ind w:left="567"/>
        <w:jc w:val="both"/>
        <w:rPr>
          <w:rFonts w:ascii="Times New Roman" w:hAnsi="Times New Roman"/>
          <w:sz w:val="24"/>
          <w:szCs w:val="24"/>
        </w:rPr>
      </w:pPr>
    </w:p>
    <w:p w:rsidR="004E39D3" w:rsidRDefault="004E39D3" w:rsidP="008E5737">
      <w:pPr>
        <w:pStyle w:val="ListParagraph"/>
        <w:numPr>
          <w:ilvl w:val="0"/>
          <w:numId w:val="2"/>
        </w:numPr>
        <w:spacing w:after="0" w:line="360" w:lineRule="auto"/>
        <w:jc w:val="both"/>
        <w:rPr>
          <w:rFonts w:ascii="Times New Roman" w:hAnsi="Times New Roman"/>
          <w:b/>
          <w:sz w:val="24"/>
          <w:szCs w:val="24"/>
        </w:rPr>
      </w:pPr>
      <w:r w:rsidRPr="007112B5">
        <w:rPr>
          <w:rFonts w:ascii="Times New Roman" w:hAnsi="Times New Roman"/>
          <w:b/>
          <w:sz w:val="24"/>
          <w:szCs w:val="24"/>
        </w:rPr>
        <w:t xml:space="preserve">Recommendations </w:t>
      </w:r>
    </w:p>
    <w:p w:rsidR="00CF280D" w:rsidRPr="007112B5" w:rsidRDefault="00CF280D" w:rsidP="008E5737">
      <w:pPr>
        <w:pStyle w:val="ListParagraph"/>
        <w:spacing w:after="0" w:line="360" w:lineRule="auto"/>
        <w:ind w:left="360"/>
        <w:jc w:val="both"/>
        <w:rPr>
          <w:rFonts w:ascii="Times New Roman" w:hAnsi="Times New Roman"/>
          <w:b/>
          <w:sz w:val="24"/>
          <w:szCs w:val="24"/>
        </w:rPr>
      </w:pPr>
    </w:p>
    <w:p w:rsidR="004E39D3" w:rsidRDefault="004E39D3" w:rsidP="00CF280D">
      <w:pPr>
        <w:spacing w:after="0" w:line="360" w:lineRule="auto"/>
        <w:jc w:val="both"/>
        <w:rPr>
          <w:rFonts w:ascii="Times New Roman" w:hAnsi="Times New Roman"/>
          <w:sz w:val="24"/>
          <w:szCs w:val="24"/>
        </w:rPr>
      </w:pPr>
      <w:r w:rsidRPr="007112B5">
        <w:rPr>
          <w:rFonts w:ascii="Times New Roman" w:hAnsi="Times New Roman"/>
          <w:sz w:val="24"/>
          <w:szCs w:val="24"/>
        </w:rPr>
        <w:t>The Standing Committee on Appropria</w:t>
      </w:r>
      <w:r w:rsidR="007E708A">
        <w:rPr>
          <w:rFonts w:ascii="Times New Roman" w:hAnsi="Times New Roman"/>
          <w:sz w:val="24"/>
          <w:szCs w:val="24"/>
        </w:rPr>
        <w:t xml:space="preserve">tions having considered the </w:t>
      </w:r>
      <w:r w:rsidRPr="007112B5">
        <w:rPr>
          <w:rFonts w:ascii="Times New Roman" w:hAnsi="Times New Roman"/>
          <w:sz w:val="24"/>
          <w:szCs w:val="24"/>
        </w:rPr>
        <w:t xml:space="preserve">Division of Revenue Bill </w:t>
      </w:r>
      <w:r w:rsidR="007E708A">
        <w:rPr>
          <w:rFonts w:ascii="Times New Roman" w:hAnsi="Times New Roman"/>
          <w:sz w:val="24"/>
          <w:szCs w:val="24"/>
        </w:rPr>
        <w:t xml:space="preserve">[B3-2020] </w:t>
      </w:r>
      <w:r w:rsidRPr="007112B5">
        <w:rPr>
          <w:rFonts w:ascii="Times New Roman" w:hAnsi="Times New Roman"/>
          <w:sz w:val="24"/>
          <w:szCs w:val="24"/>
        </w:rPr>
        <w:t>recommends as follows:</w:t>
      </w:r>
    </w:p>
    <w:p w:rsidR="004E39D3" w:rsidRDefault="004E39D3" w:rsidP="004E39D3">
      <w:pPr>
        <w:spacing w:after="0" w:line="360" w:lineRule="auto"/>
        <w:jc w:val="both"/>
        <w:rPr>
          <w:rFonts w:ascii="Times New Roman" w:hAnsi="Times New Roman"/>
          <w:sz w:val="24"/>
          <w:szCs w:val="24"/>
        </w:rPr>
      </w:pPr>
    </w:p>
    <w:p w:rsidR="004E39D3" w:rsidRPr="00340D23" w:rsidRDefault="007E708A" w:rsidP="007E708A">
      <w:pPr>
        <w:pStyle w:val="ListParagraph"/>
        <w:numPr>
          <w:ilvl w:val="1"/>
          <w:numId w:val="2"/>
        </w:numPr>
        <w:spacing w:after="0" w:line="360" w:lineRule="auto"/>
        <w:ind w:left="567" w:hanging="567"/>
        <w:jc w:val="both"/>
        <w:rPr>
          <w:rFonts w:ascii="Times New Roman" w:hAnsi="Times New Roman"/>
          <w:sz w:val="24"/>
          <w:szCs w:val="24"/>
        </w:rPr>
      </w:pPr>
      <w:r w:rsidRPr="00340D23">
        <w:rPr>
          <w:rFonts w:ascii="Times New Roman" w:hAnsi="Times New Roman"/>
          <w:sz w:val="24"/>
          <w:szCs w:val="24"/>
        </w:rPr>
        <w:t>That t</w:t>
      </w:r>
      <w:r w:rsidR="004E39D3" w:rsidRPr="00340D23">
        <w:rPr>
          <w:rFonts w:ascii="Times New Roman" w:hAnsi="Times New Roman"/>
          <w:sz w:val="24"/>
          <w:szCs w:val="24"/>
        </w:rPr>
        <w:t>he Minister of Finance and</w:t>
      </w:r>
      <w:r w:rsidRPr="00340D23">
        <w:rPr>
          <w:rFonts w:ascii="Times New Roman" w:hAnsi="Times New Roman"/>
          <w:sz w:val="24"/>
          <w:szCs w:val="24"/>
        </w:rPr>
        <w:t xml:space="preserve"> the Minister of Transport </w:t>
      </w:r>
      <w:r w:rsidR="004E39D3" w:rsidRPr="00340D23">
        <w:rPr>
          <w:rFonts w:ascii="Times New Roman" w:hAnsi="Times New Roman"/>
          <w:sz w:val="24"/>
          <w:szCs w:val="24"/>
        </w:rPr>
        <w:t xml:space="preserve">provide a report on the possible impact of the R2.8 billion </w:t>
      </w:r>
      <w:r w:rsidR="003B6E32" w:rsidRPr="00340D23">
        <w:rPr>
          <w:rFonts w:ascii="Times New Roman" w:hAnsi="Times New Roman"/>
          <w:sz w:val="24"/>
          <w:szCs w:val="24"/>
        </w:rPr>
        <w:t>reductions</w:t>
      </w:r>
      <w:r w:rsidR="004E39D3" w:rsidRPr="00340D23">
        <w:rPr>
          <w:rFonts w:ascii="Times New Roman" w:hAnsi="Times New Roman"/>
          <w:sz w:val="24"/>
          <w:szCs w:val="24"/>
        </w:rPr>
        <w:t xml:space="preserve"> on th</w:t>
      </w:r>
      <w:r w:rsidRPr="00340D23">
        <w:rPr>
          <w:rFonts w:ascii="Times New Roman" w:hAnsi="Times New Roman"/>
          <w:sz w:val="24"/>
          <w:szCs w:val="24"/>
        </w:rPr>
        <w:t>e Provincial Roads Maintenance G</w:t>
      </w:r>
      <w:r w:rsidR="004E39D3" w:rsidRPr="00340D23">
        <w:rPr>
          <w:rFonts w:ascii="Times New Roman" w:hAnsi="Times New Roman"/>
          <w:sz w:val="24"/>
          <w:szCs w:val="24"/>
        </w:rPr>
        <w:t xml:space="preserve">rant.  Considering the poor state of the provincial road network, </w:t>
      </w:r>
      <w:r w:rsidRPr="00340D23">
        <w:rPr>
          <w:rFonts w:ascii="Times New Roman" w:hAnsi="Times New Roman"/>
          <w:sz w:val="24"/>
          <w:szCs w:val="24"/>
        </w:rPr>
        <w:t>the Ministers must provide the C</w:t>
      </w:r>
      <w:r w:rsidR="004E39D3" w:rsidRPr="00340D23">
        <w:rPr>
          <w:rFonts w:ascii="Times New Roman" w:hAnsi="Times New Roman"/>
          <w:sz w:val="24"/>
          <w:szCs w:val="24"/>
        </w:rPr>
        <w:t xml:space="preserve">ommittee with alternative viable solutions on how to fund the maintenance of </w:t>
      </w:r>
      <w:r w:rsidR="00CF280D">
        <w:rPr>
          <w:rFonts w:ascii="Times New Roman" w:hAnsi="Times New Roman"/>
          <w:sz w:val="24"/>
          <w:szCs w:val="24"/>
        </w:rPr>
        <w:t xml:space="preserve">the </w:t>
      </w:r>
      <w:r w:rsidR="004E39D3" w:rsidRPr="00340D23">
        <w:rPr>
          <w:rFonts w:ascii="Times New Roman" w:hAnsi="Times New Roman"/>
          <w:sz w:val="24"/>
          <w:szCs w:val="24"/>
        </w:rPr>
        <w:t xml:space="preserve">provincial road network in all the provinces affected by these cuts, the poor provinces in particular. </w:t>
      </w:r>
    </w:p>
    <w:p w:rsidR="004E39D3" w:rsidRPr="00340D23" w:rsidRDefault="007E708A" w:rsidP="007E708A">
      <w:pPr>
        <w:pStyle w:val="ListParagraph"/>
        <w:numPr>
          <w:ilvl w:val="1"/>
          <w:numId w:val="2"/>
        </w:numPr>
        <w:spacing w:after="0" w:line="360" w:lineRule="auto"/>
        <w:ind w:left="567" w:hanging="567"/>
        <w:jc w:val="both"/>
        <w:rPr>
          <w:rFonts w:ascii="Times New Roman" w:hAnsi="Times New Roman"/>
          <w:sz w:val="24"/>
          <w:szCs w:val="24"/>
        </w:rPr>
      </w:pPr>
      <w:r w:rsidRPr="00340D23">
        <w:rPr>
          <w:rFonts w:ascii="Times New Roman" w:hAnsi="Times New Roman"/>
          <w:sz w:val="24"/>
          <w:szCs w:val="24"/>
        </w:rPr>
        <w:t xml:space="preserve">That the </w:t>
      </w:r>
      <w:r w:rsidR="004E39D3" w:rsidRPr="00340D23">
        <w:rPr>
          <w:rFonts w:ascii="Times New Roman" w:hAnsi="Times New Roman"/>
          <w:sz w:val="24"/>
          <w:szCs w:val="24"/>
        </w:rPr>
        <w:t>Minister of Finance</w:t>
      </w:r>
      <w:r w:rsidR="00AF06E0">
        <w:rPr>
          <w:rFonts w:ascii="Times New Roman" w:hAnsi="Times New Roman"/>
          <w:sz w:val="24"/>
          <w:szCs w:val="24"/>
        </w:rPr>
        <w:t xml:space="preserve"> and </w:t>
      </w:r>
      <w:r w:rsidR="004E39D3" w:rsidRPr="00340D23">
        <w:rPr>
          <w:rFonts w:ascii="Times New Roman" w:hAnsi="Times New Roman"/>
          <w:sz w:val="24"/>
          <w:szCs w:val="24"/>
        </w:rPr>
        <w:t xml:space="preserve">Minister of Basic Education and provide a report </w:t>
      </w:r>
      <w:r w:rsidR="00192EC0">
        <w:rPr>
          <w:rFonts w:ascii="Times New Roman" w:hAnsi="Times New Roman"/>
          <w:sz w:val="24"/>
          <w:szCs w:val="24"/>
        </w:rPr>
        <w:t>on the</w:t>
      </w:r>
      <w:r w:rsidR="004E39D3" w:rsidRPr="00340D23">
        <w:rPr>
          <w:rFonts w:ascii="Times New Roman" w:hAnsi="Times New Roman"/>
          <w:sz w:val="24"/>
          <w:szCs w:val="24"/>
        </w:rPr>
        <w:t xml:space="preserve"> implications of the</w:t>
      </w:r>
      <w:r w:rsidRPr="00340D23">
        <w:rPr>
          <w:rFonts w:ascii="Times New Roman" w:hAnsi="Times New Roman"/>
          <w:sz w:val="24"/>
          <w:szCs w:val="24"/>
        </w:rPr>
        <w:t xml:space="preserve"> R1.9 billion </w:t>
      </w:r>
      <w:r w:rsidR="003B6E32" w:rsidRPr="00340D23">
        <w:rPr>
          <w:rFonts w:ascii="Times New Roman" w:hAnsi="Times New Roman"/>
          <w:sz w:val="24"/>
          <w:szCs w:val="24"/>
        </w:rPr>
        <w:t>reductions</w:t>
      </w:r>
      <w:r w:rsidRPr="00340D23">
        <w:rPr>
          <w:rFonts w:ascii="Times New Roman" w:hAnsi="Times New Roman"/>
          <w:sz w:val="24"/>
          <w:szCs w:val="24"/>
        </w:rPr>
        <w:t xml:space="preserve"> in the E</w:t>
      </w:r>
      <w:r w:rsidR="004E39D3" w:rsidRPr="00340D23">
        <w:rPr>
          <w:rFonts w:ascii="Times New Roman" w:hAnsi="Times New Roman"/>
          <w:sz w:val="24"/>
          <w:szCs w:val="24"/>
        </w:rPr>
        <w:t>duca</w:t>
      </w:r>
      <w:r w:rsidRPr="00340D23">
        <w:rPr>
          <w:rFonts w:ascii="Times New Roman" w:hAnsi="Times New Roman"/>
          <w:sz w:val="24"/>
          <w:szCs w:val="24"/>
        </w:rPr>
        <w:t xml:space="preserve">tion </w:t>
      </w:r>
      <w:r w:rsidRPr="00340D23">
        <w:rPr>
          <w:rFonts w:ascii="Times New Roman" w:hAnsi="Times New Roman"/>
          <w:sz w:val="24"/>
          <w:szCs w:val="24"/>
        </w:rPr>
        <w:lastRenderedPageBreak/>
        <w:t xml:space="preserve">Infrastructure </w:t>
      </w:r>
      <w:r w:rsidR="00375247">
        <w:rPr>
          <w:rFonts w:ascii="Times New Roman" w:hAnsi="Times New Roman"/>
          <w:sz w:val="24"/>
          <w:szCs w:val="24"/>
        </w:rPr>
        <w:t>G</w:t>
      </w:r>
      <w:r w:rsidRPr="00340D23">
        <w:rPr>
          <w:rFonts w:ascii="Times New Roman" w:hAnsi="Times New Roman"/>
          <w:sz w:val="24"/>
          <w:szCs w:val="24"/>
        </w:rPr>
        <w:t>rant. The C</w:t>
      </w:r>
      <w:r w:rsidR="004E39D3" w:rsidRPr="00340D23">
        <w:rPr>
          <w:rFonts w:ascii="Times New Roman" w:hAnsi="Times New Roman"/>
          <w:sz w:val="24"/>
          <w:szCs w:val="24"/>
        </w:rPr>
        <w:t>ommittee view</w:t>
      </w:r>
      <w:r w:rsidRPr="00340D23">
        <w:rPr>
          <w:rFonts w:ascii="Times New Roman" w:hAnsi="Times New Roman"/>
          <w:sz w:val="24"/>
          <w:szCs w:val="24"/>
        </w:rPr>
        <w:t>s</w:t>
      </w:r>
      <w:r w:rsidR="004E39D3" w:rsidRPr="00340D23">
        <w:rPr>
          <w:rFonts w:ascii="Times New Roman" w:hAnsi="Times New Roman"/>
          <w:sz w:val="24"/>
          <w:szCs w:val="24"/>
        </w:rPr>
        <w:t xml:space="preserve"> this grant as critical in providing education infrastructure in particular to the previously disadvantaged</w:t>
      </w:r>
      <w:r w:rsidR="00CF280D">
        <w:rPr>
          <w:rFonts w:ascii="Times New Roman" w:hAnsi="Times New Roman"/>
          <w:sz w:val="24"/>
          <w:szCs w:val="24"/>
        </w:rPr>
        <w:t xml:space="preserve"> communities</w:t>
      </w:r>
      <w:r w:rsidR="004E39D3" w:rsidRPr="00340D23">
        <w:rPr>
          <w:rFonts w:ascii="Times New Roman" w:hAnsi="Times New Roman"/>
          <w:sz w:val="24"/>
          <w:szCs w:val="24"/>
        </w:rPr>
        <w:t xml:space="preserve">. Each Ministry </w:t>
      </w:r>
      <w:r w:rsidR="00192EC0">
        <w:rPr>
          <w:rFonts w:ascii="Times New Roman" w:hAnsi="Times New Roman"/>
          <w:sz w:val="24"/>
          <w:szCs w:val="24"/>
        </w:rPr>
        <w:t xml:space="preserve">should </w:t>
      </w:r>
      <w:r w:rsidR="00175FBD">
        <w:rPr>
          <w:rFonts w:ascii="Times New Roman" w:hAnsi="Times New Roman"/>
          <w:sz w:val="24"/>
          <w:szCs w:val="24"/>
        </w:rPr>
        <w:t>report as follows:</w:t>
      </w:r>
    </w:p>
    <w:p w:rsidR="004E39D3" w:rsidRPr="00340D23" w:rsidRDefault="00192EC0" w:rsidP="007E708A">
      <w:pPr>
        <w:pStyle w:val="ListParagraph"/>
        <w:numPr>
          <w:ilvl w:val="0"/>
          <w:numId w:val="10"/>
        </w:numPr>
        <w:spacing w:after="0" w:line="360" w:lineRule="auto"/>
        <w:ind w:left="1418" w:hanging="567"/>
        <w:jc w:val="both"/>
        <w:rPr>
          <w:rFonts w:ascii="Times New Roman" w:hAnsi="Times New Roman"/>
          <w:sz w:val="24"/>
          <w:szCs w:val="24"/>
        </w:rPr>
      </w:pPr>
      <w:r>
        <w:rPr>
          <w:rFonts w:ascii="Times New Roman" w:hAnsi="Times New Roman"/>
          <w:sz w:val="24"/>
          <w:szCs w:val="24"/>
        </w:rPr>
        <w:t>The rationale</w:t>
      </w:r>
      <w:r w:rsidR="004E39D3" w:rsidRPr="00340D23">
        <w:rPr>
          <w:rFonts w:ascii="Times New Roman" w:hAnsi="Times New Roman"/>
          <w:sz w:val="24"/>
          <w:szCs w:val="24"/>
        </w:rPr>
        <w:t xml:space="preserve"> and implications of the R1.9 billion </w:t>
      </w:r>
      <w:r w:rsidR="003B6E32" w:rsidRPr="00340D23">
        <w:rPr>
          <w:rFonts w:ascii="Times New Roman" w:hAnsi="Times New Roman"/>
          <w:sz w:val="24"/>
          <w:szCs w:val="24"/>
        </w:rPr>
        <w:t>reductions</w:t>
      </w:r>
      <w:r w:rsidR="004E39D3" w:rsidRPr="00340D23">
        <w:rPr>
          <w:rFonts w:ascii="Times New Roman" w:hAnsi="Times New Roman"/>
          <w:sz w:val="24"/>
          <w:szCs w:val="24"/>
        </w:rPr>
        <w:t xml:space="preserve"> in </w:t>
      </w:r>
      <w:r w:rsidR="003E3B95">
        <w:rPr>
          <w:rFonts w:ascii="Times New Roman" w:hAnsi="Times New Roman"/>
          <w:sz w:val="24"/>
          <w:szCs w:val="24"/>
        </w:rPr>
        <w:t>this grant given its importance</w:t>
      </w:r>
      <w:r w:rsidR="004E39D3" w:rsidRPr="00340D23">
        <w:rPr>
          <w:rFonts w:ascii="Times New Roman" w:hAnsi="Times New Roman"/>
          <w:sz w:val="24"/>
          <w:szCs w:val="24"/>
        </w:rPr>
        <w:t xml:space="preserve"> in providing education infrastructure</w:t>
      </w:r>
      <w:r>
        <w:rPr>
          <w:rFonts w:ascii="Times New Roman" w:hAnsi="Times New Roman"/>
          <w:sz w:val="24"/>
          <w:szCs w:val="24"/>
        </w:rPr>
        <w:t>.</w:t>
      </w:r>
    </w:p>
    <w:p w:rsidR="004E39D3" w:rsidRPr="00340D23" w:rsidRDefault="004E39D3" w:rsidP="007E708A">
      <w:pPr>
        <w:pStyle w:val="ListParagraph"/>
        <w:numPr>
          <w:ilvl w:val="0"/>
          <w:numId w:val="10"/>
        </w:numPr>
        <w:spacing w:after="0" w:line="360" w:lineRule="auto"/>
        <w:ind w:left="1418" w:hanging="567"/>
        <w:jc w:val="both"/>
        <w:rPr>
          <w:rFonts w:ascii="Times New Roman" w:hAnsi="Times New Roman"/>
          <w:sz w:val="24"/>
          <w:szCs w:val="24"/>
        </w:rPr>
      </w:pPr>
      <w:r w:rsidRPr="00340D23">
        <w:rPr>
          <w:rFonts w:ascii="Times New Roman" w:hAnsi="Times New Roman"/>
          <w:sz w:val="24"/>
          <w:szCs w:val="24"/>
        </w:rPr>
        <w:t xml:space="preserve">The Minister of Basic Education </w:t>
      </w:r>
      <w:r w:rsidR="00192EC0">
        <w:rPr>
          <w:rFonts w:ascii="Times New Roman" w:hAnsi="Times New Roman"/>
          <w:sz w:val="24"/>
          <w:szCs w:val="24"/>
        </w:rPr>
        <w:t>should report</w:t>
      </w:r>
      <w:r w:rsidRPr="00340D23">
        <w:rPr>
          <w:rFonts w:ascii="Times New Roman" w:hAnsi="Times New Roman"/>
          <w:sz w:val="24"/>
          <w:szCs w:val="24"/>
        </w:rPr>
        <w:t xml:space="preserve"> on the implications of these budget reduction</w:t>
      </w:r>
      <w:r w:rsidR="00192EC0">
        <w:rPr>
          <w:rFonts w:ascii="Times New Roman" w:hAnsi="Times New Roman"/>
          <w:sz w:val="24"/>
          <w:szCs w:val="24"/>
        </w:rPr>
        <w:t>s</w:t>
      </w:r>
      <w:r w:rsidRPr="00340D23">
        <w:rPr>
          <w:rFonts w:ascii="Times New Roman" w:hAnsi="Times New Roman"/>
          <w:sz w:val="24"/>
          <w:szCs w:val="24"/>
        </w:rPr>
        <w:t xml:space="preserve"> on the </w:t>
      </w:r>
      <w:r w:rsidR="00375247">
        <w:rPr>
          <w:rFonts w:ascii="Times New Roman" w:hAnsi="Times New Roman"/>
          <w:sz w:val="24"/>
          <w:szCs w:val="24"/>
        </w:rPr>
        <w:t>E</w:t>
      </w:r>
      <w:r w:rsidRPr="00340D23">
        <w:rPr>
          <w:rFonts w:ascii="Times New Roman" w:hAnsi="Times New Roman"/>
          <w:sz w:val="24"/>
          <w:szCs w:val="24"/>
        </w:rPr>
        <w:t xml:space="preserve">ducation </w:t>
      </w:r>
      <w:r w:rsidR="00375247">
        <w:rPr>
          <w:rFonts w:ascii="Times New Roman" w:hAnsi="Times New Roman"/>
          <w:sz w:val="24"/>
          <w:szCs w:val="24"/>
        </w:rPr>
        <w:t>I</w:t>
      </w:r>
      <w:r w:rsidRPr="00340D23">
        <w:rPr>
          <w:rFonts w:ascii="Times New Roman" w:hAnsi="Times New Roman"/>
          <w:sz w:val="24"/>
          <w:szCs w:val="24"/>
        </w:rPr>
        <w:t xml:space="preserve">nfrastructure </w:t>
      </w:r>
      <w:r w:rsidR="00375247">
        <w:rPr>
          <w:rFonts w:ascii="Times New Roman" w:hAnsi="Times New Roman"/>
          <w:sz w:val="24"/>
          <w:szCs w:val="24"/>
        </w:rPr>
        <w:t>G</w:t>
      </w:r>
      <w:r w:rsidRPr="00340D23">
        <w:rPr>
          <w:rFonts w:ascii="Times New Roman" w:hAnsi="Times New Roman"/>
          <w:sz w:val="24"/>
          <w:szCs w:val="24"/>
        </w:rPr>
        <w:t>rant and provide a list of the affected province</w:t>
      </w:r>
      <w:r w:rsidR="00AF06E0">
        <w:rPr>
          <w:rFonts w:ascii="Times New Roman" w:hAnsi="Times New Roman"/>
          <w:sz w:val="24"/>
          <w:szCs w:val="24"/>
        </w:rPr>
        <w:t>s</w:t>
      </w:r>
      <w:r w:rsidRPr="00340D23">
        <w:rPr>
          <w:rFonts w:ascii="Times New Roman" w:hAnsi="Times New Roman"/>
          <w:sz w:val="24"/>
          <w:szCs w:val="24"/>
        </w:rPr>
        <w:t xml:space="preserve"> and the list of the education infrastructure project</w:t>
      </w:r>
      <w:r w:rsidR="00AF06E0">
        <w:rPr>
          <w:rFonts w:ascii="Times New Roman" w:hAnsi="Times New Roman"/>
          <w:sz w:val="24"/>
          <w:szCs w:val="24"/>
        </w:rPr>
        <w:t>s</w:t>
      </w:r>
      <w:r w:rsidRPr="00340D23">
        <w:rPr>
          <w:rFonts w:ascii="Times New Roman" w:hAnsi="Times New Roman"/>
          <w:sz w:val="24"/>
          <w:szCs w:val="24"/>
        </w:rPr>
        <w:t xml:space="preserve"> affected.</w:t>
      </w:r>
    </w:p>
    <w:p w:rsidR="004E39D3" w:rsidRPr="00340D23" w:rsidRDefault="006E2080" w:rsidP="003E3B95">
      <w:pPr>
        <w:pStyle w:val="ListParagraph"/>
        <w:numPr>
          <w:ilvl w:val="1"/>
          <w:numId w:val="2"/>
        </w:numPr>
        <w:spacing w:after="0" w:line="360" w:lineRule="auto"/>
        <w:ind w:left="567" w:hanging="567"/>
        <w:jc w:val="both"/>
        <w:rPr>
          <w:rFonts w:ascii="Times New Roman" w:hAnsi="Times New Roman"/>
          <w:sz w:val="24"/>
          <w:szCs w:val="24"/>
        </w:rPr>
      </w:pPr>
      <w:r>
        <w:rPr>
          <w:rFonts w:ascii="Times New Roman" w:hAnsi="Times New Roman"/>
          <w:sz w:val="24"/>
          <w:szCs w:val="24"/>
        </w:rPr>
        <w:t>That t</w:t>
      </w:r>
      <w:r w:rsidR="004E39D3" w:rsidRPr="00340D23">
        <w:rPr>
          <w:rFonts w:ascii="Times New Roman" w:hAnsi="Times New Roman"/>
          <w:sz w:val="24"/>
          <w:szCs w:val="24"/>
        </w:rPr>
        <w:t>he Minister of Basic Education provide</w:t>
      </w:r>
      <w:r w:rsidR="00AF06E0">
        <w:rPr>
          <w:rFonts w:ascii="Times New Roman" w:hAnsi="Times New Roman"/>
          <w:sz w:val="24"/>
          <w:szCs w:val="24"/>
        </w:rPr>
        <w:t>s</w:t>
      </w:r>
      <w:r w:rsidR="004E39D3" w:rsidRPr="00340D23">
        <w:rPr>
          <w:rFonts w:ascii="Times New Roman" w:hAnsi="Times New Roman"/>
          <w:sz w:val="24"/>
          <w:szCs w:val="24"/>
        </w:rPr>
        <w:t xml:space="preserve"> a </w:t>
      </w:r>
      <w:r w:rsidR="005310A6">
        <w:rPr>
          <w:rFonts w:ascii="Times New Roman" w:hAnsi="Times New Roman"/>
          <w:sz w:val="24"/>
          <w:szCs w:val="24"/>
        </w:rPr>
        <w:t xml:space="preserve">comprehensive </w:t>
      </w:r>
      <w:r w:rsidR="004E39D3" w:rsidRPr="00340D23">
        <w:rPr>
          <w:rFonts w:ascii="Times New Roman" w:hAnsi="Times New Roman"/>
          <w:sz w:val="24"/>
          <w:szCs w:val="24"/>
        </w:rPr>
        <w:t xml:space="preserve">report </w:t>
      </w:r>
      <w:r>
        <w:rPr>
          <w:rFonts w:ascii="Times New Roman" w:hAnsi="Times New Roman"/>
          <w:sz w:val="24"/>
          <w:szCs w:val="24"/>
        </w:rPr>
        <w:t>on the</w:t>
      </w:r>
      <w:r w:rsidR="00AF06E0">
        <w:rPr>
          <w:rFonts w:ascii="Times New Roman" w:hAnsi="Times New Roman"/>
          <w:sz w:val="24"/>
          <w:szCs w:val="24"/>
        </w:rPr>
        <w:t xml:space="preserve">possible </w:t>
      </w:r>
      <w:r w:rsidR="004E39D3" w:rsidRPr="00340D23">
        <w:rPr>
          <w:rFonts w:ascii="Times New Roman" w:hAnsi="Times New Roman"/>
          <w:sz w:val="24"/>
          <w:szCs w:val="24"/>
        </w:rPr>
        <w:t xml:space="preserve">impact of the R123 million </w:t>
      </w:r>
      <w:r>
        <w:rPr>
          <w:rFonts w:ascii="Times New Roman" w:hAnsi="Times New Roman"/>
          <w:sz w:val="24"/>
          <w:szCs w:val="24"/>
        </w:rPr>
        <w:t>reduction over the MTEF on the School Infrastructure Backlogs G</w:t>
      </w:r>
      <w:r w:rsidR="004E39D3" w:rsidRPr="00340D23">
        <w:rPr>
          <w:rFonts w:ascii="Times New Roman" w:hAnsi="Times New Roman"/>
          <w:sz w:val="24"/>
          <w:szCs w:val="24"/>
        </w:rPr>
        <w:t>rant</w:t>
      </w:r>
      <w:r w:rsidR="005310A6">
        <w:rPr>
          <w:rFonts w:ascii="Times New Roman" w:hAnsi="Times New Roman"/>
          <w:sz w:val="24"/>
          <w:szCs w:val="24"/>
        </w:rPr>
        <w:t xml:space="preserve"> which is meant for the eradication and replacement of inappropriate schools and related school furniture.</w:t>
      </w:r>
    </w:p>
    <w:p w:rsidR="004E39D3" w:rsidRPr="00684335" w:rsidRDefault="003E3B95" w:rsidP="003E3B95">
      <w:pPr>
        <w:pStyle w:val="ListParagraph"/>
        <w:numPr>
          <w:ilvl w:val="1"/>
          <w:numId w:val="2"/>
        </w:numPr>
        <w:spacing w:after="0" w:line="360" w:lineRule="auto"/>
        <w:ind w:left="567" w:hanging="567"/>
        <w:jc w:val="both"/>
        <w:rPr>
          <w:rFonts w:ascii="Times New Roman" w:hAnsi="Times New Roman"/>
          <w:sz w:val="24"/>
          <w:szCs w:val="24"/>
        </w:rPr>
      </w:pPr>
      <w:r w:rsidRPr="00684335">
        <w:rPr>
          <w:rFonts w:ascii="Times New Roman" w:hAnsi="Times New Roman"/>
          <w:sz w:val="24"/>
          <w:szCs w:val="24"/>
        </w:rPr>
        <w:t>Thatthe</w:t>
      </w:r>
      <w:r w:rsidR="004E39D3" w:rsidRPr="00684335">
        <w:rPr>
          <w:rFonts w:ascii="Times New Roman" w:hAnsi="Times New Roman"/>
          <w:sz w:val="24"/>
          <w:szCs w:val="24"/>
        </w:rPr>
        <w:t xml:space="preserve"> Minister of Finance, the Minister of Transport, the Minster of Corporative Government and Traditional Affairs, </w:t>
      </w:r>
      <w:r w:rsidR="00F26BB8">
        <w:rPr>
          <w:rFonts w:ascii="Times New Roman" w:hAnsi="Times New Roman"/>
          <w:sz w:val="24"/>
          <w:szCs w:val="24"/>
        </w:rPr>
        <w:t xml:space="preserve">and </w:t>
      </w:r>
      <w:r w:rsidR="004E39D3" w:rsidRPr="00684335">
        <w:rPr>
          <w:rFonts w:ascii="Times New Roman" w:hAnsi="Times New Roman"/>
          <w:sz w:val="24"/>
          <w:szCs w:val="24"/>
        </w:rPr>
        <w:t>the South African Loca</w:t>
      </w:r>
      <w:r w:rsidR="006E2080" w:rsidRPr="00684335">
        <w:rPr>
          <w:rFonts w:ascii="Times New Roman" w:hAnsi="Times New Roman"/>
          <w:sz w:val="24"/>
          <w:szCs w:val="24"/>
        </w:rPr>
        <w:t>l Government Association</w:t>
      </w:r>
      <w:r w:rsidR="00AF06E0">
        <w:rPr>
          <w:rFonts w:ascii="Times New Roman" w:hAnsi="Times New Roman"/>
          <w:sz w:val="24"/>
          <w:szCs w:val="24"/>
        </w:rPr>
        <w:t xml:space="preserve">, </w:t>
      </w:r>
      <w:r>
        <w:rPr>
          <w:rFonts w:ascii="Times New Roman" w:hAnsi="Times New Roman"/>
          <w:sz w:val="24"/>
          <w:szCs w:val="24"/>
        </w:rPr>
        <w:t>Msunduzi, Buffalo City, and Mbo</w:t>
      </w:r>
      <w:r w:rsidR="00AF06E0">
        <w:rPr>
          <w:rFonts w:ascii="Times New Roman" w:hAnsi="Times New Roman"/>
          <w:sz w:val="24"/>
          <w:szCs w:val="24"/>
        </w:rPr>
        <w:t>mbela municipalities</w:t>
      </w:r>
      <w:r w:rsidR="00F26BB8">
        <w:rPr>
          <w:rFonts w:ascii="Times New Roman" w:hAnsi="Times New Roman"/>
          <w:sz w:val="24"/>
          <w:szCs w:val="24"/>
        </w:rPr>
        <w:t>should</w:t>
      </w:r>
      <w:r w:rsidR="004E39D3" w:rsidRPr="00684335">
        <w:rPr>
          <w:rFonts w:ascii="Times New Roman" w:hAnsi="Times New Roman"/>
          <w:sz w:val="24"/>
          <w:szCs w:val="24"/>
        </w:rPr>
        <w:t xml:space="preserve"> report </w:t>
      </w:r>
      <w:r w:rsidR="006E2080" w:rsidRPr="00684335">
        <w:rPr>
          <w:rFonts w:ascii="Times New Roman" w:hAnsi="Times New Roman"/>
          <w:sz w:val="24"/>
          <w:szCs w:val="24"/>
        </w:rPr>
        <w:t>on the possible</w:t>
      </w:r>
      <w:r w:rsidR="004E39D3" w:rsidRPr="00684335">
        <w:rPr>
          <w:rFonts w:ascii="Times New Roman" w:hAnsi="Times New Roman"/>
          <w:sz w:val="24"/>
          <w:szCs w:val="24"/>
        </w:rPr>
        <w:t xml:space="preserve"> financial and service delivery implication</w:t>
      </w:r>
      <w:r w:rsidR="006E2080" w:rsidRPr="00684335">
        <w:rPr>
          <w:rFonts w:ascii="Times New Roman" w:hAnsi="Times New Roman"/>
          <w:sz w:val="24"/>
          <w:szCs w:val="24"/>
        </w:rPr>
        <w:t>s</w:t>
      </w:r>
      <w:r w:rsidR="004E39D3" w:rsidRPr="00684335">
        <w:rPr>
          <w:rFonts w:ascii="Times New Roman" w:hAnsi="Times New Roman"/>
          <w:sz w:val="24"/>
          <w:szCs w:val="24"/>
        </w:rPr>
        <w:t xml:space="preserve"> resulting from the R4.3 billion </w:t>
      </w:r>
      <w:r w:rsidR="003B6E32" w:rsidRPr="00684335">
        <w:rPr>
          <w:rFonts w:ascii="Times New Roman" w:hAnsi="Times New Roman"/>
          <w:sz w:val="24"/>
          <w:szCs w:val="24"/>
        </w:rPr>
        <w:t>reductions</w:t>
      </w:r>
      <w:r w:rsidR="004E39D3" w:rsidRPr="00684335">
        <w:rPr>
          <w:rFonts w:ascii="Times New Roman" w:hAnsi="Times New Roman"/>
          <w:sz w:val="24"/>
          <w:szCs w:val="24"/>
        </w:rPr>
        <w:t xml:space="preserve"> in the Public Transport Network Grant over the </w:t>
      </w:r>
      <w:r w:rsidR="006E2080" w:rsidRPr="00684335">
        <w:rPr>
          <w:rFonts w:ascii="Times New Roman" w:hAnsi="Times New Roman"/>
          <w:sz w:val="24"/>
          <w:szCs w:val="24"/>
        </w:rPr>
        <w:t xml:space="preserve">MTEF. The </w:t>
      </w:r>
      <w:r w:rsidR="00AF06E0">
        <w:rPr>
          <w:rFonts w:ascii="Times New Roman" w:hAnsi="Times New Roman"/>
          <w:sz w:val="24"/>
          <w:szCs w:val="24"/>
        </w:rPr>
        <w:t>afore-</w:t>
      </w:r>
      <w:r w:rsidR="003A5B59">
        <w:rPr>
          <w:rFonts w:ascii="Times New Roman" w:hAnsi="Times New Roman"/>
          <w:sz w:val="24"/>
          <w:szCs w:val="24"/>
        </w:rPr>
        <w:t xml:space="preserve">mentioned </w:t>
      </w:r>
      <w:r w:rsidR="006E2080" w:rsidRPr="00684335">
        <w:rPr>
          <w:rFonts w:ascii="Times New Roman" w:hAnsi="Times New Roman"/>
          <w:sz w:val="24"/>
          <w:szCs w:val="24"/>
        </w:rPr>
        <w:t>partiesshould report to the Committee as follows</w:t>
      </w:r>
      <w:r w:rsidR="004E39D3" w:rsidRPr="00684335">
        <w:rPr>
          <w:rFonts w:ascii="Times New Roman" w:hAnsi="Times New Roman"/>
          <w:sz w:val="24"/>
          <w:szCs w:val="24"/>
        </w:rPr>
        <w:t xml:space="preserve">; </w:t>
      </w:r>
    </w:p>
    <w:p w:rsidR="004E39D3" w:rsidRPr="00684335" w:rsidRDefault="006E2080" w:rsidP="00D62EC9">
      <w:pPr>
        <w:pStyle w:val="ListParagraph"/>
        <w:numPr>
          <w:ilvl w:val="0"/>
          <w:numId w:val="11"/>
        </w:numPr>
        <w:spacing w:after="0" w:line="360" w:lineRule="auto"/>
        <w:ind w:left="1134" w:hanging="381"/>
        <w:jc w:val="both"/>
        <w:rPr>
          <w:rFonts w:ascii="Times New Roman" w:hAnsi="Times New Roman"/>
          <w:sz w:val="24"/>
          <w:szCs w:val="24"/>
        </w:rPr>
      </w:pPr>
      <w:r w:rsidRPr="00684335">
        <w:rPr>
          <w:rFonts w:ascii="Times New Roman" w:hAnsi="Times New Roman"/>
          <w:sz w:val="24"/>
          <w:szCs w:val="24"/>
        </w:rPr>
        <w:t xml:space="preserve">The Minister of Finance should </w:t>
      </w:r>
      <w:r w:rsidR="004E39D3" w:rsidRPr="00684335">
        <w:rPr>
          <w:rFonts w:ascii="Times New Roman" w:hAnsi="Times New Roman"/>
          <w:sz w:val="24"/>
          <w:szCs w:val="24"/>
        </w:rPr>
        <w:t>demo</w:t>
      </w:r>
      <w:r w:rsidRPr="00684335">
        <w:rPr>
          <w:rFonts w:ascii="Times New Roman" w:hAnsi="Times New Roman"/>
          <w:sz w:val="24"/>
          <w:szCs w:val="24"/>
        </w:rPr>
        <w:t>nstrate</w:t>
      </w:r>
      <w:r w:rsidR="004E39D3" w:rsidRPr="00684335">
        <w:rPr>
          <w:rFonts w:ascii="Times New Roman" w:hAnsi="Times New Roman"/>
          <w:sz w:val="24"/>
          <w:szCs w:val="24"/>
        </w:rPr>
        <w:t xml:space="preserve"> how</w:t>
      </w:r>
      <w:r w:rsidRPr="00684335">
        <w:rPr>
          <w:rFonts w:ascii="Times New Roman" w:hAnsi="Times New Roman"/>
          <w:sz w:val="24"/>
          <w:szCs w:val="24"/>
        </w:rPr>
        <w:t>,</w:t>
      </w:r>
      <w:r w:rsidR="004E39D3" w:rsidRPr="00684335">
        <w:rPr>
          <w:rFonts w:ascii="Times New Roman" w:hAnsi="Times New Roman"/>
          <w:sz w:val="24"/>
          <w:szCs w:val="24"/>
        </w:rPr>
        <w:t xml:space="preserve"> over the </w:t>
      </w:r>
      <w:r w:rsidR="00AF06E0" w:rsidRPr="00684335">
        <w:rPr>
          <w:rFonts w:ascii="Times New Roman" w:hAnsi="Times New Roman"/>
          <w:sz w:val="24"/>
          <w:szCs w:val="24"/>
        </w:rPr>
        <w:t>years, this</w:t>
      </w:r>
      <w:r w:rsidR="004E39D3" w:rsidRPr="00684335">
        <w:rPr>
          <w:rFonts w:ascii="Times New Roman" w:hAnsi="Times New Roman"/>
          <w:sz w:val="24"/>
          <w:szCs w:val="24"/>
        </w:rPr>
        <w:t xml:space="preserve"> grant </w:t>
      </w:r>
      <w:r w:rsidRPr="00684335">
        <w:rPr>
          <w:rFonts w:ascii="Times New Roman" w:hAnsi="Times New Roman"/>
          <w:sz w:val="24"/>
          <w:szCs w:val="24"/>
        </w:rPr>
        <w:t xml:space="preserve">has </w:t>
      </w:r>
      <w:r w:rsidR="004E39D3" w:rsidRPr="00684335">
        <w:rPr>
          <w:rFonts w:ascii="Times New Roman" w:hAnsi="Times New Roman"/>
          <w:sz w:val="24"/>
          <w:szCs w:val="24"/>
        </w:rPr>
        <w:t>underperformed in these affected municipalities, what has been the expenditure pattern</w:t>
      </w:r>
      <w:r w:rsidR="00AF06E0">
        <w:rPr>
          <w:rFonts w:ascii="Times New Roman" w:hAnsi="Times New Roman"/>
          <w:sz w:val="24"/>
          <w:szCs w:val="24"/>
        </w:rPr>
        <w:t>s</w:t>
      </w:r>
      <w:r w:rsidR="004E39D3" w:rsidRPr="00684335">
        <w:rPr>
          <w:rFonts w:ascii="Times New Roman" w:hAnsi="Times New Roman"/>
          <w:sz w:val="24"/>
          <w:szCs w:val="24"/>
        </w:rPr>
        <w:t xml:space="preserve"> versus infrastructure investment as required by the gra</w:t>
      </w:r>
      <w:r w:rsidRPr="00684335">
        <w:rPr>
          <w:rFonts w:ascii="Times New Roman" w:hAnsi="Times New Roman"/>
          <w:sz w:val="24"/>
          <w:szCs w:val="24"/>
        </w:rPr>
        <w:t xml:space="preserve">nt framework. The Minister </w:t>
      </w:r>
      <w:r w:rsidR="00D62EC9" w:rsidRPr="00684335">
        <w:rPr>
          <w:rFonts w:ascii="Times New Roman" w:hAnsi="Times New Roman"/>
          <w:sz w:val="24"/>
          <w:szCs w:val="24"/>
        </w:rPr>
        <w:t>should also</w:t>
      </w:r>
      <w:r w:rsidR="004E39D3" w:rsidRPr="00684335">
        <w:rPr>
          <w:rFonts w:ascii="Times New Roman" w:hAnsi="Times New Roman"/>
          <w:sz w:val="24"/>
          <w:szCs w:val="24"/>
        </w:rPr>
        <w:t xml:space="preserve"> provide demonstrable evidence that National Treasury has over time assisted th</w:t>
      </w:r>
      <w:r w:rsidR="00AF06E0">
        <w:rPr>
          <w:rFonts w:ascii="Times New Roman" w:hAnsi="Times New Roman"/>
          <w:sz w:val="24"/>
          <w:szCs w:val="24"/>
        </w:rPr>
        <w:t>ese</w:t>
      </w:r>
      <w:r w:rsidR="004E39D3" w:rsidRPr="00684335">
        <w:rPr>
          <w:rFonts w:ascii="Times New Roman" w:hAnsi="Times New Roman"/>
          <w:sz w:val="24"/>
          <w:szCs w:val="24"/>
        </w:rPr>
        <w:t xml:space="preserve"> affected cities without success. </w:t>
      </w:r>
    </w:p>
    <w:p w:rsidR="004E39D3" w:rsidRPr="00684335" w:rsidRDefault="004E39D3" w:rsidP="006E2080">
      <w:pPr>
        <w:pStyle w:val="ListParagraph"/>
        <w:numPr>
          <w:ilvl w:val="0"/>
          <w:numId w:val="11"/>
        </w:numPr>
        <w:spacing w:after="0" w:line="360" w:lineRule="auto"/>
        <w:ind w:left="1134" w:hanging="381"/>
        <w:jc w:val="both"/>
        <w:rPr>
          <w:rFonts w:ascii="Times New Roman" w:hAnsi="Times New Roman"/>
          <w:sz w:val="24"/>
          <w:szCs w:val="24"/>
        </w:rPr>
      </w:pPr>
      <w:r w:rsidRPr="00684335">
        <w:rPr>
          <w:rFonts w:ascii="Times New Roman" w:hAnsi="Times New Roman"/>
          <w:sz w:val="24"/>
          <w:szCs w:val="24"/>
        </w:rPr>
        <w:t xml:space="preserve">The Minister of Transport </w:t>
      </w:r>
      <w:r w:rsidR="00F26BB8">
        <w:rPr>
          <w:rFonts w:ascii="Times New Roman" w:hAnsi="Times New Roman"/>
          <w:sz w:val="24"/>
          <w:szCs w:val="24"/>
        </w:rPr>
        <w:t xml:space="preserve">should </w:t>
      </w:r>
      <w:r w:rsidRPr="00684335">
        <w:rPr>
          <w:rFonts w:ascii="Times New Roman" w:hAnsi="Times New Roman"/>
          <w:sz w:val="24"/>
          <w:szCs w:val="24"/>
        </w:rPr>
        <w:t>explain the steps that the</w:t>
      </w:r>
      <w:r w:rsidR="00375247">
        <w:rPr>
          <w:rFonts w:ascii="Times New Roman" w:hAnsi="Times New Roman"/>
          <w:sz w:val="24"/>
          <w:szCs w:val="24"/>
        </w:rPr>
        <w:t>D</w:t>
      </w:r>
      <w:r w:rsidRPr="00684335">
        <w:rPr>
          <w:rFonts w:ascii="Times New Roman" w:hAnsi="Times New Roman"/>
          <w:sz w:val="24"/>
          <w:szCs w:val="24"/>
        </w:rPr>
        <w:t xml:space="preserve">epartment had taken to assist these cities who are </w:t>
      </w:r>
      <w:r w:rsidR="00375247" w:rsidRPr="003E3B95">
        <w:rPr>
          <w:rFonts w:ascii="Times New Roman" w:hAnsi="Times New Roman"/>
          <w:sz w:val="24"/>
          <w:szCs w:val="24"/>
        </w:rPr>
        <w:t>currently</w:t>
      </w:r>
      <w:r w:rsidR="00AF06E0" w:rsidRPr="003E3B95">
        <w:rPr>
          <w:rFonts w:ascii="Times New Roman" w:hAnsi="Times New Roman"/>
          <w:sz w:val="24"/>
          <w:szCs w:val="24"/>
        </w:rPr>
        <w:t>suspended</w:t>
      </w:r>
      <w:r w:rsidR="006E2080" w:rsidRPr="00684335">
        <w:rPr>
          <w:rFonts w:ascii="Times New Roman" w:hAnsi="Times New Roman"/>
          <w:sz w:val="24"/>
          <w:szCs w:val="24"/>
        </w:rPr>
        <w:t xml:space="preserve"> from the grant</w:t>
      </w:r>
      <w:r w:rsidRPr="00684335">
        <w:rPr>
          <w:rFonts w:ascii="Times New Roman" w:hAnsi="Times New Roman"/>
          <w:sz w:val="24"/>
          <w:szCs w:val="24"/>
        </w:rPr>
        <w:t>. Furthermore</w:t>
      </w:r>
      <w:r w:rsidR="006E2080" w:rsidRPr="00684335">
        <w:rPr>
          <w:rFonts w:ascii="Times New Roman" w:hAnsi="Times New Roman"/>
          <w:sz w:val="24"/>
          <w:szCs w:val="24"/>
        </w:rPr>
        <w:t>, the Minister of Transport should</w:t>
      </w:r>
      <w:r w:rsidRPr="00684335">
        <w:rPr>
          <w:rFonts w:ascii="Times New Roman" w:hAnsi="Times New Roman"/>
          <w:sz w:val="24"/>
          <w:szCs w:val="24"/>
        </w:rPr>
        <w:t xml:space="preserve"> provide a report on the possible implications </w:t>
      </w:r>
      <w:r w:rsidRPr="00065998">
        <w:rPr>
          <w:rFonts w:ascii="Times New Roman" w:hAnsi="Times New Roman"/>
          <w:sz w:val="24"/>
          <w:szCs w:val="24"/>
        </w:rPr>
        <w:t xml:space="preserve">for </w:t>
      </w:r>
      <w:r w:rsidR="00AF06E0" w:rsidRPr="003E3B95">
        <w:rPr>
          <w:rFonts w:ascii="Times New Roman" w:hAnsi="Times New Roman"/>
          <w:sz w:val="24"/>
          <w:szCs w:val="24"/>
        </w:rPr>
        <w:t>the suspension of</w:t>
      </w:r>
      <w:r w:rsidRPr="00684335">
        <w:rPr>
          <w:rFonts w:ascii="Times New Roman" w:hAnsi="Times New Roman"/>
          <w:sz w:val="24"/>
          <w:szCs w:val="24"/>
        </w:rPr>
        <w:t xml:space="preserve"> these cities</w:t>
      </w:r>
      <w:r w:rsidR="00AF06E0">
        <w:rPr>
          <w:rFonts w:ascii="Times New Roman" w:hAnsi="Times New Roman"/>
          <w:sz w:val="24"/>
          <w:szCs w:val="24"/>
        </w:rPr>
        <w:t xml:space="preserve"> from the grant </w:t>
      </w:r>
      <w:r w:rsidRPr="00684335">
        <w:rPr>
          <w:rFonts w:ascii="Times New Roman" w:hAnsi="Times New Roman"/>
          <w:sz w:val="24"/>
          <w:szCs w:val="24"/>
        </w:rPr>
        <w:t>in light of what the Department of Transport’s public transport strategy envisage</w:t>
      </w:r>
      <w:r w:rsidR="00AF06E0">
        <w:rPr>
          <w:rFonts w:ascii="Times New Roman" w:hAnsi="Times New Roman"/>
          <w:sz w:val="24"/>
          <w:szCs w:val="24"/>
        </w:rPr>
        <w:t>s</w:t>
      </w:r>
      <w:r w:rsidRPr="00684335">
        <w:rPr>
          <w:rFonts w:ascii="Times New Roman" w:hAnsi="Times New Roman"/>
          <w:sz w:val="24"/>
          <w:szCs w:val="24"/>
        </w:rPr>
        <w:t xml:space="preserve">. </w:t>
      </w:r>
    </w:p>
    <w:p w:rsidR="004E39D3" w:rsidRPr="00684335" w:rsidRDefault="004E39D3" w:rsidP="006E2080">
      <w:pPr>
        <w:pStyle w:val="ListParagraph"/>
        <w:numPr>
          <w:ilvl w:val="0"/>
          <w:numId w:val="11"/>
        </w:numPr>
        <w:spacing w:after="0" w:line="360" w:lineRule="auto"/>
        <w:ind w:left="1134" w:hanging="381"/>
        <w:jc w:val="both"/>
        <w:rPr>
          <w:rFonts w:ascii="Times New Roman" w:hAnsi="Times New Roman"/>
          <w:sz w:val="24"/>
          <w:szCs w:val="24"/>
        </w:rPr>
      </w:pPr>
      <w:r w:rsidRPr="00684335">
        <w:rPr>
          <w:rFonts w:ascii="Times New Roman" w:hAnsi="Times New Roman"/>
          <w:sz w:val="24"/>
          <w:szCs w:val="24"/>
        </w:rPr>
        <w:lastRenderedPageBreak/>
        <w:t xml:space="preserve">The Minister of Corporative Government and Traditional Affairs </w:t>
      </w:r>
      <w:r w:rsidR="006E2080" w:rsidRPr="00684335">
        <w:rPr>
          <w:rFonts w:ascii="Times New Roman" w:hAnsi="Times New Roman"/>
          <w:sz w:val="24"/>
          <w:szCs w:val="24"/>
        </w:rPr>
        <w:t xml:space="preserve">should </w:t>
      </w:r>
      <w:r w:rsidR="008E5737">
        <w:rPr>
          <w:rFonts w:ascii="Times New Roman" w:hAnsi="Times New Roman"/>
          <w:sz w:val="24"/>
          <w:szCs w:val="24"/>
        </w:rPr>
        <w:t xml:space="preserve">clarify </w:t>
      </w:r>
      <w:r w:rsidR="008E5737" w:rsidRPr="00684335">
        <w:rPr>
          <w:rFonts w:ascii="Times New Roman" w:hAnsi="Times New Roman"/>
          <w:sz w:val="24"/>
          <w:szCs w:val="24"/>
        </w:rPr>
        <w:t>the</w:t>
      </w:r>
      <w:r w:rsidRPr="00684335">
        <w:rPr>
          <w:rFonts w:ascii="Times New Roman" w:hAnsi="Times New Roman"/>
          <w:sz w:val="24"/>
          <w:szCs w:val="24"/>
        </w:rPr>
        <w:t xml:space="preserve"> steps that the department implemented overtime in order to fast-track the implementation of this grant and what appears to be </w:t>
      </w:r>
      <w:r w:rsidR="003E3B95" w:rsidRPr="00684335">
        <w:rPr>
          <w:rFonts w:ascii="Times New Roman" w:hAnsi="Times New Roman"/>
          <w:sz w:val="24"/>
          <w:szCs w:val="24"/>
        </w:rPr>
        <w:t>the challenges</w:t>
      </w:r>
      <w:r w:rsidRPr="00684335">
        <w:rPr>
          <w:rFonts w:ascii="Times New Roman" w:hAnsi="Times New Roman"/>
          <w:sz w:val="24"/>
          <w:szCs w:val="24"/>
        </w:rPr>
        <w:t xml:space="preserve"> in these cities</w:t>
      </w:r>
      <w:r w:rsidR="000804EF">
        <w:rPr>
          <w:rFonts w:ascii="Times New Roman" w:hAnsi="Times New Roman"/>
          <w:sz w:val="24"/>
          <w:szCs w:val="24"/>
        </w:rPr>
        <w:t xml:space="preserve"> and how COGTA was assisting these municipalities through available intergovernmental processes</w:t>
      </w:r>
      <w:r w:rsidRPr="00684335">
        <w:rPr>
          <w:rFonts w:ascii="Times New Roman" w:hAnsi="Times New Roman"/>
          <w:sz w:val="24"/>
          <w:szCs w:val="24"/>
        </w:rPr>
        <w:t>.</w:t>
      </w:r>
    </w:p>
    <w:p w:rsidR="004E39D3" w:rsidRDefault="004E39D3" w:rsidP="006E2080">
      <w:pPr>
        <w:pStyle w:val="ListParagraph"/>
        <w:numPr>
          <w:ilvl w:val="0"/>
          <w:numId w:val="11"/>
        </w:numPr>
        <w:spacing w:after="0" w:line="360" w:lineRule="auto"/>
        <w:ind w:left="1134" w:hanging="381"/>
        <w:jc w:val="both"/>
        <w:rPr>
          <w:rFonts w:ascii="Times New Roman" w:hAnsi="Times New Roman"/>
          <w:sz w:val="24"/>
          <w:szCs w:val="24"/>
        </w:rPr>
      </w:pPr>
      <w:r w:rsidRPr="00684335">
        <w:rPr>
          <w:rFonts w:ascii="Times New Roman" w:hAnsi="Times New Roman"/>
          <w:sz w:val="24"/>
          <w:szCs w:val="24"/>
        </w:rPr>
        <w:t>The South African L</w:t>
      </w:r>
      <w:r w:rsidR="006E2080" w:rsidRPr="00684335">
        <w:rPr>
          <w:rFonts w:ascii="Times New Roman" w:hAnsi="Times New Roman"/>
          <w:sz w:val="24"/>
          <w:szCs w:val="24"/>
        </w:rPr>
        <w:t xml:space="preserve">ocal Government Association </w:t>
      </w:r>
      <w:r w:rsidRPr="00684335">
        <w:rPr>
          <w:rFonts w:ascii="Times New Roman" w:hAnsi="Times New Roman"/>
          <w:sz w:val="24"/>
          <w:szCs w:val="24"/>
        </w:rPr>
        <w:t>clarif</w:t>
      </w:r>
      <w:r w:rsidR="00AF06E0">
        <w:rPr>
          <w:rFonts w:ascii="Times New Roman" w:hAnsi="Times New Roman"/>
          <w:sz w:val="24"/>
          <w:szCs w:val="24"/>
        </w:rPr>
        <w:t>ies</w:t>
      </w:r>
      <w:r w:rsidRPr="00684335">
        <w:rPr>
          <w:rFonts w:ascii="Times New Roman" w:hAnsi="Times New Roman"/>
          <w:sz w:val="24"/>
          <w:szCs w:val="24"/>
        </w:rPr>
        <w:t xml:space="preserve"> its role in assisting municipalities and cities </w:t>
      </w:r>
      <w:r w:rsidR="006E2080" w:rsidRPr="00684335">
        <w:rPr>
          <w:rFonts w:ascii="Times New Roman" w:hAnsi="Times New Roman"/>
          <w:sz w:val="24"/>
          <w:szCs w:val="24"/>
        </w:rPr>
        <w:t xml:space="preserve">with the </w:t>
      </w:r>
      <w:r w:rsidRPr="00684335">
        <w:rPr>
          <w:rFonts w:ascii="Times New Roman" w:hAnsi="Times New Roman"/>
          <w:sz w:val="24"/>
          <w:szCs w:val="24"/>
        </w:rPr>
        <w:t>implement</w:t>
      </w:r>
      <w:r w:rsidR="006E2080" w:rsidRPr="00684335">
        <w:rPr>
          <w:rFonts w:ascii="Times New Roman" w:hAnsi="Times New Roman"/>
          <w:sz w:val="24"/>
          <w:szCs w:val="24"/>
        </w:rPr>
        <w:t>ation of the Public Transport Network G</w:t>
      </w:r>
      <w:r w:rsidRPr="00684335">
        <w:rPr>
          <w:rFonts w:ascii="Times New Roman" w:hAnsi="Times New Roman"/>
          <w:sz w:val="24"/>
          <w:szCs w:val="24"/>
        </w:rPr>
        <w:t xml:space="preserve">rant and what has been done to address the challenges faced by these cities in spending this grant according to the grant framework. </w:t>
      </w:r>
      <w:r w:rsidR="000804EF">
        <w:rPr>
          <w:rFonts w:ascii="Times New Roman" w:hAnsi="Times New Roman"/>
          <w:sz w:val="24"/>
          <w:szCs w:val="24"/>
        </w:rPr>
        <w:t xml:space="preserve">SALGA </w:t>
      </w:r>
      <w:r w:rsidR="00F26BB8">
        <w:rPr>
          <w:rFonts w:ascii="Times New Roman" w:hAnsi="Times New Roman"/>
          <w:sz w:val="24"/>
          <w:szCs w:val="24"/>
        </w:rPr>
        <w:t>should</w:t>
      </w:r>
      <w:r w:rsidR="000804EF">
        <w:rPr>
          <w:rFonts w:ascii="Times New Roman" w:hAnsi="Times New Roman"/>
          <w:sz w:val="24"/>
          <w:szCs w:val="24"/>
        </w:rPr>
        <w:t xml:space="preserve"> also clarify the service delivery implications of the immediate </w:t>
      </w:r>
      <w:r w:rsidR="00AF06E0">
        <w:rPr>
          <w:rFonts w:ascii="Times New Roman" w:hAnsi="Times New Roman"/>
          <w:sz w:val="24"/>
          <w:szCs w:val="24"/>
        </w:rPr>
        <w:t>suspension</w:t>
      </w:r>
      <w:r w:rsidR="000804EF">
        <w:rPr>
          <w:rFonts w:ascii="Times New Roman" w:hAnsi="Times New Roman"/>
          <w:sz w:val="24"/>
          <w:szCs w:val="24"/>
        </w:rPr>
        <w:t xml:space="preserve"> of these cities in this grant.</w:t>
      </w:r>
    </w:p>
    <w:p w:rsidR="00EF6EF8" w:rsidRPr="00375247" w:rsidRDefault="005310A6" w:rsidP="00EF6EF8">
      <w:pPr>
        <w:pStyle w:val="ListParagraph"/>
        <w:numPr>
          <w:ilvl w:val="0"/>
          <w:numId w:val="11"/>
        </w:numPr>
        <w:spacing w:after="0" w:line="360" w:lineRule="auto"/>
        <w:ind w:left="1134" w:hanging="381"/>
        <w:jc w:val="both"/>
        <w:rPr>
          <w:rFonts w:ascii="Times New Roman" w:hAnsi="Times New Roman"/>
          <w:sz w:val="24"/>
          <w:szCs w:val="24"/>
        </w:rPr>
      </w:pPr>
      <w:r w:rsidRPr="003E3B95">
        <w:rPr>
          <w:rFonts w:ascii="Times New Roman" w:hAnsi="Times New Roman"/>
          <w:sz w:val="24"/>
          <w:szCs w:val="24"/>
        </w:rPr>
        <w:t>That t</w:t>
      </w:r>
      <w:r w:rsidR="00EF6EF8" w:rsidRPr="00375247">
        <w:rPr>
          <w:rFonts w:ascii="Times New Roman" w:hAnsi="Times New Roman"/>
          <w:sz w:val="24"/>
          <w:szCs w:val="24"/>
        </w:rPr>
        <w:t xml:space="preserve">he Mbombela, Buffalo City, and Msunduzi </w:t>
      </w:r>
      <w:r w:rsidR="003E3B95">
        <w:rPr>
          <w:rFonts w:ascii="Times New Roman" w:hAnsi="Times New Roman"/>
          <w:sz w:val="24"/>
          <w:szCs w:val="24"/>
        </w:rPr>
        <w:t xml:space="preserve">municipalities </w:t>
      </w:r>
      <w:r w:rsidR="00EF6EF8" w:rsidRPr="00375247">
        <w:rPr>
          <w:rFonts w:ascii="Times New Roman" w:hAnsi="Times New Roman"/>
          <w:sz w:val="24"/>
          <w:szCs w:val="24"/>
        </w:rPr>
        <w:t xml:space="preserve">should appear before the Committee to explain in details the challenges faced by these cities in spending and implementing the public network grant according to the grant framework. </w:t>
      </w:r>
      <w:r w:rsidRPr="003E3B95">
        <w:rPr>
          <w:rFonts w:ascii="Times New Roman" w:hAnsi="Times New Roman"/>
          <w:sz w:val="24"/>
          <w:szCs w:val="24"/>
        </w:rPr>
        <w:t xml:space="preserve">These </w:t>
      </w:r>
      <w:r w:rsidR="00375247" w:rsidRPr="00375247">
        <w:rPr>
          <w:rFonts w:ascii="Times New Roman" w:hAnsi="Times New Roman"/>
          <w:sz w:val="24"/>
          <w:szCs w:val="24"/>
        </w:rPr>
        <w:t>municipalities</w:t>
      </w:r>
      <w:r w:rsidR="00EF6EF8" w:rsidRPr="00375247">
        <w:rPr>
          <w:rFonts w:ascii="Times New Roman" w:hAnsi="Times New Roman"/>
          <w:sz w:val="24"/>
          <w:szCs w:val="24"/>
        </w:rPr>
        <w:t xml:space="preserve"> should provide evidence on where they have </w:t>
      </w:r>
      <w:r w:rsidR="00EF6EF8" w:rsidRPr="003E3B95">
        <w:rPr>
          <w:rFonts w:ascii="Times New Roman" w:hAnsi="Times New Roman"/>
          <w:sz w:val="24"/>
          <w:szCs w:val="24"/>
        </w:rPr>
        <w:t xml:space="preserve">solicited assistance in form other government structures in order to spend this grant and provide these important services to the communities in these cities. </w:t>
      </w:r>
      <w:r w:rsidRPr="003E3B95">
        <w:rPr>
          <w:rFonts w:ascii="Times New Roman" w:hAnsi="Times New Roman"/>
          <w:sz w:val="24"/>
          <w:szCs w:val="24"/>
        </w:rPr>
        <w:t>The i</w:t>
      </w:r>
      <w:r w:rsidR="00EF6EF8" w:rsidRPr="00375247">
        <w:rPr>
          <w:rFonts w:ascii="Times New Roman" w:hAnsi="Times New Roman"/>
          <w:sz w:val="24"/>
          <w:szCs w:val="24"/>
        </w:rPr>
        <w:t>mplication</w:t>
      </w:r>
      <w:r w:rsidRPr="003E3B95">
        <w:rPr>
          <w:rFonts w:ascii="Times New Roman" w:hAnsi="Times New Roman"/>
          <w:sz w:val="24"/>
          <w:szCs w:val="24"/>
        </w:rPr>
        <w:t>s</w:t>
      </w:r>
      <w:r w:rsidR="00EF6EF8" w:rsidRPr="00375247">
        <w:rPr>
          <w:rFonts w:ascii="Times New Roman" w:hAnsi="Times New Roman"/>
          <w:sz w:val="24"/>
          <w:szCs w:val="24"/>
        </w:rPr>
        <w:t xml:space="preserve"> on service delivery and job creati</w:t>
      </w:r>
      <w:r w:rsidR="00EF6EF8" w:rsidRPr="003E3B95">
        <w:rPr>
          <w:rFonts w:ascii="Times New Roman" w:hAnsi="Times New Roman"/>
          <w:sz w:val="24"/>
          <w:szCs w:val="24"/>
        </w:rPr>
        <w:t xml:space="preserve">on in these cities </w:t>
      </w:r>
      <w:r w:rsidRPr="003E3B95">
        <w:rPr>
          <w:rFonts w:ascii="Times New Roman" w:hAnsi="Times New Roman"/>
          <w:sz w:val="24"/>
          <w:szCs w:val="24"/>
        </w:rPr>
        <w:t xml:space="preserve">should also be highlighted. </w:t>
      </w:r>
    </w:p>
    <w:p w:rsidR="00EF6EF8" w:rsidRPr="003E3B95" w:rsidRDefault="00EF6EF8" w:rsidP="003E3B95">
      <w:pPr>
        <w:spacing w:after="0" w:line="360" w:lineRule="auto"/>
        <w:ind w:left="753"/>
        <w:jc w:val="both"/>
        <w:rPr>
          <w:rFonts w:ascii="Times New Roman" w:hAnsi="Times New Roman"/>
          <w:sz w:val="24"/>
          <w:szCs w:val="24"/>
        </w:rPr>
      </w:pPr>
    </w:p>
    <w:p w:rsidR="00EF6EF8" w:rsidRPr="007112B5" w:rsidRDefault="00EF6EF8" w:rsidP="00AC035C">
      <w:pPr>
        <w:spacing w:after="0" w:line="240" w:lineRule="auto"/>
        <w:jc w:val="both"/>
        <w:rPr>
          <w:rFonts w:ascii="Times New Roman" w:hAnsi="Times New Roman"/>
          <w:sz w:val="24"/>
          <w:szCs w:val="24"/>
        </w:rPr>
      </w:pPr>
    </w:p>
    <w:p w:rsidR="00AC035C" w:rsidRPr="007112B5" w:rsidRDefault="006B16BE" w:rsidP="00AC035C">
      <w:pPr>
        <w:spacing w:after="0" w:line="240" w:lineRule="auto"/>
        <w:jc w:val="both"/>
        <w:rPr>
          <w:rFonts w:ascii="Times New Roman" w:hAnsi="Times New Roman"/>
          <w:b/>
          <w:color w:val="000000"/>
          <w:spacing w:val="6"/>
          <w:sz w:val="24"/>
          <w:szCs w:val="24"/>
          <w:lang w:eastAsia="en-GB"/>
        </w:rPr>
      </w:pPr>
      <w:r w:rsidRPr="007112B5">
        <w:rPr>
          <w:rFonts w:ascii="Times New Roman" w:hAnsi="Times New Roman"/>
          <w:b/>
          <w:sz w:val="24"/>
          <w:szCs w:val="24"/>
        </w:rPr>
        <w:t>8</w:t>
      </w:r>
      <w:r w:rsidR="00BB0934" w:rsidRPr="007112B5">
        <w:rPr>
          <w:rFonts w:ascii="Times New Roman" w:hAnsi="Times New Roman"/>
          <w:b/>
          <w:sz w:val="24"/>
          <w:szCs w:val="24"/>
        </w:rPr>
        <w:t>.</w:t>
      </w:r>
      <w:r w:rsidR="00AC035C" w:rsidRPr="007112B5">
        <w:rPr>
          <w:rFonts w:ascii="Times New Roman" w:hAnsi="Times New Roman"/>
          <w:sz w:val="24"/>
          <w:szCs w:val="24"/>
        </w:rPr>
        <w:tab/>
      </w:r>
      <w:r w:rsidR="00AC035C" w:rsidRPr="007112B5">
        <w:rPr>
          <w:rFonts w:ascii="Times New Roman" w:hAnsi="Times New Roman"/>
          <w:b/>
          <w:color w:val="000000"/>
          <w:spacing w:val="6"/>
          <w:sz w:val="24"/>
          <w:szCs w:val="24"/>
          <w:lang w:eastAsia="en-GB"/>
        </w:rPr>
        <w:t>Committee’s Recommendation on the Bill</w:t>
      </w:r>
    </w:p>
    <w:p w:rsidR="00AC035C" w:rsidRPr="007112B5" w:rsidRDefault="00AC035C" w:rsidP="00AC035C">
      <w:pPr>
        <w:spacing w:after="0" w:line="240" w:lineRule="auto"/>
        <w:jc w:val="both"/>
        <w:rPr>
          <w:rFonts w:ascii="Times New Roman" w:hAnsi="Times New Roman"/>
          <w:sz w:val="24"/>
          <w:szCs w:val="24"/>
        </w:rPr>
      </w:pPr>
    </w:p>
    <w:p w:rsidR="00A15545" w:rsidRPr="003E3B95" w:rsidRDefault="00AC035C" w:rsidP="00404584">
      <w:pPr>
        <w:autoSpaceDE w:val="0"/>
        <w:autoSpaceDN w:val="0"/>
        <w:adjustRightInd w:val="0"/>
        <w:spacing w:after="0" w:line="360" w:lineRule="auto"/>
        <w:jc w:val="both"/>
        <w:rPr>
          <w:rFonts w:ascii="Times New Roman" w:hAnsi="Times New Roman"/>
          <w:sz w:val="24"/>
          <w:szCs w:val="24"/>
        </w:rPr>
      </w:pPr>
      <w:r w:rsidRPr="007112B5">
        <w:rPr>
          <w:rFonts w:ascii="Times New Roman" w:hAnsi="Times New Roman"/>
          <w:sz w:val="24"/>
          <w:szCs w:val="24"/>
        </w:rPr>
        <w:t xml:space="preserve">The Standing Committee on Appropriations having considered the </w:t>
      </w:r>
      <w:r w:rsidRPr="007112B5">
        <w:rPr>
          <w:rFonts w:ascii="Times New Roman" w:hAnsi="Times New Roman"/>
          <w:b/>
          <w:bCs/>
          <w:i/>
          <w:iCs/>
          <w:sz w:val="24"/>
          <w:szCs w:val="24"/>
        </w:rPr>
        <w:t xml:space="preserve">Division of Revenue Bill </w:t>
      </w:r>
      <w:r w:rsidRPr="007112B5">
        <w:rPr>
          <w:rFonts w:ascii="Times New Roman" w:hAnsi="Times New Roman"/>
          <w:bCs/>
          <w:iCs/>
          <w:sz w:val="24"/>
          <w:szCs w:val="24"/>
        </w:rPr>
        <w:t>[</w:t>
      </w:r>
      <w:r w:rsidR="008F0477" w:rsidRPr="007112B5">
        <w:rPr>
          <w:rFonts w:ascii="Times New Roman" w:hAnsi="Times New Roman"/>
          <w:sz w:val="24"/>
          <w:szCs w:val="24"/>
        </w:rPr>
        <w:t>B3—2020</w:t>
      </w:r>
      <w:r w:rsidRPr="007112B5">
        <w:rPr>
          <w:rFonts w:ascii="Times New Roman" w:hAnsi="Times New Roman"/>
          <w:sz w:val="24"/>
          <w:szCs w:val="24"/>
        </w:rPr>
        <w:t>] (National Assembly) referred to it and classified by the Joint Tagging Mechanism as a section 76 Bill, reports that it ha</w:t>
      </w:r>
      <w:r w:rsidRPr="003D0C07">
        <w:rPr>
          <w:rFonts w:ascii="Times New Roman" w:hAnsi="Times New Roman"/>
          <w:sz w:val="24"/>
          <w:szCs w:val="24"/>
        </w:rPr>
        <w:t xml:space="preserve">s </w:t>
      </w:r>
      <w:r w:rsidRPr="008E5737">
        <w:rPr>
          <w:rFonts w:ascii="Times New Roman" w:hAnsi="Times New Roman"/>
          <w:sz w:val="24"/>
          <w:szCs w:val="24"/>
        </w:rPr>
        <w:t xml:space="preserve">agreed </w:t>
      </w:r>
      <w:r w:rsidR="0012528D" w:rsidRPr="008E5737">
        <w:rPr>
          <w:rFonts w:ascii="Times New Roman" w:hAnsi="Times New Roman"/>
          <w:sz w:val="24"/>
          <w:szCs w:val="24"/>
        </w:rPr>
        <w:t xml:space="preserve">to the </w:t>
      </w:r>
      <w:r w:rsidR="0012528D" w:rsidRPr="003E3B95">
        <w:rPr>
          <w:rFonts w:ascii="Times New Roman" w:hAnsi="Times New Roman"/>
          <w:sz w:val="24"/>
          <w:szCs w:val="24"/>
        </w:rPr>
        <w:t>Billwithout amendments.</w:t>
      </w:r>
    </w:p>
    <w:p w:rsidR="00A15545" w:rsidRPr="00667FEA" w:rsidRDefault="00A15545" w:rsidP="007F5C63">
      <w:pPr>
        <w:spacing w:after="0" w:line="360" w:lineRule="auto"/>
        <w:jc w:val="both"/>
        <w:rPr>
          <w:rFonts w:ascii="Times New Roman" w:hAnsi="Times New Roman"/>
          <w:b/>
          <w:sz w:val="24"/>
          <w:szCs w:val="24"/>
        </w:rPr>
      </w:pPr>
    </w:p>
    <w:p w:rsidR="00AC035C" w:rsidRPr="007112B5" w:rsidRDefault="004406D8" w:rsidP="00F61A73">
      <w:pPr>
        <w:spacing w:after="0" w:line="240" w:lineRule="auto"/>
        <w:jc w:val="both"/>
        <w:rPr>
          <w:rFonts w:ascii="Times New Roman" w:hAnsi="Times New Roman"/>
          <w:b/>
          <w:sz w:val="24"/>
          <w:szCs w:val="24"/>
        </w:rPr>
      </w:pPr>
      <w:r w:rsidRPr="007112B5">
        <w:rPr>
          <w:rFonts w:ascii="Times New Roman" w:hAnsi="Times New Roman"/>
          <w:b/>
          <w:sz w:val="24"/>
          <w:szCs w:val="24"/>
        </w:rPr>
        <w:t>9</w:t>
      </w:r>
      <w:r w:rsidR="00AC035C" w:rsidRPr="007112B5">
        <w:rPr>
          <w:rFonts w:ascii="Times New Roman" w:hAnsi="Times New Roman"/>
          <w:b/>
          <w:sz w:val="24"/>
          <w:szCs w:val="24"/>
        </w:rPr>
        <w:tab/>
        <w:t>Conclusion</w:t>
      </w:r>
    </w:p>
    <w:p w:rsidR="00F61A73" w:rsidRPr="007112B5" w:rsidRDefault="00F61A73" w:rsidP="00F61A73">
      <w:pPr>
        <w:spacing w:after="0" w:line="240" w:lineRule="auto"/>
        <w:jc w:val="both"/>
        <w:rPr>
          <w:rFonts w:ascii="Times New Roman" w:hAnsi="Times New Roman"/>
          <w:b/>
          <w:sz w:val="24"/>
          <w:szCs w:val="24"/>
        </w:rPr>
      </w:pPr>
    </w:p>
    <w:p w:rsidR="00AC035C" w:rsidRPr="007112B5" w:rsidRDefault="00AC035C" w:rsidP="00F61A73">
      <w:pPr>
        <w:spacing w:after="0" w:line="360" w:lineRule="auto"/>
        <w:jc w:val="both"/>
        <w:rPr>
          <w:rFonts w:ascii="Times New Roman" w:hAnsi="Times New Roman"/>
          <w:b/>
          <w:sz w:val="24"/>
          <w:szCs w:val="24"/>
        </w:rPr>
      </w:pPr>
      <w:r w:rsidRPr="007112B5">
        <w:rPr>
          <w:rFonts w:ascii="Times New Roman" w:hAnsi="Times New Roman"/>
          <w:sz w:val="24"/>
          <w:szCs w:val="24"/>
        </w:rPr>
        <w:t>The responses by the relevant Executive Authorities, to the recommendations as</w:t>
      </w:r>
      <w:r w:rsidRPr="007112B5">
        <w:rPr>
          <w:rFonts w:ascii="Times New Roman" w:hAnsi="Times New Roman"/>
          <w:color w:val="000000"/>
          <w:spacing w:val="6"/>
          <w:sz w:val="24"/>
          <w:szCs w:val="24"/>
          <w:lang w:eastAsia="en-GB"/>
        </w:rPr>
        <w:t xml:space="preserve"> set out in section </w:t>
      </w:r>
      <w:r w:rsidR="003D0C07">
        <w:rPr>
          <w:rFonts w:ascii="Times New Roman" w:hAnsi="Times New Roman"/>
          <w:color w:val="000000"/>
          <w:spacing w:val="6"/>
          <w:sz w:val="24"/>
          <w:szCs w:val="24"/>
          <w:lang w:eastAsia="en-GB"/>
        </w:rPr>
        <w:t>7</w:t>
      </w:r>
      <w:r w:rsidRPr="007112B5">
        <w:rPr>
          <w:rFonts w:ascii="Times New Roman" w:hAnsi="Times New Roman"/>
          <w:color w:val="000000"/>
          <w:spacing w:val="6"/>
          <w:sz w:val="24"/>
          <w:szCs w:val="24"/>
          <w:lang w:eastAsia="en-GB"/>
        </w:rPr>
        <w:t xml:space="preserve"> above must be sent to Parliament within 60 days of the adoption of this report by the National Assembly.</w:t>
      </w:r>
    </w:p>
    <w:p w:rsidR="006F222F" w:rsidRPr="007112B5" w:rsidRDefault="006F222F" w:rsidP="00F61A73">
      <w:pPr>
        <w:spacing w:after="0" w:line="360" w:lineRule="auto"/>
        <w:jc w:val="both"/>
        <w:rPr>
          <w:rFonts w:ascii="Times New Roman" w:hAnsi="Times New Roman"/>
          <w:sz w:val="24"/>
          <w:szCs w:val="24"/>
        </w:rPr>
      </w:pPr>
    </w:p>
    <w:p w:rsidR="00BB7783" w:rsidRPr="007112B5" w:rsidRDefault="00BB7783" w:rsidP="00F61A73">
      <w:pPr>
        <w:spacing w:after="0" w:line="360" w:lineRule="auto"/>
        <w:jc w:val="both"/>
        <w:rPr>
          <w:rFonts w:ascii="Times New Roman" w:hAnsi="Times New Roman"/>
          <w:sz w:val="24"/>
          <w:szCs w:val="24"/>
        </w:rPr>
      </w:pPr>
    </w:p>
    <w:p w:rsidR="001B74DF" w:rsidRDefault="00AC035C" w:rsidP="007F5C63">
      <w:pPr>
        <w:spacing w:line="360" w:lineRule="auto"/>
        <w:rPr>
          <w:rFonts w:ascii="Times New Roman" w:hAnsi="Times New Roman"/>
          <w:sz w:val="24"/>
          <w:szCs w:val="24"/>
        </w:rPr>
      </w:pPr>
      <w:r w:rsidRPr="007112B5">
        <w:rPr>
          <w:rFonts w:ascii="Times New Roman" w:hAnsi="Times New Roman"/>
          <w:sz w:val="24"/>
          <w:szCs w:val="24"/>
        </w:rPr>
        <w:lastRenderedPageBreak/>
        <w:t>Report to be considered.</w:t>
      </w:r>
    </w:p>
    <w:p w:rsidR="00C41EDD" w:rsidRDefault="00C41EDD" w:rsidP="007F5C63">
      <w:pPr>
        <w:spacing w:line="360" w:lineRule="auto"/>
        <w:rPr>
          <w:rFonts w:ascii="Times New Roman" w:hAnsi="Times New Roman"/>
          <w:sz w:val="24"/>
          <w:szCs w:val="24"/>
        </w:rPr>
      </w:pPr>
    </w:p>
    <w:p w:rsidR="00C41EDD" w:rsidRDefault="00C41EDD" w:rsidP="007F5C63">
      <w:pPr>
        <w:spacing w:line="360" w:lineRule="auto"/>
        <w:rPr>
          <w:rFonts w:ascii="Times New Roman" w:hAnsi="Times New Roman"/>
          <w:sz w:val="24"/>
          <w:szCs w:val="24"/>
        </w:rPr>
      </w:pPr>
    </w:p>
    <w:p w:rsidR="00C41EDD" w:rsidRDefault="00C41EDD" w:rsidP="00C41EDD">
      <w:pPr>
        <w:spacing w:line="360" w:lineRule="auto"/>
        <w:rPr>
          <w:rFonts w:ascii="Times New Roman" w:hAnsi="Times New Roman"/>
          <w:b/>
          <w:sz w:val="24"/>
          <w:szCs w:val="24"/>
          <w:lang w:val="en-GB"/>
        </w:rPr>
      </w:pPr>
    </w:p>
    <w:p w:rsidR="00183DCB" w:rsidRPr="00C41EDD" w:rsidRDefault="00183DCB" w:rsidP="00C41EDD">
      <w:pPr>
        <w:spacing w:line="360" w:lineRule="auto"/>
        <w:rPr>
          <w:rFonts w:ascii="Times New Roman" w:hAnsi="Times New Roman"/>
          <w:sz w:val="24"/>
          <w:szCs w:val="24"/>
          <w:lang w:val="en-US"/>
        </w:rPr>
      </w:pPr>
    </w:p>
    <w:p w:rsidR="00C41EDD" w:rsidRPr="007112B5" w:rsidRDefault="00C41EDD" w:rsidP="007F5C63">
      <w:pPr>
        <w:spacing w:line="360" w:lineRule="auto"/>
        <w:rPr>
          <w:rFonts w:ascii="Times New Roman" w:hAnsi="Times New Roman"/>
          <w:sz w:val="24"/>
          <w:szCs w:val="24"/>
        </w:rPr>
      </w:pPr>
    </w:p>
    <w:sectPr w:rsidR="00C41EDD" w:rsidRPr="007112B5" w:rsidSect="00C41C43">
      <w:footerReference w:type="even" r:id="rId9"/>
      <w:footerReference w:type="default" r:id="rId10"/>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D6BAE5" w16cid:durableId="203108C0"/>
  <w16cid:commentId w16cid:paraId="1615E0AE" w16cid:durableId="20310944"/>
  <w16cid:commentId w16cid:paraId="11314D37" w16cid:durableId="20310B04"/>
  <w16cid:commentId w16cid:paraId="1C7848D8" w16cid:durableId="20310D25"/>
  <w16cid:commentId w16cid:paraId="34052AE3" w16cid:durableId="20310B94"/>
  <w16cid:commentId w16cid:paraId="07531919" w16cid:durableId="20310DDF"/>
  <w16cid:commentId w16cid:paraId="55DF4B2A" w16cid:durableId="20310E9C"/>
  <w16cid:commentId w16cid:paraId="7DCD24BF" w16cid:durableId="2031116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09A" w:rsidRDefault="00DC709A">
      <w:pPr>
        <w:spacing w:after="0" w:line="240" w:lineRule="auto"/>
      </w:pPr>
      <w:r>
        <w:separator/>
      </w:r>
    </w:p>
  </w:endnote>
  <w:endnote w:type="continuationSeparator" w:id="1">
    <w:p w:rsidR="00DC709A" w:rsidRDefault="00DC7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E0" w:rsidRDefault="00765BAC" w:rsidP="00C41C43">
    <w:pPr>
      <w:pStyle w:val="Footer"/>
      <w:framePr w:wrap="around" w:vAnchor="text" w:hAnchor="margin" w:xAlign="right" w:y="1"/>
      <w:rPr>
        <w:rStyle w:val="PageNumber"/>
      </w:rPr>
    </w:pPr>
    <w:r>
      <w:rPr>
        <w:rStyle w:val="PageNumber"/>
      </w:rPr>
      <w:fldChar w:fldCharType="begin"/>
    </w:r>
    <w:r w:rsidR="00AF06E0">
      <w:rPr>
        <w:rStyle w:val="PageNumber"/>
      </w:rPr>
      <w:instrText xml:space="preserve">PAGE  </w:instrText>
    </w:r>
    <w:r>
      <w:rPr>
        <w:rStyle w:val="PageNumber"/>
      </w:rPr>
      <w:fldChar w:fldCharType="end"/>
    </w:r>
  </w:p>
  <w:p w:rsidR="00AF06E0" w:rsidRDefault="00AF06E0" w:rsidP="00C41C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E0" w:rsidRDefault="00765BAC">
    <w:pPr>
      <w:pStyle w:val="Footer"/>
      <w:jc w:val="right"/>
    </w:pPr>
    <w:r>
      <w:fldChar w:fldCharType="begin"/>
    </w:r>
    <w:r w:rsidR="00AF06E0">
      <w:instrText xml:space="preserve"> PAGE   \* MERGEFORMAT </w:instrText>
    </w:r>
    <w:r>
      <w:fldChar w:fldCharType="separate"/>
    </w:r>
    <w:r w:rsidR="0081119B">
      <w:rPr>
        <w:noProof/>
      </w:rPr>
      <w:t>1</w:t>
    </w:r>
    <w:r>
      <w:fldChar w:fldCharType="end"/>
    </w:r>
  </w:p>
  <w:p w:rsidR="00AF06E0" w:rsidRDefault="00AF06E0" w:rsidP="00C41C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09A" w:rsidRDefault="00DC709A">
      <w:pPr>
        <w:spacing w:after="0" w:line="240" w:lineRule="auto"/>
      </w:pPr>
      <w:r>
        <w:separator/>
      </w:r>
    </w:p>
  </w:footnote>
  <w:footnote w:type="continuationSeparator" w:id="1">
    <w:p w:rsidR="00DC709A" w:rsidRDefault="00DC70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376"/>
    <w:multiLevelType w:val="hybridMultilevel"/>
    <w:tmpl w:val="B6D23D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A05947"/>
    <w:multiLevelType w:val="hybridMultilevel"/>
    <w:tmpl w:val="06E25E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32226E"/>
    <w:multiLevelType w:val="hybridMultilevel"/>
    <w:tmpl w:val="0D361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880077"/>
    <w:multiLevelType w:val="hybridMultilevel"/>
    <w:tmpl w:val="E1180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3B7CA4"/>
    <w:multiLevelType w:val="hybridMultilevel"/>
    <w:tmpl w:val="4A400A9E"/>
    <w:lvl w:ilvl="0" w:tplc="B6241E2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216B3"/>
    <w:multiLevelType w:val="hybridMultilevel"/>
    <w:tmpl w:val="EF589D0E"/>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6">
    <w:nsid w:val="26845D02"/>
    <w:multiLevelType w:val="hybridMultilevel"/>
    <w:tmpl w:val="DF741390"/>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7">
    <w:nsid w:val="39BB0336"/>
    <w:multiLevelType w:val="hybridMultilevel"/>
    <w:tmpl w:val="6630DB18"/>
    <w:lvl w:ilvl="0" w:tplc="E3E46870">
      <w:start w:val="1"/>
      <w:numFmt w:val="lowerLetter"/>
      <w:lvlText w:val="(%1)"/>
      <w:lvlJc w:val="left"/>
      <w:pPr>
        <w:ind w:left="764" w:hanging="360"/>
      </w:pPr>
      <w:rPr>
        <w:rFonts w:ascii="Times New Roman" w:eastAsia="Times New Roman" w:hAnsi="Times New Roman" w:cs="Times New Roman"/>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8">
    <w:nsid w:val="3DCC7818"/>
    <w:multiLevelType w:val="multilevel"/>
    <w:tmpl w:val="B5F4F6B0"/>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408E3E1A"/>
    <w:multiLevelType w:val="hybridMultilevel"/>
    <w:tmpl w:val="63E26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3227A1"/>
    <w:multiLevelType w:val="hybridMultilevel"/>
    <w:tmpl w:val="ECFA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EB641A"/>
    <w:multiLevelType w:val="hybridMultilevel"/>
    <w:tmpl w:val="26B0A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2D13202"/>
    <w:multiLevelType w:val="multilevel"/>
    <w:tmpl w:val="99863F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6ED104B5"/>
    <w:multiLevelType w:val="hybridMultilevel"/>
    <w:tmpl w:val="7CCABC9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num w:numId="1">
    <w:abstractNumId w:val="10"/>
  </w:num>
  <w:num w:numId="2">
    <w:abstractNumId w:val="12"/>
  </w:num>
  <w:num w:numId="3">
    <w:abstractNumId w:val="1"/>
  </w:num>
  <w:num w:numId="4">
    <w:abstractNumId w:val="3"/>
  </w:num>
  <w:num w:numId="5">
    <w:abstractNumId w:val="8"/>
  </w:num>
  <w:num w:numId="6">
    <w:abstractNumId w:val="2"/>
  </w:num>
  <w:num w:numId="7">
    <w:abstractNumId w:val="11"/>
  </w:num>
  <w:num w:numId="8">
    <w:abstractNumId w:val="9"/>
  </w:num>
  <w:num w:numId="9">
    <w:abstractNumId w:val="0"/>
  </w:num>
  <w:num w:numId="10">
    <w:abstractNumId w:val="4"/>
  </w:num>
  <w:num w:numId="11">
    <w:abstractNumId w:val="7"/>
  </w:num>
  <w:num w:numId="12">
    <w:abstractNumId w:val="6"/>
  </w:num>
  <w:num w:numId="13">
    <w:abstractNumId w:val="13"/>
  </w:num>
  <w:num w:numId="1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035C"/>
    <w:rsid w:val="00000EC3"/>
    <w:rsid w:val="000032C6"/>
    <w:rsid w:val="00011D15"/>
    <w:rsid w:val="00012319"/>
    <w:rsid w:val="00012634"/>
    <w:rsid w:val="00024752"/>
    <w:rsid w:val="0002580E"/>
    <w:rsid w:val="000317E5"/>
    <w:rsid w:val="00034A0A"/>
    <w:rsid w:val="00034B02"/>
    <w:rsid w:val="000358E6"/>
    <w:rsid w:val="00035AFB"/>
    <w:rsid w:val="0004290C"/>
    <w:rsid w:val="00043AEC"/>
    <w:rsid w:val="00045E0A"/>
    <w:rsid w:val="00050D3B"/>
    <w:rsid w:val="00050E4D"/>
    <w:rsid w:val="00051694"/>
    <w:rsid w:val="00051D60"/>
    <w:rsid w:val="000523E7"/>
    <w:rsid w:val="000530EB"/>
    <w:rsid w:val="00062C80"/>
    <w:rsid w:val="00065998"/>
    <w:rsid w:val="00066BA7"/>
    <w:rsid w:val="00066D81"/>
    <w:rsid w:val="00071765"/>
    <w:rsid w:val="00073DC0"/>
    <w:rsid w:val="000804EF"/>
    <w:rsid w:val="00081B35"/>
    <w:rsid w:val="00090CA0"/>
    <w:rsid w:val="00092DEA"/>
    <w:rsid w:val="000A009A"/>
    <w:rsid w:val="000A2FD3"/>
    <w:rsid w:val="000A365D"/>
    <w:rsid w:val="000A74D7"/>
    <w:rsid w:val="000B1294"/>
    <w:rsid w:val="000B2D3C"/>
    <w:rsid w:val="000B3356"/>
    <w:rsid w:val="000B3A88"/>
    <w:rsid w:val="000B7BDB"/>
    <w:rsid w:val="000C6482"/>
    <w:rsid w:val="000C7AB4"/>
    <w:rsid w:val="000D40FD"/>
    <w:rsid w:val="000D735E"/>
    <w:rsid w:val="000E581F"/>
    <w:rsid w:val="000F0DE9"/>
    <w:rsid w:val="000F276E"/>
    <w:rsid w:val="000F3307"/>
    <w:rsid w:val="000F39EC"/>
    <w:rsid w:val="000F6CF3"/>
    <w:rsid w:val="00101589"/>
    <w:rsid w:val="00101673"/>
    <w:rsid w:val="00105EBC"/>
    <w:rsid w:val="00112FB8"/>
    <w:rsid w:val="0011482E"/>
    <w:rsid w:val="0012528D"/>
    <w:rsid w:val="00126BBB"/>
    <w:rsid w:val="0013061E"/>
    <w:rsid w:val="00136A23"/>
    <w:rsid w:val="00146CBB"/>
    <w:rsid w:val="00151BBB"/>
    <w:rsid w:val="0015220F"/>
    <w:rsid w:val="001562BC"/>
    <w:rsid w:val="00171AB9"/>
    <w:rsid w:val="00175FBD"/>
    <w:rsid w:val="00177146"/>
    <w:rsid w:val="0017762E"/>
    <w:rsid w:val="00183DCB"/>
    <w:rsid w:val="00192EC0"/>
    <w:rsid w:val="00194195"/>
    <w:rsid w:val="00194681"/>
    <w:rsid w:val="00194CD8"/>
    <w:rsid w:val="001A1908"/>
    <w:rsid w:val="001B3136"/>
    <w:rsid w:val="001B55FE"/>
    <w:rsid w:val="001B74DF"/>
    <w:rsid w:val="001C0E58"/>
    <w:rsid w:val="001D10E0"/>
    <w:rsid w:val="001D2491"/>
    <w:rsid w:val="001D3172"/>
    <w:rsid w:val="001D318E"/>
    <w:rsid w:val="001D330C"/>
    <w:rsid w:val="001E25E7"/>
    <w:rsid w:val="001E7C95"/>
    <w:rsid w:val="001F6D85"/>
    <w:rsid w:val="002104EA"/>
    <w:rsid w:val="00210DCA"/>
    <w:rsid w:val="00215396"/>
    <w:rsid w:val="002262D8"/>
    <w:rsid w:val="002324BC"/>
    <w:rsid w:val="002336BC"/>
    <w:rsid w:val="002339E3"/>
    <w:rsid w:val="00243618"/>
    <w:rsid w:val="00246515"/>
    <w:rsid w:val="002502F8"/>
    <w:rsid w:val="002506CC"/>
    <w:rsid w:val="002547CA"/>
    <w:rsid w:val="00264B62"/>
    <w:rsid w:val="00266884"/>
    <w:rsid w:val="002673E4"/>
    <w:rsid w:val="00272A9D"/>
    <w:rsid w:val="00277338"/>
    <w:rsid w:val="0027741A"/>
    <w:rsid w:val="002827F1"/>
    <w:rsid w:val="00296812"/>
    <w:rsid w:val="002A0831"/>
    <w:rsid w:val="002B7217"/>
    <w:rsid w:val="002C0988"/>
    <w:rsid w:val="002C1BE5"/>
    <w:rsid w:val="002C41EB"/>
    <w:rsid w:val="002D3C2E"/>
    <w:rsid w:val="002E12A6"/>
    <w:rsid w:val="002E63F3"/>
    <w:rsid w:val="002E67CF"/>
    <w:rsid w:val="002F1D33"/>
    <w:rsid w:val="002F2D9E"/>
    <w:rsid w:val="002F7144"/>
    <w:rsid w:val="002F73ED"/>
    <w:rsid w:val="0030087A"/>
    <w:rsid w:val="00302146"/>
    <w:rsid w:val="0030343D"/>
    <w:rsid w:val="003043A4"/>
    <w:rsid w:val="0030542F"/>
    <w:rsid w:val="0030590C"/>
    <w:rsid w:val="003137D6"/>
    <w:rsid w:val="00313A5D"/>
    <w:rsid w:val="00321CDE"/>
    <w:rsid w:val="003354FD"/>
    <w:rsid w:val="003360B4"/>
    <w:rsid w:val="003402D5"/>
    <w:rsid w:val="003404EA"/>
    <w:rsid w:val="00340D23"/>
    <w:rsid w:val="003420F0"/>
    <w:rsid w:val="00346779"/>
    <w:rsid w:val="00350BCF"/>
    <w:rsid w:val="0035170A"/>
    <w:rsid w:val="00353123"/>
    <w:rsid w:val="00360963"/>
    <w:rsid w:val="00362429"/>
    <w:rsid w:val="00374D3B"/>
    <w:rsid w:val="00375247"/>
    <w:rsid w:val="003838D5"/>
    <w:rsid w:val="00383AC0"/>
    <w:rsid w:val="003844B4"/>
    <w:rsid w:val="00384C63"/>
    <w:rsid w:val="003920E7"/>
    <w:rsid w:val="00392E67"/>
    <w:rsid w:val="00393500"/>
    <w:rsid w:val="003949B1"/>
    <w:rsid w:val="003A2CCF"/>
    <w:rsid w:val="003A5B59"/>
    <w:rsid w:val="003B3DF9"/>
    <w:rsid w:val="003B6E32"/>
    <w:rsid w:val="003B7885"/>
    <w:rsid w:val="003C15C9"/>
    <w:rsid w:val="003C3689"/>
    <w:rsid w:val="003C3A19"/>
    <w:rsid w:val="003C6B64"/>
    <w:rsid w:val="003D0324"/>
    <w:rsid w:val="003D0C07"/>
    <w:rsid w:val="003D1E6E"/>
    <w:rsid w:val="003D3461"/>
    <w:rsid w:val="003D4FD8"/>
    <w:rsid w:val="003D7069"/>
    <w:rsid w:val="003E0B03"/>
    <w:rsid w:val="003E225E"/>
    <w:rsid w:val="003E3B95"/>
    <w:rsid w:val="003E67CE"/>
    <w:rsid w:val="003F349C"/>
    <w:rsid w:val="003F5A96"/>
    <w:rsid w:val="004009FE"/>
    <w:rsid w:val="00403C6E"/>
    <w:rsid w:val="00404584"/>
    <w:rsid w:val="004064BD"/>
    <w:rsid w:val="00407A97"/>
    <w:rsid w:val="00407BC0"/>
    <w:rsid w:val="00411332"/>
    <w:rsid w:val="00426741"/>
    <w:rsid w:val="00432C4F"/>
    <w:rsid w:val="00433358"/>
    <w:rsid w:val="0043405D"/>
    <w:rsid w:val="004406D8"/>
    <w:rsid w:val="00441767"/>
    <w:rsid w:val="00442615"/>
    <w:rsid w:val="004458A5"/>
    <w:rsid w:val="00445E9E"/>
    <w:rsid w:val="00450358"/>
    <w:rsid w:val="00454312"/>
    <w:rsid w:val="00455867"/>
    <w:rsid w:val="00455E91"/>
    <w:rsid w:val="00460190"/>
    <w:rsid w:val="00461C37"/>
    <w:rsid w:val="0046623C"/>
    <w:rsid w:val="004704ED"/>
    <w:rsid w:val="00472CB2"/>
    <w:rsid w:val="00476083"/>
    <w:rsid w:val="00484496"/>
    <w:rsid w:val="00484AE2"/>
    <w:rsid w:val="00486DD1"/>
    <w:rsid w:val="00496B65"/>
    <w:rsid w:val="004A0F7F"/>
    <w:rsid w:val="004B029A"/>
    <w:rsid w:val="004B5FD3"/>
    <w:rsid w:val="004C255B"/>
    <w:rsid w:val="004C56BD"/>
    <w:rsid w:val="004D44CF"/>
    <w:rsid w:val="004E39D3"/>
    <w:rsid w:val="004F1EC3"/>
    <w:rsid w:val="004F57A9"/>
    <w:rsid w:val="004F6823"/>
    <w:rsid w:val="004F6C28"/>
    <w:rsid w:val="004F708F"/>
    <w:rsid w:val="00510BA1"/>
    <w:rsid w:val="00511BD7"/>
    <w:rsid w:val="005174B4"/>
    <w:rsid w:val="00520960"/>
    <w:rsid w:val="00521EEC"/>
    <w:rsid w:val="00524C8D"/>
    <w:rsid w:val="00524EBC"/>
    <w:rsid w:val="00525028"/>
    <w:rsid w:val="00526F47"/>
    <w:rsid w:val="005310A6"/>
    <w:rsid w:val="00536776"/>
    <w:rsid w:val="00537AC1"/>
    <w:rsid w:val="00552B76"/>
    <w:rsid w:val="005539C2"/>
    <w:rsid w:val="00554BEA"/>
    <w:rsid w:val="005614A0"/>
    <w:rsid w:val="00562980"/>
    <w:rsid w:val="00573579"/>
    <w:rsid w:val="00575196"/>
    <w:rsid w:val="00577F7A"/>
    <w:rsid w:val="0058011F"/>
    <w:rsid w:val="00580842"/>
    <w:rsid w:val="005812B9"/>
    <w:rsid w:val="00590A33"/>
    <w:rsid w:val="00591934"/>
    <w:rsid w:val="00591BC2"/>
    <w:rsid w:val="00596F3F"/>
    <w:rsid w:val="005B0F5A"/>
    <w:rsid w:val="005B6993"/>
    <w:rsid w:val="005B71EA"/>
    <w:rsid w:val="005C2843"/>
    <w:rsid w:val="005C4768"/>
    <w:rsid w:val="005C6200"/>
    <w:rsid w:val="005D0A0E"/>
    <w:rsid w:val="005D262E"/>
    <w:rsid w:val="005D2932"/>
    <w:rsid w:val="005D35AF"/>
    <w:rsid w:val="005D5677"/>
    <w:rsid w:val="005D598F"/>
    <w:rsid w:val="005D5B6E"/>
    <w:rsid w:val="005D6CB0"/>
    <w:rsid w:val="005E0ADB"/>
    <w:rsid w:val="005F1D22"/>
    <w:rsid w:val="005F50FF"/>
    <w:rsid w:val="00604935"/>
    <w:rsid w:val="006061D6"/>
    <w:rsid w:val="00612A3E"/>
    <w:rsid w:val="006156FC"/>
    <w:rsid w:val="00617862"/>
    <w:rsid w:val="006179CF"/>
    <w:rsid w:val="00621020"/>
    <w:rsid w:val="00625272"/>
    <w:rsid w:val="0063243E"/>
    <w:rsid w:val="00634524"/>
    <w:rsid w:val="00652295"/>
    <w:rsid w:val="00652826"/>
    <w:rsid w:val="00653195"/>
    <w:rsid w:val="00655431"/>
    <w:rsid w:val="00657E19"/>
    <w:rsid w:val="00660306"/>
    <w:rsid w:val="00666EA0"/>
    <w:rsid w:val="0066726F"/>
    <w:rsid w:val="00667FEA"/>
    <w:rsid w:val="0067543C"/>
    <w:rsid w:val="00677B63"/>
    <w:rsid w:val="006811DE"/>
    <w:rsid w:val="00684335"/>
    <w:rsid w:val="0069255D"/>
    <w:rsid w:val="00692D11"/>
    <w:rsid w:val="00694AF9"/>
    <w:rsid w:val="006A1A01"/>
    <w:rsid w:val="006A63DB"/>
    <w:rsid w:val="006B16BE"/>
    <w:rsid w:val="006B73C3"/>
    <w:rsid w:val="006C6901"/>
    <w:rsid w:val="006D464E"/>
    <w:rsid w:val="006E1783"/>
    <w:rsid w:val="006E2080"/>
    <w:rsid w:val="006F10E5"/>
    <w:rsid w:val="006F222F"/>
    <w:rsid w:val="00704F67"/>
    <w:rsid w:val="007112B5"/>
    <w:rsid w:val="00715444"/>
    <w:rsid w:val="00722E33"/>
    <w:rsid w:val="00723270"/>
    <w:rsid w:val="007260B1"/>
    <w:rsid w:val="00741B66"/>
    <w:rsid w:val="00743483"/>
    <w:rsid w:val="00750479"/>
    <w:rsid w:val="00750D60"/>
    <w:rsid w:val="00753EC3"/>
    <w:rsid w:val="0076488A"/>
    <w:rsid w:val="00765BAC"/>
    <w:rsid w:val="00765FA5"/>
    <w:rsid w:val="0079078C"/>
    <w:rsid w:val="0079219B"/>
    <w:rsid w:val="007A0454"/>
    <w:rsid w:val="007A1B9F"/>
    <w:rsid w:val="007A36FD"/>
    <w:rsid w:val="007A3F47"/>
    <w:rsid w:val="007A4E2E"/>
    <w:rsid w:val="007B1CC9"/>
    <w:rsid w:val="007B22D2"/>
    <w:rsid w:val="007B2D60"/>
    <w:rsid w:val="007C038B"/>
    <w:rsid w:val="007C055C"/>
    <w:rsid w:val="007C186C"/>
    <w:rsid w:val="007C3843"/>
    <w:rsid w:val="007C4D3F"/>
    <w:rsid w:val="007C5DE3"/>
    <w:rsid w:val="007D2359"/>
    <w:rsid w:val="007D2B60"/>
    <w:rsid w:val="007D3B6E"/>
    <w:rsid w:val="007D4748"/>
    <w:rsid w:val="007D69FD"/>
    <w:rsid w:val="007E19E5"/>
    <w:rsid w:val="007E51A7"/>
    <w:rsid w:val="007E708A"/>
    <w:rsid w:val="007F5C63"/>
    <w:rsid w:val="008041ED"/>
    <w:rsid w:val="00805D7F"/>
    <w:rsid w:val="008101CF"/>
    <w:rsid w:val="0081119B"/>
    <w:rsid w:val="008140E2"/>
    <w:rsid w:val="00826F85"/>
    <w:rsid w:val="00833D65"/>
    <w:rsid w:val="00836AC1"/>
    <w:rsid w:val="00840999"/>
    <w:rsid w:val="008430D3"/>
    <w:rsid w:val="00847F03"/>
    <w:rsid w:val="00855765"/>
    <w:rsid w:val="00855E77"/>
    <w:rsid w:val="00856A86"/>
    <w:rsid w:val="00871FD7"/>
    <w:rsid w:val="00875CDB"/>
    <w:rsid w:val="00875FD1"/>
    <w:rsid w:val="008761F5"/>
    <w:rsid w:val="008800CC"/>
    <w:rsid w:val="008859AD"/>
    <w:rsid w:val="00890752"/>
    <w:rsid w:val="008A67D7"/>
    <w:rsid w:val="008B0944"/>
    <w:rsid w:val="008B51DF"/>
    <w:rsid w:val="008B528F"/>
    <w:rsid w:val="008E33A8"/>
    <w:rsid w:val="008E3CD5"/>
    <w:rsid w:val="008E4E35"/>
    <w:rsid w:val="008E5737"/>
    <w:rsid w:val="008F0477"/>
    <w:rsid w:val="008F3982"/>
    <w:rsid w:val="008F4771"/>
    <w:rsid w:val="009043AA"/>
    <w:rsid w:val="00904BD1"/>
    <w:rsid w:val="00905603"/>
    <w:rsid w:val="00905F18"/>
    <w:rsid w:val="00906367"/>
    <w:rsid w:val="00916357"/>
    <w:rsid w:val="009163CC"/>
    <w:rsid w:val="00920729"/>
    <w:rsid w:val="00922299"/>
    <w:rsid w:val="009251C2"/>
    <w:rsid w:val="00934269"/>
    <w:rsid w:val="0093797D"/>
    <w:rsid w:val="0094324E"/>
    <w:rsid w:val="009476FB"/>
    <w:rsid w:val="00947A56"/>
    <w:rsid w:val="009509B4"/>
    <w:rsid w:val="00953446"/>
    <w:rsid w:val="00953E5A"/>
    <w:rsid w:val="00965B92"/>
    <w:rsid w:val="009749B3"/>
    <w:rsid w:val="009758C2"/>
    <w:rsid w:val="00986F45"/>
    <w:rsid w:val="0099350B"/>
    <w:rsid w:val="009A1A2C"/>
    <w:rsid w:val="009A2267"/>
    <w:rsid w:val="009A72B4"/>
    <w:rsid w:val="009B3560"/>
    <w:rsid w:val="009C0F96"/>
    <w:rsid w:val="009C2F85"/>
    <w:rsid w:val="009C362E"/>
    <w:rsid w:val="009C41BF"/>
    <w:rsid w:val="009C5BD5"/>
    <w:rsid w:val="009D7CDD"/>
    <w:rsid w:val="009E04B4"/>
    <w:rsid w:val="009E31C4"/>
    <w:rsid w:val="009E6333"/>
    <w:rsid w:val="009F1CEE"/>
    <w:rsid w:val="00A15545"/>
    <w:rsid w:val="00A17975"/>
    <w:rsid w:val="00A212FB"/>
    <w:rsid w:val="00A26700"/>
    <w:rsid w:val="00A40847"/>
    <w:rsid w:val="00A434EC"/>
    <w:rsid w:val="00A45E57"/>
    <w:rsid w:val="00A46E61"/>
    <w:rsid w:val="00A55F33"/>
    <w:rsid w:val="00A641F1"/>
    <w:rsid w:val="00A73663"/>
    <w:rsid w:val="00A76F7A"/>
    <w:rsid w:val="00A8393A"/>
    <w:rsid w:val="00A83F7A"/>
    <w:rsid w:val="00A83FFB"/>
    <w:rsid w:val="00A934C1"/>
    <w:rsid w:val="00A94375"/>
    <w:rsid w:val="00AA0158"/>
    <w:rsid w:val="00AA6BA3"/>
    <w:rsid w:val="00AB255D"/>
    <w:rsid w:val="00AC035C"/>
    <w:rsid w:val="00AC5587"/>
    <w:rsid w:val="00AD1000"/>
    <w:rsid w:val="00AF0663"/>
    <w:rsid w:val="00AF06E0"/>
    <w:rsid w:val="00AF0E79"/>
    <w:rsid w:val="00AF174E"/>
    <w:rsid w:val="00AF2412"/>
    <w:rsid w:val="00AF4DA2"/>
    <w:rsid w:val="00B04043"/>
    <w:rsid w:val="00B11B68"/>
    <w:rsid w:val="00B13B9D"/>
    <w:rsid w:val="00B161CB"/>
    <w:rsid w:val="00B21659"/>
    <w:rsid w:val="00B261C3"/>
    <w:rsid w:val="00B27AB5"/>
    <w:rsid w:val="00B30205"/>
    <w:rsid w:val="00B345C0"/>
    <w:rsid w:val="00B43775"/>
    <w:rsid w:val="00B5316F"/>
    <w:rsid w:val="00B5591F"/>
    <w:rsid w:val="00B619AD"/>
    <w:rsid w:val="00B65D35"/>
    <w:rsid w:val="00B65DE2"/>
    <w:rsid w:val="00B713A3"/>
    <w:rsid w:val="00B745FE"/>
    <w:rsid w:val="00B76C60"/>
    <w:rsid w:val="00B84595"/>
    <w:rsid w:val="00B86FB7"/>
    <w:rsid w:val="00B90814"/>
    <w:rsid w:val="00B947C8"/>
    <w:rsid w:val="00BA5050"/>
    <w:rsid w:val="00BA64DC"/>
    <w:rsid w:val="00BB0934"/>
    <w:rsid w:val="00BB3179"/>
    <w:rsid w:val="00BB63F3"/>
    <w:rsid w:val="00BB7783"/>
    <w:rsid w:val="00BD46FF"/>
    <w:rsid w:val="00BD62F4"/>
    <w:rsid w:val="00BE022B"/>
    <w:rsid w:val="00BF1D4D"/>
    <w:rsid w:val="00BF5865"/>
    <w:rsid w:val="00BF676A"/>
    <w:rsid w:val="00BF766F"/>
    <w:rsid w:val="00BF793D"/>
    <w:rsid w:val="00C03329"/>
    <w:rsid w:val="00C164BB"/>
    <w:rsid w:val="00C175E8"/>
    <w:rsid w:val="00C26536"/>
    <w:rsid w:val="00C33F09"/>
    <w:rsid w:val="00C34006"/>
    <w:rsid w:val="00C35812"/>
    <w:rsid w:val="00C369A3"/>
    <w:rsid w:val="00C41C43"/>
    <w:rsid w:val="00C41EDD"/>
    <w:rsid w:val="00C42F3C"/>
    <w:rsid w:val="00C506DF"/>
    <w:rsid w:val="00C55FB6"/>
    <w:rsid w:val="00C65EFB"/>
    <w:rsid w:val="00C715F5"/>
    <w:rsid w:val="00C8227A"/>
    <w:rsid w:val="00C94B46"/>
    <w:rsid w:val="00CA4C39"/>
    <w:rsid w:val="00CA51B4"/>
    <w:rsid w:val="00CA7BAE"/>
    <w:rsid w:val="00CB7EE9"/>
    <w:rsid w:val="00CC3213"/>
    <w:rsid w:val="00CC45F4"/>
    <w:rsid w:val="00CC49CF"/>
    <w:rsid w:val="00CC5BF4"/>
    <w:rsid w:val="00CC7E30"/>
    <w:rsid w:val="00CD0FD3"/>
    <w:rsid w:val="00CD34A1"/>
    <w:rsid w:val="00CD70B6"/>
    <w:rsid w:val="00CD7607"/>
    <w:rsid w:val="00CF25CD"/>
    <w:rsid w:val="00CF280D"/>
    <w:rsid w:val="00CF337C"/>
    <w:rsid w:val="00D0076A"/>
    <w:rsid w:val="00D01A8B"/>
    <w:rsid w:val="00D03BDE"/>
    <w:rsid w:val="00D10758"/>
    <w:rsid w:val="00D17BE9"/>
    <w:rsid w:val="00D23530"/>
    <w:rsid w:val="00D2395E"/>
    <w:rsid w:val="00D26702"/>
    <w:rsid w:val="00D3455C"/>
    <w:rsid w:val="00D34DBC"/>
    <w:rsid w:val="00D41DF3"/>
    <w:rsid w:val="00D50E1F"/>
    <w:rsid w:val="00D51267"/>
    <w:rsid w:val="00D51FF8"/>
    <w:rsid w:val="00D53225"/>
    <w:rsid w:val="00D53D2A"/>
    <w:rsid w:val="00D548B5"/>
    <w:rsid w:val="00D54EA6"/>
    <w:rsid w:val="00D5621F"/>
    <w:rsid w:val="00D57845"/>
    <w:rsid w:val="00D62EC9"/>
    <w:rsid w:val="00D62EFA"/>
    <w:rsid w:val="00D633C8"/>
    <w:rsid w:val="00D64B3F"/>
    <w:rsid w:val="00D671E6"/>
    <w:rsid w:val="00D74216"/>
    <w:rsid w:val="00D839C1"/>
    <w:rsid w:val="00D90A78"/>
    <w:rsid w:val="00D90C07"/>
    <w:rsid w:val="00D90E47"/>
    <w:rsid w:val="00D90F38"/>
    <w:rsid w:val="00D93204"/>
    <w:rsid w:val="00D94A32"/>
    <w:rsid w:val="00D95D6A"/>
    <w:rsid w:val="00D97245"/>
    <w:rsid w:val="00DA23D6"/>
    <w:rsid w:val="00DA26DC"/>
    <w:rsid w:val="00DA7FF8"/>
    <w:rsid w:val="00DB510E"/>
    <w:rsid w:val="00DB75B0"/>
    <w:rsid w:val="00DC3F04"/>
    <w:rsid w:val="00DC709A"/>
    <w:rsid w:val="00DD1A8D"/>
    <w:rsid w:val="00DE014D"/>
    <w:rsid w:val="00DE18C8"/>
    <w:rsid w:val="00DF0236"/>
    <w:rsid w:val="00DF0B9F"/>
    <w:rsid w:val="00DF2871"/>
    <w:rsid w:val="00DF2D0A"/>
    <w:rsid w:val="00DF4DD6"/>
    <w:rsid w:val="00DF79F8"/>
    <w:rsid w:val="00E06752"/>
    <w:rsid w:val="00E06DDC"/>
    <w:rsid w:val="00E17554"/>
    <w:rsid w:val="00E20EE4"/>
    <w:rsid w:val="00E233FF"/>
    <w:rsid w:val="00E3369D"/>
    <w:rsid w:val="00E33AFA"/>
    <w:rsid w:val="00E45122"/>
    <w:rsid w:val="00E46B77"/>
    <w:rsid w:val="00E47ED5"/>
    <w:rsid w:val="00E51617"/>
    <w:rsid w:val="00E63696"/>
    <w:rsid w:val="00E67D36"/>
    <w:rsid w:val="00E705BA"/>
    <w:rsid w:val="00E95AEC"/>
    <w:rsid w:val="00E96D82"/>
    <w:rsid w:val="00EA1948"/>
    <w:rsid w:val="00EA2434"/>
    <w:rsid w:val="00EA2998"/>
    <w:rsid w:val="00EA5429"/>
    <w:rsid w:val="00EA7EC6"/>
    <w:rsid w:val="00EB48AE"/>
    <w:rsid w:val="00EB7194"/>
    <w:rsid w:val="00EC1E93"/>
    <w:rsid w:val="00ED0FF6"/>
    <w:rsid w:val="00ED4803"/>
    <w:rsid w:val="00ED5D61"/>
    <w:rsid w:val="00ED79D4"/>
    <w:rsid w:val="00EE4D87"/>
    <w:rsid w:val="00EE77C4"/>
    <w:rsid w:val="00EF064F"/>
    <w:rsid w:val="00EF382C"/>
    <w:rsid w:val="00EF5664"/>
    <w:rsid w:val="00EF6EF8"/>
    <w:rsid w:val="00F0133C"/>
    <w:rsid w:val="00F05F9E"/>
    <w:rsid w:val="00F16E7B"/>
    <w:rsid w:val="00F17326"/>
    <w:rsid w:val="00F20010"/>
    <w:rsid w:val="00F26BB8"/>
    <w:rsid w:val="00F40BAC"/>
    <w:rsid w:val="00F41F08"/>
    <w:rsid w:val="00F436CE"/>
    <w:rsid w:val="00F47359"/>
    <w:rsid w:val="00F47ED7"/>
    <w:rsid w:val="00F47EE0"/>
    <w:rsid w:val="00F51218"/>
    <w:rsid w:val="00F52F97"/>
    <w:rsid w:val="00F530BC"/>
    <w:rsid w:val="00F54227"/>
    <w:rsid w:val="00F572E7"/>
    <w:rsid w:val="00F61A73"/>
    <w:rsid w:val="00F65057"/>
    <w:rsid w:val="00F67A80"/>
    <w:rsid w:val="00F71DE4"/>
    <w:rsid w:val="00F80CF6"/>
    <w:rsid w:val="00F82D01"/>
    <w:rsid w:val="00F97021"/>
    <w:rsid w:val="00FA7FFD"/>
    <w:rsid w:val="00FB09DB"/>
    <w:rsid w:val="00FB3E22"/>
    <w:rsid w:val="00FB7155"/>
    <w:rsid w:val="00FC0F98"/>
    <w:rsid w:val="00FC3137"/>
    <w:rsid w:val="00FC5A1A"/>
    <w:rsid w:val="00FD5C47"/>
    <w:rsid w:val="00FF10C4"/>
    <w:rsid w:val="00FF239E"/>
    <w:rsid w:val="00FF7445"/>
    <w:rsid w:val="00FF7CB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26"/>
    <w:pPr>
      <w:spacing w:after="200" w:line="276" w:lineRule="auto"/>
    </w:pPr>
    <w:rPr>
      <w:rFonts w:ascii="Calibri" w:eastAsia="Times New Roman"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Table of contents numbered,Bullets,footer text,List Paragraph1,Recommendation,Bullet List"/>
    <w:basedOn w:val="Normal"/>
    <w:link w:val="ListParagraphChar"/>
    <w:uiPriority w:val="34"/>
    <w:qFormat/>
    <w:rsid w:val="00AC035C"/>
    <w:pPr>
      <w:ind w:left="720"/>
      <w:contextualSpacing/>
    </w:pPr>
  </w:style>
  <w:style w:type="paragraph" w:styleId="Header">
    <w:name w:val="header"/>
    <w:basedOn w:val="Normal"/>
    <w:link w:val="HeaderChar"/>
    <w:uiPriority w:val="99"/>
    <w:rsid w:val="00AC035C"/>
    <w:pPr>
      <w:tabs>
        <w:tab w:val="center" w:pos="4153"/>
        <w:tab w:val="right" w:pos="8306"/>
      </w:tabs>
    </w:pPr>
    <w:rPr>
      <w:sz w:val="20"/>
      <w:szCs w:val="20"/>
      <w:lang/>
    </w:rPr>
  </w:style>
  <w:style w:type="character" w:customStyle="1" w:styleId="HeaderChar">
    <w:name w:val="Header Char"/>
    <w:basedOn w:val="DefaultParagraphFont"/>
    <w:link w:val="Header"/>
    <w:uiPriority w:val="99"/>
    <w:rsid w:val="00AC035C"/>
    <w:rPr>
      <w:rFonts w:ascii="Calibri" w:eastAsia="Times New Roman" w:hAnsi="Calibri" w:cs="Times New Roman"/>
      <w:sz w:val="20"/>
      <w:szCs w:val="20"/>
      <w:lang w:val="en-ZA"/>
    </w:rPr>
  </w:style>
  <w:style w:type="paragraph" w:styleId="Footer">
    <w:name w:val="footer"/>
    <w:basedOn w:val="Normal"/>
    <w:link w:val="FooterChar"/>
    <w:uiPriority w:val="99"/>
    <w:rsid w:val="00AC035C"/>
    <w:pPr>
      <w:tabs>
        <w:tab w:val="center" w:pos="4153"/>
        <w:tab w:val="right" w:pos="8306"/>
      </w:tabs>
    </w:pPr>
    <w:rPr>
      <w:lang/>
    </w:rPr>
  </w:style>
  <w:style w:type="character" w:customStyle="1" w:styleId="FooterChar">
    <w:name w:val="Footer Char"/>
    <w:basedOn w:val="DefaultParagraphFont"/>
    <w:link w:val="Footer"/>
    <w:uiPriority w:val="99"/>
    <w:rsid w:val="00AC035C"/>
    <w:rPr>
      <w:rFonts w:ascii="Calibri" w:eastAsia="Times New Roman" w:hAnsi="Calibri" w:cs="Times New Roman"/>
      <w:lang/>
    </w:rPr>
  </w:style>
  <w:style w:type="character" w:styleId="PageNumber">
    <w:name w:val="page number"/>
    <w:uiPriority w:val="99"/>
    <w:rsid w:val="00AC035C"/>
    <w:rPr>
      <w:rFonts w:cs="Times New Roman"/>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locked/>
    <w:rsid w:val="005D2932"/>
    <w:rPr>
      <w:rFonts w:ascii="Calibri" w:eastAsia="Times New Roman" w:hAnsi="Calibri" w:cs="Times New Roman"/>
      <w:lang w:val="en-ZA"/>
    </w:rPr>
  </w:style>
  <w:style w:type="paragraph" w:styleId="BalloonText">
    <w:name w:val="Balloon Text"/>
    <w:basedOn w:val="Normal"/>
    <w:link w:val="BalloonTextChar"/>
    <w:uiPriority w:val="99"/>
    <w:semiHidden/>
    <w:unhideWhenUsed/>
    <w:rsid w:val="00953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46"/>
    <w:rPr>
      <w:rFonts w:ascii="Segoe UI" w:eastAsia="Times New Roman" w:hAnsi="Segoe UI" w:cs="Segoe UI"/>
      <w:sz w:val="18"/>
      <w:szCs w:val="18"/>
      <w:lang w:val="en-ZA"/>
    </w:rPr>
  </w:style>
  <w:style w:type="character" w:styleId="CommentReference">
    <w:name w:val="annotation reference"/>
    <w:basedOn w:val="DefaultParagraphFont"/>
    <w:uiPriority w:val="99"/>
    <w:semiHidden/>
    <w:unhideWhenUsed/>
    <w:rsid w:val="00953446"/>
    <w:rPr>
      <w:sz w:val="16"/>
      <w:szCs w:val="16"/>
    </w:rPr>
  </w:style>
  <w:style w:type="paragraph" w:styleId="CommentText">
    <w:name w:val="annotation text"/>
    <w:basedOn w:val="Normal"/>
    <w:link w:val="CommentTextChar"/>
    <w:uiPriority w:val="99"/>
    <w:semiHidden/>
    <w:unhideWhenUsed/>
    <w:rsid w:val="00953446"/>
    <w:pPr>
      <w:spacing w:line="240" w:lineRule="auto"/>
    </w:pPr>
    <w:rPr>
      <w:sz w:val="20"/>
      <w:szCs w:val="20"/>
    </w:rPr>
  </w:style>
  <w:style w:type="character" w:customStyle="1" w:styleId="CommentTextChar">
    <w:name w:val="Comment Text Char"/>
    <w:basedOn w:val="DefaultParagraphFont"/>
    <w:link w:val="CommentText"/>
    <w:uiPriority w:val="99"/>
    <w:semiHidden/>
    <w:rsid w:val="00953446"/>
    <w:rPr>
      <w:rFonts w:ascii="Calibri" w:eastAsia="Times New Roman"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953446"/>
    <w:rPr>
      <w:b/>
      <w:bCs/>
    </w:rPr>
  </w:style>
  <w:style w:type="character" w:customStyle="1" w:styleId="CommentSubjectChar">
    <w:name w:val="Comment Subject Char"/>
    <w:basedOn w:val="CommentTextChar"/>
    <w:link w:val="CommentSubject"/>
    <w:uiPriority w:val="99"/>
    <w:semiHidden/>
    <w:rsid w:val="00953446"/>
    <w:rPr>
      <w:rFonts w:ascii="Calibri" w:eastAsia="Times New Roman" w:hAnsi="Calibri" w:cs="Times New Roman"/>
      <w:b/>
      <w:bCs/>
      <w:sz w:val="20"/>
      <w:szCs w:val="20"/>
      <w:lang w:val="en-ZA"/>
    </w:rPr>
  </w:style>
  <w:style w:type="paragraph" w:customStyle="1" w:styleId="Default">
    <w:name w:val="Default"/>
    <w:rsid w:val="00E47ED5"/>
    <w:pPr>
      <w:autoSpaceDE w:val="0"/>
      <w:autoSpaceDN w:val="0"/>
      <w:adjustRightInd w:val="0"/>
      <w:spacing w:after="0" w:line="240" w:lineRule="auto"/>
    </w:pPr>
    <w:rPr>
      <w:rFonts w:ascii="Calibri" w:hAnsi="Calibri" w:cs="Calibri"/>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356585116">
      <w:bodyDiv w:val="1"/>
      <w:marLeft w:val="0"/>
      <w:marRight w:val="0"/>
      <w:marTop w:val="0"/>
      <w:marBottom w:val="0"/>
      <w:divBdr>
        <w:top w:val="none" w:sz="0" w:space="0" w:color="auto"/>
        <w:left w:val="none" w:sz="0" w:space="0" w:color="auto"/>
        <w:bottom w:val="none" w:sz="0" w:space="0" w:color="auto"/>
        <w:right w:val="none" w:sz="0" w:space="0" w:color="auto"/>
      </w:divBdr>
    </w:div>
    <w:div w:id="492643281">
      <w:bodyDiv w:val="1"/>
      <w:marLeft w:val="0"/>
      <w:marRight w:val="0"/>
      <w:marTop w:val="0"/>
      <w:marBottom w:val="0"/>
      <w:divBdr>
        <w:top w:val="none" w:sz="0" w:space="0" w:color="auto"/>
        <w:left w:val="none" w:sz="0" w:space="0" w:color="auto"/>
        <w:bottom w:val="none" w:sz="0" w:space="0" w:color="auto"/>
        <w:right w:val="none" w:sz="0" w:space="0" w:color="auto"/>
      </w:divBdr>
    </w:div>
    <w:div w:id="521478462">
      <w:bodyDiv w:val="1"/>
      <w:marLeft w:val="0"/>
      <w:marRight w:val="0"/>
      <w:marTop w:val="0"/>
      <w:marBottom w:val="0"/>
      <w:divBdr>
        <w:top w:val="none" w:sz="0" w:space="0" w:color="auto"/>
        <w:left w:val="none" w:sz="0" w:space="0" w:color="auto"/>
        <w:bottom w:val="none" w:sz="0" w:space="0" w:color="auto"/>
        <w:right w:val="none" w:sz="0" w:space="0" w:color="auto"/>
      </w:divBdr>
    </w:div>
    <w:div w:id="553468800">
      <w:bodyDiv w:val="1"/>
      <w:marLeft w:val="0"/>
      <w:marRight w:val="0"/>
      <w:marTop w:val="0"/>
      <w:marBottom w:val="0"/>
      <w:divBdr>
        <w:top w:val="none" w:sz="0" w:space="0" w:color="auto"/>
        <w:left w:val="none" w:sz="0" w:space="0" w:color="auto"/>
        <w:bottom w:val="none" w:sz="0" w:space="0" w:color="auto"/>
        <w:right w:val="none" w:sz="0" w:space="0" w:color="auto"/>
      </w:divBdr>
    </w:div>
    <w:div w:id="768279051">
      <w:bodyDiv w:val="1"/>
      <w:marLeft w:val="0"/>
      <w:marRight w:val="0"/>
      <w:marTop w:val="0"/>
      <w:marBottom w:val="0"/>
      <w:divBdr>
        <w:top w:val="none" w:sz="0" w:space="0" w:color="auto"/>
        <w:left w:val="none" w:sz="0" w:space="0" w:color="auto"/>
        <w:bottom w:val="none" w:sz="0" w:space="0" w:color="auto"/>
        <w:right w:val="none" w:sz="0" w:space="0" w:color="auto"/>
      </w:divBdr>
      <w:divsChild>
        <w:div w:id="1964574678">
          <w:marLeft w:val="446"/>
          <w:marRight w:val="0"/>
          <w:marTop w:val="0"/>
          <w:marBottom w:val="0"/>
          <w:divBdr>
            <w:top w:val="none" w:sz="0" w:space="0" w:color="auto"/>
            <w:left w:val="none" w:sz="0" w:space="0" w:color="auto"/>
            <w:bottom w:val="none" w:sz="0" w:space="0" w:color="auto"/>
            <w:right w:val="none" w:sz="0" w:space="0" w:color="auto"/>
          </w:divBdr>
        </w:div>
        <w:div w:id="1677076991">
          <w:marLeft w:val="1166"/>
          <w:marRight w:val="0"/>
          <w:marTop w:val="0"/>
          <w:marBottom w:val="0"/>
          <w:divBdr>
            <w:top w:val="none" w:sz="0" w:space="0" w:color="auto"/>
            <w:left w:val="none" w:sz="0" w:space="0" w:color="auto"/>
            <w:bottom w:val="none" w:sz="0" w:space="0" w:color="auto"/>
            <w:right w:val="none" w:sz="0" w:space="0" w:color="auto"/>
          </w:divBdr>
        </w:div>
        <w:div w:id="1948536752">
          <w:marLeft w:val="1166"/>
          <w:marRight w:val="0"/>
          <w:marTop w:val="0"/>
          <w:marBottom w:val="0"/>
          <w:divBdr>
            <w:top w:val="none" w:sz="0" w:space="0" w:color="auto"/>
            <w:left w:val="none" w:sz="0" w:space="0" w:color="auto"/>
            <w:bottom w:val="none" w:sz="0" w:space="0" w:color="auto"/>
            <w:right w:val="none" w:sz="0" w:space="0" w:color="auto"/>
          </w:divBdr>
        </w:div>
        <w:div w:id="103547698">
          <w:marLeft w:val="1166"/>
          <w:marRight w:val="0"/>
          <w:marTop w:val="0"/>
          <w:marBottom w:val="0"/>
          <w:divBdr>
            <w:top w:val="none" w:sz="0" w:space="0" w:color="auto"/>
            <w:left w:val="none" w:sz="0" w:space="0" w:color="auto"/>
            <w:bottom w:val="none" w:sz="0" w:space="0" w:color="auto"/>
            <w:right w:val="none" w:sz="0" w:space="0" w:color="auto"/>
          </w:divBdr>
        </w:div>
      </w:divsChild>
    </w:div>
    <w:div w:id="923801767">
      <w:bodyDiv w:val="1"/>
      <w:marLeft w:val="0"/>
      <w:marRight w:val="0"/>
      <w:marTop w:val="0"/>
      <w:marBottom w:val="0"/>
      <w:divBdr>
        <w:top w:val="none" w:sz="0" w:space="0" w:color="auto"/>
        <w:left w:val="none" w:sz="0" w:space="0" w:color="auto"/>
        <w:bottom w:val="none" w:sz="0" w:space="0" w:color="auto"/>
        <w:right w:val="none" w:sz="0" w:space="0" w:color="auto"/>
      </w:divBdr>
    </w:div>
    <w:div w:id="1048452147">
      <w:bodyDiv w:val="1"/>
      <w:marLeft w:val="0"/>
      <w:marRight w:val="0"/>
      <w:marTop w:val="0"/>
      <w:marBottom w:val="0"/>
      <w:divBdr>
        <w:top w:val="none" w:sz="0" w:space="0" w:color="auto"/>
        <w:left w:val="none" w:sz="0" w:space="0" w:color="auto"/>
        <w:bottom w:val="none" w:sz="0" w:space="0" w:color="auto"/>
        <w:right w:val="none" w:sz="0" w:space="0" w:color="auto"/>
      </w:divBdr>
      <w:divsChild>
        <w:div w:id="897207256">
          <w:marLeft w:val="1166"/>
          <w:marRight w:val="0"/>
          <w:marTop w:val="96"/>
          <w:marBottom w:val="0"/>
          <w:divBdr>
            <w:top w:val="none" w:sz="0" w:space="0" w:color="auto"/>
            <w:left w:val="none" w:sz="0" w:space="0" w:color="auto"/>
            <w:bottom w:val="none" w:sz="0" w:space="0" w:color="auto"/>
            <w:right w:val="none" w:sz="0" w:space="0" w:color="auto"/>
          </w:divBdr>
        </w:div>
      </w:divsChild>
    </w:div>
    <w:div w:id="1049302281">
      <w:bodyDiv w:val="1"/>
      <w:marLeft w:val="0"/>
      <w:marRight w:val="0"/>
      <w:marTop w:val="0"/>
      <w:marBottom w:val="0"/>
      <w:divBdr>
        <w:top w:val="none" w:sz="0" w:space="0" w:color="auto"/>
        <w:left w:val="none" w:sz="0" w:space="0" w:color="auto"/>
        <w:bottom w:val="none" w:sz="0" w:space="0" w:color="auto"/>
        <w:right w:val="none" w:sz="0" w:space="0" w:color="auto"/>
      </w:divBdr>
    </w:div>
    <w:div w:id="1247960755">
      <w:bodyDiv w:val="1"/>
      <w:marLeft w:val="0"/>
      <w:marRight w:val="0"/>
      <w:marTop w:val="0"/>
      <w:marBottom w:val="0"/>
      <w:divBdr>
        <w:top w:val="none" w:sz="0" w:space="0" w:color="auto"/>
        <w:left w:val="none" w:sz="0" w:space="0" w:color="auto"/>
        <w:bottom w:val="none" w:sz="0" w:space="0" w:color="auto"/>
        <w:right w:val="none" w:sz="0" w:space="0" w:color="auto"/>
      </w:divBdr>
    </w:div>
    <w:div w:id="1398085682">
      <w:bodyDiv w:val="1"/>
      <w:marLeft w:val="0"/>
      <w:marRight w:val="0"/>
      <w:marTop w:val="0"/>
      <w:marBottom w:val="0"/>
      <w:divBdr>
        <w:top w:val="none" w:sz="0" w:space="0" w:color="auto"/>
        <w:left w:val="none" w:sz="0" w:space="0" w:color="auto"/>
        <w:bottom w:val="none" w:sz="0" w:space="0" w:color="auto"/>
        <w:right w:val="none" w:sz="0" w:space="0" w:color="auto"/>
      </w:divBdr>
      <w:divsChild>
        <w:div w:id="1646933728">
          <w:marLeft w:val="1166"/>
          <w:marRight w:val="0"/>
          <w:marTop w:val="96"/>
          <w:marBottom w:val="0"/>
          <w:divBdr>
            <w:top w:val="none" w:sz="0" w:space="0" w:color="auto"/>
            <w:left w:val="none" w:sz="0" w:space="0" w:color="auto"/>
            <w:bottom w:val="none" w:sz="0" w:space="0" w:color="auto"/>
            <w:right w:val="none" w:sz="0" w:space="0" w:color="auto"/>
          </w:divBdr>
        </w:div>
      </w:divsChild>
    </w:div>
    <w:div w:id="1522015553">
      <w:bodyDiv w:val="1"/>
      <w:marLeft w:val="0"/>
      <w:marRight w:val="0"/>
      <w:marTop w:val="0"/>
      <w:marBottom w:val="0"/>
      <w:divBdr>
        <w:top w:val="none" w:sz="0" w:space="0" w:color="auto"/>
        <w:left w:val="none" w:sz="0" w:space="0" w:color="auto"/>
        <w:bottom w:val="none" w:sz="0" w:space="0" w:color="auto"/>
        <w:right w:val="none" w:sz="0" w:space="0" w:color="auto"/>
      </w:divBdr>
    </w:div>
    <w:div w:id="1747149700">
      <w:bodyDiv w:val="1"/>
      <w:marLeft w:val="0"/>
      <w:marRight w:val="0"/>
      <w:marTop w:val="0"/>
      <w:marBottom w:val="0"/>
      <w:divBdr>
        <w:top w:val="none" w:sz="0" w:space="0" w:color="auto"/>
        <w:left w:val="none" w:sz="0" w:space="0" w:color="auto"/>
        <w:bottom w:val="none" w:sz="0" w:space="0" w:color="auto"/>
        <w:right w:val="none" w:sz="0" w:space="0" w:color="auto"/>
      </w:divBdr>
    </w:div>
    <w:div w:id="21359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4C4B-8612-4B2E-960D-89E871AD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6938</Words>
  <Characters>39553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User</cp:lastModifiedBy>
  <cp:revision>2</cp:revision>
  <cp:lastPrinted>2020-03-17T11:33:00Z</cp:lastPrinted>
  <dcterms:created xsi:type="dcterms:W3CDTF">2020-03-19T12:05:00Z</dcterms:created>
  <dcterms:modified xsi:type="dcterms:W3CDTF">2020-03-19T12:05:00Z</dcterms:modified>
</cp:coreProperties>
</file>