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02" w:rsidRPr="00600802" w:rsidRDefault="00600802" w:rsidP="00600802">
      <w:pPr>
        <w:spacing w:after="160" w:line="259" w:lineRule="auto"/>
        <w:rPr>
          <w:rFonts w:ascii="Arial" w:eastAsia="Times New Roman" w:hAnsi="Arial"/>
          <w:b/>
          <w:color w:val="001F00"/>
          <w:spacing w:val="6"/>
          <w:sz w:val="28"/>
          <w:lang w:eastAsia="en-GB"/>
        </w:rPr>
      </w:pPr>
      <w:r w:rsidRPr="00600802">
        <w:rPr>
          <w:rFonts w:ascii="Arial" w:eastAsia="Times New Roman" w:hAnsi="Arial"/>
          <w:b/>
          <w:color w:val="001F00"/>
          <w:spacing w:val="6"/>
          <w:sz w:val="28"/>
          <w:lang w:eastAsia="en-GB"/>
        </w:rPr>
        <w:t>Expendi</w:t>
      </w:r>
      <w:r w:rsidR="00AB3926">
        <w:rPr>
          <w:rFonts w:ascii="Arial" w:eastAsia="Times New Roman" w:hAnsi="Arial"/>
          <w:b/>
          <w:color w:val="001F00"/>
          <w:spacing w:val="6"/>
          <w:sz w:val="28"/>
          <w:lang w:eastAsia="en-GB"/>
        </w:rPr>
        <w:t>ture for any major events</w:t>
      </w:r>
      <w:r w:rsidR="00B6301E">
        <w:rPr>
          <w:rFonts w:ascii="Arial" w:eastAsia="Times New Roman" w:hAnsi="Arial"/>
          <w:b/>
          <w:color w:val="001F00"/>
          <w:spacing w:val="6"/>
          <w:sz w:val="28"/>
          <w:lang w:eastAsia="en-GB"/>
        </w:rPr>
        <w:t xml:space="preserve"> undertaken</w:t>
      </w:r>
      <w:r w:rsidR="00AB3926">
        <w:rPr>
          <w:rFonts w:ascii="Arial" w:eastAsia="Times New Roman" w:hAnsi="Arial"/>
          <w:b/>
          <w:color w:val="001F00"/>
          <w:spacing w:val="6"/>
          <w:sz w:val="28"/>
          <w:lang w:eastAsia="en-GB"/>
        </w:rPr>
        <w:t>/international travel undertaken</w:t>
      </w:r>
      <w:r w:rsidR="00B6301E">
        <w:rPr>
          <w:rFonts w:ascii="Arial" w:eastAsia="Times New Roman" w:hAnsi="Arial"/>
          <w:b/>
          <w:color w:val="001F00"/>
          <w:spacing w:val="6"/>
          <w:sz w:val="28"/>
          <w:lang w:eastAsia="en-GB"/>
        </w:rPr>
        <w:t xml:space="preserve"> in Q3</w:t>
      </w:r>
    </w:p>
    <w:p w:rsidR="00600802" w:rsidRPr="00600802" w:rsidRDefault="00600802" w:rsidP="00154E29">
      <w:pPr>
        <w:spacing w:after="0" w:line="240" w:lineRule="auto"/>
        <w:rPr>
          <w:rFonts w:ascii="Arial" w:hAnsi="Arial" w:cs="Arial"/>
          <w:b/>
        </w:rPr>
      </w:pPr>
      <w:r w:rsidRPr="00600802">
        <w:rPr>
          <w:rFonts w:ascii="Arial" w:hAnsi="Arial" w:cs="Arial"/>
          <w:b/>
        </w:rPr>
        <w:t>201</w:t>
      </w:r>
      <w:r w:rsidR="00B6301E">
        <w:rPr>
          <w:rFonts w:ascii="Arial" w:hAnsi="Arial" w:cs="Arial"/>
          <w:b/>
        </w:rPr>
        <w:t>9/20</w:t>
      </w:r>
      <w:r w:rsidRPr="00600802">
        <w:rPr>
          <w:rFonts w:ascii="Arial" w:hAnsi="Arial" w:cs="Arial"/>
          <w:b/>
        </w:rPr>
        <w:t xml:space="preserve"> Fi</w:t>
      </w:r>
      <w:r w:rsidR="009C5F21">
        <w:rPr>
          <w:rFonts w:ascii="Arial" w:hAnsi="Arial" w:cs="Arial"/>
          <w:b/>
        </w:rPr>
        <w:t>nancial Year International Travel</w:t>
      </w:r>
      <w:r w:rsidRPr="00600802">
        <w:rPr>
          <w:rFonts w:ascii="Arial" w:hAnsi="Arial" w:cs="Arial"/>
          <w:b/>
        </w:rPr>
        <w:t xml:space="preserve"> Undertaken in Quarter 3</w:t>
      </w:r>
    </w:p>
    <w:tbl>
      <w:tblPr>
        <w:tblStyle w:val="TableGrid"/>
        <w:tblW w:w="15304" w:type="dxa"/>
        <w:tblLook w:val="04A0"/>
      </w:tblPr>
      <w:tblGrid>
        <w:gridCol w:w="9493"/>
        <w:gridCol w:w="2976"/>
        <w:gridCol w:w="2835"/>
      </w:tblGrid>
      <w:tr w:rsidR="00AC60A7" w:rsidRPr="00600802" w:rsidTr="00DC54A0">
        <w:tc>
          <w:tcPr>
            <w:tcW w:w="9493" w:type="dxa"/>
            <w:vAlign w:val="center"/>
          </w:tcPr>
          <w:p w:rsidR="00AC60A7" w:rsidRPr="00600802" w:rsidRDefault="00AC60A7" w:rsidP="00BF62C8">
            <w:pPr>
              <w:spacing w:after="0" w:line="240" w:lineRule="auto"/>
              <w:jc w:val="center"/>
              <w:rPr>
                <w:rFonts w:ascii="Arial" w:hAnsi="Arial" w:cs="Arial"/>
                <w:b/>
                <w:sz w:val="24"/>
                <w:szCs w:val="24"/>
              </w:rPr>
            </w:pPr>
            <w:r>
              <w:rPr>
                <w:rFonts w:ascii="Arial" w:hAnsi="Arial" w:cs="Arial"/>
                <w:b/>
                <w:sz w:val="24"/>
                <w:szCs w:val="24"/>
              </w:rPr>
              <w:t>Purpose of Travel</w:t>
            </w:r>
          </w:p>
        </w:tc>
        <w:tc>
          <w:tcPr>
            <w:tcW w:w="2976" w:type="dxa"/>
            <w:vAlign w:val="center"/>
          </w:tcPr>
          <w:p w:rsidR="00AC60A7" w:rsidRPr="00600802" w:rsidRDefault="00AC60A7" w:rsidP="00BF62C8">
            <w:pPr>
              <w:spacing w:after="0" w:line="240" w:lineRule="auto"/>
              <w:jc w:val="center"/>
              <w:rPr>
                <w:rFonts w:ascii="Arial" w:hAnsi="Arial" w:cs="Arial"/>
                <w:b/>
                <w:sz w:val="24"/>
                <w:szCs w:val="24"/>
              </w:rPr>
            </w:pPr>
            <w:r w:rsidRPr="00600802">
              <w:rPr>
                <w:rFonts w:ascii="Arial" w:hAnsi="Arial" w:cs="Arial"/>
                <w:b/>
                <w:sz w:val="24"/>
                <w:szCs w:val="24"/>
              </w:rPr>
              <w:t>Period</w:t>
            </w:r>
          </w:p>
        </w:tc>
        <w:tc>
          <w:tcPr>
            <w:tcW w:w="2835" w:type="dxa"/>
            <w:vAlign w:val="center"/>
          </w:tcPr>
          <w:p w:rsidR="00AC60A7" w:rsidRPr="00600802" w:rsidRDefault="00AC60A7" w:rsidP="00BF62C8">
            <w:pPr>
              <w:spacing w:after="0" w:line="240" w:lineRule="auto"/>
              <w:jc w:val="center"/>
              <w:rPr>
                <w:rFonts w:ascii="Arial" w:hAnsi="Arial" w:cs="Arial"/>
                <w:b/>
                <w:sz w:val="24"/>
                <w:szCs w:val="24"/>
              </w:rPr>
            </w:pPr>
            <w:r w:rsidRPr="00600802">
              <w:rPr>
                <w:rFonts w:ascii="Arial" w:hAnsi="Arial" w:cs="Arial"/>
                <w:b/>
                <w:sz w:val="24"/>
                <w:szCs w:val="24"/>
              </w:rPr>
              <w:t>Size of Delegation</w:t>
            </w:r>
          </w:p>
        </w:tc>
      </w:tr>
      <w:tr w:rsidR="00AC60A7" w:rsidRPr="00600802" w:rsidTr="00DC54A0">
        <w:trPr>
          <w:trHeight w:val="544"/>
        </w:trPr>
        <w:tc>
          <w:tcPr>
            <w:tcW w:w="9493" w:type="dxa"/>
          </w:tcPr>
          <w:p w:rsidR="00AC60A7" w:rsidRPr="00600802" w:rsidRDefault="00B6301E" w:rsidP="00B6301E">
            <w:pPr>
              <w:spacing w:after="0" w:line="240" w:lineRule="auto"/>
              <w:rPr>
                <w:rFonts w:ascii="Arial" w:hAnsi="Arial" w:cs="Arial"/>
                <w:sz w:val="24"/>
                <w:szCs w:val="24"/>
              </w:rPr>
            </w:pPr>
            <w:r w:rsidRPr="00B6301E">
              <w:rPr>
                <w:rFonts w:ascii="Arial" w:hAnsi="Arial" w:cs="Arial"/>
                <w:bCs/>
                <w:sz w:val="24"/>
                <w:szCs w:val="24"/>
              </w:rPr>
              <w:t>Official visit to Addis to  attend Specialized Technical Committee (STC)  meeting on Beijing +25-Ethiopia</w:t>
            </w:r>
            <w:r w:rsidR="00AC60A7" w:rsidRPr="00600802">
              <w:rPr>
                <w:rFonts w:ascii="Arial" w:hAnsi="Arial" w:cs="Arial"/>
                <w:bCs/>
                <w:sz w:val="24"/>
                <w:szCs w:val="24"/>
              </w:rPr>
              <w:t xml:space="preserve"> </w:t>
            </w:r>
            <w:r>
              <w:rPr>
                <w:rFonts w:ascii="Arial" w:hAnsi="Arial" w:cs="Arial"/>
                <w:bCs/>
                <w:sz w:val="24"/>
                <w:szCs w:val="24"/>
              </w:rPr>
              <w:t xml:space="preserve">– </w:t>
            </w:r>
            <w:r w:rsidRPr="00B6301E">
              <w:rPr>
                <w:rFonts w:ascii="Arial" w:hAnsi="Arial" w:cs="Arial"/>
                <w:b/>
                <w:bCs/>
                <w:sz w:val="24"/>
                <w:szCs w:val="24"/>
              </w:rPr>
              <w:t>Ethiopia</w:t>
            </w:r>
          </w:p>
        </w:tc>
        <w:tc>
          <w:tcPr>
            <w:tcW w:w="2976" w:type="dxa"/>
          </w:tcPr>
          <w:p w:rsidR="00AC60A7" w:rsidRPr="00600802" w:rsidRDefault="00B6301E" w:rsidP="00600802">
            <w:pPr>
              <w:spacing w:after="0" w:line="240" w:lineRule="auto"/>
              <w:rPr>
                <w:rFonts w:ascii="Arial" w:hAnsi="Arial" w:cs="Arial"/>
                <w:sz w:val="24"/>
                <w:szCs w:val="24"/>
              </w:rPr>
            </w:pPr>
            <w:r w:rsidRPr="00B6301E">
              <w:rPr>
                <w:rFonts w:ascii="Arial" w:hAnsi="Arial" w:cs="Arial"/>
                <w:sz w:val="24"/>
                <w:szCs w:val="24"/>
              </w:rPr>
              <w:t xml:space="preserve">26 October </w:t>
            </w:r>
            <w:r>
              <w:rPr>
                <w:rFonts w:ascii="Arial" w:hAnsi="Arial" w:cs="Arial"/>
                <w:sz w:val="24"/>
                <w:szCs w:val="24"/>
              </w:rPr>
              <w:t>–</w:t>
            </w:r>
            <w:r w:rsidRPr="00B6301E">
              <w:rPr>
                <w:rFonts w:ascii="Arial" w:hAnsi="Arial" w:cs="Arial"/>
                <w:sz w:val="24"/>
                <w:szCs w:val="24"/>
              </w:rPr>
              <w:t xml:space="preserve"> 02 November 2019</w:t>
            </w:r>
          </w:p>
        </w:tc>
        <w:tc>
          <w:tcPr>
            <w:tcW w:w="2835" w:type="dxa"/>
          </w:tcPr>
          <w:p w:rsidR="005B38CE" w:rsidRDefault="00B6301E" w:rsidP="005B38CE">
            <w:pPr>
              <w:spacing w:after="0" w:line="240" w:lineRule="auto"/>
              <w:rPr>
                <w:rFonts w:ascii="Arial" w:hAnsi="Arial" w:cs="Arial"/>
                <w:sz w:val="24"/>
                <w:szCs w:val="24"/>
              </w:rPr>
            </w:pPr>
            <w:r>
              <w:rPr>
                <w:rFonts w:ascii="Arial" w:hAnsi="Arial" w:cs="Arial"/>
                <w:sz w:val="24"/>
                <w:szCs w:val="24"/>
              </w:rPr>
              <w:t>4</w:t>
            </w:r>
            <w:r w:rsidR="00AC60A7" w:rsidRPr="00600802">
              <w:rPr>
                <w:rFonts w:ascii="Arial" w:hAnsi="Arial" w:cs="Arial"/>
                <w:sz w:val="24"/>
                <w:szCs w:val="24"/>
              </w:rPr>
              <w:t xml:space="preserve"> officials</w:t>
            </w:r>
          </w:p>
          <w:p w:rsidR="005B38CE" w:rsidRPr="00600802" w:rsidRDefault="005B38CE" w:rsidP="005B38CE">
            <w:pPr>
              <w:spacing w:after="0" w:line="240" w:lineRule="auto"/>
              <w:rPr>
                <w:rFonts w:ascii="Arial" w:hAnsi="Arial" w:cs="Arial"/>
                <w:sz w:val="24"/>
                <w:szCs w:val="24"/>
              </w:rPr>
            </w:pPr>
            <w:r w:rsidRPr="005B38CE">
              <w:rPr>
                <w:rFonts w:ascii="Arial" w:hAnsi="Arial" w:cs="Arial"/>
                <w:b/>
                <w:bCs/>
                <w:sz w:val="24"/>
                <w:szCs w:val="24"/>
              </w:rPr>
              <w:t>Cost:</w:t>
            </w:r>
            <w:r w:rsidR="00F26534" w:rsidRPr="00600802">
              <w:rPr>
                <w:rFonts w:ascii="Arial" w:hAnsi="Arial" w:cs="Arial"/>
                <w:b/>
                <w:sz w:val="24"/>
                <w:szCs w:val="24"/>
              </w:rPr>
              <w:t xml:space="preserve"> </w:t>
            </w:r>
            <w:r w:rsidR="00B6301E" w:rsidRPr="00B6301E">
              <w:rPr>
                <w:rFonts w:ascii="Arial" w:hAnsi="Arial" w:cs="Arial"/>
                <w:b/>
                <w:sz w:val="24"/>
                <w:szCs w:val="24"/>
              </w:rPr>
              <w:t>119 529.68</w:t>
            </w:r>
          </w:p>
        </w:tc>
      </w:tr>
      <w:tr w:rsidR="00B6301E" w:rsidRPr="00600802" w:rsidTr="00DC54A0">
        <w:trPr>
          <w:trHeight w:val="544"/>
        </w:trPr>
        <w:tc>
          <w:tcPr>
            <w:tcW w:w="9493" w:type="dxa"/>
          </w:tcPr>
          <w:p w:rsidR="00B6301E" w:rsidRPr="004958B6" w:rsidRDefault="00B6301E" w:rsidP="00497828">
            <w:pPr>
              <w:spacing w:after="0" w:line="240" w:lineRule="auto"/>
              <w:jc w:val="both"/>
              <w:rPr>
                <w:rFonts w:ascii="Arial" w:hAnsi="Arial" w:cs="Arial"/>
                <w:b/>
                <w:bCs/>
                <w:sz w:val="24"/>
                <w:szCs w:val="24"/>
              </w:rPr>
            </w:pPr>
            <w:r w:rsidRPr="004958B6">
              <w:rPr>
                <w:rFonts w:ascii="Arial" w:hAnsi="Arial" w:cs="Arial"/>
                <w:b/>
                <w:bCs/>
                <w:sz w:val="24"/>
                <w:szCs w:val="24"/>
              </w:rPr>
              <w:t>Impact</w:t>
            </w:r>
          </w:p>
          <w:p w:rsidR="004958B6" w:rsidRDefault="004958B6" w:rsidP="00497828">
            <w:pPr>
              <w:spacing w:after="0" w:line="240" w:lineRule="auto"/>
              <w:jc w:val="both"/>
              <w:rPr>
                <w:rFonts w:ascii="Arial" w:hAnsi="Arial" w:cs="Arial"/>
                <w:b/>
                <w:bCs/>
                <w:color w:val="FF0000"/>
                <w:sz w:val="24"/>
                <w:szCs w:val="24"/>
              </w:rPr>
            </w:pPr>
          </w:p>
          <w:p w:rsidR="00A65F0A" w:rsidRDefault="00A65F0A" w:rsidP="00497828">
            <w:pPr>
              <w:pStyle w:val="ListParagraph"/>
              <w:numPr>
                <w:ilvl w:val="0"/>
                <w:numId w:val="7"/>
              </w:numPr>
              <w:ind w:right="480"/>
              <w:jc w:val="both"/>
              <w:rPr>
                <w:rFonts w:ascii="Arial" w:hAnsi="Arial" w:cs="Arial"/>
                <w:bCs/>
              </w:rPr>
            </w:pPr>
            <w:r>
              <w:rPr>
                <w:rFonts w:ascii="Arial" w:hAnsi="Arial" w:cs="Arial"/>
                <w:bCs/>
              </w:rPr>
              <w:t>Review of the implementation of the Beijing declaration to assess the progress made.</w:t>
            </w:r>
          </w:p>
          <w:p w:rsidR="00A65F0A" w:rsidRDefault="00A65F0A" w:rsidP="00497828">
            <w:pPr>
              <w:pStyle w:val="ListParagraph"/>
              <w:numPr>
                <w:ilvl w:val="0"/>
                <w:numId w:val="7"/>
              </w:numPr>
              <w:ind w:right="480"/>
              <w:jc w:val="both"/>
              <w:rPr>
                <w:rFonts w:ascii="Arial" w:hAnsi="Arial" w:cs="Arial"/>
                <w:bCs/>
              </w:rPr>
            </w:pPr>
            <w:r>
              <w:rPr>
                <w:rFonts w:ascii="Arial" w:hAnsi="Arial" w:cs="Arial"/>
                <w:bCs/>
              </w:rPr>
              <w:t>Platform for Action for 2014 – 2019 (Beijing +25 review).</w:t>
            </w:r>
          </w:p>
          <w:p w:rsidR="00A65F0A" w:rsidRDefault="00A65F0A" w:rsidP="00497828">
            <w:pPr>
              <w:pStyle w:val="ListParagraph"/>
              <w:numPr>
                <w:ilvl w:val="0"/>
                <w:numId w:val="7"/>
              </w:numPr>
              <w:ind w:right="480"/>
              <w:jc w:val="both"/>
              <w:rPr>
                <w:rFonts w:ascii="Arial" w:hAnsi="Arial" w:cs="Arial"/>
                <w:bCs/>
              </w:rPr>
            </w:pPr>
            <w:r>
              <w:rPr>
                <w:rFonts w:ascii="Arial" w:hAnsi="Arial" w:cs="Arial"/>
                <w:bCs/>
              </w:rPr>
              <w:t>This highlights were gaps and challenges persist in the empowerment of women and achievement of gender equality.</w:t>
            </w:r>
          </w:p>
          <w:p w:rsidR="00B6301E" w:rsidRPr="00497828" w:rsidRDefault="00A65F0A" w:rsidP="00497828">
            <w:pPr>
              <w:pStyle w:val="ListParagraph"/>
              <w:numPr>
                <w:ilvl w:val="0"/>
                <w:numId w:val="7"/>
              </w:numPr>
              <w:ind w:right="480"/>
              <w:jc w:val="both"/>
              <w:rPr>
                <w:rFonts w:ascii="Arial" w:hAnsi="Arial" w:cs="Arial"/>
                <w:bCs/>
              </w:rPr>
            </w:pPr>
            <w:r>
              <w:rPr>
                <w:rFonts w:ascii="Arial" w:hAnsi="Arial" w:cs="Arial"/>
                <w:bCs/>
              </w:rPr>
              <w:t>It will allow the setting of key gender priorities for the next five years.</w:t>
            </w:r>
          </w:p>
        </w:tc>
        <w:tc>
          <w:tcPr>
            <w:tcW w:w="2976" w:type="dxa"/>
          </w:tcPr>
          <w:p w:rsidR="00B6301E" w:rsidRPr="00B6301E" w:rsidRDefault="00B6301E" w:rsidP="00600802">
            <w:pPr>
              <w:spacing w:after="0" w:line="240" w:lineRule="auto"/>
              <w:rPr>
                <w:rFonts w:ascii="Arial" w:hAnsi="Arial" w:cs="Arial"/>
                <w:sz w:val="24"/>
                <w:szCs w:val="24"/>
              </w:rPr>
            </w:pPr>
          </w:p>
        </w:tc>
        <w:tc>
          <w:tcPr>
            <w:tcW w:w="2835" w:type="dxa"/>
          </w:tcPr>
          <w:p w:rsidR="00B6301E" w:rsidRDefault="00B6301E" w:rsidP="005B38CE">
            <w:pPr>
              <w:spacing w:after="0" w:line="240" w:lineRule="auto"/>
              <w:rPr>
                <w:rFonts w:ascii="Arial" w:hAnsi="Arial" w:cs="Arial"/>
                <w:sz w:val="24"/>
                <w:szCs w:val="24"/>
              </w:rPr>
            </w:pPr>
          </w:p>
        </w:tc>
      </w:tr>
      <w:tr w:rsidR="00AC60A7" w:rsidRPr="00600802" w:rsidTr="00DC54A0">
        <w:trPr>
          <w:trHeight w:val="211"/>
        </w:trPr>
        <w:tc>
          <w:tcPr>
            <w:tcW w:w="9493" w:type="dxa"/>
          </w:tcPr>
          <w:p w:rsidR="00AC60A7" w:rsidRDefault="00B6301E" w:rsidP="00497828">
            <w:pPr>
              <w:spacing w:after="0" w:line="240" w:lineRule="auto"/>
              <w:jc w:val="both"/>
              <w:rPr>
                <w:rFonts w:ascii="Arial" w:hAnsi="Arial" w:cs="Arial"/>
                <w:b/>
                <w:bCs/>
                <w:sz w:val="24"/>
                <w:szCs w:val="24"/>
              </w:rPr>
            </w:pPr>
            <w:r>
              <w:rPr>
                <w:rFonts w:ascii="Arial" w:hAnsi="Arial" w:cs="Arial"/>
                <w:bCs/>
                <w:sz w:val="24"/>
                <w:szCs w:val="24"/>
              </w:rPr>
              <w:t>5</w:t>
            </w:r>
            <w:r w:rsidRPr="00B6301E">
              <w:rPr>
                <w:rFonts w:ascii="Arial" w:hAnsi="Arial" w:cs="Arial"/>
                <w:bCs/>
                <w:sz w:val="24"/>
                <w:szCs w:val="24"/>
                <w:vertAlign w:val="superscript"/>
              </w:rPr>
              <w:t>th</w:t>
            </w:r>
            <w:r>
              <w:rPr>
                <w:rFonts w:ascii="Arial" w:hAnsi="Arial" w:cs="Arial"/>
                <w:bCs/>
                <w:sz w:val="24"/>
                <w:szCs w:val="24"/>
              </w:rPr>
              <w:t xml:space="preserve"> </w:t>
            </w:r>
            <w:r w:rsidRPr="00B6301E">
              <w:rPr>
                <w:rFonts w:ascii="Arial" w:hAnsi="Arial" w:cs="Arial"/>
                <w:bCs/>
                <w:sz w:val="24"/>
                <w:szCs w:val="24"/>
              </w:rPr>
              <w:t xml:space="preserve"> BRICS Youth Summit in Brasilia </w:t>
            </w:r>
            <w:r w:rsidR="004958B6">
              <w:rPr>
                <w:rFonts w:ascii="Arial" w:hAnsi="Arial" w:cs="Arial"/>
                <w:bCs/>
                <w:sz w:val="24"/>
                <w:szCs w:val="24"/>
              </w:rPr>
              <w:t>–</w:t>
            </w:r>
            <w:r w:rsidRPr="00B6301E">
              <w:rPr>
                <w:rFonts w:ascii="Arial" w:hAnsi="Arial" w:cs="Arial"/>
                <w:bCs/>
                <w:sz w:val="24"/>
                <w:szCs w:val="24"/>
              </w:rPr>
              <w:t xml:space="preserve"> </w:t>
            </w:r>
            <w:r w:rsidRPr="00B6301E">
              <w:rPr>
                <w:rFonts w:ascii="Arial" w:hAnsi="Arial" w:cs="Arial"/>
                <w:b/>
                <w:bCs/>
                <w:sz w:val="24"/>
                <w:szCs w:val="24"/>
              </w:rPr>
              <w:t>Brazil</w:t>
            </w:r>
          </w:p>
          <w:p w:rsidR="004958B6" w:rsidRPr="004958B6" w:rsidRDefault="004958B6" w:rsidP="00497828">
            <w:pPr>
              <w:pStyle w:val="ListParagraph"/>
              <w:ind w:left="360"/>
              <w:jc w:val="both"/>
              <w:rPr>
                <w:rFonts w:ascii="Arial" w:hAnsi="Arial" w:cs="Arial"/>
              </w:rPr>
            </w:pPr>
          </w:p>
        </w:tc>
        <w:tc>
          <w:tcPr>
            <w:tcW w:w="2976" w:type="dxa"/>
          </w:tcPr>
          <w:p w:rsidR="00AC60A7" w:rsidRPr="00600802" w:rsidRDefault="00B6301E" w:rsidP="00600802">
            <w:pPr>
              <w:spacing w:after="0" w:line="240" w:lineRule="auto"/>
              <w:rPr>
                <w:rFonts w:ascii="Arial" w:hAnsi="Arial" w:cs="Arial"/>
                <w:sz w:val="24"/>
                <w:szCs w:val="24"/>
              </w:rPr>
            </w:pPr>
            <w:r w:rsidRPr="00B6301E">
              <w:rPr>
                <w:rFonts w:ascii="Arial" w:hAnsi="Arial" w:cs="Arial"/>
                <w:sz w:val="24"/>
                <w:szCs w:val="24"/>
              </w:rPr>
              <w:t>17 - 20 October 2019</w:t>
            </w:r>
          </w:p>
        </w:tc>
        <w:tc>
          <w:tcPr>
            <w:tcW w:w="2835" w:type="dxa"/>
          </w:tcPr>
          <w:p w:rsidR="00AC60A7" w:rsidRDefault="00B6301E" w:rsidP="00600802">
            <w:pPr>
              <w:spacing w:after="0" w:line="240" w:lineRule="auto"/>
              <w:rPr>
                <w:rFonts w:ascii="Arial" w:hAnsi="Arial" w:cs="Arial"/>
                <w:sz w:val="24"/>
                <w:szCs w:val="24"/>
              </w:rPr>
            </w:pPr>
            <w:r>
              <w:rPr>
                <w:rFonts w:ascii="Arial" w:hAnsi="Arial" w:cs="Arial"/>
                <w:sz w:val="24"/>
                <w:szCs w:val="24"/>
              </w:rPr>
              <w:t>3</w:t>
            </w:r>
            <w:r w:rsidR="00AC60A7" w:rsidRPr="00600802">
              <w:rPr>
                <w:rFonts w:ascii="Arial" w:hAnsi="Arial" w:cs="Arial"/>
                <w:sz w:val="24"/>
                <w:szCs w:val="24"/>
              </w:rPr>
              <w:t xml:space="preserve"> officials</w:t>
            </w:r>
          </w:p>
          <w:p w:rsidR="005B38CE" w:rsidRPr="00600802" w:rsidRDefault="005B38CE" w:rsidP="00600802">
            <w:pPr>
              <w:spacing w:after="0" w:line="240" w:lineRule="auto"/>
              <w:rPr>
                <w:rFonts w:ascii="Arial" w:hAnsi="Arial" w:cs="Arial"/>
                <w:sz w:val="24"/>
                <w:szCs w:val="24"/>
              </w:rPr>
            </w:pPr>
            <w:r w:rsidRPr="005B38CE">
              <w:rPr>
                <w:rFonts w:ascii="Arial" w:hAnsi="Arial" w:cs="Arial"/>
                <w:b/>
                <w:bCs/>
                <w:sz w:val="24"/>
                <w:szCs w:val="24"/>
              </w:rPr>
              <w:t>Cost:</w:t>
            </w:r>
            <w:r w:rsidR="003131D4">
              <w:rPr>
                <w:rFonts w:ascii="Arial" w:hAnsi="Arial" w:cs="Arial"/>
                <w:b/>
                <w:bCs/>
                <w:sz w:val="24"/>
                <w:szCs w:val="24"/>
              </w:rPr>
              <w:t xml:space="preserve"> </w:t>
            </w:r>
            <w:r w:rsidR="00B6301E" w:rsidRPr="00B6301E">
              <w:rPr>
                <w:rFonts w:ascii="Arial" w:hAnsi="Arial" w:cs="Arial"/>
                <w:b/>
                <w:sz w:val="24"/>
                <w:szCs w:val="24"/>
              </w:rPr>
              <w:t>31 374.35</w:t>
            </w:r>
          </w:p>
        </w:tc>
      </w:tr>
      <w:tr w:rsidR="00B6301E" w:rsidRPr="00600802" w:rsidTr="00DC54A0">
        <w:trPr>
          <w:trHeight w:val="211"/>
        </w:trPr>
        <w:tc>
          <w:tcPr>
            <w:tcW w:w="9493" w:type="dxa"/>
          </w:tcPr>
          <w:p w:rsidR="00B6301E" w:rsidRPr="000E70DA" w:rsidRDefault="00B6301E" w:rsidP="00497828">
            <w:pPr>
              <w:spacing w:after="0" w:line="240" w:lineRule="auto"/>
              <w:jc w:val="both"/>
              <w:rPr>
                <w:rFonts w:ascii="Arial" w:hAnsi="Arial" w:cs="Arial"/>
                <w:b/>
                <w:bCs/>
                <w:sz w:val="24"/>
                <w:szCs w:val="24"/>
              </w:rPr>
            </w:pPr>
            <w:r w:rsidRPr="000E70DA">
              <w:rPr>
                <w:rFonts w:ascii="Arial" w:hAnsi="Arial" w:cs="Arial"/>
                <w:b/>
                <w:bCs/>
                <w:sz w:val="24"/>
                <w:szCs w:val="24"/>
              </w:rPr>
              <w:t>Impact</w:t>
            </w:r>
            <w:r w:rsidR="000E70DA" w:rsidRPr="000E70DA">
              <w:rPr>
                <w:rFonts w:ascii="Arial" w:hAnsi="Arial" w:cs="Arial"/>
                <w:b/>
                <w:bCs/>
                <w:sz w:val="24"/>
                <w:szCs w:val="24"/>
              </w:rPr>
              <w:t xml:space="preserve"> </w:t>
            </w:r>
          </w:p>
          <w:p w:rsidR="004958B6" w:rsidRPr="003823A1" w:rsidRDefault="004958B6" w:rsidP="00497828">
            <w:pPr>
              <w:spacing w:after="0" w:line="240" w:lineRule="auto"/>
              <w:jc w:val="both"/>
              <w:rPr>
                <w:rFonts w:ascii="Arial" w:hAnsi="Arial" w:cs="Arial"/>
                <w:b/>
                <w:bCs/>
                <w:color w:val="FF0000"/>
                <w:sz w:val="24"/>
                <w:szCs w:val="24"/>
              </w:rPr>
            </w:pPr>
          </w:p>
          <w:p w:rsidR="00C323DC" w:rsidRPr="00A36C7C" w:rsidRDefault="00A36C7C" w:rsidP="00C323DC">
            <w:pPr>
              <w:pStyle w:val="ListParagraph"/>
              <w:numPr>
                <w:ilvl w:val="0"/>
                <w:numId w:val="7"/>
              </w:numPr>
              <w:jc w:val="both"/>
              <w:rPr>
                <w:rFonts w:ascii="Arial" w:hAnsi="Arial" w:cs="Arial"/>
                <w:bCs/>
              </w:rPr>
            </w:pPr>
            <w:r w:rsidRPr="00A36C7C">
              <w:rPr>
                <w:rFonts w:ascii="Arial" w:hAnsi="Arial" w:cs="Arial"/>
                <w:bCs/>
              </w:rPr>
              <w:t>Strengthening the relationship amongst youth to have dialogue on issues of common interest namely:</w:t>
            </w:r>
          </w:p>
          <w:p w:rsidR="00A36C7C" w:rsidRPr="000E70DA" w:rsidRDefault="00A36C7C" w:rsidP="00A36C7C">
            <w:pPr>
              <w:pStyle w:val="ListParagraph"/>
              <w:numPr>
                <w:ilvl w:val="1"/>
                <w:numId w:val="7"/>
              </w:numPr>
              <w:jc w:val="both"/>
              <w:rPr>
                <w:rFonts w:ascii="Arial" w:hAnsi="Arial" w:cs="Arial"/>
                <w:bCs/>
              </w:rPr>
            </w:pPr>
            <w:r w:rsidRPr="000E70DA">
              <w:rPr>
                <w:rFonts w:ascii="Arial" w:hAnsi="Arial" w:cs="Arial"/>
                <w:bCs/>
              </w:rPr>
              <w:t>Education and skills development</w:t>
            </w:r>
          </w:p>
          <w:p w:rsidR="00A36C7C" w:rsidRPr="000E70DA" w:rsidRDefault="00A36C7C" w:rsidP="00A36C7C">
            <w:pPr>
              <w:pStyle w:val="ListParagraph"/>
              <w:numPr>
                <w:ilvl w:val="1"/>
                <w:numId w:val="7"/>
              </w:numPr>
              <w:jc w:val="both"/>
              <w:rPr>
                <w:rFonts w:ascii="Arial" w:hAnsi="Arial" w:cs="Arial"/>
                <w:bCs/>
              </w:rPr>
            </w:pPr>
            <w:r w:rsidRPr="000E70DA">
              <w:rPr>
                <w:rFonts w:ascii="Arial" w:hAnsi="Arial" w:cs="Arial"/>
                <w:bCs/>
              </w:rPr>
              <w:t>Informal education</w:t>
            </w:r>
          </w:p>
          <w:p w:rsidR="00A36C7C" w:rsidRPr="000E70DA" w:rsidRDefault="00A36C7C" w:rsidP="00A36C7C">
            <w:pPr>
              <w:pStyle w:val="ListParagraph"/>
              <w:numPr>
                <w:ilvl w:val="1"/>
                <w:numId w:val="7"/>
              </w:numPr>
              <w:jc w:val="both"/>
              <w:rPr>
                <w:rFonts w:ascii="Arial" w:hAnsi="Arial" w:cs="Arial"/>
                <w:b/>
                <w:bCs/>
              </w:rPr>
            </w:pPr>
            <w:r w:rsidRPr="000E70DA">
              <w:rPr>
                <w:rFonts w:ascii="Arial" w:hAnsi="Arial" w:cs="Arial"/>
                <w:bCs/>
              </w:rPr>
              <w:t>Economic participation</w:t>
            </w:r>
            <w:r w:rsidR="000E70DA" w:rsidRPr="000E70DA">
              <w:rPr>
                <w:rFonts w:ascii="Arial" w:hAnsi="Arial" w:cs="Arial"/>
                <w:bCs/>
              </w:rPr>
              <w:t xml:space="preserve"> inclusive of entrepreneurship</w:t>
            </w:r>
          </w:p>
          <w:p w:rsidR="000E70DA" w:rsidRPr="000E70DA" w:rsidRDefault="000E70DA" w:rsidP="000E70DA">
            <w:pPr>
              <w:pStyle w:val="ListParagraph"/>
              <w:numPr>
                <w:ilvl w:val="1"/>
                <w:numId w:val="7"/>
              </w:numPr>
              <w:jc w:val="both"/>
              <w:rPr>
                <w:rFonts w:ascii="Arial" w:hAnsi="Arial" w:cs="Arial"/>
                <w:b/>
                <w:bCs/>
              </w:rPr>
            </w:pPr>
            <w:r>
              <w:rPr>
                <w:rFonts w:ascii="Arial" w:hAnsi="Arial" w:cs="Arial"/>
                <w:bCs/>
              </w:rPr>
              <w:t>4IR</w:t>
            </w:r>
          </w:p>
          <w:p w:rsidR="000E70DA" w:rsidRPr="000E70DA" w:rsidRDefault="000E70DA" w:rsidP="000E70DA">
            <w:pPr>
              <w:pStyle w:val="ListParagraph"/>
              <w:numPr>
                <w:ilvl w:val="0"/>
                <w:numId w:val="7"/>
              </w:numPr>
              <w:jc w:val="both"/>
              <w:rPr>
                <w:rFonts w:ascii="Arial" w:hAnsi="Arial" w:cs="Arial"/>
                <w:b/>
                <w:bCs/>
              </w:rPr>
            </w:pPr>
            <w:r>
              <w:rPr>
                <w:rFonts w:ascii="Arial" w:hAnsi="Arial" w:cs="Arial"/>
                <w:bCs/>
              </w:rPr>
              <w:t>A plan of action was developed for exchange and bilateral activities</w:t>
            </w:r>
          </w:p>
          <w:p w:rsidR="000E70DA" w:rsidRPr="000E70DA" w:rsidRDefault="000E70DA" w:rsidP="000E70DA">
            <w:pPr>
              <w:pStyle w:val="ListParagraph"/>
              <w:numPr>
                <w:ilvl w:val="0"/>
                <w:numId w:val="7"/>
              </w:numPr>
              <w:jc w:val="both"/>
              <w:rPr>
                <w:rFonts w:ascii="Arial" w:hAnsi="Arial" w:cs="Arial"/>
                <w:b/>
                <w:bCs/>
              </w:rPr>
            </w:pPr>
            <w:r>
              <w:rPr>
                <w:rFonts w:ascii="Arial" w:hAnsi="Arial" w:cs="Arial"/>
                <w:bCs/>
              </w:rPr>
              <w:t>As a legacy project, the NYDA was able to have partnership with Brazil on involving young people in agriculture</w:t>
            </w:r>
          </w:p>
        </w:tc>
        <w:tc>
          <w:tcPr>
            <w:tcW w:w="2976" w:type="dxa"/>
          </w:tcPr>
          <w:p w:rsidR="00B6301E" w:rsidRPr="00B6301E" w:rsidRDefault="00B6301E" w:rsidP="00600802">
            <w:pPr>
              <w:spacing w:after="0" w:line="240" w:lineRule="auto"/>
              <w:rPr>
                <w:rFonts w:ascii="Arial" w:hAnsi="Arial" w:cs="Arial"/>
                <w:sz w:val="24"/>
                <w:szCs w:val="24"/>
              </w:rPr>
            </w:pPr>
          </w:p>
        </w:tc>
        <w:tc>
          <w:tcPr>
            <w:tcW w:w="2835" w:type="dxa"/>
          </w:tcPr>
          <w:p w:rsidR="00B6301E" w:rsidRDefault="00B6301E" w:rsidP="00600802">
            <w:pPr>
              <w:spacing w:after="0" w:line="240" w:lineRule="auto"/>
              <w:rPr>
                <w:rFonts w:ascii="Arial" w:hAnsi="Arial" w:cs="Arial"/>
                <w:sz w:val="24"/>
                <w:szCs w:val="24"/>
              </w:rPr>
            </w:pPr>
          </w:p>
        </w:tc>
      </w:tr>
      <w:tr w:rsidR="0086090D" w:rsidRPr="00600802" w:rsidTr="00DC54A0">
        <w:trPr>
          <w:trHeight w:val="211"/>
        </w:trPr>
        <w:tc>
          <w:tcPr>
            <w:tcW w:w="9493" w:type="dxa"/>
          </w:tcPr>
          <w:p w:rsidR="0086090D" w:rsidRPr="00497828" w:rsidRDefault="002920FB" w:rsidP="002920FB">
            <w:pPr>
              <w:spacing w:after="0" w:line="240" w:lineRule="auto"/>
              <w:jc w:val="both"/>
              <w:rPr>
                <w:rFonts w:ascii="Arial" w:hAnsi="Arial" w:cs="Arial"/>
                <w:b/>
                <w:bCs/>
                <w:sz w:val="24"/>
                <w:szCs w:val="24"/>
              </w:rPr>
            </w:pPr>
            <w:r>
              <w:rPr>
                <w:rFonts w:ascii="Arial" w:hAnsi="Arial" w:cs="Arial"/>
                <w:bCs/>
                <w:sz w:val="24"/>
                <w:szCs w:val="24"/>
              </w:rPr>
              <w:t xml:space="preserve">Nairobi </w:t>
            </w:r>
            <w:r w:rsidR="0086090D" w:rsidRPr="0086090D">
              <w:rPr>
                <w:rFonts w:ascii="Arial" w:hAnsi="Arial" w:cs="Arial"/>
                <w:bCs/>
                <w:sz w:val="24"/>
                <w:szCs w:val="24"/>
              </w:rPr>
              <w:t xml:space="preserve">Summit on the International Conference on Population and Development (ICDP) – </w:t>
            </w:r>
            <w:r w:rsidR="0086090D" w:rsidRPr="002920FB">
              <w:rPr>
                <w:rFonts w:ascii="Arial" w:hAnsi="Arial" w:cs="Arial"/>
                <w:b/>
                <w:bCs/>
                <w:sz w:val="24"/>
                <w:szCs w:val="24"/>
              </w:rPr>
              <w:t>Nairobi</w:t>
            </w:r>
            <w:r w:rsidRPr="002920FB">
              <w:rPr>
                <w:rFonts w:ascii="Arial" w:hAnsi="Arial" w:cs="Arial"/>
                <w:b/>
                <w:bCs/>
                <w:sz w:val="24"/>
                <w:szCs w:val="24"/>
              </w:rPr>
              <w:t xml:space="preserve">, </w:t>
            </w:r>
            <w:r w:rsidR="0086090D" w:rsidRPr="002920FB">
              <w:rPr>
                <w:rFonts w:ascii="Arial" w:hAnsi="Arial" w:cs="Arial"/>
                <w:b/>
                <w:bCs/>
                <w:sz w:val="24"/>
                <w:szCs w:val="24"/>
              </w:rPr>
              <w:t>Kenya</w:t>
            </w:r>
          </w:p>
        </w:tc>
        <w:tc>
          <w:tcPr>
            <w:tcW w:w="2976" w:type="dxa"/>
          </w:tcPr>
          <w:p w:rsidR="0086090D" w:rsidRPr="00B6301E" w:rsidRDefault="0086090D" w:rsidP="00600802">
            <w:pPr>
              <w:spacing w:after="0" w:line="240" w:lineRule="auto"/>
              <w:rPr>
                <w:rFonts w:ascii="Arial" w:hAnsi="Arial" w:cs="Arial"/>
                <w:sz w:val="24"/>
                <w:szCs w:val="24"/>
              </w:rPr>
            </w:pPr>
            <w:r>
              <w:rPr>
                <w:rFonts w:ascii="Arial" w:hAnsi="Arial" w:cs="Arial"/>
                <w:sz w:val="24"/>
                <w:szCs w:val="24"/>
              </w:rPr>
              <w:t>1</w:t>
            </w:r>
            <w:r w:rsidR="00387C71">
              <w:rPr>
                <w:rFonts w:ascii="Arial" w:hAnsi="Arial" w:cs="Arial"/>
                <w:sz w:val="24"/>
                <w:szCs w:val="24"/>
              </w:rPr>
              <w:t xml:space="preserve">2 - </w:t>
            </w:r>
            <w:r>
              <w:rPr>
                <w:rFonts w:ascii="Arial" w:hAnsi="Arial" w:cs="Arial"/>
                <w:sz w:val="24"/>
                <w:szCs w:val="24"/>
              </w:rPr>
              <w:t>14 November 2019</w:t>
            </w:r>
          </w:p>
        </w:tc>
        <w:tc>
          <w:tcPr>
            <w:tcW w:w="2835" w:type="dxa"/>
          </w:tcPr>
          <w:p w:rsidR="0086090D" w:rsidRDefault="0086090D" w:rsidP="00600802">
            <w:pPr>
              <w:spacing w:after="0" w:line="240" w:lineRule="auto"/>
              <w:rPr>
                <w:rFonts w:ascii="Arial" w:hAnsi="Arial" w:cs="Arial"/>
                <w:sz w:val="24"/>
                <w:szCs w:val="24"/>
              </w:rPr>
            </w:pPr>
            <w:r>
              <w:rPr>
                <w:rFonts w:ascii="Arial" w:hAnsi="Arial" w:cs="Arial"/>
                <w:sz w:val="24"/>
                <w:szCs w:val="24"/>
              </w:rPr>
              <w:t>4 officials</w:t>
            </w:r>
          </w:p>
          <w:p w:rsidR="0086090D" w:rsidRPr="0086090D" w:rsidRDefault="0086090D" w:rsidP="00DC54A0">
            <w:pPr>
              <w:spacing w:after="0" w:line="240" w:lineRule="auto"/>
              <w:rPr>
                <w:rFonts w:ascii="Arial" w:hAnsi="Arial" w:cs="Arial"/>
                <w:b/>
                <w:sz w:val="24"/>
                <w:szCs w:val="24"/>
              </w:rPr>
            </w:pPr>
            <w:r w:rsidRPr="00DC54A0">
              <w:rPr>
                <w:rFonts w:ascii="Arial" w:hAnsi="Arial" w:cs="Arial"/>
                <w:b/>
                <w:sz w:val="24"/>
                <w:szCs w:val="24"/>
              </w:rPr>
              <w:t>Cost:</w:t>
            </w:r>
            <w:r w:rsidR="00F62070" w:rsidRPr="00DC54A0">
              <w:rPr>
                <w:rFonts w:ascii="Arial" w:hAnsi="Arial" w:cs="Arial"/>
                <w:b/>
                <w:sz w:val="24"/>
                <w:szCs w:val="24"/>
              </w:rPr>
              <w:t xml:space="preserve"> </w:t>
            </w:r>
            <w:r w:rsidR="00DC54A0" w:rsidRPr="00DC54A0">
              <w:rPr>
                <w:rFonts w:ascii="Arial" w:hAnsi="Arial" w:cs="Arial"/>
                <w:b/>
                <w:sz w:val="24"/>
                <w:szCs w:val="24"/>
              </w:rPr>
              <w:t>83 765.47</w:t>
            </w:r>
          </w:p>
        </w:tc>
      </w:tr>
      <w:tr w:rsidR="0086090D" w:rsidRPr="00600802" w:rsidTr="00DC54A0">
        <w:trPr>
          <w:trHeight w:val="211"/>
        </w:trPr>
        <w:tc>
          <w:tcPr>
            <w:tcW w:w="9493" w:type="dxa"/>
          </w:tcPr>
          <w:p w:rsidR="0086090D" w:rsidRPr="0041664C" w:rsidRDefault="0086090D" w:rsidP="00497828">
            <w:pPr>
              <w:spacing w:after="0" w:line="240" w:lineRule="auto"/>
              <w:jc w:val="both"/>
              <w:rPr>
                <w:rFonts w:ascii="Arial" w:hAnsi="Arial" w:cs="Arial"/>
                <w:b/>
                <w:bCs/>
                <w:color w:val="000000" w:themeColor="text1"/>
                <w:sz w:val="24"/>
                <w:szCs w:val="24"/>
              </w:rPr>
            </w:pPr>
            <w:r w:rsidRPr="0041664C">
              <w:rPr>
                <w:rFonts w:ascii="Arial" w:hAnsi="Arial" w:cs="Arial"/>
                <w:b/>
                <w:bCs/>
                <w:color w:val="000000" w:themeColor="text1"/>
                <w:sz w:val="24"/>
                <w:szCs w:val="24"/>
              </w:rPr>
              <w:t>Impact</w:t>
            </w:r>
            <w:r w:rsidR="0041664C">
              <w:rPr>
                <w:rFonts w:ascii="Arial" w:hAnsi="Arial" w:cs="Arial"/>
                <w:b/>
                <w:bCs/>
                <w:color w:val="000000" w:themeColor="text1"/>
                <w:sz w:val="24"/>
                <w:szCs w:val="24"/>
              </w:rPr>
              <w:t xml:space="preserve"> </w:t>
            </w:r>
          </w:p>
          <w:p w:rsidR="0086090D" w:rsidRDefault="0086090D" w:rsidP="00497828">
            <w:pPr>
              <w:spacing w:after="0" w:line="240" w:lineRule="auto"/>
              <w:jc w:val="both"/>
              <w:rPr>
                <w:rFonts w:ascii="Arial" w:hAnsi="Arial" w:cs="Arial"/>
                <w:b/>
                <w:bCs/>
                <w:sz w:val="24"/>
                <w:szCs w:val="24"/>
              </w:rPr>
            </w:pPr>
          </w:p>
          <w:p w:rsidR="0086090D" w:rsidRDefault="000E4FDA" w:rsidP="0086090D">
            <w:pPr>
              <w:pStyle w:val="ListParagraph"/>
              <w:numPr>
                <w:ilvl w:val="0"/>
                <w:numId w:val="7"/>
              </w:numPr>
              <w:jc w:val="both"/>
              <w:rPr>
                <w:rFonts w:ascii="Arial" w:hAnsi="Arial" w:cs="Arial"/>
                <w:bCs/>
              </w:rPr>
            </w:pPr>
            <w:r>
              <w:rPr>
                <w:rFonts w:ascii="Arial" w:hAnsi="Arial" w:cs="Arial"/>
                <w:bCs/>
              </w:rPr>
              <w:t>To acc</w:t>
            </w:r>
            <w:r w:rsidR="00387C71" w:rsidRPr="00387C71">
              <w:rPr>
                <w:rFonts w:ascii="Arial" w:hAnsi="Arial" w:cs="Arial"/>
                <w:bCs/>
              </w:rPr>
              <w:t>ess progress and challenges on 1994 Cairo conference</w:t>
            </w:r>
          </w:p>
          <w:p w:rsidR="00387C71" w:rsidRDefault="00387C71" w:rsidP="0086090D">
            <w:pPr>
              <w:pStyle w:val="ListParagraph"/>
              <w:numPr>
                <w:ilvl w:val="0"/>
                <w:numId w:val="7"/>
              </w:numPr>
              <w:jc w:val="both"/>
              <w:rPr>
                <w:rFonts w:ascii="Arial" w:hAnsi="Arial" w:cs="Arial"/>
                <w:bCs/>
              </w:rPr>
            </w:pPr>
            <w:r>
              <w:rPr>
                <w:rFonts w:ascii="Arial" w:hAnsi="Arial" w:cs="Arial"/>
                <w:bCs/>
              </w:rPr>
              <w:t>The Government of South Arica highlighted the progress</w:t>
            </w:r>
            <w:r w:rsidR="0041664C">
              <w:rPr>
                <w:rFonts w:ascii="Arial" w:hAnsi="Arial" w:cs="Arial"/>
                <w:bCs/>
              </w:rPr>
              <w:t xml:space="preserve"> </w:t>
            </w:r>
            <w:r>
              <w:rPr>
                <w:rFonts w:ascii="Arial" w:hAnsi="Arial" w:cs="Arial"/>
                <w:bCs/>
              </w:rPr>
              <w:t>made in the five thematic areas and challenges</w:t>
            </w:r>
          </w:p>
          <w:p w:rsidR="0041664C" w:rsidRDefault="0041664C" w:rsidP="0086090D">
            <w:pPr>
              <w:pStyle w:val="ListParagraph"/>
              <w:numPr>
                <w:ilvl w:val="0"/>
                <w:numId w:val="7"/>
              </w:numPr>
              <w:jc w:val="both"/>
              <w:rPr>
                <w:rFonts w:ascii="Arial" w:hAnsi="Arial" w:cs="Arial"/>
                <w:bCs/>
              </w:rPr>
            </w:pPr>
            <w:r>
              <w:rPr>
                <w:rFonts w:ascii="Arial" w:hAnsi="Arial" w:cs="Arial"/>
                <w:bCs/>
              </w:rPr>
              <w:lastRenderedPageBreak/>
              <w:t>South Africa made commitments which will be undertaken in the next 10 years to reach Agenda 2030</w:t>
            </w:r>
          </w:p>
          <w:p w:rsidR="0041664C" w:rsidRDefault="0041664C" w:rsidP="0086090D">
            <w:pPr>
              <w:pStyle w:val="ListParagraph"/>
              <w:numPr>
                <w:ilvl w:val="0"/>
                <w:numId w:val="7"/>
              </w:numPr>
              <w:jc w:val="both"/>
              <w:rPr>
                <w:rFonts w:ascii="Arial" w:hAnsi="Arial" w:cs="Arial"/>
                <w:bCs/>
              </w:rPr>
            </w:pPr>
            <w:r>
              <w:rPr>
                <w:rFonts w:ascii="Arial" w:hAnsi="Arial" w:cs="Arial"/>
                <w:bCs/>
              </w:rPr>
              <w:t>To ensure that there is:</w:t>
            </w:r>
          </w:p>
          <w:p w:rsidR="0041664C" w:rsidRDefault="0041664C" w:rsidP="0041664C">
            <w:pPr>
              <w:pStyle w:val="ListParagraph"/>
              <w:numPr>
                <w:ilvl w:val="1"/>
                <w:numId w:val="7"/>
              </w:numPr>
              <w:jc w:val="both"/>
              <w:rPr>
                <w:rFonts w:ascii="Arial" w:hAnsi="Arial" w:cs="Arial"/>
                <w:bCs/>
              </w:rPr>
            </w:pPr>
            <w:r>
              <w:rPr>
                <w:rFonts w:ascii="Arial" w:hAnsi="Arial" w:cs="Arial"/>
                <w:bCs/>
              </w:rPr>
              <w:t>Zero preventable maternal deaths</w:t>
            </w:r>
          </w:p>
          <w:p w:rsidR="0041664C" w:rsidRDefault="0041664C" w:rsidP="0041664C">
            <w:pPr>
              <w:pStyle w:val="ListParagraph"/>
              <w:numPr>
                <w:ilvl w:val="1"/>
                <w:numId w:val="7"/>
              </w:numPr>
              <w:jc w:val="both"/>
              <w:rPr>
                <w:rFonts w:ascii="Arial" w:hAnsi="Arial" w:cs="Arial"/>
                <w:bCs/>
              </w:rPr>
            </w:pPr>
            <w:r>
              <w:rPr>
                <w:rFonts w:ascii="Arial" w:hAnsi="Arial" w:cs="Arial"/>
                <w:bCs/>
              </w:rPr>
              <w:t>Zero unmet need for family planning</w:t>
            </w:r>
          </w:p>
          <w:p w:rsidR="0041664C" w:rsidRDefault="0041664C" w:rsidP="0041664C">
            <w:pPr>
              <w:pStyle w:val="ListParagraph"/>
              <w:numPr>
                <w:ilvl w:val="1"/>
                <w:numId w:val="7"/>
              </w:numPr>
              <w:jc w:val="both"/>
              <w:rPr>
                <w:rFonts w:ascii="Arial" w:hAnsi="Arial" w:cs="Arial"/>
                <w:bCs/>
              </w:rPr>
            </w:pPr>
            <w:r>
              <w:rPr>
                <w:rFonts w:ascii="Arial" w:hAnsi="Arial" w:cs="Arial"/>
                <w:bCs/>
              </w:rPr>
              <w:t>Zero GBV and harmful p</w:t>
            </w:r>
            <w:r w:rsidR="00E06017">
              <w:rPr>
                <w:rFonts w:ascii="Arial" w:hAnsi="Arial" w:cs="Arial"/>
                <w:bCs/>
              </w:rPr>
              <w:t>ractices</w:t>
            </w:r>
          </w:p>
          <w:p w:rsidR="00A65F0A" w:rsidRPr="00387C71" w:rsidRDefault="00A65F0A" w:rsidP="00A65F0A">
            <w:pPr>
              <w:pStyle w:val="ListParagraph"/>
              <w:numPr>
                <w:ilvl w:val="0"/>
                <w:numId w:val="7"/>
              </w:numPr>
              <w:jc w:val="both"/>
              <w:rPr>
                <w:rFonts w:ascii="Arial" w:hAnsi="Arial" w:cs="Arial"/>
                <w:bCs/>
              </w:rPr>
            </w:pPr>
            <w:r>
              <w:rPr>
                <w:rFonts w:ascii="Arial" w:hAnsi="Arial" w:cs="Arial"/>
                <w:bCs/>
              </w:rPr>
              <w:t>Addressing sexual and reproductive health and rights for women especially young girls.</w:t>
            </w:r>
          </w:p>
        </w:tc>
        <w:tc>
          <w:tcPr>
            <w:tcW w:w="2976" w:type="dxa"/>
          </w:tcPr>
          <w:p w:rsidR="0086090D" w:rsidRDefault="0086090D" w:rsidP="00600802">
            <w:pPr>
              <w:spacing w:after="0" w:line="240" w:lineRule="auto"/>
              <w:rPr>
                <w:rFonts w:ascii="Arial" w:hAnsi="Arial" w:cs="Arial"/>
                <w:sz w:val="24"/>
                <w:szCs w:val="24"/>
              </w:rPr>
            </w:pPr>
          </w:p>
        </w:tc>
        <w:tc>
          <w:tcPr>
            <w:tcW w:w="2835" w:type="dxa"/>
          </w:tcPr>
          <w:p w:rsidR="0086090D" w:rsidRDefault="0086090D" w:rsidP="00600802">
            <w:pPr>
              <w:spacing w:after="0" w:line="240" w:lineRule="auto"/>
              <w:rPr>
                <w:rFonts w:ascii="Arial" w:hAnsi="Arial" w:cs="Arial"/>
                <w:sz w:val="24"/>
                <w:szCs w:val="24"/>
              </w:rPr>
            </w:pPr>
          </w:p>
        </w:tc>
      </w:tr>
      <w:tr w:rsidR="00B6301E" w:rsidRPr="00600802" w:rsidTr="00DC54A0">
        <w:trPr>
          <w:trHeight w:val="211"/>
        </w:trPr>
        <w:tc>
          <w:tcPr>
            <w:tcW w:w="9493" w:type="dxa"/>
          </w:tcPr>
          <w:p w:rsidR="00B6301E" w:rsidRPr="00B6301E" w:rsidRDefault="00B6301E" w:rsidP="00497828">
            <w:pPr>
              <w:spacing w:after="0" w:line="240" w:lineRule="auto"/>
              <w:jc w:val="both"/>
              <w:rPr>
                <w:rFonts w:ascii="Arial" w:hAnsi="Arial" w:cs="Arial"/>
                <w:b/>
                <w:bCs/>
                <w:sz w:val="24"/>
                <w:szCs w:val="24"/>
              </w:rPr>
            </w:pPr>
            <w:r w:rsidRPr="00B6301E">
              <w:rPr>
                <w:rFonts w:ascii="Arial" w:hAnsi="Arial" w:cs="Arial"/>
                <w:bCs/>
                <w:sz w:val="24"/>
                <w:szCs w:val="24"/>
              </w:rPr>
              <w:lastRenderedPageBreak/>
              <w:t>African  Women Forum Crans Montana</w:t>
            </w:r>
            <w:r>
              <w:rPr>
                <w:rFonts w:ascii="Arial" w:hAnsi="Arial" w:cs="Arial"/>
                <w:b/>
                <w:bCs/>
                <w:sz w:val="24"/>
                <w:szCs w:val="24"/>
              </w:rPr>
              <w:t xml:space="preserve"> -</w:t>
            </w:r>
            <w:r w:rsidRPr="00B6301E">
              <w:rPr>
                <w:rFonts w:ascii="Arial" w:hAnsi="Arial" w:cs="Arial"/>
                <w:b/>
                <w:bCs/>
                <w:sz w:val="24"/>
                <w:szCs w:val="24"/>
              </w:rPr>
              <w:t xml:space="preserve"> Belgium</w:t>
            </w:r>
          </w:p>
        </w:tc>
        <w:tc>
          <w:tcPr>
            <w:tcW w:w="2976" w:type="dxa"/>
          </w:tcPr>
          <w:p w:rsidR="00B6301E" w:rsidRPr="00B6301E" w:rsidRDefault="00B6301E" w:rsidP="00600802">
            <w:pPr>
              <w:spacing w:after="0" w:line="240" w:lineRule="auto"/>
              <w:rPr>
                <w:rFonts w:ascii="Arial" w:hAnsi="Arial" w:cs="Arial"/>
                <w:sz w:val="24"/>
                <w:szCs w:val="24"/>
              </w:rPr>
            </w:pPr>
            <w:r w:rsidRPr="00B6301E">
              <w:rPr>
                <w:rFonts w:ascii="Arial" w:hAnsi="Arial" w:cs="Arial"/>
                <w:sz w:val="24"/>
                <w:szCs w:val="24"/>
              </w:rPr>
              <w:t>14 - 17 November 2019</w:t>
            </w:r>
          </w:p>
        </w:tc>
        <w:tc>
          <w:tcPr>
            <w:tcW w:w="2835" w:type="dxa"/>
          </w:tcPr>
          <w:p w:rsidR="00B6301E" w:rsidRDefault="00B6301E" w:rsidP="00600802">
            <w:pPr>
              <w:spacing w:after="0" w:line="240" w:lineRule="auto"/>
              <w:rPr>
                <w:rFonts w:ascii="Arial" w:hAnsi="Arial" w:cs="Arial"/>
                <w:sz w:val="24"/>
                <w:szCs w:val="24"/>
              </w:rPr>
            </w:pPr>
            <w:r>
              <w:rPr>
                <w:rFonts w:ascii="Arial" w:hAnsi="Arial" w:cs="Arial"/>
                <w:sz w:val="24"/>
                <w:szCs w:val="24"/>
              </w:rPr>
              <w:t>3 officials</w:t>
            </w:r>
          </w:p>
          <w:p w:rsidR="00B6301E" w:rsidRPr="00B6301E" w:rsidRDefault="00B6301E" w:rsidP="00600802">
            <w:pPr>
              <w:spacing w:after="0" w:line="240" w:lineRule="auto"/>
              <w:rPr>
                <w:rFonts w:ascii="Arial" w:hAnsi="Arial" w:cs="Arial"/>
                <w:b/>
                <w:sz w:val="24"/>
                <w:szCs w:val="24"/>
              </w:rPr>
            </w:pPr>
            <w:r w:rsidRPr="00B6301E">
              <w:rPr>
                <w:rFonts w:ascii="Arial" w:hAnsi="Arial" w:cs="Arial"/>
                <w:b/>
                <w:sz w:val="24"/>
                <w:szCs w:val="24"/>
              </w:rPr>
              <w:t>Cost</w:t>
            </w:r>
            <w:r>
              <w:rPr>
                <w:rFonts w:ascii="Arial" w:hAnsi="Arial" w:cs="Arial"/>
                <w:b/>
                <w:sz w:val="24"/>
                <w:szCs w:val="24"/>
              </w:rPr>
              <w:t>:</w:t>
            </w:r>
            <w:r w:rsidRPr="00B6301E">
              <w:t xml:space="preserve"> </w:t>
            </w:r>
            <w:r w:rsidRPr="00B6301E">
              <w:rPr>
                <w:rFonts w:ascii="Arial" w:hAnsi="Arial" w:cs="Arial"/>
                <w:b/>
                <w:sz w:val="24"/>
                <w:szCs w:val="24"/>
              </w:rPr>
              <w:t>153 126.40</w:t>
            </w:r>
            <w:r>
              <w:rPr>
                <w:rFonts w:ascii="Arial" w:hAnsi="Arial" w:cs="Arial"/>
                <w:b/>
                <w:sz w:val="24"/>
                <w:szCs w:val="24"/>
              </w:rPr>
              <w:t xml:space="preserve"> </w:t>
            </w:r>
          </w:p>
        </w:tc>
      </w:tr>
      <w:tr w:rsidR="00B6301E" w:rsidRPr="00600802" w:rsidTr="00DC54A0">
        <w:trPr>
          <w:trHeight w:val="211"/>
        </w:trPr>
        <w:tc>
          <w:tcPr>
            <w:tcW w:w="9493" w:type="dxa"/>
          </w:tcPr>
          <w:p w:rsidR="00B6301E" w:rsidRPr="00497828" w:rsidRDefault="00B6301E" w:rsidP="00497828">
            <w:pPr>
              <w:spacing w:after="0" w:line="240" w:lineRule="auto"/>
              <w:jc w:val="both"/>
              <w:rPr>
                <w:rFonts w:ascii="Arial" w:hAnsi="Arial" w:cs="Arial"/>
                <w:b/>
                <w:bCs/>
                <w:sz w:val="24"/>
                <w:szCs w:val="24"/>
              </w:rPr>
            </w:pPr>
            <w:r w:rsidRPr="00497828">
              <w:rPr>
                <w:rFonts w:ascii="Arial" w:hAnsi="Arial" w:cs="Arial"/>
                <w:b/>
                <w:bCs/>
                <w:sz w:val="24"/>
                <w:szCs w:val="24"/>
              </w:rPr>
              <w:t>Impact</w:t>
            </w:r>
          </w:p>
          <w:p w:rsidR="00497828" w:rsidRDefault="00497828" w:rsidP="00497828">
            <w:pPr>
              <w:spacing w:after="0" w:line="240" w:lineRule="auto"/>
              <w:jc w:val="both"/>
              <w:rPr>
                <w:rFonts w:ascii="Arial" w:hAnsi="Arial" w:cs="Arial"/>
                <w:b/>
                <w:bCs/>
                <w:color w:val="FF0000"/>
                <w:sz w:val="24"/>
                <w:szCs w:val="24"/>
              </w:rPr>
            </w:pPr>
          </w:p>
          <w:p w:rsidR="00497828" w:rsidRDefault="00497828" w:rsidP="00497828">
            <w:pPr>
              <w:pStyle w:val="ListParagraph"/>
              <w:numPr>
                <w:ilvl w:val="0"/>
                <w:numId w:val="7"/>
              </w:numPr>
              <w:jc w:val="both"/>
              <w:rPr>
                <w:rFonts w:ascii="Arial" w:hAnsi="Arial" w:cs="Arial"/>
                <w:bCs/>
              </w:rPr>
            </w:pPr>
            <w:r w:rsidRPr="00497828">
              <w:rPr>
                <w:rFonts w:ascii="Arial" w:hAnsi="Arial" w:cs="Arial"/>
                <w:bCs/>
              </w:rPr>
              <w:t>Focus</w:t>
            </w:r>
            <w:r>
              <w:rPr>
                <w:rFonts w:ascii="Arial" w:hAnsi="Arial" w:cs="Arial"/>
                <w:bCs/>
              </w:rPr>
              <w:t>ing</w:t>
            </w:r>
            <w:r w:rsidRPr="00497828">
              <w:rPr>
                <w:rFonts w:ascii="Arial" w:hAnsi="Arial" w:cs="Arial"/>
                <w:bCs/>
              </w:rPr>
              <w:t xml:space="preserve"> on women in leadership</w:t>
            </w:r>
          </w:p>
          <w:p w:rsidR="00D1141C" w:rsidRDefault="00D1141C" w:rsidP="00D1141C">
            <w:pPr>
              <w:pStyle w:val="ListParagraph"/>
              <w:numPr>
                <w:ilvl w:val="1"/>
                <w:numId w:val="7"/>
              </w:numPr>
              <w:rPr>
                <w:rFonts w:ascii="Arial" w:hAnsi="Arial" w:cs="Arial"/>
                <w:bCs/>
              </w:rPr>
            </w:pPr>
            <w:r w:rsidRPr="00D1141C">
              <w:rPr>
                <w:rFonts w:ascii="Arial" w:hAnsi="Arial" w:cs="Arial"/>
                <w:bCs/>
              </w:rPr>
              <w:t>Priority to Women and Girls’ Education</w:t>
            </w:r>
          </w:p>
          <w:p w:rsidR="00D1141C" w:rsidRPr="00D1141C" w:rsidRDefault="00D1141C" w:rsidP="00D1141C">
            <w:pPr>
              <w:pStyle w:val="ListParagraph"/>
              <w:numPr>
                <w:ilvl w:val="1"/>
                <w:numId w:val="7"/>
              </w:numPr>
              <w:rPr>
                <w:rFonts w:ascii="Arial" w:hAnsi="Arial" w:cs="Arial"/>
                <w:bCs/>
              </w:rPr>
            </w:pPr>
            <w:r w:rsidRPr="00D1141C">
              <w:rPr>
                <w:rFonts w:ascii="Arial" w:hAnsi="Arial" w:cs="Arial"/>
                <w:bCs/>
              </w:rPr>
              <w:t>Access to employment and societal responsibilities</w:t>
            </w:r>
          </w:p>
          <w:p w:rsidR="00D1141C" w:rsidRPr="00D1141C" w:rsidRDefault="00D1141C" w:rsidP="00D1141C">
            <w:pPr>
              <w:pStyle w:val="ListParagraph"/>
              <w:numPr>
                <w:ilvl w:val="1"/>
                <w:numId w:val="7"/>
              </w:numPr>
              <w:rPr>
                <w:rFonts w:ascii="Arial" w:hAnsi="Arial" w:cs="Arial"/>
                <w:bCs/>
              </w:rPr>
            </w:pPr>
            <w:r w:rsidRPr="00D1141C">
              <w:rPr>
                <w:rFonts w:ascii="Arial" w:hAnsi="Arial" w:cs="Arial"/>
                <w:bCs/>
              </w:rPr>
              <w:t>Rural women empowerment and the promotion of women’s entrepreneurship</w:t>
            </w:r>
          </w:p>
          <w:p w:rsidR="0068789E" w:rsidRDefault="0068789E" w:rsidP="0068789E">
            <w:pPr>
              <w:pStyle w:val="ListParagraph"/>
              <w:numPr>
                <w:ilvl w:val="0"/>
                <w:numId w:val="7"/>
              </w:numPr>
              <w:jc w:val="both"/>
              <w:rPr>
                <w:rFonts w:ascii="Arial" w:hAnsi="Arial" w:cs="Arial"/>
                <w:bCs/>
              </w:rPr>
            </w:pPr>
            <w:r>
              <w:rPr>
                <w:rFonts w:ascii="Arial" w:hAnsi="Arial" w:cs="Arial"/>
                <w:bCs/>
              </w:rPr>
              <w:t xml:space="preserve">Developing young women as future leaders </w:t>
            </w:r>
          </w:p>
          <w:p w:rsidR="0068789E" w:rsidRPr="0068789E" w:rsidRDefault="0068789E" w:rsidP="0068789E">
            <w:pPr>
              <w:pStyle w:val="ListParagraph"/>
              <w:numPr>
                <w:ilvl w:val="0"/>
                <w:numId w:val="7"/>
              </w:numPr>
              <w:jc w:val="both"/>
              <w:rPr>
                <w:rFonts w:ascii="Arial" w:hAnsi="Arial" w:cs="Arial"/>
                <w:bCs/>
              </w:rPr>
            </w:pPr>
            <w:r>
              <w:rPr>
                <w:rFonts w:ascii="Arial" w:hAnsi="Arial" w:cs="Arial"/>
                <w:bCs/>
              </w:rPr>
              <w:t>Sharing South Africa’s best practices</w:t>
            </w:r>
          </w:p>
        </w:tc>
        <w:tc>
          <w:tcPr>
            <w:tcW w:w="2976" w:type="dxa"/>
          </w:tcPr>
          <w:p w:rsidR="00B6301E" w:rsidRPr="00B6301E" w:rsidRDefault="00B6301E" w:rsidP="00600802">
            <w:pPr>
              <w:spacing w:after="0" w:line="240" w:lineRule="auto"/>
              <w:rPr>
                <w:rFonts w:ascii="Arial" w:hAnsi="Arial" w:cs="Arial"/>
                <w:sz w:val="24"/>
                <w:szCs w:val="24"/>
              </w:rPr>
            </w:pPr>
          </w:p>
        </w:tc>
        <w:tc>
          <w:tcPr>
            <w:tcW w:w="2835" w:type="dxa"/>
          </w:tcPr>
          <w:p w:rsidR="00B6301E" w:rsidRDefault="00B6301E" w:rsidP="00600802">
            <w:pPr>
              <w:spacing w:after="0" w:line="240" w:lineRule="auto"/>
              <w:rPr>
                <w:rFonts w:ascii="Arial" w:hAnsi="Arial" w:cs="Arial"/>
                <w:sz w:val="24"/>
                <w:szCs w:val="24"/>
              </w:rPr>
            </w:pPr>
          </w:p>
        </w:tc>
      </w:tr>
      <w:tr w:rsidR="0086090D" w:rsidRPr="00600802" w:rsidTr="00DC54A0">
        <w:trPr>
          <w:trHeight w:val="211"/>
        </w:trPr>
        <w:tc>
          <w:tcPr>
            <w:tcW w:w="9493" w:type="dxa"/>
          </w:tcPr>
          <w:p w:rsidR="0086090D" w:rsidRDefault="002920FB" w:rsidP="00497828">
            <w:pPr>
              <w:spacing w:after="0" w:line="240" w:lineRule="auto"/>
              <w:jc w:val="both"/>
              <w:rPr>
                <w:rFonts w:ascii="Arial" w:hAnsi="Arial" w:cs="Arial"/>
                <w:b/>
                <w:bCs/>
                <w:sz w:val="24"/>
                <w:szCs w:val="24"/>
              </w:rPr>
            </w:pPr>
            <w:r w:rsidRPr="002920FB">
              <w:rPr>
                <w:rFonts w:ascii="Arial" w:hAnsi="Arial" w:cs="Arial"/>
                <w:bCs/>
                <w:sz w:val="24"/>
                <w:szCs w:val="24"/>
              </w:rPr>
              <w:t>2019 Global Gender Summit</w:t>
            </w:r>
            <w:r>
              <w:rPr>
                <w:rFonts w:ascii="Arial" w:hAnsi="Arial" w:cs="Arial"/>
                <w:bCs/>
                <w:sz w:val="24"/>
                <w:szCs w:val="24"/>
              </w:rPr>
              <w:t xml:space="preserve"> – </w:t>
            </w:r>
            <w:r w:rsidRPr="002920FB">
              <w:rPr>
                <w:rFonts w:ascii="Arial" w:hAnsi="Arial" w:cs="Arial"/>
                <w:b/>
                <w:bCs/>
                <w:sz w:val="24"/>
                <w:szCs w:val="24"/>
              </w:rPr>
              <w:t>Kigali, Rwanda</w:t>
            </w:r>
          </w:p>
          <w:p w:rsidR="002920FB" w:rsidRPr="002920FB" w:rsidRDefault="002920FB" w:rsidP="00497828">
            <w:pPr>
              <w:spacing w:after="0" w:line="240" w:lineRule="auto"/>
              <w:jc w:val="both"/>
              <w:rPr>
                <w:rFonts w:ascii="Arial" w:hAnsi="Arial" w:cs="Arial"/>
                <w:bCs/>
                <w:sz w:val="24"/>
                <w:szCs w:val="24"/>
              </w:rPr>
            </w:pPr>
          </w:p>
        </w:tc>
        <w:tc>
          <w:tcPr>
            <w:tcW w:w="2976" w:type="dxa"/>
          </w:tcPr>
          <w:p w:rsidR="0086090D" w:rsidRPr="00B6301E" w:rsidRDefault="0086090D" w:rsidP="00600802">
            <w:pPr>
              <w:spacing w:after="0" w:line="240" w:lineRule="auto"/>
              <w:rPr>
                <w:rFonts w:ascii="Arial" w:hAnsi="Arial" w:cs="Arial"/>
                <w:sz w:val="24"/>
                <w:szCs w:val="24"/>
              </w:rPr>
            </w:pPr>
            <w:r>
              <w:rPr>
                <w:rFonts w:ascii="Arial" w:hAnsi="Arial" w:cs="Arial"/>
                <w:sz w:val="24"/>
                <w:szCs w:val="24"/>
              </w:rPr>
              <w:t>24</w:t>
            </w:r>
            <w:r w:rsidR="00387C71">
              <w:rPr>
                <w:rFonts w:ascii="Arial" w:hAnsi="Arial" w:cs="Arial"/>
                <w:sz w:val="24"/>
                <w:szCs w:val="24"/>
              </w:rPr>
              <w:t xml:space="preserve"> - </w:t>
            </w:r>
            <w:r>
              <w:rPr>
                <w:rFonts w:ascii="Arial" w:hAnsi="Arial" w:cs="Arial"/>
                <w:sz w:val="24"/>
                <w:szCs w:val="24"/>
              </w:rPr>
              <w:t>27 November 2019</w:t>
            </w:r>
          </w:p>
        </w:tc>
        <w:tc>
          <w:tcPr>
            <w:tcW w:w="2835" w:type="dxa"/>
          </w:tcPr>
          <w:p w:rsidR="0086090D" w:rsidRPr="004026F2" w:rsidRDefault="0086090D" w:rsidP="00600802">
            <w:pPr>
              <w:spacing w:after="0" w:line="240" w:lineRule="auto"/>
              <w:rPr>
                <w:rFonts w:ascii="Arial" w:hAnsi="Arial" w:cs="Arial"/>
                <w:sz w:val="24"/>
                <w:szCs w:val="24"/>
              </w:rPr>
            </w:pPr>
            <w:r w:rsidRPr="004026F2">
              <w:rPr>
                <w:rFonts w:ascii="Arial" w:hAnsi="Arial" w:cs="Arial"/>
                <w:sz w:val="24"/>
                <w:szCs w:val="24"/>
              </w:rPr>
              <w:t>1 official</w:t>
            </w:r>
          </w:p>
          <w:p w:rsidR="0086090D" w:rsidRPr="0086090D" w:rsidRDefault="0086090D" w:rsidP="004026F2">
            <w:pPr>
              <w:spacing w:after="0" w:line="240" w:lineRule="auto"/>
              <w:rPr>
                <w:rFonts w:ascii="Arial" w:hAnsi="Arial" w:cs="Arial"/>
                <w:b/>
                <w:sz w:val="24"/>
                <w:szCs w:val="24"/>
              </w:rPr>
            </w:pPr>
            <w:r w:rsidRPr="004026F2">
              <w:rPr>
                <w:rFonts w:ascii="Arial" w:hAnsi="Arial" w:cs="Arial"/>
                <w:b/>
                <w:sz w:val="24"/>
                <w:szCs w:val="24"/>
              </w:rPr>
              <w:t>Cost:</w:t>
            </w:r>
            <w:r w:rsidR="00F62070" w:rsidRPr="004026F2">
              <w:rPr>
                <w:rFonts w:ascii="Arial" w:hAnsi="Arial" w:cs="Arial"/>
                <w:b/>
                <w:sz w:val="24"/>
                <w:szCs w:val="24"/>
              </w:rPr>
              <w:t xml:space="preserve"> </w:t>
            </w:r>
            <w:r w:rsidR="004026F2" w:rsidRPr="004026F2">
              <w:rPr>
                <w:rFonts w:ascii="Arial" w:hAnsi="Arial" w:cs="Arial"/>
                <w:b/>
                <w:sz w:val="24"/>
                <w:szCs w:val="24"/>
              </w:rPr>
              <w:t>17 727.07</w:t>
            </w:r>
          </w:p>
        </w:tc>
      </w:tr>
      <w:tr w:rsidR="002920FB" w:rsidRPr="00600802" w:rsidTr="00DC54A0">
        <w:trPr>
          <w:trHeight w:val="211"/>
        </w:trPr>
        <w:tc>
          <w:tcPr>
            <w:tcW w:w="9493" w:type="dxa"/>
          </w:tcPr>
          <w:p w:rsidR="002920FB" w:rsidRPr="002920FB" w:rsidRDefault="002920FB" w:rsidP="00497828">
            <w:pPr>
              <w:spacing w:after="0" w:line="240" w:lineRule="auto"/>
              <w:jc w:val="both"/>
              <w:rPr>
                <w:rFonts w:ascii="Arial" w:hAnsi="Arial" w:cs="Arial"/>
                <w:b/>
                <w:bCs/>
                <w:color w:val="FF0000"/>
                <w:sz w:val="24"/>
                <w:szCs w:val="24"/>
              </w:rPr>
            </w:pPr>
          </w:p>
          <w:p w:rsidR="006B6E85" w:rsidRDefault="006B6E85" w:rsidP="006B6E85">
            <w:pPr>
              <w:pStyle w:val="ListParagraph"/>
              <w:numPr>
                <w:ilvl w:val="0"/>
                <w:numId w:val="13"/>
              </w:numPr>
              <w:ind w:left="360"/>
              <w:jc w:val="both"/>
              <w:rPr>
                <w:rFonts w:ascii="Arial" w:hAnsi="Arial" w:cs="Arial"/>
                <w:bCs/>
              </w:rPr>
            </w:pPr>
            <w:r>
              <w:rPr>
                <w:rFonts w:ascii="Arial" w:hAnsi="Arial" w:cs="Arial"/>
                <w:bCs/>
              </w:rPr>
              <w:t xml:space="preserve">Global knowledge exchange and learning among experts, development banks, governments, NGOs, CSOs and entrepreneurs to drive innovation and action in advancing gender equality with a focus on best practice in innovating financing; fostering an enabling environment (legal, regulatory and institutional) and ensuring women’s participation and voices. </w:t>
            </w:r>
          </w:p>
          <w:p w:rsidR="006B6E85" w:rsidRDefault="006B6E85" w:rsidP="006B6E85">
            <w:pPr>
              <w:pStyle w:val="ListParagraph"/>
              <w:numPr>
                <w:ilvl w:val="0"/>
                <w:numId w:val="13"/>
              </w:numPr>
              <w:ind w:left="360"/>
              <w:jc w:val="both"/>
              <w:rPr>
                <w:rFonts w:ascii="Arial" w:hAnsi="Arial" w:cs="Arial"/>
                <w:bCs/>
              </w:rPr>
            </w:pPr>
            <w:r>
              <w:rPr>
                <w:rFonts w:ascii="Arial" w:hAnsi="Arial" w:cs="Arial"/>
                <w:bCs/>
              </w:rPr>
              <w:t>Strong focus on challenges, good practice, priorities and interventions towards the achievement of gender equality on the African continent.</w:t>
            </w:r>
          </w:p>
          <w:p w:rsidR="006B6E85" w:rsidRDefault="006B6E85" w:rsidP="006B6E85">
            <w:pPr>
              <w:pStyle w:val="ListParagraph"/>
              <w:numPr>
                <w:ilvl w:val="0"/>
                <w:numId w:val="13"/>
              </w:numPr>
              <w:ind w:left="360"/>
              <w:jc w:val="both"/>
              <w:rPr>
                <w:rFonts w:ascii="Arial" w:hAnsi="Arial" w:cs="Arial"/>
                <w:bCs/>
              </w:rPr>
            </w:pPr>
            <w:r>
              <w:rPr>
                <w:rFonts w:ascii="Arial" w:hAnsi="Arial" w:cs="Arial"/>
                <w:bCs/>
              </w:rPr>
              <w:t xml:space="preserve">Profiling country achievements and good practice in empowering women including Rwanda and Ethiopia.  </w:t>
            </w:r>
          </w:p>
          <w:p w:rsidR="006B6E85" w:rsidRDefault="006B6E85" w:rsidP="006B6E85">
            <w:pPr>
              <w:pStyle w:val="ListParagraph"/>
              <w:numPr>
                <w:ilvl w:val="0"/>
                <w:numId w:val="13"/>
              </w:numPr>
              <w:ind w:left="360"/>
              <w:jc w:val="both"/>
              <w:rPr>
                <w:rFonts w:ascii="Arial" w:hAnsi="Arial" w:cs="Arial"/>
                <w:bCs/>
              </w:rPr>
            </w:pPr>
            <w:r>
              <w:rPr>
                <w:rFonts w:ascii="Arial" w:hAnsi="Arial" w:cs="Arial"/>
                <w:bCs/>
              </w:rPr>
              <w:t>Showcasing South Africa’s achievements noting that the country scored top on the McKinsey Institute Gender Parity Index, which was launched during the Summit. The index also provides insights into key gender equality measures which can be used at a country level.  South Africa also made an input from the floor on gender-</w:t>
            </w:r>
            <w:r>
              <w:rPr>
                <w:rFonts w:ascii="Arial" w:hAnsi="Arial" w:cs="Arial"/>
                <w:bCs/>
              </w:rPr>
              <w:lastRenderedPageBreak/>
              <w:t xml:space="preserve">responsive planning and budgeting. </w:t>
            </w:r>
          </w:p>
          <w:p w:rsidR="006B6E85" w:rsidRDefault="006B6E85" w:rsidP="006B6E85">
            <w:pPr>
              <w:pStyle w:val="ListParagraph"/>
              <w:numPr>
                <w:ilvl w:val="0"/>
                <w:numId w:val="13"/>
              </w:numPr>
              <w:ind w:left="360"/>
              <w:jc w:val="both"/>
              <w:rPr>
                <w:rFonts w:ascii="Arial" w:hAnsi="Arial" w:cs="Arial"/>
                <w:bCs/>
              </w:rPr>
            </w:pPr>
            <w:r>
              <w:rPr>
                <w:rFonts w:ascii="Arial" w:hAnsi="Arial" w:cs="Arial"/>
                <w:bCs/>
              </w:rPr>
              <w:t xml:space="preserve">Insights from multi-lateral development banks, including the African Development Bank, in highlighting the economic rationale for investing in women and in spearheading efforts to develop risk sharing facilities to expand women’s access to credit.   </w:t>
            </w:r>
          </w:p>
          <w:p w:rsidR="006B6E85" w:rsidRDefault="006B6E85" w:rsidP="006B6E85">
            <w:pPr>
              <w:pStyle w:val="ListParagraph"/>
              <w:numPr>
                <w:ilvl w:val="0"/>
                <w:numId w:val="13"/>
              </w:numPr>
              <w:ind w:left="360"/>
              <w:jc w:val="both"/>
              <w:rPr>
                <w:rFonts w:ascii="Arial" w:hAnsi="Arial" w:cs="Arial"/>
                <w:bCs/>
              </w:rPr>
            </w:pPr>
            <w:r>
              <w:rPr>
                <w:rFonts w:ascii="Arial" w:hAnsi="Arial" w:cs="Arial"/>
                <w:bCs/>
              </w:rPr>
              <w:t xml:space="preserve">Identification of impact pathways towards women’s economic inclusion through overcoming barriers to ensure women’s financial inclusion.  This includes identifying mechanisms to close the financing gap facing women-owned enterprises, particularly in Africa.   This is critical given the South African government’s proposal that the AU declare 2020-2030 The Decade of Women’s Financial Inclusion during the year of South Africa’s </w:t>
            </w:r>
            <w:proofErr w:type="spellStart"/>
            <w:r>
              <w:rPr>
                <w:rFonts w:ascii="Arial" w:hAnsi="Arial" w:cs="Arial"/>
                <w:bCs/>
              </w:rPr>
              <w:t>chairship</w:t>
            </w:r>
            <w:proofErr w:type="spellEnd"/>
            <w:r>
              <w:rPr>
                <w:rFonts w:ascii="Arial" w:hAnsi="Arial" w:cs="Arial"/>
                <w:bCs/>
              </w:rPr>
              <w:t xml:space="preserve">.  </w:t>
            </w:r>
          </w:p>
          <w:p w:rsidR="006B6E85" w:rsidRDefault="006B6E85" w:rsidP="006B6E85">
            <w:pPr>
              <w:pStyle w:val="ListParagraph"/>
              <w:numPr>
                <w:ilvl w:val="0"/>
                <w:numId w:val="13"/>
              </w:numPr>
              <w:ind w:left="360"/>
              <w:jc w:val="both"/>
              <w:rPr>
                <w:rFonts w:ascii="Arial" w:hAnsi="Arial" w:cs="Arial"/>
                <w:bCs/>
              </w:rPr>
            </w:pPr>
            <w:r>
              <w:rPr>
                <w:rFonts w:ascii="Arial" w:hAnsi="Arial" w:cs="Arial"/>
                <w:bCs/>
              </w:rPr>
              <w:t xml:space="preserve">The Affirmative Finance Action for Women in Africa (AFAWA) was launched at the Summit as an innovative mechanism to propel women’s financial inclusion on the continent.  AFAWA aims to mobilise USD 3 billion of new lending by banks and institutions for women in Africa. </w:t>
            </w:r>
          </w:p>
          <w:p w:rsidR="006B6E85" w:rsidRDefault="006B6E85" w:rsidP="006B6E85">
            <w:pPr>
              <w:pStyle w:val="ListParagraph"/>
              <w:numPr>
                <w:ilvl w:val="0"/>
                <w:numId w:val="13"/>
              </w:numPr>
              <w:ind w:left="360"/>
              <w:jc w:val="both"/>
              <w:rPr>
                <w:rFonts w:ascii="Arial" w:hAnsi="Arial" w:cs="Arial"/>
                <w:bCs/>
              </w:rPr>
            </w:pPr>
            <w:r>
              <w:rPr>
                <w:rFonts w:ascii="Arial" w:hAnsi="Arial" w:cs="Arial"/>
                <w:bCs/>
              </w:rPr>
              <w:t xml:space="preserve">The Summit identified important insights into priorities for women’s empowerment which should be addressed in South Africa, including at the level of policy, programming and strategic partnerships. </w:t>
            </w:r>
          </w:p>
          <w:p w:rsidR="00B553AE" w:rsidRPr="006B6E85" w:rsidRDefault="006B6E85" w:rsidP="006B6E85">
            <w:pPr>
              <w:pStyle w:val="ListParagraph"/>
              <w:numPr>
                <w:ilvl w:val="0"/>
                <w:numId w:val="13"/>
              </w:numPr>
              <w:ind w:left="360"/>
              <w:jc w:val="both"/>
              <w:rPr>
                <w:rFonts w:ascii="Arial" w:hAnsi="Arial" w:cs="Arial"/>
                <w:bCs/>
              </w:rPr>
            </w:pPr>
            <w:r w:rsidRPr="006B6E85">
              <w:rPr>
                <w:rFonts w:ascii="Arial" w:hAnsi="Arial" w:cs="Arial"/>
                <w:bCs/>
              </w:rPr>
              <w:t>Insights from the Summit will influence South Africa’s gender policy priorities for 2020-2025-2030 which is being developed by DWYPD.  The implementation of these priorities should in turn make a measurable and visible impact in improving the lives of women and girls and achieving gender parity.</w:t>
            </w:r>
          </w:p>
        </w:tc>
        <w:tc>
          <w:tcPr>
            <w:tcW w:w="2976" w:type="dxa"/>
          </w:tcPr>
          <w:p w:rsidR="002920FB" w:rsidRDefault="002920FB" w:rsidP="00600802">
            <w:pPr>
              <w:spacing w:after="0" w:line="240" w:lineRule="auto"/>
              <w:rPr>
                <w:rFonts w:ascii="Arial" w:hAnsi="Arial" w:cs="Arial"/>
                <w:sz w:val="24"/>
                <w:szCs w:val="24"/>
              </w:rPr>
            </w:pPr>
          </w:p>
        </w:tc>
        <w:tc>
          <w:tcPr>
            <w:tcW w:w="2835" w:type="dxa"/>
          </w:tcPr>
          <w:p w:rsidR="002920FB" w:rsidRDefault="002920FB" w:rsidP="00600802">
            <w:pPr>
              <w:spacing w:after="0" w:line="240" w:lineRule="auto"/>
              <w:rPr>
                <w:rFonts w:ascii="Arial" w:hAnsi="Arial" w:cs="Arial"/>
                <w:sz w:val="24"/>
                <w:szCs w:val="24"/>
              </w:rPr>
            </w:pPr>
          </w:p>
        </w:tc>
      </w:tr>
      <w:tr w:rsidR="00B6301E" w:rsidRPr="00600802" w:rsidTr="00DC54A0">
        <w:trPr>
          <w:trHeight w:val="211"/>
        </w:trPr>
        <w:tc>
          <w:tcPr>
            <w:tcW w:w="9493" w:type="dxa"/>
          </w:tcPr>
          <w:p w:rsidR="00B6301E" w:rsidRPr="00B6301E" w:rsidRDefault="00B6301E" w:rsidP="00497828">
            <w:pPr>
              <w:spacing w:after="0" w:line="240" w:lineRule="auto"/>
              <w:jc w:val="both"/>
              <w:rPr>
                <w:rFonts w:ascii="Arial" w:hAnsi="Arial" w:cs="Arial"/>
                <w:b/>
                <w:bCs/>
                <w:sz w:val="24"/>
                <w:szCs w:val="24"/>
              </w:rPr>
            </w:pPr>
            <w:r>
              <w:rPr>
                <w:rFonts w:ascii="Arial" w:hAnsi="Arial" w:cs="Arial"/>
                <w:bCs/>
                <w:sz w:val="24"/>
                <w:szCs w:val="24"/>
              </w:rPr>
              <w:lastRenderedPageBreak/>
              <w:t>40</w:t>
            </w:r>
            <w:r w:rsidRPr="00B6301E">
              <w:rPr>
                <w:rFonts w:ascii="Arial" w:hAnsi="Arial" w:cs="Arial"/>
                <w:bCs/>
                <w:sz w:val="24"/>
                <w:szCs w:val="24"/>
                <w:vertAlign w:val="superscript"/>
              </w:rPr>
              <w:t>th</w:t>
            </w:r>
            <w:r>
              <w:rPr>
                <w:rFonts w:ascii="Arial" w:hAnsi="Arial" w:cs="Arial"/>
                <w:bCs/>
                <w:sz w:val="24"/>
                <w:szCs w:val="24"/>
              </w:rPr>
              <w:t xml:space="preserve"> </w:t>
            </w:r>
            <w:r w:rsidRPr="00B6301E">
              <w:rPr>
                <w:rFonts w:ascii="Arial" w:hAnsi="Arial" w:cs="Arial"/>
                <w:bCs/>
                <w:sz w:val="24"/>
                <w:szCs w:val="24"/>
              </w:rPr>
              <w:t>UNESCO Conference</w:t>
            </w:r>
            <w:r>
              <w:rPr>
                <w:rFonts w:ascii="Arial" w:hAnsi="Arial" w:cs="Arial"/>
                <w:b/>
                <w:bCs/>
                <w:sz w:val="24"/>
                <w:szCs w:val="24"/>
              </w:rPr>
              <w:t xml:space="preserve"> -</w:t>
            </w:r>
            <w:r w:rsidRPr="00B6301E">
              <w:rPr>
                <w:rFonts w:ascii="Arial" w:hAnsi="Arial" w:cs="Arial"/>
                <w:b/>
                <w:bCs/>
                <w:sz w:val="24"/>
                <w:szCs w:val="24"/>
              </w:rPr>
              <w:t xml:space="preserve"> France</w:t>
            </w:r>
          </w:p>
        </w:tc>
        <w:tc>
          <w:tcPr>
            <w:tcW w:w="2976" w:type="dxa"/>
          </w:tcPr>
          <w:p w:rsidR="00B6301E" w:rsidRPr="00B6301E" w:rsidRDefault="00991AC2" w:rsidP="00600802">
            <w:pPr>
              <w:spacing w:after="0" w:line="240" w:lineRule="auto"/>
              <w:rPr>
                <w:rFonts w:ascii="Arial" w:hAnsi="Arial" w:cs="Arial"/>
                <w:sz w:val="24"/>
                <w:szCs w:val="24"/>
              </w:rPr>
            </w:pPr>
            <w:r>
              <w:rPr>
                <w:rFonts w:ascii="Arial" w:hAnsi="Arial" w:cs="Arial"/>
                <w:sz w:val="24"/>
                <w:szCs w:val="24"/>
              </w:rPr>
              <w:t>11 – 27 November 2019</w:t>
            </w:r>
          </w:p>
        </w:tc>
        <w:tc>
          <w:tcPr>
            <w:tcW w:w="2835" w:type="dxa"/>
          </w:tcPr>
          <w:p w:rsidR="00B6301E" w:rsidRDefault="00B6301E" w:rsidP="00600802">
            <w:pPr>
              <w:spacing w:after="0" w:line="240" w:lineRule="auto"/>
              <w:rPr>
                <w:rFonts w:ascii="Arial" w:hAnsi="Arial" w:cs="Arial"/>
                <w:sz w:val="24"/>
                <w:szCs w:val="24"/>
              </w:rPr>
            </w:pPr>
            <w:r>
              <w:rPr>
                <w:rFonts w:ascii="Arial" w:hAnsi="Arial" w:cs="Arial"/>
                <w:sz w:val="24"/>
                <w:szCs w:val="24"/>
              </w:rPr>
              <w:t>1 official</w:t>
            </w:r>
          </w:p>
          <w:p w:rsidR="00B6301E" w:rsidRDefault="00B6301E" w:rsidP="00600802">
            <w:pPr>
              <w:spacing w:after="0" w:line="240" w:lineRule="auto"/>
              <w:rPr>
                <w:rFonts w:ascii="Arial" w:hAnsi="Arial" w:cs="Arial"/>
                <w:sz w:val="24"/>
                <w:szCs w:val="24"/>
              </w:rPr>
            </w:pPr>
            <w:r>
              <w:rPr>
                <w:rFonts w:ascii="Arial" w:hAnsi="Arial" w:cs="Arial"/>
                <w:sz w:val="24"/>
                <w:szCs w:val="24"/>
              </w:rPr>
              <w:t xml:space="preserve">Cost: </w:t>
            </w:r>
            <w:r w:rsidRPr="00B6301E">
              <w:rPr>
                <w:rFonts w:ascii="Arial" w:hAnsi="Arial" w:cs="Arial"/>
                <w:b/>
                <w:sz w:val="24"/>
                <w:szCs w:val="24"/>
              </w:rPr>
              <w:t>107 252.80</w:t>
            </w:r>
          </w:p>
        </w:tc>
      </w:tr>
      <w:tr w:rsidR="00B6301E" w:rsidRPr="00600802" w:rsidTr="00DC54A0">
        <w:trPr>
          <w:trHeight w:val="211"/>
        </w:trPr>
        <w:tc>
          <w:tcPr>
            <w:tcW w:w="9493" w:type="dxa"/>
          </w:tcPr>
          <w:p w:rsidR="00B553AE" w:rsidRPr="00B553AE" w:rsidRDefault="00B6301E" w:rsidP="00B553AE">
            <w:pPr>
              <w:rPr>
                <w:rFonts w:ascii="Arial" w:hAnsi="Arial" w:cs="Arial"/>
              </w:rPr>
            </w:pPr>
            <w:r w:rsidRPr="00B553AE">
              <w:rPr>
                <w:rFonts w:ascii="Arial" w:hAnsi="Arial" w:cs="Arial"/>
                <w:b/>
                <w:bCs/>
              </w:rPr>
              <w:t>Impact</w:t>
            </w:r>
            <w:r w:rsidR="00B553AE" w:rsidRPr="00B553AE">
              <w:rPr>
                <w:rFonts w:ascii="Arial" w:hAnsi="Arial" w:cs="Arial"/>
              </w:rPr>
              <w:t xml:space="preserve"> </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South Africa highlighted progress in improving quality of education system, gender equality, mitigation of gender-based violence and femicide, and implementation of the comprehensive sexuality education programme;</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South Africa reaffirmed its rejection of the decision by the International Association of Athletes Federation (IAAF) to control levels of testosterone among female athletes;</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 xml:space="preserve">South Africa lobbied and was elected for the World Heritage Commission, International Bureau of Education (IBE) and International Coordinating Council of </w:t>
            </w:r>
            <w:r w:rsidRPr="00991AC2">
              <w:rPr>
                <w:rFonts w:ascii="Arial" w:hAnsi="Arial" w:cs="Arial"/>
              </w:rPr>
              <w:lastRenderedPageBreak/>
              <w:t xml:space="preserve">the Programme on Man and the Biosphere (MAB) Committees; </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Adoption of the Global Convention for global academic mobility, and international cooperation in higher education;</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Global priorities on gender equality, Africa, and young people, including fellowship awards;</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Member states successfully lobbied for the preparation of the Draft Medium-Term Strategy for 2022-2029 in alignment to Agenda 2063 of the African Union, the Addis Ababa Action Agenda, and the Paris Agreement on climate change;</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National Commissions challenges prioritised through commitment to strengthen  competences  and  operational  capacities;</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Support for countries in the implementation of the SDG 4-Education 2030 agenda;</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UNESCO to support member states in establishment of equitable  and  responsive  TVET  systems;</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 xml:space="preserve">Intergovernmental consultations on an international standard-setting instrument on the ethics of artificial intelligence;  </w:t>
            </w:r>
          </w:p>
          <w:p w:rsidR="00991AC2" w:rsidRPr="00991AC2" w:rsidRDefault="00991AC2" w:rsidP="00991AC2">
            <w:pPr>
              <w:pStyle w:val="ListParagraph"/>
              <w:numPr>
                <w:ilvl w:val="0"/>
                <w:numId w:val="7"/>
              </w:numPr>
              <w:rPr>
                <w:rFonts w:ascii="Arial" w:hAnsi="Arial" w:cs="Arial"/>
              </w:rPr>
            </w:pPr>
            <w:r w:rsidRPr="00991AC2">
              <w:rPr>
                <w:rFonts w:ascii="Arial" w:hAnsi="Arial" w:cs="Arial"/>
              </w:rPr>
              <w:t xml:space="preserve">Endorsement of the Education for Sustainable Development (ESD) for 2030 Framework; and </w:t>
            </w:r>
          </w:p>
          <w:p w:rsidR="00B553AE" w:rsidRPr="005D6A7A" w:rsidRDefault="00991AC2" w:rsidP="00991AC2">
            <w:pPr>
              <w:pStyle w:val="ListParagraph"/>
              <w:numPr>
                <w:ilvl w:val="0"/>
                <w:numId w:val="7"/>
              </w:numPr>
              <w:rPr>
                <w:rFonts w:ascii="Arial" w:hAnsi="Arial" w:cs="Arial"/>
              </w:rPr>
            </w:pPr>
            <w:r w:rsidRPr="00991AC2">
              <w:rPr>
                <w:rFonts w:ascii="Arial" w:hAnsi="Arial" w:cs="Arial"/>
              </w:rPr>
              <w:t>Fostering partnerships and promoting South-South, North-South and triangular cooperation.</w:t>
            </w:r>
            <w:r w:rsidRPr="005D6A7A">
              <w:rPr>
                <w:rFonts w:ascii="Arial" w:hAnsi="Arial" w:cs="Arial"/>
              </w:rPr>
              <w:t xml:space="preserve"> South</w:t>
            </w:r>
            <w:r w:rsidR="00B553AE" w:rsidRPr="005D6A7A">
              <w:rPr>
                <w:rFonts w:ascii="Arial" w:hAnsi="Arial" w:cs="Arial"/>
              </w:rPr>
              <w:t xml:space="preserve"> Africa elected to be a member of the International Coordinating Council of the Programme on Man and the Biosphere (MAB) until the end of the 41st session of the General Conference; and </w:t>
            </w:r>
          </w:p>
          <w:p w:rsidR="00D1141C" w:rsidRPr="00D60713" w:rsidRDefault="00B553AE" w:rsidP="00D60713">
            <w:pPr>
              <w:pStyle w:val="ListParagraph"/>
              <w:numPr>
                <w:ilvl w:val="0"/>
                <w:numId w:val="7"/>
              </w:numPr>
              <w:rPr>
                <w:rFonts w:ascii="Arial" w:hAnsi="Arial" w:cs="Arial"/>
              </w:rPr>
            </w:pPr>
            <w:r w:rsidRPr="005D6A7A">
              <w:rPr>
                <w:rFonts w:ascii="Arial" w:hAnsi="Arial" w:cs="Arial"/>
              </w:rPr>
              <w:t>South Africa’s involvement in various committee of UNESCO essential for fostering partnerships and promoting South-South, North-South and triangular cooperation.</w:t>
            </w:r>
          </w:p>
        </w:tc>
        <w:tc>
          <w:tcPr>
            <w:tcW w:w="2976" w:type="dxa"/>
          </w:tcPr>
          <w:p w:rsidR="00B6301E" w:rsidRPr="00B6301E" w:rsidRDefault="00B6301E" w:rsidP="00600802">
            <w:pPr>
              <w:spacing w:after="0" w:line="240" w:lineRule="auto"/>
              <w:rPr>
                <w:rFonts w:ascii="Arial" w:hAnsi="Arial" w:cs="Arial"/>
                <w:sz w:val="24"/>
                <w:szCs w:val="24"/>
              </w:rPr>
            </w:pPr>
          </w:p>
        </w:tc>
        <w:tc>
          <w:tcPr>
            <w:tcW w:w="2835" w:type="dxa"/>
          </w:tcPr>
          <w:p w:rsidR="00B6301E" w:rsidRDefault="00B6301E" w:rsidP="00600802">
            <w:pPr>
              <w:spacing w:after="0" w:line="240" w:lineRule="auto"/>
              <w:rPr>
                <w:rFonts w:ascii="Arial" w:hAnsi="Arial" w:cs="Arial"/>
                <w:sz w:val="24"/>
                <w:szCs w:val="24"/>
              </w:rPr>
            </w:pPr>
          </w:p>
        </w:tc>
      </w:tr>
    </w:tbl>
    <w:p w:rsidR="00600802" w:rsidRDefault="00600802" w:rsidP="00600802">
      <w:pPr>
        <w:spacing w:after="160" w:line="259" w:lineRule="auto"/>
        <w:rPr>
          <w:b/>
        </w:rPr>
      </w:pPr>
    </w:p>
    <w:p w:rsidR="00DC54A0" w:rsidRDefault="00DC54A0" w:rsidP="00600802">
      <w:pPr>
        <w:spacing w:after="160" w:line="259" w:lineRule="auto"/>
        <w:rPr>
          <w:b/>
        </w:rPr>
      </w:pPr>
    </w:p>
    <w:p w:rsidR="00D60713" w:rsidRDefault="00D60713" w:rsidP="00600802">
      <w:pPr>
        <w:spacing w:after="160" w:line="259" w:lineRule="auto"/>
        <w:rPr>
          <w:b/>
        </w:rPr>
      </w:pPr>
    </w:p>
    <w:p w:rsidR="00D60713" w:rsidRDefault="00D60713" w:rsidP="00600802">
      <w:pPr>
        <w:spacing w:after="160" w:line="259" w:lineRule="auto"/>
        <w:rPr>
          <w:b/>
        </w:rPr>
      </w:pPr>
    </w:p>
    <w:p w:rsidR="00DC54A0" w:rsidRDefault="00DC54A0" w:rsidP="00600802">
      <w:pPr>
        <w:spacing w:after="160" w:line="259" w:lineRule="auto"/>
        <w:rPr>
          <w:b/>
        </w:rPr>
      </w:pPr>
    </w:p>
    <w:p w:rsidR="00DC54A0" w:rsidRDefault="00DC54A0" w:rsidP="00600802">
      <w:pPr>
        <w:spacing w:after="160" w:line="259" w:lineRule="auto"/>
        <w:rPr>
          <w:b/>
        </w:rPr>
      </w:pPr>
    </w:p>
    <w:p w:rsidR="00497828" w:rsidRPr="00600802" w:rsidRDefault="00497828" w:rsidP="00497828">
      <w:pPr>
        <w:spacing w:after="0" w:line="259" w:lineRule="auto"/>
        <w:rPr>
          <w:rFonts w:ascii="Arial" w:eastAsia="Times New Roman" w:hAnsi="Arial"/>
          <w:b/>
          <w:color w:val="001F00"/>
          <w:spacing w:val="6"/>
          <w:lang w:eastAsia="en-GB"/>
        </w:rPr>
      </w:pPr>
      <w:r w:rsidRPr="00600802">
        <w:rPr>
          <w:rFonts w:ascii="Arial" w:eastAsia="Times New Roman" w:hAnsi="Arial"/>
          <w:b/>
          <w:color w:val="001F00"/>
          <w:spacing w:val="6"/>
          <w:lang w:eastAsia="en-GB"/>
        </w:rPr>
        <w:t>201</w:t>
      </w:r>
      <w:r>
        <w:rPr>
          <w:rFonts w:ascii="Arial" w:eastAsia="Times New Roman" w:hAnsi="Arial"/>
          <w:b/>
          <w:color w:val="001F00"/>
          <w:spacing w:val="6"/>
          <w:lang w:eastAsia="en-GB"/>
        </w:rPr>
        <w:t>9/20</w:t>
      </w:r>
      <w:r w:rsidRPr="00600802">
        <w:rPr>
          <w:rFonts w:ascii="Arial" w:eastAsia="Times New Roman" w:hAnsi="Arial"/>
          <w:b/>
          <w:color w:val="001F00"/>
          <w:spacing w:val="6"/>
          <w:lang w:eastAsia="en-GB"/>
        </w:rPr>
        <w:t xml:space="preserve"> </w:t>
      </w:r>
      <w:r>
        <w:rPr>
          <w:rFonts w:ascii="Arial" w:eastAsia="Times New Roman" w:hAnsi="Arial"/>
          <w:b/>
          <w:color w:val="001F00"/>
          <w:spacing w:val="6"/>
          <w:lang w:eastAsia="en-GB"/>
        </w:rPr>
        <w:t>F</w:t>
      </w:r>
      <w:r w:rsidRPr="00600802">
        <w:rPr>
          <w:rFonts w:ascii="Arial" w:eastAsia="Times New Roman" w:hAnsi="Arial"/>
          <w:b/>
          <w:color w:val="001F00"/>
          <w:spacing w:val="6"/>
          <w:lang w:eastAsia="en-GB"/>
        </w:rPr>
        <w:t>inancial</w:t>
      </w:r>
      <w:r>
        <w:rPr>
          <w:rFonts w:ascii="Arial" w:eastAsia="Times New Roman" w:hAnsi="Arial"/>
          <w:b/>
          <w:color w:val="001F00"/>
          <w:spacing w:val="6"/>
          <w:lang w:eastAsia="en-GB"/>
        </w:rPr>
        <w:t xml:space="preserve"> Y</w:t>
      </w:r>
      <w:r w:rsidRPr="00600802">
        <w:rPr>
          <w:rFonts w:ascii="Arial" w:eastAsia="Times New Roman" w:hAnsi="Arial"/>
          <w:b/>
          <w:color w:val="001F00"/>
          <w:spacing w:val="6"/>
          <w:lang w:eastAsia="en-GB"/>
        </w:rPr>
        <w:t>ear Major Events Undertaken in Quarter 3</w:t>
      </w:r>
    </w:p>
    <w:tbl>
      <w:tblPr>
        <w:tblStyle w:val="TableGrid"/>
        <w:tblW w:w="15304" w:type="dxa"/>
        <w:tblLook w:val="04A0"/>
      </w:tblPr>
      <w:tblGrid>
        <w:gridCol w:w="9493"/>
        <w:gridCol w:w="2976"/>
        <w:gridCol w:w="2835"/>
      </w:tblGrid>
      <w:tr w:rsidR="00497828" w:rsidRPr="00600802" w:rsidTr="00DC54A0">
        <w:tc>
          <w:tcPr>
            <w:tcW w:w="9493" w:type="dxa"/>
            <w:vAlign w:val="center"/>
          </w:tcPr>
          <w:p w:rsidR="00497828" w:rsidRPr="00600802" w:rsidRDefault="00497828" w:rsidP="00106AC0">
            <w:pPr>
              <w:spacing w:after="0" w:line="240" w:lineRule="auto"/>
              <w:jc w:val="center"/>
              <w:rPr>
                <w:rFonts w:ascii="Arial" w:hAnsi="Arial" w:cs="Arial"/>
                <w:b/>
                <w:sz w:val="24"/>
                <w:szCs w:val="24"/>
              </w:rPr>
            </w:pPr>
            <w:r>
              <w:rPr>
                <w:rFonts w:ascii="Arial" w:hAnsi="Arial" w:cs="Arial"/>
                <w:b/>
                <w:sz w:val="24"/>
                <w:szCs w:val="24"/>
              </w:rPr>
              <w:lastRenderedPageBreak/>
              <w:t>Public participation Outreach Programmes, Awareness and Empowerment Programmes</w:t>
            </w:r>
          </w:p>
        </w:tc>
        <w:tc>
          <w:tcPr>
            <w:tcW w:w="2976" w:type="dxa"/>
            <w:vAlign w:val="center"/>
          </w:tcPr>
          <w:p w:rsidR="00497828" w:rsidRPr="00600802" w:rsidRDefault="00497828" w:rsidP="00106AC0">
            <w:pPr>
              <w:spacing w:after="0" w:line="240" w:lineRule="auto"/>
              <w:jc w:val="center"/>
              <w:rPr>
                <w:rFonts w:ascii="Arial" w:hAnsi="Arial" w:cs="Arial"/>
                <w:b/>
                <w:sz w:val="24"/>
                <w:szCs w:val="24"/>
              </w:rPr>
            </w:pPr>
            <w:r w:rsidRPr="00600802">
              <w:rPr>
                <w:rFonts w:ascii="Arial" w:hAnsi="Arial" w:cs="Arial"/>
                <w:b/>
                <w:sz w:val="24"/>
                <w:szCs w:val="24"/>
              </w:rPr>
              <w:t>Period</w:t>
            </w:r>
          </w:p>
        </w:tc>
        <w:tc>
          <w:tcPr>
            <w:tcW w:w="2835" w:type="dxa"/>
            <w:vAlign w:val="center"/>
          </w:tcPr>
          <w:p w:rsidR="00497828" w:rsidRPr="00600802" w:rsidRDefault="00497828" w:rsidP="00106AC0">
            <w:pPr>
              <w:spacing w:after="0" w:line="240" w:lineRule="auto"/>
              <w:jc w:val="center"/>
              <w:rPr>
                <w:rFonts w:ascii="Arial" w:hAnsi="Arial" w:cs="Arial"/>
                <w:b/>
                <w:sz w:val="24"/>
                <w:szCs w:val="24"/>
              </w:rPr>
            </w:pPr>
            <w:r w:rsidRPr="00600802">
              <w:rPr>
                <w:rFonts w:ascii="Arial" w:hAnsi="Arial" w:cs="Arial"/>
                <w:b/>
                <w:sz w:val="24"/>
                <w:szCs w:val="24"/>
              </w:rPr>
              <w:t>Size of Delegation</w:t>
            </w:r>
          </w:p>
        </w:tc>
      </w:tr>
      <w:tr w:rsidR="00497828" w:rsidRPr="00600802" w:rsidTr="00DC54A0">
        <w:trPr>
          <w:trHeight w:val="211"/>
        </w:trPr>
        <w:tc>
          <w:tcPr>
            <w:tcW w:w="9493" w:type="dxa"/>
          </w:tcPr>
          <w:p w:rsidR="00497828" w:rsidRPr="00600802" w:rsidRDefault="00497828" w:rsidP="00106AC0">
            <w:pPr>
              <w:spacing w:after="0" w:line="240" w:lineRule="auto"/>
              <w:rPr>
                <w:rFonts w:ascii="Arial" w:hAnsi="Arial" w:cs="Arial"/>
                <w:sz w:val="24"/>
                <w:szCs w:val="24"/>
              </w:rPr>
            </w:pPr>
            <w:r>
              <w:rPr>
                <w:rFonts w:ascii="Arial" w:hAnsi="Arial" w:cs="Arial"/>
                <w:bCs/>
                <w:sz w:val="24"/>
                <w:szCs w:val="24"/>
              </w:rPr>
              <w:t>Launch o</w:t>
            </w:r>
            <w:r w:rsidRPr="00AB3926">
              <w:rPr>
                <w:rFonts w:ascii="Arial" w:hAnsi="Arial" w:cs="Arial"/>
                <w:bCs/>
                <w:sz w:val="24"/>
                <w:szCs w:val="24"/>
              </w:rPr>
              <w:t xml:space="preserve">f The 16 Days of Activism for No Violence Against Women and Children -  </w:t>
            </w:r>
            <w:r w:rsidRPr="00AB3926">
              <w:rPr>
                <w:rFonts w:ascii="Arial" w:hAnsi="Arial" w:cs="Arial"/>
                <w:b/>
                <w:bCs/>
                <w:sz w:val="24"/>
                <w:szCs w:val="24"/>
              </w:rPr>
              <w:t>Limpopo (Lephalale)</w:t>
            </w:r>
          </w:p>
        </w:tc>
        <w:tc>
          <w:tcPr>
            <w:tcW w:w="2976" w:type="dxa"/>
          </w:tcPr>
          <w:p w:rsidR="00497828" w:rsidRPr="00600802" w:rsidRDefault="00497828" w:rsidP="00106AC0">
            <w:pPr>
              <w:spacing w:after="0" w:line="240" w:lineRule="auto"/>
              <w:rPr>
                <w:rFonts w:ascii="Arial" w:hAnsi="Arial" w:cs="Arial"/>
                <w:sz w:val="24"/>
                <w:szCs w:val="24"/>
              </w:rPr>
            </w:pPr>
            <w:r>
              <w:rPr>
                <w:rFonts w:ascii="Arial" w:hAnsi="Arial" w:cs="Arial"/>
                <w:sz w:val="24"/>
                <w:szCs w:val="24"/>
              </w:rPr>
              <w:t>25 November 2019</w:t>
            </w:r>
          </w:p>
        </w:tc>
        <w:tc>
          <w:tcPr>
            <w:tcW w:w="2835" w:type="dxa"/>
          </w:tcPr>
          <w:p w:rsidR="00497828" w:rsidRDefault="00497828" w:rsidP="00106AC0">
            <w:pPr>
              <w:spacing w:after="0" w:line="240" w:lineRule="auto"/>
              <w:ind w:right="480"/>
              <w:rPr>
                <w:rFonts w:ascii="Arial" w:hAnsi="Arial" w:cs="Arial"/>
                <w:sz w:val="24"/>
                <w:szCs w:val="24"/>
              </w:rPr>
            </w:pPr>
            <w:r>
              <w:rPr>
                <w:rFonts w:ascii="Arial" w:hAnsi="Arial" w:cs="Arial"/>
                <w:sz w:val="24"/>
                <w:szCs w:val="24"/>
              </w:rPr>
              <w:t>200</w:t>
            </w:r>
            <w:r w:rsidRPr="00600802">
              <w:rPr>
                <w:rFonts w:ascii="Arial" w:hAnsi="Arial" w:cs="Arial"/>
                <w:sz w:val="24"/>
                <w:szCs w:val="24"/>
              </w:rPr>
              <w:t xml:space="preserve"> </w:t>
            </w:r>
            <w:r>
              <w:rPr>
                <w:rFonts w:ascii="Arial" w:hAnsi="Arial" w:cs="Arial"/>
                <w:sz w:val="24"/>
                <w:szCs w:val="24"/>
              </w:rPr>
              <w:t>stakeholders</w:t>
            </w:r>
          </w:p>
          <w:p w:rsidR="00497828" w:rsidRPr="00600802" w:rsidRDefault="00497828" w:rsidP="00030FA1">
            <w:pPr>
              <w:spacing w:after="0" w:line="240" w:lineRule="auto"/>
              <w:ind w:right="480"/>
              <w:rPr>
                <w:rFonts w:ascii="Arial" w:hAnsi="Arial" w:cs="Arial"/>
                <w:sz w:val="24"/>
                <w:szCs w:val="24"/>
              </w:rPr>
            </w:pPr>
            <w:r w:rsidRPr="00EA0B61">
              <w:rPr>
                <w:rFonts w:ascii="Arial" w:hAnsi="Arial" w:cs="Arial"/>
                <w:b/>
                <w:bCs/>
                <w:sz w:val="24"/>
                <w:szCs w:val="24"/>
              </w:rPr>
              <w:t>Cost:</w:t>
            </w:r>
            <w:r w:rsidRPr="00EA0B61">
              <w:rPr>
                <w:rFonts w:ascii="Arial" w:hAnsi="Arial" w:cs="Arial"/>
                <w:b/>
                <w:sz w:val="24"/>
                <w:szCs w:val="24"/>
              </w:rPr>
              <w:t xml:space="preserve"> </w:t>
            </w:r>
            <w:r w:rsidR="00030FA1" w:rsidRPr="00EA0B61">
              <w:rPr>
                <w:rFonts w:ascii="Arial" w:hAnsi="Arial" w:cs="Arial"/>
                <w:b/>
                <w:sz w:val="24"/>
                <w:szCs w:val="24"/>
              </w:rPr>
              <w:t>174 940</w:t>
            </w:r>
            <w:r w:rsidRPr="00EA0B61">
              <w:rPr>
                <w:rFonts w:ascii="Arial" w:hAnsi="Arial" w:cs="Arial"/>
                <w:b/>
                <w:sz w:val="24"/>
                <w:szCs w:val="24"/>
              </w:rPr>
              <w:t>.00</w:t>
            </w:r>
          </w:p>
        </w:tc>
      </w:tr>
      <w:tr w:rsidR="00497828" w:rsidRPr="00600802" w:rsidTr="00DC54A0">
        <w:trPr>
          <w:trHeight w:val="211"/>
        </w:trPr>
        <w:tc>
          <w:tcPr>
            <w:tcW w:w="15304" w:type="dxa"/>
            <w:gridSpan w:val="3"/>
          </w:tcPr>
          <w:p w:rsidR="00497828" w:rsidRPr="006A3661" w:rsidRDefault="00497828" w:rsidP="00106AC0">
            <w:pPr>
              <w:ind w:right="480"/>
              <w:rPr>
                <w:rFonts w:ascii="Arial" w:hAnsi="Arial" w:cs="Arial"/>
                <w:b/>
              </w:rPr>
            </w:pPr>
            <w:r w:rsidRPr="006A3661">
              <w:rPr>
                <w:rFonts w:ascii="Arial" w:hAnsi="Arial" w:cs="Arial"/>
                <w:b/>
              </w:rPr>
              <w:t>Impact</w:t>
            </w:r>
          </w:p>
          <w:p w:rsidR="00497828" w:rsidRPr="00AF7D86" w:rsidRDefault="00497828" w:rsidP="00106AC0">
            <w:pPr>
              <w:pStyle w:val="ListParagraph"/>
              <w:numPr>
                <w:ilvl w:val="0"/>
                <w:numId w:val="7"/>
              </w:numPr>
              <w:ind w:right="480"/>
              <w:rPr>
                <w:rFonts w:ascii="Arial" w:hAnsi="Arial" w:cs="Arial"/>
                <w:bCs/>
              </w:rPr>
            </w:pPr>
            <w:r w:rsidRPr="00AF7D86">
              <w:rPr>
                <w:rFonts w:ascii="Arial" w:hAnsi="Arial" w:cs="Arial"/>
                <w:bCs/>
              </w:rPr>
              <w:t>Heightened awareness on gender based violence and femicide</w:t>
            </w:r>
          </w:p>
          <w:p w:rsidR="00497828" w:rsidRPr="00AF7D86" w:rsidRDefault="00497828" w:rsidP="00106AC0">
            <w:pPr>
              <w:pStyle w:val="ListParagraph"/>
              <w:numPr>
                <w:ilvl w:val="0"/>
                <w:numId w:val="7"/>
              </w:numPr>
              <w:ind w:right="480"/>
              <w:rPr>
                <w:rFonts w:ascii="Arial" w:hAnsi="Arial" w:cs="Arial"/>
                <w:bCs/>
              </w:rPr>
            </w:pPr>
            <w:r w:rsidRPr="00AF7D86">
              <w:rPr>
                <w:rFonts w:ascii="Arial" w:hAnsi="Arial" w:cs="Arial"/>
                <w:bCs/>
              </w:rPr>
              <w:t>Sector oriented targeting to address gender based violence and femicide and empowerment of these sectors</w:t>
            </w:r>
          </w:p>
          <w:p w:rsidR="00497828" w:rsidRPr="00AF7D86" w:rsidRDefault="00497828" w:rsidP="00106AC0">
            <w:pPr>
              <w:pStyle w:val="ListParagraph"/>
              <w:numPr>
                <w:ilvl w:val="0"/>
                <w:numId w:val="7"/>
              </w:numPr>
              <w:ind w:right="480"/>
              <w:rPr>
                <w:rFonts w:ascii="Arial" w:hAnsi="Arial" w:cs="Arial"/>
                <w:bCs/>
              </w:rPr>
            </w:pPr>
            <w:r w:rsidRPr="00AF7D86">
              <w:rPr>
                <w:rFonts w:ascii="Arial" w:hAnsi="Arial" w:cs="Arial"/>
                <w:bCs/>
              </w:rPr>
              <w:t>Putting GBVF agenda at the epicentre of government’s programmatic interventions during that period</w:t>
            </w:r>
          </w:p>
          <w:p w:rsidR="00497828" w:rsidRPr="00AB1D3E" w:rsidRDefault="00497828" w:rsidP="00106AC0">
            <w:pPr>
              <w:pStyle w:val="ListParagraph"/>
              <w:numPr>
                <w:ilvl w:val="0"/>
                <w:numId w:val="7"/>
              </w:numPr>
              <w:ind w:right="480"/>
              <w:rPr>
                <w:rFonts w:ascii="Arial" w:hAnsi="Arial" w:cs="Arial"/>
                <w:bCs/>
              </w:rPr>
            </w:pPr>
            <w:r w:rsidRPr="00AF7D86">
              <w:rPr>
                <w:rFonts w:ascii="Arial" w:hAnsi="Arial" w:cs="Arial"/>
                <w:bCs/>
              </w:rPr>
              <w:t>Media’s involvement in popularising the work of the department</w:t>
            </w:r>
          </w:p>
        </w:tc>
      </w:tr>
    </w:tbl>
    <w:p w:rsidR="00497828" w:rsidRPr="00600802" w:rsidRDefault="00497828" w:rsidP="00600802">
      <w:pPr>
        <w:spacing w:after="160" w:line="259" w:lineRule="auto"/>
        <w:rPr>
          <w:b/>
        </w:rPr>
      </w:pPr>
      <w:bookmarkStart w:id="0" w:name="_GoBack"/>
      <w:bookmarkEnd w:id="0"/>
    </w:p>
    <w:sectPr w:rsidR="00497828" w:rsidRPr="00600802" w:rsidSect="00600802">
      <w:headerReference w:type="default" r:id="rId8"/>
      <w:footerReference w:type="default" r:id="rId9"/>
      <w:pgSz w:w="16838" w:h="11906" w:orient="landscape"/>
      <w:pgMar w:top="720" w:right="720" w:bottom="720" w:left="72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35" w:rsidRDefault="006A7B35" w:rsidP="00964904">
      <w:pPr>
        <w:spacing w:after="0" w:line="240" w:lineRule="auto"/>
      </w:pPr>
      <w:r>
        <w:separator/>
      </w:r>
    </w:p>
  </w:endnote>
  <w:endnote w:type="continuationSeparator" w:id="0">
    <w:p w:rsidR="006A7B35" w:rsidRDefault="006A7B35" w:rsidP="00964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964904" w:rsidP="0060080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35" w:rsidRDefault="006A7B35" w:rsidP="00964904">
      <w:pPr>
        <w:spacing w:after="0" w:line="240" w:lineRule="auto"/>
      </w:pPr>
      <w:r>
        <w:separator/>
      </w:r>
    </w:p>
  </w:footnote>
  <w:footnote w:type="continuationSeparator" w:id="0">
    <w:p w:rsidR="006A7B35" w:rsidRDefault="006A7B35" w:rsidP="00964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3131D4">
    <w:pPr>
      <w:pStyle w:val="Header"/>
    </w:pPr>
    <w:r>
      <w:rPr>
        <w:rFonts w:ascii="Arial" w:hAnsi="Arial" w:cs="Arial"/>
        <w:noProof/>
        <w:sz w:val="24"/>
        <w:szCs w:val="24"/>
        <w:lang w:eastAsia="en-ZA"/>
      </w:rPr>
      <w:drawing>
        <wp:inline distT="0" distB="0" distL="0" distR="0">
          <wp:extent cx="9734550" cy="493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yout-DWYPD and NDP-July 2019.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34550" cy="493395"/>
                  </a:xfrm>
                  <a:prstGeom prst="rect">
                    <a:avLst/>
                  </a:prstGeom>
                </pic:spPr>
              </pic:pic>
            </a:graphicData>
          </a:graphic>
        </wp:inline>
      </w:drawing>
    </w:r>
  </w:p>
  <w:p w:rsidR="00600802" w:rsidRDefault="00C52581">
    <w:pPr>
      <w:pStyle w:val="Header"/>
    </w:pPr>
    <w:r w:rsidRPr="00C52581">
      <w:rPr>
        <w:rFonts w:ascii="Arial" w:hAnsi="Arial" w:cs="Arial"/>
        <w:noProof/>
        <w:sz w:val="24"/>
        <w:szCs w:val="24"/>
        <w:lang w:eastAsia="en-ZA"/>
      </w:rPr>
      <w:pict>
        <v:rect id="Rectangle 4" o:spid="_x0000_s4097" style="position:absolute;margin-left:0;margin-top:13.25pt;width:766.5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" fillcolor="#0d7127" strokecolor="#0d7127" strokeweight="2pt">
          <v:path arrowok="t"/>
          <w10:wrap anchorx="margin"/>
        </v:rect>
      </w:pict>
    </w:r>
  </w:p>
  <w:p w:rsidR="00600802" w:rsidRDefault="00600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361"/>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1"/>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1"/>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19AD4427"/>
    <w:multiLevelType w:val="hybridMultilevel"/>
    <w:tmpl w:val="E11A35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7495527"/>
    <w:multiLevelType w:val="hybridMultilevel"/>
    <w:tmpl w:val="E940D8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AD83F36"/>
    <w:multiLevelType w:val="hybridMultilevel"/>
    <w:tmpl w:val="E67008B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2200CC3"/>
    <w:multiLevelType w:val="hybridMultilevel"/>
    <w:tmpl w:val="A7808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90041DB"/>
    <w:multiLevelType w:val="hybridMultilevel"/>
    <w:tmpl w:val="4EEE50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4ED4788"/>
    <w:multiLevelType w:val="hybridMultilevel"/>
    <w:tmpl w:val="F3384F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8264864"/>
    <w:multiLevelType w:val="hybridMultilevel"/>
    <w:tmpl w:val="F6500D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4CE4904"/>
    <w:multiLevelType w:val="hybridMultilevel"/>
    <w:tmpl w:val="DD4436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AE91A1C"/>
    <w:multiLevelType w:val="hybridMultilevel"/>
    <w:tmpl w:val="8FE01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D6E3A8F"/>
    <w:multiLevelType w:val="hybridMultilevel"/>
    <w:tmpl w:val="83C6E5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12"/>
  </w:num>
  <w:num w:numId="6">
    <w:abstractNumId w:val="8"/>
  </w:num>
  <w:num w:numId="7">
    <w:abstractNumId w:val="5"/>
  </w:num>
  <w:num w:numId="8">
    <w:abstractNumId w:val="9"/>
  </w:num>
  <w:num w:numId="9">
    <w:abstractNumId w:val="7"/>
  </w:num>
  <w:num w:numId="10">
    <w:abstractNumId w:val="10"/>
  </w:num>
  <w:num w:numId="11">
    <w:abstractNumId w:val="4"/>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964904"/>
    <w:rsid w:val="00003964"/>
    <w:rsid w:val="00030FA1"/>
    <w:rsid w:val="000366A3"/>
    <w:rsid w:val="0006539F"/>
    <w:rsid w:val="00070EA4"/>
    <w:rsid w:val="00076BB5"/>
    <w:rsid w:val="0009577E"/>
    <w:rsid w:val="000A5FBD"/>
    <w:rsid w:val="000B24AC"/>
    <w:rsid w:val="000E4FDA"/>
    <w:rsid w:val="000E70DA"/>
    <w:rsid w:val="000F444C"/>
    <w:rsid w:val="000F4CC0"/>
    <w:rsid w:val="00111701"/>
    <w:rsid w:val="00143908"/>
    <w:rsid w:val="00150305"/>
    <w:rsid w:val="00154E29"/>
    <w:rsid w:val="001574CB"/>
    <w:rsid w:val="001B61B2"/>
    <w:rsid w:val="001D2F79"/>
    <w:rsid w:val="001F0FAB"/>
    <w:rsid w:val="001F126A"/>
    <w:rsid w:val="00224527"/>
    <w:rsid w:val="00230699"/>
    <w:rsid w:val="00243049"/>
    <w:rsid w:val="002456C9"/>
    <w:rsid w:val="00246C82"/>
    <w:rsid w:val="00254A9A"/>
    <w:rsid w:val="002747CC"/>
    <w:rsid w:val="00285CEB"/>
    <w:rsid w:val="002920FB"/>
    <w:rsid w:val="00292885"/>
    <w:rsid w:val="00294FE4"/>
    <w:rsid w:val="002958B0"/>
    <w:rsid w:val="002B371B"/>
    <w:rsid w:val="002E02E2"/>
    <w:rsid w:val="002E370A"/>
    <w:rsid w:val="002E4A88"/>
    <w:rsid w:val="002F187F"/>
    <w:rsid w:val="003131D4"/>
    <w:rsid w:val="00335370"/>
    <w:rsid w:val="00335917"/>
    <w:rsid w:val="003376E7"/>
    <w:rsid w:val="00353A57"/>
    <w:rsid w:val="003807EE"/>
    <w:rsid w:val="003823A1"/>
    <w:rsid w:val="00387C71"/>
    <w:rsid w:val="00397CE2"/>
    <w:rsid w:val="003B44C7"/>
    <w:rsid w:val="003B5F13"/>
    <w:rsid w:val="003C4D3A"/>
    <w:rsid w:val="004026F2"/>
    <w:rsid w:val="0041664C"/>
    <w:rsid w:val="00435F38"/>
    <w:rsid w:val="004527AA"/>
    <w:rsid w:val="0046215C"/>
    <w:rsid w:val="00483E43"/>
    <w:rsid w:val="00484DE2"/>
    <w:rsid w:val="004958B6"/>
    <w:rsid w:val="00497828"/>
    <w:rsid w:val="004B2876"/>
    <w:rsid w:val="004B69E0"/>
    <w:rsid w:val="004F2FC1"/>
    <w:rsid w:val="00501113"/>
    <w:rsid w:val="00507848"/>
    <w:rsid w:val="00510188"/>
    <w:rsid w:val="00511979"/>
    <w:rsid w:val="00514951"/>
    <w:rsid w:val="0053505E"/>
    <w:rsid w:val="00554661"/>
    <w:rsid w:val="00560D41"/>
    <w:rsid w:val="00576DBB"/>
    <w:rsid w:val="00585F45"/>
    <w:rsid w:val="00597387"/>
    <w:rsid w:val="005B38CE"/>
    <w:rsid w:val="005D1946"/>
    <w:rsid w:val="005D715D"/>
    <w:rsid w:val="005E51F7"/>
    <w:rsid w:val="005F3D52"/>
    <w:rsid w:val="005F4DE8"/>
    <w:rsid w:val="00600802"/>
    <w:rsid w:val="00622E3A"/>
    <w:rsid w:val="00633A3A"/>
    <w:rsid w:val="00635771"/>
    <w:rsid w:val="00642A1B"/>
    <w:rsid w:val="0065066A"/>
    <w:rsid w:val="006729AF"/>
    <w:rsid w:val="0068179B"/>
    <w:rsid w:val="0068789E"/>
    <w:rsid w:val="006A3661"/>
    <w:rsid w:val="006A7B35"/>
    <w:rsid w:val="006B12FC"/>
    <w:rsid w:val="006B6E85"/>
    <w:rsid w:val="006B769F"/>
    <w:rsid w:val="006C761C"/>
    <w:rsid w:val="006D6E28"/>
    <w:rsid w:val="006F73BA"/>
    <w:rsid w:val="00706B99"/>
    <w:rsid w:val="007076DF"/>
    <w:rsid w:val="0071421D"/>
    <w:rsid w:val="007277B5"/>
    <w:rsid w:val="00747463"/>
    <w:rsid w:val="007577F8"/>
    <w:rsid w:val="007729C3"/>
    <w:rsid w:val="00774C4B"/>
    <w:rsid w:val="007A65A0"/>
    <w:rsid w:val="007F78F9"/>
    <w:rsid w:val="007F7925"/>
    <w:rsid w:val="00811565"/>
    <w:rsid w:val="00830B38"/>
    <w:rsid w:val="0086090D"/>
    <w:rsid w:val="00862153"/>
    <w:rsid w:val="00885004"/>
    <w:rsid w:val="00890FD1"/>
    <w:rsid w:val="00896276"/>
    <w:rsid w:val="008C057C"/>
    <w:rsid w:val="008C34E6"/>
    <w:rsid w:val="008E3893"/>
    <w:rsid w:val="00964904"/>
    <w:rsid w:val="00976D68"/>
    <w:rsid w:val="0098355E"/>
    <w:rsid w:val="00991AC2"/>
    <w:rsid w:val="009A04BC"/>
    <w:rsid w:val="009A528C"/>
    <w:rsid w:val="009C2608"/>
    <w:rsid w:val="009C29E9"/>
    <w:rsid w:val="009C34DF"/>
    <w:rsid w:val="009C5F21"/>
    <w:rsid w:val="009F349D"/>
    <w:rsid w:val="00A001FE"/>
    <w:rsid w:val="00A01087"/>
    <w:rsid w:val="00A01214"/>
    <w:rsid w:val="00A06AE9"/>
    <w:rsid w:val="00A17BFE"/>
    <w:rsid w:val="00A3524B"/>
    <w:rsid w:val="00A36C7C"/>
    <w:rsid w:val="00A44091"/>
    <w:rsid w:val="00A60A39"/>
    <w:rsid w:val="00A65F0A"/>
    <w:rsid w:val="00A910BA"/>
    <w:rsid w:val="00A95EB8"/>
    <w:rsid w:val="00A96E84"/>
    <w:rsid w:val="00AA46BC"/>
    <w:rsid w:val="00AB1D3E"/>
    <w:rsid w:val="00AB3926"/>
    <w:rsid w:val="00AC60A7"/>
    <w:rsid w:val="00AD1F3B"/>
    <w:rsid w:val="00AD2FAD"/>
    <w:rsid w:val="00AF7D86"/>
    <w:rsid w:val="00B03A9E"/>
    <w:rsid w:val="00B04478"/>
    <w:rsid w:val="00B11631"/>
    <w:rsid w:val="00B12F9C"/>
    <w:rsid w:val="00B2409A"/>
    <w:rsid w:val="00B272FA"/>
    <w:rsid w:val="00B43186"/>
    <w:rsid w:val="00B553AE"/>
    <w:rsid w:val="00B6301E"/>
    <w:rsid w:val="00B817FE"/>
    <w:rsid w:val="00B910FA"/>
    <w:rsid w:val="00BB564E"/>
    <w:rsid w:val="00BD10D4"/>
    <w:rsid w:val="00BE4089"/>
    <w:rsid w:val="00BE6B4D"/>
    <w:rsid w:val="00BF62C8"/>
    <w:rsid w:val="00BF7880"/>
    <w:rsid w:val="00C323DC"/>
    <w:rsid w:val="00C52581"/>
    <w:rsid w:val="00C625AE"/>
    <w:rsid w:val="00C64232"/>
    <w:rsid w:val="00C74375"/>
    <w:rsid w:val="00CA2AE8"/>
    <w:rsid w:val="00CB6590"/>
    <w:rsid w:val="00CE5C85"/>
    <w:rsid w:val="00D020DD"/>
    <w:rsid w:val="00D1141C"/>
    <w:rsid w:val="00D137EF"/>
    <w:rsid w:val="00D24DE9"/>
    <w:rsid w:val="00D422A0"/>
    <w:rsid w:val="00D459F1"/>
    <w:rsid w:val="00D60713"/>
    <w:rsid w:val="00D659E4"/>
    <w:rsid w:val="00D97C4F"/>
    <w:rsid w:val="00DA30E7"/>
    <w:rsid w:val="00DA6EF7"/>
    <w:rsid w:val="00DB4D0A"/>
    <w:rsid w:val="00DB56C8"/>
    <w:rsid w:val="00DB652A"/>
    <w:rsid w:val="00DC54A0"/>
    <w:rsid w:val="00DD3661"/>
    <w:rsid w:val="00E06017"/>
    <w:rsid w:val="00E431B5"/>
    <w:rsid w:val="00E726FF"/>
    <w:rsid w:val="00E77F05"/>
    <w:rsid w:val="00EA0B61"/>
    <w:rsid w:val="00EA15DC"/>
    <w:rsid w:val="00EA7FF2"/>
    <w:rsid w:val="00EF5634"/>
    <w:rsid w:val="00F050F9"/>
    <w:rsid w:val="00F23DCB"/>
    <w:rsid w:val="00F26534"/>
    <w:rsid w:val="00F26613"/>
    <w:rsid w:val="00F31536"/>
    <w:rsid w:val="00F50F7B"/>
    <w:rsid w:val="00F55651"/>
    <w:rsid w:val="00F62070"/>
    <w:rsid w:val="00F6291E"/>
    <w:rsid w:val="00F810CF"/>
    <w:rsid w:val="00F86C6C"/>
    <w:rsid w:val="00F9416A"/>
    <w:rsid w:val="00F951CD"/>
    <w:rsid w:val="00FC5011"/>
    <w:rsid w:val="00FC6A28"/>
    <w:rsid w:val="00FD0E44"/>
    <w:rsid w:val="00FD607F"/>
    <w:rsid w:val="00FF5A3D"/>
  </w:rsids>
  <m:mathPr>
    <m:mathFont m:val="Cambria Math"/>
    <m:brkBin m:val="before"/>
    <m:brkBinSub m:val="--"/>
    <m:smallFrac m:val="off"/>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9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4904"/>
    <w:rPr>
      <w:rFonts w:ascii="Tahoma" w:hAnsi="Tahoma" w:cs="Tahoma"/>
      <w:sz w:val="16"/>
      <w:szCs w:val="16"/>
    </w:rPr>
  </w:style>
  <w:style w:type="paragraph" w:styleId="Header">
    <w:name w:val="header"/>
    <w:basedOn w:val="Normal"/>
    <w:link w:val="HeaderChar"/>
    <w:uiPriority w:val="99"/>
    <w:unhideWhenUsed/>
    <w:rsid w:val="0096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04"/>
  </w:style>
  <w:style w:type="paragraph" w:styleId="Footer">
    <w:name w:val="footer"/>
    <w:basedOn w:val="Normal"/>
    <w:link w:val="FooterChar"/>
    <w:uiPriority w:val="99"/>
    <w:unhideWhenUsed/>
    <w:rsid w:val="0096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04"/>
  </w:style>
  <w:style w:type="paragraph" w:styleId="BodyText">
    <w:name w:val="Body Text"/>
    <w:basedOn w:val="Normal"/>
    <w:link w:val="BodyTextChar"/>
    <w:uiPriority w:val="1"/>
    <w:qFormat/>
    <w:rsid w:val="00353A57"/>
    <w:pPr>
      <w:widowControl w:val="0"/>
      <w:autoSpaceDE w:val="0"/>
      <w:autoSpaceDN w:val="0"/>
      <w:adjustRightInd w:val="0"/>
      <w:spacing w:after="0" w:line="240" w:lineRule="auto"/>
      <w:ind w:left="493" w:hanging="361"/>
    </w:pPr>
    <w:rPr>
      <w:rFonts w:ascii="Arial" w:eastAsia="Times New Roman" w:hAnsi="Arial" w:cs="Arial"/>
      <w:lang w:eastAsia="en-ZA"/>
    </w:rPr>
  </w:style>
  <w:style w:type="character" w:customStyle="1" w:styleId="BodyTextChar">
    <w:name w:val="Body Text Char"/>
    <w:link w:val="BodyText"/>
    <w:uiPriority w:val="1"/>
    <w:rsid w:val="00353A57"/>
    <w:rPr>
      <w:rFonts w:ascii="Arial" w:eastAsia="Times New Roman" w:hAnsi="Arial" w:cs="Arial"/>
      <w:sz w:val="22"/>
      <w:szCs w:val="22"/>
    </w:rPr>
  </w:style>
  <w:style w:type="paragraph" w:styleId="ListParagraph">
    <w:name w:val="List Paragraph"/>
    <w:basedOn w:val="Normal"/>
    <w:uiPriority w:val="1"/>
    <w:qFormat/>
    <w:rsid w:val="00353A57"/>
    <w:pPr>
      <w:widowControl w:val="0"/>
      <w:autoSpaceDE w:val="0"/>
      <w:autoSpaceDN w:val="0"/>
      <w:adjustRightInd w:val="0"/>
      <w:spacing w:after="0" w:line="240" w:lineRule="auto"/>
    </w:pPr>
    <w:rPr>
      <w:rFonts w:ascii="Times New Roman" w:eastAsia="Times New Roman" w:hAnsi="Times New Roman"/>
      <w:sz w:val="24"/>
      <w:szCs w:val="24"/>
      <w:lang w:eastAsia="en-ZA"/>
    </w:rPr>
  </w:style>
  <w:style w:type="paragraph" w:customStyle="1" w:styleId="TableParagraph">
    <w:name w:val="Table Paragraph"/>
    <w:basedOn w:val="Normal"/>
    <w:uiPriority w:val="1"/>
    <w:qFormat/>
    <w:rsid w:val="00353A57"/>
    <w:pPr>
      <w:widowControl w:val="0"/>
      <w:autoSpaceDE w:val="0"/>
      <w:autoSpaceDN w:val="0"/>
      <w:adjustRightInd w:val="0"/>
      <w:spacing w:after="0" w:line="240" w:lineRule="auto"/>
    </w:pPr>
    <w:rPr>
      <w:rFonts w:ascii="Times New Roman" w:eastAsia="Times New Roman" w:hAnsi="Times New Roman"/>
      <w:sz w:val="24"/>
      <w:szCs w:val="24"/>
      <w:lang w:eastAsia="en-ZA"/>
    </w:rPr>
  </w:style>
  <w:style w:type="character" w:styleId="Strong">
    <w:name w:val="Strong"/>
    <w:uiPriority w:val="22"/>
    <w:qFormat/>
    <w:rsid w:val="000F444C"/>
    <w:rPr>
      <w:b/>
      <w:bCs/>
    </w:rPr>
  </w:style>
  <w:style w:type="character" w:styleId="Hyperlink">
    <w:name w:val="Hyperlink"/>
    <w:uiPriority w:val="99"/>
    <w:semiHidden/>
    <w:unhideWhenUsed/>
    <w:rsid w:val="00D97C4F"/>
    <w:rPr>
      <w:color w:val="0000FF"/>
      <w:u w:val="single"/>
    </w:rPr>
  </w:style>
  <w:style w:type="paragraph" w:customStyle="1" w:styleId="BasicParagraph">
    <w:name w:val="[Basic Paragraph]"/>
    <w:basedOn w:val="Normal"/>
    <w:uiPriority w:val="99"/>
    <w:rsid w:val="006C761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60080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885600">
      <w:bodyDiv w:val="1"/>
      <w:marLeft w:val="0"/>
      <w:marRight w:val="0"/>
      <w:marTop w:val="0"/>
      <w:marBottom w:val="0"/>
      <w:divBdr>
        <w:top w:val="none" w:sz="0" w:space="0" w:color="auto"/>
        <w:left w:val="none" w:sz="0" w:space="0" w:color="auto"/>
        <w:bottom w:val="none" w:sz="0" w:space="0" w:color="auto"/>
        <w:right w:val="none" w:sz="0" w:space="0" w:color="auto"/>
      </w:divBdr>
    </w:div>
    <w:div w:id="395932238">
      <w:bodyDiv w:val="1"/>
      <w:marLeft w:val="0"/>
      <w:marRight w:val="0"/>
      <w:marTop w:val="0"/>
      <w:marBottom w:val="0"/>
      <w:divBdr>
        <w:top w:val="single" w:sz="18" w:space="15" w:color="206908"/>
        <w:left w:val="none" w:sz="0" w:space="0" w:color="auto"/>
        <w:bottom w:val="none" w:sz="0" w:space="0" w:color="auto"/>
        <w:right w:val="none" w:sz="0" w:space="0" w:color="auto"/>
      </w:divBdr>
      <w:divsChild>
        <w:div w:id="938678601">
          <w:marLeft w:val="0"/>
          <w:marRight w:val="0"/>
          <w:marTop w:val="0"/>
          <w:marBottom w:val="0"/>
          <w:divBdr>
            <w:top w:val="none" w:sz="0" w:space="0" w:color="auto"/>
            <w:left w:val="none" w:sz="0" w:space="0" w:color="auto"/>
            <w:bottom w:val="none" w:sz="0" w:space="0" w:color="auto"/>
            <w:right w:val="none" w:sz="0" w:space="0" w:color="auto"/>
          </w:divBdr>
          <w:divsChild>
            <w:div w:id="1291091615">
              <w:marLeft w:val="0"/>
              <w:marRight w:val="0"/>
              <w:marTop w:val="0"/>
              <w:marBottom w:val="0"/>
              <w:divBdr>
                <w:top w:val="none" w:sz="0" w:space="0" w:color="auto"/>
                <w:left w:val="none" w:sz="0" w:space="0" w:color="auto"/>
                <w:bottom w:val="none" w:sz="0" w:space="0" w:color="auto"/>
                <w:right w:val="none" w:sz="0" w:space="0" w:color="auto"/>
              </w:divBdr>
              <w:divsChild>
                <w:div w:id="1806894659">
                  <w:marLeft w:val="0"/>
                  <w:marRight w:val="0"/>
                  <w:marTop w:val="0"/>
                  <w:marBottom w:val="0"/>
                  <w:divBdr>
                    <w:top w:val="none" w:sz="0" w:space="0" w:color="auto"/>
                    <w:left w:val="none" w:sz="0" w:space="0" w:color="auto"/>
                    <w:bottom w:val="none" w:sz="0" w:space="0" w:color="auto"/>
                    <w:right w:val="none" w:sz="0" w:space="0" w:color="auto"/>
                  </w:divBdr>
                  <w:divsChild>
                    <w:div w:id="751387765">
                      <w:marLeft w:val="0"/>
                      <w:marRight w:val="0"/>
                      <w:marTop w:val="0"/>
                      <w:marBottom w:val="0"/>
                      <w:divBdr>
                        <w:top w:val="none" w:sz="0" w:space="0" w:color="auto"/>
                        <w:left w:val="none" w:sz="0" w:space="0" w:color="auto"/>
                        <w:bottom w:val="none" w:sz="0" w:space="0" w:color="auto"/>
                        <w:right w:val="none" w:sz="0" w:space="0" w:color="auto"/>
                      </w:divBdr>
                      <w:divsChild>
                        <w:div w:id="1824196496">
                          <w:marLeft w:val="0"/>
                          <w:marRight w:val="0"/>
                          <w:marTop w:val="0"/>
                          <w:marBottom w:val="0"/>
                          <w:divBdr>
                            <w:top w:val="none" w:sz="0" w:space="0" w:color="auto"/>
                            <w:left w:val="none" w:sz="0" w:space="0" w:color="auto"/>
                            <w:bottom w:val="none" w:sz="0" w:space="0" w:color="auto"/>
                            <w:right w:val="none" w:sz="0" w:space="0" w:color="auto"/>
                          </w:divBdr>
                          <w:divsChild>
                            <w:div w:id="1060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D431-3F38-452A-AE53-20D2829F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7460</CharactersWithSpaces>
  <SharedDoc>false</SharedDoc>
  <HLinks>
    <vt:vector size="12" baseType="variant">
      <vt:variant>
        <vt:i4>1769556</vt:i4>
      </vt:variant>
      <vt:variant>
        <vt:i4>6</vt:i4>
      </vt:variant>
      <vt:variant>
        <vt:i4>0</vt:i4>
      </vt:variant>
      <vt:variant>
        <vt:i4>5</vt:i4>
      </vt:variant>
      <vt:variant>
        <vt:lpwstr>http://www.women.gov.za/</vt:lpwstr>
      </vt:variant>
      <vt:variant>
        <vt:lpwstr/>
      </vt:variant>
      <vt:variant>
        <vt:i4>4063245</vt:i4>
      </vt:variant>
      <vt:variant>
        <vt:i4>3</vt:i4>
      </vt:variant>
      <vt:variant>
        <vt:i4>0</vt:i4>
      </vt:variant>
      <vt:variant>
        <vt:i4>5</vt:i4>
      </vt:variant>
      <vt:variant>
        <vt:lpwstr>mailto:shalen.gajadhar@women.gov.za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Segone</dc:creator>
  <cp:lastModifiedBy>PUMZA</cp:lastModifiedBy>
  <cp:revision>2</cp:revision>
  <cp:lastPrinted>2020-01-30T06:45:00Z</cp:lastPrinted>
  <dcterms:created xsi:type="dcterms:W3CDTF">2020-02-21T11:53:00Z</dcterms:created>
  <dcterms:modified xsi:type="dcterms:W3CDTF">2020-02-21T11:53:00Z</dcterms:modified>
</cp:coreProperties>
</file>