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38" w:rsidRPr="0059443C" w:rsidRDefault="00B30038" w:rsidP="0059443C">
      <w:pPr>
        <w:pStyle w:val="ListParagraph"/>
        <w:numPr>
          <w:ilvl w:val="0"/>
          <w:numId w:val="17"/>
        </w:numPr>
        <w:spacing w:line="360" w:lineRule="auto"/>
        <w:ind w:left="360"/>
        <w:jc w:val="both"/>
        <w:rPr>
          <w:rFonts w:ascii="Times New Roman" w:hAnsi="Times New Roman" w:cs="Times New Roman"/>
          <w:b/>
          <w:sz w:val="24"/>
          <w:szCs w:val="24"/>
        </w:rPr>
      </w:pPr>
      <w:r w:rsidRPr="0059443C">
        <w:rPr>
          <w:rFonts w:ascii="Times New Roman" w:hAnsi="Times New Roman" w:cs="Times New Roman"/>
          <w:b/>
          <w:sz w:val="24"/>
          <w:szCs w:val="24"/>
        </w:rPr>
        <w:t>REPORT OF THE SELECT COMMITTEE ON APPROPRIATIONS ON THE DIVISION OF REVENUE BILL [B4-2017], DATED</w:t>
      </w:r>
      <w:r w:rsidR="00200A9F" w:rsidRPr="0059443C">
        <w:rPr>
          <w:rFonts w:ascii="Times New Roman" w:hAnsi="Times New Roman" w:cs="Times New Roman"/>
          <w:b/>
          <w:sz w:val="24"/>
          <w:szCs w:val="24"/>
        </w:rPr>
        <w:t xml:space="preserve"> 9</w:t>
      </w:r>
      <w:r w:rsidRPr="0059443C">
        <w:rPr>
          <w:rFonts w:ascii="Times New Roman" w:hAnsi="Times New Roman" w:cs="Times New Roman"/>
          <w:b/>
          <w:sz w:val="24"/>
          <w:szCs w:val="24"/>
        </w:rPr>
        <w:t xml:space="preserve"> MAY 2017</w:t>
      </w:r>
    </w:p>
    <w:p w:rsidR="00B30038" w:rsidRPr="00A6363B" w:rsidRDefault="00B30038" w:rsidP="00EE48C3">
      <w:pPr>
        <w:spacing w:line="360" w:lineRule="auto"/>
        <w:jc w:val="both"/>
        <w:rPr>
          <w:rFonts w:ascii="Times New Roman" w:hAnsi="Times New Roman" w:cs="Times New Roman"/>
          <w:sz w:val="24"/>
          <w:szCs w:val="24"/>
        </w:rPr>
      </w:pPr>
      <w:bookmarkStart w:id="0" w:name="_GoBack"/>
      <w:bookmarkEnd w:id="0"/>
    </w:p>
    <w:p w:rsidR="00B30038" w:rsidRPr="00A6363B" w:rsidRDefault="00B30038"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Select Committee on Appropriations, having considered the </w:t>
      </w:r>
      <w:r w:rsidRPr="00A6363B">
        <w:rPr>
          <w:rFonts w:ascii="Times New Roman" w:hAnsi="Times New Roman" w:cs="Times New Roman"/>
          <w:i/>
          <w:sz w:val="24"/>
          <w:szCs w:val="24"/>
        </w:rPr>
        <w:t xml:space="preserve">Division of Revenue Bill </w:t>
      </w:r>
      <w:r w:rsidRPr="00A6363B">
        <w:rPr>
          <w:rFonts w:ascii="Times New Roman" w:hAnsi="Times New Roman" w:cs="Times New Roman"/>
          <w:sz w:val="24"/>
          <w:szCs w:val="24"/>
        </w:rPr>
        <w:t xml:space="preserve">[B4 – 2017] (National Assembly-Section 76(1)), referred to it and classified by the JTM as a Section 76(1) bill, reports as follows: </w:t>
      </w:r>
    </w:p>
    <w:p w:rsidR="00B30038" w:rsidRPr="00A6363B" w:rsidRDefault="00B30038" w:rsidP="00EE48C3">
      <w:pPr>
        <w:spacing w:line="360" w:lineRule="auto"/>
        <w:jc w:val="both"/>
        <w:rPr>
          <w:rFonts w:ascii="Times New Roman" w:hAnsi="Times New Roman" w:cs="Times New Roman"/>
          <w:sz w:val="24"/>
          <w:szCs w:val="24"/>
        </w:rPr>
      </w:pPr>
    </w:p>
    <w:p w:rsidR="00B30038" w:rsidRPr="00A6363B" w:rsidRDefault="00B30038" w:rsidP="00EE48C3">
      <w:pPr>
        <w:pStyle w:val="ListParagraph"/>
        <w:numPr>
          <w:ilvl w:val="0"/>
          <w:numId w:val="2"/>
        </w:numPr>
        <w:spacing w:after="0" w:line="360" w:lineRule="auto"/>
        <w:ind w:left="426" w:hanging="426"/>
        <w:jc w:val="both"/>
        <w:rPr>
          <w:rFonts w:ascii="Times New Roman" w:hAnsi="Times New Roman" w:cs="Times New Roman"/>
          <w:b/>
          <w:sz w:val="24"/>
          <w:szCs w:val="24"/>
        </w:rPr>
      </w:pPr>
      <w:r w:rsidRPr="00A6363B">
        <w:rPr>
          <w:rFonts w:ascii="Times New Roman" w:hAnsi="Times New Roman" w:cs="Times New Roman"/>
          <w:b/>
          <w:sz w:val="24"/>
          <w:szCs w:val="24"/>
        </w:rPr>
        <w:t>Introduction and background</w:t>
      </w:r>
    </w:p>
    <w:p w:rsidR="00B30038" w:rsidRPr="00A6363B" w:rsidRDefault="00B30038"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Section 10(1) of the Intergovernmental Fiscal Relations Act, 1997 (No. 97 of 1997), requires that each year when the annual budget is introduced, the Minister of Finance (the Minister) must introduce in the National Assembly a Division of Revenue Bill (the Bill) for the financial year to which that budget relates. The purpose of the Bill is to provide for</w:t>
      </w:r>
      <w:r w:rsidR="00200A9F" w:rsidRPr="00A6363B">
        <w:rPr>
          <w:rFonts w:ascii="Times New Roman" w:hAnsi="Times New Roman" w:cs="Times New Roman"/>
          <w:sz w:val="24"/>
          <w:szCs w:val="24"/>
        </w:rPr>
        <w:t xml:space="preserve"> </w:t>
      </w:r>
      <w:r w:rsidRPr="00A6363B">
        <w:rPr>
          <w:rFonts w:ascii="Times New Roman" w:hAnsi="Times New Roman" w:cs="Times New Roman"/>
          <w:sz w:val="24"/>
          <w:szCs w:val="24"/>
        </w:rPr>
        <w:t>–</w:t>
      </w:r>
    </w:p>
    <w:p w:rsidR="00B30038" w:rsidRPr="00A6363B" w:rsidRDefault="00B30038" w:rsidP="00EE48C3">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A6363B">
        <w:rPr>
          <w:rFonts w:ascii="Times New Roman" w:hAnsi="Times New Roman" w:cs="Times New Roman"/>
          <w:sz w:val="24"/>
          <w:szCs w:val="24"/>
        </w:rPr>
        <w:t>the share of each sphere of government of the revenue raised nationally for the relevant financial year;</w:t>
      </w:r>
    </w:p>
    <w:p w:rsidR="00B30038" w:rsidRPr="00A6363B" w:rsidRDefault="00B30038" w:rsidP="00EE48C3">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A6363B">
        <w:rPr>
          <w:rFonts w:ascii="Times New Roman" w:hAnsi="Times New Roman" w:cs="Times New Roman"/>
          <w:sz w:val="24"/>
          <w:szCs w:val="24"/>
        </w:rPr>
        <w:t>each province’s share of the provincial share of that revenue; and</w:t>
      </w:r>
    </w:p>
    <w:p w:rsidR="00B30038" w:rsidRPr="00A6363B" w:rsidRDefault="00B30038" w:rsidP="00EE48C3">
      <w:pPr>
        <w:numPr>
          <w:ilvl w:val="1"/>
          <w:numId w:val="1"/>
        </w:numPr>
        <w:tabs>
          <w:tab w:val="clear" w:pos="2145"/>
        </w:tabs>
        <w:spacing w:after="0" w:line="360" w:lineRule="auto"/>
        <w:ind w:left="567" w:hanging="567"/>
        <w:jc w:val="both"/>
        <w:rPr>
          <w:rFonts w:ascii="Times New Roman" w:hAnsi="Times New Roman" w:cs="Times New Roman"/>
          <w:sz w:val="24"/>
          <w:szCs w:val="24"/>
        </w:rPr>
      </w:pPr>
      <w:r w:rsidRPr="00A6363B">
        <w:rPr>
          <w:rFonts w:ascii="Times New Roman" w:hAnsi="Times New Roman" w:cs="Times New Roman"/>
          <w:sz w:val="24"/>
          <w:szCs w:val="24"/>
        </w:rPr>
        <w:t>any other allocations to the provinces, local government or municipalities from the national government’s share of that revenue, and any conditions on which those allocations are or must be made.</w:t>
      </w:r>
    </w:p>
    <w:p w:rsidR="00B30038" w:rsidRPr="00A6363B" w:rsidRDefault="00B30038"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According to section 7(3) of the Money Bills Amendment Procedure and Related Matters Act (Act No 9 of 2009) </w:t>
      </w:r>
      <w:r w:rsidR="00200A9F" w:rsidRPr="00A6363B">
        <w:rPr>
          <w:rFonts w:ascii="Times New Roman" w:hAnsi="Times New Roman" w:cs="Times New Roman"/>
          <w:sz w:val="24"/>
          <w:szCs w:val="24"/>
        </w:rPr>
        <w:t xml:space="preserve">(the Money Bills Act) </w:t>
      </w:r>
      <w:r w:rsidRPr="00A6363B">
        <w:rPr>
          <w:rFonts w:ascii="Times New Roman" w:hAnsi="Times New Roman" w:cs="Times New Roman"/>
          <w:sz w:val="24"/>
          <w:szCs w:val="24"/>
        </w:rPr>
        <w:t xml:space="preserve">and section 76(4) of the Constitution, the Bill must be tabled in the National Assembly and thereafter it must be dealt with in accordance with the procedure established by Section 76(1) of the Constitution. In accordance with these sections, the Minister, Mr P G Gordhan, tabled the Bill in the National Assembly on 22 February 2017. On 15 March 2017, the Bill, with technical corrections to schedule 3 (pages 31, 32, 37, 38, 39 and 40), was transmitted to the National Council of Provinces and referred to the Committee. </w:t>
      </w:r>
    </w:p>
    <w:p w:rsidR="00B30038" w:rsidRPr="00A6363B" w:rsidRDefault="00B30038" w:rsidP="00EE48C3">
      <w:pPr>
        <w:spacing w:before="120" w:line="360" w:lineRule="auto"/>
        <w:jc w:val="both"/>
        <w:rPr>
          <w:rFonts w:ascii="Times New Roman" w:hAnsi="Times New Roman" w:cs="Times New Roman"/>
          <w:sz w:val="24"/>
          <w:szCs w:val="24"/>
        </w:rPr>
      </w:pPr>
    </w:p>
    <w:p w:rsidR="00B30038" w:rsidRPr="00A6363B" w:rsidRDefault="00B30038" w:rsidP="00EE48C3">
      <w:pPr>
        <w:tabs>
          <w:tab w:val="left" w:pos="3828"/>
        </w:tabs>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Subsequent to the briefing by National Treasury on the Bill, the Committee</w:t>
      </w:r>
      <w:r w:rsidR="009C11B9" w:rsidRPr="00A6363B">
        <w:rPr>
          <w:rFonts w:ascii="Times New Roman" w:hAnsi="Times New Roman" w:cs="Times New Roman"/>
          <w:sz w:val="24"/>
          <w:szCs w:val="24"/>
        </w:rPr>
        <w:t>, in compliance with section 214(2) of the Constitution,</w:t>
      </w:r>
      <w:r w:rsidRPr="00A6363B">
        <w:rPr>
          <w:rFonts w:ascii="Times New Roman" w:hAnsi="Times New Roman" w:cs="Times New Roman"/>
          <w:sz w:val="24"/>
          <w:szCs w:val="24"/>
        </w:rPr>
        <w:t xml:space="preserve"> </w:t>
      </w:r>
      <w:r w:rsidR="00F85D16" w:rsidRPr="00A6363B">
        <w:rPr>
          <w:rFonts w:ascii="Times New Roman" w:hAnsi="Times New Roman" w:cs="Times New Roman"/>
          <w:sz w:val="24"/>
          <w:szCs w:val="24"/>
        </w:rPr>
        <w:t xml:space="preserve">consulted the </w:t>
      </w:r>
      <w:r w:rsidRPr="00A6363B">
        <w:rPr>
          <w:rFonts w:ascii="Times New Roman" w:hAnsi="Times New Roman" w:cs="Times New Roman"/>
          <w:sz w:val="24"/>
          <w:szCs w:val="24"/>
        </w:rPr>
        <w:t>Financial and Fiscal Commission</w:t>
      </w:r>
      <w:r w:rsidR="00200A9F" w:rsidRPr="00A6363B">
        <w:rPr>
          <w:rFonts w:ascii="Times New Roman" w:hAnsi="Times New Roman" w:cs="Times New Roman"/>
          <w:sz w:val="24"/>
          <w:szCs w:val="24"/>
        </w:rPr>
        <w:t xml:space="preserve"> (FFC)</w:t>
      </w:r>
      <w:r w:rsidR="00367566" w:rsidRPr="00A6363B">
        <w:rPr>
          <w:rFonts w:ascii="Times New Roman" w:hAnsi="Times New Roman" w:cs="Times New Roman"/>
          <w:sz w:val="24"/>
          <w:szCs w:val="24"/>
        </w:rPr>
        <w:t xml:space="preserve"> and</w:t>
      </w:r>
      <w:r w:rsidR="00F85D16" w:rsidRPr="00A6363B">
        <w:rPr>
          <w:rFonts w:ascii="Times New Roman" w:hAnsi="Times New Roman" w:cs="Times New Roman"/>
          <w:sz w:val="24"/>
          <w:szCs w:val="24"/>
        </w:rPr>
        <w:t xml:space="preserve"> the </w:t>
      </w:r>
      <w:r w:rsidRPr="00A6363B">
        <w:rPr>
          <w:rFonts w:ascii="Times New Roman" w:hAnsi="Times New Roman" w:cs="Times New Roman"/>
          <w:sz w:val="24"/>
          <w:szCs w:val="24"/>
        </w:rPr>
        <w:t>South African Local Government Association</w:t>
      </w:r>
      <w:r w:rsidR="00F85D16" w:rsidRPr="00A6363B">
        <w:rPr>
          <w:rFonts w:ascii="Times New Roman" w:hAnsi="Times New Roman" w:cs="Times New Roman"/>
          <w:sz w:val="24"/>
          <w:szCs w:val="24"/>
        </w:rPr>
        <w:t xml:space="preserve"> (SALGA)</w:t>
      </w:r>
      <w:r w:rsidR="009C11B9" w:rsidRPr="00A6363B">
        <w:rPr>
          <w:rFonts w:ascii="Times New Roman" w:hAnsi="Times New Roman" w:cs="Times New Roman"/>
          <w:sz w:val="24"/>
          <w:szCs w:val="24"/>
        </w:rPr>
        <w:t>. Moreover, the Committee also ensured that all nine provinces were briefed and they fully participate</w:t>
      </w:r>
      <w:r w:rsidR="00367566" w:rsidRPr="00A6363B">
        <w:rPr>
          <w:rFonts w:ascii="Times New Roman" w:hAnsi="Times New Roman" w:cs="Times New Roman"/>
          <w:sz w:val="24"/>
          <w:szCs w:val="24"/>
        </w:rPr>
        <w:t>d in the processing of the Bill.</w:t>
      </w:r>
      <w:r w:rsidR="009C11B9" w:rsidRPr="00A6363B">
        <w:rPr>
          <w:rFonts w:ascii="Times New Roman" w:hAnsi="Times New Roman" w:cs="Times New Roman"/>
          <w:sz w:val="24"/>
          <w:szCs w:val="24"/>
        </w:rPr>
        <w:t xml:space="preserve"> Also consulted was </w:t>
      </w:r>
      <w:r w:rsidR="00F85D16" w:rsidRPr="00A6363B">
        <w:rPr>
          <w:rFonts w:ascii="Times New Roman" w:hAnsi="Times New Roman" w:cs="Times New Roman"/>
          <w:sz w:val="24"/>
          <w:szCs w:val="24"/>
        </w:rPr>
        <w:t>the Parliamentary Budget Office</w:t>
      </w:r>
      <w:r w:rsidR="009C11B9" w:rsidRPr="00A6363B">
        <w:rPr>
          <w:rFonts w:ascii="Times New Roman" w:hAnsi="Times New Roman" w:cs="Times New Roman"/>
          <w:sz w:val="24"/>
          <w:szCs w:val="24"/>
        </w:rPr>
        <w:t xml:space="preserve">. </w:t>
      </w:r>
      <w:r w:rsidR="00F85D16" w:rsidRPr="00A6363B">
        <w:rPr>
          <w:rFonts w:ascii="Times New Roman" w:hAnsi="Times New Roman" w:cs="Times New Roman"/>
          <w:sz w:val="24"/>
          <w:szCs w:val="24"/>
        </w:rPr>
        <w:t xml:space="preserve">The Committee </w:t>
      </w:r>
      <w:r w:rsidR="00F85D16" w:rsidRPr="00A6363B">
        <w:rPr>
          <w:rFonts w:ascii="Times New Roman" w:hAnsi="Times New Roman" w:cs="Times New Roman"/>
          <w:sz w:val="24"/>
          <w:szCs w:val="24"/>
        </w:rPr>
        <w:lastRenderedPageBreak/>
        <w:t xml:space="preserve">further scheduled public hearings on 02 May 2017 in line with section 9(5)(b) of the Money Bills Act. Print media advertisements were placed nationally in all 11 official languages, calling for submissions from interested parties and stakeholders. </w:t>
      </w:r>
      <w:r w:rsidR="00C12CD9" w:rsidRPr="00A6363B">
        <w:rPr>
          <w:rFonts w:ascii="Times New Roman" w:hAnsi="Times New Roman" w:cs="Times New Roman"/>
          <w:sz w:val="24"/>
          <w:szCs w:val="24"/>
        </w:rPr>
        <w:t>During the public hearing t</w:t>
      </w:r>
      <w:r w:rsidR="00F85D16" w:rsidRPr="00A6363B">
        <w:rPr>
          <w:rFonts w:ascii="Times New Roman" w:hAnsi="Times New Roman" w:cs="Times New Roman"/>
          <w:sz w:val="24"/>
          <w:szCs w:val="24"/>
        </w:rPr>
        <w:t xml:space="preserve">he Committee received and considered written </w:t>
      </w:r>
      <w:r w:rsidR="000078BA" w:rsidRPr="00A6363B">
        <w:rPr>
          <w:rFonts w:ascii="Times New Roman" w:hAnsi="Times New Roman" w:cs="Times New Roman"/>
          <w:sz w:val="24"/>
          <w:szCs w:val="24"/>
        </w:rPr>
        <w:t xml:space="preserve">and oral </w:t>
      </w:r>
      <w:r w:rsidR="00F85D16" w:rsidRPr="00A6363B">
        <w:rPr>
          <w:rFonts w:ascii="Times New Roman" w:hAnsi="Times New Roman" w:cs="Times New Roman"/>
          <w:sz w:val="24"/>
          <w:szCs w:val="24"/>
        </w:rPr>
        <w:t>submissions from</w:t>
      </w:r>
      <w:r w:rsidR="000078BA" w:rsidRPr="00A6363B">
        <w:rPr>
          <w:rFonts w:ascii="Times New Roman" w:hAnsi="Times New Roman" w:cs="Times New Roman"/>
          <w:sz w:val="24"/>
          <w:szCs w:val="24"/>
        </w:rPr>
        <w:t xml:space="preserve"> </w:t>
      </w:r>
      <w:r w:rsidR="001671FA" w:rsidRPr="00A6363B">
        <w:rPr>
          <w:rFonts w:ascii="Times New Roman" w:hAnsi="Times New Roman" w:cs="Times New Roman"/>
          <w:sz w:val="24"/>
          <w:szCs w:val="24"/>
        </w:rPr>
        <w:t xml:space="preserve">the </w:t>
      </w:r>
      <w:r w:rsidR="00EA604B" w:rsidRPr="00A6363B">
        <w:rPr>
          <w:rFonts w:ascii="Times New Roman" w:hAnsi="Times New Roman" w:cs="Times New Roman"/>
          <w:sz w:val="24"/>
          <w:szCs w:val="24"/>
        </w:rPr>
        <w:t>University of Stellenbosch’s Economic</w:t>
      </w:r>
      <w:r w:rsidR="001671FA" w:rsidRPr="00A6363B">
        <w:rPr>
          <w:rFonts w:ascii="Times New Roman" w:hAnsi="Times New Roman" w:cs="Times New Roman"/>
          <w:sz w:val="24"/>
          <w:szCs w:val="24"/>
        </w:rPr>
        <w:t>s Department</w:t>
      </w:r>
      <w:r w:rsidR="00EA604B" w:rsidRPr="00A6363B">
        <w:rPr>
          <w:rFonts w:ascii="Times New Roman" w:hAnsi="Times New Roman" w:cs="Times New Roman"/>
          <w:sz w:val="24"/>
          <w:szCs w:val="24"/>
        </w:rPr>
        <w:t xml:space="preserve">, </w:t>
      </w:r>
      <w:r w:rsidR="0090600A" w:rsidRPr="00A6363B">
        <w:rPr>
          <w:rFonts w:ascii="Times New Roman" w:hAnsi="Times New Roman" w:cs="Times New Roman"/>
          <w:sz w:val="24"/>
          <w:szCs w:val="24"/>
        </w:rPr>
        <w:t>E</w:t>
      </w:r>
      <w:r w:rsidR="009B19E2" w:rsidRPr="00A6363B">
        <w:rPr>
          <w:rFonts w:ascii="Times New Roman" w:hAnsi="Times New Roman" w:cs="Times New Roman"/>
          <w:sz w:val="24"/>
          <w:szCs w:val="24"/>
        </w:rPr>
        <w:t>skom</w:t>
      </w:r>
      <w:r w:rsidR="00EA604B" w:rsidRPr="00A6363B">
        <w:rPr>
          <w:rFonts w:ascii="Times New Roman" w:hAnsi="Times New Roman" w:cs="Times New Roman"/>
          <w:sz w:val="24"/>
          <w:szCs w:val="24"/>
        </w:rPr>
        <w:t xml:space="preserve">, </w:t>
      </w:r>
      <w:r w:rsidR="001671FA" w:rsidRPr="00A6363B">
        <w:rPr>
          <w:rFonts w:ascii="Times New Roman" w:hAnsi="Times New Roman" w:cs="Times New Roman"/>
          <w:sz w:val="24"/>
          <w:szCs w:val="24"/>
        </w:rPr>
        <w:t xml:space="preserve">the </w:t>
      </w:r>
      <w:r w:rsidR="00EA604B" w:rsidRPr="00A6363B">
        <w:rPr>
          <w:rFonts w:ascii="Times New Roman" w:hAnsi="Times New Roman" w:cs="Times New Roman"/>
          <w:sz w:val="24"/>
          <w:szCs w:val="24"/>
        </w:rPr>
        <w:t>Financial and Fiscal Commission</w:t>
      </w:r>
      <w:r w:rsidR="001671FA" w:rsidRPr="00A6363B">
        <w:rPr>
          <w:rFonts w:ascii="Times New Roman" w:hAnsi="Times New Roman" w:cs="Times New Roman"/>
          <w:sz w:val="24"/>
          <w:szCs w:val="24"/>
        </w:rPr>
        <w:t xml:space="preserve"> and the </w:t>
      </w:r>
      <w:r w:rsidR="00EA604B" w:rsidRPr="00A6363B">
        <w:rPr>
          <w:rFonts w:ascii="Times New Roman" w:hAnsi="Times New Roman" w:cs="Times New Roman"/>
          <w:sz w:val="24"/>
          <w:szCs w:val="24"/>
        </w:rPr>
        <w:t xml:space="preserve">South African Local Government Association </w:t>
      </w:r>
      <w:r w:rsidR="001671FA" w:rsidRPr="00A6363B">
        <w:rPr>
          <w:rFonts w:ascii="Times New Roman" w:hAnsi="Times New Roman" w:cs="Times New Roman"/>
          <w:sz w:val="24"/>
          <w:szCs w:val="24"/>
        </w:rPr>
        <w:t>(Salga)</w:t>
      </w:r>
      <w:r w:rsidR="00C12CD9" w:rsidRPr="00A6363B">
        <w:rPr>
          <w:rFonts w:ascii="Times New Roman" w:hAnsi="Times New Roman" w:cs="Times New Roman"/>
          <w:sz w:val="24"/>
          <w:szCs w:val="24"/>
        </w:rPr>
        <w:t>.</w:t>
      </w:r>
      <w:r w:rsidR="00EA604B" w:rsidRPr="00A6363B">
        <w:rPr>
          <w:rFonts w:ascii="Times New Roman" w:hAnsi="Times New Roman" w:cs="Times New Roman"/>
          <w:sz w:val="24"/>
          <w:szCs w:val="24"/>
        </w:rPr>
        <w:t xml:space="preserve">  </w:t>
      </w:r>
      <w:r w:rsidR="000078BA" w:rsidRPr="00A6363B">
        <w:rPr>
          <w:rFonts w:ascii="Times New Roman" w:hAnsi="Times New Roman" w:cs="Times New Roman"/>
          <w:sz w:val="24"/>
          <w:szCs w:val="24"/>
        </w:rPr>
        <w:t xml:space="preserve"> Thereafter, the Committee received</w:t>
      </w:r>
      <w:r w:rsidRPr="00A6363B">
        <w:rPr>
          <w:rFonts w:ascii="Times New Roman" w:hAnsi="Times New Roman" w:cs="Times New Roman"/>
          <w:sz w:val="24"/>
          <w:szCs w:val="24"/>
        </w:rPr>
        <w:t xml:space="preserve"> </w:t>
      </w:r>
      <w:r w:rsidR="000078BA" w:rsidRPr="00A6363B">
        <w:rPr>
          <w:rFonts w:ascii="Times New Roman" w:hAnsi="Times New Roman" w:cs="Times New Roman"/>
          <w:sz w:val="24"/>
          <w:szCs w:val="24"/>
        </w:rPr>
        <w:t xml:space="preserve">and considered </w:t>
      </w:r>
      <w:r w:rsidRPr="00A6363B">
        <w:rPr>
          <w:rFonts w:ascii="Times New Roman" w:hAnsi="Times New Roman" w:cs="Times New Roman"/>
          <w:sz w:val="24"/>
          <w:szCs w:val="24"/>
        </w:rPr>
        <w:t>negotiating mandates from provinces on 0</w:t>
      </w:r>
      <w:r w:rsidR="0080704D" w:rsidRPr="00A6363B">
        <w:rPr>
          <w:rFonts w:ascii="Times New Roman" w:hAnsi="Times New Roman" w:cs="Times New Roman"/>
          <w:sz w:val="24"/>
          <w:szCs w:val="24"/>
        </w:rPr>
        <w:t xml:space="preserve">3 May 2017 </w:t>
      </w:r>
      <w:r w:rsidRPr="00A6363B">
        <w:rPr>
          <w:rFonts w:ascii="Times New Roman" w:hAnsi="Times New Roman" w:cs="Times New Roman"/>
          <w:sz w:val="24"/>
          <w:szCs w:val="24"/>
        </w:rPr>
        <w:t xml:space="preserve">and final mandates on </w:t>
      </w:r>
      <w:r w:rsidR="0080704D" w:rsidRPr="00A6363B">
        <w:rPr>
          <w:rFonts w:ascii="Times New Roman" w:hAnsi="Times New Roman" w:cs="Times New Roman"/>
          <w:sz w:val="24"/>
          <w:szCs w:val="24"/>
        </w:rPr>
        <w:t xml:space="preserve">09 </w:t>
      </w:r>
      <w:r w:rsidRPr="00A6363B">
        <w:rPr>
          <w:rFonts w:ascii="Times New Roman" w:hAnsi="Times New Roman" w:cs="Times New Roman"/>
          <w:sz w:val="24"/>
          <w:szCs w:val="24"/>
        </w:rPr>
        <w:t>May 201</w:t>
      </w:r>
      <w:r w:rsidR="0080704D" w:rsidRPr="00A6363B">
        <w:rPr>
          <w:rFonts w:ascii="Times New Roman" w:hAnsi="Times New Roman" w:cs="Times New Roman"/>
          <w:sz w:val="24"/>
          <w:szCs w:val="24"/>
        </w:rPr>
        <w:t>7</w:t>
      </w:r>
      <w:r w:rsidRPr="00A6363B">
        <w:rPr>
          <w:rFonts w:ascii="Times New Roman" w:hAnsi="Times New Roman" w:cs="Times New Roman"/>
          <w:sz w:val="24"/>
          <w:szCs w:val="24"/>
        </w:rPr>
        <w:t>.</w:t>
      </w:r>
    </w:p>
    <w:p w:rsidR="0080704D" w:rsidRPr="00A6363B" w:rsidRDefault="0080704D" w:rsidP="00EE48C3">
      <w:pPr>
        <w:tabs>
          <w:tab w:val="left" w:pos="3828"/>
        </w:tabs>
        <w:spacing w:line="360" w:lineRule="auto"/>
        <w:jc w:val="both"/>
        <w:rPr>
          <w:rFonts w:ascii="Times New Roman" w:hAnsi="Times New Roman" w:cs="Times New Roman"/>
          <w:sz w:val="24"/>
          <w:szCs w:val="24"/>
        </w:rPr>
      </w:pPr>
    </w:p>
    <w:p w:rsidR="0080704D" w:rsidRPr="00A6363B" w:rsidRDefault="0080704D" w:rsidP="00EE48C3">
      <w:pPr>
        <w:pStyle w:val="ListParagraph"/>
        <w:numPr>
          <w:ilvl w:val="0"/>
          <w:numId w:val="1"/>
        </w:numPr>
        <w:tabs>
          <w:tab w:val="left" w:pos="3828"/>
        </w:tabs>
        <w:spacing w:line="360" w:lineRule="auto"/>
        <w:ind w:hanging="644"/>
        <w:jc w:val="both"/>
        <w:rPr>
          <w:rFonts w:ascii="Times New Roman" w:hAnsi="Times New Roman" w:cs="Times New Roman"/>
          <w:sz w:val="24"/>
          <w:szCs w:val="24"/>
        </w:rPr>
      </w:pPr>
      <w:r w:rsidRPr="00A6363B">
        <w:rPr>
          <w:rFonts w:ascii="Times New Roman" w:hAnsi="Times New Roman" w:cs="Times New Roman"/>
          <w:b/>
          <w:sz w:val="24"/>
          <w:szCs w:val="24"/>
        </w:rPr>
        <w:t>The 201</w:t>
      </w:r>
      <w:r w:rsidR="007B563F" w:rsidRPr="00A6363B">
        <w:rPr>
          <w:rFonts w:ascii="Times New Roman" w:hAnsi="Times New Roman" w:cs="Times New Roman"/>
          <w:b/>
          <w:sz w:val="24"/>
          <w:szCs w:val="24"/>
        </w:rPr>
        <w:t>7</w:t>
      </w:r>
      <w:r w:rsidRPr="00A6363B">
        <w:rPr>
          <w:rFonts w:ascii="Times New Roman" w:hAnsi="Times New Roman" w:cs="Times New Roman"/>
          <w:b/>
          <w:sz w:val="24"/>
          <w:szCs w:val="24"/>
        </w:rPr>
        <w:t xml:space="preserve"> Division of Revenue allocations</w:t>
      </w:r>
    </w:p>
    <w:p w:rsidR="0036032C" w:rsidRPr="00A6363B" w:rsidRDefault="003270DE"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Bill is a product of the South African Constitution guided by section 214(1), which mandates that the revenue raised nationally must be shared equitabl</w:t>
      </w:r>
      <w:r w:rsidR="00200A9F" w:rsidRPr="00A6363B">
        <w:rPr>
          <w:rFonts w:ascii="Times New Roman" w:hAnsi="Times New Roman" w:cs="Times New Roman"/>
          <w:sz w:val="24"/>
          <w:szCs w:val="24"/>
        </w:rPr>
        <w:t>y</w:t>
      </w:r>
      <w:r w:rsidRPr="00A6363B">
        <w:rPr>
          <w:rFonts w:ascii="Times New Roman" w:hAnsi="Times New Roman" w:cs="Times New Roman"/>
          <w:sz w:val="24"/>
          <w:szCs w:val="24"/>
        </w:rPr>
        <w:t xml:space="preserve"> between </w:t>
      </w:r>
      <w:r w:rsidR="00200A9F" w:rsidRPr="00A6363B">
        <w:rPr>
          <w:rFonts w:ascii="Times New Roman" w:hAnsi="Times New Roman" w:cs="Times New Roman"/>
          <w:sz w:val="24"/>
          <w:szCs w:val="24"/>
        </w:rPr>
        <w:t xml:space="preserve">the </w:t>
      </w:r>
      <w:r w:rsidRPr="00A6363B">
        <w:rPr>
          <w:rFonts w:ascii="Times New Roman" w:hAnsi="Times New Roman" w:cs="Times New Roman"/>
          <w:sz w:val="24"/>
          <w:szCs w:val="24"/>
        </w:rPr>
        <w:t xml:space="preserve">national, provincial and local spheres of government. The Bill was the outcome of </w:t>
      </w:r>
      <w:r w:rsidR="00200A9F" w:rsidRPr="00A6363B">
        <w:rPr>
          <w:rFonts w:ascii="Times New Roman" w:hAnsi="Times New Roman" w:cs="Times New Roman"/>
          <w:sz w:val="24"/>
          <w:szCs w:val="24"/>
        </w:rPr>
        <w:t xml:space="preserve">an </w:t>
      </w:r>
      <w:r w:rsidRPr="00A6363B">
        <w:rPr>
          <w:rFonts w:ascii="Times New Roman" w:hAnsi="Times New Roman" w:cs="Times New Roman"/>
          <w:sz w:val="24"/>
          <w:szCs w:val="24"/>
        </w:rPr>
        <w:t xml:space="preserve">extensive consultative process between the three spheres of government. The </w:t>
      </w:r>
      <w:r w:rsidR="0036032C" w:rsidRPr="00A6363B">
        <w:rPr>
          <w:rFonts w:ascii="Times New Roman" w:hAnsi="Times New Roman" w:cs="Times New Roman"/>
          <w:sz w:val="24"/>
          <w:szCs w:val="24"/>
        </w:rPr>
        <w:t>table below shows how the Bill divides the nationally raised revenue among the</w:t>
      </w:r>
      <w:r w:rsidR="00200A9F" w:rsidRPr="00A6363B">
        <w:rPr>
          <w:rFonts w:ascii="Times New Roman" w:hAnsi="Times New Roman" w:cs="Times New Roman"/>
          <w:sz w:val="24"/>
          <w:szCs w:val="24"/>
        </w:rPr>
        <w:t>se</w:t>
      </w:r>
      <w:r w:rsidR="0036032C" w:rsidRPr="00A6363B">
        <w:rPr>
          <w:rFonts w:ascii="Times New Roman" w:hAnsi="Times New Roman" w:cs="Times New Roman"/>
          <w:sz w:val="24"/>
          <w:szCs w:val="24"/>
        </w:rPr>
        <w:t xml:space="preserve"> spheres.</w:t>
      </w:r>
    </w:p>
    <w:p w:rsidR="00300E96" w:rsidRPr="00A6363B" w:rsidRDefault="00300E96" w:rsidP="00EE48C3">
      <w:pPr>
        <w:spacing w:before="120" w:line="360" w:lineRule="auto"/>
        <w:jc w:val="both"/>
        <w:rPr>
          <w:rFonts w:ascii="Times New Roman" w:hAnsi="Times New Roman" w:cs="Times New Roman"/>
          <w:sz w:val="24"/>
          <w:szCs w:val="24"/>
        </w:rPr>
      </w:pPr>
    </w:p>
    <w:p w:rsidR="0036032C" w:rsidRPr="00A6363B" w:rsidRDefault="0036032C"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Table 1: </w:t>
      </w:r>
      <w:r w:rsidR="00D019E4" w:rsidRPr="00A6363B">
        <w:rPr>
          <w:rFonts w:ascii="Times New Roman" w:hAnsi="Times New Roman" w:cs="Times New Roman"/>
          <w:b/>
          <w:sz w:val="24"/>
          <w:szCs w:val="24"/>
        </w:rPr>
        <w:t>2017 Medium Term Expenditure Framework (MTEF) Division of Revenue</w:t>
      </w:r>
      <w:r w:rsidRPr="00A6363B">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1842"/>
        <w:gridCol w:w="2439"/>
      </w:tblGrid>
      <w:tr w:rsidR="0036032C" w:rsidRPr="00A6363B" w:rsidTr="00ED5629">
        <w:trPr>
          <w:trHeight w:val="634"/>
        </w:trPr>
        <w:tc>
          <w:tcPr>
            <w:tcW w:w="2660" w:type="dxa"/>
            <w:vMerge w:val="restart"/>
            <w:noWrap/>
          </w:tcPr>
          <w:p w:rsidR="0036032C" w:rsidRPr="00A6363B" w:rsidRDefault="0036032C" w:rsidP="00EE48C3">
            <w:pPr>
              <w:spacing w:line="360" w:lineRule="auto"/>
              <w:jc w:val="both"/>
              <w:rPr>
                <w:rFonts w:ascii="Times New Roman" w:hAnsi="Times New Roman" w:cs="Times New Roman"/>
                <w:b/>
                <w:bCs/>
                <w:sz w:val="24"/>
                <w:szCs w:val="24"/>
              </w:rPr>
            </w:pPr>
          </w:p>
          <w:p w:rsidR="0036032C" w:rsidRPr="00A6363B" w:rsidRDefault="0036032C" w:rsidP="00EE48C3">
            <w:pPr>
              <w:spacing w:line="360" w:lineRule="auto"/>
              <w:jc w:val="both"/>
              <w:rPr>
                <w:rFonts w:ascii="Times New Roman" w:hAnsi="Times New Roman" w:cs="Times New Roman"/>
                <w:b/>
                <w:bCs/>
                <w:sz w:val="24"/>
                <w:szCs w:val="24"/>
              </w:rPr>
            </w:pPr>
          </w:p>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Spheres of Government</w:t>
            </w:r>
          </w:p>
        </w:tc>
        <w:tc>
          <w:tcPr>
            <w:tcW w:w="1843" w:type="dxa"/>
            <w:noWrap/>
          </w:tcPr>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 xml:space="preserve">  Column A</w:t>
            </w:r>
          </w:p>
        </w:tc>
        <w:tc>
          <w:tcPr>
            <w:tcW w:w="4281" w:type="dxa"/>
            <w:gridSpan w:val="2"/>
            <w:noWrap/>
          </w:tcPr>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 xml:space="preserve">           Column B</w:t>
            </w:r>
          </w:p>
        </w:tc>
      </w:tr>
      <w:tr w:rsidR="0036032C" w:rsidRPr="00A6363B" w:rsidTr="00ED5629">
        <w:trPr>
          <w:trHeight w:val="495"/>
        </w:trPr>
        <w:tc>
          <w:tcPr>
            <w:tcW w:w="2660" w:type="dxa"/>
            <w:vMerge/>
          </w:tcPr>
          <w:p w:rsidR="0036032C" w:rsidRPr="00A6363B" w:rsidRDefault="0036032C" w:rsidP="00EE48C3">
            <w:pPr>
              <w:spacing w:line="360" w:lineRule="auto"/>
              <w:jc w:val="both"/>
              <w:rPr>
                <w:rFonts w:ascii="Times New Roman" w:hAnsi="Times New Roman" w:cs="Times New Roman"/>
                <w:b/>
                <w:bCs/>
                <w:color w:val="5B9BD5" w:themeColor="accent1"/>
                <w:sz w:val="24"/>
                <w:szCs w:val="24"/>
              </w:rPr>
            </w:pPr>
          </w:p>
        </w:tc>
        <w:tc>
          <w:tcPr>
            <w:tcW w:w="1843" w:type="dxa"/>
            <w:vMerge w:val="restart"/>
          </w:tcPr>
          <w:p w:rsidR="0036032C" w:rsidRPr="00A6363B" w:rsidRDefault="0036032C" w:rsidP="00EE48C3">
            <w:pPr>
              <w:spacing w:line="360" w:lineRule="auto"/>
              <w:jc w:val="both"/>
              <w:rPr>
                <w:rFonts w:ascii="Times New Roman" w:hAnsi="Times New Roman" w:cs="Times New Roman"/>
                <w:b/>
                <w:bCs/>
                <w:color w:val="5B9BD5" w:themeColor="accent1"/>
                <w:sz w:val="24"/>
                <w:szCs w:val="24"/>
              </w:rPr>
            </w:pPr>
          </w:p>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2017/18</w:t>
            </w:r>
          </w:p>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 xml:space="preserve">Allocation </w:t>
            </w:r>
          </w:p>
        </w:tc>
        <w:tc>
          <w:tcPr>
            <w:tcW w:w="4281" w:type="dxa"/>
            <w:gridSpan w:val="2"/>
            <w:noWrap/>
          </w:tcPr>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 xml:space="preserve">               Forward Estimates</w:t>
            </w:r>
          </w:p>
        </w:tc>
      </w:tr>
      <w:tr w:rsidR="0036032C" w:rsidRPr="00A6363B" w:rsidTr="00ED5629">
        <w:trPr>
          <w:trHeight w:val="600"/>
        </w:trPr>
        <w:tc>
          <w:tcPr>
            <w:tcW w:w="2660" w:type="dxa"/>
            <w:vMerge/>
          </w:tcPr>
          <w:p w:rsidR="0036032C" w:rsidRPr="00A6363B" w:rsidRDefault="0036032C" w:rsidP="00EE48C3">
            <w:pPr>
              <w:spacing w:line="360" w:lineRule="auto"/>
              <w:jc w:val="both"/>
              <w:rPr>
                <w:rFonts w:ascii="Times New Roman" w:hAnsi="Times New Roman" w:cs="Times New Roman"/>
                <w:b/>
                <w:bCs/>
                <w:color w:val="5B9BD5" w:themeColor="accent1"/>
                <w:sz w:val="24"/>
                <w:szCs w:val="24"/>
              </w:rPr>
            </w:pPr>
          </w:p>
        </w:tc>
        <w:tc>
          <w:tcPr>
            <w:tcW w:w="1843" w:type="dxa"/>
            <w:vMerge/>
          </w:tcPr>
          <w:p w:rsidR="0036032C" w:rsidRPr="00A6363B" w:rsidRDefault="0036032C" w:rsidP="00EE48C3">
            <w:pPr>
              <w:spacing w:line="360" w:lineRule="auto"/>
              <w:jc w:val="both"/>
              <w:rPr>
                <w:rFonts w:ascii="Times New Roman" w:hAnsi="Times New Roman" w:cs="Times New Roman"/>
                <w:b/>
                <w:bCs/>
                <w:color w:val="5B9BD5" w:themeColor="accent1"/>
                <w:sz w:val="24"/>
                <w:szCs w:val="24"/>
              </w:rPr>
            </w:pPr>
          </w:p>
        </w:tc>
        <w:tc>
          <w:tcPr>
            <w:tcW w:w="1842" w:type="dxa"/>
          </w:tcPr>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 xml:space="preserve">2018/19 </w:t>
            </w:r>
          </w:p>
          <w:p w:rsidR="0036032C" w:rsidRPr="00A6363B" w:rsidRDefault="0036032C" w:rsidP="00EE48C3">
            <w:pPr>
              <w:spacing w:line="360" w:lineRule="auto"/>
              <w:jc w:val="both"/>
              <w:rPr>
                <w:rFonts w:ascii="Times New Roman" w:hAnsi="Times New Roman" w:cs="Times New Roman"/>
                <w:b/>
                <w:bCs/>
                <w:color w:val="5B9BD5" w:themeColor="accent1"/>
                <w:sz w:val="24"/>
                <w:szCs w:val="24"/>
              </w:rPr>
            </w:pPr>
          </w:p>
        </w:tc>
        <w:tc>
          <w:tcPr>
            <w:tcW w:w="2439" w:type="dxa"/>
          </w:tcPr>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2019/20</w:t>
            </w:r>
          </w:p>
          <w:p w:rsidR="0036032C" w:rsidRPr="00A6363B" w:rsidRDefault="0036032C" w:rsidP="00EE48C3">
            <w:pPr>
              <w:spacing w:line="360" w:lineRule="auto"/>
              <w:jc w:val="both"/>
              <w:rPr>
                <w:rFonts w:ascii="Times New Roman" w:hAnsi="Times New Roman" w:cs="Times New Roman"/>
                <w:b/>
                <w:bCs/>
                <w:color w:val="5B9BD5" w:themeColor="accent1"/>
                <w:sz w:val="24"/>
                <w:szCs w:val="24"/>
              </w:rPr>
            </w:pPr>
          </w:p>
        </w:tc>
      </w:tr>
      <w:tr w:rsidR="0036032C" w:rsidRPr="00A6363B" w:rsidTr="00ED5629">
        <w:trPr>
          <w:trHeight w:val="560"/>
        </w:trPr>
        <w:tc>
          <w:tcPr>
            <w:tcW w:w="2660" w:type="dxa"/>
            <w:noWrap/>
          </w:tcPr>
          <w:p w:rsidR="0036032C" w:rsidRPr="00A6363B" w:rsidRDefault="0036032C" w:rsidP="00EE48C3">
            <w:pPr>
              <w:spacing w:line="360" w:lineRule="auto"/>
              <w:jc w:val="both"/>
              <w:rPr>
                <w:rFonts w:ascii="Times New Roman" w:hAnsi="Times New Roman" w:cs="Times New Roman"/>
                <w:sz w:val="24"/>
                <w:szCs w:val="24"/>
              </w:rPr>
            </w:pPr>
          </w:p>
        </w:tc>
        <w:tc>
          <w:tcPr>
            <w:tcW w:w="1843"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b/>
                <w:bCs/>
                <w:sz w:val="24"/>
                <w:szCs w:val="24"/>
              </w:rPr>
              <w:t>(R'000)</w:t>
            </w:r>
          </w:p>
        </w:tc>
        <w:tc>
          <w:tcPr>
            <w:tcW w:w="1842"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b/>
                <w:bCs/>
                <w:sz w:val="24"/>
                <w:szCs w:val="24"/>
              </w:rPr>
              <w:t>(R'000)</w:t>
            </w:r>
          </w:p>
        </w:tc>
        <w:tc>
          <w:tcPr>
            <w:tcW w:w="2439"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b/>
                <w:bCs/>
                <w:sz w:val="24"/>
                <w:szCs w:val="24"/>
              </w:rPr>
              <w:t>(R'000)</w:t>
            </w:r>
          </w:p>
        </w:tc>
      </w:tr>
      <w:tr w:rsidR="0036032C" w:rsidRPr="00A6363B" w:rsidTr="00ED5629">
        <w:trPr>
          <w:trHeight w:val="560"/>
        </w:trPr>
        <w:tc>
          <w:tcPr>
            <w:tcW w:w="2660"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National</w:t>
            </w:r>
          </w:p>
        </w:tc>
        <w:tc>
          <w:tcPr>
            <w:tcW w:w="1843"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910 872 117</w:t>
            </w:r>
          </w:p>
        </w:tc>
        <w:tc>
          <w:tcPr>
            <w:tcW w:w="1842"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987 928 992</w:t>
            </w:r>
          </w:p>
        </w:tc>
        <w:tc>
          <w:tcPr>
            <w:tcW w:w="2439"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 1 076 814 856</w:t>
            </w:r>
          </w:p>
        </w:tc>
      </w:tr>
      <w:tr w:rsidR="0036032C" w:rsidRPr="00A6363B" w:rsidTr="00ED5629">
        <w:trPr>
          <w:trHeight w:val="570"/>
        </w:trPr>
        <w:tc>
          <w:tcPr>
            <w:tcW w:w="2660"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Provincial</w:t>
            </w:r>
          </w:p>
        </w:tc>
        <w:tc>
          <w:tcPr>
            <w:tcW w:w="1843"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441 331 122</w:t>
            </w:r>
          </w:p>
        </w:tc>
        <w:tc>
          <w:tcPr>
            <w:tcW w:w="1842"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471 522 489</w:t>
            </w:r>
          </w:p>
        </w:tc>
        <w:tc>
          <w:tcPr>
            <w:tcW w:w="2439"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506 103 653</w:t>
            </w:r>
          </w:p>
        </w:tc>
      </w:tr>
      <w:tr w:rsidR="0036032C" w:rsidRPr="00A6363B" w:rsidTr="00ED5629">
        <w:trPr>
          <w:trHeight w:val="550"/>
        </w:trPr>
        <w:tc>
          <w:tcPr>
            <w:tcW w:w="2660"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Local</w:t>
            </w:r>
          </w:p>
        </w:tc>
        <w:tc>
          <w:tcPr>
            <w:tcW w:w="1843"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57 012 141</w:t>
            </w:r>
          </w:p>
        </w:tc>
        <w:tc>
          <w:tcPr>
            <w:tcW w:w="1842" w:type="dxa"/>
            <w:noWrap/>
          </w:tcPr>
          <w:p w:rsidR="0036032C" w:rsidRPr="00A6363B" w:rsidRDefault="0036032C" w:rsidP="00EE48C3">
            <w:pPr>
              <w:spacing w:line="360" w:lineRule="auto"/>
              <w:jc w:val="both"/>
              <w:rPr>
                <w:rFonts w:ascii="Times New Roman" w:hAnsi="Times New Roman" w:cs="Times New Roman"/>
                <w:sz w:val="24"/>
                <w:szCs w:val="24"/>
              </w:rPr>
            </w:pPr>
            <w:r w:rsidRPr="00A6363B">
              <w:rPr>
                <w:rFonts w:ascii="Times New Roman" w:hAnsi="Times New Roman" w:cs="Times New Roman"/>
                <w:sz w:val="24"/>
                <w:szCs w:val="24"/>
              </w:rPr>
              <w:t>62 731 845</w:t>
            </w:r>
          </w:p>
        </w:tc>
        <w:tc>
          <w:tcPr>
            <w:tcW w:w="2439"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69 273 465</w:t>
            </w:r>
          </w:p>
        </w:tc>
      </w:tr>
      <w:tr w:rsidR="0036032C" w:rsidRPr="00A6363B" w:rsidTr="00ED5629">
        <w:trPr>
          <w:trHeight w:val="558"/>
        </w:trPr>
        <w:tc>
          <w:tcPr>
            <w:tcW w:w="2660" w:type="dxa"/>
            <w:noWrap/>
          </w:tcPr>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TOTAL</w:t>
            </w:r>
          </w:p>
        </w:tc>
        <w:tc>
          <w:tcPr>
            <w:tcW w:w="1843"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 xml:space="preserve"> 1 409 215 380</w:t>
            </w:r>
          </w:p>
        </w:tc>
        <w:tc>
          <w:tcPr>
            <w:tcW w:w="1842" w:type="dxa"/>
            <w:noWrap/>
          </w:tcPr>
          <w:p w:rsidR="0036032C" w:rsidRPr="00A6363B" w:rsidRDefault="0036032C" w:rsidP="00EE48C3">
            <w:pPr>
              <w:spacing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1 522 183 326</w:t>
            </w:r>
          </w:p>
        </w:tc>
        <w:tc>
          <w:tcPr>
            <w:tcW w:w="2439" w:type="dxa"/>
            <w:noWrap/>
          </w:tcPr>
          <w:p w:rsidR="0036032C" w:rsidRPr="00A6363B" w:rsidRDefault="0036032C" w:rsidP="00EE48C3">
            <w:pPr>
              <w:autoSpaceDE w:val="0"/>
              <w:autoSpaceDN w:val="0"/>
              <w:adjustRightInd w:val="0"/>
              <w:spacing w:after="0" w:line="360" w:lineRule="auto"/>
              <w:jc w:val="both"/>
              <w:rPr>
                <w:rFonts w:ascii="Times New Roman" w:hAnsi="Times New Roman" w:cs="Times New Roman"/>
                <w:b/>
                <w:bCs/>
                <w:sz w:val="24"/>
                <w:szCs w:val="24"/>
              </w:rPr>
            </w:pPr>
            <w:r w:rsidRPr="00A6363B">
              <w:rPr>
                <w:rFonts w:ascii="Times New Roman" w:hAnsi="Times New Roman" w:cs="Times New Roman"/>
                <w:b/>
                <w:bCs/>
                <w:sz w:val="24"/>
                <w:szCs w:val="24"/>
              </w:rPr>
              <w:t xml:space="preserve">1 652 191 974                                                                                                                 </w:t>
            </w:r>
          </w:p>
        </w:tc>
      </w:tr>
    </w:tbl>
    <w:p w:rsidR="00D019E4" w:rsidRPr="00A6363B" w:rsidRDefault="00D019E4" w:rsidP="00EE48C3">
      <w:pPr>
        <w:spacing w:before="120" w:line="360" w:lineRule="auto"/>
        <w:jc w:val="both"/>
        <w:rPr>
          <w:rFonts w:ascii="Times New Roman" w:hAnsi="Times New Roman" w:cs="Times New Roman"/>
          <w:sz w:val="24"/>
          <w:szCs w:val="24"/>
        </w:rPr>
      </w:pPr>
    </w:p>
    <w:p w:rsidR="002A415C" w:rsidRPr="00A6363B" w:rsidRDefault="00D019E4"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lastRenderedPageBreak/>
        <w:t>The 2017 Budget amounts to R1.4 trillion, which is an increase of R</w:t>
      </w:r>
      <w:r w:rsidR="00CA7F7B" w:rsidRPr="00A6363B">
        <w:rPr>
          <w:rFonts w:ascii="Times New Roman" w:hAnsi="Times New Roman" w:cs="Times New Roman"/>
          <w:sz w:val="24"/>
          <w:szCs w:val="24"/>
        </w:rPr>
        <w:t xml:space="preserve">101.8 </w:t>
      </w:r>
      <w:r w:rsidRPr="00A6363B">
        <w:rPr>
          <w:rFonts w:ascii="Times New Roman" w:hAnsi="Times New Roman" w:cs="Times New Roman"/>
          <w:sz w:val="24"/>
          <w:szCs w:val="24"/>
        </w:rPr>
        <w:t>billion or 7.</w:t>
      </w:r>
      <w:r w:rsidR="00CA7F7B" w:rsidRPr="00A6363B">
        <w:rPr>
          <w:rFonts w:ascii="Times New Roman" w:hAnsi="Times New Roman" w:cs="Times New Roman"/>
          <w:sz w:val="24"/>
          <w:szCs w:val="24"/>
        </w:rPr>
        <w:t>8</w:t>
      </w:r>
      <w:r w:rsidRPr="00A6363B">
        <w:rPr>
          <w:rFonts w:ascii="Times New Roman" w:hAnsi="Times New Roman" w:cs="Times New Roman"/>
          <w:sz w:val="24"/>
          <w:szCs w:val="24"/>
        </w:rPr>
        <w:t xml:space="preserve"> percent when compared to the previous financial year. As indicated by the table above, over the M</w:t>
      </w:r>
      <w:r w:rsidR="00200A9F" w:rsidRPr="00A6363B">
        <w:rPr>
          <w:rFonts w:ascii="Times New Roman" w:hAnsi="Times New Roman" w:cs="Times New Roman"/>
          <w:sz w:val="24"/>
          <w:szCs w:val="24"/>
        </w:rPr>
        <w:t xml:space="preserve">edium </w:t>
      </w:r>
      <w:r w:rsidRPr="00A6363B">
        <w:rPr>
          <w:rFonts w:ascii="Times New Roman" w:hAnsi="Times New Roman" w:cs="Times New Roman"/>
          <w:sz w:val="24"/>
          <w:szCs w:val="24"/>
        </w:rPr>
        <w:t>T</w:t>
      </w:r>
      <w:r w:rsidR="00200A9F" w:rsidRPr="00A6363B">
        <w:rPr>
          <w:rFonts w:ascii="Times New Roman" w:hAnsi="Times New Roman" w:cs="Times New Roman"/>
          <w:sz w:val="24"/>
          <w:szCs w:val="24"/>
        </w:rPr>
        <w:t xml:space="preserve">erm </w:t>
      </w:r>
      <w:r w:rsidRPr="00A6363B">
        <w:rPr>
          <w:rFonts w:ascii="Times New Roman" w:hAnsi="Times New Roman" w:cs="Times New Roman"/>
          <w:sz w:val="24"/>
          <w:szCs w:val="24"/>
        </w:rPr>
        <w:t>E</w:t>
      </w:r>
      <w:r w:rsidR="00200A9F" w:rsidRPr="00A6363B">
        <w:rPr>
          <w:rFonts w:ascii="Times New Roman" w:hAnsi="Times New Roman" w:cs="Times New Roman"/>
          <w:sz w:val="24"/>
          <w:szCs w:val="24"/>
        </w:rPr>
        <w:t xml:space="preserve">xpenditure </w:t>
      </w:r>
      <w:r w:rsidRPr="00A6363B">
        <w:rPr>
          <w:rFonts w:ascii="Times New Roman" w:hAnsi="Times New Roman" w:cs="Times New Roman"/>
          <w:sz w:val="24"/>
          <w:szCs w:val="24"/>
        </w:rPr>
        <w:t>F</w:t>
      </w:r>
      <w:r w:rsidR="00200A9F" w:rsidRPr="00A6363B">
        <w:rPr>
          <w:rFonts w:ascii="Times New Roman" w:hAnsi="Times New Roman" w:cs="Times New Roman"/>
          <w:sz w:val="24"/>
          <w:szCs w:val="24"/>
        </w:rPr>
        <w:t>ramework (MTEF)</w:t>
      </w:r>
      <w:r w:rsidRPr="00A6363B">
        <w:rPr>
          <w:rFonts w:ascii="Times New Roman" w:hAnsi="Times New Roman" w:cs="Times New Roman"/>
          <w:sz w:val="24"/>
          <w:szCs w:val="24"/>
        </w:rPr>
        <w:t xml:space="preserve"> period, the budget is expected to increase to R1.7 </w:t>
      </w:r>
      <w:r w:rsidR="001A231C" w:rsidRPr="00A6363B">
        <w:rPr>
          <w:rFonts w:ascii="Times New Roman" w:hAnsi="Times New Roman" w:cs="Times New Roman"/>
          <w:sz w:val="24"/>
          <w:szCs w:val="24"/>
        </w:rPr>
        <w:t>tri</w:t>
      </w:r>
      <w:r w:rsidRPr="00A6363B">
        <w:rPr>
          <w:rFonts w:ascii="Times New Roman" w:hAnsi="Times New Roman" w:cs="Times New Roman"/>
          <w:sz w:val="24"/>
          <w:szCs w:val="24"/>
        </w:rPr>
        <w:t xml:space="preserve">llion by </w:t>
      </w:r>
      <w:r w:rsidR="00D47B89" w:rsidRPr="00A6363B">
        <w:rPr>
          <w:rFonts w:ascii="Times New Roman" w:hAnsi="Times New Roman" w:cs="Times New Roman"/>
          <w:sz w:val="24"/>
          <w:szCs w:val="24"/>
        </w:rPr>
        <w:t xml:space="preserve">the </w:t>
      </w:r>
      <w:r w:rsidRPr="00A6363B">
        <w:rPr>
          <w:rFonts w:ascii="Times New Roman" w:hAnsi="Times New Roman" w:cs="Times New Roman"/>
          <w:sz w:val="24"/>
          <w:szCs w:val="24"/>
        </w:rPr>
        <w:t>2019/20 financial year</w:t>
      </w:r>
      <w:r w:rsidR="00D47B89" w:rsidRPr="00A6363B">
        <w:rPr>
          <w:rFonts w:ascii="Times New Roman" w:hAnsi="Times New Roman" w:cs="Times New Roman"/>
          <w:sz w:val="24"/>
          <w:szCs w:val="24"/>
        </w:rPr>
        <w:t>,</w:t>
      </w:r>
      <w:r w:rsidRPr="00A6363B">
        <w:rPr>
          <w:rFonts w:ascii="Times New Roman" w:hAnsi="Times New Roman" w:cs="Times New Roman"/>
          <w:sz w:val="24"/>
          <w:szCs w:val="24"/>
        </w:rPr>
        <w:t xml:space="preserve"> at an average rate of 8.3 percent. </w:t>
      </w:r>
      <w:r w:rsidR="00FF7A48" w:rsidRPr="00A6363B">
        <w:rPr>
          <w:rFonts w:ascii="Times New Roman" w:hAnsi="Times New Roman" w:cs="Times New Roman"/>
          <w:sz w:val="24"/>
          <w:szCs w:val="24"/>
        </w:rPr>
        <w:t>For the 2017/18 financial year,</w:t>
      </w:r>
      <w:r w:rsidR="001A231C" w:rsidRPr="00A6363B">
        <w:rPr>
          <w:rFonts w:ascii="Times New Roman" w:hAnsi="Times New Roman" w:cs="Times New Roman"/>
          <w:sz w:val="24"/>
          <w:szCs w:val="24"/>
        </w:rPr>
        <w:t xml:space="preserve"> including </w:t>
      </w:r>
      <w:r w:rsidR="007B563F" w:rsidRPr="00A6363B">
        <w:rPr>
          <w:rFonts w:ascii="Times New Roman" w:hAnsi="Times New Roman" w:cs="Times New Roman"/>
          <w:sz w:val="24"/>
          <w:szCs w:val="24"/>
        </w:rPr>
        <w:t xml:space="preserve">the </w:t>
      </w:r>
      <w:r w:rsidR="001A231C" w:rsidRPr="00A6363B">
        <w:rPr>
          <w:rFonts w:ascii="Times New Roman" w:hAnsi="Times New Roman" w:cs="Times New Roman"/>
          <w:sz w:val="24"/>
          <w:szCs w:val="24"/>
        </w:rPr>
        <w:t xml:space="preserve">contingency reserve, debt service costs and provincial and local government conditional transfers, </w:t>
      </w:r>
      <w:r w:rsidR="00FF7A48" w:rsidRPr="00A6363B">
        <w:rPr>
          <w:rFonts w:ascii="Times New Roman" w:hAnsi="Times New Roman" w:cs="Times New Roman"/>
          <w:sz w:val="24"/>
          <w:szCs w:val="24"/>
        </w:rPr>
        <w:t>the national allocation amount</w:t>
      </w:r>
      <w:r w:rsidR="001A231C" w:rsidRPr="00A6363B">
        <w:rPr>
          <w:rFonts w:ascii="Times New Roman" w:hAnsi="Times New Roman" w:cs="Times New Roman"/>
          <w:sz w:val="24"/>
          <w:szCs w:val="24"/>
        </w:rPr>
        <w:t>ed</w:t>
      </w:r>
      <w:r w:rsidR="00FF7A48" w:rsidRPr="00A6363B">
        <w:rPr>
          <w:rFonts w:ascii="Times New Roman" w:hAnsi="Times New Roman" w:cs="Times New Roman"/>
          <w:sz w:val="24"/>
          <w:szCs w:val="24"/>
        </w:rPr>
        <w:t xml:space="preserve"> to R910.9 billion or </w:t>
      </w:r>
      <w:r w:rsidR="001A231C" w:rsidRPr="00A6363B">
        <w:rPr>
          <w:rFonts w:ascii="Times New Roman" w:hAnsi="Times New Roman" w:cs="Times New Roman"/>
          <w:sz w:val="24"/>
          <w:szCs w:val="24"/>
        </w:rPr>
        <w:t>6</w:t>
      </w:r>
      <w:r w:rsidR="00FF7A48" w:rsidRPr="00A6363B">
        <w:rPr>
          <w:rFonts w:ascii="Times New Roman" w:hAnsi="Times New Roman" w:cs="Times New Roman"/>
          <w:sz w:val="24"/>
          <w:szCs w:val="24"/>
        </w:rPr>
        <w:t>4</w:t>
      </w:r>
      <w:r w:rsidR="001A231C" w:rsidRPr="00A6363B">
        <w:rPr>
          <w:rFonts w:ascii="Times New Roman" w:hAnsi="Times New Roman" w:cs="Times New Roman"/>
          <w:sz w:val="24"/>
          <w:szCs w:val="24"/>
        </w:rPr>
        <w:t>.</w:t>
      </w:r>
      <w:r w:rsidR="00FF7A48" w:rsidRPr="00A6363B">
        <w:rPr>
          <w:rFonts w:ascii="Times New Roman" w:hAnsi="Times New Roman" w:cs="Times New Roman"/>
          <w:sz w:val="24"/>
          <w:szCs w:val="24"/>
        </w:rPr>
        <w:t xml:space="preserve">6 percent of </w:t>
      </w:r>
      <w:r w:rsidR="007B563F" w:rsidRPr="00A6363B">
        <w:rPr>
          <w:rFonts w:ascii="Times New Roman" w:hAnsi="Times New Roman" w:cs="Times New Roman"/>
          <w:sz w:val="24"/>
          <w:szCs w:val="24"/>
        </w:rPr>
        <w:t xml:space="preserve">the </w:t>
      </w:r>
      <w:r w:rsidR="00FF7A48" w:rsidRPr="00A6363B">
        <w:rPr>
          <w:rFonts w:ascii="Times New Roman" w:hAnsi="Times New Roman" w:cs="Times New Roman"/>
          <w:sz w:val="24"/>
          <w:szCs w:val="24"/>
        </w:rPr>
        <w:t>revenue allocation. The second largest share</w:t>
      </w:r>
      <w:r w:rsidR="001A231C" w:rsidRPr="00A6363B">
        <w:rPr>
          <w:rFonts w:ascii="Times New Roman" w:hAnsi="Times New Roman" w:cs="Times New Roman"/>
          <w:sz w:val="24"/>
          <w:szCs w:val="24"/>
        </w:rPr>
        <w:t>, R441.</w:t>
      </w:r>
      <w:r w:rsidR="00CA7F7B" w:rsidRPr="00A6363B">
        <w:rPr>
          <w:rFonts w:ascii="Times New Roman" w:hAnsi="Times New Roman" w:cs="Times New Roman"/>
          <w:sz w:val="24"/>
          <w:szCs w:val="24"/>
        </w:rPr>
        <w:t>3</w:t>
      </w:r>
      <w:r w:rsidR="001A231C" w:rsidRPr="00A6363B">
        <w:rPr>
          <w:rFonts w:ascii="Times New Roman" w:hAnsi="Times New Roman" w:cs="Times New Roman"/>
          <w:sz w:val="24"/>
          <w:szCs w:val="24"/>
        </w:rPr>
        <w:t xml:space="preserve"> billion or 31.3 percent,</w:t>
      </w:r>
      <w:r w:rsidR="00FF7A48" w:rsidRPr="00A6363B">
        <w:rPr>
          <w:rFonts w:ascii="Times New Roman" w:hAnsi="Times New Roman" w:cs="Times New Roman"/>
          <w:sz w:val="24"/>
          <w:szCs w:val="24"/>
        </w:rPr>
        <w:t xml:space="preserve"> went to </w:t>
      </w:r>
      <w:r w:rsidR="001A231C" w:rsidRPr="00A6363B">
        <w:rPr>
          <w:rFonts w:ascii="Times New Roman" w:hAnsi="Times New Roman" w:cs="Times New Roman"/>
          <w:sz w:val="24"/>
          <w:szCs w:val="24"/>
        </w:rPr>
        <w:t xml:space="preserve">provinces and </w:t>
      </w:r>
      <w:r w:rsidR="007B563F" w:rsidRPr="00A6363B">
        <w:rPr>
          <w:rFonts w:ascii="Times New Roman" w:hAnsi="Times New Roman" w:cs="Times New Roman"/>
          <w:sz w:val="24"/>
          <w:szCs w:val="24"/>
        </w:rPr>
        <w:t xml:space="preserve">the </w:t>
      </w:r>
      <w:r w:rsidR="001A231C" w:rsidRPr="00A6363B">
        <w:rPr>
          <w:rFonts w:ascii="Times New Roman" w:hAnsi="Times New Roman" w:cs="Times New Roman"/>
          <w:sz w:val="24"/>
          <w:szCs w:val="24"/>
        </w:rPr>
        <w:t xml:space="preserve">local sphere of government received R57 billion or 4 percent. When </w:t>
      </w:r>
      <w:r w:rsidR="007B563F" w:rsidRPr="00A6363B">
        <w:rPr>
          <w:rFonts w:ascii="Times New Roman" w:hAnsi="Times New Roman" w:cs="Times New Roman"/>
          <w:sz w:val="24"/>
          <w:szCs w:val="24"/>
        </w:rPr>
        <w:t xml:space="preserve">the </w:t>
      </w:r>
      <w:r w:rsidR="001A231C" w:rsidRPr="00A6363B">
        <w:rPr>
          <w:rFonts w:ascii="Times New Roman" w:hAnsi="Times New Roman" w:cs="Times New Roman"/>
          <w:sz w:val="24"/>
          <w:szCs w:val="24"/>
        </w:rPr>
        <w:t>contingency reserve, debt service costs and provincial and local government conditional transfers</w:t>
      </w:r>
      <w:r w:rsidR="001D2EA6" w:rsidRPr="00A6363B">
        <w:rPr>
          <w:rFonts w:ascii="Times New Roman" w:hAnsi="Times New Roman" w:cs="Times New Roman"/>
          <w:sz w:val="24"/>
          <w:szCs w:val="24"/>
        </w:rPr>
        <w:t xml:space="preserve"> are </w:t>
      </w:r>
      <w:r w:rsidR="009A4309" w:rsidRPr="00A6363B">
        <w:rPr>
          <w:rFonts w:ascii="Times New Roman" w:hAnsi="Times New Roman" w:cs="Times New Roman"/>
          <w:sz w:val="24"/>
          <w:szCs w:val="24"/>
        </w:rPr>
        <w:t>ex</w:t>
      </w:r>
      <w:r w:rsidR="001D2EA6" w:rsidRPr="00A6363B">
        <w:rPr>
          <w:rFonts w:ascii="Times New Roman" w:hAnsi="Times New Roman" w:cs="Times New Roman"/>
          <w:sz w:val="24"/>
          <w:szCs w:val="24"/>
        </w:rPr>
        <w:t>cluded</w:t>
      </w:r>
      <w:r w:rsidR="001A231C" w:rsidRPr="00A6363B">
        <w:rPr>
          <w:rFonts w:ascii="Times New Roman" w:hAnsi="Times New Roman" w:cs="Times New Roman"/>
          <w:sz w:val="24"/>
          <w:szCs w:val="24"/>
        </w:rPr>
        <w:t xml:space="preserve">, the national equitable share amounts to 47.5 percent; provincial allocation totalled 43.4 percent; and local government received 9.1 percent. </w:t>
      </w:r>
    </w:p>
    <w:p w:rsidR="00EA5E36" w:rsidRPr="00A6363B" w:rsidRDefault="00EA5E36" w:rsidP="00EE48C3">
      <w:pPr>
        <w:spacing w:before="120" w:line="360" w:lineRule="auto"/>
        <w:jc w:val="both"/>
        <w:rPr>
          <w:rFonts w:ascii="Times New Roman" w:hAnsi="Times New Roman" w:cs="Times New Roman"/>
          <w:sz w:val="24"/>
          <w:szCs w:val="24"/>
        </w:rPr>
      </w:pPr>
    </w:p>
    <w:p w:rsidR="008E6FC9" w:rsidRPr="00A6363B" w:rsidRDefault="00EA5E36"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Even though local government received the smallest share of nationally raised revenue, the allocation over the 2017 MTEF grows faster</w:t>
      </w:r>
      <w:r w:rsidR="007B563F" w:rsidRPr="00A6363B">
        <w:rPr>
          <w:rFonts w:ascii="Times New Roman" w:hAnsi="Times New Roman" w:cs="Times New Roman"/>
          <w:sz w:val="24"/>
          <w:szCs w:val="24"/>
        </w:rPr>
        <w:t>,</w:t>
      </w:r>
      <w:r w:rsidRPr="00A6363B">
        <w:rPr>
          <w:rFonts w:ascii="Times New Roman" w:hAnsi="Times New Roman" w:cs="Times New Roman"/>
          <w:sz w:val="24"/>
          <w:szCs w:val="24"/>
        </w:rPr>
        <w:t xml:space="preserve"> at </w:t>
      </w:r>
      <w:r w:rsidR="00CA7F7B" w:rsidRPr="00A6363B">
        <w:rPr>
          <w:rFonts w:ascii="Times New Roman" w:hAnsi="Times New Roman" w:cs="Times New Roman"/>
          <w:sz w:val="24"/>
          <w:szCs w:val="24"/>
        </w:rPr>
        <w:t>8.6</w:t>
      </w:r>
      <w:r w:rsidRPr="00A6363B">
        <w:rPr>
          <w:rFonts w:ascii="Times New Roman" w:hAnsi="Times New Roman" w:cs="Times New Roman"/>
          <w:sz w:val="24"/>
          <w:szCs w:val="24"/>
        </w:rPr>
        <w:t xml:space="preserve"> percent on average</w:t>
      </w:r>
      <w:r w:rsidR="007B563F" w:rsidRPr="00A6363B">
        <w:rPr>
          <w:rFonts w:ascii="Times New Roman" w:hAnsi="Times New Roman" w:cs="Times New Roman"/>
          <w:sz w:val="24"/>
          <w:szCs w:val="24"/>
        </w:rPr>
        <w:t>,</w:t>
      </w:r>
      <w:r w:rsidRPr="00A6363B">
        <w:rPr>
          <w:rFonts w:ascii="Times New Roman" w:hAnsi="Times New Roman" w:cs="Times New Roman"/>
          <w:sz w:val="24"/>
          <w:szCs w:val="24"/>
        </w:rPr>
        <w:t xml:space="preserve"> </w:t>
      </w:r>
      <w:r w:rsidR="007B563F" w:rsidRPr="00A6363B">
        <w:rPr>
          <w:rFonts w:ascii="Times New Roman" w:hAnsi="Times New Roman" w:cs="Times New Roman"/>
          <w:sz w:val="24"/>
          <w:szCs w:val="24"/>
        </w:rPr>
        <w:t xml:space="preserve">than the </w:t>
      </w:r>
      <w:r w:rsidRPr="00A6363B">
        <w:rPr>
          <w:rFonts w:ascii="Times New Roman" w:hAnsi="Times New Roman" w:cs="Times New Roman"/>
          <w:sz w:val="24"/>
          <w:szCs w:val="24"/>
        </w:rPr>
        <w:t xml:space="preserve">national allocation growth of </w:t>
      </w:r>
      <w:r w:rsidR="00CA7F7B" w:rsidRPr="00A6363B">
        <w:rPr>
          <w:rFonts w:ascii="Times New Roman" w:hAnsi="Times New Roman" w:cs="Times New Roman"/>
          <w:sz w:val="24"/>
          <w:szCs w:val="24"/>
        </w:rPr>
        <w:t>6.9</w:t>
      </w:r>
      <w:r w:rsidRPr="00A6363B">
        <w:rPr>
          <w:rFonts w:ascii="Times New Roman" w:hAnsi="Times New Roman" w:cs="Times New Roman"/>
          <w:sz w:val="24"/>
          <w:szCs w:val="24"/>
        </w:rPr>
        <w:t xml:space="preserve"> percent and </w:t>
      </w:r>
      <w:r w:rsidR="007B563F" w:rsidRPr="00A6363B">
        <w:rPr>
          <w:rFonts w:ascii="Times New Roman" w:hAnsi="Times New Roman" w:cs="Times New Roman"/>
          <w:sz w:val="24"/>
          <w:szCs w:val="24"/>
        </w:rPr>
        <w:t xml:space="preserve">the </w:t>
      </w:r>
      <w:r w:rsidRPr="00A6363B">
        <w:rPr>
          <w:rFonts w:ascii="Times New Roman" w:hAnsi="Times New Roman" w:cs="Times New Roman"/>
          <w:sz w:val="24"/>
          <w:szCs w:val="24"/>
        </w:rPr>
        <w:t>7.</w:t>
      </w:r>
      <w:r w:rsidR="00CA7F7B" w:rsidRPr="00A6363B">
        <w:rPr>
          <w:rFonts w:ascii="Times New Roman" w:hAnsi="Times New Roman" w:cs="Times New Roman"/>
          <w:sz w:val="24"/>
          <w:szCs w:val="24"/>
        </w:rPr>
        <w:t>5</w:t>
      </w:r>
      <w:r w:rsidRPr="00A6363B">
        <w:rPr>
          <w:rFonts w:ascii="Times New Roman" w:hAnsi="Times New Roman" w:cs="Times New Roman"/>
          <w:sz w:val="24"/>
          <w:szCs w:val="24"/>
        </w:rPr>
        <w:t xml:space="preserve"> percent provincial allocation growth.</w:t>
      </w:r>
      <w:r w:rsidR="00A9646D" w:rsidRPr="00A6363B">
        <w:rPr>
          <w:rFonts w:ascii="Times New Roman" w:hAnsi="Times New Roman" w:cs="Times New Roman"/>
          <w:sz w:val="24"/>
          <w:szCs w:val="24"/>
        </w:rPr>
        <w:t xml:space="preserve"> Despite the fact that the local government receives the smallest share, it is based on the rationale that municipalities have greater potential to raise own revenues compared to provinces and national departments</w:t>
      </w:r>
      <w:r w:rsidR="00E2235F" w:rsidRPr="00A6363B">
        <w:rPr>
          <w:rFonts w:ascii="Times New Roman" w:hAnsi="Times New Roman" w:cs="Times New Roman"/>
          <w:sz w:val="24"/>
          <w:szCs w:val="24"/>
        </w:rPr>
        <w:t xml:space="preserve">; while the growth in the allocation is aligned to the government’s commitment to ensure that the provision of basic services, particularly to poor households, is maintained and that access continues to be expanded. </w:t>
      </w:r>
    </w:p>
    <w:p w:rsidR="008E6FC9" w:rsidRPr="00A6363B" w:rsidRDefault="008E6FC9" w:rsidP="00EE48C3">
      <w:pPr>
        <w:spacing w:before="120" w:line="360" w:lineRule="auto"/>
        <w:jc w:val="both"/>
        <w:rPr>
          <w:rFonts w:ascii="Times New Roman" w:hAnsi="Times New Roman" w:cs="Times New Roman"/>
          <w:sz w:val="24"/>
          <w:szCs w:val="24"/>
        </w:rPr>
      </w:pPr>
    </w:p>
    <w:p w:rsidR="008E6FC9" w:rsidRPr="00A6363B" w:rsidRDefault="008E6FC9" w:rsidP="00EE48C3">
      <w:pPr>
        <w:pStyle w:val="ListParagraph"/>
        <w:numPr>
          <w:ilvl w:val="0"/>
          <w:numId w:val="1"/>
        </w:num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 Provincial Government </w:t>
      </w:r>
      <w:r w:rsidR="001D6B51" w:rsidRPr="00A6363B">
        <w:rPr>
          <w:rFonts w:ascii="Times New Roman" w:hAnsi="Times New Roman" w:cs="Times New Roman"/>
          <w:b/>
          <w:sz w:val="24"/>
          <w:szCs w:val="24"/>
        </w:rPr>
        <w:t>allocations</w:t>
      </w:r>
      <w:r w:rsidRPr="00A6363B">
        <w:rPr>
          <w:rFonts w:ascii="Times New Roman" w:hAnsi="Times New Roman" w:cs="Times New Roman"/>
          <w:b/>
          <w:sz w:val="24"/>
          <w:szCs w:val="24"/>
        </w:rPr>
        <w:t xml:space="preserve"> </w:t>
      </w:r>
    </w:p>
    <w:p w:rsidR="008E6FC9" w:rsidRPr="00A6363B" w:rsidRDefault="008E6FC9" w:rsidP="00EE48C3">
      <w:pPr>
        <w:spacing w:before="120" w:line="360" w:lineRule="auto"/>
        <w:jc w:val="both"/>
        <w:rPr>
          <w:rFonts w:ascii="Times New Roman" w:eastAsia="MS PGothic" w:hAnsi="Times New Roman" w:cs="Times New Roman"/>
          <w:color w:val="000000"/>
          <w:sz w:val="24"/>
          <w:szCs w:val="24"/>
        </w:rPr>
      </w:pPr>
      <w:r w:rsidRPr="00A6363B">
        <w:rPr>
          <w:rFonts w:ascii="Times New Roman" w:eastAsia="MS PGothic" w:hAnsi="Times New Roman" w:cs="Times New Roman"/>
          <w:color w:val="000000"/>
          <w:sz w:val="24"/>
          <w:szCs w:val="24"/>
        </w:rPr>
        <w:t xml:space="preserve">The total transfer to </w:t>
      </w:r>
      <w:r w:rsidR="007B563F" w:rsidRPr="00A6363B">
        <w:rPr>
          <w:rFonts w:ascii="Times New Roman" w:eastAsia="MS PGothic" w:hAnsi="Times New Roman" w:cs="Times New Roman"/>
          <w:color w:val="000000"/>
          <w:sz w:val="24"/>
          <w:szCs w:val="24"/>
        </w:rPr>
        <w:t>p</w:t>
      </w:r>
      <w:r w:rsidRPr="00A6363B">
        <w:rPr>
          <w:rFonts w:ascii="Times New Roman" w:eastAsia="MS PGothic" w:hAnsi="Times New Roman" w:cs="Times New Roman"/>
          <w:color w:val="000000"/>
          <w:sz w:val="24"/>
          <w:szCs w:val="24"/>
        </w:rPr>
        <w:t xml:space="preserve">rovinces amounted to R538.2 billion in </w:t>
      </w:r>
      <w:r w:rsidR="007B563F" w:rsidRPr="00A6363B">
        <w:rPr>
          <w:rFonts w:ascii="Times New Roman" w:eastAsia="MS PGothic" w:hAnsi="Times New Roman" w:cs="Times New Roman"/>
          <w:color w:val="000000"/>
          <w:sz w:val="24"/>
          <w:szCs w:val="24"/>
        </w:rPr>
        <w:t xml:space="preserve">the </w:t>
      </w:r>
      <w:r w:rsidRPr="00A6363B">
        <w:rPr>
          <w:rFonts w:ascii="Times New Roman" w:eastAsia="MS PGothic" w:hAnsi="Times New Roman" w:cs="Times New Roman"/>
          <w:color w:val="000000"/>
          <w:sz w:val="24"/>
          <w:szCs w:val="24"/>
        </w:rPr>
        <w:t>2017/18 financial year, of which the equitable share amounted to R441.3 billion and conditional grants totall</w:t>
      </w:r>
      <w:r w:rsidR="007B563F" w:rsidRPr="00A6363B">
        <w:rPr>
          <w:rFonts w:ascii="Times New Roman" w:eastAsia="MS PGothic" w:hAnsi="Times New Roman" w:cs="Times New Roman"/>
          <w:color w:val="000000"/>
          <w:sz w:val="24"/>
          <w:szCs w:val="24"/>
        </w:rPr>
        <w:t>ed</w:t>
      </w:r>
      <w:r w:rsidRPr="00A6363B">
        <w:rPr>
          <w:rFonts w:ascii="Times New Roman" w:eastAsia="MS PGothic" w:hAnsi="Times New Roman" w:cs="Times New Roman"/>
          <w:color w:val="000000"/>
          <w:sz w:val="24"/>
          <w:szCs w:val="24"/>
        </w:rPr>
        <w:t xml:space="preserve"> R96.8 billion. The equitable share allocation to provinces grows above the targeted inflation rate of 6 percent for </w:t>
      </w:r>
      <w:r w:rsidR="007B563F" w:rsidRPr="00A6363B">
        <w:rPr>
          <w:rFonts w:ascii="Times New Roman" w:eastAsia="MS PGothic" w:hAnsi="Times New Roman" w:cs="Times New Roman"/>
          <w:color w:val="000000"/>
          <w:sz w:val="24"/>
          <w:szCs w:val="24"/>
        </w:rPr>
        <w:t xml:space="preserve">the </w:t>
      </w:r>
      <w:r w:rsidRPr="00A6363B">
        <w:rPr>
          <w:rFonts w:ascii="Times New Roman" w:eastAsia="MS PGothic" w:hAnsi="Times New Roman" w:cs="Times New Roman"/>
          <w:color w:val="000000"/>
          <w:sz w:val="24"/>
          <w:szCs w:val="24"/>
        </w:rPr>
        <w:t xml:space="preserve">2017 MTEF. </w:t>
      </w:r>
    </w:p>
    <w:p w:rsidR="00300E96" w:rsidRPr="00A6363B" w:rsidRDefault="00300E96" w:rsidP="00EE48C3">
      <w:pPr>
        <w:spacing w:before="120" w:line="360" w:lineRule="auto"/>
        <w:jc w:val="both"/>
        <w:rPr>
          <w:rFonts w:ascii="Times New Roman" w:hAnsi="Times New Roman" w:cs="Times New Roman"/>
          <w:sz w:val="24"/>
          <w:szCs w:val="24"/>
        </w:rPr>
      </w:pPr>
    </w:p>
    <w:p w:rsidR="000C2DDB" w:rsidRPr="00A6363B" w:rsidRDefault="008E6FC9" w:rsidP="00A6363B">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table below shows the total allocation of the </w:t>
      </w:r>
      <w:r w:rsidR="004B11D5" w:rsidRPr="00A6363B">
        <w:rPr>
          <w:rFonts w:ascii="Times New Roman" w:hAnsi="Times New Roman" w:cs="Times New Roman"/>
          <w:sz w:val="24"/>
          <w:szCs w:val="24"/>
        </w:rPr>
        <w:t>p</w:t>
      </w:r>
      <w:r w:rsidR="007B563F" w:rsidRPr="00A6363B">
        <w:rPr>
          <w:rFonts w:ascii="Times New Roman" w:hAnsi="Times New Roman" w:cs="Times New Roman"/>
          <w:sz w:val="24"/>
          <w:szCs w:val="24"/>
        </w:rPr>
        <w:t xml:space="preserve">rovincial </w:t>
      </w:r>
      <w:r w:rsidR="004B11D5" w:rsidRPr="00A6363B">
        <w:rPr>
          <w:rFonts w:ascii="Times New Roman" w:hAnsi="Times New Roman" w:cs="Times New Roman"/>
          <w:sz w:val="24"/>
          <w:szCs w:val="24"/>
        </w:rPr>
        <w:t>e</w:t>
      </w:r>
      <w:r w:rsidR="007B563F" w:rsidRPr="00A6363B">
        <w:rPr>
          <w:rFonts w:ascii="Times New Roman" w:hAnsi="Times New Roman" w:cs="Times New Roman"/>
          <w:sz w:val="24"/>
          <w:szCs w:val="24"/>
        </w:rPr>
        <w:t xml:space="preserve">quitable </w:t>
      </w:r>
      <w:r w:rsidR="004B11D5" w:rsidRPr="00A6363B">
        <w:rPr>
          <w:rFonts w:ascii="Times New Roman" w:hAnsi="Times New Roman" w:cs="Times New Roman"/>
          <w:sz w:val="24"/>
          <w:szCs w:val="24"/>
        </w:rPr>
        <w:t>s</w:t>
      </w:r>
      <w:r w:rsidR="007B563F" w:rsidRPr="00A6363B">
        <w:rPr>
          <w:rFonts w:ascii="Times New Roman" w:hAnsi="Times New Roman" w:cs="Times New Roman"/>
          <w:sz w:val="24"/>
          <w:szCs w:val="24"/>
        </w:rPr>
        <w:t>hare (PES)</w:t>
      </w:r>
      <w:r w:rsidRPr="00A6363B">
        <w:rPr>
          <w:rFonts w:ascii="Times New Roman" w:hAnsi="Times New Roman" w:cs="Times New Roman"/>
          <w:sz w:val="24"/>
          <w:szCs w:val="24"/>
        </w:rPr>
        <w:t xml:space="preserve"> to provinces in the 2017/18 financial year, and the estimated PES allocations in the outer years.</w:t>
      </w:r>
    </w:p>
    <w:p w:rsidR="00273473" w:rsidRPr="00A6363B" w:rsidRDefault="00273473" w:rsidP="00EE48C3">
      <w:pPr>
        <w:autoSpaceDE w:val="0"/>
        <w:autoSpaceDN w:val="0"/>
        <w:adjustRightInd w:val="0"/>
        <w:spacing w:after="0" w:line="360" w:lineRule="auto"/>
        <w:jc w:val="both"/>
        <w:rPr>
          <w:rFonts w:ascii="Times New Roman" w:hAnsi="Times New Roman" w:cs="Times New Roman"/>
          <w:sz w:val="24"/>
          <w:szCs w:val="24"/>
        </w:rPr>
      </w:pPr>
    </w:p>
    <w:p w:rsidR="008E6FC9" w:rsidRPr="00A6363B" w:rsidRDefault="008E6FC9" w:rsidP="00EE48C3">
      <w:pPr>
        <w:spacing w:before="120" w:line="360" w:lineRule="auto"/>
        <w:jc w:val="both"/>
        <w:rPr>
          <w:rFonts w:ascii="Times New Roman" w:hAnsi="Times New Roman" w:cs="Times New Roman"/>
          <w:b/>
          <w:sz w:val="24"/>
          <w:szCs w:val="24"/>
          <w:lang w:eastAsia="en-ZA"/>
        </w:rPr>
      </w:pPr>
      <w:r w:rsidRPr="00A6363B">
        <w:rPr>
          <w:rFonts w:ascii="Times New Roman" w:hAnsi="Times New Roman" w:cs="Times New Roman"/>
          <w:b/>
          <w:sz w:val="24"/>
          <w:szCs w:val="24"/>
        </w:rPr>
        <w:t xml:space="preserve">Table 2 </w:t>
      </w:r>
      <w:r w:rsidRPr="00A6363B">
        <w:rPr>
          <w:rFonts w:ascii="Times New Roman" w:hAnsi="Times New Roman" w:cs="Times New Roman"/>
          <w:b/>
          <w:sz w:val="24"/>
          <w:szCs w:val="24"/>
          <w:lang w:eastAsia="en-ZA"/>
        </w:rPr>
        <w:t>Provincial equitable share, conditional grants, forward estimates</w:t>
      </w:r>
      <w:r w:rsidR="00E73753" w:rsidRPr="00A6363B">
        <w:rPr>
          <w:rFonts w:ascii="Times New Roman" w:hAnsi="Times New Roman" w:cs="Times New Roman"/>
          <w:b/>
          <w:sz w:val="24"/>
          <w:szCs w:val="24"/>
          <w:lang w:eastAsia="en-ZA"/>
        </w:rPr>
        <w:t xml:space="preserve"> per 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9"/>
        <w:gridCol w:w="1276"/>
        <w:gridCol w:w="1275"/>
        <w:gridCol w:w="1701"/>
        <w:gridCol w:w="1650"/>
      </w:tblGrid>
      <w:tr w:rsidR="00690892" w:rsidRPr="00A6363B" w:rsidTr="00A12FFD">
        <w:trPr>
          <w:trHeight w:val="300"/>
        </w:trPr>
        <w:tc>
          <w:tcPr>
            <w:tcW w:w="1555" w:type="dxa"/>
            <w:vMerge w:val="restart"/>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p>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Province</w:t>
            </w:r>
          </w:p>
        </w:tc>
        <w:tc>
          <w:tcPr>
            <w:tcW w:w="4110" w:type="dxa"/>
            <w:gridSpan w:val="3"/>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Column A</w:t>
            </w:r>
          </w:p>
        </w:tc>
        <w:tc>
          <w:tcPr>
            <w:tcW w:w="3351" w:type="dxa"/>
            <w:gridSpan w:val="2"/>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Column B</w:t>
            </w:r>
          </w:p>
        </w:tc>
      </w:tr>
      <w:tr w:rsidR="00690892" w:rsidRPr="00A6363B" w:rsidTr="00A12FFD">
        <w:trPr>
          <w:trHeight w:val="300"/>
        </w:trPr>
        <w:tc>
          <w:tcPr>
            <w:tcW w:w="1555" w:type="dxa"/>
            <w:vMerge/>
            <w:shd w:val="pct10" w:color="auto" w:fill="auto"/>
          </w:tcPr>
          <w:p w:rsidR="00690892" w:rsidRPr="00A6363B" w:rsidRDefault="00690892" w:rsidP="00EE48C3">
            <w:pPr>
              <w:spacing w:line="360" w:lineRule="auto"/>
              <w:jc w:val="both"/>
              <w:rPr>
                <w:rFonts w:ascii="Times New Roman" w:hAnsi="Times New Roman" w:cs="Times New Roman"/>
                <w:b/>
                <w:bCs/>
                <w:color w:val="5B9BD5" w:themeColor="accent1"/>
                <w:sz w:val="24"/>
                <w:szCs w:val="24"/>
                <w:lang w:eastAsia="en-ZA"/>
              </w:rPr>
            </w:pPr>
          </w:p>
        </w:tc>
        <w:tc>
          <w:tcPr>
            <w:tcW w:w="1559" w:type="dxa"/>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Provincial equitable share allocations</w:t>
            </w:r>
          </w:p>
        </w:tc>
        <w:tc>
          <w:tcPr>
            <w:tcW w:w="1276" w:type="dxa"/>
            <w:shd w:val="pct10" w:color="auto" w:fill="auto"/>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 xml:space="preserve">Conditional Grants </w:t>
            </w:r>
          </w:p>
        </w:tc>
        <w:tc>
          <w:tcPr>
            <w:tcW w:w="1275" w:type="dxa"/>
            <w:shd w:val="pct10" w:color="auto" w:fill="auto"/>
          </w:tcPr>
          <w:p w:rsidR="00690892" w:rsidRPr="00A6363B" w:rsidRDefault="00A12FFD"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 xml:space="preserve">Total Transfers </w:t>
            </w:r>
          </w:p>
        </w:tc>
        <w:tc>
          <w:tcPr>
            <w:tcW w:w="3351" w:type="dxa"/>
            <w:gridSpan w:val="2"/>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Forward</w:t>
            </w:r>
            <w:r w:rsidR="00A12FFD" w:rsidRPr="00A6363B">
              <w:rPr>
                <w:rFonts w:ascii="Times New Roman" w:hAnsi="Times New Roman" w:cs="Times New Roman"/>
                <w:b/>
                <w:bCs/>
                <w:sz w:val="24"/>
                <w:szCs w:val="24"/>
                <w:lang w:eastAsia="en-ZA"/>
              </w:rPr>
              <w:t xml:space="preserve"> </w:t>
            </w:r>
            <w:r w:rsidRPr="00A6363B">
              <w:rPr>
                <w:rFonts w:ascii="Times New Roman" w:hAnsi="Times New Roman" w:cs="Times New Roman"/>
                <w:b/>
                <w:bCs/>
                <w:sz w:val="24"/>
                <w:szCs w:val="24"/>
                <w:lang w:eastAsia="en-ZA"/>
              </w:rPr>
              <w:t>Provincial Equitable Share Estimates</w:t>
            </w:r>
          </w:p>
        </w:tc>
      </w:tr>
      <w:tr w:rsidR="00A12FFD" w:rsidRPr="00A6363B" w:rsidTr="00A12FFD">
        <w:trPr>
          <w:trHeight w:val="1172"/>
        </w:trPr>
        <w:tc>
          <w:tcPr>
            <w:tcW w:w="1555" w:type="dxa"/>
            <w:vMerge/>
            <w:shd w:val="pct10" w:color="auto" w:fill="auto"/>
          </w:tcPr>
          <w:p w:rsidR="00690892" w:rsidRPr="00A6363B" w:rsidRDefault="00690892" w:rsidP="00EE48C3">
            <w:pPr>
              <w:spacing w:line="360" w:lineRule="auto"/>
              <w:jc w:val="both"/>
              <w:rPr>
                <w:rFonts w:ascii="Times New Roman" w:hAnsi="Times New Roman" w:cs="Times New Roman"/>
                <w:b/>
                <w:bCs/>
                <w:color w:val="5B9BD5" w:themeColor="accent1"/>
                <w:sz w:val="24"/>
                <w:szCs w:val="24"/>
                <w:lang w:eastAsia="en-ZA"/>
              </w:rPr>
            </w:pPr>
          </w:p>
        </w:tc>
        <w:tc>
          <w:tcPr>
            <w:tcW w:w="1559" w:type="dxa"/>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2017/18</w:t>
            </w:r>
          </w:p>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rPr>
              <w:t>(R'000)</w:t>
            </w:r>
          </w:p>
        </w:tc>
        <w:tc>
          <w:tcPr>
            <w:tcW w:w="1276" w:type="dxa"/>
            <w:shd w:val="pct10" w:color="auto" w:fill="auto"/>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2017/18</w:t>
            </w:r>
          </w:p>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(R’000)</w:t>
            </w:r>
          </w:p>
        </w:tc>
        <w:tc>
          <w:tcPr>
            <w:tcW w:w="1275" w:type="dxa"/>
            <w:shd w:val="pct10" w:color="auto" w:fill="auto"/>
          </w:tcPr>
          <w:p w:rsidR="00B05FB9" w:rsidRPr="00A6363B" w:rsidRDefault="00A12FFD"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2017/18</w:t>
            </w:r>
          </w:p>
          <w:p w:rsidR="00690892" w:rsidRPr="00A6363B" w:rsidRDefault="00B05FB9"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(R’000)</w:t>
            </w:r>
            <w:r w:rsidR="00690892" w:rsidRPr="00A6363B">
              <w:rPr>
                <w:rFonts w:ascii="Times New Roman" w:hAnsi="Times New Roman" w:cs="Times New Roman"/>
                <w:b/>
                <w:bCs/>
                <w:sz w:val="24"/>
                <w:szCs w:val="24"/>
                <w:lang w:eastAsia="en-ZA"/>
              </w:rPr>
              <w:t xml:space="preserve">     </w:t>
            </w:r>
          </w:p>
        </w:tc>
        <w:tc>
          <w:tcPr>
            <w:tcW w:w="1701" w:type="dxa"/>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 xml:space="preserve">2018/19 </w:t>
            </w:r>
          </w:p>
          <w:p w:rsidR="00690892" w:rsidRPr="00A6363B" w:rsidRDefault="00690892" w:rsidP="00EE48C3">
            <w:pPr>
              <w:spacing w:line="360" w:lineRule="auto"/>
              <w:jc w:val="both"/>
              <w:rPr>
                <w:rFonts w:ascii="Times New Roman" w:hAnsi="Times New Roman" w:cs="Times New Roman"/>
                <w:b/>
                <w:bCs/>
                <w:color w:val="5B9BD5" w:themeColor="accent1"/>
                <w:sz w:val="24"/>
                <w:szCs w:val="24"/>
                <w:lang w:eastAsia="en-ZA"/>
              </w:rPr>
            </w:pPr>
            <w:r w:rsidRPr="00A6363B">
              <w:rPr>
                <w:rFonts w:ascii="Times New Roman" w:hAnsi="Times New Roman" w:cs="Times New Roman"/>
                <w:b/>
                <w:bCs/>
                <w:sz w:val="24"/>
                <w:szCs w:val="24"/>
              </w:rPr>
              <w:t>(R'000)</w:t>
            </w:r>
          </w:p>
        </w:tc>
        <w:tc>
          <w:tcPr>
            <w:tcW w:w="1650" w:type="dxa"/>
            <w:shd w:val="pct10" w:color="auto" w:fill="auto"/>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 xml:space="preserve">2019/20 </w:t>
            </w:r>
          </w:p>
          <w:p w:rsidR="00690892" w:rsidRPr="00A6363B" w:rsidRDefault="00690892" w:rsidP="00EE48C3">
            <w:pPr>
              <w:spacing w:line="360" w:lineRule="auto"/>
              <w:jc w:val="both"/>
              <w:rPr>
                <w:rFonts w:ascii="Times New Roman" w:hAnsi="Times New Roman" w:cs="Times New Roman"/>
                <w:b/>
                <w:bCs/>
                <w:color w:val="5B9BD5" w:themeColor="accent1"/>
                <w:sz w:val="24"/>
                <w:szCs w:val="24"/>
                <w:lang w:eastAsia="en-ZA"/>
              </w:rPr>
            </w:pPr>
            <w:r w:rsidRPr="00A6363B">
              <w:rPr>
                <w:rFonts w:ascii="Times New Roman" w:hAnsi="Times New Roman" w:cs="Times New Roman"/>
                <w:b/>
                <w:bCs/>
                <w:sz w:val="24"/>
                <w:szCs w:val="24"/>
              </w:rPr>
              <w:t>(R'000)</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Eastern Cape</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61 847 808</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 xml:space="preserve"> 11 297</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73 145</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66 166 631</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70 960 874</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Free State</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24 521</w:t>
            </w:r>
            <w:r w:rsidR="009E7230" w:rsidRPr="00A6363B">
              <w:rPr>
                <w:rFonts w:ascii="Times New Roman" w:hAnsi="Times New Roman" w:cs="Times New Roman"/>
                <w:sz w:val="24"/>
                <w:szCs w:val="24"/>
                <w:lang w:eastAsia="en-ZA"/>
              </w:rPr>
              <w:t> </w:t>
            </w:r>
            <w:r w:rsidRPr="00A6363B">
              <w:rPr>
                <w:rFonts w:ascii="Times New Roman" w:hAnsi="Times New Roman" w:cs="Times New Roman"/>
                <w:sz w:val="24"/>
                <w:szCs w:val="24"/>
                <w:lang w:eastAsia="en-ZA"/>
              </w:rPr>
              <w:t>941</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7 267</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31 789</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26 284 534</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28 165 434</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Gauteng</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86 642 989</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20 828</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107 471</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93 030 417</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100 227 355</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KwaZulu-Natal</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93 756 530</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18 824</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112 581</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99 740 600</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106 840 842</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Limpopo</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51 960 337</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7 885</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59 845</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55 385 632</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59 370 905</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Mpumalanga</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36 081 680</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7 183</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43 26</w:t>
            </w:r>
            <w:r w:rsidR="00CA7F7B" w:rsidRPr="00A6363B">
              <w:rPr>
                <w:rFonts w:ascii="Times New Roman" w:hAnsi="Times New Roman" w:cs="Times New Roman"/>
                <w:sz w:val="24"/>
                <w:szCs w:val="24"/>
                <w:lang w:eastAsia="en-ZA"/>
              </w:rPr>
              <w:t>4</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38 488 633</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41 214 353</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Northern Cape</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 xml:space="preserve"> 11 719 981</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4 289</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16 009</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 xml:space="preserve">  12 501 131</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13 418 100</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North West</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 xml:space="preserve">30 329 643 </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7 552</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37 882</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32 472 636</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34 857 190</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sz w:val="24"/>
                <w:szCs w:val="24"/>
                <w:lang w:eastAsia="en-ZA"/>
              </w:rPr>
            </w:pPr>
            <w:r w:rsidRPr="00A6363B">
              <w:rPr>
                <w:rFonts w:ascii="Times New Roman" w:hAnsi="Times New Roman" w:cs="Times New Roman"/>
                <w:sz w:val="24"/>
                <w:szCs w:val="24"/>
                <w:lang w:eastAsia="en-ZA"/>
              </w:rPr>
              <w:t>Western Cape</w:t>
            </w:r>
          </w:p>
        </w:tc>
        <w:tc>
          <w:tcPr>
            <w:tcW w:w="1559"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44 470 213</w:t>
            </w:r>
          </w:p>
        </w:tc>
        <w:tc>
          <w:tcPr>
            <w:tcW w:w="1276" w:type="dxa"/>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11 580</w:t>
            </w:r>
          </w:p>
        </w:tc>
        <w:tc>
          <w:tcPr>
            <w:tcW w:w="1275" w:type="dxa"/>
          </w:tcPr>
          <w:p w:rsidR="00690892" w:rsidRPr="00A6363B" w:rsidRDefault="00B05FB9"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56 050</w:t>
            </w:r>
          </w:p>
        </w:tc>
        <w:tc>
          <w:tcPr>
            <w:tcW w:w="1701"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47 452 275</w:t>
            </w:r>
          </w:p>
        </w:tc>
        <w:tc>
          <w:tcPr>
            <w:tcW w:w="1650" w:type="dxa"/>
            <w:noWrap/>
          </w:tcPr>
          <w:p w:rsidR="00690892" w:rsidRPr="00A6363B" w:rsidRDefault="00690892" w:rsidP="00EE48C3">
            <w:pPr>
              <w:spacing w:line="360" w:lineRule="auto"/>
              <w:jc w:val="right"/>
              <w:rPr>
                <w:rFonts w:ascii="Times New Roman" w:hAnsi="Times New Roman" w:cs="Times New Roman"/>
                <w:sz w:val="24"/>
                <w:szCs w:val="24"/>
                <w:lang w:eastAsia="en-ZA"/>
              </w:rPr>
            </w:pPr>
            <w:r w:rsidRPr="00A6363B">
              <w:rPr>
                <w:rFonts w:ascii="Times New Roman" w:hAnsi="Times New Roman" w:cs="Times New Roman"/>
                <w:sz w:val="24"/>
                <w:szCs w:val="24"/>
                <w:lang w:eastAsia="en-ZA"/>
              </w:rPr>
              <w:t>51 048 600</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Unallocated</w:t>
            </w:r>
          </w:p>
        </w:tc>
        <w:tc>
          <w:tcPr>
            <w:tcW w:w="1559" w:type="dxa"/>
            <w:noWrap/>
          </w:tcPr>
          <w:p w:rsidR="00690892" w:rsidRPr="00A6363B" w:rsidRDefault="00690892" w:rsidP="00EE48C3">
            <w:pPr>
              <w:spacing w:line="360" w:lineRule="auto"/>
              <w:jc w:val="right"/>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0</w:t>
            </w:r>
          </w:p>
        </w:tc>
        <w:tc>
          <w:tcPr>
            <w:tcW w:w="1276" w:type="dxa"/>
          </w:tcPr>
          <w:p w:rsidR="00690892" w:rsidRPr="00A6363B" w:rsidRDefault="00690892" w:rsidP="00EE48C3">
            <w:pPr>
              <w:spacing w:line="360" w:lineRule="auto"/>
              <w:jc w:val="right"/>
              <w:rPr>
                <w:rFonts w:ascii="Times New Roman" w:hAnsi="Times New Roman" w:cs="Times New Roman"/>
                <w:bCs/>
                <w:sz w:val="24"/>
                <w:szCs w:val="24"/>
                <w:lang w:eastAsia="en-ZA"/>
              </w:rPr>
            </w:pPr>
            <w:r w:rsidRPr="00A6363B">
              <w:rPr>
                <w:rFonts w:ascii="Times New Roman" w:hAnsi="Times New Roman" w:cs="Times New Roman"/>
                <w:bCs/>
                <w:sz w:val="24"/>
                <w:szCs w:val="24"/>
                <w:lang w:eastAsia="en-ZA"/>
              </w:rPr>
              <w:t>123</w:t>
            </w:r>
          </w:p>
        </w:tc>
        <w:tc>
          <w:tcPr>
            <w:tcW w:w="1275" w:type="dxa"/>
          </w:tcPr>
          <w:p w:rsidR="00690892" w:rsidRPr="00A6363B" w:rsidRDefault="00B05FB9" w:rsidP="00EE48C3">
            <w:pPr>
              <w:spacing w:line="360" w:lineRule="auto"/>
              <w:jc w:val="right"/>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123</w:t>
            </w:r>
          </w:p>
        </w:tc>
        <w:tc>
          <w:tcPr>
            <w:tcW w:w="1701" w:type="dxa"/>
            <w:noWrap/>
          </w:tcPr>
          <w:p w:rsidR="00690892" w:rsidRPr="00A6363B" w:rsidRDefault="00690892" w:rsidP="00EE48C3">
            <w:pPr>
              <w:spacing w:line="360" w:lineRule="auto"/>
              <w:jc w:val="right"/>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0</w:t>
            </w:r>
          </w:p>
        </w:tc>
        <w:tc>
          <w:tcPr>
            <w:tcW w:w="1650" w:type="dxa"/>
            <w:noWrap/>
          </w:tcPr>
          <w:p w:rsidR="00690892" w:rsidRPr="00A6363B" w:rsidRDefault="00690892" w:rsidP="00EE48C3">
            <w:pPr>
              <w:spacing w:line="360" w:lineRule="auto"/>
              <w:jc w:val="right"/>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0</w:t>
            </w:r>
          </w:p>
        </w:tc>
      </w:tr>
      <w:tr w:rsidR="00690892" w:rsidRPr="00A6363B" w:rsidTr="00A12FFD">
        <w:trPr>
          <w:trHeight w:val="300"/>
        </w:trPr>
        <w:tc>
          <w:tcPr>
            <w:tcW w:w="1555" w:type="dxa"/>
            <w:noWrap/>
          </w:tcPr>
          <w:p w:rsidR="00690892" w:rsidRPr="00A6363B" w:rsidRDefault="00690892" w:rsidP="00EE48C3">
            <w:pPr>
              <w:spacing w:line="360" w:lineRule="auto"/>
              <w:jc w:val="both"/>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TOTAL</w:t>
            </w:r>
          </w:p>
        </w:tc>
        <w:tc>
          <w:tcPr>
            <w:tcW w:w="1559" w:type="dxa"/>
            <w:noWrap/>
          </w:tcPr>
          <w:p w:rsidR="00690892" w:rsidRPr="00A6363B" w:rsidRDefault="00A12FFD" w:rsidP="00EE48C3">
            <w:pPr>
              <w:spacing w:line="360" w:lineRule="auto"/>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 xml:space="preserve">441 331 </w:t>
            </w:r>
            <w:r w:rsidR="00690892" w:rsidRPr="00A6363B">
              <w:rPr>
                <w:rFonts w:ascii="Times New Roman" w:hAnsi="Times New Roman" w:cs="Times New Roman"/>
                <w:b/>
                <w:bCs/>
                <w:sz w:val="24"/>
                <w:szCs w:val="24"/>
                <w:lang w:eastAsia="en-ZA"/>
              </w:rPr>
              <w:t>122</w:t>
            </w:r>
          </w:p>
        </w:tc>
        <w:tc>
          <w:tcPr>
            <w:tcW w:w="1276" w:type="dxa"/>
          </w:tcPr>
          <w:p w:rsidR="00690892" w:rsidRPr="00A6363B" w:rsidRDefault="00A06008" w:rsidP="00EE48C3">
            <w:pPr>
              <w:spacing w:line="360" w:lineRule="auto"/>
              <w:jc w:val="right"/>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96 82</w:t>
            </w:r>
            <w:r w:rsidR="00CA7F7B" w:rsidRPr="00A6363B">
              <w:rPr>
                <w:rFonts w:ascii="Times New Roman" w:hAnsi="Times New Roman" w:cs="Times New Roman"/>
                <w:b/>
                <w:bCs/>
                <w:sz w:val="24"/>
                <w:szCs w:val="24"/>
                <w:lang w:eastAsia="en-ZA"/>
              </w:rPr>
              <w:t>9</w:t>
            </w:r>
          </w:p>
        </w:tc>
        <w:tc>
          <w:tcPr>
            <w:tcW w:w="1275" w:type="dxa"/>
          </w:tcPr>
          <w:p w:rsidR="00690892" w:rsidRPr="00A6363B" w:rsidRDefault="00B05FB9" w:rsidP="00EE48C3">
            <w:pPr>
              <w:spacing w:line="360" w:lineRule="auto"/>
              <w:jc w:val="right"/>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538 160</w:t>
            </w:r>
          </w:p>
        </w:tc>
        <w:tc>
          <w:tcPr>
            <w:tcW w:w="1701" w:type="dxa"/>
            <w:noWrap/>
          </w:tcPr>
          <w:p w:rsidR="00690892" w:rsidRPr="00A6363B" w:rsidRDefault="009E7230" w:rsidP="00EE48C3">
            <w:pPr>
              <w:spacing w:line="360" w:lineRule="auto"/>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 xml:space="preserve">471 522 </w:t>
            </w:r>
            <w:r w:rsidR="00690892" w:rsidRPr="00A6363B">
              <w:rPr>
                <w:rFonts w:ascii="Times New Roman" w:hAnsi="Times New Roman" w:cs="Times New Roman"/>
                <w:b/>
                <w:bCs/>
                <w:sz w:val="24"/>
                <w:szCs w:val="24"/>
                <w:lang w:eastAsia="en-ZA"/>
              </w:rPr>
              <w:t>489</w:t>
            </w:r>
          </w:p>
        </w:tc>
        <w:tc>
          <w:tcPr>
            <w:tcW w:w="1650" w:type="dxa"/>
            <w:noWrap/>
          </w:tcPr>
          <w:p w:rsidR="00690892" w:rsidRPr="00A6363B" w:rsidRDefault="009E7230" w:rsidP="00EE48C3">
            <w:pPr>
              <w:spacing w:line="360" w:lineRule="auto"/>
              <w:rPr>
                <w:rFonts w:ascii="Times New Roman" w:hAnsi="Times New Roman" w:cs="Times New Roman"/>
                <w:b/>
                <w:bCs/>
                <w:sz w:val="24"/>
                <w:szCs w:val="24"/>
                <w:lang w:eastAsia="en-ZA"/>
              </w:rPr>
            </w:pPr>
            <w:r w:rsidRPr="00A6363B">
              <w:rPr>
                <w:rFonts w:ascii="Times New Roman" w:hAnsi="Times New Roman" w:cs="Times New Roman"/>
                <w:b/>
                <w:bCs/>
                <w:sz w:val="24"/>
                <w:szCs w:val="24"/>
                <w:lang w:eastAsia="en-ZA"/>
              </w:rPr>
              <w:t xml:space="preserve">506 103 </w:t>
            </w:r>
            <w:r w:rsidR="00690892" w:rsidRPr="00A6363B">
              <w:rPr>
                <w:rFonts w:ascii="Times New Roman" w:hAnsi="Times New Roman" w:cs="Times New Roman"/>
                <w:b/>
                <w:bCs/>
                <w:sz w:val="24"/>
                <w:szCs w:val="24"/>
                <w:lang w:eastAsia="en-ZA"/>
              </w:rPr>
              <w:t>653</w:t>
            </w:r>
          </w:p>
        </w:tc>
      </w:tr>
    </w:tbl>
    <w:p w:rsidR="00EA5E36" w:rsidRPr="00A6363B" w:rsidRDefault="00EA5E36"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   </w:t>
      </w:r>
    </w:p>
    <w:p w:rsidR="002A415C" w:rsidRPr="00A6363B" w:rsidRDefault="00690892"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From the above table, it can be seen that KwaZulu-Natal has been allocated the highest equitable share over the MTEF, followed by Gauteng. The Northern Cape receives the lowest </w:t>
      </w:r>
      <w:r w:rsidRPr="00A6363B">
        <w:rPr>
          <w:rFonts w:ascii="Times New Roman" w:hAnsi="Times New Roman" w:cs="Times New Roman"/>
          <w:sz w:val="24"/>
          <w:szCs w:val="24"/>
        </w:rPr>
        <w:lastRenderedPageBreak/>
        <w:t>allocation.</w:t>
      </w:r>
      <w:r w:rsidR="00A06008" w:rsidRPr="00A6363B">
        <w:rPr>
          <w:rFonts w:ascii="Times New Roman" w:hAnsi="Times New Roman" w:cs="Times New Roman"/>
          <w:sz w:val="24"/>
          <w:szCs w:val="24"/>
        </w:rPr>
        <w:t xml:space="preserve"> For the 2017/18 financial year, provincial conditional grant</w:t>
      </w:r>
      <w:r w:rsidR="002A3EC7" w:rsidRPr="00A6363B">
        <w:rPr>
          <w:rFonts w:ascii="Times New Roman" w:hAnsi="Times New Roman" w:cs="Times New Roman"/>
          <w:sz w:val="24"/>
          <w:szCs w:val="24"/>
        </w:rPr>
        <w:t xml:space="preserve"> allocation</w:t>
      </w:r>
      <w:r w:rsidR="007B563F" w:rsidRPr="00A6363B">
        <w:rPr>
          <w:rFonts w:ascii="Times New Roman" w:hAnsi="Times New Roman" w:cs="Times New Roman"/>
          <w:sz w:val="24"/>
          <w:szCs w:val="24"/>
        </w:rPr>
        <w:t>s</w:t>
      </w:r>
      <w:r w:rsidR="002A3EC7" w:rsidRPr="00A6363B">
        <w:rPr>
          <w:rFonts w:ascii="Times New Roman" w:hAnsi="Times New Roman" w:cs="Times New Roman"/>
          <w:sz w:val="24"/>
          <w:szCs w:val="24"/>
        </w:rPr>
        <w:t xml:space="preserve"> total </w:t>
      </w:r>
      <w:r w:rsidR="00A06008" w:rsidRPr="00A6363B">
        <w:rPr>
          <w:rFonts w:ascii="Times New Roman" w:hAnsi="Times New Roman" w:cs="Times New Roman"/>
          <w:sz w:val="24"/>
          <w:szCs w:val="24"/>
        </w:rPr>
        <w:t>R96</w:t>
      </w:r>
      <w:r w:rsidR="002A3EC7" w:rsidRPr="00A6363B">
        <w:rPr>
          <w:rFonts w:ascii="Times New Roman" w:hAnsi="Times New Roman" w:cs="Times New Roman"/>
          <w:sz w:val="24"/>
          <w:szCs w:val="24"/>
        </w:rPr>
        <w:t> </w:t>
      </w:r>
      <w:r w:rsidR="00A06008" w:rsidRPr="00A6363B">
        <w:rPr>
          <w:rFonts w:ascii="Times New Roman" w:hAnsi="Times New Roman" w:cs="Times New Roman"/>
          <w:sz w:val="24"/>
          <w:szCs w:val="24"/>
        </w:rPr>
        <w:t>28</w:t>
      </w:r>
      <w:r w:rsidR="00E2235F" w:rsidRPr="00A6363B">
        <w:rPr>
          <w:rFonts w:ascii="Times New Roman" w:hAnsi="Times New Roman" w:cs="Times New Roman"/>
          <w:sz w:val="24"/>
          <w:szCs w:val="24"/>
        </w:rPr>
        <w:t>9</w:t>
      </w:r>
      <w:r w:rsidR="002A3EC7" w:rsidRPr="00A6363B">
        <w:rPr>
          <w:rFonts w:ascii="Times New Roman" w:hAnsi="Times New Roman" w:cs="Times New Roman"/>
          <w:sz w:val="24"/>
          <w:szCs w:val="24"/>
        </w:rPr>
        <w:t xml:space="preserve"> billion, including an unallocated amount of R123 million. </w:t>
      </w:r>
    </w:p>
    <w:p w:rsidR="00F75761" w:rsidRPr="00A6363B" w:rsidRDefault="00F75761" w:rsidP="00EE48C3">
      <w:pPr>
        <w:spacing w:before="120" w:line="360" w:lineRule="auto"/>
        <w:jc w:val="both"/>
        <w:rPr>
          <w:rFonts w:ascii="Times New Roman" w:hAnsi="Times New Roman" w:cs="Times New Roman"/>
          <w:sz w:val="24"/>
          <w:szCs w:val="24"/>
        </w:rPr>
      </w:pPr>
    </w:p>
    <w:p w:rsidR="00CC7989" w:rsidRPr="00A6363B" w:rsidRDefault="002C7C86" w:rsidP="00EE48C3">
      <w:pPr>
        <w:pStyle w:val="ListParagraph"/>
        <w:numPr>
          <w:ilvl w:val="1"/>
          <w:numId w:val="5"/>
        </w:num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 </w:t>
      </w:r>
      <w:r w:rsidR="00CC7989" w:rsidRPr="00A6363B">
        <w:rPr>
          <w:rFonts w:ascii="Times New Roman" w:hAnsi="Times New Roman" w:cs="Times New Roman"/>
          <w:b/>
          <w:sz w:val="24"/>
          <w:szCs w:val="24"/>
        </w:rPr>
        <w:t xml:space="preserve">Provincial </w:t>
      </w:r>
      <w:r w:rsidR="00E73753" w:rsidRPr="00A6363B">
        <w:rPr>
          <w:rFonts w:ascii="Times New Roman" w:hAnsi="Times New Roman" w:cs="Times New Roman"/>
          <w:b/>
          <w:sz w:val="24"/>
          <w:szCs w:val="24"/>
        </w:rPr>
        <w:t xml:space="preserve">Government allocations: Equitable share, </w:t>
      </w:r>
      <w:r w:rsidR="007B563F" w:rsidRPr="00A6363B">
        <w:rPr>
          <w:rFonts w:ascii="Times New Roman" w:hAnsi="Times New Roman" w:cs="Times New Roman"/>
          <w:b/>
          <w:sz w:val="24"/>
          <w:szCs w:val="24"/>
        </w:rPr>
        <w:t>c</w:t>
      </w:r>
      <w:r w:rsidR="00E73753" w:rsidRPr="00A6363B">
        <w:rPr>
          <w:rFonts w:ascii="Times New Roman" w:hAnsi="Times New Roman" w:cs="Times New Roman"/>
          <w:b/>
          <w:sz w:val="24"/>
          <w:szCs w:val="24"/>
        </w:rPr>
        <w:t>onditional grants, indirect transfers</w:t>
      </w:r>
    </w:p>
    <w:p w:rsidR="00301D90" w:rsidRPr="00A6363B" w:rsidRDefault="00301D90"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total transfers to provincial government can be seen in the table below</w:t>
      </w:r>
      <w:r w:rsidR="007B563F" w:rsidRPr="00A6363B">
        <w:rPr>
          <w:rFonts w:ascii="Times New Roman" w:hAnsi="Times New Roman" w:cs="Times New Roman"/>
          <w:sz w:val="24"/>
          <w:szCs w:val="24"/>
        </w:rPr>
        <w:t>:</w:t>
      </w:r>
    </w:p>
    <w:p w:rsidR="00301D90" w:rsidRPr="00A6363B" w:rsidRDefault="00301D90" w:rsidP="00EE48C3">
      <w:pPr>
        <w:spacing w:before="120" w:line="360" w:lineRule="auto"/>
        <w:jc w:val="both"/>
        <w:rPr>
          <w:rFonts w:ascii="Times New Roman" w:hAnsi="Times New Roman" w:cs="Times New Roman"/>
          <w:b/>
          <w:sz w:val="24"/>
          <w:szCs w:val="24"/>
        </w:rPr>
      </w:pPr>
    </w:p>
    <w:p w:rsidR="00E73753" w:rsidRPr="00A6363B" w:rsidRDefault="00E73753"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Table 3: Provincial Government allocations: Equitable share, </w:t>
      </w:r>
      <w:r w:rsidR="007B563F" w:rsidRPr="00A6363B">
        <w:rPr>
          <w:rFonts w:ascii="Times New Roman" w:hAnsi="Times New Roman" w:cs="Times New Roman"/>
          <w:b/>
          <w:sz w:val="24"/>
          <w:szCs w:val="24"/>
        </w:rPr>
        <w:t>c</w:t>
      </w:r>
      <w:r w:rsidRPr="00A6363B">
        <w:rPr>
          <w:rFonts w:ascii="Times New Roman" w:hAnsi="Times New Roman" w:cs="Times New Roman"/>
          <w:b/>
          <w:sz w:val="24"/>
          <w:szCs w:val="24"/>
        </w:rPr>
        <w:t>onditional grants, indirect transfers</w:t>
      </w:r>
    </w:p>
    <w:tbl>
      <w:tblPr>
        <w:tblStyle w:val="TableGrid"/>
        <w:tblW w:w="0" w:type="auto"/>
        <w:tblLook w:val="04A0" w:firstRow="1" w:lastRow="0" w:firstColumn="1" w:lastColumn="0" w:noHBand="0" w:noVBand="1"/>
      </w:tblPr>
      <w:tblGrid>
        <w:gridCol w:w="4248"/>
        <w:gridCol w:w="1417"/>
        <w:gridCol w:w="1134"/>
        <w:gridCol w:w="1133"/>
        <w:gridCol w:w="1084"/>
      </w:tblGrid>
      <w:tr w:rsidR="001B54DA" w:rsidRPr="00A6363B" w:rsidTr="00F57302">
        <w:trPr>
          <w:trHeight w:val="1005"/>
        </w:trPr>
        <w:tc>
          <w:tcPr>
            <w:tcW w:w="4248" w:type="dxa"/>
            <w:vMerge w:val="restart"/>
          </w:tcPr>
          <w:p w:rsidR="001B54DA" w:rsidRPr="00A6363B" w:rsidRDefault="001B54DA"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Provincial Government allocation</w:t>
            </w:r>
          </w:p>
          <w:p w:rsidR="00313299" w:rsidRPr="00A6363B" w:rsidRDefault="00313299"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(R’million)</w:t>
            </w:r>
          </w:p>
        </w:tc>
        <w:tc>
          <w:tcPr>
            <w:tcW w:w="1417" w:type="dxa"/>
            <w:vMerge w:val="restart"/>
          </w:tcPr>
          <w:p w:rsidR="001B54DA" w:rsidRPr="00A6363B" w:rsidRDefault="001B54DA"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2016/17 Revised Estimates</w:t>
            </w:r>
          </w:p>
        </w:tc>
        <w:tc>
          <w:tcPr>
            <w:tcW w:w="3351" w:type="dxa"/>
            <w:gridSpan w:val="3"/>
          </w:tcPr>
          <w:p w:rsidR="001B54DA" w:rsidRPr="00A6363B" w:rsidRDefault="001B54DA" w:rsidP="00EE48C3">
            <w:pPr>
              <w:spacing w:before="120" w:line="360" w:lineRule="auto"/>
              <w:jc w:val="both"/>
              <w:rPr>
                <w:rFonts w:ascii="Times New Roman" w:hAnsi="Times New Roman" w:cs="Times New Roman"/>
                <w:b/>
                <w:sz w:val="24"/>
                <w:szCs w:val="24"/>
              </w:rPr>
            </w:pPr>
          </w:p>
          <w:p w:rsidR="001B54DA" w:rsidRPr="00A6363B" w:rsidRDefault="001B54DA"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Medium-Term Estimates</w:t>
            </w:r>
          </w:p>
        </w:tc>
      </w:tr>
      <w:tr w:rsidR="00F57302" w:rsidRPr="00A6363B" w:rsidTr="00287790">
        <w:trPr>
          <w:trHeight w:val="52"/>
        </w:trPr>
        <w:tc>
          <w:tcPr>
            <w:tcW w:w="4248" w:type="dxa"/>
            <w:vMerge/>
          </w:tcPr>
          <w:p w:rsidR="001B54DA" w:rsidRPr="00A6363B" w:rsidRDefault="001B54DA" w:rsidP="00EE48C3">
            <w:pPr>
              <w:spacing w:before="120" w:line="360" w:lineRule="auto"/>
              <w:jc w:val="both"/>
              <w:rPr>
                <w:rFonts w:ascii="Times New Roman" w:hAnsi="Times New Roman" w:cs="Times New Roman"/>
                <w:b/>
                <w:sz w:val="24"/>
                <w:szCs w:val="24"/>
              </w:rPr>
            </w:pPr>
          </w:p>
        </w:tc>
        <w:tc>
          <w:tcPr>
            <w:tcW w:w="1417" w:type="dxa"/>
            <w:vMerge/>
          </w:tcPr>
          <w:p w:rsidR="001B54DA" w:rsidRPr="00A6363B" w:rsidRDefault="001B54DA" w:rsidP="00EE48C3">
            <w:pPr>
              <w:spacing w:before="120" w:line="360" w:lineRule="auto"/>
              <w:jc w:val="both"/>
              <w:rPr>
                <w:rFonts w:ascii="Times New Roman" w:hAnsi="Times New Roman" w:cs="Times New Roman"/>
                <w:b/>
                <w:sz w:val="24"/>
                <w:szCs w:val="24"/>
              </w:rPr>
            </w:pPr>
          </w:p>
        </w:tc>
        <w:tc>
          <w:tcPr>
            <w:tcW w:w="1134" w:type="dxa"/>
          </w:tcPr>
          <w:p w:rsidR="001B54DA" w:rsidRPr="00A6363B" w:rsidRDefault="001B54DA"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2017/18</w:t>
            </w:r>
          </w:p>
        </w:tc>
        <w:tc>
          <w:tcPr>
            <w:tcW w:w="1133" w:type="dxa"/>
          </w:tcPr>
          <w:p w:rsidR="001B54DA" w:rsidRPr="00A6363B" w:rsidRDefault="001B54DA"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2018/19</w:t>
            </w:r>
          </w:p>
        </w:tc>
        <w:tc>
          <w:tcPr>
            <w:tcW w:w="1084" w:type="dxa"/>
          </w:tcPr>
          <w:p w:rsidR="001B54DA" w:rsidRPr="00A6363B" w:rsidRDefault="001B54DA"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2019/20</w:t>
            </w:r>
          </w:p>
        </w:tc>
      </w:tr>
      <w:tr w:rsidR="00F57302" w:rsidRPr="00A6363B" w:rsidTr="00F57302">
        <w:tc>
          <w:tcPr>
            <w:tcW w:w="4248"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Equitable Share </w:t>
            </w:r>
          </w:p>
        </w:tc>
        <w:tc>
          <w:tcPr>
            <w:tcW w:w="1417"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410 699 </w:t>
            </w:r>
          </w:p>
        </w:tc>
        <w:tc>
          <w:tcPr>
            <w:tcW w:w="1134" w:type="dxa"/>
          </w:tcPr>
          <w:p w:rsidR="001B54DA" w:rsidRPr="00A6363B" w:rsidRDefault="00E73753"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441 331</w:t>
            </w:r>
          </w:p>
        </w:tc>
        <w:tc>
          <w:tcPr>
            <w:tcW w:w="1133" w:type="dxa"/>
          </w:tcPr>
          <w:p w:rsidR="001B54DA" w:rsidRPr="00A6363B" w:rsidRDefault="00E73753"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4</w:t>
            </w:r>
            <w:r w:rsidR="00CA7F7B" w:rsidRPr="00A6363B">
              <w:rPr>
                <w:rFonts w:ascii="Times New Roman" w:hAnsi="Times New Roman" w:cs="Times New Roman"/>
                <w:sz w:val="24"/>
                <w:szCs w:val="24"/>
              </w:rPr>
              <w:t>7</w:t>
            </w:r>
            <w:r w:rsidRPr="00A6363B">
              <w:rPr>
                <w:rFonts w:ascii="Times New Roman" w:hAnsi="Times New Roman" w:cs="Times New Roman"/>
                <w:sz w:val="24"/>
                <w:szCs w:val="24"/>
              </w:rPr>
              <w:t>1 522</w:t>
            </w:r>
          </w:p>
        </w:tc>
        <w:tc>
          <w:tcPr>
            <w:tcW w:w="1084"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506 104</w:t>
            </w:r>
          </w:p>
        </w:tc>
      </w:tr>
      <w:tr w:rsidR="00F57302" w:rsidRPr="00A6363B" w:rsidTr="00F57302">
        <w:tc>
          <w:tcPr>
            <w:tcW w:w="4248"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Conditional Grants</w:t>
            </w:r>
          </w:p>
        </w:tc>
        <w:tc>
          <w:tcPr>
            <w:tcW w:w="1417"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8</w:t>
            </w:r>
            <w:r w:rsidR="00CA7F7B" w:rsidRPr="00A6363B">
              <w:rPr>
                <w:rFonts w:ascii="Times New Roman" w:hAnsi="Times New Roman" w:cs="Times New Roman"/>
                <w:sz w:val="24"/>
                <w:szCs w:val="24"/>
              </w:rPr>
              <w:t>9</w:t>
            </w:r>
            <w:r w:rsidRPr="00A6363B">
              <w:rPr>
                <w:rFonts w:ascii="Times New Roman" w:hAnsi="Times New Roman" w:cs="Times New Roman"/>
                <w:sz w:val="24"/>
                <w:szCs w:val="24"/>
              </w:rPr>
              <w:t xml:space="preserve"> 692</w:t>
            </w:r>
          </w:p>
        </w:tc>
        <w:tc>
          <w:tcPr>
            <w:tcW w:w="1134"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96 829</w:t>
            </w:r>
          </w:p>
        </w:tc>
        <w:tc>
          <w:tcPr>
            <w:tcW w:w="1133"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107 092</w:t>
            </w:r>
          </w:p>
        </w:tc>
        <w:tc>
          <w:tcPr>
            <w:tcW w:w="1084"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114 892</w:t>
            </w:r>
          </w:p>
        </w:tc>
      </w:tr>
      <w:tr w:rsidR="00F57302" w:rsidRPr="00A6363B" w:rsidTr="00F57302">
        <w:tc>
          <w:tcPr>
            <w:tcW w:w="4248"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Indirect transfers to provinces</w:t>
            </w:r>
          </w:p>
        </w:tc>
        <w:tc>
          <w:tcPr>
            <w:tcW w:w="1417"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3 654</w:t>
            </w:r>
          </w:p>
        </w:tc>
        <w:tc>
          <w:tcPr>
            <w:tcW w:w="1134"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4 258</w:t>
            </w:r>
          </w:p>
        </w:tc>
        <w:tc>
          <w:tcPr>
            <w:tcW w:w="1133"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1 765</w:t>
            </w:r>
          </w:p>
        </w:tc>
        <w:tc>
          <w:tcPr>
            <w:tcW w:w="1084" w:type="dxa"/>
          </w:tcPr>
          <w:p w:rsidR="001B54DA" w:rsidRPr="00A6363B" w:rsidRDefault="001B54DA"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1 864</w:t>
            </w:r>
          </w:p>
        </w:tc>
      </w:tr>
      <w:tr w:rsidR="00F57302" w:rsidRPr="00A6363B" w:rsidTr="00F57302">
        <w:tc>
          <w:tcPr>
            <w:tcW w:w="4248" w:type="dxa"/>
          </w:tcPr>
          <w:p w:rsidR="001B54DA" w:rsidRPr="00A6363B" w:rsidRDefault="001B54DA"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Total</w:t>
            </w:r>
          </w:p>
        </w:tc>
        <w:tc>
          <w:tcPr>
            <w:tcW w:w="1417" w:type="dxa"/>
          </w:tcPr>
          <w:p w:rsidR="001B54DA" w:rsidRPr="00A6363B" w:rsidRDefault="00E73753"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500 391</w:t>
            </w:r>
          </w:p>
        </w:tc>
        <w:tc>
          <w:tcPr>
            <w:tcW w:w="1134" w:type="dxa"/>
          </w:tcPr>
          <w:p w:rsidR="001B54DA" w:rsidRPr="00A6363B" w:rsidRDefault="00E73753"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538 160</w:t>
            </w:r>
          </w:p>
        </w:tc>
        <w:tc>
          <w:tcPr>
            <w:tcW w:w="1133" w:type="dxa"/>
          </w:tcPr>
          <w:p w:rsidR="001B54DA" w:rsidRPr="00A6363B" w:rsidRDefault="00E73753"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578 614</w:t>
            </w:r>
          </w:p>
        </w:tc>
        <w:tc>
          <w:tcPr>
            <w:tcW w:w="1084" w:type="dxa"/>
          </w:tcPr>
          <w:p w:rsidR="001B54DA" w:rsidRPr="00A6363B" w:rsidRDefault="00E73753"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620 995</w:t>
            </w:r>
          </w:p>
        </w:tc>
      </w:tr>
    </w:tbl>
    <w:p w:rsidR="00F57302" w:rsidRPr="00A6363B" w:rsidRDefault="00F57302" w:rsidP="00EE48C3">
      <w:pPr>
        <w:spacing w:before="120" w:line="360" w:lineRule="auto"/>
        <w:jc w:val="both"/>
        <w:rPr>
          <w:rFonts w:ascii="Times New Roman" w:hAnsi="Times New Roman" w:cs="Times New Roman"/>
          <w:sz w:val="24"/>
          <w:szCs w:val="24"/>
        </w:rPr>
      </w:pPr>
    </w:p>
    <w:p w:rsidR="00CC7989" w:rsidRPr="00A6363B" w:rsidRDefault="00CC7989"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w:t>
      </w:r>
      <w:r w:rsidR="00E73753" w:rsidRPr="00A6363B">
        <w:rPr>
          <w:rFonts w:ascii="Times New Roman" w:hAnsi="Times New Roman" w:cs="Times New Roman"/>
          <w:sz w:val="24"/>
          <w:szCs w:val="24"/>
        </w:rPr>
        <w:t xml:space="preserve">above table indicates that the </w:t>
      </w:r>
      <w:r w:rsidRPr="00A6363B">
        <w:rPr>
          <w:rFonts w:ascii="Times New Roman" w:hAnsi="Times New Roman" w:cs="Times New Roman"/>
          <w:sz w:val="24"/>
          <w:szCs w:val="24"/>
        </w:rPr>
        <w:t>2017 Division of Revenue</w:t>
      </w:r>
      <w:r w:rsidR="00E73753" w:rsidRPr="00A6363B">
        <w:rPr>
          <w:rFonts w:ascii="Times New Roman" w:hAnsi="Times New Roman" w:cs="Times New Roman"/>
          <w:sz w:val="24"/>
          <w:szCs w:val="24"/>
        </w:rPr>
        <w:t xml:space="preserve">’s </w:t>
      </w:r>
      <w:r w:rsidRPr="00A6363B">
        <w:rPr>
          <w:rFonts w:ascii="Times New Roman" w:hAnsi="Times New Roman" w:cs="Times New Roman"/>
          <w:sz w:val="24"/>
          <w:szCs w:val="24"/>
        </w:rPr>
        <w:t>overall growth of direct conditional transfers to provinces is buoyant, averaging 8.</w:t>
      </w:r>
      <w:r w:rsidR="00B45F04" w:rsidRPr="00A6363B">
        <w:rPr>
          <w:rFonts w:ascii="Times New Roman" w:hAnsi="Times New Roman" w:cs="Times New Roman"/>
          <w:sz w:val="24"/>
          <w:szCs w:val="24"/>
        </w:rPr>
        <w:t>6</w:t>
      </w:r>
      <w:r w:rsidRPr="00A6363B">
        <w:rPr>
          <w:rFonts w:ascii="Times New Roman" w:hAnsi="Times New Roman" w:cs="Times New Roman"/>
          <w:sz w:val="24"/>
          <w:szCs w:val="24"/>
        </w:rPr>
        <w:t xml:space="preserve"> percent</w:t>
      </w:r>
      <w:r w:rsidR="002C7C86" w:rsidRPr="00A6363B">
        <w:rPr>
          <w:rFonts w:ascii="Times New Roman" w:hAnsi="Times New Roman" w:cs="Times New Roman"/>
          <w:sz w:val="24"/>
          <w:szCs w:val="24"/>
        </w:rPr>
        <w:t xml:space="preserve"> over the MTEF period. Direct conditional baselines total R96.8 billion in 2017/18, R107.1 billion in 2018/19 and R114.</w:t>
      </w:r>
      <w:r w:rsidR="003B3E55" w:rsidRPr="00A6363B">
        <w:rPr>
          <w:rFonts w:ascii="Times New Roman" w:hAnsi="Times New Roman" w:cs="Times New Roman"/>
          <w:sz w:val="24"/>
          <w:szCs w:val="24"/>
        </w:rPr>
        <w:t>9</w:t>
      </w:r>
      <w:r w:rsidR="002C7C86" w:rsidRPr="00A6363B">
        <w:rPr>
          <w:rFonts w:ascii="Times New Roman" w:hAnsi="Times New Roman" w:cs="Times New Roman"/>
          <w:sz w:val="24"/>
          <w:szCs w:val="24"/>
        </w:rPr>
        <w:t xml:space="preserve"> billion in 2019/20. Indirect conditional grants amount to R4.</w:t>
      </w:r>
      <w:r w:rsidR="00E73753" w:rsidRPr="00A6363B">
        <w:rPr>
          <w:rFonts w:ascii="Times New Roman" w:hAnsi="Times New Roman" w:cs="Times New Roman"/>
          <w:sz w:val="24"/>
          <w:szCs w:val="24"/>
        </w:rPr>
        <w:t>25</w:t>
      </w:r>
      <w:r w:rsidR="002C7C86" w:rsidRPr="00A6363B">
        <w:rPr>
          <w:rFonts w:ascii="Times New Roman" w:hAnsi="Times New Roman" w:cs="Times New Roman"/>
          <w:sz w:val="24"/>
          <w:szCs w:val="24"/>
        </w:rPr>
        <w:t xml:space="preserve"> billion</w:t>
      </w:r>
      <w:r w:rsidR="001D6B51" w:rsidRPr="00A6363B">
        <w:rPr>
          <w:rFonts w:ascii="Times New Roman" w:hAnsi="Times New Roman" w:cs="Times New Roman"/>
          <w:sz w:val="24"/>
          <w:szCs w:val="24"/>
        </w:rPr>
        <w:t xml:space="preserve"> and</w:t>
      </w:r>
      <w:r w:rsidR="002C7C86" w:rsidRPr="00A6363B">
        <w:rPr>
          <w:rFonts w:ascii="Times New Roman" w:hAnsi="Times New Roman" w:cs="Times New Roman"/>
          <w:sz w:val="24"/>
          <w:szCs w:val="24"/>
        </w:rPr>
        <w:t xml:space="preserve"> R1.</w:t>
      </w:r>
      <w:r w:rsidR="00E73753" w:rsidRPr="00A6363B">
        <w:rPr>
          <w:rFonts w:ascii="Times New Roman" w:hAnsi="Times New Roman" w:cs="Times New Roman"/>
          <w:sz w:val="24"/>
          <w:szCs w:val="24"/>
        </w:rPr>
        <w:t>76 billion and R1.86</w:t>
      </w:r>
      <w:r w:rsidR="002C7C86" w:rsidRPr="00A6363B">
        <w:rPr>
          <w:rFonts w:ascii="Times New Roman" w:hAnsi="Times New Roman" w:cs="Times New Roman"/>
          <w:sz w:val="24"/>
          <w:szCs w:val="24"/>
        </w:rPr>
        <w:t xml:space="preserve"> billion</w:t>
      </w:r>
      <w:r w:rsidR="001D6B51" w:rsidRPr="00A6363B">
        <w:rPr>
          <w:rFonts w:ascii="Times New Roman" w:hAnsi="Times New Roman" w:cs="Times New Roman"/>
          <w:sz w:val="24"/>
          <w:szCs w:val="24"/>
        </w:rPr>
        <w:t>,</w:t>
      </w:r>
      <w:r w:rsidR="002C7C86" w:rsidRPr="00A6363B">
        <w:rPr>
          <w:rFonts w:ascii="Times New Roman" w:hAnsi="Times New Roman" w:cs="Times New Roman"/>
          <w:sz w:val="24"/>
          <w:szCs w:val="24"/>
        </w:rPr>
        <w:t xml:space="preserve"> respectively</w:t>
      </w:r>
      <w:r w:rsidR="001D6B51" w:rsidRPr="00A6363B">
        <w:rPr>
          <w:rFonts w:ascii="Times New Roman" w:hAnsi="Times New Roman" w:cs="Times New Roman"/>
          <w:sz w:val="24"/>
          <w:szCs w:val="24"/>
        </w:rPr>
        <w:t>,</w:t>
      </w:r>
      <w:r w:rsidR="002C7C86" w:rsidRPr="00A6363B">
        <w:rPr>
          <w:rFonts w:ascii="Times New Roman" w:hAnsi="Times New Roman" w:cs="Times New Roman"/>
          <w:sz w:val="24"/>
          <w:szCs w:val="24"/>
        </w:rPr>
        <w:t xml:space="preserve"> for each year of the MTEF. </w:t>
      </w:r>
    </w:p>
    <w:p w:rsidR="00E73753" w:rsidRPr="00A6363B" w:rsidRDefault="00E73753" w:rsidP="00EE48C3">
      <w:pPr>
        <w:spacing w:before="120" w:line="360" w:lineRule="auto"/>
        <w:jc w:val="both"/>
        <w:rPr>
          <w:rFonts w:ascii="Times New Roman" w:hAnsi="Times New Roman" w:cs="Times New Roman"/>
          <w:sz w:val="24"/>
          <w:szCs w:val="24"/>
        </w:rPr>
      </w:pPr>
    </w:p>
    <w:p w:rsidR="000D0BC0" w:rsidRPr="00A6363B" w:rsidRDefault="002572BE" w:rsidP="00EE48C3">
      <w:pPr>
        <w:pStyle w:val="Default"/>
        <w:spacing w:line="360" w:lineRule="auto"/>
        <w:jc w:val="both"/>
        <w:rPr>
          <w:rFonts w:ascii="Times New Roman" w:hAnsi="Times New Roman" w:cs="Times New Roman"/>
          <w:b/>
          <w:bCs/>
        </w:rPr>
      </w:pPr>
      <w:r w:rsidRPr="00A6363B">
        <w:rPr>
          <w:rFonts w:ascii="Times New Roman" w:hAnsi="Times New Roman" w:cs="Times New Roman"/>
          <w:b/>
          <w:bCs/>
        </w:rPr>
        <w:t xml:space="preserve">3.2 </w:t>
      </w:r>
      <w:r w:rsidR="000D0BC0" w:rsidRPr="00A6363B">
        <w:rPr>
          <w:rFonts w:ascii="Times New Roman" w:hAnsi="Times New Roman" w:cs="Times New Roman"/>
          <w:b/>
          <w:bCs/>
        </w:rPr>
        <w:t>Major changes to the provincial conditional grant framework</w:t>
      </w:r>
    </w:p>
    <w:p w:rsidR="000D0BC0" w:rsidRPr="00A6363B" w:rsidRDefault="000D0BC0" w:rsidP="00EE48C3">
      <w:pPr>
        <w:pStyle w:val="Default"/>
        <w:spacing w:line="360" w:lineRule="auto"/>
        <w:jc w:val="both"/>
        <w:rPr>
          <w:rFonts w:ascii="Times New Roman" w:hAnsi="Times New Roman" w:cs="Times New Roman"/>
          <w:bCs/>
        </w:rPr>
      </w:pPr>
      <w:r w:rsidRPr="00A6363B">
        <w:rPr>
          <w:rFonts w:ascii="Times New Roman" w:hAnsi="Times New Roman" w:cs="Times New Roman"/>
          <w:bCs/>
        </w:rPr>
        <w:t xml:space="preserve">The Bill also </w:t>
      </w:r>
      <w:r w:rsidR="00676536" w:rsidRPr="00A6363B">
        <w:rPr>
          <w:rFonts w:ascii="Times New Roman" w:hAnsi="Times New Roman" w:cs="Times New Roman"/>
          <w:bCs/>
        </w:rPr>
        <w:t>contains the</w:t>
      </w:r>
      <w:r w:rsidRPr="00A6363B">
        <w:rPr>
          <w:rFonts w:ascii="Times New Roman" w:hAnsi="Times New Roman" w:cs="Times New Roman"/>
          <w:bCs/>
        </w:rPr>
        <w:t xml:space="preserve"> introduction of new conditional grants, ring-fencing of grant funds, </w:t>
      </w:r>
      <w:r w:rsidR="00676536" w:rsidRPr="00A6363B">
        <w:rPr>
          <w:rFonts w:ascii="Times New Roman" w:hAnsi="Times New Roman" w:cs="Times New Roman"/>
          <w:bCs/>
        </w:rPr>
        <w:t xml:space="preserve">the </w:t>
      </w:r>
      <w:r w:rsidRPr="00A6363B">
        <w:rPr>
          <w:rFonts w:ascii="Times New Roman" w:hAnsi="Times New Roman" w:cs="Times New Roman"/>
          <w:bCs/>
        </w:rPr>
        <w:t xml:space="preserve">termination of </w:t>
      </w:r>
      <w:r w:rsidR="00676536" w:rsidRPr="00A6363B">
        <w:rPr>
          <w:rFonts w:ascii="Times New Roman" w:hAnsi="Times New Roman" w:cs="Times New Roman"/>
          <w:bCs/>
        </w:rPr>
        <w:t xml:space="preserve">the </w:t>
      </w:r>
      <w:r w:rsidRPr="00A6363B">
        <w:rPr>
          <w:rFonts w:ascii="Times New Roman" w:hAnsi="Times New Roman" w:cs="Times New Roman"/>
          <w:bCs/>
        </w:rPr>
        <w:t>National Health Insurance Grant,</w:t>
      </w:r>
      <w:r w:rsidR="00676536" w:rsidRPr="00A6363B">
        <w:rPr>
          <w:rFonts w:ascii="Times New Roman" w:hAnsi="Times New Roman" w:cs="Times New Roman"/>
          <w:bCs/>
        </w:rPr>
        <w:t xml:space="preserve"> the</w:t>
      </w:r>
      <w:r w:rsidRPr="00A6363B">
        <w:rPr>
          <w:rFonts w:ascii="Times New Roman" w:hAnsi="Times New Roman" w:cs="Times New Roman"/>
          <w:bCs/>
        </w:rPr>
        <w:t xml:space="preserve"> reconfiguration of </w:t>
      </w:r>
      <w:r w:rsidR="00676536" w:rsidRPr="00A6363B">
        <w:rPr>
          <w:rFonts w:ascii="Times New Roman" w:hAnsi="Times New Roman" w:cs="Times New Roman"/>
          <w:bCs/>
        </w:rPr>
        <w:t xml:space="preserve">the </w:t>
      </w:r>
      <w:r w:rsidRPr="00A6363B">
        <w:rPr>
          <w:rFonts w:ascii="Times New Roman" w:hAnsi="Times New Roman" w:cs="Times New Roman"/>
          <w:bCs/>
        </w:rPr>
        <w:t>School Infrastructure Backlog</w:t>
      </w:r>
      <w:r w:rsidR="00BC1477" w:rsidRPr="00A6363B">
        <w:rPr>
          <w:rFonts w:ascii="Times New Roman" w:hAnsi="Times New Roman" w:cs="Times New Roman"/>
          <w:bCs/>
        </w:rPr>
        <w:t>s</w:t>
      </w:r>
      <w:r w:rsidRPr="00A6363B">
        <w:rPr>
          <w:rFonts w:ascii="Times New Roman" w:hAnsi="Times New Roman" w:cs="Times New Roman"/>
          <w:bCs/>
        </w:rPr>
        <w:t xml:space="preserve"> Grant</w:t>
      </w:r>
      <w:r w:rsidR="00676536" w:rsidRPr="00A6363B">
        <w:rPr>
          <w:rFonts w:ascii="Times New Roman" w:hAnsi="Times New Roman" w:cs="Times New Roman"/>
          <w:bCs/>
        </w:rPr>
        <w:t xml:space="preserve"> and </w:t>
      </w:r>
      <w:r w:rsidRPr="00A6363B">
        <w:rPr>
          <w:rFonts w:ascii="Times New Roman" w:hAnsi="Times New Roman" w:cs="Times New Roman"/>
          <w:bCs/>
        </w:rPr>
        <w:t>reduction</w:t>
      </w:r>
      <w:r w:rsidR="00676536" w:rsidRPr="00A6363B">
        <w:rPr>
          <w:rFonts w:ascii="Times New Roman" w:hAnsi="Times New Roman" w:cs="Times New Roman"/>
          <w:bCs/>
        </w:rPr>
        <w:t>s</w:t>
      </w:r>
      <w:r w:rsidRPr="00A6363B">
        <w:rPr>
          <w:rFonts w:ascii="Times New Roman" w:hAnsi="Times New Roman" w:cs="Times New Roman"/>
          <w:bCs/>
        </w:rPr>
        <w:t xml:space="preserve"> and additions to conditional grant baselines. These are explained below:</w:t>
      </w:r>
    </w:p>
    <w:p w:rsidR="000D0BC0" w:rsidRPr="00A6363B" w:rsidRDefault="000D0BC0" w:rsidP="00EE48C3">
      <w:pPr>
        <w:pStyle w:val="Default"/>
        <w:spacing w:line="360" w:lineRule="auto"/>
        <w:jc w:val="both"/>
        <w:rPr>
          <w:rFonts w:ascii="Times New Roman" w:hAnsi="Times New Roman" w:cs="Times New Roman"/>
        </w:rPr>
      </w:pPr>
      <w:r w:rsidRPr="00A6363B">
        <w:rPr>
          <w:rFonts w:ascii="Times New Roman" w:hAnsi="Times New Roman" w:cs="Times New Roman"/>
          <w:bCs/>
        </w:rPr>
        <w:lastRenderedPageBreak/>
        <w:t xml:space="preserve"> </w:t>
      </w:r>
    </w:p>
    <w:p w:rsidR="00676536" w:rsidRPr="00A6363B" w:rsidRDefault="002572BE" w:rsidP="00EE48C3">
      <w:pPr>
        <w:pStyle w:val="Default"/>
        <w:spacing w:line="360" w:lineRule="auto"/>
        <w:jc w:val="both"/>
        <w:rPr>
          <w:rFonts w:ascii="Times New Roman" w:hAnsi="Times New Roman" w:cs="Times New Roman"/>
          <w:b/>
          <w:bCs/>
        </w:rPr>
      </w:pPr>
      <w:r w:rsidRPr="00A6363B">
        <w:rPr>
          <w:rFonts w:ascii="Times New Roman" w:hAnsi="Times New Roman" w:cs="Times New Roman"/>
          <w:b/>
          <w:bCs/>
        </w:rPr>
        <w:t xml:space="preserve">3.2.1 </w:t>
      </w:r>
      <w:r w:rsidR="000D0BC0" w:rsidRPr="00A6363B">
        <w:rPr>
          <w:rFonts w:ascii="Times New Roman" w:hAnsi="Times New Roman" w:cs="Times New Roman"/>
          <w:b/>
          <w:bCs/>
        </w:rPr>
        <w:t xml:space="preserve">New grants </w:t>
      </w:r>
    </w:p>
    <w:p w:rsidR="000D0BC0" w:rsidRPr="00A6363B" w:rsidRDefault="00676536" w:rsidP="00EE48C3">
      <w:pPr>
        <w:pStyle w:val="Default"/>
        <w:spacing w:line="360" w:lineRule="auto"/>
        <w:jc w:val="both"/>
        <w:rPr>
          <w:rFonts w:ascii="Times New Roman" w:hAnsi="Times New Roman" w:cs="Times New Roman"/>
          <w:bCs/>
        </w:rPr>
      </w:pPr>
      <w:r w:rsidRPr="00A6363B">
        <w:rPr>
          <w:rFonts w:ascii="Times New Roman" w:hAnsi="Times New Roman" w:cs="Times New Roman"/>
          <w:bCs/>
        </w:rPr>
        <w:t>T</w:t>
      </w:r>
      <w:r w:rsidR="000D0BC0" w:rsidRPr="00A6363B">
        <w:rPr>
          <w:rFonts w:ascii="Times New Roman" w:hAnsi="Times New Roman" w:cs="Times New Roman"/>
          <w:bCs/>
        </w:rPr>
        <w:t xml:space="preserve">he following </w:t>
      </w:r>
      <w:r w:rsidRPr="00A6363B">
        <w:rPr>
          <w:rFonts w:ascii="Times New Roman" w:hAnsi="Times New Roman" w:cs="Times New Roman"/>
          <w:bCs/>
        </w:rPr>
        <w:t xml:space="preserve">new </w:t>
      </w:r>
      <w:r w:rsidR="000D0BC0" w:rsidRPr="00A6363B">
        <w:rPr>
          <w:rFonts w:ascii="Times New Roman" w:hAnsi="Times New Roman" w:cs="Times New Roman"/>
          <w:bCs/>
        </w:rPr>
        <w:t xml:space="preserve">grants have been introduced: </w:t>
      </w:r>
    </w:p>
    <w:p w:rsidR="00676536" w:rsidRPr="00A6363B" w:rsidRDefault="00676536" w:rsidP="00EE48C3">
      <w:pPr>
        <w:pStyle w:val="Default"/>
        <w:spacing w:line="360" w:lineRule="auto"/>
        <w:jc w:val="both"/>
        <w:rPr>
          <w:rFonts w:ascii="Times New Roman" w:hAnsi="Times New Roman" w:cs="Times New Roman"/>
        </w:rPr>
      </w:pPr>
    </w:p>
    <w:p w:rsidR="000D0BC0" w:rsidRPr="00A6363B" w:rsidRDefault="002572BE" w:rsidP="00EE48C3">
      <w:pPr>
        <w:pStyle w:val="Default"/>
        <w:spacing w:line="360" w:lineRule="auto"/>
        <w:jc w:val="both"/>
        <w:rPr>
          <w:rFonts w:ascii="Times New Roman" w:hAnsi="Times New Roman" w:cs="Times New Roman"/>
        </w:rPr>
      </w:pPr>
      <w:r w:rsidRPr="00A6363B">
        <w:rPr>
          <w:rFonts w:ascii="Times New Roman" w:hAnsi="Times New Roman" w:cs="Times New Roman"/>
        </w:rPr>
        <w:t xml:space="preserve">(a) </w:t>
      </w:r>
      <w:r w:rsidR="000D0BC0" w:rsidRPr="00A6363B">
        <w:rPr>
          <w:rFonts w:ascii="Times New Roman" w:hAnsi="Times New Roman" w:cs="Times New Roman"/>
        </w:rPr>
        <w:t xml:space="preserve">The </w:t>
      </w:r>
      <w:r w:rsidR="000D0BC0" w:rsidRPr="00A6363B">
        <w:rPr>
          <w:rFonts w:ascii="Times New Roman" w:hAnsi="Times New Roman" w:cs="Times New Roman"/>
          <w:iCs/>
        </w:rPr>
        <w:t>Lea</w:t>
      </w:r>
      <w:r w:rsidR="00303B49" w:rsidRPr="00A6363B">
        <w:rPr>
          <w:rFonts w:ascii="Times New Roman" w:hAnsi="Times New Roman" w:cs="Times New Roman"/>
          <w:iCs/>
        </w:rPr>
        <w:t>r</w:t>
      </w:r>
      <w:r w:rsidR="000D0BC0" w:rsidRPr="00A6363B">
        <w:rPr>
          <w:rFonts w:ascii="Times New Roman" w:hAnsi="Times New Roman" w:cs="Times New Roman"/>
          <w:iCs/>
        </w:rPr>
        <w:t xml:space="preserve">ners with Profound Intellectual Disabilities Grant </w:t>
      </w:r>
      <w:r w:rsidR="000D0BC0" w:rsidRPr="00A6363B">
        <w:rPr>
          <w:rFonts w:ascii="Times New Roman" w:hAnsi="Times New Roman" w:cs="Times New Roman"/>
        </w:rPr>
        <w:t xml:space="preserve">is introduced in 2017/18 with the aim of expanding access to education for learners with intellectual disabilities. The Grant is allocated a total of R478.3 million over the 2017 MTEF of which R72.0 million is allocated in 2017/18, R185.5 million in 2018/19 and R220.8 million in 2019/20; </w:t>
      </w:r>
    </w:p>
    <w:p w:rsidR="000D0BC0" w:rsidRPr="00A6363B" w:rsidRDefault="000D0BC0" w:rsidP="00EE48C3">
      <w:pPr>
        <w:pStyle w:val="Default"/>
        <w:spacing w:line="360" w:lineRule="auto"/>
        <w:jc w:val="both"/>
        <w:rPr>
          <w:rFonts w:ascii="Times New Roman" w:hAnsi="Times New Roman" w:cs="Times New Roman"/>
        </w:rPr>
      </w:pPr>
    </w:p>
    <w:p w:rsidR="000D0BC0" w:rsidRPr="00A6363B" w:rsidRDefault="002572BE" w:rsidP="00EE48C3">
      <w:pPr>
        <w:pStyle w:val="Default"/>
        <w:spacing w:line="360" w:lineRule="auto"/>
        <w:jc w:val="both"/>
        <w:rPr>
          <w:rFonts w:ascii="Times New Roman" w:hAnsi="Times New Roman" w:cs="Times New Roman"/>
        </w:rPr>
      </w:pPr>
      <w:r w:rsidRPr="00A6363B">
        <w:rPr>
          <w:rFonts w:ascii="Times New Roman" w:hAnsi="Times New Roman" w:cs="Times New Roman"/>
        </w:rPr>
        <w:t xml:space="preserve">(b) </w:t>
      </w:r>
      <w:r w:rsidR="000D0BC0" w:rsidRPr="00A6363B">
        <w:rPr>
          <w:rFonts w:ascii="Times New Roman" w:hAnsi="Times New Roman" w:cs="Times New Roman"/>
        </w:rPr>
        <w:t xml:space="preserve">The </w:t>
      </w:r>
      <w:r w:rsidR="000D0BC0" w:rsidRPr="00A6363B">
        <w:rPr>
          <w:rFonts w:ascii="Times New Roman" w:hAnsi="Times New Roman" w:cs="Times New Roman"/>
          <w:iCs/>
        </w:rPr>
        <w:t xml:space="preserve">Early Childhood Development Grant, </w:t>
      </w:r>
      <w:r w:rsidR="000D0BC0" w:rsidRPr="00A6363B">
        <w:rPr>
          <w:rFonts w:ascii="Times New Roman" w:hAnsi="Times New Roman" w:cs="Times New Roman"/>
        </w:rPr>
        <w:t xml:space="preserve">which was introduced </w:t>
      </w:r>
      <w:r w:rsidR="00676536" w:rsidRPr="00A6363B">
        <w:rPr>
          <w:rFonts w:ascii="Times New Roman" w:hAnsi="Times New Roman" w:cs="Times New Roman"/>
        </w:rPr>
        <w:t>the previous</w:t>
      </w:r>
      <w:r w:rsidR="000D0BC0" w:rsidRPr="00A6363B">
        <w:rPr>
          <w:rFonts w:ascii="Times New Roman" w:hAnsi="Times New Roman" w:cs="Times New Roman"/>
        </w:rPr>
        <w:t xml:space="preserve"> year, comes into operation this year with an allocation of R1.3 billion over the 2017 MTEF; and </w:t>
      </w:r>
    </w:p>
    <w:p w:rsidR="000D0BC0" w:rsidRPr="00A6363B" w:rsidRDefault="000D0BC0" w:rsidP="00EE48C3">
      <w:pPr>
        <w:pStyle w:val="Default"/>
        <w:spacing w:line="360" w:lineRule="auto"/>
        <w:jc w:val="both"/>
        <w:rPr>
          <w:rFonts w:ascii="Times New Roman" w:hAnsi="Times New Roman" w:cs="Times New Roman"/>
        </w:rPr>
      </w:pPr>
    </w:p>
    <w:p w:rsidR="00BE5B55" w:rsidRPr="00A6363B" w:rsidRDefault="002572BE" w:rsidP="00EE48C3">
      <w:pPr>
        <w:pStyle w:val="Default"/>
        <w:spacing w:line="360" w:lineRule="auto"/>
        <w:jc w:val="both"/>
        <w:rPr>
          <w:rFonts w:ascii="Times New Roman" w:hAnsi="Times New Roman" w:cs="Times New Roman"/>
        </w:rPr>
      </w:pPr>
      <w:r w:rsidRPr="00A6363B">
        <w:rPr>
          <w:rFonts w:ascii="Times New Roman" w:hAnsi="Times New Roman" w:cs="Times New Roman"/>
        </w:rPr>
        <w:t xml:space="preserve">(c) </w:t>
      </w:r>
      <w:r w:rsidR="00676536" w:rsidRPr="00A6363B">
        <w:rPr>
          <w:rFonts w:ascii="Times New Roman" w:hAnsi="Times New Roman" w:cs="Times New Roman"/>
        </w:rPr>
        <w:t xml:space="preserve">The </w:t>
      </w:r>
      <w:r w:rsidR="000D0BC0" w:rsidRPr="00A6363B">
        <w:rPr>
          <w:rFonts w:ascii="Times New Roman" w:hAnsi="Times New Roman" w:cs="Times New Roman"/>
          <w:iCs/>
        </w:rPr>
        <w:t xml:space="preserve">Social Worker Employment Grant </w:t>
      </w:r>
      <w:r w:rsidR="000D0BC0" w:rsidRPr="00A6363B">
        <w:rPr>
          <w:rFonts w:ascii="Times New Roman" w:hAnsi="Times New Roman" w:cs="Times New Roman"/>
        </w:rPr>
        <w:t xml:space="preserve">aims to reduce the number of unemployed social work graduates, while the need for social workers across the country continues to increase. This </w:t>
      </w:r>
      <w:r w:rsidR="00676536" w:rsidRPr="00A6363B">
        <w:rPr>
          <w:rFonts w:ascii="Times New Roman" w:hAnsi="Times New Roman" w:cs="Times New Roman"/>
        </w:rPr>
        <w:t>G</w:t>
      </w:r>
      <w:r w:rsidR="000D0BC0" w:rsidRPr="00A6363B">
        <w:rPr>
          <w:rFonts w:ascii="Times New Roman" w:hAnsi="Times New Roman" w:cs="Times New Roman"/>
        </w:rPr>
        <w:t>rant receives a total of R591.3 million over the 2017 MTEF. The funds have been reprioritised from the national Department of Social Development, wh</w:t>
      </w:r>
      <w:r w:rsidR="00676536" w:rsidRPr="00A6363B">
        <w:rPr>
          <w:rFonts w:ascii="Times New Roman" w:hAnsi="Times New Roman" w:cs="Times New Roman"/>
        </w:rPr>
        <w:t>o</w:t>
      </w:r>
      <w:r w:rsidR="000D0BC0" w:rsidRPr="00A6363B">
        <w:rPr>
          <w:rFonts w:ascii="Times New Roman" w:hAnsi="Times New Roman" w:cs="Times New Roman"/>
        </w:rPr>
        <w:t xml:space="preserve"> previously used the funds to subsidise the education of social workers.</w:t>
      </w:r>
    </w:p>
    <w:p w:rsidR="00BE5B55" w:rsidRPr="00A6363B" w:rsidRDefault="00BE5B55" w:rsidP="00EE48C3">
      <w:pPr>
        <w:pStyle w:val="Default"/>
        <w:spacing w:line="360" w:lineRule="auto"/>
        <w:jc w:val="both"/>
        <w:rPr>
          <w:rFonts w:ascii="Times New Roman" w:hAnsi="Times New Roman" w:cs="Times New Roman"/>
        </w:rPr>
      </w:pPr>
    </w:p>
    <w:p w:rsidR="0000004E" w:rsidRPr="00A6363B" w:rsidRDefault="002572BE" w:rsidP="00EE48C3">
      <w:pPr>
        <w:pStyle w:val="Default"/>
        <w:spacing w:line="360" w:lineRule="auto"/>
        <w:jc w:val="both"/>
        <w:rPr>
          <w:rFonts w:ascii="Times New Roman" w:hAnsi="Times New Roman" w:cs="Times New Roman"/>
          <w:b/>
          <w:bCs/>
        </w:rPr>
      </w:pPr>
      <w:r w:rsidRPr="00A6363B">
        <w:rPr>
          <w:rFonts w:ascii="Times New Roman" w:hAnsi="Times New Roman" w:cs="Times New Roman"/>
          <w:b/>
          <w:bCs/>
        </w:rPr>
        <w:t>3.2.2</w:t>
      </w:r>
      <w:r w:rsidR="000D0BC0" w:rsidRPr="00A6363B">
        <w:rPr>
          <w:rFonts w:ascii="Times New Roman" w:hAnsi="Times New Roman" w:cs="Times New Roman"/>
          <w:b/>
          <w:bCs/>
        </w:rPr>
        <w:t xml:space="preserve"> Ring-fencing of grant funds</w:t>
      </w:r>
    </w:p>
    <w:p w:rsidR="00BE5B55" w:rsidRPr="00A6363B" w:rsidRDefault="0000004E" w:rsidP="00EE48C3">
      <w:pPr>
        <w:pStyle w:val="Default"/>
        <w:spacing w:line="360" w:lineRule="auto"/>
        <w:jc w:val="both"/>
        <w:rPr>
          <w:rFonts w:ascii="Times New Roman" w:hAnsi="Times New Roman" w:cs="Times New Roman"/>
        </w:rPr>
      </w:pPr>
      <w:r w:rsidRPr="00A6363B">
        <w:rPr>
          <w:rFonts w:ascii="Times New Roman" w:hAnsi="Times New Roman" w:cs="Times New Roman"/>
          <w:bCs/>
        </w:rPr>
        <w:t>F</w:t>
      </w:r>
      <w:r w:rsidR="000D0BC0" w:rsidRPr="00A6363B">
        <w:rPr>
          <w:rFonts w:ascii="Times New Roman" w:hAnsi="Times New Roman" w:cs="Times New Roman"/>
        </w:rPr>
        <w:t xml:space="preserve">unds have been prioritised for the repair of infrastructure </w:t>
      </w:r>
      <w:r w:rsidR="00A82508" w:rsidRPr="00A6363B">
        <w:rPr>
          <w:rFonts w:ascii="Times New Roman" w:hAnsi="Times New Roman" w:cs="Times New Roman"/>
        </w:rPr>
        <w:t>damaged</w:t>
      </w:r>
      <w:r w:rsidR="000D0BC0" w:rsidRPr="00A6363B">
        <w:rPr>
          <w:rFonts w:ascii="Times New Roman" w:hAnsi="Times New Roman" w:cs="Times New Roman"/>
        </w:rPr>
        <w:t xml:space="preserve"> by floods and natural disasters and for the upgrad</w:t>
      </w:r>
      <w:r w:rsidRPr="00A6363B">
        <w:rPr>
          <w:rFonts w:ascii="Times New Roman" w:hAnsi="Times New Roman" w:cs="Times New Roman"/>
        </w:rPr>
        <w:t>ing</w:t>
      </w:r>
      <w:r w:rsidR="000D0BC0" w:rsidRPr="00A6363B">
        <w:rPr>
          <w:rFonts w:ascii="Times New Roman" w:hAnsi="Times New Roman" w:cs="Times New Roman"/>
        </w:rPr>
        <w:t xml:space="preserve"> of human settlements in mining towns with regard to the following grants: </w:t>
      </w:r>
    </w:p>
    <w:p w:rsidR="002572BE" w:rsidRPr="00A6363B" w:rsidRDefault="002572BE" w:rsidP="00EE48C3">
      <w:pPr>
        <w:pStyle w:val="Default"/>
        <w:spacing w:line="360" w:lineRule="auto"/>
        <w:jc w:val="both"/>
        <w:rPr>
          <w:rFonts w:ascii="Times New Roman" w:hAnsi="Times New Roman" w:cs="Times New Roman"/>
        </w:rPr>
      </w:pPr>
    </w:p>
    <w:p w:rsidR="002572BE" w:rsidRPr="00A6363B" w:rsidRDefault="000D0BC0" w:rsidP="00EE48C3">
      <w:pPr>
        <w:pStyle w:val="Default"/>
        <w:numPr>
          <w:ilvl w:val="0"/>
          <w:numId w:val="14"/>
        </w:numPr>
        <w:spacing w:line="360" w:lineRule="auto"/>
        <w:ind w:left="426" w:hanging="426"/>
        <w:jc w:val="both"/>
        <w:rPr>
          <w:rFonts w:ascii="Times New Roman" w:hAnsi="Times New Roman" w:cs="Times New Roman"/>
        </w:rPr>
      </w:pPr>
      <w:r w:rsidRPr="00A6363B">
        <w:rPr>
          <w:rFonts w:ascii="Times New Roman" w:hAnsi="Times New Roman" w:cs="Times New Roman"/>
        </w:rPr>
        <w:t xml:space="preserve">R131.8 million of the 2017/18 allocation for the </w:t>
      </w:r>
      <w:r w:rsidRPr="00A6363B">
        <w:rPr>
          <w:rFonts w:ascii="Times New Roman" w:hAnsi="Times New Roman" w:cs="Times New Roman"/>
          <w:iCs/>
        </w:rPr>
        <w:t xml:space="preserve">Comprehensive Agricultural Support Programme Grant </w:t>
      </w:r>
      <w:r w:rsidRPr="00A6363B">
        <w:rPr>
          <w:rFonts w:ascii="Times New Roman" w:hAnsi="Times New Roman" w:cs="Times New Roman"/>
        </w:rPr>
        <w:t xml:space="preserve">has been ring-fenced for the repair of damaged infrastructure caused by floods; </w:t>
      </w:r>
    </w:p>
    <w:p w:rsidR="002572BE" w:rsidRPr="00A6363B" w:rsidRDefault="000D0BC0" w:rsidP="00EE48C3">
      <w:pPr>
        <w:pStyle w:val="Default"/>
        <w:numPr>
          <w:ilvl w:val="0"/>
          <w:numId w:val="14"/>
        </w:numPr>
        <w:spacing w:line="360" w:lineRule="auto"/>
        <w:ind w:left="426" w:hanging="426"/>
        <w:jc w:val="both"/>
        <w:rPr>
          <w:rFonts w:ascii="Times New Roman" w:hAnsi="Times New Roman" w:cs="Times New Roman"/>
        </w:rPr>
      </w:pPr>
      <w:r w:rsidRPr="00A6363B">
        <w:rPr>
          <w:rFonts w:ascii="Times New Roman" w:hAnsi="Times New Roman" w:cs="Times New Roman"/>
        </w:rPr>
        <w:t xml:space="preserve">R3.6 billion is ring-fenced over the 2017 MTEF under the </w:t>
      </w:r>
      <w:r w:rsidRPr="00A6363B">
        <w:rPr>
          <w:rFonts w:ascii="Times New Roman" w:hAnsi="Times New Roman" w:cs="Times New Roman"/>
          <w:iCs/>
        </w:rPr>
        <w:t>Human Settlements Development Grant</w:t>
      </w:r>
      <w:r w:rsidRPr="00A6363B">
        <w:rPr>
          <w:rFonts w:ascii="Times New Roman" w:hAnsi="Times New Roman" w:cs="Times New Roman"/>
          <w:i/>
          <w:iCs/>
        </w:rPr>
        <w:t xml:space="preserve"> </w:t>
      </w:r>
      <w:r w:rsidRPr="00A6363B">
        <w:rPr>
          <w:rFonts w:ascii="Times New Roman" w:hAnsi="Times New Roman" w:cs="Times New Roman"/>
        </w:rPr>
        <w:t xml:space="preserve">for the upgrade of human settlements in mining towns in six provinces. These allocations </w:t>
      </w:r>
      <w:r w:rsidR="00A82508" w:rsidRPr="00A6363B">
        <w:rPr>
          <w:rFonts w:ascii="Times New Roman" w:hAnsi="Times New Roman" w:cs="Times New Roman"/>
        </w:rPr>
        <w:t>are</w:t>
      </w:r>
      <w:r w:rsidRPr="00A6363B">
        <w:rPr>
          <w:rFonts w:ascii="Times New Roman" w:hAnsi="Times New Roman" w:cs="Times New Roman"/>
        </w:rPr>
        <w:t xml:space="preserve"> in response to significant informal settlement challenges in areas where a high proportion of economic activity is centred around the natural resources sector; </w:t>
      </w:r>
    </w:p>
    <w:p w:rsidR="002572BE" w:rsidRPr="00A6363B" w:rsidRDefault="000D0BC0" w:rsidP="00EE48C3">
      <w:pPr>
        <w:pStyle w:val="Default"/>
        <w:numPr>
          <w:ilvl w:val="0"/>
          <w:numId w:val="14"/>
        </w:numPr>
        <w:spacing w:line="360" w:lineRule="auto"/>
        <w:ind w:left="426" w:hanging="426"/>
        <w:jc w:val="both"/>
        <w:rPr>
          <w:rFonts w:ascii="Times New Roman" w:hAnsi="Times New Roman" w:cs="Times New Roman"/>
        </w:rPr>
      </w:pPr>
      <w:r w:rsidRPr="00A6363B">
        <w:rPr>
          <w:rFonts w:ascii="Times New Roman" w:hAnsi="Times New Roman" w:cs="Times New Roman"/>
        </w:rPr>
        <w:t xml:space="preserve">A total of R134.3 million has been ring-fenced over the 2017 MTEF under the </w:t>
      </w:r>
      <w:r w:rsidRPr="00A6363B">
        <w:rPr>
          <w:rFonts w:ascii="Times New Roman" w:hAnsi="Times New Roman" w:cs="Times New Roman"/>
          <w:iCs/>
        </w:rPr>
        <w:t>Human Settlements Development Grant</w:t>
      </w:r>
      <w:r w:rsidRPr="00A6363B">
        <w:rPr>
          <w:rFonts w:ascii="Times New Roman" w:hAnsi="Times New Roman" w:cs="Times New Roman"/>
          <w:i/>
          <w:iCs/>
        </w:rPr>
        <w:t xml:space="preserve"> </w:t>
      </w:r>
      <w:r w:rsidRPr="00A6363B">
        <w:rPr>
          <w:rFonts w:ascii="Times New Roman" w:hAnsi="Times New Roman" w:cs="Times New Roman"/>
        </w:rPr>
        <w:t xml:space="preserve">for the repair of infrastructure </w:t>
      </w:r>
      <w:r w:rsidR="00A82508" w:rsidRPr="00A6363B">
        <w:rPr>
          <w:rFonts w:ascii="Times New Roman" w:hAnsi="Times New Roman" w:cs="Times New Roman"/>
        </w:rPr>
        <w:t>damaged</w:t>
      </w:r>
      <w:r w:rsidR="00A82508" w:rsidRPr="00A6363B" w:rsidDel="00A82508">
        <w:rPr>
          <w:rFonts w:ascii="Times New Roman" w:hAnsi="Times New Roman" w:cs="Times New Roman"/>
        </w:rPr>
        <w:t xml:space="preserve"> </w:t>
      </w:r>
      <w:r w:rsidRPr="00A6363B">
        <w:rPr>
          <w:rFonts w:ascii="Times New Roman" w:hAnsi="Times New Roman" w:cs="Times New Roman"/>
        </w:rPr>
        <w:t xml:space="preserve"> by natural disasters; and </w:t>
      </w:r>
    </w:p>
    <w:p w:rsidR="00BE5B55" w:rsidRPr="00A6363B" w:rsidRDefault="000D0BC0" w:rsidP="00EE48C3">
      <w:pPr>
        <w:pStyle w:val="Default"/>
        <w:numPr>
          <w:ilvl w:val="0"/>
          <w:numId w:val="14"/>
        </w:numPr>
        <w:spacing w:line="360" w:lineRule="auto"/>
        <w:ind w:left="426" w:hanging="426"/>
        <w:jc w:val="both"/>
        <w:rPr>
          <w:rFonts w:ascii="Times New Roman" w:hAnsi="Times New Roman" w:cs="Times New Roman"/>
        </w:rPr>
      </w:pPr>
      <w:r w:rsidRPr="00A6363B">
        <w:rPr>
          <w:rFonts w:ascii="Times New Roman" w:hAnsi="Times New Roman" w:cs="Times New Roman"/>
        </w:rPr>
        <w:lastRenderedPageBreak/>
        <w:t xml:space="preserve">A total of R480 million has been ring-fenced over the medium term under the </w:t>
      </w:r>
      <w:r w:rsidRPr="00A6363B">
        <w:rPr>
          <w:rFonts w:ascii="Times New Roman" w:hAnsi="Times New Roman" w:cs="Times New Roman"/>
          <w:iCs/>
        </w:rPr>
        <w:t>Provincial Roads Maintenance Grant</w:t>
      </w:r>
      <w:r w:rsidRPr="00A6363B">
        <w:rPr>
          <w:rFonts w:ascii="Times New Roman" w:hAnsi="Times New Roman" w:cs="Times New Roman"/>
          <w:i/>
          <w:iCs/>
        </w:rPr>
        <w:t xml:space="preserve"> </w:t>
      </w:r>
      <w:r w:rsidRPr="00A6363B">
        <w:rPr>
          <w:rFonts w:ascii="Times New Roman" w:hAnsi="Times New Roman" w:cs="Times New Roman"/>
        </w:rPr>
        <w:t xml:space="preserve">for the repair of </w:t>
      </w:r>
      <w:r w:rsidR="00BE5B55" w:rsidRPr="00A6363B">
        <w:rPr>
          <w:rFonts w:ascii="Times New Roman" w:hAnsi="Times New Roman" w:cs="Times New Roman"/>
        </w:rPr>
        <w:t xml:space="preserve">infrastructure </w:t>
      </w:r>
      <w:r w:rsidR="00A82508" w:rsidRPr="00A6363B">
        <w:rPr>
          <w:rFonts w:ascii="Times New Roman" w:hAnsi="Times New Roman" w:cs="Times New Roman"/>
        </w:rPr>
        <w:t>damaged</w:t>
      </w:r>
      <w:r w:rsidR="00BE5B55" w:rsidRPr="00A6363B">
        <w:rPr>
          <w:rFonts w:ascii="Times New Roman" w:hAnsi="Times New Roman" w:cs="Times New Roman"/>
        </w:rPr>
        <w:t xml:space="preserve"> by floods.</w:t>
      </w:r>
    </w:p>
    <w:p w:rsidR="00BE5B55" w:rsidRPr="00A6363B" w:rsidRDefault="00BE5B55" w:rsidP="00EE48C3">
      <w:pPr>
        <w:pStyle w:val="Default"/>
        <w:spacing w:line="360" w:lineRule="auto"/>
        <w:jc w:val="both"/>
        <w:rPr>
          <w:rFonts w:ascii="Times New Roman" w:hAnsi="Times New Roman" w:cs="Times New Roman"/>
        </w:rPr>
      </w:pPr>
    </w:p>
    <w:p w:rsidR="00BC1477" w:rsidRPr="00A6363B" w:rsidRDefault="002572BE" w:rsidP="00EE48C3">
      <w:pPr>
        <w:pStyle w:val="Default"/>
        <w:spacing w:line="360" w:lineRule="auto"/>
        <w:jc w:val="both"/>
        <w:rPr>
          <w:rFonts w:ascii="Times New Roman" w:hAnsi="Times New Roman" w:cs="Times New Roman"/>
          <w:b/>
          <w:bCs/>
        </w:rPr>
      </w:pPr>
      <w:r w:rsidRPr="00A6363B">
        <w:rPr>
          <w:rFonts w:ascii="Times New Roman" w:hAnsi="Times New Roman" w:cs="Times New Roman"/>
          <w:b/>
          <w:bCs/>
        </w:rPr>
        <w:t xml:space="preserve">3.2.3 </w:t>
      </w:r>
      <w:r w:rsidR="000D0BC0" w:rsidRPr="00A6363B">
        <w:rPr>
          <w:rFonts w:ascii="Times New Roman" w:hAnsi="Times New Roman" w:cs="Times New Roman"/>
          <w:b/>
          <w:bCs/>
        </w:rPr>
        <w:t>Termination of grant</w:t>
      </w:r>
    </w:p>
    <w:p w:rsidR="00BE5B55" w:rsidRPr="00A6363B" w:rsidRDefault="00BC1477" w:rsidP="00EE48C3">
      <w:pPr>
        <w:pStyle w:val="Default"/>
        <w:spacing w:line="360" w:lineRule="auto"/>
        <w:jc w:val="both"/>
        <w:rPr>
          <w:rFonts w:ascii="Times New Roman" w:hAnsi="Times New Roman" w:cs="Times New Roman"/>
        </w:rPr>
      </w:pPr>
      <w:r w:rsidRPr="00A6363B">
        <w:rPr>
          <w:rFonts w:ascii="Times New Roman" w:hAnsi="Times New Roman" w:cs="Times New Roman"/>
        </w:rPr>
        <w:t>T</w:t>
      </w:r>
      <w:r w:rsidR="000D0BC0" w:rsidRPr="00A6363B">
        <w:rPr>
          <w:rFonts w:ascii="Times New Roman" w:hAnsi="Times New Roman" w:cs="Times New Roman"/>
        </w:rPr>
        <w:t xml:space="preserve">he </w:t>
      </w:r>
      <w:r w:rsidR="000D0BC0" w:rsidRPr="00A6363B">
        <w:rPr>
          <w:rFonts w:ascii="Times New Roman" w:hAnsi="Times New Roman" w:cs="Times New Roman"/>
          <w:iCs/>
        </w:rPr>
        <w:t xml:space="preserve">National Health Insurance </w:t>
      </w:r>
      <w:r w:rsidR="000B0F1C" w:rsidRPr="00A6363B">
        <w:rPr>
          <w:rFonts w:ascii="Times New Roman" w:hAnsi="Times New Roman" w:cs="Times New Roman"/>
          <w:iCs/>
        </w:rPr>
        <w:t xml:space="preserve">(NHI) </w:t>
      </w:r>
      <w:r w:rsidR="000D0BC0" w:rsidRPr="00A6363B">
        <w:rPr>
          <w:rFonts w:ascii="Times New Roman" w:hAnsi="Times New Roman" w:cs="Times New Roman"/>
          <w:iCs/>
        </w:rPr>
        <w:t xml:space="preserve">Grant </w:t>
      </w:r>
      <w:r w:rsidR="000D0BC0" w:rsidRPr="00A6363B">
        <w:rPr>
          <w:rFonts w:ascii="Times New Roman" w:hAnsi="Times New Roman" w:cs="Times New Roman"/>
        </w:rPr>
        <w:t xml:space="preserve">has been terminated </w:t>
      </w:r>
      <w:r w:rsidR="000B0F1C" w:rsidRPr="00A6363B">
        <w:rPr>
          <w:rFonts w:ascii="Times New Roman" w:hAnsi="Times New Roman" w:cs="Times New Roman"/>
        </w:rPr>
        <w:t xml:space="preserve">as the initial phase of the NHI that it was funding has been completed. </w:t>
      </w:r>
      <w:r w:rsidR="000D0BC0" w:rsidRPr="00A6363B">
        <w:rPr>
          <w:rFonts w:ascii="Times New Roman" w:hAnsi="Times New Roman" w:cs="Times New Roman"/>
        </w:rPr>
        <w:t xml:space="preserve">. The national Department of Health will in future fund all preparatory work for </w:t>
      </w:r>
      <w:r w:rsidRPr="00A6363B">
        <w:rPr>
          <w:rFonts w:ascii="Times New Roman" w:hAnsi="Times New Roman" w:cs="Times New Roman"/>
        </w:rPr>
        <w:t xml:space="preserve">the </w:t>
      </w:r>
      <w:r w:rsidR="000D0BC0" w:rsidRPr="00A6363B">
        <w:rPr>
          <w:rFonts w:ascii="Times New Roman" w:hAnsi="Times New Roman" w:cs="Times New Roman"/>
        </w:rPr>
        <w:t xml:space="preserve">NHI under the </w:t>
      </w:r>
      <w:r w:rsidR="000D0BC0" w:rsidRPr="00A6363B">
        <w:rPr>
          <w:rFonts w:ascii="Times New Roman" w:hAnsi="Times New Roman" w:cs="Times New Roman"/>
          <w:iCs/>
        </w:rPr>
        <w:t xml:space="preserve">National Health Insurance </w:t>
      </w:r>
      <w:r w:rsidR="000D0BC0" w:rsidRPr="00A6363B">
        <w:rPr>
          <w:rFonts w:ascii="Times New Roman" w:hAnsi="Times New Roman" w:cs="Times New Roman"/>
          <w:b/>
          <w:bCs/>
          <w:iCs/>
        </w:rPr>
        <w:t xml:space="preserve">Indirect </w:t>
      </w:r>
      <w:r w:rsidR="000D0BC0" w:rsidRPr="00A6363B">
        <w:rPr>
          <w:rFonts w:ascii="Times New Roman" w:hAnsi="Times New Roman" w:cs="Times New Roman"/>
          <w:iCs/>
        </w:rPr>
        <w:t>Grant</w:t>
      </w:r>
      <w:r w:rsidR="000D0BC0" w:rsidRPr="00A6363B">
        <w:rPr>
          <w:rFonts w:ascii="Times New Roman" w:hAnsi="Times New Roman" w:cs="Times New Roman"/>
          <w:i/>
          <w:iCs/>
        </w:rPr>
        <w:t>.</w:t>
      </w:r>
      <w:r w:rsidR="000B0F1C" w:rsidRPr="00A6363B">
        <w:rPr>
          <w:rFonts w:ascii="Times New Roman" w:hAnsi="Times New Roman" w:cs="Times New Roman"/>
          <w:iCs/>
        </w:rPr>
        <w:t xml:space="preserve"> This will eliminate duplications between the direct and indirect grants. </w:t>
      </w:r>
    </w:p>
    <w:p w:rsidR="00BE5B55" w:rsidRPr="00A6363B" w:rsidRDefault="00BE5B55" w:rsidP="00EE48C3">
      <w:pPr>
        <w:pStyle w:val="Default"/>
        <w:spacing w:line="360" w:lineRule="auto"/>
        <w:jc w:val="both"/>
        <w:rPr>
          <w:rFonts w:ascii="Times New Roman" w:hAnsi="Times New Roman" w:cs="Times New Roman"/>
        </w:rPr>
      </w:pPr>
    </w:p>
    <w:p w:rsidR="00BC1477" w:rsidRPr="00A6363B" w:rsidRDefault="002572BE" w:rsidP="00EE48C3">
      <w:pPr>
        <w:pStyle w:val="Default"/>
        <w:spacing w:line="360" w:lineRule="auto"/>
        <w:jc w:val="both"/>
        <w:rPr>
          <w:rFonts w:ascii="Times New Roman" w:hAnsi="Times New Roman" w:cs="Times New Roman"/>
          <w:b/>
          <w:bCs/>
        </w:rPr>
      </w:pPr>
      <w:r w:rsidRPr="00A6363B">
        <w:rPr>
          <w:rFonts w:ascii="Times New Roman" w:hAnsi="Times New Roman" w:cs="Times New Roman"/>
          <w:b/>
          <w:bCs/>
        </w:rPr>
        <w:t xml:space="preserve">3.2.4 </w:t>
      </w:r>
      <w:r w:rsidR="000D0BC0" w:rsidRPr="00A6363B">
        <w:rPr>
          <w:rFonts w:ascii="Times New Roman" w:hAnsi="Times New Roman" w:cs="Times New Roman"/>
          <w:b/>
          <w:bCs/>
        </w:rPr>
        <w:t>Reconfiguration of grant</w:t>
      </w:r>
    </w:p>
    <w:p w:rsidR="00BE5B55" w:rsidRPr="00A6363B" w:rsidRDefault="00BC1477" w:rsidP="00EE48C3">
      <w:pPr>
        <w:pStyle w:val="Default"/>
        <w:spacing w:line="360" w:lineRule="auto"/>
        <w:jc w:val="both"/>
        <w:rPr>
          <w:rFonts w:ascii="Times New Roman" w:hAnsi="Times New Roman" w:cs="Times New Roman"/>
        </w:rPr>
      </w:pPr>
      <w:r w:rsidRPr="00A6363B">
        <w:rPr>
          <w:rFonts w:ascii="Times New Roman" w:hAnsi="Times New Roman" w:cs="Times New Roman"/>
          <w:bCs/>
        </w:rPr>
        <w:t>T</w:t>
      </w:r>
      <w:r w:rsidR="000D0BC0" w:rsidRPr="00A6363B">
        <w:rPr>
          <w:rFonts w:ascii="Times New Roman" w:hAnsi="Times New Roman" w:cs="Times New Roman"/>
        </w:rPr>
        <w:t xml:space="preserve">he </w:t>
      </w:r>
      <w:r w:rsidR="000D0BC0" w:rsidRPr="00A6363B">
        <w:rPr>
          <w:rFonts w:ascii="Times New Roman" w:hAnsi="Times New Roman" w:cs="Times New Roman"/>
          <w:iCs/>
        </w:rPr>
        <w:t>School Infrastructure Backlog</w:t>
      </w:r>
      <w:r w:rsidRPr="00A6363B">
        <w:rPr>
          <w:rFonts w:ascii="Times New Roman" w:hAnsi="Times New Roman" w:cs="Times New Roman"/>
          <w:iCs/>
        </w:rPr>
        <w:t>s</w:t>
      </w:r>
      <w:r w:rsidR="000D0BC0" w:rsidRPr="00A6363B">
        <w:rPr>
          <w:rFonts w:ascii="Times New Roman" w:hAnsi="Times New Roman" w:cs="Times New Roman"/>
          <w:iCs/>
        </w:rPr>
        <w:t xml:space="preserve"> Grant,</w:t>
      </w:r>
      <w:r w:rsidR="000D0BC0" w:rsidRPr="00A6363B">
        <w:rPr>
          <w:rFonts w:ascii="Times New Roman" w:hAnsi="Times New Roman" w:cs="Times New Roman"/>
          <w:i/>
          <w:iCs/>
        </w:rPr>
        <w:t xml:space="preserve"> </w:t>
      </w:r>
      <w:r w:rsidR="000D0BC0" w:rsidRPr="00A6363B">
        <w:rPr>
          <w:rFonts w:ascii="Times New Roman" w:hAnsi="Times New Roman" w:cs="Times New Roman"/>
        </w:rPr>
        <w:t xml:space="preserve">which is an indirect grant transfer was to merge with the </w:t>
      </w:r>
      <w:r w:rsidR="000D0BC0" w:rsidRPr="00A6363B">
        <w:rPr>
          <w:rFonts w:ascii="Times New Roman" w:hAnsi="Times New Roman" w:cs="Times New Roman"/>
          <w:iCs/>
        </w:rPr>
        <w:t xml:space="preserve">Education Infrastructure Grant </w:t>
      </w:r>
      <w:r w:rsidR="000D0BC0" w:rsidRPr="00A6363B">
        <w:rPr>
          <w:rFonts w:ascii="Times New Roman" w:hAnsi="Times New Roman" w:cs="Times New Roman"/>
        </w:rPr>
        <w:t xml:space="preserve">in 2017/18, but the merge has been postponed for another year to allow time for projects to be completed and for a thorough assessment of the grant transition process to be concluded. </w:t>
      </w:r>
    </w:p>
    <w:p w:rsidR="00BE5B55" w:rsidRPr="00A6363B" w:rsidRDefault="00BE5B55" w:rsidP="00EE48C3">
      <w:pPr>
        <w:pStyle w:val="Default"/>
        <w:spacing w:line="360" w:lineRule="auto"/>
        <w:jc w:val="both"/>
        <w:rPr>
          <w:rFonts w:ascii="Times New Roman" w:hAnsi="Times New Roman" w:cs="Times New Roman"/>
        </w:rPr>
      </w:pPr>
    </w:p>
    <w:p w:rsidR="00BC1477" w:rsidRPr="00A6363B" w:rsidRDefault="002572BE" w:rsidP="00EE48C3">
      <w:pPr>
        <w:pStyle w:val="Default"/>
        <w:spacing w:line="360" w:lineRule="auto"/>
        <w:jc w:val="both"/>
        <w:rPr>
          <w:rFonts w:ascii="Times New Roman" w:hAnsi="Times New Roman" w:cs="Times New Roman"/>
          <w:b/>
          <w:bCs/>
        </w:rPr>
      </w:pPr>
      <w:r w:rsidRPr="00A6363B">
        <w:rPr>
          <w:rFonts w:ascii="Times New Roman" w:hAnsi="Times New Roman" w:cs="Times New Roman"/>
          <w:b/>
          <w:bCs/>
        </w:rPr>
        <w:t xml:space="preserve">3.2.5 </w:t>
      </w:r>
      <w:r w:rsidR="000D0BC0" w:rsidRPr="00A6363B">
        <w:rPr>
          <w:rFonts w:ascii="Times New Roman" w:hAnsi="Times New Roman" w:cs="Times New Roman"/>
          <w:b/>
          <w:bCs/>
        </w:rPr>
        <w:t>Reductions to baselines</w:t>
      </w:r>
    </w:p>
    <w:p w:rsidR="00BE5B55" w:rsidRPr="00A6363B" w:rsidRDefault="00BC1477" w:rsidP="00EE48C3">
      <w:pPr>
        <w:pStyle w:val="Default"/>
        <w:spacing w:line="360" w:lineRule="auto"/>
        <w:jc w:val="both"/>
        <w:rPr>
          <w:rFonts w:ascii="Times New Roman" w:hAnsi="Times New Roman" w:cs="Times New Roman"/>
        </w:rPr>
      </w:pPr>
      <w:r w:rsidRPr="00A6363B">
        <w:rPr>
          <w:rFonts w:ascii="Times New Roman" w:hAnsi="Times New Roman" w:cs="Times New Roman"/>
          <w:bCs/>
        </w:rPr>
        <w:t>R</w:t>
      </w:r>
      <w:r w:rsidR="000D0BC0" w:rsidRPr="00A6363B">
        <w:rPr>
          <w:rFonts w:ascii="Times New Roman" w:hAnsi="Times New Roman" w:cs="Times New Roman"/>
        </w:rPr>
        <w:t xml:space="preserve">eductions are weighted towards grants that have a history of underspending or infrastructure grants that can defer implementation. Reductions have been effected to the following grants over the 2017 MTEF: </w:t>
      </w:r>
    </w:p>
    <w:p w:rsidR="00BE5B55" w:rsidRPr="00A6363B" w:rsidRDefault="00BE5B55" w:rsidP="00EE48C3">
      <w:pPr>
        <w:pStyle w:val="Default"/>
        <w:spacing w:line="360" w:lineRule="auto"/>
        <w:jc w:val="both"/>
        <w:rPr>
          <w:rFonts w:ascii="Times New Roman" w:hAnsi="Times New Roman" w:cs="Times New Roman"/>
        </w:rPr>
      </w:pPr>
    </w:p>
    <w:p w:rsidR="002572BE" w:rsidRPr="00A6363B" w:rsidRDefault="000D0BC0" w:rsidP="00EE48C3">
      <w:pPr>
        <w:pStyle w:val="Default"/>
        <w:numPr>
          <w:ilvl w:val="0"/>
          <w:numId w:val="15"/>
        </w:numPr>
        <w:spacing w:line="360" w:lineRule="auto"/>
        <w:ind w:left="426" w:hanging="426"/>
        <w:jc w:val="both"/>
        <w:rPr>
          <w:rFonts w:ascii="Times New Roman" w:hAnsi="Times New Roman" w:cs="Times New Roman"/>
        </w:rPr>
      </w:pPr>
      <w:r w:rsidRPr="00A6363B">
        <w:rPr>
          <w:rFonts w:ascii="Times New Roman" w:hAnsi="Times New Roman" w:cs="Times New Roman"/>
          <w:iCs/>
        </w:rPr>
        <w:t>Comprehensive Agricultural Support Programme Grant</w:t>
      </w:r>
      <w:r w:rsidRPr="00A6363B">
        <w:rPr>
          <w:rFonts w:ascii="Times New Roman" w:hAnsi="Times New Roman" w:cs="Times New Roman"/>
          <w:i/>
          <w:iCs/>
        </w:rPr>
        <w:t xml:space="preserve"> </w:t>
      </w:r>
      <w:r w:rsidRPr="00A6363B">
        <w:rPr>
          <w:rFonts w:ascii="Times New Roman" w:hAnsi="Times New Roman" w:cs="Times New Roman"/>
        </w:rPr>
        <w:t xml:space="preserve">- a total of R235.9 million, of which R135.5 million will be allocated to the Department of Agriculture, Forestry and Fisheries for an agricultural census to assess </w:t>
      </w:r>
      <w:r w:rsidR="005565E0" w:rsidRPr="00A6363B">
        <w:rPr>
          <w:rFonts w:ascii="Times New Roman" w:hAnsi="Times New Roman" w:cs="Times New Roman"/>
        </w:rPr>
        <w:t xml:space="preserve">the </w:t>
      </w:r>
      <w:r w:rsidRPr="00A6363B">
        <w:rPr>
          <w:rFonts w:ascii="Times New Roman" w:hAnsi="Times New Roman" w:cs="Times New Roman"/>
        </w:rPr>
        <w:t xml:space="preserve">farming landscape in South Africa; </w:t>
      </w:r>
    </w:p>
    <w:p w:rsidR="002572BE" w:rsidRPr="00A6363B" w:rsidRDefault="000D0BC0" w:rsidP="00EE48C3">
      <w:pPr>
        <w:pStyle w:val="Default"/>
        <w:numPr>
          <w:ilvl w:val="0"/>
          <w:numId w:val="15"/>
        </w:numPr>
        <w:spacing w:line="360" w:lineRule="auto"/>
        <w:ind w:left="426" w:hanging="426"/>
        <w:jc w:val="both"/>
        <w:rPr>
          <w:rFonts w:ascii="Times New Roman" w:hAnsi="Times New Roman" w:cs="Times New Roman"/>
        </w:rPr>
      </w:pPr>
      <w:r w:rsidRPr="00A6363B">
        <w:rPr>
          <w:rFonts w:ascii="Times New Roman" w:hAnsi="Times New Roman" w:cs="Times New Roman"/>
          <w:iCs/>
        </w:rPr>
        <w:t>Community Library Services Grant</w:t>
      </w:r>
      <w:r w:rsidRPr="00A6363B">
        <w:rPr>
          <w:rFonts w:ascii="Times New Roman" w:hAnsi="Times New Roman" w:cs="Times New Roman"/>
          <w:i/>
          <w:iCs/>
        </w:rPr>
        <w:t xml:space="preserve"> </w:t>
      </w:r>
      <w:r w:rsidRPr="00A6363B">
        <w:rPr>
          <w:rFonts w:ascii="Times New Roman" w:hAnsi="Times New Roman" w:cs="Times New Roman"/>
        </w:rPr>
        <w:t xml:space="preserve">– R20.8 million in 2017/18; </w:t>
      </w:r>
    </w:p>
    <w:p w:rsidR="002572BE" w:rsidRPr="00A6363B" w:rsidRDefault="000D0BC0" w:rsidP="00EE48C3">
      <w:pPr>
        <w:pStyle w:val="Default"/>
        <w:numPr>
          <w:ilvl w:val="0"/>
          <w:numId w:val="15"/>
        </w:numPr>
        <w:spacing w:line="360" w:lineRule="auto"/>
        <w:ind w:left="426" w:hanging="426"/>
        <w:jc w:val="both"/>
        <w:rPr>
          <w:rFonts w:ascii="Times New Roman" w:hAnsi="Times New Roman" w:cs="Times New Roman"/>
        </w:rPr>
      </w:pPr>
      <w:r w:rsidRPr="00A6363B">
        <w:rPr>
          <w:rFonts w:ascii="Times New Roman" w:hAnsi="Times New Roman" w:cs="Times New Roman"/>
          <w:iCs/>
        </w:rPr>
        <w:t xml:space="preserve">Maths, Science and Technology Grant </w:t>
      </w:r>
      <w:r w:rsidRPr="00A6363B">
        <w:rPr>
          <w:rFonts w:ascii="Times New Roman" w:hAnsi="Times New Roman" w:cs="Times New Roman"/>
        </w:rPr>
        <w:t xml:space="preserve">– R63 million; </w:t>
      </w:r>
    </w:p>
    <w:p w:rsidR="002572BE" w:rsidRPr="00A6363B" w:rsidRDefault="000D0BC0" w:rsidP="00EE48C3">
      <w:pPr>
        <w:pStyle w:val="Default"/>
        <w:numPr>
          <w:ilvl w:val="0"/>
          <w:numId w:val="15"/>
        </w:numPr>
        <w:spacing w:line="360" w:lineRule="auto"/>
        <w:ind w:left="426" w:hanging="426"/>
        <w:jc w:val="both"/>
        <w:rPr>
          <w:rFonts w:ascii="Times New Roman" w:hAnsi="Times New Roman" w:cs="Times New Roman"/>
        </w:rPr>
      </w:pPr>
      <w:r w:rsidRPr="00A6363B">
        <w:rPr>
          <w:rFonts w:ascii="Times New Roman" w:hAnsi="Times New Roman" w:cs="Times New Roman"/>
          <w:iCs/>
        </w:rPr>
        <w:t>Health Facility Revitalisation Grant</w:t>
      </w:r>
      <w:r w:rsidRPr="00A6363B">
        <w:rPr>
          <w:rFonts w:ascii="Times New Roman" w:hAnsi="Times New Roman" w:cs="Times New Roman"/>
          <w:i/>
          <w:iCs/>
        </w:rPr>
        <w:t xml:space="preserve"> </w:t>
      </w:r>
      <w:r w:rsidR="002572BE" w:rsidRPr="00A6363B">
        <w:rPr>
          <w:rFonts w:ascii="Times New Roman" w:hAnsi="Times New Roman" w:cs="Times New Roman"/>
        </w:rPr>
        <w:t>– R363.6 million</w:t>
      </w:r>
      <w:r w:rsidR="002572BE" w:rsidRPr="00A6363B">
        <w:rPr>
          <w:rFonts w:ascii="Times New Roman" w:hAnsi="Times New Roman" w:cs="Times New Roman"/>
          <w:i/>
          <w:iCs/>
        </w:rPr>
        <w:t>;</w:t>
      </w:r>
    </w:p>
    <w:p w:rsidR="002572BE" w:rsidRPr="00A6363B" w:rsidRDefault="000D0BC0" w:rsidP="00EE48C3">
      <w:pPr>
        <w:pStyle w:val="Default"/>
        <w:numPr>
          <w:ilvl w:val="0"/>
          <w:numId w:val="15"/>
        </w:numPr>
        <w:spacing w:line="360" w:lineRule="auto"/>
        <w:ind w:left="426" w:hanging="426"/>
        <w:jc w:val="both"/>
        <w:rPr>
          <w:rFonts w:ascii="Times New Roman" w:hAnsi="Times New Roman" w:cs="Times New Roman"/>
        </w:rPr>
      </w:pPr>
      <w:r w:rsidRPr="00A6363B">
        <w:rPr>
          <w:rFonts w:ascii="Times New Roman" w:hAnsi="Times New Roman" w:cs="Times New Roman"/>
          <w:iCs/>
        </w:rPr>
        <w:t>Comprehensive HIV, AIDS and TB Grant</w:t>
      </w:r>
      <w:r w:rsidRPr="00A6363B">
        <w:rPr>
          <w:rFonts w:ascii="Times New Roman" w:hAnsi="Times New Roman" w:cs="Times New Roman"/>
          <w:i/>
          <w:iCs/>
        </w:rPr>
        <w:t xml:space="preserve"> </w:t>
      </w:r>
      <w:r w:rsidRPr="00A6363B">
        <w:rPr>
          <w:rFonts w:ascii="Times New Roman" w:hAnsi="Times New Roman" w:cs="Times New Roman"/>
        </w:rPr>
        <w:t xml:space="preserve">– R327.3 million; and </w:t>
      </w:r>
      <w:r w:rsidR="005565E0" w:rsidRPr="00A6363B">
        <w:rPr>
          <w:rFonts w:ascii="Times New Roman" w:hAnsi="Times New Roman" w:cs="Times New Roman"/>
        </w:rPr>
        <w:t>the</w:t>
      </w:r>
    </w:p>
    <w:p w:rsidR="00BE5B55" w:rsidRPr="00A6363B" w:rsidRDefault="000D0BC0" w:rsidP="00EE48C3">
      <w:pPr>
        <w:pStyle w:val="Default"/>
        <w:numPr>
          <w:ilvl w:val="0"/>
          <w:numId w:val="15"/>
        </w:numPr>
        <w:spacing w:line="360" w:lineRule="auto"/>
        <w:ind w:left="426" w:hanging="426"/>
        <w:jc w:val="both"/>
        <w:rPr>
          <w:rFonts w:ascii="Times New Roman" w:hAnsi="Times New Roman" w:cs="Times New Roman"/>
        </w:rPr>
      </w:pPr>
      <w:r w:rsidRPr="00A6363B">
        <w:rPr>
          <w:rFonts w:ascii="Times New Roman" w:hAnsi="Times New Roman" w:cs="Times New Roman"/>
          <w:iCs/>
        </w:rPr>
        <w:t>Human Settlements Development Grant</w:t>
      </w:r>
      <w:r w:rsidRPr="00A6363B">
        <w:rPr>
          <w:rFonts w:ascii="Times New Roman" w:hAnsi="Times New Roman" w:cs="Times New Roman"/>
          <w:i/>
          <w:iCs/>
        </w:rPr>
        <w:t xml:space="preserve"> </w:t>
      </w:r>
      <w:r w:rsidRPr="00A6363B">
        <w:rPr>
          <w:rFonts w:ascii="Times New Roman" w:hAnsi="Times New Roman" w:cs="Times New Roman"/>
        </w:rPr>
        <w:t>– R871 million in 2017/18.</w:t>
      </w:r>
    </w:p>
    <w:p w:rsidR="005565E0" w:rsidRPr="00A6363B" w:rsidRDefault="005565E0" w:rsidP="00EE48C3">
      <w:pPr>
        <w:pStyle w:val="Default"/>
        <w:spacing w:line="360" w:lineRule="auto"/>
        <w:ind w:left="426"/>
        <w:jc w:val="both"/>
        <w:rPr>
          <w:rFonts w:ascii="Times New Roman" w:hAnsi="Times New Roman" w:cs="Times New Roman"/>
        </w:rPr>
      </w:pPr>
    </w:p>
    <w:p w:rsidR="005565E0" w:rsidRPr="00A6363B" w:rsidRDefault="002572BE" w:rsidP="00EE48C3">
      <w:pPr>
        <w:pStyle w:val="Default"/>
        <w:spacing w:line="360" w:lineRule="auto"/>
        <w:jc w:val="both"/>
        <w:rPr>
          <w:rFonts w:ascii="Times New Roman" w:hAnsi="Times New Roman" w:cs="Times New Roman"/>
          <w:b/>
          <w:bCs/>
        </w:rPr>
      </w:pPr>
      <w:r w:rsidRPr="00A6363B">
        <w:rPr>
          <w:rFonts w:ascii="Times New Roman" w:hAnsi="Times New Roman" w:cs="Times New Roman"/>
          <w:b/>
          <w:bCs/>
        </w:rPr>
        <w:t xml:space="preserve">3.2.6 </w:t>
      </w:r>
      <w:r w:rsidR="000D0BC0" w:rsidRPr="00A6363B">
        <w:rPr>
          <w:rFonts w:ascii="Times New Roman" w:hAnsi="Times New Roman" w:cs="Times New Roman"/>
          <w:b/>
          <w:bCs/>
        </w:rPr>
        <w:t>Additions to baselines</w:t>
      </w:r>
    </w:p>
    <w:p w:rsidR="002572BE" w:rsidRPr="00A6363B" w:rsidRDefault="005565E0" w:rsidP="00EE48C3">
      <w:pPr>
        <w:pStyle w:val="Default"/>
        <w:spacing w:line="360" w:lineRule="auto"/>
        <w:jc w:val="both"/>
        <w:rPr>
          <w:rFonts w:ascii="Times New Roman" w:hAnsi="Times New Roman" w:cs="Times New Roman"/>
        </w:rPr>
      </w:pPr>
      <w:r w:rsidRPr="00A6363B">
        <w:rPr>
          <w:rFonts w:ascii="Times New Roman" w:hAnsi="Times New Roman" w:cs="Times New Roman"/>
          <w:bCs/>
        </w:rPr>
        <w:t>A</w:t>
      </w:r>
      <w:r w:rsidR="000D0BC0" w:rsidRPr="00A6363B">
        <w:rPr>
          <w:rFonts w:ascii="Times New Roman" w:hAnsi="Times New Roman" w:cs="Times New Roman"/>
          <w:bCs/>
        </w:rPr>
        <w:t xml:space="preserve">dditions have </w:t>
      </w:r>
      <w:r w:rsidRPr="00A6363B">
        <w:rPr>
          <w:rFonts w:ascii="Times New Roman" w:hAnsi="Times New Roman" w:cs="Times New Roman"/>
          <w:bCs/>
        </w:rPr>
        <w:t xml:space="preserve">been </w:t>
      </w:r>
      <w:r w:rsidR="000D0BC0" w:rsidRPr="00A6363B">
        <w:rPr>
          <w:rFonts w:ascii="Times New Roman" w:hAnsi="Times New Roman" w:cs="Times New Roman"/>
          <w:bCs/>
        </w:rPr>
        <w:t xml:space="preserve">effected to the following grants over the 2017 MTEF: </w:t>
      </w:r>
    </w:p>
    <w:p w:rsidR="00A4565F" w:rsidRPr="00A6363B" w:rsidRDefault="00A4565F" w:rsidP="00EE48C3">
      <w:pPr>
        <w:pStyle w:val="Default"/>
        <w:spacing w:line="360" w:lineRule="auto"/>
        <w:jc w:val="both"/>
        <w:rPr>
          <w:rFonts w:ascii="Times New Roman" w:hAnsi="Times New Roman" w:cs="Times New Roman"/>
        </w:rPr>
      </w:pPr>
    </w:p>
    <w:p w:rsidR="002572BE" w:rsidRPr="00A6363B" w:rsidRDefault="002572BE" w:rsidP="00EE48C3">
      <w:pPr>
        <w:pStyle w:val="Default"/>
        <w:spacing w:line="360" w:lineRule="auto"/>
        <w:jc w:val="both"/>
        <w:rPr>
          <w:rFonts w:ascii="Times New Roman" w:hAnsi="Times New Roman" w:cs="Times New Roman"/>
        </w:rPr>
      </w:pPr>
      <w:r w:rsidRPr="00A6363B">
        <w:rPr>
          <w:rFonts w:ascii="Times New Roman" w:hAnsi="Times New Roman" w:cs="Times New Roman"/>
        </w:rPr>
        <w:t xml:space="preserve">(a) </w:t>
      </w:r>
      <w:r w:rsidR="000D0BC0" w:rsidRPr="00A6363B">
        <w:rPr>
          <w:rFonts w:ascii="Times New Roman" w:hAnsi="Times New Roman" w:cs="Times New Roman"/>
        </w:rPr>
        <w:t xml:space="preserve">The </w:t>
      </w:r>
      <w:r w:rsidR="000D0BC0" w:rsidRPr="00A6363B">
        <w:rPr>
          <w:rFonts w:ascii="Times New Roman" w:hAnsi="Times New Roman" w:cs="Times New Roman"/>
          <w:iCs/>
        </w:rPr>
        <w:t>National School Nutrition Programme Grant</w:t>
      </w:r>
      <w:r w:rsidR="000D0BC0" w:rsidRPr="00A6363B">
        <w:rPr>
          <w:rFonts w:ascii="Times New Roman" w:hAnsi="Times New Roman" w:cs="Times New Roman"/>
          <w:i/>
          <w:iCs/>
        </w:rPr>
        <w:t xml:space="preserve"> </w:t>
      </w:r>
      <w:r w:rsidR="000D0BC0" w:rsidRPr="00A6363B">
        <w:rPr>
          <w:rFonts w:ascii="Times New Roman" w:hAnsi="Times New Roman" w:cs="Times New Roman"/>
        </w:rPr>
        <w:t xml:space="preserve">receives an additional R390 million over the 2017 MTEF to preserve the quality of food provided and to expand access to qualifying </w:t>
      </w:r>
      <w:r w:rsidR="000D0BC0" w:rsidRPr="00A6363B">
        <w:rPr>
          <w:rFonts w:ascii="Times New Roman" w:hAnsi="Times New Roman" w:cs="Times New Roman"/>
        </w:rPr>
        <w:lastRenderedPageBreak/>
        <w:t xml:space="preserve">learners. The additional allocation was also made to counter the impact of rising food inflation over the past year; and </w:t>
      </w:r>
      <w:r w:rsidR="00BC2489" w:rsidRPr="00A6363B">
        <w:rPr>
          <w:rFonts w:ascii="Times New Roman" w:hAnsi="Times New Roman" w:cs="Times New Roman"/>
        </w:rPr>
        <w:t>the</w:t>
      </w:r>
    </w:p>
    <w:p w:rsidR="002572BE" w:rsidRPr="00A6363B" w:rsidRDefault="002572BE" w:rsidP="00EE48C3">
      <w:pPr>
        <w:pStyle w:val="Default"/>
        <w:spacing w:line="360" w:lineRule="auto"/>
        <w:jc w:val="both"/>
        <w:rPr>
          <w:rFonts w:ascii="Times New Roman" w:hAnsi="Times New Roman" w:cs="Times New Roman"/>
        </w:rPr>
      </w:pPr>
    </w:p>
    <w:p w:rsidR="00301D90" w:rsidRPr="00A6363B" w:rsidRDefault="002572BE" w:rsidP="00EE48C3">
      <w:pPr>
        <w:pStyle w:val="Default"/>
        <w:spacing w:line="360" w:lineRule="auto"/>
        <w:jc w:val="both"/>
        <w:rPr>
          <w:rFonts w:ascii="Times New Roman" w:hAnsi="Times New Roman" w:cs="Times New Roman"/>
        </w:rPr>
      </w:pPr>
      <w:r w:rsidRPr="00A6363B">
        <w:rPr>
          <w:rFonts w:ascii="Times New Roman" w:hAnsi="Times New Roman" w:cs="Times New Roman"/>
        </w:rPr>
        <w:t xml:space="preserve">(b) </w:t>
      </w:r>
      <w:r w:rsidR="000D0BC0" w:rsidRPr="00A6363B">
        <w:rPr>
          <w:rFonts w:ascii="Times New Roman" w:hAnsi="Times New Roman" w:cs="Times New Roman"/>
          <w:iCs/>
        </w:rPr>
        <w:t>Comprehensive HIV, AIDS and TB Grant</w:t>
      </w:r>
      <w:r w:rsidR="000D0BC0" w:rsidRPr="00A6363B">
        <w:rPr>
          <w:rFonts w:ascii="Times New Roman" w:hAnsi="Times New Roman" w:cs="Times New Roman"/>
          <w:i/>
          <w:iCs/>
        </w:rPr>
        <w:t xml:space="preserve"> </w:t>
      </w:r>
      <w:r w:rsidR="000D0BC0" w:rsidRPr="00A6363B">
        <w:rPr>
          <w:rFonts w:ascii="Times New Roman" w:hAnsi="Times New Roman" w:cs="Times New Roman"/>
        </w:rPr>
        <w:t>receives an additional R1 billion in 2019/20 to make provision for the continued expansion of antiretroviral treatment in response to the universal test-and-treat policy.</w:t>
      </w:r>
    </w:p>
    <w:p w:rsidR="00301D90" w:rsidRPr="00A6363B" w:rsidRDefault="00301D90" w:rsidP="00EE48C3">
      <w:pPr>
        <w:spacing w:before="120" w:line="360" w:lineRule="auto"/>
        <w:jc w:val="both"/>
        <w:rPr>
          <w:rFonts w:ascii="Times New Roman" w:hAnsi="Times New Roman" w:cs="Times New Roman"/>
          <w:sz w:val="24"/>
          <w:szCs w:val="24"/>
        </w:rPr>
      </w:pPr>
    </w:p>
    <w:p w:rsidR="002A3EC7" w:rsidRPr="00A6363B" w:rsidRDefault="002A3EC7" w:rsidP="00EE48C3">
      <w:pPr>
        <w:pStyle w:val="ListParagraph"/>
        <w:numPr>
          <w:ilvl w:val="0"/>
          <w:numId w:val="1"/>
        </w:numPr>
        <w:spacing w:before="120" w:line="360" w:lineRule="auto"/>
        <w:ind w:left="426" w:hanging="426"/>
        <w:jc w:val="both"/>
        <w:rPr>
          <w:rFonts w:ascii="Times New Roman" w:hAnsi="Times New Roman" w:cs="Times New Roman"/>
          <w:b/>
          <w:sz w:val="24"/>
          <w:szCs w:val="24"/>
        </w:rPr>
      </w:pPr>
      <w:r w:rsidRPr="00A6363B">
        <w:rPr>
          <w:rFonts w:ascii="Times New Roman" w:hAnsi="Times New Roman" w:cs="Times New Roman"/>
          <w:b/>
          <w:sz w:val="24"/>
          <w:szCs w:val="24"/>
        </w:rPr>
        <w:t>Local Government allocations</w:t>
      </w:r>
    </w:p>
    <w:p w:rsidR="002A3EC7" w:rsidRPr="00A6363B" w:rsidRDefault="002A3EC7"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total transfers to local government can be seen in the table below:</w:t>
      </w:r>
    </w:p>
    <w:p w:rsidR="002A3EC7" w:rsidRPr="00A6363B" w:rsidRDefault="00FD5361"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Table 4</w:t>
      </w:r>
      <w:r w:rsidR="002A3EC7" w:rsidRPr="00A6363B">
        <w:rPr>
          <w:rFonts w:ascii="Times New Roman" w:hAnsi="Times New Roman" w:cs="Times New Roman"/>
          <w:b/>
          <w:sz w:val="24"/>
          <w:szCs w:val="24"/>
        </w:rPr>
        <w:t>: Transfers to Local Government</w:t>
      </w:r>
    </w:p>
    <w:tbl>
      <w:tblPr>
        <w:tblStyle w:val="TableGrid"/>
        <w:tblW w:w="0" w:type="auto"/>
        <w:tblLook w:val="04A0" w:firstRow="1" w:lastRow="0" w:firstColumn="1" w:lastColumn="0" w:noHBand="0" w:noVBand="1"/>
      </w:tblPr>
      <w:tblGrid>
        <w:gridCol w:w="4106"/>
        <w:gridCol w:w="1418"/>
        <w:gridCol w:w="1275"/>
        <w:gridCol w:w="1133"/>
        <w:gridCol w:w="1084"/>
      </w:tblGrid>
      <w:tr w:rsidR="002A3EC7" w:rsidRPr="00A6363B" w:rsidTr="00B4214C">
        <w:trPr>
          <w:trHeight w:val="1005"/>
        </w:trPr>
        <w:tc>
          <w:tcPr>
            <w:tcW w:w="4106" w:type="dxa"/>
            <w:vMerge w:val="restart"/>
          </w:tcPr>
          <w:p w:rsidR="002A3EC7" w:rsidRPr="00A6363B" w:rsidRDefault="002A3EC7"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Local Government allocation</w:t>
            </w:r>
          </w:p>
        </w:tc>
        <w:tc>
          <w:tcPr>
            <w:tcW w:w="1418" w:type="dxa"/>
            <w:vMerge w:val="restart"/>
          </w:tcPr>
          <w:p w:rsidR="002A3EC7" w:rsidRPr="00A6363B" w:rsidRDefault="002A3EC7"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2016/17 Revised Estimates</w:t>
            </w:r>
          </w:p>
        </w:tc>
        <w:tc>
          <w:tcPr>
            <w:tcW w:w="3492" w:type="dxa"/>
            <w:gridSpan w:val="3"/>
          </w:tcPr>
          <w:p w:rsidR="002A3EC7" w:rsidRPr="00A6363B" w:rsidRDefault="002A3EC7" w:rsidP="00EE48C3">
            <w:pPr>
              <w:spacing w:before="120" w:line="360" w:lineRule="auto"/>
              <w:jc w:val="both"/>
              <w:rPr>
                <w:rFonts w:ascii="Times New Roman" w:hAnsi="Times New Roman" w:cs="Times New Roman"/>
                <w:b/>
                <w:sz w:val="24"/>
                <w:szCs w:val="24"/>
              </w:rPr>
            </w:pPr>
          </w:p>
          <w:p w:rsidR="002A3EC7" w:rsidRPr="00A6363B" w:rsidRDefault="002A3EC7"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Medium-Term Estimates</w:t>
            </w:r>
          </w:p>
        </w:tc>
      </w:tr>
      <w:tr w:rsidR="00B4214C" w:rsidRPr="00A6363B" w:rsidTr="00B4214C">
        <w:trPr>
          <w:trHeight w:val="342"/>
        </w:trPr>
        <w:tc>
          <w:tcPr>
            <w:tcW w:w="4106" w:type="dxa"/>
            <w:vMerge/>
          </w:tcPr>
          <w:p w:rsidR="00B4214C" w:rsidRPr="00A6363B" w:rsidRDefault="00B4214C" w:rsidP="00EE48C3">
            <w:pPr>
              <w:spacing w:before="120" w:line="360" w:lineRule="auto"/>
              <w:jc w:val="both"/>
              <w:rPr>
                <w:rFonts w:ascii="Times New Roman" w:hAnsi="Times New Roman" w:cs="Times New Roman"/>
                <w:b/>
                <w:sz w:val="24"/>
                <w:szCs w:val="24"/>
              </w:rPr>
            </w:pPr>
          </w:p>
        </w:tc>
        <w:tc>
          <w:tcPr>
            <w:tcW w:w="1418" w:type="dxa"/>
            <w:vMerge/>
          </w:tcPr>
          <w:p w:rsidR="00B4214C" w:rsidRPr="00A6363B" w:rsidRDefault="00B4214C" w:rsidP="00EE48C3">
            <w:pPr>
              <w:spacing w:before="120" w:line="360" w:lineRule="auto"/>
              <w:jc w:val="both"/>
              <w:rPr>
                <w:rFonts w:ascii="Times New Roman" w:hAnsi="Times New Roman" w:cs="Times New Roman"/>
                <w:b/>
                <w:sz w:val="24"/>
                <w:szCs w:val="24"/>
              </w:rPr>
            </w:pPr>
          </w:p>
        </w:tc>
        <w:tc>
          <w:tcPr>
            <w:tcW w:w="1275" w:type="dxa"/>
          </w:tcPr>
          <w:p w:rsidR="00B4214C" w:rsidRPr="00A6363B" w:rsidRDefault="00B4214C"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2017/18</w:t>
            </w:r>
          </w:p>
        </w:tc>
        <w:tc>
          <w:tcPr>
            <w:tcW w:w="1133" w:type="dxa"/>
          </w:tcPr>
          <w:p w:rsidR="00B4214C" w:rsidRPr="00A6363B" w:rsidRDefault="00B4214C"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2018/19</w:t>
            </w:r>
          </w:p>
        </w:tc>
        <w:tc>
          <w:tcPr>
            <w:tcW w:w="1084" w:type="dxa"/>
          </w:tcPr>
          <w:p w:rsidR="00B4214C" w:rsidRPr="00A6363B" w:rsidRDefault="00B4214C"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2019/20</w:t>
            </w:r>
          </w:p>
        </w:tc>
      </w:tr>
      <w:tr w:rsidR="002A3EC7" w:rsidRPr="00A6363B" w:rsidTr="00B4214C">
        <w:tc>
          <w:tcPr>
            <w:tcW w:w="4106" w:type="dxa"/>
          </w:tcPr>
          <w:p w:rsidR="002A3EC7" w:rsidRPr="00A6363B" w:rsidRDefault="00B4214C"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Equitable Share </w:t>
            </w:r>
          </w:p>
        </w:tc>
        <w:tc>
          <w:tcPr>
            <w:tcW w:w="1418"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51 169</w:t>
            </w:r>
          </w:p>
        </w:tc>
        <w:tc>
          <w:tcPr>
            <w:tcW w:w="1275"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57 012</w:t>
            </w:r>
          </w:p>
        </w:tc>
        <w:tc>
          <w:tcPr>
            <w:tcW w:w="1133"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62 732</w:t>
            </w:r>
          </w:p>
        </w:tc>
        <w:tc>
          <w:tcPr>
            <w:tcW w:w="1084"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6</w:t>
            </w:r>
            <w:r w:rsidR="003B3E55" w:rsidRPr="00A6363B">
              <w:rPr>
                <w:rFonts w:ascii="Times New Roman" w:hAnsi="Times New Roman" w:cs="Times New Roman"/>
                <w:sz w:val="24"/>
                <w:szCs w:val="24"/>
              </w:rPr>
              <w:t>7</w:t>
            </w:r>
            <w:r w:rsidRPr="00A6363B">
              <w:rPr>
                <w:rFonts w:ascii="Times New Roman" w:hAnsi="Times New Roman" w:cs="Times New Roman"/>
                <w:sz w:val="24"/>
                <w:szCs w:val="24"/>
              </w:rPr>
              <w:t xml:space="preserve"> </w:t>
            </w:r>
            <w:r w:rsidR="003B3E55" w:rsidRPr="00A6363B">
              <w:rPr>
                <w:rFonts w:ascii="Times New Roman" w:hAnsi="Times New Roman" w:cs="Times New Roman"/>
                <w:sz w:val="24"/>
                <w:szCs w:val="24"/>
              </w:rPr>
              <w:t>4</w:t>
            </w:r>
            <w:r w:rsidRPr="00A6363B">
              <w:rPr>
                <w:rFonts w:ascii="Times New Roman" w:hAnsi="Times New Roman" w:cs="Times New Roman"/>
                <w:sz w:val="24"/>
                <w:szCs w:val="24"/>
              </w:rPr>
              <w:t>73</w:t>
            </w:r>
          </w:p>
        </w:tc>
      </w:tr>
      <w:tr w:rsidR="002A3EC7" w:rsidRPr="00A6363B" w:rsidTr="00B4214C">
        <w:tc>
          <w:tcPr>
            <w:tcW w:w="4106" w:type="dxa"/>
          </w:tcPr>
          <w:p w:rsidR="002A3EC7" w:rsidRPr="00A6363B" w:rsidRDefault="00B4214C"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Conditional Grants</w:t>
            </w:r>
          </w:p>
        </w:tc>
        <w:tc>
          <w:tcPr>
            <w:tcW w:w="1418"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40 863</w:t>
            </w:r>
          </w:p>
        </w:tc>
        <w:tc>
          <w:tcPr>
            <w:tcW w:w="1275"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43 727</w:t>
            </w:r>
          </w:p>
        </w:tc>
        <w:tc>
          <w:tcPr>
            <w:tcW w:w="1133"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46 270</w:t>
            </w:r>
          </w:p>
        </w:tc>
        <w:tc>
          <w:tcPr>
            <w:tcW w:w="1084"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49 836</w:t>
            </w:r>
          </w:p>
        </w:tc>
      </w:tr>
      <w:tr w:rsidR="002A3EC7" w:rsidRPr="00A6363B" w:rsidTr="00B4214C">
        <w:tc>
          <w:tcPr>
            <w:tcW w:w="4106" w:type="dxa"/>
          </w:tcPr>
          <w:p w:rsidR="002A3EC7" w:rsidRPr="00A6363B" w:rsidRDefault="00B4214C"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General fuel levy sharing Metros</w:t>
            </w:r>
          </w:p>
        </w:tc>
        <w:tc>
          <w:tcPr>
            <w:tcW w:w="1418"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11 224</w:t>
            </w:r>
          </w:p>
        </w:tc>
        <w:tc>
          <w:tcPr>
            <w:tcW w:w="1275"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11 785</w:t>
            </w:r>
          </w:p>
        </w:tc>
        <w:tc>
          <w:tcPr>
            <w:tcW w:w="1133"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12 469</w:t>
            </w:r>
          </w:p>
        </w:tc>
        <w:tc>
          <w:tcPr>
            <w:tcW w:w="1084"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13 167</w:t>
            </w:r>
          </w:p>
        </w:tc>
      </w:tr>
      <w:tr w:rsidR="002A3EC7" w:rsidRPr="00A6363B" w:rsidTr="00B4214C">
        <w:tc>
          <w:tcPr>
            <w:tcW w:w="4106" w:type="dxa"/>
          </w:tcPr>
          <w:p w:rsidR="002A3EC7" w:rsidRPr="00A6363B" w:rsidRDefault="00B4214C"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Indirect transfers to local government</w:t>
            </w:r>
          </w:p>
        </w:tc>
        <w:tc>
          <w:tcPr>
            <w:tcW w:w="1418"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7 824</w:t>
            </w:r>
          </w:p>
        </w:tc>
        <w:tc>
          <w:tcPr>
            <w:tcW w:w="1275"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7 338</w:t>
            </w:r>
          </w:p>
        </w:tc>
        <w:tc>
          <w:tcPr>
            <w:tcW w:w="1133"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7 596</w:t>
            </w:r>
          </w:p>
        </w:tc>
        <w:tc>
          <w:tcPr>
            <w:tcW w:w="1084" w:type="dxa"/>
          </w:tcPr>
          <w:p w:rsidR="002A3EC7" w:rsidRPr="00A6363B" w:rsidRDefault="00B4214C" w:rsidP="00EE48C3">
            <w:pPr>
              <w:spacing w:before="120" w:line="360" w:lineRule="auto"/>
              <w:jc w:val="right"/>
              <w:rPr>
                <w:rFonts w:ascii="Times New Roman" w:hAnsi="Times New Roman" w:cs="Times New Roman"/>
                <w:sz w:val="24"/>
                <w:szCs w:val="24"/>
              </w:rPr>
            </w:pPr>
            <w:r w:rsidRPr="00A6363B">
              <w:rPr>
                <w:rFonts w:ascii="Times New Roman" w:hAnsi="Times New Roman" w:cs="Times New Roman"/>
                <w:sz w:val="24"/>
                <w:szCs w:val="24"/>
              </w:rPr>
              <w:t>8 015</w:t>
            </w:r>
          </w:p>
        </w:tc>
      </w:tr>
      <w:tr w:rsidR="002A3EC7" w:rsidRPr="00A6363B" w:rsidTr="00B4214C">
        <w:tc>
          <w:tcPr>
            <w:tcW w:w="4106" w:type="dxa"/>
          </w:tcPr>
          <w:p w:rsidR="002A3EC7" w:rsidRPr="00A6363B" w:rsidRDefault="00B4214C"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Total</w:t>
            </w:r>
          </w:p>
        </w:tc>
        <w:tc>
          <w:tcPr>
            <w:tcW w:w="1418" w:type="dxa"/>
          </w:tcPr>
          <w:p w:rsidR="002A3EC7" w:rsidRPr="00A6363B" w:rsidRDefault="003B3E55" w:rsidP="00EE48C3">
            <w:pPr>
              <w:spacing w:before="120" w:line="360" w:lineRule="auto"/>
              <w:jc w:val="right"/>
              <w:rPr>
                <w:rFonts w:ascii="Times New Roman" w:hAnsi="Times New Roman" w:cs="Times New Roman"/>
                <w:b/>
                <w:sz w:val="24"/>
                <w:szCs w:val="24"/>
              </w:rPr>
            </w:pPr>
            <w:r w:rsidRPr="00A6363B">
              <w:rPr>
                <w:rFonts w:ascii="Times New Roman" w:hAnsi="Times New Roman" w:cs="Times New Roman"/>
                <w:b/>
                <w:sz w:val="24"/>
                <w:szCs w:val="24"/>
              </w:rPr>
              <w:t>111 079</w:t>
            </w:r>
          </w:p>
        </w:tc>
        <w:tc>
          <w:tcPr>
            <w:tcW w:w="1275" w:type="dxa"/>
          </w:tcPr>
          <w:p w:rsidR="002A3EC7" w:rsidRPr="00A6363B" w:rsidRDefault="003B3E55" w:rsidP="00EE48C3">
            <w:pPr>
              <w:spacing w:before="120" w:line="360" w:lineRule="auto"/>
              <w:jc w:val="right"/>
              <w:rPr>
                <w:rFonts w:ascii="Times New Roman" w:hAnsi="Times New Roman" w:cs="Times New Roman"/>
                <w:b/>
                <w:sz w:val="24"/>
                <w:szCs w:val="24"/>
              </w:rPr>
            </w:pPr>
            <w:r w:rsidRPr="00A6363B">
              <w:rPr>
                <w:rFonts w:ascii="Times New Roman" w:hAnsi="Times New Roman" w:cs="Times New Roman"/>
                <w:b/>
                <w:sz w:val="24"/>
                <w:szCs w:val="24"/>
              </w:rPr>
              <w:t>119 862</w:t>
            </w:r>
          </w:p>
        </w:tc>
        <w:tc>
          <w:tcPr>
            <w:tcW w:w="1133" w:type="dxa"/>
          </w:tcPr>
          <w:p w:rsidR="002A3EC7" w:rsidRPr="00A6363B" w:rsidRDefault="003B3E55" w:rsidP="00EE48C3">
            <w:pPr>
              <w:spacing w:before="120" w:line="360" w:lineRule="auto"/>
              <w:jc w:val="right"/>
              <w:rPr>
                <w:rFonts w:ascii="Times New Roman" w:hAnsi="Times New Roman" w:cs="Times New Roman"/>
                <w:b/>
                <w:sz w:val="24"/>
                <w:szCs w:val="24"/>
              </w:rPr>
            </w:pPr>
            <w:r w:rsidRPr="00A6363B">
              <w:rPr>
                <w:rFonts w:ascii="Times New Roman" w:hAnsi="Times New Roman" w:cs="Times New Roman"/>
                <w:b/>
                <w:sz w:val="24"/>
                <w:szCs w:val="24"/>
              </w:rPr>
              <w:t>129 066</w:t>
            </w:r>
          </w:p>
        </w:tc>
        <w:tc>
          <w:tcPr>
            <w:tcW w:w="1084" w:type="dxa"/>
          </w:tcPr>
          <w:p w:rsidR="002A3EC7" w:rsidRPr="00A6363B" w:rsidRDefault="003B3E55" w:rsidP="00EE48C3">
            <w:pPr>
              <w:spacing w:before="120" w:line="360" w:lineRule="auto"/>
              <w:jc w:val="right"/>
              <w:rPr>
                <w:rFonts w:ascii="Times New Roman" w:hAnsi="Times New Roman" w:cs="Times New Roman"/>
                <w:b/>
                <w:sz w:val="24"/>
                <w:szCs w:val="24"/>
              </w:rPr>
            </w:pPr>
            <w:r w:rsidRPr="00A6363B">
              <w:rPr>
                <w:rFonts w:ascii="Times New Roman" w:hAnsi="Times New Roman" w:cs="Times New Roman"/>
                <w:b/>
                <w:sz w:val="24"/>
                <w:szCs w:val="24"/>
              </w:rPr>
              <w:t>138 491</w:t>
            </w:r>
          </w:p>
        </w:tc>
      </w:tr>
    </w:tbl>
    <w:p w:rsidR="002A3EC7" w:rsidRPr="00A6363B" w:rsidRDefault="00D7635F" w:rsidP="00EE48C3">
      <w:pPr>
        <w:pStyle w:val="ListParagraph"/>
        <w:numPr>
          <w:ilvl w:val="0"/>
          <w:numId w:val="16"/>
        </w:numPr>
        <w:spacing w:before="120" w:line="360" w:lineRule="auto"/>
        <w:jc w:val="both"/>
        <w:rPr>
          <w:rFonts w:ascii="Times New Roman" w:hAnsi="Times New Roman" w:cs="Times New Roman"/>
          <w:i/>
          <w:sz w:val="24"/>
          <w:szCs w:val="24"/>
        </w:rPr>
      </w:pPr>
      <w:r w:rsidRPr="00A6363B">
        <w:rPr>
          <w:rFonts w:ascii="Times New Roman" w:hAnsi="Times New Roman" w:cs="Times New Roman"/>
          <w:i/>
          <w:sz w:val="24"/>
          <w:szCs w:val="24"/>
        </w:rPr>
        <w:t>Excludes provisional allocations</w:t>
      </w:r>
    </w:p>
    <w:p w:rsidR="005543C3" w:rsidRPr="00A6363B" w:rsidRDefault="005543C3"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table above shows that over the MTEF perio</w:t>
      </w:r>
      <w:r w:rsidR="00F57302" w:rsidRPr="00A6363B">
        <w:rPr>
          <w:rFonts w:ascii="Times New Roman" w:hAnsi="Times New Roman" w:cs="Times New Roman"/>
          <w:sz w:val="24"/>
          <w:szCs w:val="24"/>
        </w:rPr>
        <w:t>d</w:t>
      </w:r>
      <w:r w:rsidRPr="00A6363B">
        <w:rPr>
          <w:rFonts w:ascii="Times New Roman" w:hAnsi="Times New Roman" w:cs="Times New Roman"/>
          <w:sz w:val="24"/>
          <w:szCs w:val="24"/>
        </w:rPr>
        <w:t>, R366.3 billion will be transferred directly to local government including R23 billion of indirect grants. In total</w:t>
      </w:r>
      <w:r w:rsidR="00BD46A0" w:rsidRPr="00A6363B">
        <w:rPr>
          <w:rFonts w:ascii="Times New Roman" w:hAnsi="Times New Roman" w:cs="Times New Roman"/>
          <w:sz w:val="24"/>
          <w:szCs w:val="24"/>
        </w:rPr>
        <w:t>,</w:t>
      </w:r>
      <w:r w:rsidRPr="00A6363B">
        <w:rPr>
          <w:rFonts w:ascii="Times New Roman" w:hAnsi="Times New Roman" w:cs="Times New Roman"/>
          <w:sz w:val="24"/>
          <w:szCs w:val="24"/>
        </w:rPr>
        <w:t xml:space="preserve"> R4.3 billion has been added to local government allocations over the MTEF period. The major changes to the local government allocations include</w:t>
      </w:r>
      <w:r w:rsidR="00BD46A0" w:rsidRPr="00A6363B">
        <w:rPr>
          <w:rFonts w:ascii="Times New Roman" w:hAnsi="Times New Roman" w:cs="Times New Roman"/>
          <w:sz w:val="24"/>
          <w:szCs w:val="24"/>
        </w:rPr>
        <w:t xml:space="preserve"> the following</w:t>
      </w:r>
      <w:r w:rsidRPr="00A6363B">
        <w:rPr>
          <w:rFonts w:ascii="Times New Roman" w:hAnsi="Times New Roman" w:cs="Times New Roman"/>
          <w:sz w:val="24"/>
          <w:szCs w:val="24"/>
        </w:rPr>
        <w:t>:</w:t>
      </w:r>
    </w:p>
    <w:p w:rsidR="005543C3" w:rsidRPr="00A6363B" w:rsidRDefault="005543C3" w:rsidP="00EE48C3">
      <w:pPr>
        <w:pStyle w:val="ListParagraph"/>
        <w:numPr>
          <w:ilvl w:val="0"/>
          <w:numId w:val="4"/>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local government equitable share </w:t>
      </w:r>
      <w:r w:rsidR="00E90791" w:rsidRPr="00A6363B">
        <w:rPr>
          <w:rFonts w:ascii="Times New Roman" w:hAnsi="Times New Roman" w:cs="Times New Roman"/>
          <w:sz w:val="24"/>
          <w:szCs w:val="24"/>
        </w:rPr>
        <w:t>which assist</w:t>
      </w:r>
      <w:r w:rsidR="00BD46A0" w:rsidRPr="00A6363B">
        <w:rPr>
          <w:rFonts w:ascii="Times New Roman" w:hAnsi="Times New Roman" w:cs="Times New Roman"/>
          <w:sz w:val="24"/>
          <w:szCs w:val="24"/>
        </w:rPr>
        <w:t>s</w:t>
      </w:r>
      <w:r w:rsidR="00E90791" w:rsidRPr="00A6363B">
        <w:rPr>
          <w:rFonts w:ascii="Times New Roman" w:hAnsi="Times New Roman" w:cs="Times New Roman"/>
          <w:sz w:val="24"/>
          <w:szCs w:val="24"/>
        </w:rPr>
        <w:t xml:space="preserve"> municipalities in providing free basic services to their residents </w:t>
      </w:r>
      <w:r w:rsidRPr="00A6363B">
        <w:rPr>
          <w:rFonts w:ascii="Times New Roman" w:hAnsi="Times New Roman" w:cs="Times New Roman"/>
          <w:sz w:val="24"/>
          <w:szCs w:val="24"/>
        </w:rPr>
        <w:t>has been revised upwards by R3.3 billion.</w:t>
      </w:r>
      <w:r w:rsidR="00E90791" w:rsidRPr="00A6363B">
        <w:rPr>
          <w:rFonts w:ascii="Times New Roman" w:hAnsi="Times New Roman" w:cs="Times New Roman"/>
          <w:sz w:val="24"/>
          <w:szCs w:val="24"/>
        </w:rPr>
        <w:t xml:space="preserve"> A further R1 billion will be added to the</w:t>
      </w:r>
      <w:r w:rsidR="00CF1D57" w:rsidRPr="00A6363B">
        <w:rPr>
          <w:rFonts w:ascii="Times New Roman" w:hAnsi="Times New Roman" w:cs="Times New Roman"/>
          <w:sz w:val="24"/>
          <w:szCs w:val="24"/>
        </w:rPr>
        <w:t xml:space="preserve"> I</w:t>
      </w:r>
      <w:r w:rsidR="00E90791" w:rsidRPr="00A6363B">
        <w:rPr>
          <w:rFonts w:ascii="Times New Roman" w:hAnsi="Times New Roman" w:cs="Times New Roman"/>
          <w:sz w:val="24"/>
          <w:szCs w:val="24"/>
        </w:rPr>
        <w:t xml:space="preserve">ntegrated </w:t>
      </w:r>
      <w:r w:rsidR="00CF1D57" w:rsidRPr="00A6363B">
        <w:rPr>
          <w:rFonts w:ascii="Times New Roman" w:hAnsi="Times New Roman" w:cs="Times New Roman"/>
          <w:sz w:val="24"/>
          <w:szCs w:val="24"/>
        </w:rPr>
        <w:t>N</w:t>
      </w:r>
      <w:r w:rsidR="00E90791" w:rsidRPr="00A6363B">
        <w:rPr>
          <w:rFonts w:ascii="Times New Roman" w:hAnsi="Times New Roman" w:cs="Times New Roman"/>
          <w:sz w:val="24"/>
          <w:szCs w:val="24"/>
        </w:rPr>
        <w:t xml:space="preserve">ational </w:t>
      </w:r>
      <w:r w:rsidR="00CF1D57" w:rsidRPr="00A6363B">
        <w:rPr>
          <w:rFonts w:ascii="Times New Roman" w:hAnsi="Times New Roman" w:cs="Times New Roman"/>
          <w:sz w:val="24"/>
          <w:szCs w:val="24"/>
        </w:rPr>
        <w:t>E</w:t>
      </w:r>
      <w:r w:rsidR="00E90791" w:rsidRPr="00A6363B">
        <w:rPr>
          <w:rFonts w:ascii="Times New Roman" w:hAnsi="Times New Roman" w:cs="Times New Roman"/>
          <w:sz w:val="24"/>
          <w:szCs w:val="24"/>
        </w:rPr>
        <w:t xml:space="preserve">lectrification </w:t>
      </w:r>
      <w:r w:rsidR="00CF1D57" w:rsidRPr="00A6363B">
        <w:rPr>
          <w:rFonts w:ascii="Times New Roman" w:hAnsi="Times New Roman" w:cs="Times New Roman"/>
          <w:sz w:val="24"/>
          <w:szCs w:val="24"/>
        </w:rPr>
        <w:t>P</w:t>
      </w:r>
      <w:r w:rsidR="00E90791" w:rsidRPr="00A6363B">
        <w:rPr>
          <w:rFonts w:ascii="Times New Roman" w:hAnsi="Times New Roman" w:cs="Times New Roman"/>
          <w:sz w:val="24"/>
          <w:szCs w:val="24"/>
        </w:rPr>
        <w:t>rogramme (</w:t>
      </w:r>
      <w:r w:rsidR="00CF1D57" w:rsidRPr="00A6363B">
        <w:rPr>
          <w:rFonts w:ascii="Times New Roman" w:hAnsi="Times New Roman" w:cs="Times New Roman"/>
          <w:sz w:val="24"/>
          <w:szCs w:val="24"/>
        </w:rPr>
        <w:t>M</w:t>
      </w:r>
      <w:r w:rsidR="00E90791" w:rsidRPr="00A6363B">
        <w:rPr>
          <w:rFonts w:ascii="Times New Roman" w:hAnsi="Times New Roman" w:cs="Times New Roman"/>
          <w:sz w:val="24"/>
          <w:szCs w:val="24"/>
        </w:rPr>
        <w:t xml:space="preserve">unicipal) </w:t>
      </w:r>
      <w:r w:rsidR="00CF1D57" w:rsidRPr="00A6363B">
        <w:rPr>
          <w:rFonts w:ascii="Times New Roman" w:hAnsi="Times New Roman" w:cs="Times New Roman"/>
          <w:sz w:val="24"/>
          <w:szCs w:val="24"/>
        </w:rPr>
        <w:t>G</w:t>
      </w:r>
      <w:r w:rsidR="00E90791" w:rsidRPr="00A6363B">
        <w:rPr>
          <w:rFonts w:ascii="Times New Roman" w:hAnsi="Times New Roman" w:cs="Times New Roman"/>
          <w:sz w:val="24"/>
          <w:szCs w:val="24"/>
        </w:rPr>
        <w:t>rant in 2019/20.</w:t>
      </w:r>
    </w:p>
    <w:p w:rsidR="0062405F" w:rsidRPr="00A6363B" w:rsidRDefault="00E90791" w:rsidP="00EE48C3">
      <w:pPr>
        <w:pStyle w:val="ListParagraph"/>
        <w:numPr>
          <w:ilvl w:val="0"/>
          <w:numId w:val="4"/>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lastRenderedPageBreak/>
        <w:t>Over the MTEF period, transfers to local government are reduced by R2.8</w:t>
      </w:r>
      <w:r w:rsidR="00F57302" w:rsidRPr="00A6363B">
        <w:rPr>
          <w:rFonts w:ascii="Times New Roman" w:hAnsi="Times New Roman" w:cs="Times New Roman"/>
          <w:sz w:val="24"/>
          <w:szCs w:val="24"/>
        </w:rPr>
        <w:t xml:space="preserve"> billion in total, including R2.</w:t>
      </w:r>
      <w:r w:rsidRPr="00A6363B">
        <w:rPr>
          <w:rFonts w:ascii="Times New Roman" w:hAnsi="Times New Roman" w:cs="Times New Roman"/>
          <w:sz w:val="24"/>
          <w:szCs w:val="24"/>
        </w:rPr>
        <w:t>5 billion from direct grants and R</w:t>
      </w:r>
      <w:r w:rsidR="003B3E55" w:rsidRPr="00A6363B">
        <w:rPr>
          <w:rFonts w:ascii="Times New Roman" w:hAnsi="Times New Roman" w:cs="Times New Roman"/>
          <w:sz w:val="24"/>
          <w:szCs w:val="24"/>
        </w:rPr>
        <w:t xml:space="preserve">241 </w:t>
      </w:r>
      <w:r w:rsidRPr="00A6363B">
        <w:rPr>
          <w:rFonts w:ascii="Times New Roman" w:hAnsi="Times New Roman" w:cs="Times New Roman"/>
          <w:sz w:val="24"/>
          <w:szCs w:val="24"/>
        </w:rPr>
        <w:t>million from indirect grants. The affected urban and rural grants where small reductions have been made include</w:t>
      </w:r>
      <w:r w:rsidR="00CF1D57" w:rsidRPr="00A6363B">
        <w:rPr>
          <w:rFonts w:ascii="Times New Roman" w:hAnsi="Times New Roman" w:cs="Times New Roman"/>
          <w:sz w:val="24"/>
          <w:szCs w:val="24"/>
        </w:rPr>
        <w:t xml:space="preserve"> </w:t>
      </w:r>
      <w:r w:rsidRPr="00A6363B">
        <w:rPr>
          <w:rFonts w:ascii="Times New Roman" w:hAnsi="Times New Roman" w:cs="Times New Roman"/>
          <w:sz w:val="24"/>
          <w:szCs w:val="24"/>
        </w:rPr>
        <w:t xml:space="preserve">the </w:t>
      </w:r>
      <w:r w:rsidR="00CF1D57" w:rsidRPr="00A6363B">
        <w:rPr>
          <w:rFonts w:ascii="Times New Roman" w:hAnsi="Times New Roman" w:cs="Times New Roman"/>
          <w:sz w:val="24"/>
          <w:szCs w:val="24"/>
        </w:rPr>
        <w:t>P</w:t>
      </w:r>
      <w:r w:rsidRPr="00A6363B">
        <w:rPr>
          <w:rFonts w:ascii="Times New Roman" w:hAnsi="Times New Roman" w:cs="Times New Roman"/>
          <w:sz w:val="24"/>
          <w:szCs w:val="24"/>
        </w:rPr>
        <w:t xml:space="preserve">ublic </w:t>
      </w:r>
      <w:r w:rsidR="00CF1D57" w:rsidRPr="00A6363B">
        <w:rPr>
          <w:rFonts w:ascii="Times New Roman" w:hAnsi="Times New Roman" w:cs="Times New Roman"/>
          <w:sz w:val="24"/>
          <w:szCs w:val="24"/>
        </w:rPr>
        <w:t>T</w:t>
      </w:r>
      <w:r w:rsidRPr="00A6363B">
        <w:rPr>
          <w:rFonts w:ascii="Times New Roman" w:hAnsi="Times New Roman" w:cs="Times New Roman"/>
          <w:sz w:val="24"/>
          <w:szCs w:val="24"/>
        </w:rPr>
        <w:t xml:space="preserve">ransport </w:t>
      </w:r>
      <w:r w:rsidR="00CF1D57" w:rsidRPr="00A6363B">
        <w:rPr>
          <w:rFonts w:ascii="Times New Roman" w:hAnsi="Times New Roman" w:cs="Times New Roman"/>
          <w:sz w:val="24"/>
          <w:szCs w:val="24"/>
        </w:rPr>
        <w:t>N</w:t>
      </w:r>
      <w:r w:rsidRPr="00A6363B">
        <w:rPr>
          <w:rFonts w:ascii="Times New Roman" w:hAnsi="Times New Roman" w:cs="Times New Roman"/>
          <w:sz w:val="24"/>
          <w:szCs w:val="24"/>
        </w:rPr>
        <w:t xml:space="preserve">etwork </w:t>
      </w:r>
      <w:r w:rsidR="00CF1D57"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the </w:t>
      </w:r>
      <w:r w:rsidR="00CF1D57" w:rsidRPr="00A6363B">
        <w:rPr>
          <w:rFonts w:ascii="Times New Roman" w:hAnsi="Times New Roman" w:cs="Times New Roman"/>
          <w:sz w:val="24"/>
          <w:szCs w:val="24"/>
        </w:rPr>
        <w:t>W</w:t>
      </w:r>
      <w:r w:rsidRPr="00A6363B">
        <w:rPr>
          <w:rFonts w:ascii="Times New Roman" w:hAnsi="Times New Roman" w:cs="Times New Roman"/>
          <w:sz w:val="24"/>
          <w:szCs w:val="24"/>
        </w:rPr>
        <w:t xml:space="preserve">ater </w:t>
      </w:r>
      <w:r w:rsidR="00CF1D57" w:rsidRPr="00A6363B">
        <w:rPr>
          <w:rFonts w:ascii="Times New Roman" w:hAnsi="Times New Roman" w:cs="Times New Roman"/>
          <w:sz w:val="24"/>
          <w:szCs w:val="24"/>
        </w:rPr>
        <w:t>S</w:t>
      </w:r>
      <w:r w:rsidRPr="00A6363B">
        <w:rPr>
          <w:rFonts w:ascii="Times New Roman" w:hAnsi="Times New Roman" w:cs="Times New Roman"/>
          <w:sz w:val="24"/>
          <w:szCs w:val="24"/>
        </w:rPr>
        <w:t xml:space="preserve">ervices </w:t>
      </w:r>
      <w:r w:rsidR="00CF1D57" w:rsidRPr="00A6363B">
        <w:rPr>
          <w:rFonts w:ascii="Times New Roman" w:hAnsi="Times New Roman" w:cs="Times New Roman"/>
          <w:sz w:val="24"/>
          <w:szCs w:val="24"/>
        </w:rPr>
        <w:t>I</w:t>
      </w:r>
      <w:r w:rsidRPr="00A6363B">
        <w:rPr>
          <w:rFonts w:ascii="Times New Roman" w:hAnsi="Times New Roman" w:cs="Times New Roman"/>
          <w:sz w:val="24"/>
          <w:szCs w:val="24"/>
        </w:rPr>
        <w:t xml:space="preserve">nfrastructure </w:t>
      </w:r>
      <w:r w:rsidR="00CF1D57"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the </w:t>
      </w:r>
      <w:r w:rsidR="00CF1D57" w:rsidRPr="00A6363B">
        <w:rPr>
          <w:rFonts w:ascii="Times New Roman" w:hAnsi="Times New Roman" w:cs="Times New Roman"/>
          <w:sz w:val="24"/>
          <w:szCs w:val="24"/>
        </w:rPr>
        <w:t>M</w:t>
      </w:r>
      <w:r w:rsidRPr="00A6363B">
        <w:rPr>
          <w:rFonts w:ascii="Times New Roman" w:hAnsi="Times New Roman" w:cs="Times New Roman"/>
          <w:sz w:val="24"/>
          <w:szCs w:val="24"/>
        </w:rPr>
        <w:t xml:space="preserve">unicipal </w:t>
      </w:r>
      <w:r w:rsidR="00CF1D57" w:rsidRPr="00A6363B">
        <w:rPr>
          <w:rFonts w:ascii="Times New Roman" w:hAnsi="Times New Roman" w:cs="Times New Roman"/>
          <w:sz w:val="24"/>
          <w:szCs w:val="24"/>
        </w:rPr>
        <w:t>I</w:t>
      </w:r>
      <w:r w:rsidRPr="00A6363B">
        <w:rPr>
          <w:rFonts w:ascii="Times New Roman" w:hAnsi="Times New Roman" w:cs="Times New Roman"/>
          <w:sz w:val="24"/>
          <w:szCs w:val="24"/>
        </w:rPr>
        <w:t xml:space="preserve">nfrastructure </w:t>
      </w:r>
      <w:r w:rsidR="00CF1D57"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and the </w:t>
      </w:r>
      <w:r w:rsidR="00CF1D57" w:rsidRPr="00A6363B">
        <w:rPr>
          <w:rFonts w:ascii="Times New Roman" w:hAnsi="Times New Roman" w:cs="Times New Roman"/>
          <w:sz w:val="24"/>
          <w:szCs w:val="24"/>
        </w:rPr>
        <w:t>U</w:t>
      </w:r>
      <w:r w:rsidRPr="00A6363B">
        <w:rPr>
          <w:rFonts w:ascii="Times New Roman" w:hAnsi="Times New Roman" w:cs="Times New Roman"/>
          <w:sz w:val="24"/>
          <w:szCs w:val="24"/>
        </w:rPr>
        <w:t xml:space="preserve">rban </w:t>
      </w:r>
      <w:r w:rsidR="00CF1D57" w:rsidRPr="00A6363B">
        <w:rPr>
          <w:rFonts w:ascii="Times New Roman" w:hAnsi="Times New Roman" w:cs="Times New Roman"/>
          <w:sz w:val="24"/>
          <w:szCs w:val="24"/>
        </w:rPr>
        <w:t>S</w:t>
      </w:r>
      <w:r w:rsidRPr="00A6363B">
        <w:rPr>
          <w:rFonts w:ascii="Times New Roman" w:hAnsi="Times New Roman" w:cs="Times New Roman"/>
          <w:sz w:val="24"/>
          <w:szCs w:val="24"/>
        </w:rPr>
        <w:t xml:space="preserve">ettlements </w:t>
      </w:r>
      <w:r w:rsidR="00CF1D57" w:rsidRPr="00A6363B">
        <w:rPr>
          <w:rFonts w:ascii="Times New Roman" w:hAnsi="Times New Roman" w:cs="Times New Roman"/>
          <w:sz w:val="24"/>
          <w:szCs w:val="24"/>
        </w:rPr>
        <w:t>D</w:t>
      </w:r>
      <w:r w:rsidRPr="00A6363B">
        <w:rPr>
          <w:rFonts w:ascii="Times New Roman" w:hAnsi="Times New Roman" w:cs="Times New Roman"/>
          <w:sz w:val="24"/>
          <w:szCs w:val="24"/>
        </w:rPr>
        <w:t xml:space="preserve">evelopment </w:t>
      </w:r>
      <w:r w:rsidR="00CF1D57" w:rsidRPr="00A6363B">
        <w:rPr>
          <w:rFonts w:ascii="Times New Roman" w:hAnsi="Times New Roman" w:cs="Times New Roman"/>
          <w:sz w:val="24"/>
          <w:szCs w:val="24"/>
        </w:rPr>
        <w:t>G</w:t>
      </w:r>
      <w:r w:rsidRPr="00A6363B">
        <w:rPr>
          <w:rFonts w:ascii="Times New Roman" w:hAnsi="Times New Roman" w:cs="Times New Roman"/>
          <w:sz w:val="24"/>
          <w:szCs w:val="24"/>
        </w:rPr>
        <w:t>rant. It is important to not</w:t>
      </w:r>
      <w:r w:rsidR="00F57302" w:rsidRPr="00A6363B">
        <w:rPr>
          <w:rFonts w:ascii="Times New Roman" w:hAnsi="Times New Roman" w:cs="Times New Roman"/>
          <w:sz w:val="24"/>
          <w:szCs w:val="24"/>
        </w:rPr>
        <w:t>e</w:t>
      </w:r>
      <w:r w:rsidRPr="00A6363B">
        <w:rPr>
          <w:rFonts w:ascii="Times New Roman" w:hAnsi="Times New Roman" w:cs="Times New Roman"/>
          <w:sz w:val="24"/>
          <w:szCs w:val="24"/>
        </w:rPr>
        <w:t xml:space="preserve"> that</w:t>
      </w:r>
      <w:r w:rsidR="00CF1D57" w:rsidRPr="00A6363B">
        <w:rPr>
          <w:rFonts w:ascii="Times New Roman" w:hAnsi="Times New Roman" w:cs="Times New Roman"/>
          <w:sz w:val="24"/>
          <w:szCs w:val="24"/>
        </w:rPr>
        <w:t>,</w:t>
      </w:r>
      <w:r w:rsidRPr="00A6363B">
        <w:rPr>
          <w:rFonts w:ascii="Times New Roman" w:hAnsi="Times New Roman" w:cs="Times New Roman"/>
          <w:sz w:val="24"/>
          <w:szCs w:val="24"/>
        </w:rPr>
        <w:t xml:space="preserve"> even though there are proposed reductions, the grants continu</w:t>
      </w:r>
      <w:r w:rsidR="00F57302" w:rsidRPr="00A6363B">
        <w:rPr>
          <w:rFonts w:ascii="Times New Roman" w:hAnsi="Times New Roman" w:cs="Times New Roman"/>
          <w:sz w:val="24"/>
          <w:szCs w:val="24"/>
        </w:rPr>
        <w:t xml:space="preserve">e </w:t>
      </w:r>
      <w:r w:rsidRPr="00A6363B">
        <w:rPr>
          <w:rFonts w:ascii="Times New Roman" w:hAnsi="Times New Roman" w:cs="Times New Roman"/>
          <w:sz w:val="24"/>
          <w:szCs w:val="24"/>
        </w:rPr>
        <w:t xml:space="preserve">to grow by at least 5 percent per year over the 2017 MTEF period. </w:t>
      </w:r>
    </w:p>
    <w:p w:rsidR="0062405F" w:rsidRPr="00A6363B" w:rsidRDefault="0062405F" w:rsidP="00EE48C3">
      <w:pPr>
        <w:pStyle w:val="ListParagraph"/>
        <w:numPr>
          <w:ilvl w:val="0"/>
          <w:numId w:val="4"/>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Funds from the </w:t>
      </w:r>
      <w:r w:rsidR="007B6C0A" w:rsidRPr="00A6363B">
        <w:rPr>
          <w:rFonts w:ascii="Times New Roman" w:hAnsi="Times New Roman" w:cs="Times New Roman"/>
          <w:sz w:val="24"/>
          <w:szCs w:val="24"/>
        </w:rPr>
        <w:t>E</w:t>
      </w:r>
      <w:r w:rsidRPr="00A6363B">
        <w:rPr>
          <w:rFonts w:ascii="Times New Roman" w:hAnsi="Times New Roman" w:cs="Times New Roman"/>
          <w:sz w:val="24"/>
          <w:szCs w:val="24"/>
        </w:rPr>
        <w:t xml:space="preserve">xpanded </w:t>
      </w:r>
      <w:r w:rsidR="007B6C0A" w:rsidRPr="00A6363B">
        <w:rPr>
          <w:rFonts w:ascii="Times New Roman" w:hAnsi="Times New Roman" w:cs="Times New Roman"/>
          <w:sz w:val="24"/>
          <w:szCs w:val="24"/>
        </w:rPr>
        <w:t>P</w:t>
      </w:r>
      <w:r w:rsidRPr="00A6363B">
        <w:rPr>
          <w:rFonts w:ascii="Times New Roman" w:hAnsi="Times New Roman" w:cs="Times New Roman"/>
          <w:sz w:val="24"/>
          <w:szCs w:val="24"/>
        </w:rPr>
        <w:t xml:space="preserve">ublic </w:t>
      </w:r>
      <w:r w:rsidR="007B6C0A" w:rsidRPr="00A6363B">
        <w:rPr>
          <w:rFonts w:ascii="Times New Roman" w:hAnsi="Times New Roman" w:cs="Times New Roman"/>
          <w:sz w:val="24"/>
          <w:szCs w:val="24"/>
        </w:rPr>
        <w:t>W</w:t>
      </w:r>
      <w:r w:rsidRPr="00A6363B">
        <w:rPr>
          <w:rFonts w:ascii="Times New Roman" w:hAnsi="Times New Roman" w:cs="Times New Roman"/>
          <w:sz w:val="24"/>
          <w:szCs w:val="24"/>
        </w:rPr>
        <w:t xml:space="preserve">orks </w:t>
      </w:r>
      <w:r w:rsidR="007B6C0A" w:rsidRPr="00A6363B">
        <w:rPr>
          <w:rFonts w:ascii="Times New Roman" w:hAnsi="Times New Roman" w:cs="Times New Roman"/>
          <w:sz w:val="24"/>
          <w:szCs w:val="24"/>
        </w:rPr>
        <w:t>P</w:t>
      </w:r>
      <w:r w:rsidRPr="00A6363B">
        <w:rPr>
          <w:rFonts w:ascii="Times New Roman" w:hAnsi="Times New Roman" w:cs="Times New Roman"/>
          <w:sz w:val="24"/>
          <w:szCs w:val="24"/>
        </w:rPr>
        <w:t xml:space="preserve">rogramme </w:t>
      </w:r>
      <w:r w:rsidR="007B6C0A" w:rsidRPr="00A6363B">
        <w:rPr>
          <w:rFonts w:ascii="Times New Roman" w:hAnsi="Times New Roman" w:cs="Times New Roman"/>
          <w:sz w:val="24"/>
          <w:szCs w:val="24"/>
        </w:rPr>
        <w:t>I</w:t>
      </w:r>
      <w:r w:rsidRPr="00A6363B">
        <w:rPr>
          <w:rFonts w:ascii="Times New Roman" w:hAnsi="Times New Roman" w:cs="Times New Roman"/>
          <w:sz w:val="24"/>
          <w:szCs w:val="24"/>
        </w:rPr>
        <w:t xml:space="preserve">ntegrated </w:t>
      </w:r>
      <w:r w:rsidR="007B6C0A"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to municipalities have been reprioritised to expand the mandate of </w:t>
      </w:r>
      <w:r w:rsidR="007B6C0A" w:rsidRPr="00A6363B">
        <w:rPr>
          <w:rFonts w:ascii="Times New Roman" w:hAnsi="Times New Roman" w:cs="Times New Roman"/>
          <w:sz w:val="24"/>
          <w:szCs w:val="24"/>
        </w:rPr>
        <w:t xml:space="preserve">the </w:t>
      </w:r>
      <w:r w:rsidRPr="00A6363B">
        <w:rPr>
          <w:rFonts w:ascii="Times New Roman" w:hAnsi="Times New Roman" w:cs="Times New Roman"/>
          <w:sz w:val="24"/>
          <w:szCs w:val="24"/>
        </w:rPr>
        <w:t xml:space="preserve">Commission for Conciliation, Mediation and Arbitration. Moreover, funds have been reprioritised from the indirect </w:t>
      </w:r>
      <w:r w:rsidR="007B6C0A" w:rsidRPr="00A6363B">
        <w:rPr>
          <w:rFonts w:ascii="Times New Roman" w:hAnsi="Times New Roman" w:cs="Times New Roman"/>
          <w:sz w:val="24"/>
          <w:szCs w:val="24"/>
        </w:rPr>
        <w:t>I</w:t>
      </w:r>
      <w:r w:rsidRPr="00A6363B">
        <w:rPr>
          <w:rFonts w:ascii="Times New Roman" w:hAnsi="Times New Roman" w:cs="Times New Roman"/>
          <w:sz w:val="24"/>
          <w:szCs w:val="24"/>
        </w:rPr>
        <w:t xml:space="preserve">ntegrated </w:t>
      </w:r>
      <w:r w:rsidR="007B6C0A" w:rsidRPr="00A6363B">
        <w:rPr>
          <w:rFonts w:ascii="Times New Roman" w:hAnsi="Times New Roman" w:cs="Times New Roman"/>
          <w:sz w:val="24"/>
          <w:szCs w:val="24"/>
        </w:rPr>
        <w:t>N</w:t>
      </w:r>
      <w:r w:rsidRPr="00A6363B">
        <w:rPr>
          <w:rFonts w:ascii="Times New Roman" w:hAnsi="Times New Roman" w:cs="Times New Roman"/>
          <w:sz w:val="24"/>
          <w:szCs w:val="24"/>
        </w:rPr>
        <w:t xml:space="preserve">ational </w:t>
      </w:r>
      <w:r w:rsidR="007B6C0A" w:rsidRPr="00A6363B">
        <w:rPr>
          <w:rFonts w:ascii="Times New Roman" w:hAnsi="Times New Roman" w:cs="Times New Roman"/>
          <w:sz w:val="24"/>
          <w:szCs w:val="24"/>
        </w:rPr>
        <w:t>E</w:t>
      </w:r>
      <w:r w:rsidRPr="00A6363B">
        <w:rPr>
          <w:rFonts w:ascii="Times New Roman" w:hAnsi="Times New Roman" w:cs="Times New Roman"/>
          <w:sz w:val="24"/>
          <w:szCs w:val="24"/>
        </w:rPr>
        <w:t xml:space="preserve">lectrification </w:t>
      </w:r>
      <w:r w:rsidR="007B6C0A" w:rsidRPr="00A6363B">
        <w:rPr>
          <w:rFonts w:ascii="Times New Roman" w:hAnsi="Times New Roman" w:cs="Times New Roman"/>
          <w:sz w:val="24"/>
          <w:szCs w:val="24"/>
        </w:rPr>
        <w:t>P</w:t>
      </w:r>
      <w:r w:rsidRPr="00A6363B">
        <w:rPr>
          <w:rFonts w:ascii="Times New Roman" w:hAnsi="Times New Roman" w:cs="Times New Roman"/>
          <w:sz w:val="24"/>
          <w:szCs w:val="24"/>
        </w:rPr>
        <w:t>rogramme (</w:t>
      </w:r>
      <w:r w:rsidR="0090600A" w:rsidRPr="00A6363B">
        <w:rPr>
          <w:rFonts w:ascii="Times New Roman" w:hAnsi="Times New Roman" w:cs="Times New Roman"/>
          <w:sz w:val="24"/>
          <w:szCs w:val="24"/>
        </w:rPr>
        <w:t>E</w:t>
      </w:r>
      <w:r w:rsidR="00E52C5C" w:rsidRPr="00A6363B">
        <w:rPr>
          <w:rFonts w:ascii="Times New Roman" w:hAnsi="Times New Roman" w:cs="Times New Roman"/>
          <w:sz w:val="24"/>
          <w:szCs w:val="24"/>
        </w:rPr>
        <w:t>skom</w:t>
      </w:r>
      <w:r w:rsidRPr="00A6363B">
        <w:rPr>
          <w:rFonts w:ascii="Times New Roman" w:hAnsi="Times New Roman" w:cs="Times New Roman"/>
          <w:sz w:val="24"/>
          <w:szCs w:val="24"/>
        </w:rPr>
        <w:t xml:space="preserve">) </w:t>
      </w:r>
      <w:r w:rsidR="007B6C0A"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to fund the management of nuclear waste. Furthermore, small amounts from </w:t>
      </w:r>
      <w:r w:rsidR="007B6C0A" w:rsidRPr="00A6363B">
        <w:rPr>
          <w:rFonts w:ascii="Times New Roman" w:hAnsi="Times New Roman" w:cs="Times New Roman"/>
          <w:sz w:val="24"/>
          <w:szCs w:val="24"/>
        </w:rPr>
        <w:t xml:space="preserve">the </w:t>
      </w:r>
      <w:r w:rsidRPr="00A6363B">
        <w:rPr>
          <w:rFonts w:ascii="Times New Roman" w:hAnsi="Times New Roman" w:cs="Times New Roman"/>
          <w:sz w:val="24"/>
          <w:szCs w:val="24"/>
        </w:rPr>
        <w:t xml:space="preserve">indirect </w:t>
      </w:r>
      <w:r w:rsidR="007B6C0A" w:rsidRPr="00A6363B">
        <w:rPr>
          <w:rFonts w:ascii="Times New Roman" w:hAnsi="Times New Roman" w:cs="Times New Roman"/>
          <w:sz w:val="24"/>
          <w:szCs w:val="24"/>
        </w:rPr>
        <w:t>R</w:t>
      </w:r>
      <w:r w:rsidRPr="00A6363B">
        <w:rPr>
          <w:rFonts w:ascii="Times New Roman" w:hAnsi="Times New Roman" w:cs="Times New Roman"/>
          <w:sz w:val="24"/>
          <w:szCs w:val="24"/>
        </w:rPr>
        <w:t xml:space="preserve">egional </w:t>
      </w:r>
      <w:r w:rsidR="007B6C0A" w:rsidRPr="00A6363B">
        <w:rPr>
          <w:rFonts w:ascii="Times New Roman" w:hAnsi="Times New Roman" w:cs="Times New Roman"/>
          <w:sz w:val="24"/>
          <w:szCs w:val="24"/>
        </w:rPr>
        <w:t>B</w:t>
      </w:r>
      <w:r w:rsidRPr="00A6363B">
        <w:rPr>
          <w:rFonts w:ascii="Times New Roman" w:hAnsi="Times New Roman" w:cs="Times New Roman"/>
          <w:sz w:val="24"/>
          <w:szCs w:val="24"/>
        </w:rPr>
        <w:t xml:space="preserve">ulk </w:t>
      </w:r>
      <w:r w:rsidR="007B6C0A" w:rsidRPr="00A6363B">
        <w:rPr>
          <w:rFonts w:ascii="Times New Roman" w:hAnsi="Times New Roman" w:cs="Times New Roman"/>
          <w:sz w:val="24"/>
          <w:szCs w:val="24"/>
        </w:rPr>
        <w:t>I</w:t>
      </w:r>
      <w:r w:rsidRPr="00A6363B">
        <w:rPr>
          <w:rFonts w:ascii="Times New Roman" w:hAnsi="Times New Roman" w:cs="Times New Roman"/>
          <w:sz w:val="24"/>
          <w:szCs w:val="24"/>
        </w:rPr>
        <w:t xml:space="preserve">nfrastructure </w:t>
      </w:r>
      <w:r w:rsidR="007B6C0A" w:rsidRPr="00A6363B">
        <w:rPr>
          <w:rFonts w:ascii="Times New Roman" w:hAnsi="Times New Roman" w:cs="Times New Roman"/>
          <w:sz w:val="24"/>
          <w:szCs w:val="24"/>
        </w:rPr>
        <w:t>G</w:t>
      </w:r>
      <w:r w:rsidRPr="00A6363B">
        <w:rPr>
          <w:rFonts w:ascii="Times New Roman" w:hAnsi="Times New Roman" w:cs="Times New Roman"/>
          <w:sz w:val="24"/>
          <w:szCs w:val="24"/>
        </w:rPr>
        <w:t>rant will be reprioritised to augment funding for water catchment management agencies.</w:t>
      </w:r>
    </w:p>
    <w:p w:rsidR="00B725E5" w:rsidRPr="00A6363B" w:rsidRDefault="00834E79" w:rsidP="00EE48C3">
      <w:pPr>
        <w:pStyle w:val="ListParagraph"/>
        <w:numPr>
          <w:ilvl w:val="0"/>
          <w:numId w:val="4"/>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After accounting for all reductions and additions, direct transfer</w:t>
      </w:r>
      <w:r w:rsidR="007B6C0A" w:rsidRPr="00A6363B">
        <w:rPr>
          <w:rFonts w:ascii="Times New Roman" w:hAnsi="Times New Roman" w:cs="Times New Roman"/>
          <w:sz w:val="24"/>
          <w:szCs w:val="24"/>
        </w:rPr>
        <w:t>s</w:t>
      </w:r>
      <w:r w:rsidRPr="00A6363B">
        <w:rPr>
          <w:rFonts w:ascii="Times New Roman" w:hAnsi="Times New Roman" w:cs="Times New Roman"/>
          <w:sz w:val="24"/>
          <w:szCs w:val="24"/>
        </w:rPr>
        <w:t xml:space="preserve"> to local government increase by R1.5 billion over the MTEF period. </w:t>
      </w:r>
      <w:r w:rsidR="000D71C6" w:rsidRPr="00A6363B">
        <w:rPr>
          <w:rFonts w:ascii="Times New Roman" w:hAnsi="Times New Roman" w:cs="Times New Roman"/>
          <w:sz w:val="24"/>
          <w:szCs w:val="24"/>
        </w:rPr>
        <w:t>This includes</w:t>
      </w:r>
      <w:r w:rsidRPr="00A6363B">
        <w:rPr>
          <w:rFonts w:ascii="Times New Roman" w:hAnsi="Times New Roman" w:cs="Times New Roman"/>
          <w:sz w:val="24"/>
          <w:szCs w:val="24"/>
        </w:rPr>
        <w:t xml:space="preserve"> reductions on indirect transfers to local government </w:t>
      </w:r>
      <w:r w:rsidR="002C5A6E" w:rsidRPr="00A6363B">
        <w:rPr>
          <w:rFonts w:ascii="Times New Roman" w:hAnsi="Times New Roman" w:cs="Times New Roman"/>
          <w:sz w:val="24"/>
          <w:szCs w:val="24"/>
        </w:rPr>
        <w:t>of</w:t>
      </w:r>
      <w:r w:rsidRPr="00A6363B">
        <w:rPr>
          <w:rFonts w:ascii="Times New Roman" w:hAnsi="Times New Roman" w:cs="Times New Roman"/>
          <w:sz w:val="24"/>
          <w:szCs w:val="24"/>
        </w:rPr>
        <w:t xml:space="preserve"> R240.9 million over the MTEF. The breakdown of the </w:t>
      </w:r>
      <w:r w:rsidR="002C5A6E" w:rsidRPr="00A6363B">
        <w:rPr>
          <w:rFonts w:ascii="Times New Roman" w:hAnsi="Times New Roman" w:cs="Times New Roman"/>
          <w:sz w:val="24"/>
          <w:szCs w:val="24"/>
        </w:rPr>
        <w:t>net changes to local government allocations</w:t>
      </w:r>
      <w:r w:rsidRPr="00A6363B">
        <w:rPr>
          <w:rFonts w:ascii="Times New Roman" w:hAnsi="Times New Roman" w:cs="Times New Roman"/>
          <w:sz w:val="24"/>
          <w:szCs w:val="24"/>
        </w:rPr>
        <w:t xml:space="preserve"> are as follow</w:t>
      </w:r>
      <w:r w:rsidR="007B6C0A" w:rsidRPr="00A6363B">
        <w:rPr>
          <w:rFonts w:ascii="Times New Roman" w:hAnsi="Times New Roman" w:cs="Times New Roman"/>
          <w:sz w:val="24"/>
          <w:szCs w:val="24"/>
        </w:rPr>
        <w:t>s</w:t>
      </w:r>
      <w:r w:rsidRPr="00A6363B">
        <w:rPr>
          <w:rFonts w:ascii="Times New Roman" w:hAnsi="Times New Roman" w:cs="Times New Roman"/>
          <w:sz w:val="24"/>
          <w:szCs w:val="24"/>
        </w:rPr>
        <w:t xml:space="preserve">: </w:t>
      </w:r>
      <w:r w:rsidR="002C5A6E" w:rsidRPr="00A6363B">
        <w:rPr>
          <w:rFonts w:ascii="Times New Roman" w:hAnsi="Times New Roman" w:cs="Times New Roman"/>
          <w:sz w:val="24"/>
          <w:szCs w:val="24"/>
        </w:rPr>
        <w:t xml:space="preserve">a decrease of </w:t>
      </w:r>
      <w:r w:rsidRPr="00A6363B">
        <w:rPr>
          <w:rFonts w:ascii="Times New Roman" w:hAnsi="Times New Roman" w:cs="Times New Roman"/>
          <w:sz w:val="24"/>
          <w:szCs w:val="24"/>
        </w:rPr>
        <w:t xml:space="preserve">R878.5 million in 2017/18, followed by </w:t>
      </w:r>
      <w:r w:rsidR="002C5A6E" w:rsidRPr="00A6363B">
        <w:rPr>
          <w:rFonts w:ascii="Times New Roman" w:hAnsi="Times New Roman" w:cs="Times New Roman"/>
          <w:sz w:val="24"/>
          <w:szCs w:val="24"/>
        </w:rPr>
        <w:t xml:space="preserve">an increase of </w:t>
      </w:r>
      <w:r w:rsidRPr="00A6363B">
        <w:rPr>
          <w:rFonts w:ascii="Times New Roman" w:hAnsi="Times New Roman" w:cs="Times New Roman"/>
          <w:sz w:val="24"/>
          <w:szCs w:val="24"/>
        </w:rPr>
        <w:t xml:space="preserve">R75 million in 2018/19 and </w:t>
      </w:r>
      <w:r w:rsidR="002C5A6E" w:rsidRPr="00A6363B">
        <w:rPr>
          <w:rFonts w:ascii="Times New Roman" w:hAnsi="Times New Roman" w:cs="Times New Roman"/>
          <w:sz w:val="24"/>
          <w:szCs w:val="24"/>
        </w:rPr>
        <w:t xml:space="preserve">an increase of </w:t>
      </w:r>
      <w:r w:rsidRPr="00A6363B">
        <w:rPr>
          <w:rFonts w:ascii="Times New Roman" w:hAnsi="Times New Roman" w:cs="Times New Roman"/>
          <w:sz w:val="24"/>
          <w:szCs w:val="24"/>
        </w:rPr>
        <w:t xml:space="preserve">R2.3 billion in </w:t>
      </w:r>
      <w:r w:rsidR="007B6C0A" w:rsidRPr="00A6363B">
        <w:rPr>
          <w:rFonts w:ascii="Times New Roman" w:hAnsi="Times New Roman" w:cs="Times New Roman"/>
          <w:sz w:val="24"/>
          <w:szCs w:val="24"/>
        </w:rPr>
        <w:t xml:space="preserve">the </w:t>
      </w:r>
      <w:r w:rsidRPr="00A6363B">
        <w:rPr>
          <w:rFonts w:ascii="Times New Roman" w:hAnsi="Times New Roman" w:cs="Times New Roman"/>
          <w:sz w:val="24"/>
          <w:szCs w:val="24"/>
        </w:rPr>
        <w:t>2019/20 financial year.</w:t>
      </w:r>
    </w:p>
    <w:p w:rsidR="00BE5B55" w:rsidRPr="00A6363B" w:rsidRDefault="00BE5B55" w:rsidP="00EE48C3">
      <w:pPr>
        <w:spacing w:before="120" w:line="360" w:lineRule="auto"/>
        <w:ind w:left="360"/>
        <w:jc w:val="both"/>
        <w:rPr>
          <w:rFonts w:ascii="Times New Roman" w:hAnsi="Times New Roman" w:cs="Times New Roman"/>
          <w:sz w:val="24"/>
          <w:szCs w:val="24"/>
        </w:rPr>
      </w:pPr>
    </w:p>
    <w:p w:rsidR="00BE5B55" w:rsidRPr="00A6363B" w:rsidRDefault="00BE5B55" w:rsidP="00EE48C3">
      <w:pPr>
        <w:pStyle w:val="ListParagraph"/>
        <w:numPr>
          <w:ilvl w:val="0"/>
          <w:numId w:val="1"/>
        </w:numPr>
        <w:spacing w:before="120" w:line="360" w:lineRule="auto"/>
        <w:ind w:hanging="644"/>
        <w:jc w:val="both"/>
        <w:rPr>
          <w:rFonts w:ascii="Times New Roman" w:hAnsi="Times New Roman" w:cs="Times New Roman"/>
          <w:b/>
          <w:sz w:val="24"/>
          <w:szCs w:val="24"/>
        </w:rPr>
      </w:pPr>
      <w:r w:rsidRPr="00A6363B">
        <w:rPr>
          <w:rFonts w:ascii="Times New Roman" w:hAnsi="Times New Roman" w:cs="Times New Roman"/>
          <w:b/>
          <w:sz w:val="24"/>
          <w:szCs w:val="24"/>
        </w:rPr>
        <w:t xml:space="preserve">Submissions by Stakeholders and the Public </w:t>
      </w:r>
    </w:p>
    <w:p w:rsidR="00463DEC" w:rsidRPr="00A6363B" w:rsidRDefault="00463DEC"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submissions from the stakeholders covered a variety of issues. The</w:t>
      </w:r>
      <w:r w:rsidR="0015497F" w:rsidRPr="00A6363B">
        <w:rPr>
          <w:rFonts w:ascii="Times New Roman" w:hAnsi="Times New Roman" w:cs="Times New Roman"/>
          <w:sz w:val="24"/>
          <w:szCs w:val="24"/>
        </w:rPr>
        <w:t>se</w:t>
      </w:r>
      <w:r w:rsidRPr="00A6363B">
        <w:rPr>
          <w:rFonts w:ascii="Times New Roman" w:hAnsi="Times New Roman" w:cs="Times New Roman"/>
          <w:sz w:val="24"/>
          <w:szCs w:val="24"/>
        </w:rPr>
        <w:t xml:space="preserve"> include</w:t>
      </w:r>
      <w:r w:rsidR="0015497F" w:rsidRPr="00A6363B">
        <w:rPr>
          <w:rFonts w:ascii="Times New Roman" w:hAnsi="Times New Roman" w:cs="Times New Roman"/>
          <w:sz w:val="24"/>
          <w:szCs w:val="24"/>
        </w:rPr>
        <w:t>d</w:t>
      </w:r>
      <w:r w:rsidRPr="00A6363B">
        <w:rPr>
          <w:rFonts w:ascii="Times New Roman" w:hAnsi="Times New Roman" w:cs="Times New Roman"/>
          <w:sz w:val="24"/>
          <w:szCs w:val="24"/>
        </w:rPr>
        <w:t xml:space="preserve"> </w:t>
      </w:r>
      <w:r w:rsidR="0015497F" w:rsidRPr="00A6363B">
        <w:rPr>
          <w:rFonts w:ascii="Times New Roman" w:hAnsi="Times New Roman" w:cs="Times New Roman"/>
          <w:sz w:val="24"/>
          <w:szCs w:val="24"/>
        </w:rPr>
        <w:t>the</w:t>
      </w:r>
      <w:r w:rsidRPr="00A6363B">
        <w:rPr>
          <w:rFonts w:ascii="Times New Roman" w:hAnsi="Times New Roman" w:cs="Times New Roman"/>
          <w:sz w:val="24"/>
          <w:szCs w:val="24"/>
        </w:rPr>
        <w:t xml:space="preserve"> clarification of clauses</w:t>
      </w:r>
      <w:r w:rsidR="0015497F" w:rsidRPr="00A6363B">
        <w:rPr>
          <w:rFonts w:ascii="Times New Roman" w:hAnsi="Times New Roman" w:cs="Times New Roman"/>
          <w:sz w:val="24"/>
          <w:szCs w:val="24"/>
        </w:rPr>
        <w:t xml:space="preserve"> and</w:t>
      </w:r>
      <w:r w:rsidRPr="00A6363B">
        <w:rPr>
          <w:rFonts w:ascii="Times New Roman" w:hAnsi="Times New Roman" w:cs="Times New Roman"/>
          <w:sz w:val="24"/>
          <w:szCs w:val="24"/>
        </w:rPr>
        <w:t xml:space="preserve"> conditional grant expenditure. The stakeholders who appear</w:t>
      </w:r>
      <w:r w:rsidR="0015497F" w:rsidRPr="00A6363B">
        <w:rPr>
          <w:rFonts w:ascii="Times New Roman" w:hAnsi="Times New Roman" w:cs="Times New Roman"/>
          <w:sz w:val="24"/>
          <w:szCs w:val="24"/>
        </w:rPr>
        <w:t>ed</w:t>
      </w:r>
      <w:r w:rsidRPr="00A6363B">
        <w:rPr>
          <w:rFonts w:ascii="Times New Roman" w:hAnsi="Times New Roman" w:cs="Times New Roman"/>
          <w:sz w:val="24"/>
          <w:szCs w:val="24"/>
        </w:rPr>
        <w:t xml:space="preserve"> before the Committee include</w:t>
      </w:r>
      <w:r w:rsidR="0015497F" w:rsidRPr="00A6363B">
        <w:rPr>
          <w:rFonts w:ascii="Times New Roman" w:hAnsi="Times New Roman" w:cs="Times New Roman"/>
          <w:sz w:val="24"/>
          <w:szCs w:val="24"/>
        </w:rPr>
        <w:t xml:space="preserve"> the</w:t>
      </w:r>
      <w:r w:rsidRPr="00A6363B">
        <w:rPr>
          <w:rFonts w:ascii="Times New Roman" w:hAnsi="Times New Roman" w:cs="Times New Roman"/>
          <w:sz w:val="24"/>
          <w:szCs w:val="24"/>
        </w:rPr>
        <w:t xml:space="preserve"> Financial and Fiscal Commission</w:t>
      </w:r>
      <w:r w:rsidR="0015497F" w:rsidRPr="00A6363B">
        <w:rPr>
          <w:rFonts w:ascii="Times New Roman" w:hAnsi="Times New Roman" w:cs="Times New Roman"/>
          <w:sz w:val="24"/>
          <w:szCs w:val="24"/>
        </w:rPr>
        <w:t xml:space="preserve"> (FFC)</w:t>
      </w:r>
      <w:r w:rsidRPr="00A6363B">
        <w:rPr>
          <w:rFonts w:ascii="Times New Roman" w:hAnsi="Times New Roman" w:cs="Times New Roman"/>
          <w:sz w:val="24"/>
          <w:szCs w:val="24"/>
        </w:rPr>
        <w:t xml:space="preserve">, </w:t>
      </w:r>
      <w:r w:rsidR="0015497F" w:rsidRPr="00A6363B">
        <w:rPr>
          <w:rFonts w:ascii="Times New Roman" w:hAnsi="Times New Roman" w:cs="Times New Roman"/>
          <w:sz w:val="24"/>
          <w:szCs w:val="24"/>
        </w:rPr>
        <w:t xml:space="preserve">the </w:t>
      </w:r>
      <w:r w:rsidRPr="00A6363B">
        <w:rPr>
          <w:rFonts w:ascii="Times New Roman" w:hAnsi="Times New Roman" w:cs="Times New Roman"/>
          <w:sz w:val="24"/>
          <w:szCs w:val="24"/>
        </w:rPr>
        <w:t>South African Local Government Association</w:t>
      </w:r>
      <w:r w:rsidR="0015497F" w:rsidRPr="00A6363B">
        <w:rPr>
          <w:rFonts w:ascii="Times New Roman" w:hAnsi="Times New Roman" w:cs="Times New Roman"/>
          <w:sz w:val="24"/>
          <w:szCs w:val="24"/>
        </w:rPr>
        <w:t xml:space="preserve"> (Salga)</w:t>
      </w:r>
      <w:r w:rsidRPr="00A6363B">
        <w:rPr>
          <w:rFonts w:ascii="Times New Roman" w:hAnsi="Times New Roman" w:cs="Times New Roman"/>
          <w:sz w:val="24"/>
          <w:szCs w:val="24"/>
        </w:rPr>
        <w:t xml:space="preserve">, </w:t>
      </w:r>
      <w:r w:rsidR="0090600A" w:rsidRPr="00A6363B">
        <w:rPr>
          <w:rFonts w:ascii="Times New Roman" w:hAnsi="Times New Roman" w:cs="Times New Roman"/>
          <w:sz w:val="24"/>
          <w:szCs w:val="24"/>
        </w:rPr>
        <w:t>E</w:t>
      </w:r>
      <w:r w:rsidR="00E52C5C" w:rsidRPr="00A6363B">
        <w:rPr>
          <w:rFonts w:ascii="Times New Roman" w:hAnsi="Times New Roman" w:cs="Times New Roman"/>
          <w:sz w:val="24"/>
          <w:szCs w:val="24"/>
        </w:rPr>
        <w:t>skom</w:t>
      </w:r>
      <w:r w:rsidR="0090600A" w:rsidRPr="00A6363B">
        <w:rPr>
          <w:rFonts w:ascii="Times New Roman" w:hAnsi="Times New Roman" w:cs="Times New Roman"/>
          <w:sz w:val="24"/>
          <w:szCs w:val="24"/>
        </w:rPr>
        <w:t xml:space="preserve">, University of Stellenbosch’s Bureau for Economic Research. </w:t>
      </w:r>
    </w:p>
    <w:p w:rsidR="001D2EA6" w:rsidRPr="00A6363B" w:rsidRDefault="001D2EA6" w:rsidP="00EE48C3">
      <w:pPr>
        <w:spacing w:before="120" w:line="360" w:lineRule="auto"/>
        <w:jc w:val="both"/>
        <w:rPr>
          <w:rFonts w:ascii="Times New Roman" w:hAnsi="Times New Roman" w:cs="Times New Roman"/>
          <w:b/>
          <w:sz w:val="24"/>
          <w:szCs w:val="24"/>
        </w:rPr>
      </w:pPr>
    </w:p>
    <w:p w:rsidR="00D50A8B" w:rsidRPr="00A6363B" w:rsidRDefault="00463DEC"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5.1 </w:t>
      </w:r>
      <w:r w:rsidR="00967446" w:rsidRPr="00A6363B">
        <w:rPr>
          <w:rFonts w:ascii="Times New Roman" w:hAnsi="Times New Roman" w:cs="Times New Roman"/>
          <w:b/>
          <w:sz w:val="24"/>
          <w:szCs w:val="24"/>
        </w:rPr>
        <w:t>Financial and Fisc</w:t>
      </w:r>
      <w:r w:rsidR="00D50A8B" w:rsidRPr="00A6363B">
        <w:rPr>
          <w:rFonts w:ascii="Times New Roman" w:hAnsi="Times New Roman" w:cs="Times New Roman"/>
          <w:b/>
          <w:sz w:val="24"/>
          <w:szCs w:val="24"/>
        </w:rPr>
        <w:t>al Commission</w:t>
      </w:r>
    </w:p>
    <w:p w:rsidR="00967446" w:rsidRPr="00A6363B" w:rsidRDefault="00D50A8B"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In its submission, the Financial and Fiscal Commission (the Commission) acknowledged that the Bill </w:t>
      </w:r>
      <w:r w:rsidR="00F772F6" w:rsidRPr="00A6363B">
        <w:rPr>
          <w:rFonts w:ascii="Times New Roman" w:hAnsi="Times New Roman" w:cs="Times New Roman"/>
          <w:sz w:val="24"/>
          <w:szCs w:val="24"/>
        </w:rPr>
        <w:t>had been</w:t>
      </w:r>
      <w:r w:rsidRPr="00A6363B">
        <w:rPr>
          <w:rFonts w:ascii="Times New Roman" w:hAnsi="Times New Roman" w:cs="Times New Roman"/>
          <w:sz w:val="24"/>
          <w:szCs w:val="24"/>
        </w:rPr>
        <w:t xml:space="preserve"> crafted in an environment of exceptionally difficult domestic and global </w:t>
      </w:r>
      <w:r w:rsidRPr="00A6363B">
        <w:rPr>
          <w:rFonts w:ascii="Times New Roman" w:hAnsi="Times New Roman" w:cs="Times New Roman"/>
          <w:sz w:val="24"/>
          <w:szCs w:val="24"/>
        </w:rPr>
        <w:lastRenderedPageBreak/>
        <w:t>conditions. Also, the Commission noted and welcomed continuous emphasis on fiscal consolidation and</w:t>
      </w:r>
      <w:r w:rsidR="00AC043B" w:rsidRPr="00A6363B">
        <w:rPr>
          <w:rFonts w:ascii="Times New Roman" w:hAnsi="Times New Roman" w:cs="Times New Roman"/>
          <w:sz w:val="24"/>
          <w:szCs w:val="24"/>
        </w:rPr>
        <w:t xml:space="preserve"> the</w:t>
      </w:r>
      <w:r w:rsidRPr="00A6363B">
        <w:rPr>
          <w:rFonts w:ascii="Times New Roman" w:hAnsi="Times New Roman" w:cs="Times New Roman"/>
          <w:sz w:val="24"/>
          <w:szCs w:val="24"/>
        </w:rPr>
        <w:t xml:space="preserve"> resulting impact on overall budget credibility.  Furthermore, </w:t>
      </w:r>
      <w:r w:rsidR="00AC043B" w:rsidRPr="00A6363B">
        <w:rPr>
          <w:rFonts w:ascii="Times New Roman" w:hAnsi="Times New Roman" w:cs="Times New Roman"/>
          <w:sz w:val="24"/>
          <w:szCs w:val="24"/>
        </w:rPr>
        <w:t xml:space="preserve">they noted </w:t>
      </w:r>
      <w:r w:rsidRPr="00A6363B">
        <w:rPr>
          <w:rFonts w:ascii="Times New Roman" w:hAnsi="Times New Roman" w:cs="Times New Roman"/>
          <w:sz w:val="24"/>
          <w:szCs w:val="24"/>
        </w:rPr>
        <w:t>the economic background underlying the budget and alluded to low growth below the National Development Plan target which constrains government’s ability to address unemployment, inequality and poverty. The Commission highlighted that social and fiscal risks remain high and encouraged</w:t>
      </w:r>
      <w:r w:rsidR="00967446" w:rsidRPr="00A6363B">
        <w:rPr>
          <w:rFonts w:ascii="Times New Roman" w:hAnsi="Times New Roman" w:cs="Times New Roman"/>
          <w:sz w:val="24"/>
          <w:szCs w:val="24"/>
        </w:rPr>
        <w:t xml:space="preserve"> </w:t>
      </w:r>
      <w:r w:rsidRPr="00A6363B">
        <w:rPr>
          <w:rFonts w:ascii="Times New Roman" w:hAnsi="Times New Roman" w:cs="Times New Roman"/>
          <w:sz w:val="24"/>
          <w:szCs w:val="24"/>
        </w:rPr>
        <w:t>government’s efforts to exercise fiscal discipline and improve the composition and quality of spending.</w:t>
      </w:r>
    </w:p>
    <w:p w:rsidR="00967446" w:rsidRPr="00A6363B" w:rsidRDefault="00967446" w:rsidP="00EE48C3">
      <w:pPr>
        <w:spacing w:before="120" w:line="360" w:lineRule="auto"/>
        <w:jc w:val="both"/>
        <w:rPr>
          <w:rFonts w:ascii="Times New Roman" w:hAnsi="Times New Roman" w:cs="Times New Roman"/>
          <w:sz w:val="24"/>
          <w:szCs w:val="24"/>
        </w:rPr>
      </w:pPr>
    </w:p>
    <w:p w:rsidR="00967446" w:rsidRPr="00A6363B" w:rsidRDefault="00D50A8B"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Commission noted the revisions in Clauses 21(1), (2) and (4) of the Bill on the in-year conversion of allocations and acknowledged that this aims to reduce inefficiencies in the management of conditional grants. However, the Commission was concerned that the definition of thresholds for conditions under which direct grants are converted to indirect grants is not clear and may lead to partiality. The Commission </w:t>
      </w:r>
      <w:r w:rsidR="00967446" w:rsidRPr="00A6363B">
        <w:rPr>
          <w:rFonts w:ascii="Times New Roman" w:hAnsi="Times New Roman" w:cs="Times New Roman"/>
          <w:sz w:val="24"/>
          <w:szCs w:val="24"/>
        </w:rPr>
        <w:t xml:space="preserve">was of the view that the use of </w:t>
      </w:r>
      <w:r w:rsidRPr="00A6363B">
        <w:rPr>
          <w:rFonts w:ascii="Times New Roman" w:hAnsi="Times New Roman" w:cs="Times New Roman"/>
          <w:sz w:val="24"/>
          <w:szCs w:val="24"/>
        </w:rPr>
        <w:t>indirect grants may have an unintended neg</w:t>
      </w:r>
      <w:r w:rsidR="00967446" w:rsidRPr="00A6363B">
        <w:rPr>
          <w:rFonts w:ascii="Times New Roman" w:hAnsi="Times New Roman" w:cs="Times New Roman"/>
          <w:sz w:val="24"/>
          <w:szCs w:val="24"/>
        </w:rPr>
        <w:t xml:space="preserve">ative impact on the repairs and </w:t>
      </w:r>
      <w:r w:rsidRPr="00A6363B">
        <w:rPr>
          <w:rFonts w:ascii="Times New Roman" w:hAnsi="Times New Roman" w:cs="Times New Roman"/>
          <w:sz w:val="24"/>
          <w:szCs w:val="24"/>
        </w:rPr>
        <w:t>maintenance of infrastructure due to national departments delivering</w:t>
      </w:r>
      <w:r w:rsidR="00967446" w:rsidRPr="00A6363B">
        <w:rPr>
          <w:rFonts w:ascii="Times New Roman" w:hAnsi="Times New Roman" w:cs="Times New Roman"/>
          <w:sz w:val="24"/>
          <w:szCs w:val="24"/>
        </w:rPr>
        <w:t xml:space="preserve"> </w:t>
      </w:r>
      <w:r w:rsidRPr="00A6363B">
        <w:rPr>
          <w:rFonts w:ascii="Times New Roman" w:hAnsi="Times New Roman" w:cs="Times New Roman"/>
          <w:sz w:val="24"/>
          <w:szCs w:val="24"/>
        </w:rPr>
        <w:t>infrastructure on behalf of municipalities. National departments were</w:t>
      </w:r>
      <w:r w:rsidR="00967446" w:rsidRPr="00A6363B">
        <w:rPr>
          <w:rFonts w:ascii="Times New Roman" w:hAnsi="Times New Roman" w:cs="Times New Roman"/>
          <w:sz w:val="24"/>
          <w:szCs w:val="24"/>
        </w:rPr>
        <w:t xml:space="preserve"> </w:t>
      </w:r>
      <w:r w:rsidRPr="00A6363B">
        <w:rPr>
          <w:rFonts w:ascii="Times New Roman" w:hAnsi="Times New Roman" w:cs="Times New Roman"/>
          <w:sz w:val="24"/>
          <w:szCs w:val="24"/>
        </w:rPr>
        <w:t>encouraged to strengthen oversight and monitoring mechanisms instead of</w:t>
      </w:r>
      <w:r w:rsidR="00967446" w:rsidRPr="00A6363B">
        <w:rPr>
          <w:rFonts w:ascii="Times New Roman" w:hAnsi="Times New Roman" w:cs="Times New Roman"/>
          <w:sz w:val="24"/>
          <w:szCs w:val="24"/>
        </w:rPr>
        <w:t xml:space="preserve"> </w:t>
      </w:r>
      <w:r w:rsidRPr="00A6363B">
        <w:rPr>
          <w:rFonts w:ascii="Times New Roman" w:hAnsi="Times New Roman" w:cs="Times New Roman"/>
          <w:sz w:val="24"/>
          <w:szCs w:val="24"/>
        </w:rPr>
        <w:t>relying on indirect grants.</w:t>
      </w:r>
    </w:p>
    <w:p w:rsidR="00967446" w:rsidRPr="00A6363B" w:rsidRDefault="00967446" w:rsidP="00EE48C3">
      <w:pPr>
        <w:spacing w:before="120" w:line="360" w:lineRule="auto"/>
        <w:jc w:val="both"/>
        <w:rPr>
          <w:rFonts w:ascii="Times New Roman" w:hAnsi="Times New Roman" w:cs="Times New Roman"/>
          <w:sz w:val="24"/>
          <w:szCs w:val="24"/>
        </w:rPr>
      </w:pPr>
    </w:p>
    <w:p w:rsidR="00545527" w:rsidRPr="00A6363B" w:rsidRDefault="00967446"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Commission welcomed the removal of a subsection under Clause 27(2)(d) and the addition of clause 35(5) and (6) to improve grant administration by allowing transferring officers to delegate powers and responsibilities subject to the same constraints allowed for the National Treasury and provincial treasuries. The Commission was of the view that this w</w:t>
      </w:r>
      <w:r w:rsidR="004B11D5" w:rsidRPr="00A6363B">
        <w:rPr>
          <w:rFonts w:ascii="Times New Roman" w:hAnsi="Times New Roman" w:cs="Times New Roman"/>
          <w:sz w:val="24"/>
          <w:szCs w:val="24"/>
        </w:rPr>
        <w:t>ould</w:t>
      </w:r>
      <w:r w:rsidR="00303B49" w:rsidRPr="00A6363B">
        <w:rPr>
          <w:rFonts w:ascii="Times New Roman" w:hAnsi="Times New Roman" w:cs="Times New Roman"/>
          <w:sz w:val="24"/>
          <w:szCs w:val="24"/>
        </w:rPr>
        <w:t xml:space="preserve"> </w:t>
      </w:r>
      <w:r w:rsidRPr="00A6363B">
        <w:rPr>
          <w:rFonts w:ascii="Times New Roman" w:hAnsi="Times New Roman" w:cs="Times New Roman"/>
          <w:sz w:val="24"/>
          <w:szCs w:val="24"/>
        </w:rPr>
        <w:t>prevent inconsistencies and accountability problems. The Commission also welcomed an addition to Clause 23(2)(b) which provides for the correction of under-payments to municipalities within ten days thus preventing disruptions in service delivery.</w:t>
      </w:r>
    </w:p>
    <w:p w:rsidR="00545527" w:rsidRPr="00A6363B" w:rsidRDefault="00545527" w:rsidP="00EE48C3">
      <w:pPr>
        <w:spacing w:before="120" w:line="360" w:lineRule="auto"/>
        <w:jc w:val="both"/>
        <w:rPr>
          <w:rFonts w:ascii="Times New Roman" w:hAnsi="Times New Roman" w:cs="Times New Roman"/>
          <w:sz w:val="24"/>
          <w:szCs w:val="24"/>
        </w:rPr>
      </w:pPr>
    </w:p>
    <w:p w:rsidR="00545527" w:rsidRPr="00A6363B" w:rsidRDefault="00967446"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With regard to the division of revenue at</w:t>
      </w:r>
      <w:r w:rsidR="00545527" w:rsidRPr="00A6363B">
        <w:rPr>
          <w:rFonts w:ascii="Times New Roman" w:hAnsi="Times New Roman" w:cs="Times New Roman"/>
          <w:sz w:val="24"/>
          <w:szCs w:val="24"/>
        </w:rPr>
        <w:t xml:space="preserve"> national level, the Commission </w:t>
      </w:r>
      <w:r w:rsidRPr="00A6363B">
        <w:rPr>
          <w:rFonts w:ascii="Times New Roman" w:hAnsi="Times New Roman" w:cs="Times New Roman"/>
          <w:sz w:val="24"/>
          <w:szCs w:val="24"/>
        </w:rPr>
        <w:t>noted the R5 billion proposed increase in the MTEF outer year for higher</w:t>
      </w:r>
      <w:r w:rsidR="00545527" w:rsidRPr="00A6363B">
        <w:rPr>
          <w:rFonts w:ascii="Times New Roman" w:hAnsi="Times New Roman" w:cs="Times New Roman"/>
          <w:sz w:val="24"/>
          <w:szCs w:val="24"/>
        </w:rPr>
        <w:t xml:space="preserve"> </w:t>
      </w:r>
      <w:r w:rsidRPr="00A6363B">
        <w:rPr>
          <w:rFonts w:ascii="Times New Roman" w:hAnsi="Times New Roman" w:cs="Times New Roman"/>
          <w:sz w:val="24"/>
          <w:szCs w:val="24"/>
        </w:rPr>
        <w:t>education and also welcomed the pilot project for a mixed funding scheme</w:t>
      </w:r>
      <w:r w:rsidR="00545527" w:rsidRPr="00A6363B">
        <w:rPr>
          <w:rFonts w:ascii="Times New Roman" w:hAnsi="Times New Roman" w:cs="Times New Roman"/>
          <w:sz w:val="24"/>
          <w:szCs w:val="24"/>
        </w:rPr>
        <w:t xml:space="preserve"> </w:t>
      </w:r>
      <w:r w:rsidRPr="00A6363B">
        <w:rPr>
          <w:rFonts w:ascii="Times New Roman" w:hAnsi="Times New Roman" w:cs="Times New Roman"/>
          <w:sz w:val="24"/>
          <w:szCs w:val="24"/>
        </w:rPr>
        <w:t>to accommodate the missing middle. The Commission welcomed the</w:t>
      </w:r>
      <w:r w:rsidR="00545527" w:rsidRPr="00A6363B">
        <w:rPr>
          <w:rFonts w:ascii="Times New Roman" w:hAnsi="Times New Roman" w:cs="Times New Roman"/>
          <w:sz w:val="24"/>
          <w:szCs w:val="24"/>
        </w:rPr>
        <w:t xml:space="preserve"> </w:t>
      </w:r>
      <w:r w:rsidRPr="00A6363B">
        <w:rPr>
          <w:rFonts w:ascii="Times New Roman" w:hAnsi="Times New Roman" w:cs="Times New Roman"/>
          <w:sz w:val="24"/>
          <w:szCs w:val="24"/>
        </w:rPr>
        <w:t xml:space="preserve">sustained spending on infrastructure and the introduction of the new infrastructure budgeting facility which aims to address planning and execution challenges </w:t>
      </w:r>
      <w:r w:rsidR="004B11D5" w:rsidRPr="00A6363B">
        <w:rPr>
          <w:rFonts w:ascii="Times New Roman" w:hAnsi="Times New Roman" w:cs="Times New Roman"/>
          <w:sz w:val="24"/>
          <w:szCs w:val="24"/>
        </w:rPr>
        <w:lastRenderedPageBreak/>
        <w:t>that</w:t>
      </w:r>
      <w:r w:rsidRPr="00A6363B">
        <w:rPr>
          <w:rFonts w:ascii="Times New Roman" w:hAnsi="Times New Roman" w:cs="Times New Roman"/>
          <w:sz w:val="24"/>
          <w:szCs w:val="24"/>
        </w:rPr>
        <w:t xml:space="preserve"> undermine the effectiveness of infrastructure projects. It was of the view that the facility should be extended to infrastructure projects undertaken by local government and also aligned with the existing sub-national planning and co-ordination processes. It was highlighted that infrastructure investment is mainly driven by </w:t>
      </w:r>
      <w:r w:rsidR="004B11D5" w:rsidRPr="00A6363B">
        <w:rPr>
          <w:rFonts w:ascii="Times New Roman" w:hAnsi="Times New Roman" w:cs="Times New Roman"/>
          <w:sz w:val="24"/>
          <w:szCs w:val="24"/>
        </w:rPr>
        <w:t>s</w:t>
      </w:r>
      <w:r w:rsidRPr="00A6363B">
        <w:rPr>
          <w:rFonts w:ascii="Times New Roman" w:hAnsi="Times New Roman" w:cs="Times New Roman"/>
          <w:sz w:val="24"/>
          <w:szCs w:val="24"/>
        </w:rPr>
        <w:t xml:space="preserve">tate </w:t>
      </w:r>
      <w:r w:rsidR="004B11D5" w:rsidRPr="00A6363B">
        <w:rPr>
          <w:rFonts w:ascii="Times New Roman" w:hAnsi="Times New Roman" w:cs="Times New Roman"/>
          <w:sz w:val="24"/>
          <w:szCs w:val="24"/>
        </w:rPr>
        <w:t>o</w:t>
      </w:r>
      <w:r w:rsidRPr="00A6363B">
        <w:rPr>
          <w:rFonts w:ascii="Times New Roman" w:hAnsi="Times New Roman" w:cs="Times New Roman"/>
          <w:sz w:val="24"/>
          <w:szCs w:val="24"/>
        </w:rPr>
        <w:t xml:space="preserve">wned </w:t>
      </w:r>
      <w:r w:rsidR="004B11D5" w:rsidRPr="00A6363B">
        <w:rPr>
          <w:rFonts w:ascii="Times New Roman" w:hAnsi="Times New Roman" w:cs="Times New Roman"/>
          <w:sz w:val="24"/>
          <w:szCs w:val="24"/>
        </w:rPr>
        <w:t>e</w:t>
      </w:r>
      <w:r w:rsidRPr="00A6363B">
        <w:rPr>
          <w:rFonts w:ascii="Times New Roman" w:hAnsi="Times New Roman" w:cs="Times New Roman"/>
          <w:sz w:val="24"/>
          <w:szCs w:val="24"/>
        </w:rPr>
        <w:t>ntities with a share of 45 percent whilst provinces and municipalities account for 20 percent and 18 percent</w:t>
      </w:r>
      <w:r w:rsidR="004B11D5" w:rsidRPr="00A6363B">
        <w:rPr>
          <w:rFonts w:ascii="Times New Roman" w:hAnsi="Times New Roman" w:cs="Times New Roman"/>
          <w:sz w:val="24"/>
          <w:szCs w:val="24"/>
        </w:rPr>
        <w:t>,</w:t>
      </w:r>
      <w:r w:rsidRPr="00A6363B">
        <w:rPr>
          <w:rFonts w:ascii="Times New Roman" w:hAnsi="Times New Roman" w:cs="Times New Roman"/>
          <w:sz w:val="24"/>
          <w:szCs w:val="24"/>
        </w:rPr>
        <w:t xml:space="preserve"> respectively.</w:t>
      </w:r>
    </w:p>
    <w:p w:rsidR="004B11D5" w:rsidRPr="00A6363B" w:rsidRDefault="004B11D5" w:rsidP="00EE48C3">
      <w:pPr>
        <w:spacing w:before="120" w:line="360" w:lineRule="auto"/>
        <w:jc w:val="both"/>
        <w:rPr>
          <w:rFonts w:ascii="Times New Roman" w:hAnsi="Times New Roman" w:cs="Times New Roman"/>
          <w:sz w:val="24"/>
          <w:szCs w:val="24"/>
        </w:rPr>
      </w:pPr>
    </w:p>
    <w:p w:rsidR="00545527" w:rsidRPr="00A6363B" w:rsidRDefault="00545527"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Commission welcomed the fact that there were no total baseline adjustments to the provincial fiscal framework and noted that the provincial equitable share (PES) and conditional grants are expected to grow on average above the rate of inflation over the 2017 MTEF. The Commission indicated that</w:t>
      </w:r>
      <w:r w:rsidR="004B11D5" w:rsidRPr="00A6363B">
        <w:rPr>
          <w:rFonts w:ascii="Times New Roman" w:hAnsi="Times New Roman" w:cs="Times New Roman"/>
          <w:sz w:val="24"/>
          <w:szCs w:val="24"/>
        </w:rPr>
        <w:t>,</w:t>
      </w:r>
      <w:r w:rsidRPr="00A6363B">
        <w:rPr>
          <w:rFonts w:ascii="Times New Roman" w:hAnsi="Times New Roman" w:cs="Times New Roman"/>
          <w:sz w:val="24"/>
          <w:szCs w:val="24"/>
        </w:rPr>
        <w:t xml:space="preserve"> although the real growth in PES and conditional grants was insufficient to address backlogs in education and health, provinces should still be able to marginally expand the delivery of constitutionally mandated basic services. The Commission welcomed the stabilisation of the provincial wage bill and felt that there is a need for linkages between wage increases and productivity through a framework for measuring public sector productivity. The Commission also welcomed the review of the PES formula which is expected to cover the funding burden of poorer schools, assessment of data reliability and the cost of service provision.</w:t>
      </w:r>
    </w:p>
    <w:p w:rsidR="004B11D5" w:rsidRPr="00A6363B" w:rsidRDefault="004B11D5" w:rsidP="00EE48C3">
      <w:pPr>
        <w:spacing w:before="120" w:line="360" w:lineRule="auto"/>
        <w:jc w:val="both"/>
        <w:rPr>
          <w:rFonts w:ascii="Times New Roman" w:hAnsi="Times New Roman" w:cs="Times New Roman"/>
          <w:sz w:val="24"/>
          <w:szCs w:val="24"/>
        </w:rPr>
      </w:pPr>
    </w:p>
    <w:p w:rsidR="00545527" w:rsidRPr="00A6363B" w:rsidRDefault="00545527"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Commission welcomed the strong growth in the local </w:t>
      </w:r>
      <w:r w:rsidR="004B11D5" w:rsidRPr="00A6363B">
        <w:rPr>
          <w:rFonts w:ascii="Times New Roman" w:hAnsi="Times New Roman" w:cs="Times New Roman"/>
          <w:sz w:val="24"/>
          <w:szCs w:val="24"/>
        </w:rPr>
        <w:t xml:space="preserve">government </w:t>
      </w:r>
      <w:r w:rsidRPr="00A6363B">
        <w:rPr>
          <w:rFonts w:ascii="Times New Roman" w:hAnsi="Times New Roman" w:cs="Times New Roman"/>
          <w:sz w:val="24"/>
          <w:szCs w:val="24"/>
        </w:rPr>
        <w:t>equitable share (LES) and in particular the addition for offsetting the increasing costs of basic services. The Commission viewed the effective spending of the LES as having significant redistributive effects in terms of service delivery to the poor. The Commission emphasised that municipalities c</w:t>
      </w:r>
      <w:r w:rsidR="004B11D5" w:rsidRPr="00A6363B">
        <w:rPr>
          <w:rFonts w:ascii="Times New Roman" w:hAnsi="Times New Roman" w:cs="Times New Roman"/>
          <w:sz w:val="24"/>
          <w:szCs w:val="24"/>
        </w:rPr>
        <w:t>ould</w:t>
      </w:r>
      <w:r w:rsidRPr="00A6363B">
        <w:rPr>
          <w:rFonts w:ascii="Times New Roman" w:hAnsi="Times New Roman" w:cs="Times New Roman"/>
          <w:sz w:val="24"/>
          <w:szCs w:val="24"/>
        </w:rPr>
        <w:t xml:space="preserve"> be compensated for the rising costs of basic service only if the true cost of municipal operating and maintenance services is used and reference was made to a model on true costs of basic services developed jointly with the South African Local Government Association. The Commission also welcomed the recognition of discrepancies in the funding of </w:t>
      </w:r>
      <w:r w:rsidR="004B11D5" w:rsidRPr="00A6363B">
        <w:rPr>
          <w:rFonts w:ascii="Times New Roman" w:hAnsi="Times New Roman" w:cs="Times New Roman"/>
          <w:sz w:val="24"/>
          <w:szCs w:val="24"/>
        </w:rPr>
        <w:t>d</w:t>
      </w:r>
      <w:r w:rsidRPr="00A6363B">
        <w:rPr>
          <w:rFonts w:ascii="Times New Roman" w:hAnsi="Times New Roman" w:cs="Times New Roman"/>
          <w:sz w:val="24"/>
          <w:szCs w:val="24"/>
        </w:rPr>
        <w:t xml:space="preserve">istrict </w:t>
      </w:r>
      <w:r w:rsidR="004B11D5" w:rsidRPr="00A6363B">
        <w:rPr>
          <w:rFonts w:ascii="Times New Roman" w:hAnsi="Times New Roman" w:cs="Times New Roman"/>
          <w:sz w:val="24"/>
          <w:szCs w:val="24"/>
        </w:rPr>
        <w:t>m</w:t>
      </w:r>
      <w:r w:rsidRPr="00A6363B">
        <w:rPr>
          <w:rFonts w:ascii="Times New Roman" w:hAnsi="Times New Roman" w:cs="Times New Roman"/>
          <w:sz w:val="24"/>
          <w:szCs w:val="24"/>
        </w:rPr>
        <w:t xml:space="preserve">unicipalities (DMs) and the interim measures for relieving funding bottlenecks faced by </w:t>
      </w:r>
      <w:r w:rsidR="004B11D5" w:rsidRPr="00A6363B">
        <w:rPr>
          <w:rFonts w:ascii="Times New Roman" w:hAnsi="Times New Roman" w:cs="Times New Roman"/>
          <w:sz w:val="24"/>
          <w:szCs w:val="24"/>
        </w:rPr>
        <w:t xml:space="preserve">the </w:t>
      </w:r>
      <w:r w:rsidRPr="00A6363B">
        <w:rPr>
          <w:rFonts w:ascii="Times New Roman" w:hAnsi="Times New Roman" w:cs="Times New Roman"/>
          <w:sz w:val="24"/>
          <w:szCs w:val="24"/>
        </w:rPr>
        <w:t>13 DMs. The Commission was of the view that a long term sustainable funding model for DMs should be found and that this model should be based on a clear identification of the powers and functions of the DMs.</w:t>
      </w:r>
      <w:r w:rsidR="00D50A8B" w:rsidRPr="00A6363B">
        <w:rPr>
          <w:rFonts w:ascii="Times New Roman" w:hAnsi="Times New Roman" w:cs="Times New Roman"/>
          <w:sz w:val="24"/>
          <w:szCs w:val="24"/>
        </w:rPr>
        <w:t xml:space="preserve"> </w:t>
      </w:r>
    </w:p>
    <w:p w:rsidR="00545527" w:rsidRPr="00A6363B" w:rsidRDefault="00545527" w:rsidP="00EE48C3">
      <w:pPr>
        <w:spacing w:before="120" w:line="360" w:lineRule="auto"/>
        <w:jc w:val="both"/>
        <w:rPr>
          <w:rFonts w:ascii="Times New Roman" w:hAnsi="Times New Roman" w:cs="Times New Roman"/>
          <w:sz w:val="24"/>
          <w:szCs w:val="24"/>
        </w:rPr>
      </w:pPr>
    </w:p>
    <w:p w:rsidR="00545527" w:rsidRPr="00A6363B" w:rsidRDefault="00545527"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lastRenderedPageBreak/>
        <w:t xml:space="preserve">In terms of provincial conditional grants, the Commission noted with concern the reduction in the baseline of the Human Settlements Development </w:t>
      </w:r>
      <w:r w:rsidR="004B11D5" w:rsidRPr="00A6363B">
        <w:rPr>
          <w:rFonts w:ascii="Times New Roman" w:hAnsi="Times New Roman" w:cs="Times New Roman"/>
          <w:sz w:val="24"/>
          <w:szCs w:val="24"/>
        </w:rPr>
        <w:t>G</w:t>
      </w:r>
      <w:r w:rsidRPr="00A6363B">
        <w:rPr>
          <w:rFonts w:ascii="Times New Roman" w:hAnsi="Times New Roman" w:cs="Times New Roman"/>
          <w:sz w:val="24"/>
          <w:szCs w:val="24"/>
        </w:rPr>
        <w:t>rant and was of the view that this would negatively affect the performance of the sector in terms of housing units delivered and thus widen the gap between housing needs and delivery in the affordable housing market. With regard to the R3.6 billion ring-fenced for upgrading informal settlements in mining towns, the Commission re-iterated its recommendation for a rental tenure option or a balanced mix</w:t>
      </w:r>
      <w:r w:rsidR="004B11D5" w:rsidRPr="00A6363B">
        <w:rPr>
          <w:rFonts w:ascii="Times New Roman" w:hAnsi="Times New Roman" w:cs="Times New Roman"/>
          <w:sz w:val="24"/>
          <w:szCs w:val="24"/>
        </w:rPr>
        <w:t>,</w:t>
      </w:r>
      <w:r w:rsidRPr="00A6363B">
        <w:rPr>
          <w:rFonts w:ascii="Times New Roman" w:hAnsi="Times New Roman" w:cs="Times New Roman"/>
          <w:sz w:val="24"/>
          <w:szCs w:val="24"/>
        </w:rPr>
        <w:t xml:space="preserve"> given that mining areas </w:t>
      </w:r>
      <w:r w:rsidR="004B11D5" w:rsidRPr="00A6363B">
        <w:rPr>
          <w:rFonts w:ascii="Times New Roman" w:hAnsi="Times New Roman" w:cs="Times New Roman"/>
          <w:sz w:val="24"/>
          <w:szCs w:val="24"/>
        </w:rPr>
        <w:t xml:space="preserve">are </w:t>
      </w:r>
      <w:r w:rsidRPr="00A6363B">
        <w:rPr>
          <w:rFonts w:ascii="Times New Roman" w:hAnsi="Times New Roman" w:cs="Times New Roman"/>
          <w:sz w:val="24"/>
          <w:szCs w:val="24"/>
        </w:rPr>
        <w:t>comprise</w:t>
      </w:r>
      <w:r w:rsidR="004B11D5" w:rsidRPr="00A6363B">
        <w:rPr>
          <w:rFonts w:ascii="Times New Roman" w:hAnsi="Times New Roman" w:cs="Times New Roman"/>
          <w:sz w:val="24"/>
          <w:szCs w:val="24"/>
        </w:rPr>
        <w:t>d</w:t>
      </w:r>
      <w:r w:rsidRPr="00A6363B">
        <w:rPr>
          <w:rFonts w:ascii="Times New Roman" w:hAnsi="Times New Roman" w:cs="Times New Roman"/>
          <w:sz w:val="24"/>
          <w:szCs w:val="24"/>
        </w:rPr>
        <w:t xml:space="preserve"> mainly of migrant labour who may prefer rental over ownership. The Commission also encouraged government to partner with the mining sector for the upgrading of informal settlements in mining towns in a way that is less of a burden to the fiscus. The Commission supported the proposed devolving of the public transport contracting and regulatory function to metros and recommended that careful consideration be made to the baseline to ensure that metros are not disadvantaged. Furthermore, the Commission recommended that the decision to devolve be communicated to the affected metros </w:t>
      </w:r>
      <w:r w:rsidR="004B11D5" w:rsidRPr="00A6363B">
        <w:rPr>
          <w:rFonts w:ascii="Times New Roman" w:hAnsi="Times New Roman" w:cs="Times New Roman"/>
          <w:sz w:val="24"/>
          <w:szCs w:val="24"/>
        </w:rPr>
        <w:t xml:space="preserve">soon, </w:t>
      </w:r>
      <w:r w:rsidRPr="00A6363B">
        <w:rPr>
          <w:rFonts w:ascii="Times New Roman" w:hAnsi="Times New Roman" w:cs="Times New Roman"/>
          <w:sz w:val="24"/>
          <w:szCs w:val="24"/>
        </w:rPr>
        <w:t xml:space="preserve">to facilitate planning and contracting. </w:t>
      </w:r>
    </w:p>
    <w:p w:rsidR="00545527" w:rsidRPr="00A6363B" w:rsidRDefault="00545527" w:rsidP="00EE48C3">
      <w:pPr>
        <w:spacing w:before="120" w:line="360" w:lineRule="auto"/>
        <w:jc w:val="both"/>
        <w:rPr>
          <w:rFonts w:ascii="Times New Roman" w:hAnsi="Times New Roman" w:cs="Times New Roman"/>
          <w:sz w:val="24"/>
          <w:szCs w:val="24"/>
        </w:rPr>
      </w:pPr>
    </w:p>
    <w:p w:rsidR="00545527" w:rsidRPr="00A6363B" w:rsidRDefault="00545527"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Commission was concerned about the baseline reductions in the Health Facility Revitalisation </w:t>
      </w:r>
      <w:r w:rsidR="00ED5629" w:rsidRPr="00A6363B">
        <w:rPr>
          <w:rFonts w:ascii="Times New Roman" w:hAnsi="Times New Roman" w:cs="Times New Roman"/>
          <w:sz w:val="24"/>
          <w:szCs w:val="24"/>
        </w:rPr>
        <w:t>G</w:t>
      </w:r>
      <w:r w:rsidRPr="00A6363B">
        <w:rPr>
          <w:rFonts w:ascii="Times New Roman" w:hAnsi="Times New Roman" w:cs="Times New Roman"/>
          <w:sz w:val="24"/>
          <w:szCs w:val="24"/>
        </w:rPr>
        <w:t>rant</w:t>
      </w:r>
      <w:r w:rsidR="00ED5629" w:rsidRPr="00A6363B">
        <w:rPr>
          <w:rFonts w:ascii="Times New Roman" w:hAnsi="Times New Roman" w:cs="Times New Roman"/>
          <w:sz w:val="24"/>
          <w:szCs w:val="24"/>
        </w:rPr>
        <w:t>,</w:t>
      </w:r>
      <w:r w:rsidRPr="00A6363B">
        <w:rPr>
          <w:rFonts w:ascii="Times New Roman" w:hAnsi="Times New Roman" w:cs="Times New Roman"/>
          <w:sz w:val="24"/>
          <w:szCs w:val="24"/>
        </w:rPr>
        <w:t xml:space="preserve"> given its importance to the construction and maintenance of health infrastructure in line with the National Health Insurance reforms underway</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and </w:t>
      </w:r>
      <w:r w:rsidR="00D40602" w:rsidRPr="00A6363B">
        <w:rPr>
          <w:rFonts w:ascii="Times New Roman" w:hAnsi="Times New Roman" w:cs="Times New Roman"/>
          <w:sz w:val="24"/>
          <w:szCs w:val="24"/>
        </w:rPr>
        <w:t xml:space="preserve">in the </w:t>
      </w:r>
      <w:r w:rsidRPr="00A6363B">
        <w:rPr>
          <w:rFonts w:ascii="Times New Roman" w:hAnsi="Times New Roman" w:cs="Times New Roman"/>
          <w:sz w:val="24"/>
          <w:szCs w:val="24"/>
        </w:rPr>
        <w:t xml:space="preserve">HIV/AIDS and TB </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rant</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given the increased </w:t>
      </w:r>
      <w:r w:rsidR="00D40602" w:rsidRPr="00A6363B">
        <w:rPr>
          <w:rFonts w:ascii="Times New Roman" w:hAnsi="Times New Roman" w:cs="Times New Roman"/>
          <w:sz w:val="24"/>
          <w:szCs w:val="24"/>
        </w:rPr>
        <w:t xml:space="preserve">yearly </w:t>
      </w:r>
      <w:r w:rsidRPr="00A6363B">
        <w:rPr>
          <w:rFonts w:ascii="Times New Roman" w:hAnsi="Times New Roman" w:cs="Times New Roman"/>
          <w:sz w:val="24"/>
          <w:szCs w:val="24"/>
        </w:rPr>
        <w:t xml:space="preserve">uptake of people on ARVs. With regard to the closure of the direct component of the National Health Insurance (NHI) </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the Commission noted that the direct NHI </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rant has been plagued by poor spending due to poor supply chain management systems, weak human resource capacity and the lack of delegation powers at district levels. The Commission was of the view that this points to a need for far</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reaching reforms which also address pre-existing operational and institutional challenges at provincial level</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before the NHI is rolled out. The Commission proposed that the </w:t>
      </w:r>
      <w:r w:rsidR="00D40602" w:rsidRPr="00A6363B">
        <w:rPr>
          <w:rFonts w:ascii="Times New Roman" w:hAnsi="Times New Roman" w:cs="Times New Roman"/>
          <w:sz w:val="24"/>
          <w:szCs w:val="24"/>
        </w:rPr>
        <w:t>n</w:t>
      </w:r>
      <w:r w:rsidRPr="00A6363B">
        <w:rPr>
          <w:rFonts w:ascii="Times New Roman" w:hAnsi="Times New Roman" w:cs="Times New Roman"/>
          <w:sz w:val="24"/>
          <w:szCs w:val="24"/>
        </w:rPr>
        <w:t xml:space="preserve">ational Department of Health should use the indirect NHI </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rant to build the capacity of health district offices</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given their central role in the implementation of the NHI programme. The Commission also encouraged government to implement the NHI reforms in a sequential manner and made reference to stewardship and governance, pooling, purchasing and benefits design.</w:t>
      </w:r>
    </w:p>
    <w:p w:rsidR="00545527" w:rsidRPr="00A6363B" w:rsidRDefault="00545527" w:rsidP="00EE48C3">
      <w:pPr>
        <w:spacing w:before="120" w:line="360" w:lineRule="auto"/>
        <w:jc w:val="both"/>
        <w:rPr>
          <w:rFonts w:ascii="Times New Roman" w:hAnsi="Times New Roman" w:cs="Times New Roman"/>
          <w:sz w:val="24"/>
          <w:szCs w:val="24"/>
        </w:rPr>
      </w:pPr>
    </w:p>
    <w:p w:rsidR="0021714D" w:rsidRPr="00A6363B" w:rsidRDefault="00545527"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lastRenderedPageBreak/>
        <w:t xml:space="preserve">The MTEF allocations of R1.3 billion for Early Childhood Development and R591.3 million for the new </w:t>
      </w:r>
      <w:r w:rsidR="00D40602" w:rsidRPr="00A6363B">
        <w:rPr>
          <w:rFonts w:ascii="Times New Roman" w:hAnsi="Times New Roman" w:cs="Times New Roman"/>
          <w:sz w:val="24"/>
          <w:szCs w:val="24"/>
        </w:rPr>
        <w:t>S</w:t>
      </w:r>
      <w:r w:rsidRPr="00A6363B">
        <w:rPr>
          <w:rFonts w:ascii="Times New Roman" w:hAnsi="Times New Roman" w:cs="Times New Roman"/>
          <w:sz w:val="24"/>
          <w:szCs w:val="24"/>
        </w:rPr>
        <w:t xml:space="preserve">ocial </w:t>
      </w:r>
      <w:r w:rsidR="00D40602" w:rsidRPr="00A6363B">
        <w:rPr>
          <w:rFonts w:ascii="Times New Roman" w:hAnsi="Times New Roman" w:cs="Times New Roman"/>
          <w:sz w:val="24"/>
          <w:szCs w:val="24"/>
        </w:rPr>
        <w:t>W</w:t>
      </w:r>
      <w:r w:rsidRPr="00A6363B">
        <w:rPr>
          <w:rFonts w:ascii="Times New Roman" w:hAnsi="Times New Roman" w:cs="Times New Roman"/>
          <w:sz w:val="24"/>
          <w:szCs w:val="24"/>
        </w:rPr>
        <w:t xml:space="preserve">orker </w:t>
      </w:r>
      <w:r w:rsidR="00D40602" w:rsidRPr="00A6363B">
        <w:rPr>
          <w:rFonts w:ascii="Times New Roman" w:hAnsi="Times New Roman" w:cs="Times New Roman"/>
          <w:sz w:val="24"/>
          <w:szCs w:val="24"/>
        </w:rPr>
        <w:t>E</w:t>
      </w:r>
      <w:r w:rsidRPr="00A6363B">
        <w:rPr>
          <w:rFonts w:ascii="Times New Roman" w:hAnsi="Times New Roman" w:cs="Times New Roman"/>
          <w:sz w:val="24"/>
          <w:szCs w:val="24"/>
        </w:rPr>
        <w:t xml:space="preserve">mployment </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were also welcomed by the Commission. The Commission proposed that government should clarify </w:t>
      </w:r>
      <w:r w:rsidR="00D40602" w:rsidRPr="00A6363B">
        <w:rPr>
          <w:rFonts w:ascii="Times New Roman" w:hAnsi="Times New Roman" w:cs="Times New Roman"/>
          <w:sz w:val="24"/>
          <w:szCs w:val="24"/>
        </w:rPr>
        <w:t>whether</w:t>
      </w:r>
      <w:r w:rsidRPr="00A6363B">
        <w:rPr>
          <w:rFonts w:ascii="Times New Roman" w:hAnsi="Times New Roman" w:cs="Times New Roman"/>
          <w:sz w:val="24"/>
          <w:szCs w:val="24"/>
        </w:rPr>
        <w:t xml:space="preserve"> provinces can use the </w:t>
      </w:r>
      <w:r w:rsidR="00D40602" w:rsidRPr="00A6363B">
        <w:rPr>
          <w:rFonts w:ascii="Times New Roman" w:hAnsi="Times New Roman" w:cs="Times New Roman"/>
          <w:sz w:val="24"/>
          <w:szCs w:val="24"/>
        </w:rPr>
        <w:t>S</w:t>
      </w:r>
      <w:r w:rsidRPr="00A6363B">
        <w:rPr>
          <w:rFonts w:ascii="Times New Roman" w:hAnsi="Times New Roman" w:cs="Times New Roman"/>
          <w:sz w:val="24"/>
          <w:szCs w:val="24"/>
        </w:rPr>
        <w:t xml:space="preserve">ocial </w:t>
      </w:r>
      <w:r w:rsidR="00D40602" w:rsidRPr="00A6363B">
        <w:rPr>
          <w:rFonts w:ascii="Times New Roman" w:hAnsi="Times New Roman" w:cs="Times New Roman"/>
          <w:sz w:val="24"/>
          <w:szCs w:val="24"/>
        </w:rPr>
        <w:t>W</w:t>
      </w:r>
      <w:r w:rsidRPr="00A6363B">
        <w:rPr>
          <w:rFonts w:ascii="Times New Roman" w:hAnsi="Times New Roman" w:cs="Times New Roman"/>
          <w:sz w:val="24"/>
          <w:szCs w:val="24"/>
        </w:rPr>
        <w:t xml:space="preserve">orker </w:t>
      </w:r>
      <w:r w:rsidR="00D40602" w:rsidRPr="00A6363B">
        <w:rPr>
          <w:rFonts w:ascii="Times New Roman" w:hAnsi="Times New Roman" w:cs="Times New Roman"/>
          <w:sz w:val="24"/>
          <w:szCs w:val="24"/>
        </w:rPr>
        <w:t>E</w:t>
      </w:r>
      <w:r w:rsidRPr="00A6363B">
        <w:rPr>
          <w:rFonts w:ascii="Times New Roman" w:hAnsi="Times New Roman" w:cs="Times New Roman"/>
          <w:sz w:val="24"/>
          <w:szCs w:val="24"/>
        </w:rPr>
        <w:t xml:space="preserve">mployment </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 xml:space="preserve">rant to fund </w:t>
      </w:r>
      <w:r w:rsidR="00D40602" w:rsidRPr="00A6363B">
        <w:rPr>
          <w:rFonts w:ascii="Times New Roman" w:hAnsi="Times New Roman" w:cs="Times New Roman"/>
          <w:sz w:val="24"/>
          <w:szCs w:val="24"/>
        </w:rPr>
        <w:t>n</w:t>
      </w:r>
      <w:r w:rsidRPr="00A6363B">
        <w:rPr>
          <w:rFonts w:ascii="Times New Roman" w:hAnsi="Times New Roman" w:cs="Times New Roman"/>
          <w:sz w:val="24"/>
          <w:szCs w:val="24"/>
        </w:rPr>
        <w:t>on-</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 xml:space="preserve">overnment </w:t>
      </w:r>
      <w:r w:rsidR="00D40602" w:rsidRPr="00A6363B">
        <w:rPr>
          <w:rFonts w:ascii="Times New Roman" w:hAnsi="Times New Roman" w:cs="Times New Roman"/>
          <w:sz w:val="24"/>
          <w:szCs w:val="24"/>
        </w:rPr>
        <w:t>o</w:t>
      </w:r>
      <w:r w:rsidRPr="00A6363B">
        <w:rPr>
          <w:rFonts w:ascii="Times New Roman" w:hAnsi="Times New Roman" w:cs="Times New Roman"/>
          <w:sz w:val="24"/>
          <w:szCs w:val="24"/>
        </w:rPr>
        <w:t>rganisations that are in need of social workers as the grant framework was not clear on this. Furthermore, the Commission was of the view that departments should be discouraged from designing scholarship program</w:t>
      </w:r>
      <w:r w:rsidR="00D40602" w:rsidRPr="00A6363B">
        <w:rPr>
          <w:rFonts w:ascii="Times New Roman" w:hAnsi="Times New Roman" w:cs="Times New Roman"/>
          <w:sz w:val="24"/>
          <w:szCs w:val="24"/>
        </w:rPr>
        <w:t>mes</w:t>
      </w:r>
      <w:r w:rsidRPr="00A6363B">
        <w:rPr>
          <w:rFonts w:ascii="Times New Roman" w:hAnsi="Times New Roman" w:cs="Times New Roman"/>
          <w:sz w:val="24"/>
          <w:szCs w:val="24"/>
        </w:rPr>
        <w:t xml:space="preserve"> linked to guaranteed employment as this could lead to financial mismanagement</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especially if the graduates were not budgeted for in compensation budgets of the departments.</w:t>
      </w:r>
    </w:p>
    <w:p w:rsidR="0021714D" w:rsidRPr="00A6363B" w:rsidRDefault="0021714D" w:rsidP="00EE48C3">
      <w:pPr>
        <w:spacing w:before="120" w:line="360" w:lineRule="auto"/>
        <w:jc w:val="both"/>
        <w:rPr>
          <w:rFonts w:ascii="Times New Roman" w:hAnsi="Times New Roman" w:cs="Times New Roman"/>
          <w:sz w:val="24"/>
          <w:szCs w:val="24"/>
        </w:rPr>
      </w:pPr>
    </w:p>
    <w:p w:rsidR="0021714D" w:rsidRPr="00A6363B" w:rsidRDefault="00545527"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In terms of local government conditional grants, the Commission wa</w:t>
      </w:r>
      <w:r w:rsidR="001B334B" w:rsidRPr="00A6363B">
        <w:rPr>
          <w:rFonts w:ascii="Times New Roman" w:hAnsi="Times New Roman" w:cs="Times New Roman"/>
          <w:sz w:val="24"/>
          <w:szCs w:val="24"/>
        </w:rPr>
        <w:t xml:space="preserve">s </w:t>
      </w:r>
      <w:r w:rsidRPr="00A6363B">
        <w:rPr>
          <w:rFonts w:ascii="Times New Roman" w:hAnsi="Times New Roman" w:cs="Times New Roman"/>
          <w:sz w:val="24"/>
          <w:szCs w:val="24"/>
        </w:rPr>
        <w:t xml:space="preserve">concerned about the baseline reductions to the Municipal Infrastructure Grant (MIG), the Water Services Infrastructure Grant (WSIG), the Urban Settlements Development Grant (USDG) and the Public Transport Operations </w:t>
      </w:r>
      <w:r w:rsidR="00D40602" w:rsidRPr="00A6363B">
        <w:rPr>
          <w:rFonts w:ascii="Times New Roman" w:hAnsi="Times New Roman" w:cs="Times New Roman"/>
          <w:sz w:val="24"/>
          <w:szCs w:val="24"/>
        </w:rPr>
        <w:t>G</w:t>
      </w:r>
      <w:r w:rsidRPr="00A6363B">
        <w:rPr>
          <w:rFonts w:ascii="Times New Roman" w:hAnsi="Times New Roman" w:cs="Times New Roman"/>
          <w:sz w:val="24"/>
          <w:szCs w:val="24"/>
        </w:rPr>
        <w:t>rant. The Commission highlighted that it has repeatedly recommended that reductions should target underperforming grants</w:t>
      </w:r>
      <w:r w:rsidR="00D40602" w:rsidRPr="00A6363B">
        <w:rPr>
          <w:rFonts w:ascii="Times New Roman" w:hAnsi="Times New Roman" w:cs="Times New Roman"/>
          <w:sz w:val="24"/>
          <w:szCs w:val="24"/>
        </w:rPr>
        <w:t>. H</w:t>
      </w:r>
      <w:r w:rsidRPr="00A6363B">
        <w:rPr>
          <w:rFonts w:ascii="Times New Roman" w:hAnsi="Times New Roman" w:cs="Times New Roman"/>
          <w:sz w:val="24"/>
          <w:szCs w:val="24"/>
        </w:rPr>
        <w:t>owever</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the MIG and USDG were amongst the best performing grants. The Commission was concerned that the reductions affect key municipal deliverables. In addition, it was highlighted that the WSIG was</w:t>
      </w:r>
      <w:r w:rsidR="0021714D" w:rsidRPr="00A6363B">
        <w:rPr>
          <w:rFonts w:ascii="Times New Roman" w:hAnsi="Times New Roman" w:cs="Times New Roman"/>
          <w:sz w:val="24"/>
          <w:szCs w:val="24"/>
        </w:rPr>
        <w:t xml:space="preserve"> affected the most by the reductions despite the increase in its scope for the inclusion of sanitation. </w:t>
      </w:r>
    </w:p>
    <w:p w:rsidR="0021714D" w:rsidRPr="00A6363B" w:rsidRDefault="0021714D" w:rsidP="00EE48C3">
      <w:pPr>
        <w:spacing w:before="120" w:line="360" w:lineRule="auto"/>
        <w:jc w:val="both"/>
        <w:rPr>
          <w:rFonts w:ascii="Times New Roman" w:hAnsi="Times New Roman" w:cs="Times New Roman"/>
          <w:sz w:val="24"/>
          <w:szCs w:val="24"/>
        </w:rPr>
      </w:pPr>
    </w:p>
    <w:p w:rsidR="0021714D" w:rsidRPr="00A6363B" w:rsidRDefault="0021714D"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Commission also welcomed government’s focus areas to turn</w:t>
      </w:r>
      <w:r w:rsidR="00D40602" w:rsidRPr="00A6363B">
        <w:rPr>
          <w:rFonts w:ascii="Times New Roman" w:hAnsi="Times New Roman" w:cs="Times New Roman"/>
          <w:sz w:val="24"/>
          <w:szCs w:val="24"/>
        </w:rPr>
        <w:t xml:space="preserve"> </w:t>
      </w:r>
      <w:r w:rsidRPr="00A6363B">
        <w:rPr>
          <w:rFonts w:ascii="Times New Roman" w:hAnsi="Times New Roman" w:cs="Times New Roman"/>
          <w:sz w:val="24"/>
          <w:szCs w:val="24"/>
        </w:rPr>
        <w:t>around the local government</w:t>
      </w:r>
      <w:r w:rsidR="00D40602" w:rsidRPr="00A6363B">
        <w:rPr>
          <w:rFonts w:ascii="Times New Roman" w:hAnsi="Times New Roman" w:cs="Times New Roman"/>
          <w:sz w:val="24"/>
          <w:szCs w:val="24"/>
        </w:rPr>
        <w:t xml:space="preserve"> sector</w:t>
      </w:r>
      <w:r w:rsidRPr="00A6363B">
        <w:rPr>
          <w:rFonts w:ascii="Times New Roman" w:hAnsi="Times New Roman" w:cs="Times New Roman"/>
          <w:sz w:val="24"/>
          <w:szCs w:val="24"/>
        </w:rPr>
        <w:t>, namely, the Municipal Standard Chart of Accounts for improving financial management; supply chain improvements for minimising irregular expenditure and corruption; guidelines for setting tariffs to minimise disparities in costs of services and tariffs and improved asset management and maintenance. The Commission also alluded to the issue of escalating consumer debt which affects the fiscal viability and financial health of municipalities</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as well as municipal debt affecting the operations of public entities owed large sums of money by municipalities. The Commission indicated that currently </w:t>
      </w:r>
      <w:r w:rsidR="0090600A" w:rsidRPr="00A6363B">
        <w:rPr>
          <w:rFonts w:ascii="Times New Roman" w:hAnsi="Times New Roman" w:cs="Times New Roman"/>
          <w:sz w:val="24"/>
          <w:szCs w:val="24"/>
        </w:rPr>
        <w:t>E</w:t>
      </w:r>
      <w:r w:rsidR="00E52C5C" w:rsidRPr="00A6363B">
        <w:rPr>
          <w:rFonts w:ascii="Times New Roman" w:hAnsi="Times New Roman" w:cs="Times New Roman"/>
          <w:sz w:val="24"/>
          <w:szCs w:val="24"/>
        </w:rPr>
        <w:t>skom</w:t>
      </w:r>
      <w:r w:rsidRPr="00A6363B">
        <w:rPr>
          <w:rFonts w:ascii="Times New Roman" w:hAnsi="Times New Roman" w:cs="Times New Roman"/>
          <w:sz w:val="24"/>
          <w:szCs w:val="24"/>
        </w:rPr>
        <w:t xml:space="preserve"> is owed R10 billion by municipalities whilst municipalities are owed R113 billion</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as of June 2016</w:t>
      </w:r>
      <w:r w:rsidR="00D40602" w:rsidRPr="00A6363B">
        <w:rPr>
          <w:rFonts w:ascii="Times New Roman" w:hAnsi="Times New Roman" w:cs="Times New Roman"/>
          <w:sz w:val="24"/>
          <w:szCs w:val="24"/>
        </w:rPr>
        <w:t>,</w:t>
      </w:r>
      <w:r w:rsidRPr="00A6363B">
        <w:rPr>
          <w:rFonts w:ascii="Times New Roman" w:hAnsi="Times New Roman" w:cs="Times New Roman"/>
          <w:sz w:val="24"/>
          <w:szCs w:val="24"/>
        </w:rPr>
        <w:t xml:space="preserve"> by </w:t>
      </w:r>
      <w:r w:rsidR="00D40602" w:rsidRPr="00A6363B">
        <w:rPr>
          <w:rFonts w:ascii="Times New Roman" w:hAnsi="Times New Roman" w:cs="Times New Roman"/>
          <w:sz w:val="24"/>
          <w:szCs w:val="24"/>
        </w:rPr>
        <w:t xml:space="preserve">the </w:t>
      </w:r>
      <w:r w:rsidRPr="00A6363B">
        <w:rPr>
          <w:rFonts w:ascii="Times New Roman" w:hAnsi="Times New Roman" w:cs="Times New Roman"/>
          <w:sz w:val="24"/>
          <w:szCs w:val="24"/>
        </w:rPr>
        <w:t xml:space="preserve">national and provincial spheres, businesses and households. </w:t>
      </w:r>
      <w:r w:rsidR="00E52C5C" w:rsidRPr="00A6363B">
        <w:rPr>
          <w:rFonts w:ascii="Times New Roman" w:hAnsi="Times New Roman" w:cs="Times New Roman"/>
          <w:sz w:val="24"/>
          <w:szCs w:val="24"/>
        </w:rPr>
        <w:t xml:space="preserve">Of this amount, R6 billion is owed by national and provincial government. </w:t>
      </w:r>
      <w:r w:rsidRPr="00A6363B">
        <w:rPr>
          <w:rFonts w:ascii="Times New Roman" w:hAnsi="Times New Roman" w:cs="Times New Roman"/>
          <w:sz w:val="24"/>
          <w:szCs w:val="24"/>
        </w:rPr>
        <w:t>In this regard, the Commission implored the task team examining intergovernmental debt to speedily resolve the issue.</w:t>
      </w:r>
    </w:p>
    <w:p w:rsidR="00545527" w:rsidRPr="00A6363B" w:rsidRDefault="00545527" w:rsidP="00EE48C3">
      <w:pPr>
        <w:spacing w:before="120" w:line="360" w:lineRule="auto"/>
        <w:jc w:val="both"/>
        <w:rPr>
          <w:rFonts w:ascii="Times New Roman" w:hAnsi="Times New Roman" w:cs="Times New Roman"/>
          <w:sz w:val="24"/>
          <w:szCs w:val="24"/>
        </w:rPr>
      </w:pPr>
    </w:p>
    <w:p w:rsidR="0021714D" w:rsidRPr="00A6363B" w:rsidRDefault="00463DEC" w:rsidP="00EE48C3">
      <w:pPr>
        <w:spacing w:before="12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lastRenderedPageBreak/>
        <w:t xml:space="preserve">5.2 </w:t>
      </w:r>
      <w:r w:rsidR="00BE5B55" w:rsidRPr="00A6363B">
        <w:rPr>
          <w:rFonts w:ascii="Times New Roman" w:hAnsi="Times New Roman" w:cs="Times New Roman"/>
          <w:b/>
          <w:sz w:val="24"/>
          <w:szCs w:val="24"/>
        </w:rPr>
        <w:t>South African Local Government Association</w:t>
      </w:r>
    </w:p>
    <w:p w:rsidR="0021714D" w:rsidRPr="00A6363B" w:rsidRDefault="0021714D"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The South African Local Government Association (S</w:t>
      </w:r>
      <w:r w:rsidR="00ED7E5D" w:rsidRPr="00A6363B">
        <w:rPr>
          <w:rFonts w:ascii="Times New Roman" w:hAnsi="Times New Roman" w:cs="Times New Roman"/>
          <w:sz w:val="24"/>
          <w:szCs w:val="24"/>
        </w:rPr>
        <w:t>alga</w:t>
      </w:r>
      <w:r w:rsidRPr="00A6363B">
        <w:rPr>
          <w:rFonts w:ascii="Times New Roman" w:hAnsi="Times New Roman" w:cs="Times New Roman"/>
          <w:sz w:val="24"/>
          <w:szCs w:val="24"/>
        </w:rPr>
        <w:t>) in its submission acknowledged the work done by National Treasury in drafting the 2017 budget in difficult conditions and stated that it supported the theme of transformation for inclusive growth. It further stated that the theme of the 2017 budget resonates with some of the analys</w:t>
      </w:r>
      <w:r w:rsidR="00ED7E5D" w:rsidRPr="00A6363B">
        <w:rPr>
          <w:rFonts w:ascii="Times New Roman" w:hAnsi="Times New Roman" w:cs="Times New Roman"/>
          <w:sz w:val="24"/>
          <w:szCs w:val="24"/>
        </w:rPr>
        <w:t>e</w:t>
      </w:r>
      <w:r w:rsidRPr="00A6363B">
        <w:rPr>
          <w:rFonts w:ascii="Times New Roman" w:hAnsi="Times New Roman" w:cs="Times New Roman"/>
          <w:sz w:val="24"/>
          <w:szCs w:val="24"/>
        </w:rPr>
        <w:t xml:space="preserve">s and resolutions taken at its National Executive Conference which was held in November 2016. The resolutions taken at the said conference included the following: </w:t>
      </w:r>
    </w:p>
    <w:p w:rsidR="0021714D" w:rsidRPr="00A6363B" w:rsidRDefault="0021714D" w:rsidP="00EE48C3">
      <w:pPr>
        <w:pStyle w:val="ListParagraph"/>
        <w:numPr>
          <w:ilvl w:val="0"/>
          <w:numId w:val="9"/>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Finding alternative revenue instruments to enhance the financial viability and health of municipalities;</w:t>
      </w:r>
    </w:p>
    <w:p w:rsidR="0021714D" w:rsidRPr="00A6363B" w:rsidRDefault="0021714D" w:rsidP="00EE48C3">
      <w:pPr>
        <w:pStyle w:val="ListParagraph"/>
        <w:numPr>
          <w:ilvl w:val="0"/>
          <w:numId w:val="9"/>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Finding measures to deal with the increasing debt currently standing at R117 billion; </w:t>
      </w:r>
    </w:p>
    <w:p w:rsidR="0021714D" w:rsidRPr="00A6363B" w:rsidRDefault="0021714D" w:rsidP="00EE48C3">
      <w:pPr>
        <w:pStyle w:val="ListParagraph"/>
        <w:numPr>
          <w:ilvl w:val="0"/>
          <w:numId w:val="9"/>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Building municipal capacity to manage both debtors and creditors;</w:t>
      </w:r>
    </w:p>
    <w:p w:rsidR="0021714D" w:rsidRPr="00A6363B" w:rsidRDefault="0021714D" w:rsidP="00EE48C3">
      <w:pPr>
        <w:pStyle w:val="ListParagraph"/>
        <w:numPr>
          <w:ilvl w:val="0"/>
          <w:numId w:val="9"/>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Finding suitable measures to resolve </w:t>
      </w:r>
      <w:r w:rsidR="0090600A" w:rsidRPr="00A6363B">
        <w:rPr>
          <w:rFonts w:ascii="Times New Roman" w:hAnsi="Times New Roman" w:cs="Times New Roman"/>
          <w:sz w:val="24"/>
          <w:szCs w:val="24"/>
        </w:rPr>
        <w:t>E</w:t>
      </w:r>
      <w:r w:rsidR="002E5F17" w:rsidRPr="00A6363B">
        <w:rPr>
          <w:rFonts w:ascii="Times New Roman" w:hAnsi="Times New Roman" w:cs="Times New Roman"/>
          <w:sz w:val="24"/>
          <w:szCs w:val="24"/>
        </w:rPr>
        <w:t>skom</w:t>
      </w:r>
      <w:r w:rsidRPr="00A6363B">
        <w:rPr>
          <w:rFonts w:ascii="Times New Roman" w:hAnsi="Times New Roman" w:cs="Times New Roman"/>
          <w:sz w:val="24"/>
          <w:szCs w:val="24"/>
        </w:rPr>
        <w:t xml:space="preserve"> issues;</w:t>
      </w:r>
    </w:p>
    <w:p w:rsidR="0021714D" w:rsidRPr="00A6363B" w:rsidRDefault="0021714D" w:rsidP="00EE48C3">
      <w:pPr>
        <w:pStyle w:val="ListParagraph"/>
        <w:numPr>
          <w:ilvl w:val="0"/>
          <w:numId w:val="9"/>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Working with National Treasury and the South African Revenue Service (SARS) in better profiling municipal clients and better manage their payment records;</w:t>
      </w:r>
    </w:p>
    <w:p w:rsidR="0021714D" w:rsidRPr="00A6363B" w:rsidRDefault="0021714D" w:rsidP="00EE48C3">
      <w:pPr>
        <w:pStyle w:val="ListParagraph"/>
        <w:numPr>
          <w:ilvl w:val="0"/>
          <w:numId w:val="9"/>
        </w:num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Lobbying for increased allocations to the sector in line with the Cost of Basic Serv</w:t>
      </w:r>
      <w:r w:rsidR="00A4565F" w:rsidRPr="00A6363B">
        <w:rPr>
          <w:rFonts w:ascii="Times New Roman" w:hAnsi="Times New Roman" w:cs="Times New Roman"/>
          <w:sz w:val="24"/>
          <w:szCs w:val="24"/>
        </w:rPr>
        <w:t>ice</w:t>
      </w:r>
      <w:r w:rsidR="002E5F17" w:rsidRPr="00A6363B">
        <w:rPr>
          <w:rFonts w:ascii="Times New Roman" w:hAnsi="Times New Roman" w:cs="Times New Roman"/>
          <w:sz w:val="24"/>
          <w:szCs w:val="24"/>
        </w:rPr>
        <w:t>s</w:t>
      </w:r>
      <w:r w:rsidR="00A4565F" w:rsidRPr="00A6363B">
        <w:rPr>
          <w:rFonts w:ascii="Times New Roman" w:hAnsi="Times New Roman" w:cs="Times New Roman"/>
          <w:sz w:val="24"/>
          <w:szCs w:val="24"/>
        </w:rPr>
        <w:t xml:space="preserve"> Study recommendations; and p</w:t>
      </w:r>
      <w:r w:rsidRPr="00A6363B">
        <w:rPr>
          <w:rFonts w:ascii="Times New Roman" w:hAnsi="Times New Roman" w:cs="Times New Roman"/>
          <w:sz w:val="24"/>
          <w:szCs w:val="24"/>
        </w:rPr>
        <w:t>roviding differentiated support to small struggling municipalities and districts.</w:t>
      </w:r>
    </w:p>
    <w:p w:rsidR="0021714D" w:rsidRPr="00A6363B" w:rsidRDefault="0021714D" w:rsidP="00EE48C3">
      <w:pPr>
        <w:spacing w:before="120" w:line="360" w:lineRule="auto"/>
        <w:ind w:left="360"/>
        <w:jc w:val="both"/>
        <w:rPr>
          <w:rFonts w:ascii="Times New Roman" w:hAnsi="Times New Roman" w:cs="Times New Roman"/>
          <w:sz w:val="24"/>
          <w:szCs w:val="24"/>
        </w:rPr>
      </w:pPr>
    </w:p>
    <w:p w:rsidR="0021714D" w:rsidRPr="00A6363B" w:rsidRDefault="0021714D" w:rsidP="00EE48C3">
      <w:pPr>
        <w:spacing w:before="120" w:line="360" w:lineRule="auto"/>
        <w:jc w:val="both"/>
        <w:rPr>
          <w:rFonts w:ascii="Times New Roman" w:hAnsi="Times New Roman" w:cs="Times New Roman"/>
          <w:sz w:val="24"/>
          <w:szCs w:val="24"/>
        </w:rPr>
      </w:pPr>
      <w:r w:rsidRPr="00A6363B">
        <w:rPr>
          <w:rFonts w:ascii="Times New Roman" w:hAnsi="Times New Roman" w:cs="Times New Roman"/>
          <w:sz w:val="24"/>
          <w:szCs w:val="24"/>
        </w:rPr>
        <w:t>S</w:t>
      </w:r>
      <w:r w:rsidR="0059434B" w:rsidRPr="00A6363B">
        <w:rPr>
          <w:rFonts w:ascii="Times New Roman" w:hAnsi="Times New Roman" w:cs="Times New Roman"/>
          <w:sz w:val="24"/>
          <w:szCs w:val="24"/>
        </w:rPr>
        <w:t>alga further</w:t>
      </w:r>
      <w:r w:rsidRPr="00A6363B">
        <w:rPr>
          <w:rFonts w:ascii="Times New Roman" w:hAnsi="Times New Roman" w:cs="Times New Roman"/>
          <w:sz w:val="24"/>
          <w:szCs w:val="24"/>
        </w:rPr>
        <w:t xml:space="preserve"> stated that the division of revenue achieved a substantial redistribution of revenue raised through taxes in relatively wealthy (mainly urban) areas to areas where </w:t>
      </w:r>
      <w:r w:rsidR="00AA4DF5" w:rsidRPr="00A6363B">
        <w:rPr>
          <w:rFonts w:ascii="Times New Roman" w:hAnsi="Times New Roman" w:cs="Times New Roman"/>
          <w:sz w:val="24"/>
          <w:szCs w:val="24"/>
        </w:rPr>
        <w:t xml:space="preserve">the </w:t>
      </w:r>
      <w:r w:rsidRPr="00A6363B">
        <w:rPr>
          <w:rFonts w:ascii="Times New Roman" w:hAnsi="Times New Roman" w:cs="Times New Roman"/>
          <w:sz w:val="24"/>
          <w:szCs w:val="24"/>
        </w:rPr>
        <w:t>demand for subsidi</w:t>
      </w:r>
      <w:r w:rsidR="00AA4DF5" w:rsidRPr="00A6363B">
        <w:rPr>
          <w:rFonts w:ascii="Times New Roman" w:hAnsi="Times New Roman" w:cs="Times New Roman"/>
          <w:sz w:val="24"/>
          <w:szCs w:val="24"/>
        </w:rPr>
        <w:t>s</w:t>
      </w:r>
      <w:r w:rsidRPr="00A6363B">
        <w:rPr>
          <w:rFonts w:ascii="Times New Roman" w:hAnsi="Times New Roman" w:cs="Times New Roman"/>
          <w:sz w:val="24"/>
          <w:szCs w:val="24"/>
        </w:rPr>
        <w:t>ed public services is the highest. Thus, most rural municipalities receive twice the allocation per household than what is transferred to metropolitan municipalities. S</w:t>
      </w:r>
      <w:r w:rsidR="00152C2A" w:rsidRPr="00A6363B">
        <w:rPr>
          <w:rFonts w:ascii="Times New Roman" w:hAnsi="Times New Roman" w:cs="Times New Roman"/>
          <w:sz w:val="24"/>
          <w:szCs w:val="24"/>
        </w:rPr>
        <w:t>alga</w:t>
      </w:r>
      <w:r w:rsidRPr="00A6363B">
        <w:rPr>
          <w:rFonts w:ascii="Times New Roman" w:hAnsi="Times New Roman" w:cs="Times New Roman"/>
          <w:sz w:val="24"/>
          <w:szCs w:val="24"/>
        </w:rPr>
        <w:t xml:space="preserve"> submitted that it supported the general thrust of the 2017 budget</w:t>
      </w:r>
      <w:r w:rsidR="00152C2A" w:rsidRPr="00A6363B">
        <w:rPr>
          <w:rFonts w:ascii="Times New Roman" w:hAnsi="Times New Roman" w:cs="Times New Roman"/>
          <w:sz w:val="24"/>
          <w:szCs w:val="24"/>
        </w:rPr>
        <w:t>,</w:t>
      </w:r>
      <w:r w:rsidRPr="00A6363B">
        <w:rPr>
          <w:rFonts w:ascii="Times New Roman" w:hAnsi="Times New Roman" w:cs="Times New Roman"/>
          <w:sz w:val="24"/>
          <w:szCs w:val="24"/>
        </w:rPr>
        <w:t xml:space="preserve"> however it would continue engaging with the relevant stakeholders on the following </w:t>
      </w:r>
      <w:r w:rsidR="00152C2A" w:rsidRPr="00A6363B">
        <w:rPr>
          <w:rFonts w:ascii="Times New Roman" w:hAnsi="Times New Roman" w:cs="Times New Roman"/>
          <w:sz w:val="24"/>
          <w:szCs w:val="24"/>
        </w:rPr>
        <w:t>issues</w:t>
      </w:r>
      <w:r w:rsidRPr="00A6363B">
        <w:rPr>
          <w:rFonts w:ascii="Times New Roman" w:hAnsi="Times New Roman" w:cs="Times New Roman"/>
          <w:sz w:val="24"/>
          <w:szCs w:val="24"/>
        </w:rPr>
        <w:t>:</w:t>
      </w:r>
      <w:r w:rsidR="009E7230" w:rsidRPr="00A6363B">
        <w:rPr>
          <w:rFonts w:ascii="Times New Roman" w:hAnsi="Times New Roman" w:cs="Times New Roman"/>
          <w:sz w:val="24"/>
          <w:szCs w:val="24"/>
        </w:rPr>
        <w:t xml:space="preserve"> </w:t>
      </w:r>
    </w:p>
    <w:p w:rsidR="009E7230" w:rsidRPr="00A6363B" w:rsidRDefault="009E7230" w:rsidP="00EE48C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The consideration by National Treasury of the recommendations of the study conducted by S</w:t>
      </w:r>
      <w:r w:rsidR="00626C5C" w:rsidRPr="00A6363B">
        <w:rPr>
          <w:rFonts w:ascii="Times New Roman" w:hAnsi="Times New Roman" w:cs="Times New Roman"/>
          <w:sz w:val="24"/>
          <w:szCs w:val="24"/>
        </w:rPr>
        <w:t>alga</w:t>
      </w:r>
      <w:r w:rsidRPr="00A6363B">
        <w:rPr>
          <w:rFonts w:ascii="Times New Roman" w:hAnsi="Times New Roman" w:cs="Times New Roman"/>
          <w:sz w:val="24"/>
          <w:szCs w:val="24"/>
        </w:rPr>
        <w:t xml:space="preserve"> and the FFC on the Cost of Basic Services so that the </w:t>
      </w:r>
      <w:r w:rsidR="00626C5C" w:rsidRPr="00A6363B">
        <w:rPr>
          <w:rFonts w:ascii="Times New Roman" w:hAnsi="Times New Roman" w:cs="Times New Roman"/>
          <w:sz w:val="24"/>
          <w:szCs w:val="24"/>
        </w:rPr>
        <w:t>e</w:t>
      </w:r>
      <w:r w:rsidRPr="00A6363B">
        <w:rPr>
          <w:rFonts w:ascii="Times New Roman" w:hAnsi="Times New Roman" w:cs="Times New Roman"/>
          <w:sz w:val="24"/>
          <w:szCs w:val="24"/>
        </w:rPr>
        <w:t xml:space="preserve">quitable </w:t>
      </w:r>
      <w:r w:rsidR="00626C5C" w:rsidRPr="00A6363B">
        <w:rPr>
          <w:rFonts w:ascii="Times New Roman" w:hAnsi="Times New Roman" w:cs="Times New Roman"/>
          <w:sz w:val="24"/>
          <w:szCs w:val="24"/>
        </w:rPr>
        <w:t>s</w:t>
      </w:r>
      <w:r w:rsidRPr="00A6363B">
        <w:rPr>
          <w:rFonts w:ascii="Times New Roman" w:hAnsi="Times New Roman" w:cs="Times New Roman"/>
          <w:sz w:val="24"/>
          <w:szCs w:val="24"/>
        </w:rPr>
        <w:t xml:space="preserve">hare review process factors </w:t>
      </w:r>
      <w:r w:rsidR="00626C5C" w:rsidRPr="00A6363B">
        <w:rPr>
          <w:rFonts w:ascii="Times New Roman" w:hAnsi="Times New Roman" w:cs="Times New Roman"/>
          <w:sz w:val="24"/>
          <w:szCs w:val="24"/>
        </w:rPr>
        <w:t xml:space="preserve">in </w:t>
      </w:r>
      <w:r w:rsidRPr="00A6363B">
        <w:rPr>
          <w:rFonts w:ascii="Times New Roman" w:hAnsi="Times New Roman" w:cs="Times New Roman"/>
          <w:sz w:val="24"/>
          <w:szCs w:val="24"/>
        </w:rPr>
        <w:t>some of the recommendations made;</w:t>
      </w:r>
    </w:p>
    <w:p w:rsidR="009E7230" w:rsidRPr="00A6363B" w:rsidRDefault="009E7230" w:rsidP="00EE48C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Of continuous concern is the allocation to local government which amounts to 9.1 percent of the overall budget with (5 percent </w:t>
      </w:r>
      <w:r w:rsidR="00626C5C" w:rsidRPr="00A6363B">
        <w:rPr>
          <w:rFonts w:ascii="Times New Roman" w:hAnsi="Times New Roman" w:cs="Times New Roman"/>
          <w:sz w:val="24"/>
          <w:szCs w:val="24"/>
        </w:rPr>
        <w:t>e</w:t>
      </w:r>
      <w:r w:rsidRPr="00A6363B">
        <w:rPr>
          <w:rFonts w:ascii="Times New Roman" w:hAnsi="Times New Roman" w:cs="Times New Roman"/>
          <w:sz w:val="24"/>
          <w:szCs w:val="24"/>
        </w:rPr>
        <w:t xml:space="preserve">quitable </w:t>
      </w:r>
      <w:r w:rsidR="00626C5C" w:rsidRPr="00A6363B">
        <w:rPr>
          <w:rFonts w:ascii="Times New Roman" w:hAnsi="Times New Roman" w:cs="Times New Roman"/>
          <w:sz w:val="24"/>
          <w:szCs w:val="24"/>
        </w:rPr>
        <w:t>s</w:t>
      </w:r>
      <w:r w:rsidRPr="00A6363B">
        <w:rPr>
          <w:rFonts w:ascii="Times New Roman" w:hAnsi="Times New Roman" w:cs="Times New Roman"/>
          <w:sz w:val="24"/>
          <w:szCs w:val="24"/>
        </w:rPr>
        <w:t>hare, 3 percent grants, 1 percent indirect transfers and 1 percent of the fuel levy);</w:t>
      </w:r>
    </w:p>
    <w:p w:rsidR="009E7230" w:rsidRPr="00A6363B" w:rsidRDefault="009E7230" w:rsidP="00EE48C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lastRenderedPageBreak/>
        <w:t>There is a need for a continuous review of the allocation methods to address the fact that a number of municipalities are economically and financially unviable. The challenges faced by these municipalities cannot be addressed through the demarcation instrument;</w:t>
      </w:r>
    </w:p>
    <w:p w:rsidR="009E7230" w:rsidRPr="00A6363B" w:rsidRDefault="009E7230" w:rsidP="00EE48C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S</w:t>
      </w:r>
      <w:r w:rsidR="002E5F17" w:rsidRPr="00A6363B">
        <w:rPr>
          <w:rFonts w:ascii="Times New Roman" w:hAnsi="Times New Roman" w:cs="Times New Roman"/>
          <w:sz w:val="24"/>
          <w:szCs w:val="24"/>
        </w:rPr>
        <w:t>alga</w:t>
      </w:r>
      <w:r w:rsidRPr="00A6363B">
        <w:rPr>
          <w:rFonts w:ascii="Times New Roman" w:hAnsi="Times New Roman" w:cs="Times New Roman"/>
          <w:sz w:val="24"/>
          <w:szCs w:val="24"/>
        </w:rPr>
        <w:t xml:space="preserve"> will engage with National Treasury on the cost of traded services and the tariff increases granted by the National Energy Regulator </w:t>
      </w:r>
      <w:r w:rsidR="00626C5C" w:rsidRPr="00A6363B">
        <w:rPr>
          <w:rFonts w:ascii="Times New Roman" w:hAnsi="Times New Roman" w:cs="Times New Roman"/>
          <w:sz w:val="24"/>
          <w:szCs w:val="24"/>
        </w:rPr>
        <w:t xml:space="preserve">of </w:t>
      </w:r>
      <w:r w:rsidRPr="00A6363B">
        <w:rPr>
          <w:rFonts w:ascii="Times New Roman" w:hAnsi="Times New Roman" w:cs="Times New Roman"/>
          <w:sz w:val="24"/>
          <w:szCs w:val="24"/>
        </w:rPr>
        <w:t>South Africa (</w:t>
      </w:r>
      <w:r w:rsidR="002E5F17" w:rsidRPr="00A6363B">
        <w:rPr>
          <w:rFonts w:ascii="Times New Roman" w:hAnsi="Times New Roman" w:cs="Times New Roman"/>
          <w:sz w:val="24"/>
          <w:szCs w:val="24"/>
        </w:rPr>
        <w:t>Nersa</w:t>
      </w:r>
      <w:r w:rsidRPr="00A6363B">
        <w:rPr>
          <w:rFonts w:ascii="Times New Roman" w:hAnsi="Times New Roman" w:cs="Times New Roman"/>
          <w:sz w:val="24"/>
          <w:szCs w:val="24"/>
        </w:rPr>
        <w:t>); and</w:t>
      </w:r>
    </w:p>
    <w:p w:rsidR="009E7230" w:rsidRPr="00A6363B" w:rsidRDefault="009E7230" w:rsidP="00EE48C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The increasing debt to municipalities has to be resolved as a matter of urgency otherwise it undermines the financial stability of local government.</w:t>
      </w:r>
    </w:p>
    <w:p w:rsidR="00463DEC" w:rsidRPr="00A6363B" w:rsidRDefault="00463DEC" w:rsidP="00EE48C3">
      <w:pPr>
        <w:autoSpaceDE w:val="0"/>
        <w:autoSpaceDN w:val="0"/>
        <w:adjustRightInd w:val="0"/>
        <w:spacing w:after="0" w:line="360" w:lineRule="auto"/>
        <w:jc w:val="both"/>
        <w:rPr>
          <w:rFonts w:ascii="Times New Roman" w:hAnsi="Times New Roman" w:cs="Times New Roman"/>
          <w:sz w:val="24"/>
          <w:szCs w:val="24"/>
        </w:rPr>
      </w:pPr>
    </w:p>
    <w:p w:rsidR="00463DEC" w:rsidRPr="00A6363B" w:rsidRDefault="00463DEC" w:rsidP="00EE48C3">
      <w:pPr>
        <w:autoSpaceDE w:val="0"/>
        <w:autoSpaceDN w:val="0"/>
        <w:adjustRightInd w:val="0"/>
        <w:spacing w:after="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5.3 </w:t>
      </w:r>
      <w:r w:rsidR="00A4565F" w:rsidRPr="00A6363B">
        <w:rPr>
          <w:rFonts w:ascii="Times New Roman" w:hAnsi="Times New Roman" w:cs="Times New Roman"/>
          <w:b/>
          <w:sz w:val="24"/>
          <w:szCs w:val="24"/>
        </w:rPr>
        <w:t xml:space="preserve">University of Stellenbosch </w:t>
      </w:r>
      <w:r w:rsidR="002E5F17" w:rsidRPr="00A6363B">
        <w:rPr>
          <w:rFonts w:ascii="Times New Roman" w:hAnsi="Times New Roman" w:cs="Times New Roman"/>
          <w:b/>
          <w:sz w:val="24"/>
          <w:szCs w:val="24"/>
        </w:rPr>
        <w:t xml:space="preserve">Department of </w:t>
      </w:r>
      <w:r w:rsidR="00A4565F" w:rsidRPr="00A6363B">
        <w:rPr>
          <w:rFonts w:ascii="Times New Roman" w:hAnsi="Times New Roman" w:cs="Times New Roman"/>
          <w:b/>
          <w:sz w:val="24"/>
          <w:szCs w:val="24"/>
        </w:rPr>
        <w:t>Economic</w:t>
      </w:r>
      <w:r w:rsidR="002E5F17" w:rsidRPr="00A6363B">
        <w:rPr>
          <w:rFonts w:ascii="Times New Roman" w:hAnsi="Times New Roman" w:cs="Times New Roman"/>
          <w:b/>
          <w:sz w:val="24"/>
          <w:szCs w:val="24"/>
        </w:rPr>
        <w:t>s</w:t>
      </w:r>
      <w:r w:rsidR="0072492E" w:rsidRPr="00A6363B">
        <w:rPr>
          <w:rFonts w:ascii="Times New Roman" w:hAnsi="Times New Roman" w:cs="Times New Roman"/>
          <w:b/>
          <w:sz w:val="24"/>
          <w:szCs w:val="24"/>
        </w:rPr>
        <w:t xml:space="preserve">  </w:t>
      </w:r>
    </w:p>
    <w:p w:rsidR="00696252" w:rsidRPr="00A6363B" w:rsidRDefault="00EA604B"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The </w:t>
      </w:r>
      <w:r w:rsidR="007D0CAD" w:rsidRPr="00A6363B">
        <w:rPr>
          <w:rFonts w:ascii="Times New Roman" w:hAnsi="Times New Roman" w:cs="Times New Roman"/>
          <w:sz w:val="24"/>
          <w:szCs w:val="24"/>
        </w:rPr>
        <w:t>University of Stellenbosch (US) Economic</w:t>
      </w:r>
      <w:r w:rsidR="008D714B" w:rsidRPr="00A6363B">
        <w:rPr>
          <w:rFonts w:ascii="Times New Roman" w:hAnsi="Times New Roman" w:cs="Times New Roman"/>
          <w:sz w:val="24"/>
          <w:szCs w:val="24"/>
        </w:rPr>
        <w:t>s Department</w:t>
      </w:r>
      <w:r w:rsidR="007D0CAD" w:rsidRPr="00A6363B">
        <w:rPr>
          <w:rFonts w:ascii="Times New Roman" w:hAnsi="Times New Roman" w:cs="Times New Roman"/>
          <w:sz w:val="24"/>
          <w:szCs w:val="24"/>
        </w:rPr>
        <w:t xml:space="preserve">’s submission covered </w:t>
      </w:r>
      <w:r w:rsidR="002E5F17" w:rsidRPr="00A6363B">
        <w:rPr>
          <w:rFonts w:ascii="Times New Roman" w:hAnsi="Times New Roman" w:cs="Times New Roman"/>
          <w:sz w:val="24"/>
          <w:szCs w:val="24"/>
        </w:rPr>
        <w:t xml:space="preserve">the </w:t>
      </w:r>
      <w:r w:rsidR="007D0CAD" w:rsidRPr="00A6363B">
        <w:rPr>
          <w:rFonts w:ascii="Times New Roman" w:hAnsi="Times New Roman" w:cs="Times New Roman"/>
          <w:sz w:val="24"/>
          <w:szCs w:val="24"/>
        </w:rPr>
        <w:t xml:space="preserve">macroeconomic environment. The US submitted that the country was going to experience stagnant to low economic growth regardless of the prediction of 1.3 percent by National Treasury. The US estimated that the GDP growth was likely to be at 2 and 2.2 percent in 2018 and 2019, respectively. On high unemployment, the US stated that it has remained high at 24.5 percent on average for the past </w:t>
      </w:r>
      <w:r w:rsidR="008D714B" w:rsidRPr="00A6363B">
        <w:rPr>
          <w:rFonts w:ascii="Times New Roman" w:hAnsi="Times New Roman" w:cs="Times New Roman"/>
          <w:sz w:val="24"/>
          <w:szCs w:val="24"/>
        </w:rPr>
        <w:t xml:space="preserve">two </w:t>
      </w:r>
      <w:r w:rsidR="007D0CAD" w:rsidRPr="00A6363B">
        <w:rPr>
          <w:rFonts w:ascii="Times New Roman" w:hAnsi="Times New Roman" w:cs="Times New Roman"/>
          <w:sz w:val="24"/>
          <w:szCs w:val="24"/>
        </w:rPr>
        <w:t>decades. Furthermore, the US submitted that inequality remain</w:t>
      </w:r>
      <w:r w:rsidR="008D714B" w:rsidRPr="00A6363B">
        <w:rPr>
          <w:rFonts w:ascii="Times New Roman" w:hAnsi="Times New Roman" w:cs="Times New Roman"/>
          <w:sz w:val="24"/>
          <w:szCs w:val="24"/>
        </w:rPr>
        <w:t>s</w:t>
      </w:r>
      <w:r w:rsidR="007D0CAD" w:rsidRPr="00A6363B">
        <w:rPr>
          <w:rFonts w:ascii="Times New Roman" w:hAnsi="Times New Roman" w:cs="Times New Roman"/>
          <w:sz w:val="24"/>
          <w:szCs w:val="24"/>
        </w:rPr>
        <w:t xml:space="preserve"> high</w:t>
      </w:r>
      <w:r w:rsidR="008D714B" w:rsidRPr="00A6363B">
        <w:rPr>
          <w:rFonts w:ascii="Times New Roman" w:hAnsi="Times New Roman" w:cs="Times New Roman"/>
          <w:sz w:val="24"/>
          <w:szCs w:val="24"/>
        </w:rPr>
        <w:t>,</w:t>
      </w:r>
      <w:r w:rsidR="007D0CAD" w:rsidRPr="00A6363B">
        <w:rPr>
          <w:rFonts w:ascii="Times New Roman" w:hAnsi="Times New Roman" w:cs="Times New Roman"/>
          <w:sz w:val="24"/>
          <w:szCs w:val="24"/>
        </w:rPr>
        <w:t xml:space="preserve"> with millions of South Africans dependent o</w:t>
      </w:r>
      <w:r w:rsidR="008D714B" w:rsidRPr="00A6363B">
        <w:rPr>
          <w:rFonts w:ascii="Times New Roman" w:hAnsi="Times New Roman" w:cs="Times New Roman"/>
          <w:sz w:val="24"/>
          <w:szCs w:val="24"/>
        </w:rPr>
        <w:t>n</w:t>
      </w:r>
      <w:r w:rsidR="007D0CAD" w:rsidRPr="00A6363B">
        <w:rPr>
          <w:rFonts w:ascii="Times New Roman" w:hAnsi="Times New Roman" w:cs="Times New Roman"/>
          <w:sz w:val="24"/>
          <w:szCs w:val="24"/>
        </w:rPr>
        <w:t xml:space="preserve"> grants. </w:t>
      </w:r>
    </w:p>
    <w:p w:rsidR="00696252" w:rsidRPr="00A6363B" w:rsidRDefault="00696252" w:rsidP="00EE48C3">
      <w:pPr>
        <w:autoSpaceDE w:val="0"/>
        <w:autoSpaceDN w:val="0"/>
        <w:adjustRightInd w:val="0"/>
        <w:spacing w:after="0" w:line="360" w:lineRule="auto"/>
        <w:jc w:val="both"/>
        <w:rPr>
          <w:rFonts w:ascii="Times New Roman" w:hAnsi="Times New Roman" w:cs="Times New Roman"/>
          <w:sz w:val="24"/>
          <w:szCs w:val="24"/>
        </w:rPr>
      </w:pPr>
    </w:p>
    <w:p w:rsidR="00166647" w:rsidRPr="00A6363B" w:rsidRDefault="00696252" w:rsidP="00EE48C3">
      <w:pPr>
        <w:autoSpaceDE w:val="0"/>
        <w:autoSpaceDN w:val="0"/>
        <w:adjustRightInd w:val="0"/>
        <w:spacing w:after="0" w:line="360" w:lineRule="auto"/>
        <w:jc w:val="both"/>
        <w:rPr>
          <w:rFonts w:ascii="Times New Roman" w:eastAsiaTheme="minorEastAsia" w:hAnsi="Times New Roman" w:cs="Times New Roman"/>
          <w:color w:val="000000" w:themeColor="text1"/>
          <w:sz w:val="24"/>
          <w:szCs w:val="24"/>
        </w:rPr>
      </w:pPr>
      <w:r w:rsidRPr="00A6363B">
        <w:rPr>
          <w:rFonts w:ascii="Times New Roman" w:hAnsi="Times New Roman" w:cs="Times New Roman"/>
          <w:sz w:val="24"/>
          <w:szCs w:val="24"/>
        </w:rPr>
        <w:t xml:space="preserve">The US added that the public debt was high at </w:t>
      </w:r>
      <w:r w:rsidRPr="00A6363B">
        <w:rPr>
          <w:rFonts w:ascii="Times New Roman" w:eastAsiaTheme="minorEastAsia" w:hAnsi="Times New Roman" w:cs="Times New Roman"/>
          <w:color w:val="000000" w:themeColor="text1"/>
          <w:sz w:val="24"/>
          <w:szCs w:val="24"/>
        </w:rPr>
        <w:t>±50</w:t>
      </w:r>
      <w:r w:rsidR="0013204F" w:rsidRPr="00A6363B">
        <w:rPr>
          <w:rFonts w:ascii="Times New Roman" w:eastAsiaTheme="minorEastAsia" w:hAnsi="Times New Roman" w:cs="Times New Roman"/>
          <w:color w:val="000000" w:themeColor="text1"/>
          <w:sz w:val="24"/>
          <w:szCs w:val="24"/>
        </w:rPr>
        <w:t xml:space="preserve"> percent</w:t>
      </w:r>
      <w:r w:rsidRPr="00A6363B">
        <w:rPr>
          <w:rFonts w:ascii="Times New Roman" w:eastAsiaTheme="minorEastAsia" w:hAnsi="Times New Roman" w:cs="Times New Roman"/>
          <w:color w:val="000000" w:themeColor="text1"/>
          <w:sz w:val="24"/>
          <w:szCs w:val="24"/>
        </w:rPr>
        <w:t xml:space="preserve"> of GDP. On the </w:t>
      </w:r>
      <w:r w:rsidR="0013204F" w:rsidRPr="00A6363B">
        <w:rPr>
          <w:rFonts w:ascii="Times New Roman" w:eastAsiaTheme="minorEastAsia" w:hAnsi="Times New Roman" w:cs="Times New Roman"/>
          <w:color w:val="000000" w:themeColor="text1"/>
          <w:sz w:val="24"/>
          <w:szCs w:val="24"/>
        </w:rPr>
        <w:t xml:space="preserve">credit </w:t>
      </w:r>
      <w:r w:rsidR="00152876" w:rsidRPr="00A6363B">
        <w:rPr>
          <w:rFonts w:ascii="Times New Roman" w:eastAsiaTheme="minorEastAsia" w:hAnsi="Times New Roman" w:cs="Times New Roman"/>
          <w:color w:val="000000" w:themeColor="text1"/>
          <w:sz w:val="24"/>
          <w:szCs w:val="24"/>
        </w:rPr>
        <w:t xml:space="preserve">rating downgrades </w:t>
      </w:r>
      <w:r w:rsidRPr="00A6363B">
        <w:rPr>
          <w:rFonts w:ascii="Times New Roman" w:eastAsiaTheme="minorEastAsia" w:hAnsi="Times New Roman" w:cs="Times New Roman"/>
          <w:color w:val="000000" w:themeColor="text1"/>
          <w:sz w:val="24"/>
          <w:szCs w:val="24"/>
        </w:rPr>
        <w:t xml:space="preserve">by </w:t>
      </w:r>
      <w:r w:rsidR="00152876" w:rsidRPr="00A6363B">
        <w:rPr>
          <w:rFonts w:ascii="Times New Roman" w:eastAsiaTheme="minorEastAsia" w:hAnsi="Times New Roman" w:cs="Times New Roman"/>
          <w:color w:val="000000" w:themeColor="text1"/>
          <w:sz w:val="24"/>
          <w:szCs w:val="24"/>
        </w:rPr>
        <w:t xml:space="preserve">rating agencies, </w:t>
      </w:r>
      <w:r w:rsidR="0013204F" w:rsidRPr="00A6363B">
        <w:rPr>
          <w:rFonts w:ascii="Times New Roman" w:eastAsiaTheme="minorEastAsia" w:hAnsi="Times New Roman" w:cs="Times New Roman"/>
          <w:color w:val="000000" w:themeColor="text1"/>
          <w:sz w:val="24"/>
          <w:szCs w:val="24"/>
        </w:rPr>
        <w:t xml:space="preserve">S&amp;P </w:t>
      </w:r>
      <w:r w:rsidR="00152876" w:rsidRPr="00A6363B">
        <w:rPr>
          <w:rFonts w:ascii="Times New Roman" w:eastAsiaTheme="minorEastAsia" w:hAnsi="Times New Roman" w:cs="Times New Roman"/>
          <w:color w:val="000000" w:themeColor="text1"/>
          <w:sz w:val="24"/>
          <w:szCs w:val="24"/>
        </w:rPr>
        <w:t xml:space="preserve">and Fitch, the </w:t>
      </w:r>
      <w:r w:rsidR="0013204F" w:rsidRPr="00A6363B">
        <w:rPr>
          <w:rFonts w:ascii="Times New Roman" w:eastAsiaTheme="minorEastAsia" w:hAnsi="Times New Roman" w:cs="Times New Roman"/>
          <w:color w:val="000000" w:themeColor="text1"/>
          <w:sz w:val="24"/>
          <w:szCs w:val="24"/>
        </w:rPr>
        <w:t xml:space="preserve">US </w:t>
      </w:r>
      <w:r w:rsidR="00152876" w:rsidRPr="00A6363B">
        <w:rPr>
          <w:rFonts w:ascii="Times New Roman" w:eastAsiaTheme="minorEastAsia" w:hAnsi="Times New Roman" w:cs="Times New Roman"/>
          <w:color w:val="000000" w:themeColor="text1"/>
          <w:sz w:val="24"/>
          <w:szCs w:val="24"/>
        </w:rPr>
        <w:t>submitted that this will limit spending ability</w:t>
      </w:r>
      <w:r w:rsidR="0013204F" w:rsidRPr="00A6363B">
        <w:rPr>
          <w:rFonts w:ascii="Times New Roman" w:eastAsiaTheme="minorEastAsia" w:hAnsi="Times New Roman" w:cs="Times New Roman"/>
          <w:color w:val="000000" w:themeColor="text1"/>
          <w:sz w:val="24"/>
          <w:szCs w:val="24"/>
        </w:rPr>
        <w:t>. C</w:t>
      </w:r>
      <w:r w:rsidR="00152876" w:rsidRPr="00A6363B">
        <w:rPr>
          <w:rFonts w:ascii="Times New Roman" w:eastAsiaTheme="minorEastAsia" w:hAnsi="Times New Roman" w:cs="Times New Roman"/>
          <w:color w:val="000000" w:themeColor="text1"/>
          <w:sz w:val="24"/>
          <w:szCs w:val="24"/>
        </w:rPr>
        <w:t>oupled with the decreasing levels of investment</w:t>
      </w:r>
      <w:r w:rsidR="0013204F" w:rsidRPr="00A6363B">
        <w:rPr>
          <w:rFonts w:ascii="Times New Roman" w:eastAsiaTheme="minorEastAsia" w:hAnsi="Times New Roman" w:cs="Times New Roman"/>
          <w:color w:val="000000" w:themeColor="text1"/>
          <w:sz w:val="24"/>
          <w:szCs w:val="24"/>
        </w:rPr>
        <w:t xml:space="preserve"> and </w:t>
      </w:r>
      <w:r w:rsidR="00152876" w:rsidRPr="00A6363B">
        <w:rPr>
          <w:rFonts w:ascii="Times New Roman" w:eastAsiaTheme="minorEastAsia" w:hAnsi="Times New Roman" w:cs="Times New Roman"/>
          <w:color w:val="000000" w:themeColor="text1"/>
          <w:sz w:val="24"/>
          <w:szCs w:val="24"/>
        </w:rPr>
        <w:t xml:space="preserve">high total debt, increased interest repayments mean less funds to spend </w:t>
      </w:r>
      <w:r w:rsidR="00166647" w:rsidRPr="00A6363B">
        <w:rPr>
          <w:rFonts w:ascii="Times New Roman" w:eastAsiaTheme="minorEastAsia" w:hAnsi="Times New Roman" w:cs="Times New Roman"/>
          <w:color w:val="000000" w:themeColor="text1"/>
          <w:sz w:val="24"/>
          <w:szCs w:val="24"/>
        </w:rPr>
        <w:t>on social services. The US added that the low economic growth would put tax revenue collections under pressure</w:t>
      </w:r>
      <w:r w:rsidR="0013204F" w:rsidRPr="00A6363B">
        <w:rPr>
          <w:rFonts w:ascii="Times New Roman" w:eastAsiaTheme="minorEastAsia" w:hAnsi="Times New Roman" w:cs="Times New Roman"/>
          <w:color w:val="000000" w:themeColor="text1"/>
          <w:sz w:val="24"/>
          <w:szCs w:val="24"/>
        </w:rPr>
        <w:t>. The</w:t>
      </w:r>
      <w:r w:rsidR="00166647" w:rsidRPr="00A6363B">
        <w:rPr>
          <w:rFonts w:ascii="Times New Roman" w:eastAsiaTheme="minorEastAsia" w:hAnsi="Times New Roman" w:cs="Times New Roman"/>
          <w:color w:val="000000" w:themeColor="text1"/>
          <w:sz w:val="24"/>
          <w:szCs w:val="24"/>
        </w:rPr>
        <w:t xml:space="preserve"> low employment growth and lack of income growth will further amplify pressure on tax revenue generation which will highly contribute to the South African Revenue Service missing the tax target. </w:t>
      </w:r>
    </w:p>
    <w:p w:rsidR="00166647" w:rsidRPr="00A6363B" w:rsidRDefault="00166647" w:rsidP="00EE48C3">
      <w:pPr>
        <w:autoSpaceDE w:val="0"/>
        <w:autoSpaceDN w:val="0"/>
        <w:adjustRightInd w:val="0"/>
        <w:spacing w:after="0" w:line="360" w:lineRule="auto"/>
        <w:jc w:val="both"/>
        <w:rPr>
          <w:rFonts w:ascii="Times New Roman" w:eastAsiaTheme="minorEastAsia" w:hAnsi="Times New Roman" w:cs="Times New Roman"/>
          <w:color w:val="000000" w:themeColor="text1"/>
          <w:sz w:val="24"/>
          <w:szCs w:val="24"/>
        </w:rPr>
      </w:pPr>
    </w:p>
    <w:p w:rsidR="00696252" w:rsidRPr="00A6363B" w:rsidRDefault="00F846BA"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eastAsiaTheme="minorEastAsia" w:hAnsi="Times New Roman" w:cs="Times New Roman"/>
          <w:color w:val="000000" w:themeColor="text1"/>
          <w:sz w:val="24"/>
          <w:szCs w:val="24"/>
        </w:rPr>
        <w:t xml:space="preserve">Asked whether </w:t>
      </w:r>
      <w:r w:rsidR="00166647" w:rsidRPr="00A6363B">
        <w:rPr>
          <w:rFonts w:ascii="Times New Roman" w:eastAsiaTheme="minorEastAsia" w:hAnsi="Times New Roman" w:cs="Times New Roman"/>
          <w:color w:val="000000" w:themeColor="text1"/>
          <w:sz w:val="24"/>
          <w:szCs w:val="24"/>
        </w:rPr>
        <w:t xml:space="preserve">budget allocations </w:t>
      </w:r>
      <w:r w:rsidRPr="00A6363B">
        <w:rPr>
          <w:rFonts w:ascii="Times New Roman" w:eastAsiaTheme="minorEastAsia" w:hAnsi="Times New Roman" w:cs="Times New Roman"/>
          <w:color w:val="000000" w:themeColor="text1"/>
          <w:sz w:val="24"/>
          <w:szCs w:val="24"/>
        </w:rPr>
        <w:t>are</w:t>
      </w:r>
      <w:r w:rsidR="00166647" w:rsidRPr="00A6363B">
        <w:rPr>
          <w:rFonts w:ascii="Times New Roman" w:eastAsiaTheme="minorEastAsia" w:hAnsi="Times New Roman" w:cs="Times New Roman"/>
          <w:color w:val="000000" w:themeColor="text1"/>
          <w:sz w:val="24"/>
          <w:szCs w:val="24"/>
        </w:rPr>
        <w:t xml:space="preserve"> in</w:t>
      </w:r>
      <w:r w:rsidR="008007E7" w:rsidRPr="00A6363B">
        <w:rPr>
          <w:rFonts w:ascii="Times New Roman" w:eastAsiaTheme="minorEastAsia" w:hAnsi="Times New Roman" w:cs="Times New Roman"/>
          <w:color w:val="000000" w:themeColor="text1"/>
          <w:sz w:val="24"/>
          <w:szCs w:val="24"/>
        </w:rPr>
        <w:t xml:space="preserve"> </w:t>
      </w:r>
      <w:r w:rsidR="00166647" w:rsidRPr="00A6363B">
        <w:rPr>
          <w:rFonts w:ascii="Times New Roman" w:eastAsiaTheme="minorEastAsia" w:hAnsi="Times New Roman" w:cs="Times New Roman"/>
          <w:color w:val="000000" w:themeColor="text1"/>
          <w:sz w:val="24"/>
          <w:szCs w:val="24"/>
        </w:rPr>
        <w:t>line with</w:t>
      </w:r>
      <w:r w:rsidRPr="00A6363B">
        <w:rPr>
          <w:rFonts w:ascii="Times New Roman" w:eastAsiaTheme="minorEastAsia" w:hAnsi="Times New Roman" w:cs="Times New Roman"/>
          <w:color w:val="000000" w:themeColor="text1"/>
          <w:sz w:val="24"/>
          <w:szCs w:val="24"/>
        </w:rPr>
        <w:t xml:space="preserve"> the</w:t>
      </w:r>
      <w:r w:rsidR="00166647" w:rsidRPr="00A6363B">
        <w:rPr>
          <w:rFonts w:ascii="Times New Roman" w:eastAsiaTheme="minorEastAsia" w:hAnsi="Times New Roman" w:cs="Times New Roman"/>
          <w:color w:val="000000" w:themeColor="text1"/>
          <w:sz w:val="24"/>
          <w:szCs w:val="24"/>
        </w:rPr>
        <w:t xml:space="preserve"> Constitutional </w:t>
      </w:r>
      <w:r w:rsidRPr="00A6363B">
        <w:rPr>
          <w:rFonts w:ascii="Times New Roman" w:eastAsiaTheme="minorEastAsia" w:hAnsi="Times New Roman" w:cs="Times New Roman"/>
          <w:color w:val="000000" w:themeColor="text1"/>
          <w:sz w:val="24"/>
          <w:szCs w:val="24"/>
        </w:rPr>
        <w:t>m</w:t>
      </w:r>
      <w:r w:rsidR="00166647" w:rsidRPr="00A6363B">
        <w:rPr>
          <w:rFonts w:ascii="Times New Roman" w:eastAsiaTheme="minorEastAsia" w:hAnsi="Times New Roman" w:cs="Times New Roman"/>
          <w:color w:val="000000" w:themeColor="text1"/>
          <w:sz w:val="24"/>
          <w:szCs w:val="24"/>
        </w:rPr>
        <w:t>andate, the US confirm</w:t>
      </w:r>
      <w:r w:rsidRPr="00A6363B">
        <w:rPr>
          <w:rFonts w:ascii="Times New Roman" w:eastAsiaTheme="minorEastAsia" w:hAnsi="Times New Roman" w:cs="Times New Roman"/>
          <w:color w:val="000000" w:themeColor="text1"/>
          <w:sz w:val="24"/>
          <w:szCs w:val="24"/>
        </w:rPr>
        <w:t>ed</w:t>
      </w:r>
      <w:r w:rsidR="00166647" w:rsidRPr="00A6363B">
        <w:rPr>
          <w:rFonts w:ascii="Times New Roman" w:eastAsiaTheme="minorEastAsia" w:hAnsi="Times New Roman" w:cs="Times New Roman"/>
          <w:color w:val="000000" w:themeColor="text1"/>
          <w:sz w:val="24"/>
          <w:szCs w:val="24"/>
        </w:rPr>
        <w:t xml:space="preserve"> that budget allocations were in compliance with the government mandate</w:t>
      </w:r>
      <w:r w:rsidR="00101B58" w:rsidRPr="00A6363B">
        <w:rPr>
          <w:rFonts w:ascii="Times New Roman" w:eastAsiaTheme="minorEastAsia" w:hAnsi="Times New Roman" w:cs="Times New Roman"/>
          <w:color w:val="000000" w:themeColor="text1"/>
          <w:sz w:val="24"/>
          <w:szCs w:val="24"/>
        </w:rPr>
        <w:t xml:space="preserve"> and within the fiscal limits. </w:t>
      </w:r>
      <w:r w:rsidR="00777F08" w:rsidRPr="00A6363B">
        <w:rPr>
          <w:rFonts w:ascii="Times New Roman" w:eastAsiaTheme="minorEastAsia" w:hAnsi="Times New Roman" w:cs="Times New Roman"/>
          <w:color w:val="000000" w:themeColor="text1"/>
          <w:sz w:val="24"/>
          <w:szCs w:val="24"/>
        </w:rPr>
        <w:t>The sector</w:t>
      </w:r>
      <w:r w:rsidR="008007E7" w:rsidRPr="00A6363B">
        <w:rPr>
          <w:rFonts w:ascii="Times New Roman" w:eastAsiaTheme="minorEastAsia" w:hAnsi="Times New Roman" w:cs="Times New Roman"/>
          <w:color w:val="000000" w:themeColor="text1"/>
          <w:sz w:val="24"/>
          <w:szCs w:val="24"/>
        </w:rPr>
        <w:t>-</w:t>
      </w:r>
      <w:r w:rsidR="00777F08" w:rsidRPr="00A6363B">
        <w:rPr>
          <w:rFonts w:ascii="Times New Roman" w:eastAsiaTheme="minorEastAsia" w:hAnsi="Times New Roman" w:cs="Times New Roman"/>
          <w:color w:val="000000" w:themeColor="text1"/>
          <w:sz w:val="24"/>
          <w:szCs w:val="24"/>
        </w:rPr>
        <w:t xml:space="preserve">specific allocations focus on sectors highlighted in the National Development Plan. These include additional allocations to Higher Education and Training, Infrastructure and </w:t>
      </w:r>
      <w:r w:rsidR="008007E7" w:rsidRPr="00A6363B">
        <w:rPr>
          <w:rFonts w:ascii="Times New Roman" w:eastAsiaTheme="minorEastAsia" w:hAnsi="Times New Roman" w:cs="Times New Roman"/>
          <w:color w:val="000000" w:themeColor="text1"/>
          <w:sz w:val="24"/>
          <w:szCs w:val="24"/>
        </w:rPr>
        <w:t>E</w:t>
      </w:r>
      <w:r w:rsidR="00777F08" w:rsidRPr="00A6363B">
        <w:rPr>
          <w:rFonts w:ascii="Times New Roman" w:eastAsiaTheme="minorEastAsia" w:hAnsi="Times New Roman" w:cs="Times New Roman"/>
          <w:color w:val="000000" w:themeColor="text1"/>
          <w:sz w:val="24"/>
          <w:szCs w:val="24"/>
        </w:rPr>
        <w:t xml:space="preserve">conomic </w:t>
      </w:r>
      <w:r w:rsidR="008007E7" w:rsidRPr="00A6363B">
        <w:rPr>
          <w:rFonts w:ascii="Times New Roman" w:eastAsiaTheme="minorEastAsia" w:hAnsi="Times New Roman" w:cs="Times New Roman"/>
          <w:color w:val="000000" w:themeColor="text1"/>
          <w:sz w:val="24"/>
          <w:szCs w:val="24"/>
        </w:rPr>
        <w:t>D</w:t>
      </w:r>
      <w:r w:rsidR="00777F08" w:rsidRPr="00A6363B">
        <w:rPr>
          <w:rFonts w:ascii="Times New Roman" w:eastAsiaTheme="minorEastAsia" w:hAnsi="Times New Roman" w:cs="Times New Roman"/>
          <w:color w:val="000000" w:themeColor="text1"/>
          <w:sz w:val="24"/>
          <w:szCs w:val="24"/>
        </w:rPr>
        <w:t>evelopment</w:t>
      </w:r>
      <w:r w:rsidR="00E013F5" w:rsidRPr="00A6363B">
        <w:rPr>
          <w:rFonts w:ascii="Times New Roman" w:eastAsiaTheme="minorEastAsia" w:hAnsi="Times New Roman" w:cs="Times New Roman"/>
          <w:color w:val="000000" w:themeColor="text1"/>
          <w:sz w:val="24"/>
          <w:szCs w:val="24"/>
        </w:rPr>
        <w:t xml:space="preserve">. Regarding provincial allocations, the US </w:t>
      </w:r>
      <w:r w:rsidR="008007E7" w:rsidRPr="00A6363B">
        <w:rPr>
          <w:rFonts w:ascii="Times New Roman" w:eastAsiaTheme="minorEastAsia" w:hAnsi="Times New Roman" w:cs="Times New Roman"/>
          <w:color w:val="000000" w:themeColor="text1"/>
          <w:sz w:val="24"/>
          <w:szCs w:val="24"/>
        </w:rPr>
        <w:t xml:space="preserve">reported a marginal decline in </w:t>
      </w:r>
      <w:r w:rsidR="00E013F5" w:rsidRPr="00A6363B">
        <w:rPr>
          <w:rFonts w:ascii="Times New Roman" w:eastAsiaTheme="minorEastAsia" w:hAnsi="Times New Roman" w:cs="Times New Roman"/>
          <w:color w:val="000000" w:themeColor="text1"/>
          <w:sz w:val="24"/>
          <w:szCs w:val="24"/>
        </w:rPr>
        <w:t xml:space="preserve">compensation of employees </w:t>
      </w:r>
      <w:r w:rsidR="008007E7" w:rsidRPr="00A6363B">
        <w:rPr>
          <w:rFonts w:ascii="Times New Roman" w:eastAsiaTheme="minorEastAsia" w:hAnsi="Times New Roman" w:cs="Times New Roman"/>
          <w:color w:val="000000" w:themeColor="text1"/>
          <w:sz w:val="24"/>
          <w:szCs w:val="24"/>
        </w:rPr>
        <w:t xml:space="preserve">- </w:t>
      </w:r>
      <w:r w:rsidR="00E013F5" w:rsidRPr="00A6363B">
        <w:rPr>
          <w:rFonts w:ascii="Times New Roman" w:eastAsiaTheme="minorEastAsia" w:hAnsi="Times New Roman" w:cs="Times New Roman"/>
          <w:color w:val="000000" w:themeColor="text1"/>
          <w:sz w:val="24"/>
          <w:szCs w:val="24"/>
        </w:rPr>
        <w:t xml:space="preserve">from 60.4 percent to 59.8 percent from 2015 to 2016. The US </w:t>
      </w:r>
      <w:r w:rsidR="003D0853" w:rsidRPr="00A6363B">
        <w:rPr>
          <w:rFonts w:ascii="Times New Roman" w:eastAsiaTheme="minorEastAsia" w:hAnsi="Times New Roman" w:cs="Times New Roman"/>
          <w:color w:val="000000" w:themeColor="text1"/>
          <w:sz w:val="24"/>
          <w:szCs w:val="24"/>
        </w:rPr>
        <w:t xml:space="preserve">concluded that they have </w:t>
      </w:r>
      <w:r w:rsidR="00E013F5" w:rsidRPr="00A6363B">
        <w:rPr>
          <w:rFonts w:ascii="Times New Roman" w:eastAsiaTheme="minorEastAsia" w:hAnsi="Times New Roman" w:cs="Times New Roman"/>
          <w:color w:val="000000" w:themeColor="text1"/>
          <w:sz w:val="24"/>
          <w:szCs w:val="24"/>
        </w:rPr>
        <w:t xml:space="preserve">noted the decline in </w:t>
      </w:r>
      <w:r w:rsidR="008007E7" w:rsidRPr="00A6363B">
        <w:rPr>
          <w:rFonts w:ascii="Times New Roman" w:eastAsiaTheme="minorEastAsia" w:hAnsi="Times New Roman" w:cs="Times New Roman"/>
          <w:color w:val="000000" w:themeColor="text1"/>
          <w:sz w:val="24"/>
          <w:szCs w:val="24"/>
        </w:rPr>
        <w:t xml:space="preserve">the </w:t>
      </w:r>
      <w:r w:rsidR="00E013F5" w:rsidRPr="00A6363B">
        <w:rPr>
          <w:rFonts w:ascii="Times New Roman" w:eastAsiaTheme="minorEastAsia" w:hAnsi="Times New Roman" w:cs="Times New Roman"/>
          <w:color w:val="000000" w:themeColor="text1"/>
          <w:sz w:val="24"/>
          <w:szCs w:val="24"/>
        </w:rPr>
        <w:t xml:space="preserve">Human </w:t>
      </w:r>
      <w:r w:rsidR="00E013F5" w:rsidRPr="00A6363B">
        <w:rPr>
          <w:rFonts w:ascii="Times New Roman" w:eastAsiaTheme="minorEastAsia" w:hAnsi="Times New Roman" w:cs="Times New Roman"/>
          <w:color w:val="000000" w:themeColor="text1"/>
          <w:sz w:val="24"/>
          <w:szCs w:val="24"/>
        </w:rPr>
        <w:lastRenderedPageBreak/>
        <w:t xml:space="preserve">Settlements </w:t>
      </w:r>
      <w:r w:rsidR="008007E7" w:rsidRPr="00A6363B">
        <w:rPr>
          <w:rFonts w:ascii="Times New Roman" w:eastAsiaTheme="minorEastAsia" w:hAnsi="Times New Roman" w:cs="Times New Roman"/>
          <w:color w:val="000000" w:themeColor="text1"/>
          <w:sz w:val="24"/>
          <w:szCs w:val="24"/>
        </w:rPr>
        <w:t>D</w:t>
      </w:r>
      <w:r w:rsidR="00E013F5" w:rsidRPr="00A6363B">
        <w:rPr>
          <w:rFonts w:ascii="Times New Roman" w:eastAsiaTheme="minorEastAsia" w:hAnsi="Times New Roman" w:cs="Times New Roman"/>
          <w:color w:val="000000" w:themeColor="text1"/>
          <w:sz w:val="24"/>
          <w:szCs w:val="24"/>
        </w:rPr>
        <w:t xml:space="preserve">evelopment Grant and </w:t>
      </w:r>
      <w:r w:rsidR="008007E7" w:rsidRPr="00A6363B">
        <w:rPr>
          <w:rFonts w:ascii="Times New Roman" w:eastAsiaTheme="minorEastAsia" w:hAnsi="Times New Roman" w:cs="Times New Roman"/>
          <w:color w:val="000000" w:themeColor="text1"/>
          <w:sz w:val="24"/>
          <w:szCs w:val="24"/>
        </w:rPr>
        <w:t xml:space="preserve">the </w:t>
      </w:r>
      <w:r w:rsidR="00E013F5" w:rsidRPr="00A6363B">
        <w:rPr>
          <w:rFonts w:ascii="Times New Roman" w:eastAsiaTheme="minorEastAsia" w:hAnsi="Times New Roman" w:cs="Times New Roman"/>
          <w:color w:val="000000" w:themeColor="text1"/>
          <w:sz w:val="24"/>
          <w:szCs w:val="24"/>
        </w:rPr>
        <w:t xml:space="preserve">Health Facility Revitalisation Grant and predicted that several grants will face cuts over the 2017 MTEF. </w:t>
      </w:r>
      <w:r w:rsidR="00777F08" w:rsidRPr="00A6363B">
        <w:rPr>
          <w:rFonts w:ascii="Times New Roman" w:eastAsiaTheme="minorEastAsia" w:hAnsi="Times New Roman" w:cs="Times New Roman"/>
          <w:color w:val="000000" w:themeColor="text1"/>
          <w:sz w:val="24"/>
          <w:szCs w:val="24"/>
        </w:rPr>
        <w:t xml:space="preserve"> </w:t>
      </w:r>
      <w:r w:rsidR="00166647" w:rsidRPr="00A6363B">
        <w:rPr>
          <w:rFonts w:ascii="Times New Roman" w:eastAsiaTheme="minorEastAsia" w:hAnsi="Times New Roman" w:cs="Times New Roman"/>
          <w:color w:val="000000" w:themeColor="text1"/>
          <w:sz w:val="24"/>
          <w:szCs w:val="24"/>
        </w:rPr>
        <w:t xml:space="preserve">  </w:t>
      </w:r>
      <w:r w:rsidR="00152876" w:rsidRPr="00A6363B">
        <w:rPr>
          <w:rFonts w:ascii="Times New Roman" w:eastAsiaTheme="minorEastAsia" w:hAnsi="Times New Roman" w:cs="Times New Roman"/>
          <w:color w:val="000000" w:themeColor="text1"/>
          <w:sz w:val="24"/>
          <w:szCs w:val="24"/>
        </w:rPr>
        <w:t xml:space="preserve">  </w:t>
      </w:r>
      <w:r w:rsidR="00696252" w:rsidRPr="00A6363B">
        <w:rPr>
          <w:rFonts w:ascii="Times New Roman" w:hAnsi="Times New Roman" w:cs="Times New Roman"/>
          <w:sz w:val="24"/>
          <w:szCs w:val="24"/>
        </w:rPr>
        <w:t xml:space="preserve"> </w:t>
      </w:r>
    </w:p>
    <w:p w:rsidR="00463DEC" w:rsidRPr="00A6363B" w:rsidRDefault="007D0CAD"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 </w:t>
      </w:r>
    </w:p>
    <w:p w:rsidR="00463DEC" w:rsidRPr="00A6363B" w:rsidRDefault="00463DEC" w:rsidP="00EE48C3">
      <w:pPr>
        <w:autoSpaceDE w:val="0"/>
        <w:autoSpaceDN w:val="0"/>
        <w:adjustRightInd w:val="0"/>
        <w:spacing w:after="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5.4 </w:t>
      </w:r>
      <w:r w:rsidR="00EA604B" w:rsidRPr="00A6363B">
        <w:rPr>
          <w:rFonts w:ascii="Times New Roman" w:hAnsi="Times New Roman" w:cs="Times New Roman"/>
          <w:b/>
          <w:sz w:val="24"/>
          <w:szCs w:val="24"/>
        </w:rPr>
        <w:t xml:space="preserve">Submissions on </w:t>
      </w:r>
      <w:r w:rsidR="008007E7" w:rsidRPr="00A6363B">
        <w:rPr>
          <w:rFonts w:ascii="Times New Roman" w:hAnsi="Times New Roman" w:cs="Times New Roman"/>
          <w:b/>
          <w:sz w:val="24"/>
          <w:szCs w:val="24"/>
        </w:rPr>
        <w:t>e</w:t>
      </w:r>
      <w:r w:rsidR="00EA604B" w:rsidRPr="00A6363B">
        <w:rPr>
          <w:rFonts w:ascii="Times New Roman" w:hAnsi="Times New Roman" w:cs="Times New Roman"/>
          <w:b/>
          <w:sz w:val="24"/>
          <w:szCs w:val="24"/>
        </w:rPr>
        <w:t>lectrification challenges</w:t>
      </w:r>
      <w:r w:rsidRPr="00A6363B">
        <w:rPr>
          <w:rFonts w:ascii="Times New Roman" w:hAnsi="Times New Roman" w:cs="Times New Roman"/>
          <w:b/>
          <w:sz w:val="24"/>
          <w:szCs w:val="24"/>
        </w:rPr>
        <w:t xml:space="preserve"> </w:t>
      </w:r>
    </w:p>
    <w:p w:rsidR="003D0853" w:rsidRPr="00A6363B" w:rsidRDefault="003D085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The Committee also received submission</w:t>
      </w:r>
      <w:r w:rsidR="008007E7" w:rsidRPr="00A6363B">
        <w:rPr>
          <w:rFonts w:ascii="Times New Roman" w:hAnsi="Times New Roman" w:cs="Times New Roman"/>
          <w:sz w:val="24"/>
          <w:szCs w:val="24"/>
        </w:rPr>
        <w:t>s</w:t>
      </w:r>
      <w:r w:rsidRPr="00A6363B">
        <w:rPr>
          <w:rFonts w:ascii="Times New Roman" w:hAnsi="Times New Roman" w:cs="Times New Roman"/>
          <w:sz w:val="24"/>
          <w:szCs w:val="24"/>
        </w:rPr>
        <w:t xml:space="preserve"> on the Integrated National Electrification Programme Grants (schedule 5 and 6). </w:t>
      </w:r>
      <w:r w:rsidR="008007E7" w:rsidRPr="00A6363B">
        <w:rPr>
          <w:rFonts w:ascii="Times New Roman" w:hAnsi="Times New Roman" w:cs="Times New Roman"/>
          <w:sz w:val="24"/>
          <w:szCs w:val="24"/>
        </w:rPr>
        <w:t>The s</w:t>
      </w:r>
      <w:r w:rsidRPr="00A6363B">
        <w:rPr>
          <w:rFonts w:ascii="Times New Roman" w:hAnsi="Times New Roman" w:cs="Times New Roman"/>
          <w:sz w:val="24"/>
          <w:szCs w:val="24"/>
        </w:rPr>
        <w:t xml:space="preserve">chedule 5 grant is transferred to </w:t>
      </w:r>
      <w:r w:rsidR="008007E7" w:rsidRPr="00A6363B">
        <w:rPr>
          <w:rFonts w:ascii="Times New Roman" w:hAnsi="Times New Roman" w:cs="Times New Roman"/>
          <w:sz w:val="24"/>
          <w:szCs w:val="24"/>
        </w:rPr>
        <w:t>m</w:t>
      </w:r>
      <w:r w:rsidRPr="00A6363B">
        <w:rPr>
          <w:rFonts w:ascii="Times New Roman" w:hAnsi="Times New Roman" w:cs="Times New Roman"/>
          <w:sz w:val="24"/>
          <w:szCs w:val="24"/>
        </w:rPr>
        <w:t xml:space="preserve">unicipalities and </w:t>
      </w:r>
      <w:r w:rsidR="008007E7" w:rsidRPr="00A6363B">
        <w:rPr>
          <w:rFonts w:ascii="Times New Roman" w:hAnsi="Times New Roman" w:cs="Times New Roman"/>
          <w:sz w:val="24"/>
          <w:szCs w:val="24"/>
        </w:rPr>
        <w:t xml:space="preserve">the </w:t>
      </w:r>
      <w:r w:rsidRPr="00A6363B">
        <w:rPr>
          <w:rFonts w:ascii="Times New Roman" w:hAnsi="Times New Roman" w:cs="Times New Roman"/>
          <w:sz w:val="24"/>
          <w:szCs w:val="24"/>
        </w:rPr>
        <w:t xml:space="preserve">schedule 6 </w:t>
      </w:r>
      <w:r w:rsidR="008007E7" w:rsidRPr="00A6363B">
        <w:rPr>
          <w:rFonts w:ascii="Times New Roman" w:hAnsi="Times New Roman" w:cs="Times New Roman"/>
          <w:sz w:val="24"/>
          <w:szCs w:val="24"/>
        </w:rPr>
        <w:t xml:space="preserve">grant </w:t>
      </w:r>
      <w:r w:rsidRPr="00A6363B">
        <w:rPr>
          <w:rFonts w:ascii="Times New Roman" w:hAnsi="Times New Roman" w:cs="Times New Roman"/>
          <w:sz w:val="24"/>
          <w:szCs w:val="24"/>
        </w:rPr>
        <w:t xml:space="preserve">to </w:t>
      </w:r>
      <w:r w:rsidR="0090600A" w:rsidRPr="00A6363B">
        <w:rPr>
          <w:rFonts w:ascii="Times New Roman" w:hAnsi="Times New Roman" w:cs="Times New Roman"/>
          <w:sz w:val="24"/>
          <w:szCs w:val="24"/>
        </w:rPr>
        <w:t>E</w:t>
      </w:r>
      <w:r w:rsidR="008007E7" w:rsidRPr="00A6363B">
        <w:rPr>
          <w:rFonts w:ascii="Times New Roman" w:hAnsi="Times New Roman" w:cs="Times New Roman"/>
          <w:sz w:val="24"/>
          <w:szCs w:val="24"/>
        </w:rPr>
        <w:t>skom</w:t>
      </w:r>
      <w:r w:rsidRPr="00A6363B">
        <w:rPr>
          <w:rFonts w:ascii="Times New Roman" w:hAnsi="Times New Roman" w:cs="Times New Roman"/>
          <w:sz w:val="24"/>
          <w:szCs w:val="24"/>
        </w:rPr>
        <w:t xml:space="preserve">. </w:t>
      </w:r>
    </w:p>
    <w:p w:rsidR="00EA604B" w:rsidRPr="00A6363B" w:rsidRDefault="003D085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 </w:t>
      </w:r>
    </w:p>
    <w:p w:rsidR="00463DEC" w:rsidRPr="00A6363B" w:rsidRDefault="00EA604B" w:rsidP="00EE48C3">
      <w:pPr>
        <w:autoSpaceDE w:val="0"/>
        <w:autoSpaceDN w:val="0"/>
        <w:adjustRightInd w:val="0"/>
        <w:spacing w:after="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5.4.1 </w:t>
      </w:r>
      <w:r w:rsidR="0090600A" w:rsidRPr="00A6363B">
        <w:rPr>
          <w:rFonts w:ascii="Times New Roman" w:hAnsi="Times New Roman" w:cs="Times New Roman"/>
          <w:b/>
          <w:sz w:val="24"/>
          <w:szCs w:val="24"/>
        </w:rPr>
        <w:t>E</w:t>
      </w:r>
      <w:r w:rsidR="008007E7" w:rsidRPr="00A6363B">
        <w:rPr>
          <w:rFonts w:ascii="Times New Roman" w:hAnsi="Times New Roman" w:cs="Times New Roman"/>
          <w:b/>
          <w:sz w:val="24"/>
          <w:szCs w:val="24"/>
        </w:rPr>
        <w:t>skom</w:t>
      </w:r>
    </w:p>
    <w:p w:rsidR="001C65CD" w:rsidRPr="00A6363B" w:rsidRDefault="0090600A"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E</w:t>
      </w:r>
      <w:r w:rsidR="008007E7" w:rsidRPr="00A6363B">
        <w:rPr>
          <w:rFonts w:ascii="Times New Roman" w:hAnsi="Times New Roman" w:cs="Times New Roman"/>
          <w:sz w:val="24"/>
          <w:szCs w:val="24"/>
        </w:rPr>
        <w:t>skom</w:t>
      </w:r>
      <w:r w:rsidR="001B334B" w:rsidRPr="00A6363B">
        <w:rPr>
          <w:rFonts w:ascii="Times New Roman" w:hAnsi="Times New Roman" w:cs="Times New Roman"/>
          <w:sz w:val="24"/>
          <w:szCs w:val="24"/>
        </w:rPr>
        <w:t xml:space="preserve"> reported that</w:t>
      </w:r>
      <w:r w:rsidR="005E318A" w:rsidRPr="00A6363B">
        <w:rPr>
          <w:rFonts w:ascii="Times New Roman" w:hAnsi="Times New Roman" w:cs="Times New Roman"/>
          <w:sz w:val="24"/>
          <w:szCs w:val="24"/>
        </w:rPr>
        <w:t>,</w:t>
      </w:r>
      <w:r w:rsidR="001B334B" w:rsidRPr="00A6363B">
        <w:rPr>
          <w:rFonts w:ascii="Times New Roman" w:hAnsi="Times New Roman" w:cs="Times New Roman"/>
          <w:sz w:val="24"/>
          <w:szCs w:val="24"/>
        </w:rPr>
        <w:t xml:space="preserve"> as a</w:t>
      </w:r>
      <w:r w:rsidR="001C65CD" w:rsidRPr="00A6363B">
        <w:rPr>
          <w:rFonts w:ascii="Times New Roman" w:hAnsi="Times New Roman" w:cs="Times New Roman"/>
          <w:sz w:val="24"/>
          <w:szCs w:val="24"/>
        </w:rPr>
        <w:t>t the end of November 2016</w:t>
      </w:r>
      <w:r w:rsidR="005E318A" w:rsidRPr="00A6363B">
        <w:rPr>
          <w:rFonts w:ascii="Times New Roman" w:hAnsi="Times New Roman" w:cs="Times New Roman"/>
          <w:sz w:val="24"/>
          <w:szCs w:val="24"/>
        </w:rPr>
        <w:t>,</w:t>
      </w:r>
      <w:r w:rsidR="001C65CD" w:rsidRPr="00A6363B">
        <w:rPr>
          <w:rFonts w:ascii="Times New Roman" w:hAnsi="Times New Roman" w:cs="Times New Roman"/>
          <w:sz w:val="24"/>
          <w:szCs w:val="24"/>
        </w:rPr>
        <w:t xml:space="preserve"> </w:t>
      </w:r>
      <w:r w:rsidR="005E318A" w:rsidRPr="00A6363B">
        <w:rPr>
          <w:rFonts w:ascii="Times New Roman" w:hAnsi="Times New Roman" w:cs="Times New Roman"/>
          <w:sz w:val="24"/>
          <w:szCs w:val="24"/>
        </w:rPr>
        <w:t xml:space="preserve">the </w:t>
      </w:r>
      <w:r w:rsidR="001C65CD" w:rsidRPr="00A6363B">
        <w:rPr>
          <w:rFonts w:ascii="Times New Roman" w:hAnsi="Times New Roman" w:cs="Times New Roman"/>
          <w:sz w:val="24"/>
          <w:szCs w:val="24"/>
        </w:rPr>
        <w:t>over</w:t>
      </w:r>
      <w:r w:rsidR="001B334B" w:rsidRPr="00A6363B">
        <w:rPr>
          <w:rFonts w:ascii="Times New Roman" w:hAnsi="Times New Roman" w:cs="Times New Roman"/>
          <w:sz w:val="24"/>
          <w:szCs w:val="24"/>
        </w:rPr>
        <w:t>due muni</w:t>
      </w:r>
      <w:r w:rsidR="001C65CD" w:rsidRPr="00A6363B">
        <w:rPr>
          <w:rFonts w:ascii="Times New Roman" w:hAnsi="Times New Roman" w:cs="Times New Roman"/>
          <w:sz w:val="24"/>
          <w:szCs w:val="24"/>
        </w:rPr>
        <w:t>ci</w:t>
      </w:r>
      <w:r w:rsidR="001B334B" w:rsidRPr="00A6363B">
        <w:rPr>
          <w:rFonts w:ascii="Times New Roman" w:hAnsi="Times New Roman" w:cs="Times New Roman"/>
          <w:sz w:val="24"/>
          <w:szCs w:val="24"/>
        </w:rPr>
        <w:t>pal electricity debt was R10.2 billion and</w:t>
      </w:r>
      <w:r w:rsidR="005E318A" w:rsidRPr="00A6363B">
        <w:rPr>
          <w:rFonts w:ascii="Times New Roman" w:hAnsi="Times New Roman" w:cs="Times New Roman"/>
          <w:sz w:val="24"/>
          <w:szCs w:val="24"/>
        </w:rPr>
        <w:t>,</w:t>
      </w:r>
      <w:r w:rsidR="001B334B" w:rsidRPr="00A6363B">
        <w:rPr>
          <w:rFonts w:ascii="Times New Roman" w:hAnsi="Times New Roman" w:cs="Times New Roman"/>
          <w:sz w:val="24"/>
          <w:szCs w:val="24"/>
        </w:rPr>
        <w:t xml:space="preserve"> as at 31 March 2017</w:t>
      </w:r>
      <w:r w:rsidR="005E318A" w:rsidRPr="00A6363B">
        <w:rPr>
          <w:rFonts w:ascii="Times New Roman" w:hAnsi="Times New Roman" w:cs="Times New Roman"/>
          <w:sz w:val="24"/>
          <w:szCs w:val="24"/>
        </w:rPr>
        <w:t>,</w:t>
      </w:r>
      <w:r w:rsidR="001B334B" w:rsidRPr="00A6363B">
        <w:rPr>
          <w:rFonts w:ascii="Times New Roman" w:hAnsi="Times New Roman" w:cs="Times New Roman"/>
          <w:sz w:val="24"/>
          <w:szCs w:val="24"/>
        </w:rPr>
        <w:t xml:space="preserve"> the debt had decreased to R9.4 billion. On the current debt, </w:t>
      </w:r>
      <w:r w:rsidRPr="00A6363B">
        <w:rPr>
          <w:rFonts w:ascii="Times New Roman" w:hAnsi="Times New Roman" w:cs="Times New Roman"/>
          <w:sz w:val="24"/>
          <w:szCs w:val="24"/>
        </w:rPr>
        <w:t>E</w:t>
      </w:r>
      <w:r w:rsidR="005E318A" w:rsidRPr="00A6363B">
        <w:rPr>
          <w:rFonts w:ascii="Times New Roman" w:hAnsi="Times New Roman" w:cs="Times New Roman"/>
          <w:sz w:val="24"/>
          <w:szCs w:val="24"/>
        </w:rPr>
        <w:t>skom</w:t>
      </w:r>
      <w:r w:rsidR="001B334B" w:rsidRPr="00A6363B">
        <w:rPr>
          <w:rFonts w:ascii="Times New Roman" w:hAnsi="Times New Roman" w:cs="Times New Roman"/>
          <w:sz w:val="24"/>
          <w:szCs w:val="24"/>
        </w:rPr>
        <w:t xml:space="preserve"> reported that the total municipal</w:t>
      </w:r>
      <w:r w:rsidR="00303B49" w:rsidRPr="00A6363B">
        <w:rPr>
          <w:rFonts w:ascii="Times New Roman" w:hAnsi="Times New Roman" w:cs="Times New Roman"/>
          <w:sz w:val="24"/>
          <w:szCs w:val="24"/>
        </w:rPr>
        <w:t xml:space="preserve">ity debt inclusive of current consumption is R15.3 billion as at the end of March 2017. </w:t>
      </w:r>
      <w:r w:rsidR="005C2485" w:rsidRPr="00A6363B">
        <w:rPr>
          <w:rFonts w:ascii="Times New Roman" w:hAnsi="Times New Roman" w:cs="Times New Roman"/>
          <w:sz w:val="24"/>
          <w:szCs w:val="24"/>
        </w:rPr>
        <w:t xml:space="preserve">The total amount overdue by </w:t>
      </w:r>
      <w:r w:rsidR="005E318A" w:rsidRPr="00A6363B">
        <w:rPr>
          <w:rFonts w:ascii="Times New Roman" w:hAnsi="Times New Roman" w:cs="Times New Roman"/>
          <w:sz w:val="24"/>
          <w:szCs w:val="24"/>
        </w:rPr>
        <w:t xml:space="preserve">the </w:t>
      </w:r>
      <w:r w:rsidR="005C2485" w:rsidRPr="00A6363B">
        <w:rPr>
          <w:rFonts w:ascii="Times New Roman" w:hAnsi="Times New Roman" w:cs="Times New Roman"/>
          <w:sz w:val="24"/>
          <w:szCs w:val="24"/>
        </w:rPr>
        <w:t xml:space="preserve">top 10 municipalities was reported to be R6.2 billion; whereas the top 20 overdue municipalities were overdue by R7.4 billion. These municipalities were in three provinces, Free State (R4.570 billion); Mpumalanga (R2.096 billion) and North West (R814 million). </w:t>
      </w:r>
      <w:r w:rsidRPr="00A6363B">
        <w:rPr>
          <w:rFonts w:ascii="Times New Roman" w:hAnsi="Times New Roman" w:cs="Times New Roman"/>
          <w:sz w:val="24"/>
          <w:szCs w:val="24"/>
        </w:rPr>
        <w:t>E</w:t>
      </w:r>
      <w:r w:rsidR="005E318A" w:rsidRPr="00A6363B">
        <w:rPr>
          <w:rFonts w:ascii="Times New Roman" w:hAnsi="Times New Roman" w:cs="Times New Roman"/>
          <w:sz w:val="24"/>
          <w:szCs w:val="24"/>
        </w:rPr>
        <w:t>skom</w:t>
      </w:r>
      <w:r w:rsidR="005C2485" w:rsidRPr="00A6363B">
        <w:rPr>
          <w:rFonts w:ascii="Times New Roman" w:hAnsi="Times New Roman" w:cs="Times New Roman"/>
          <w:sz w:val="24"/>
          <w:szCs w:val="24"/>
        </w:rPr>
        <w:t xml:space="preserve"> also reported that there were 63 and 89 municipalities that were overdue by more than R10 million and R500</w:t>
      </w:r>
      <w:r w:rsidR="00C72DF7" w:rsidRPr="00A6363B">
        <w:rPr>
          <w:rFonts w:ascii="Times New Roman" w:hAnsi="Times New Roman" w:cs="Times New Roman"/>
          <w:sz w:val="24"/>
          <w:szCs w:val="24"/>
        </w:rPr>
        <w:t xml:space="preserve"> </w:t>
      </w:r>
      <w:r w:rsidR="005C2485" w:rsidRPr="00A6363B">
        <w:rPr>
          <w:rFonts w:ascii="Times New Roman" w:hAnsi="Times New Roman" w:cs="Times New Roman"/>
          <w:sz w:val="24"/>
          <w:szCs w:val="24"/>
        </w:rPr>
        <w:t>000</w:t>
      </w:r>
      <w:r w:rsidR="00C72DF7" w:rsidRPr="00A6363B">
        <w:rPr>
          <w:rFonts w:ascii="Times New Roman" w:hAnsi="Times New Roman" w:cs="Times New Roman"/>
          <w:sz w:val="24"/>
          <w:szCs w:val="24"/>
        </w:rPr>
        <w:t>.00</w:t>
      </w:r>
      <w:r w:rsidR="005C2485" w:rsidRPr="00A6363B">
        <w:rPr>
          <w:rFonts w:ascii="Times New Roman" w:hAnsi="Times New Roman" w:cs="Times New Roman"/>
          <w:sz w:val="24"/>
          <w:szCs w:val="24"/>
        </w:rPr>
        <w:t xml:space="preserve">, respectively. </w:t>
      </w:r>
    </w:p>
    <w:p w:rsidR="001C65CD" w:rsidRPr="00A6363B" w:rsidRDefault="001C65CD" w:rsidP="00EE48C3">
      <w:pPr>
        <w:autoSpaceDE w:val="0"/>
        <w:autoSpaceDN w:val="0"/>
        <w:adjustRightInd w:val="0"/>
        <w:spacing w:after="0" w:line="360" w:lineRule="auto"/>
        <w:jc w:val="both"/>
        <w:rPr>
          <w:rFonts w:ascii="Times New Roman" w:hAnsi="Times New Roman" w:cs="Times New Roman"/>
          <w:sz w:val="24"/>
          <w:szCs w:val="24"/>
        </w:rPr>
      </w:pPr>
    </w:p>
    <w:p w:rsidR="001C65CD" w:rsidRPr="00A6363B" w:rsidRDefault="0090600A"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E</w:t>
      </w:r>
      <w:r w:rsidR="005E318A" w:rsidRPr="00A6363B">
        <w:rPr>
          <w:rFonts w:ascii="Times New Roman" w:hAnsi="Times New Roman" w:cs="Times New Roman"/>
          <w:sz w:val="24"/>
          <w:szCs w:val="24"/>
        </w:rPr>
        <w:t>skom</w:t>
      </w:r>
      <w:r w:rsidR="00303B49" w:rsidRPr="00A6363B">
        <w:rPr>
          <w:rFonts w:ascii="Times New Roman" w:hAnsi="Times New Roman" w:cs="Times New Roman"/>
          <w:sz w:val="24"/>
          <w:szCs w:val="24"/>
        </w:rPr>
        <w:t xml:space="preserve"> further</w:t>
      </w:r>
      <w:r w:rsidR="001C65CD" w:rsidRPr="00A6363B">
        <w:rPr>
          <w:rFonts w:ascii="Times New Roman" w:hAnsi="Times New Roman" w:cs="Times New Roman"/>
          <w:sz w:val="24"/>
          <w:szCs w:val="24"/>
        </w:rPr>
        <w:t xml:space="preserve"> submitted that </w:t>
      </w:r>
      <w:r w:rsidR="005E318A" w:rsidRPr="00A6363B">
        <w:rPr>
          <w:rFonts w:ascii="Times New Roman" w:hAnsi="Times New Roman" w:cs="Times New Roman"/>
          <w:sz w:val="24"/>
          <w:szCs w:val="24"/>
        </w:rPr>
        <w:t>they</w:t>
      </w:r>
      <w:r w:rsidR="001C65CD" w:rsidRPr="00A6363B">
        <w:rPr>
          <w:rFonts w:ascii="Times New Roman" w:hAnsi="Times New Roman" w:cs="Times New Roman"/>
          <w:sz w:val="24"/>
          <w:szCs w:val="24"/>
        </w:rPr>
        <w:t xml:space="preserve"> and the municipalities have co-existing rights to distribute, reticulate and supply electricity within municipal areas pursuant to the respective distribution licenses issued to them by </w:t>
      </w:r>
      <w:r w:rsidR="005E318A" w:rsidRPr="00A6363B">
        <w:rPr>
          <w:rFonts w:ascii="Times New Roman" w:hAnsi="Times New Roman" w:cs="Times New Roman"/>
          <w:sz w:val="24"/>
          <w:szCs w:val="24"/>
        </w:rPr>
        <w:t>the National Energy Regulator of South Africa (</w:t>
      </w:r>
      <w:r w:rsidR="001C65CD" w:rsidRPr="00A6363B">
        <w:rPr>
          <w:rFonts w:ascii="Times New Roman" w:hAnsi="Times New Roman" w:cs="Times New Roman"/>
          <w:sz w:val="24"/>
          <w:szCs w:val="24"/>
        </w:rPr>
        <w:t>N</w:t>
      </w:r>
      <w:r w:rsidR="005E318A" w:rsidRPr="00A6363B">
        <w:rPr>
          <w:rFonts w:ascii="Times New Roman" w:hAnsi="Times New Roman" w:cs="Times New Roman"/>
          <w:sz w:val="24"/>
          <w:szCs w:val="24"/>
        </w:rPr>
        <w:t>ersa)</w:t>
      </w:r>
      <w:r w:rsidR="001C65CD" w:rsidRPr="00A6363B">
        <w:rPr>
          <w:rFonts w:ascii="Times New Roman" w:hAnsi="Times New Roman" w:cs="Times New Roman"/>
          <w:sz w:val="24"/>
          <w:szCs w:val="24"/>
        </w:rPr>
        <w:t xml:space="preserve">. </w:t>
      </w:r>
      <w:r w:rsidRPr="00A6363B">
        <w:rPr>
          <w:rFonts w:ascii="Times New Roman" w:hAnsi="Times New Roman" w:cs="Times New Roman"/>
          <w:sz w:val="24"/>
          <w:szCs w:val="24"/>
        </w:rPr>
        <w:t>E</w:t>
      </w:r>
      <w:r w:rsidR="005E318A" w:rsidRPr="00A6363B">
        <w:rPr>
          <w:rFonts w:ascii="Times New Roman" w:hAnsi="Times New Roman" w:cs="Times New Roman"/>
          <w:sz w:val="24"/>
          <w:szCs w:val="24"/>
        </w:rPr>
        <w:t>skom</w:t>
      </w:r>
      <w:r w:rsidR="001C65CD" w:rsidRPr="00A6363B">
        <w:rPr>
          <w:rFonts w:ascii="Times New Roman" w:hAnsi="Times New Roman" w:cs="Times New Roman"/>
          <w:sz w:val="24"/>
          <w:szCs w:val="24"/>
        </w:rPr>
        <w:t xml:space="preserve"> emphasised that municipalities do not have a greater Constitutional right than </w:t>
      </w:r>
      <w:r w:rsidRPr="00A6363B">
        <w:rPr>
          <w:rFonts w:ascii="Times New Roman" w:hAnsi="Times New Roman" w:cs="Times New Roman"/>
          <w:sz w:val="24"/>
          <w:szCs w:val="24"/>
        </w:rPr>
        <w:t>E</w:t>
      </w:r>
      <w:r w:rsidR="005E318A" w:rsidRPr="00A6363B">
        <w:rPr>
          <w:rFonts w:ascii="Times New Roman" w:hAnsi="Times New Roman" w:cs="Times New Roman"/>
          <w:sz w:val="24"/>
          <w:szCs w:val="24"/>
        </w:rPr>
        <w:t>skom</w:t>
      </w:r>
      <w:r w:rsidR="001C65CD" w:rsidRPr="00A6363B">
        <w:rPr>
          <w:rFonts w:ascii="Times New Roman" w:hAnsi="Times New Roman" w:cs="Times New Roman"/>
          <w:sz w:val="24"/>
          <w:szCs w:val="24"/>
        </w:rPr>
        <w:t xml:space="preserve"> to distribute, reticulate, and supply electricity. </w:t>
      </w:r>
    </w:p>
    <w:p w:rsidR="001C65CD" w:rsidRPr="00A6363B" w:rsidRDefault="001C65CD" w:rsidP="00EE48C3">
      <w:pPr>
        <w:autoSpaceDE w:val="0"/>
        <w:autoSpaceDN w:val="0"/>
        <w:adjustRightInd w:val="0"/>
        <w:spacing w:after="0" w:line="360" w:lineRule="auto"/>
        <w:jc w:val="both"/>
        <w:rPr>
          <w:rFonts w:ascii="Times New Roman" w:hAnsi="Times New Roman" w:cs="Times New Roman"/>
          <w:sz w:val="24"/>
          <w:szCs w:val="24"/>
        </w:rPr>
      </w:pPr>
    </w:p>
    <w:p w:rsidR="00EA604B" w:rsidRPr="00A6363B" w:rsidRDefault="00303B49"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 </w:t>
      </w:r>
    </w:p>
    <w:p w:rsidR="00EA604B" w:rsidRPr="00A6363B" w:rsidRDefault="00EA604B" w:rsidP="00EE48C3">
      <w:pPr>
        <w:autoSpaceDE w:val="0"/>
        <w:autoSpaceDN w:val="0"/>
        <w:adjustRightInd w:val="0"/>
        <w:spacing w:after="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5.4.2 South African Local Government Association</w:t>
      </w:r>
      <w:r w:rsidR="001C65CD" w:rsidRPr="00A6363B">
        <w:rPr>
          <w:rFonts w:ascii="Times New Roman" w:hAnsi="Times New Roman" w:cs="Times New Roman"/>
          <w:b/>
          <w:sz w:val="24"/>
          <w:szCs w:val="24"/>
        </w:rPr>
        <w:t xml:space="preserve"> </w:t>
      </w:r>
    </w:p>
    <w:p w:rsidR="00E446FB" w:rsidRPr="00A6363B" w:rsidRDefault="00B55878"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Salga expatiated its earlier submission by indicating that </w:t>
      </w:r>
      <w:r w:rsidR="00BA59D4" w:rsidRPr="00A6363B">
        <w:rPr>
          <w:rFonts w:ascii="Times New Roman" w:hAnsi="Times New Roman" w:cs="Times New Roman"/>
          <w:sz w:val="24"/>
          <w:szCs w:val="24"/>
        </w:rPr>
        <w:t>w</w:t>
      </w:r>
      <w:r w:rsidRPr="00A6363B">
        <w:rPr>
          <w:rFonts w:ascii="Times New Roman" w:hAnsi="Times New Roman" w:cs="Times New Roman"/>
          <w:sz w:val="24"/>
          <w:szCs w:val="24"/>
        </w:rPr>
        <w:t xml:space="preserve">hilst </w:t>
      </w:r>
      <w:r w:rsidR="0090600A" w:rsidRPr="00A6363B">
        <w:rPr>
          <w:rFonts w:ascii="Times New Roman" w:hAnsi="Times New Roman" w:cs="Times New Roman"/>
          <w:sz w:val="24"/>
          <w:szCs w:val="24"/>
        </w:rPr>
        <w:t>E</w:t>
      </w:r>
      <w:r w:rsidR="00BA59D4" w:rsidRPr="00A6363B">
        <w:rPr>
          <w:rFonts w:ascii="Times New Roman" w:hAnsi="Times New Roman" w:cs="Times New Roman"/>
          <w:sz w:val="24"/>
          <w:szCs w:val="24"/>
        </w:rPr>
        <w:t>skom</w:t>
      </w:r>
      <w:r w:rsidRPr="00A6363B">
        <w:rPr>
          <w:rFonts w:ascii="Times New Roman" w:hAnsi="Times New Roman" w:cs="Times New Roman"/>
          <w:sz w:val="24"/>
          <w:szCs w:val="24"/>
        </w:rPr>
        <w:t xml:space="preserve"> is owed just a little more than R10 billion, municipalities were owed R117 billion (R76 billion by households, R6</w:t>
      </w:r>
      <w:r w:rsidR="00BA59D4" w:rsidRPr="00A6363B">
        <w:rPr>
          <w:rFonts w:ascii="Times New Roman" w:hAnsi="Times New Roman" w:cs="Times New Roman"/>
          <w:sz w:val="24"/>
          <w:szCs w:val="24"/>
        </w:rPr>
        <w:t xml:space="preserve"> </w:t>
      </w:r>
      <w:r w:rsidRPr="00A6363B">
        <w:rPr>
          <w:rFonts w:ascii="Times New Roman" w:hAnsi="Times New Roman" w:cs="Times New Roman"/>
          <w:sz w:val="24"/>
          <w:szCs w:val="24"/>
        </w:rPr>
        <w:t>bil</w:t>
      </w:r>
      <w:r w:rsidR="00BA59D4" w:rsidRPr="00A6363B">
        <w:rPr>
          <w:rFonts w:ascii="Times New Roman" w:hAnsi="Times New Roman" w:cs="Times New Roman"/>
          <w:sz w:val="24"/>
          <w:szCs w:val="24"/>
        </w:rPr>
        <w:t>li</w:t>
      </w:r>
      <w:r w:rsidRPr="00A6363B">
        <w:rPr>
          <w:rFonts w:ascii="Times New Roman" w:hAnsi="Times New Roman" w:cs="Times New Roman"/>
          <w:sz w:val="24"/>
          <w:szCs w:val="24"/>
        </w:rPr>
        <w:t xml:space="preserve">on by </w:t>
      </w:r>
      <w:r w:rsidR="00BA59D4" w:rsidRPr="00A6363B">
        <w:rPr>
          <w:rFonts w:ascii="Times New Roman" w:hAnsi="Times New Roman" w:cs="Times New Roman"/>
          <w:sz w:val="24"/>
          <w:szCs w:val="24"/>
        </w:rPr>
        <w:t>g</w:t>
      </w:r>
      <w:r w:rsidRPr="00A6363B">
        <w:rPr>
          <w:rFonts w:ascii="Times New Roman" w:hAnsi="Times New Roman" w:cs="Times New Roman"/>
          <w:sz w:val="24"/>
          <w:szCs w:val="24"/>
        </w:rPr>
        <w:t>overnm</w:t>
      </w:r>
      <w:r w:rsidR="00F1160F" w:rsidRPr="00A6363B">
        <w:rPr>
          <w:rFonts w:ascii="Times New Roman" w:hAnsi="Times New Roman" w:cs="Times New Roman"/>
          <w:sz w:val="24"/>
          <w:szCs w:val="24"/>
        </w:rPr>
        <w:t>e</w:t>
      </w:r>
      <w:r w:rsidRPr="00A6363B">
        <w:rPr>
          <w:rFonts w:ascii="Times New Roman" w:hAnsi="Times New Roman" w:cs="Times New Roman"/>
          <w:sz w:val="24"/>
          <w:szCs w:val="24"/>
        </w:rPr>
        <w:t xml:space="preserve">nt, R27 billion by </w:t>
      </w:r>
      <w:r w:rsidR="00BA59D4" w:rsidRPr="00A6363B">
        <w:rPr>
          <w:rFonts w:ascii="Times New Roman" w:hAnsi="Times New Roman" w:cs="Times New Roman"/>
          <w:sz w:val="24"/>
          <w:szCs w:val="24"/>
        </w:rPr>
        <w:t xml:space="preserve">the </w:t>
      </w:r>
      <w:r w:rsidRPr="00A6363B">
        <w:rPr>
          <w:rFonts w:ascii="Times New Roman" w:hAnsi="Times New Roman" w:cs="Times New Roman"/>
          <w:sz w:val="24"/>
          <w:szCs w:val="24"/>
        </w:rPr>
        <w:t xml:space="preserve">business sector, and R8 billion by </w:t>
      </w:r>
      <w:r w:rsidR="00BA59D4" w:rsidRPr="00A6363B">
        <w:rPr>
          <w:rFonts w:ascii="Times New Roman" w:hAnsi="Times New Roman" w:cs="Times New Roman"/>
          <w:sz w:val="24"/>
          <w:szCs w:val="24"/>
        </w:rPr>
        <w:t>o</w:t>
      </w:r>
      <w:r w:rsidRPr="00A6363B">
        <w:rPr>
          <w:rFonts w:ascii="Times New Roman" w:hAnsi="Times New Roman" w:cs="Times New Roman"/>
          <w:sz w:val="24"/>
          <w:szCs w:val="24"/>
        </w:rPr>
        <w:t>ther</w:t>
      </w:r>
      <w:r w:rsidR="00BA59D4" w:rsidRPr="00A6363B">
        <w:rPr>
          <w:rFonts w:ascii="Times New Roman" w:hAnsi="Times New Roman" w:cs="Times New Roman"/>
          <w:sz w:val="24"/>
          <w:szCs w:val="24"/>
        </w:rPr>
        <w:t>s</w:t>
      </w:r>
      <w:r w:rsidRPr="00A6363B">
        <w:rPr>
          <w:rFonts w:ascii="Times New Roman" w:hAnsi="Times New Roman" w:cs="Times New Roman"/>
          <w:sz w:val="24"/>
          <w:szCs w:val="24"/>
        </w:rPr>
        <w:t>)</w:t>
      </w:r>
      <w:r w:rsidR="00F965E4" w:rsidRPr="00A6363B">
        <w:rPr>
          <w:rFonts w:ascii="Times New Roman" w:hAnsi="Times New Roman" w:cs="Times New Roman"/>
          <w:sz w:val="24"/>
          <w:szCs w:val="24"/>
        </w:rPr>
        <w:t>,</w:t>
      </w:r>
      <w:r w:rsidRPr="00A6363B">
        <w:rPr>
          <w:rFonts w:ascii="Times New Roman" w:hAnsi="Times New Roman" w:cs="Times New Roman"/>
          <w:sz w:val="24"/>
          <w:szCs w:val="24"/>
        </w:rPr>
        <w:t xml:space="preserve"> according to </w:t>
      </w:r>
      <w:r w:rsidR="00F965E4" w:rsidRPr="00A6363B">
        <w:rPr>
          <w:rFonts w:ascii="Times New Roman" w:hAnsi="Times New Roman" w:cs="Times New Roman"/>
          <w:sz w:val="24"/>
          <w:szCs w:val="24"/>
        </w:rPr>
        <w:t xml:space="preserve">the </w:t>
      </w:r>
      <w:r w:rsidRPr="00A6363B">
        <w:rPr>
          <w:rFonts w:ascii="Times New Roman" w:hAnsi="Times New Roman" w:cs="Times New Roman"/>
          <w:sz w:val="24"/>
          <w:szCs w:val="24"/>
        </w:rPr>
        <w:t xml:space="preserve">Public Finance Management Act’s </w:t>
      </w:r>
      <w:r w:rsidR="00B95C95" w:rsidRPr="00A6363B">
        <w:rPr>
          <w:rFonts w:ascii="Times New Roman" w:hAnsi="Times New Roman" w:cs="Times New Roman"/>
          <w:sz w:val="24"/>
          <w:szCs w:val="24"/>
        </w:rPr>
        <w:t xml:space="preserve">(PFMA) </w:t>
      </w:r>
      <w:r w:rsidRPr="00A6363B">
        <w:rPr>
          <w:rFonts w:ascii="Times New Roman" w:hAnsi="Times New Roman" w:cs="Times New Roman"/>
          <w:sz w:val="24"/>
          <w:szCs w:val="24"/>
        </w:rPr>
        <w:t xml:space="preserve">section 71 Report published on 30 September 2016. </w:t>
      </w:r>
    </w:p>
    <w:p w:rsidR="00E446FB" w:rsidRPr="00A6363B" w:rsidRDefault="00E446FB" w:rsidP="00EE48C3">
      <w:pPr>
        <w:autoSpaceDE w:val="0"/>
        <w:autoSpaceDN w:val="0"/>
        <w:adjustRightInd w:val="0"/>
        <w:spacing w:after="0" w:line="360" w:lineRule="auto"/>
        <w:jc w:val="both"/>
        <w:rPr>
          <w:rFonts w:ascii="Times New Roman" w:hAnsi="Times New Roman" w:cs="Times New Roman"/>
          <w:sz w:val="24"/>
          <w:szCs w:val="24"/>
        </w:rPr>
      </w:pPr>
    </w:p>
    <w:p w:rsidR="00B55878" w:rsidRPr="00A6363B" w:rsidRDefault="00B55878"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lastRenderedPageBreak/>
        <w:t xml:space="preserve">Salga </w:t>
      </w:r>
      <w:r w:rsidR="00E446FB" w:rsidRPr="00A6363B">
        <w:rPr>
          <w:rFonts w:ascii="Times New Roman" w:hAnsi="Times New Roman" w:cs="Times New Roman"/>
          <w:sz w:val="24"/>
          <w:szCs w:val="24"/>
        </w:rPr>
        <w:t xml:space="preserve">further </w:t>
      </w:r>
      <w:r w:rsidRPr="00A6363B">
        <w:rPr>
          <w:rFonts w:ascii="Times New Roman" w:hAnsi="Times New Roman" w:cs="Times New Roman"/>
          <w:sz w:val="24"/>
          <w:szCs w:val="24"/>
        </w:rPr>
        <w:t>submitted to the Committee that the complexity of the escalating debt situation required an urgent solution at a constitutional, structural and system</w:t>
      </w:r>
      <w:r w:rsidR="001D00D9" w:rsidRPr="00A6363B">
        <w:rPr>
          <w:rFonts w:ascii="Times New Roman" w:hAnsi="Times New Roman" w:cs="Times New Roman"/>
          <w:sz w:val="24"/>
          <w:szCs w:val="24"/>
        </w:rPr>
        <w:t>ic</w:t>
      </w:r>
      <w:r w:rsidRPr="00A6363B">
        <w:rPr>
          <w:rFonts w:ascii="Times New Roman" w:hAnsi="Times New Roman" w:cs="Times New Roman"/>
          <w:sz w:val="24"/>
          <w:szCs w:val="24"/>
        </w:rPr>
        <w:t xml:space="preserve"> level to ensure that both </w:t>
      </w:r>
      <w:r w:rsidR="0090600A" w:rsidRPr="00A6363B">
        <w:rPr>
          <w:rFonts w:ascii="Times New Roman" w:hAnsi="Times New Roman" w:cs="Times New Roman"/>
          <w:sz w:val="24"/>
          <w:szCs w:val="24"/>
        </w:rPr>
        <w:t>E</w:t>
      </w:r>
      <w:r w:rsidR="001D00D9" w:rsidRPr="00A6363B">
        <w:rPr>
          <w:rFonts w:ascii="Times New Roman" w:hAnsi="Times New Roman" w:cs="Times New Roman"/>
          <w:sz w:val="24"/>
          <w:szCs w:val="24"/>
        </w:rPr>
        <w:t>skom</w:t>
      </w:r>
      <w:r w:rsidRPr="00A6363B">
        <w:rPr>
          <w:rFonts w:ascii="Times New Roman" w:hAnsi="Times New Roman" w:cs="Times New Roman"/>
          <w:sz w:val="24"/>
          <w:szCs w:val="24"/>
        </w:rPr>
        <w:t xml:space="preserve"> and municipalities are financially sustainable.</w:t>
      </w:r>
      <w:r w:rsidR="00E446FB" w:rsidRPr="00A6363B">
        <w:rPr>
          <w:rFonts w:ascii="Times New Roman" w:hAnsi="Times New Roman" w:cs="Times New Roman"/>
          <w:sz w:val="24"/>
          <w:szCs w:val="24"/>
        </w:rPr>
        <w:t xml:space="preserve"> Salga further submitted that there was a disagreement on the constitutional authority of municipalities for electricity reticulation due to the absence of service deliver</w:t>
      </w:r>
      <w:r w:rsidR="001D00D9" w:rsidRPr="00A6363B">
        <w:rPr>
          <w:rFonts w:ascii="Times New Roman" w:hAnsi="Times New Roman" w:cs="Times New Roman"/>
          <w:sz w:val="24"/>
          <w:szCs w:val="24"/>
        </w:rPr>
        <w:t>y</w:t>
      </w:r>
      <w:r w:rsidR="00E446FB" w:rsidRPr="00A6363B">
        <w:rPr>
          <w:rFonts w:ascii="Times New Roman" w:hAnsi="Times New Roman" w:cs="Times New Roman"/>
          <w:sz w:val="24"/>
          <w:szCs w:val="24"/>
        </w:rPr>
        <w:t xml:space="preserve"> agreements between </w:t>
      </w:r>
      <w:r w:rsidR="0090600A" w:rsidRPr="00A6363B">
        <w:rPr>
          <w:rFonts w:ascii="Times New Roman" w:hAnsi="Times New Roman" w:cs="Times New Roman"/>
          <w:sz w:val="24"/>
          <w:szCs w:val="24"/>
        </w:rPr>
        <w:t>E</w:t>
      </w:r>
      <w:r w:rsidR="001D00D9" w:rsidRPr="00A6363B">
        <w:rPr>
          <w:rFonts w:ascii="Times New Roman" w:hAnsi="Times New Roman" w:cs="Times New Roman"/>
          <w:sz w:val="24"/>
          <w:szCs w:val="24"/>
        </w:rPr>
        <w:t>skom</w:t>
      </w:r>
      <w:r w:rsidR="00CA7F7B" w:rsidRPr="00A6363B">
        <w:rPr>
          <w:rFonts w:ascii="Times New Roman" w:hAnsi="Times New Roman" w:cs="Times New Roman"/>
          <w:sz w:val="24"/>
          <w:szCs w:val="24"/>
        </w:rPr>
        <w:t xml:space="preserve"> </w:t>
      </w:r>
      <w:r w:rsidR="00E446FB" w:rsidRPr="00A6363B">
        <w:rPr>
          <w:rFonts w:ascii="Times New Roman" w:hAnsi="Times New Roman" w:cs="Times New Roman"/>
          <w:sz w:val="24"/>
          <w:szCs w:val="24"/>
        </w:rPr>
        <w:t xml:space="preserve">and municipalities as required by the Municipal Systems Act and </w:t>
      </w:r>
      <w:r w:rsidR="001D00D9" w:rsidRPr="00A6363B">
        <w:rPr>
          <w:rFonts w:ascii="Times New Roman" w:hAnsi="Times New Roman" w:cs="Times New Roman"/>
          <w:sz w:val="24"/>
          <w:szCs w:val="24"/>
        </w:rPr>
        <w:t xml:space="preserve">the </w:t>
      </w:r>
      <w:r w:rsidR="00E446FB" w:rsidRPr="00A6363B">
        <w:rPr>
          <w:rFonts w:ascii="Times New Roman" w:hAnsi="Times New Roman" w:cs="Times New Roman"/>
          <w:sz w:val="24"/>
          <w:szCs w:val="24"/>
        </w:rPr>
        <w:t xml:space="preserve">Electricity Regulation Act. This </w:t>
      </w:r>
      <w:r w:rsidR="006E67A2" w:rsidRPr="00A6363B">
        <w:rPr>
          <w:rFonts w:ascii="Times New Roman" w:hAnsi="Times New Roman" w:cs="Times New Roman"/>
          <w:sz w:val="24"/>
          <w:szCs w:val="24"/>
        </w:rPr>
        <w:t xml:space="preserve">leads to </w:t>
      </w:r>
      <w:r w:rsidR="00E446FB" w:rsidRPr="00A6363B">
        <w:rPr>
          <w:rFonts w:ascii="Times New Roman" w:hAnsi="Times New Roman" w:cs="Times New Roman"/>
          <w:sz w:val="24"/>
          <w:szCs w:val="24"/>
        </w:rPr>
        <w:t>municipalities be</w:t>
      </w:r>
      <w:r w:rsidR="006E67A2" w:rsidRPr="00A6363B">
        <w:rPr>
          <w:rFonts w:ascii="Times New Roman" w:hAnsi="Times New Roman" w:cs="Times New Roman"/>
          <w:sz w:val="24"/>
          <w:szCs w:val="24"/>
        </w:rPr>
        <w:t>ing</w:t>
      </w:r>
      <w:r w:rsidR="00E446FB" w:rsidRPr="00A6363B">
        <w:rPr>
          <w:rFonts w:ascii="Times New Roman" w:hAnsi="Times New Roman" w:cs="Times New Roman"/>
          <w:sz w:val="24"/>
          <w:szCs w:val="24"/>
        </w:rPr>
        <w:t xml:space="preserve"> unable to levy surcharges and exercise credit control in </w:t>
      </w:r>
      <w:r w:rsidR="0090600A" w:rsidRPr="00A6363B">
        <w:rPr>
          <w:rFonts w:ascii="Times New Roman" w:hAnsi="Times New Roman" w:cs="Times New Roman"/>
          <w:sz w:val="24"/>
          <w:szCs w:val="24"/>
        </w:rPr>
        <w:t>E</w:t>
      </w:r>
      <w:r w:rsidR="006E67A2" w:rsidRPr="00A6363B">
        <w:rPr>
          <w:rFonts w:ascii="Times New Roman" w:hAnsi="Times New Roman" w:cs="Times New Roman"/>
          <w:sz w:val="24"/>
          <w:szCs w:val="24"/>
        </w:rPr>
        <w:t>skom</w:t>
      </w:r>
      <w:r w:rsidR="00E446FB" w:rsidRPr="00A6363B">
        <w:rPr>
          <w:rFonts w:ascii="Times New Roman" w:hAnsi="Times New Roman" w:cs="Times New Roman"/>
          <w:sz w:val="24"/>
          <w:szCs w:val="24"/>
        </w:rPr>
        <w:t xml:space="preserve"> supply areas.   </w:t>
      </w:r>
      <w:r w:rsidRPr="00A6363B">
        <w:rPr>
          <w:rFonts w:ascii="Times New Roman" w:hAnsi="Times New Roman" w:cs="Times New Roman"/>
          <w:sz w:val="24"/>
          <w:szCs w:val="24"/>
        </w:rPr>
        <w:t xml:space="preserve"> </w:t>
      </w:r>
    </w:p>
    <w:p w:rsidR="00EA604B" w:rsidRPr="00A6363B" w:rsidRDefault="00B55878"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 </w:t>
      </w:r>
    </w:p>
    <w:p w:rsidR="00EA604B" w:rsidRPr="00A6363B" w:rsidRDefault="00EA604B" w:rsidP="00EE48C3">
      <w:pPr>
        <w:autoSpaceDE w:val="0"/>
        <w:autoSpaceDN w:val="0"/>
        <w:adjustRightInd w:val="0"/>
        <w:spacing w:after="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5.4.3 Financial and Fiscal Commission</w:t>
      </w:r>
    </w:p>
    <w:p w:rsidR="00F1160F" w:rsidRPr="00A6363B" w:rsidRDefault="00F1160F"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The Commission</w:t>
      </w:r>
      <w:r w:rsidR="00B95C95" w:rsidRPr="00A6363B">
        <w:rPr>
          <w:rFonts w:ascii="Times New Roman" w:hAnsi="Times New Roman" w:cs="Times New Roman"/>
          <w:sz w:val="24"/>
          <w:szCs w:val="24"/>
        </w:rPr>
        <w:t>’s</w:t>
      </w:r>
      <w:r w:rsidRPr="00A6363B">
        <w:rPr>
          <w:rFonts w:ascii="Times New Roman" w:hAnsi="Times New Roman" w:cs="Times New Roman"/>
          <w:sz w:val="24"/>
          <w:szCs w:val="24"/>
        </w:rPr>
        <w:t xml:space="preserve"> submission on the electrification matter confirm</w:t>
      </w:r>
      <w:r w:rsidR="00B95C95" w:rsidRPr="00A6363B">
        <w:rPr>
          <w:rFonts w:ascii="Times New Roman" w:hAnsi="Times New Roman" w:cs="Times New Roman"/>
          <w:sz w:val="24"/>
          <w:szCs w:val="24"/>
        </w:rPr>
        <w:t>ed</w:t>
      </w:r>
      <w:r w:rsidRPr="00A6363B">
        <w:rPr>
          <w:rFonts w:ascii="Times New Roman" w:hAnsi="Times New Roman" w:cs="Times New Roman"/>
          <w:sz w:val="24"/>
          <w:szCs w:val="24"/>
        </w:rPr>
        <w:t xml:space="preserve"> the content of </w:t>
      </w:r>
      <w:r w:rsidR="00B95C95" w:rsidRPr="00A6363B">
        <w:rPr>
          <w:rFonts w:ascii="Times New Roman" w:hAnsi="Times New Roman" w:cs="Times New Roman"/>
          <w:sz w:val="24"/>
          <w:szCs w:val="24"/>
        </w:rPr>
        <w:t xml:space="preserve">both </w:t>
      </w:r>
      <w:r w:rsidRPr="00A6363B">
        <w:rPr>
          <w:rFonts w:ascii="Times New Roman" w:hAnsi="Times New Roman" w:cs="Times New Roman"/>
          <w:sz w:val="24"/>
          <w:szCs w:val="24"/>
        </w:rPr>
        <w:t xml:space="preserve">the </w:t>
      </w:r>
      <w:r w:rsidR="0090600A" w:rsidRPr="00A6363B">
        <w:rPr>
          <w:rFonts w:ascii="Times New Roman" w:hAnsi="Times New Roman" w:cs="Times New Roman"/>
          <w:sz w:val="24"/>
          <w:szCs w:val="24"/>
        </w:rPr>
        <w:t>E</w:t>
      </w:r>
      <w:r w:rsidR="00B95C95" w:rsidRPr="00A6363B">
        <w:rPr>
          <w:rFonts w:ascii="Times New Roman" w:hAnsi="Times New Roman" w:cs="Times New Roman"/>
          <w:sz w:val="24"/>
          <w:szCs w:val="24"/>
        </w:rPr>
        <w:t>skom</w:t>
      </w:r>
      <w:r w:rsidR="00F71FFE" w:rsidRPr="00A6363B">
        <w:rPr>
          <w:rFonts w:ascii="Times New Roman" w:hAnsi="Times New Roman" w:cs="Times New Roman"/>
          <w:sz w:val="24"/>
          <w:szCs w:val="24"/>
        </w:rPr>
        <w:t xml:space="preserve"> and Salga submissions. With regards to the top 20 defaulting municipalities, the </w:t>
      </w:r>
      <w:r w:rsidR="0090600A" w:rsidRPr="00A6363B">
        <w:rPr>
          <w:rFonts w:ascii="Times New Roman" w:hAnsi="Times New Roman" w:cs="Times New Roman"/>
          <w:sz w:val="24"/>
          <w:szCs w:val="24"/>
        </w:rPr>
        <w:t>Commission</w:t>
      </w:r>
      <w:r w:rsidR="00F71FFE" w:rsidRPr="00A6363B">
        <w:rPr>
          <w:rFonts w:ascii="Times New Roman" w:hAnsi="Times New Roman" w:cs="Times New Roman"/>
          <w:sz w:val="24"/>
          <w:szCs w:val="24"/>
        </w:rPr>
        <w:t xml:space="preserve"> brought to the attention of the Committee that 65 percent of defaulter</w:t>
      </w:r>
      <w:r w:rsidR="00B95C95" w:rsidRPr="00A6363B">
        <w:rPr>
          <w:rFonts w:ascii="Times New Roman" w:hAnsi="Times New Roman" w:cs="Times New Roman"/>
          <w:sz w:val="24"/>
          <w:szCs w:val="24"/>
        </w:rPr>
        <w:t>s</w:t>
      </w:r>
      <w:r w:rsidR="00F71FFE" w:rsidRPr="00A6363B">
        <w:rPr>
          <w:rFonts w:ascii="Times New Roman" w:hAnsi="Times New Roman" w:cs="Times New Roman"/>
          <w:sz w:val="24"/>
          <w:szCs w:val="24"/>
        </w:rPr>
        <w:t xml:space="preserve"> as at Feb</w:t>
      </w:r>
      <w:r w:rsidR="00B95C95" w:rsidRPr="00A6363B">
        <w:rPr>
          <w:rFonts w:ascii="Times New Roman" w:hAnsi="Times New Roman" w:cs="Times New Roman"/>
          <w:sz w:val="24"/>
          <w:szCs w:val="24"/>
        </w:rPr>
        <w:t>ruary</w:t>
      </w:r>
      <w:r w:rsidR="00F71FFE" w:rsidRPr="00A6363B">
        <w:rPr>
          <w:rFonts w:ascii="Times New Roman" w:hAnsi="Times New Roman" w:cs="Times New Roman"/>
          <w:sz w:val="24"/>
          <w:szCs w:val="24"/>
        </w:rPr>
        <w:t xml:space="preserve"> 2017 </w:t>
      </w:r>
      <w:r w:rsidR="00B95C95" w:rsidRPr="00A6363B">
        <w:rPr>
          <w:rFonts w:ascii="Times New Roman" w:hAnsi="Times New Roman" w:cs="Times New Roman"/>
          <w:sz w:val="24"/>
          <w:szCs w:val="24"/>
        </w:rPr>
        <w:t>we</w:t>
      </w:r>
      <w:r w:rsidR="00F71FFE" w:rsidRPr="00A6363B">
        <w:rPr>
          <w:rFonts w:ascii="Times New Roman" w:hAnsi="Times New Roman" w:cs="Times New Roman"/>
          <w:sz w:val="24"/>
          <w:szCs w:val="24"/>
        </w:rPr>
        <w:t>re still the same as those who were identified in December 2014. T</w:t>
      </w:r>
      <w:r w:rsidRPr="00A6363B">
        <w:rPr>
          <w:rFonts w:ascii="Times New Roman" w:hAnsi="Times New Roman" w:cs="Times New Roman"/>
          <w:sz w:val="24"/>
          <w:szCs w:val="24"/>
        </w:rPr>
        <w:t xml:space="preserve">he </w:t>
      </w:r>
      <w:r w:rsidR="0090600A" w:rsidRPr="00A6363B">
        <w:rPr>
          <w:rFonts w:ascii="Times New Roman" w:hAnsi="Times New Roman" w:cs="Times New Roman"/>
          <w:sz w:val="24"/>
          <w:szCs w:val="24"/>
        </w:rPr>
        <w:t>Commission</w:t>
      </w:r>
      <w:r w:rsidRPr="00A6363B">
        <w:rPr>
          <w:rFonts w:ascii="Times New Roman" w:hAnsi="Times New Roman" w:cs="Times New Roman"/>
          <w:sz w:val="24"/>
          <w:szCs w:val="24"/>
        </w:rPr>
        <w:t xml:space="preserve"> </w:t>
      </w:r>
      <w:r w:rsidR="00B95C95" w:rsidRPr="00A6363B">
        <w:rPr>
          <w:rFonts w:ascii="Times New Roman" w:hAnsi="Times New Roman" w:cs="Times New Roman"/>
          <w:sz w:val="24"/>
          <w:szCs w:val="24"/>
        </w:rPr>
        <w:t xml:space="preserve">expressed </w:t>
      </w:r>
      <w:r w:rsidR="00F71FFE" w:rsidRPr="00A6363B">
        <w:rPr>
          <w:rFonts w:ascii="Times New Roman" w:hAnsi="Times New Roman" w:cs="Times New Roman"/>
          <w:sz w:val="24"/>
          <w:szCs w:val="24"/>
        </w:rPr>
        <w:t xml:space="preserve">concern </w:t>
      </w:r>
      <w:r w:rsidR="00B95C95" w:rsidRPr="00A6363B">
        <w:rPr>
          <w:rFonts w:ascii="Times New Roman" w:hAnsi="Times New Roman" w:cs="Times New Roman"/>
          <w:sz w:val="24"/>
          <w:szCs w:val="24"/>
        </w:rPr>
        <w:t xml:space="preserve">over the fact </w:t>
      </w:r>
      <w:r w:rsidR="00F71FFE" w:rsidRPr="00A6363B">
        <w:rPr>
          <w:rFonts w:ascii="Times New Roman" w:hAnsi="Times New Roman" w:cs="Times New Roman"/>
          <w:sz w:val="24"/>
          <w:szCs w:val="24"/>
        </w:rPr>
        <w:t>that even some national and provincial government departments were no</w:t>
      </w:r>
      <w:r w:rsidR="00B95C95" w:rsidRPr="00A6363B">
        <w:rPr>
          <w:rFonts w:ascii="Times New Roman" w:hAnsi="Times New Roman" w:cs="Times New Roman"/>
          <w:sz w:val="24"/>
          <w:szCs w:val="24"/>
        </w:rPr>
        <w:t>t</w:t>
      </w:r>
      <w:r w:rsidR="00F71FFE" w:rsidRPr="00A6363B">
        <w:rPr>
          <w:rFonts w:ascii="Times New Roman" w:hAnsi="Times New Roman" w:cs="Times New Roman"/>
          <w:sz w:val="24"/>
          <w:szCs w:val="24"/>
        </w:rPr>
        <w:t xml:space="preserve"> complying with the 30 day payment rule as per section 38(1) of the PFMA and Treasury Regulations 8.2.3 of 2001 and Treasury Instruction Note No. 34. </w:t>
      </w:r>
    </w:p>
    <w:p w:rsidR="00EA604B" w:rsidRPr="00A6363B" w:rsidRDefault="00F1160F"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 </w:t>
      </w:r>
    </w:p>
    <w:p w:rsidR="00463DEC" w:rsidRPr="00A6363B" w:rsidRDefault="00463DEC" w:rsidP="00EE48C3">
      <w:pPr>
        <w:pStyle w:val="ListParagraph"/>
        <w:numPr>
          <w:ilvl w:val="0"/>
          <w:numId w:val="1"/>
        </w:numPr>
        <w:autoSpaceDE w:val="0"/>
        <w:autoSpaceDN w:val="0"/>
        <w:adjustRightInd w:val="0"/>
        <w:spacing w:after="0" w:line="360" w:lineRule="auto"/>
        <w:ind w:hanging="644"/>
        <w:jc w:val="both"/>
        <w:rPr>
          <w:rFonts w:ascii="Times New Roman" w:hAnsi="Times New Roman" w:cs="Times New Roman"/>
          <w:b/>
          <w:sz w:val="24"/>
          <w:szCs w:val="24"/>
        </w:rPr>
      </w:pPr>
      <w:r w:rsidRPr="00A6363B">
        <w:rPr>
          <w:rFonts w:ascii="Times New Roman" w:hAnsi="Times New Roman" w:cs="Times New Roman"/>
          <w:b/>
          <w:sz w:val="24"/>
          <w:szCs w:val="24"/>
        </w:rPr>
        <w:t>Provincial Mandates</w:t>
      </w:r>
    </w:p>
    <w:p w:rsidR="00463DEC"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In compliance with Section 7(b) of the Mandating Procedure of Provinces Act (Act 52 of 2008), </w:t>
      </w:r>
      <w:r w:rsidR="007205B5" w:rsidRPr="00A6363B">
        <w:rPr>
          <w:rFonts w:ascii="Times New Roman" w:hAnsi="Times New Roman" w:cs="Times New Roman"/>
          <w:sz w:val="24"/>
          <w:szCs w:val="24"/>
        </w:rPr>
        <w:t>p</w:t>
      </w:r>
      <w:r w:rsidRPr="00A6363B">
        <w:rPr>
          <w:rFonts w:ascii="Times New Roman" w:hAnsi="Times New Roman" w:cs="Times New Roman"/>
          <w:sz w:val="24"/>
          <w:szCs w:val="24"/>
        </w:rPr>
        <w:t xml:space="preserve">rovinces were required to submit Negotiating and Final Mandates. The </w:t>
      </w:r>
      <w:r w:rsidR="007205B5" w:rsidRPr="00A6363B">
        <w:rPr>
          <w:rFonts w:ascii="Times New Roman" w:hAnsi="Times New Roman" w:cs="Times New Roman"/>
          <w:sz w:val="24"/>
          <w:szCs w:val="24"/>
        </w:rPr>
        <w:t>p</w:t>
      </w:r>
      <w:r w:rsidRPr="00A6363B">
        <w:rPr>
          <w:rFonts w:ascii="Times New Roman" w:hAnsi="Times New Roman" w:cs="Times New Roman"/>
          <w:sz w:val="24"/>
          <w:szCs w:val="24"/>
        </w:rPr>
        <w:t>rovinces submitted mandates as follows:</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p>
    <w:p w:rsidR="00463DEC" w:rsidRPr="00A6363B" w:rsidRDefault="00463DEC" w:rsidP="00EE48C3">
      <w:pPr>
        <w:autoSpaceDE w:val="0"/>
        <w:autoSpaceDN w:val="0"/>
        <w:adjustRightInd w:val="0"/>
        <w:spacing w:after="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6.1 Negotiating Mandates</w:t>
      </w:r>
    </w:p>
    <w:p w:rsidR="00463DEC"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6.1.1 Eastern Cape</w:t>
      </w:r>
      <w:r w:rsidR="003A4185" w:rsidRPr="00A6363B">
        <w:rPr>
          <w:rFonts w:ascii="Times New Roman" w:hAnsi="Times New Roman" w:cs="Times New Roman"/>
          <w:sz w:val="24"/>
          <w:szCs w:val="24"/>
        </w:rPr>
        <w:t xml:space="preserve"> supported the Bill</w:t>
      </w:r>
      <w:r w:rsidR="005F53FA" w:rsidRPr="00A6363B">
        <w:rPr>
          <w:rFonts w:ascii="Times New Roman" w:hAnsi="Times New Roman" w:cs="Times New Roman"/>
          <w:sz w:val="24"/>
          <w:szCs w:val="24"/>
        </w:rPr>
        <w:t>,</w:t>
      </w:r>
      <w:r w:rsidR="003A4185" w:rsidRPr="00A6363B">
        <w:rPr>
          <w:rFonts w:ascii="Times New Roman" w:hAnsi="Times New Roman" w:cs="Times New Roman"/>
          <w:sz w:val="24"/>
          <w:szCs w:val="24"/>
        </w:rPr>
        <w:t xml:space="preserve"> </w:t>
      </w:r>
      <w:r w:rsidR="00A30795" w:rsidRPr="00A6363B">
        <w:rPr>
          <w:rFonts w:ascii="Times New Roman" w:hAnsi="Times New Roman" w:cs="Times New Roman"/>
          <w:sz w:val="24"/>
          <w:szCs w:val="24"/>
        </w:rPr>
        <w:t xml:space="preserve">raising </w:t>
      </w:r>
      <w:r w:rsidR="003A4185" w:rsidRPr="00A6363B">
        <w:rPr>
          <w:rFonts w:ascii="Times New Roman" w:hAnsi="Times New Roman" w:cs="Times New Roman"/>
          <w:sz w:val="24"/>
          <w:szCs w:val="24"/>
        </w:rPr>
        <w:t>inputs and concerns.</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6.1.2 Free State</w:t>
      </w:r>
      <w:r w:rsidR="003A4185" w:rsidRPr="00A6363B">
        <w:rPr>
          <w:rFonts w:ascii="Times New Roman" w:hAnsi="Times New Roman" w:cs="Times New Roman"/>
          <w:sz w:val="24"/>
          <w:szCs w:val="24"/>
        </w:rPr>
        <w:t xml:space="preserve"> voted </w:t>
      </w:r>
      <w:r w:rsidR="00E52C5C" w:rsidRPr="00A6363B">
        <w:rPr>
          <w:rFonts w:ascii="Times New Roman" w:hAnsi="Times New Roman" w:cs="Times New Roman"/>
          <w:sz w:val="24"/>
          <w:szCs w:val="24"/>
        </w:rPr>
        <w:t xml:space="preserve">negotiated </w:t>
      </w:r>
      <w:r w:rsidR="003A4185" w:rsidRPr="00A6363B">
        <w:rPr>
          <w:rFonts w:ascii="Times New Roman" w:hAnsi="Times New Roman" w:cs="Times New Roman"/>
          <w:sz w:val="24"/>
          <w:szCs w:val="24"/>
        </w:rPr>
        <w:t>in favour of the Bill</w:t>
      </w:r>
      <w:r w:rsidR="005F53FA" w:rsidRPr="00A6363B">
        <w:rPr>
          <w:rFonts w:ascii="Times New Roman" w:hAnsi="Times New Roman" w:cs="Times New Roman"/>
          <w:sz w:val="24"/>
          <w:szCs w:val="24"/>
        </w:rPr>
        <w:t>,</w:t>
      </w:r>
      <w:r w:rsidR="003A4185" w:rsidRPr="00A6363B">
        <w:rPr>
          <w:rFonts w:ascii="Times New Roman" w:hAnsi="Times New Roman" w:cs="Times New Roman"/>
          <w:sz w:val="24"/>
          <w:szCs w:val="24"/>
        </w:rPr>
        <w:t xml:space="preserve"> with proposals. </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6.1.3 Gauteng</w:t>
      </w:r>
      <w:r w:rsidR="003A4185" w:rsidRPr="00A6363B">
        <w:rPr>
          <w:rFonts w:ascii="Times New Roman" w:hAnsi="Times New Roman" w:cs="Times New Roman"/>
          <w:sz w:val="24"/>
          <w:szCs w:val="24"/>
        </w:rPr>
        <w:t xml:space="preserve"> </w:t>
      </w:r>
      <w:r w:rsidR="00E52C5C" w:rsidRPr="00A6363B">
        <w:rPr>
          <w:rFonts w:ascii="Times New Roman" w:hAnsi="Times New Roman" w:cs="Times New Roman"/>
          <w:sz w:val="24"/>
          <w:szCs w:val="24"/>
        </w:rPr>
        <w:t>negotiated</w:t>
      </w:r>
      <w:r w:rsidR="003A4185" w:rsidRPr="00A6363B">
        <w:rPr>
          <w:rFonts w:ascii="Times New Roman" w:hAnsi="Times New Roman" w:cs="Times New Roman"/>
          <w:sz w:val="24"/>
          <w:szCs w:val="24"/>
        </w:rPr>
        <w:t xml:space="preserve"> in favour of the Bill</w:t>
      </w:r>
      <w:r w:rsidR="005F53FA" w:rsidRPr="00A6363B">
        <w:rPr>
          <w:rFonts w:ascii="Times New Roman" w:hAnsi="Times New Roman" w:cs="Times New Roman"/>
          <w:sz w:val="24"/>
          <w:szCs w:val="24"/>
        </w:rPr>
        <w:t>, with recommendations.</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6.1.4 KwaZulu-Natal</w:t>
      </w:r>
      <w:r w:rsidR="003A4185" w:rsidRPr="00A6363B">
        <w:rPr>
          <w:rFonts w:ascii="Times New Roman" w:hAnsi="Times New Roman" w:cs="Times New Roman"/>
          <w:sz w:val="24"/>
          <w:szCs w:val="24"/>
        </w:rPr>
        <w:t xml:space="preserve"> supported the Bill</w:t>
      </w:r>
      <w:r w:rsidR="005F53FA" w:rsidRPr="00A6363B">
        <w:rPr>
          <w:rFonts w:ascii="Times New Roman" w:hAnsi="Times New Roman" w:cs="Times New Roman"/>
          <w:sz w:val="24"/>
          <w:szCs w:val="24"/>
        </w:rPr>
        <w:t>.</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6.1.5 Limpopo</w:t>
      </w:r>
      <w:r w:rsidR="003A4185" w:rsidRPr="00A6363B">
        <w:rPr>
          <w:rFonts w:ascii="Times New Roman" w:hAnsi="Times New Roman" w:cs="Times New Roman"/>
          <w:sz w:val="24"/>
          <w:szCs w:val="24"/>
        </w:rPr>
        <w:t xml:space="preserve"> supported the Bill</w:t>
      </w:r>
      <w:r w:rsidR="005F53FA" w:rsidRPr="00A6363B">
        <w:rPr>
          <w:rFonts w:ascii="Times New Roman" w:hAnsi="Times New Roman" w:cs="Times New Roman"/>
          <w:sz w:val="24"/>
          <w:szCs w:val="24"/>
        </w:rPr>
        <w:t>, with recommendations.</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6.1.6 Mpumalanga</w:t>
      </w:r>
      <w:r w:rsidR="003A4185" w:rsidRPr="00A6363B">
        <w:rPr>
          <w:rFonts w:ascii="Times New Roman" w:hAnsi="Times New Roman" w:cs="Times New Roman"/>
          <w:sz w:val="24"/>
          <w:szCs w:val="24"/>
        </w:rPr>
        <w:t xml:space="preserve"> </w:t>
      </w:r>
      <w:r w:rsidR="00E52C5C" w:rsidRPr="00A6363B">
        <w:rPr>
          <w:rFonts w:ascii="Times New Roman" w:hAnsi="Times New Roman" w:cs="Times New Roman"/>
          <w:sz w:val="24"/>
          <w:szCs w:val="24"/>
        </w:rPr>
        <w:t>negotiated</w:t>
      </w:r>
      <w:r w:rsidR="003A4185" w:rsidRPr="00A6363B">
        <w:rPr>
          <w:rFonts w:ascii="Times New Roman" w:hAnsi="Times New Roman" w:cs="Times New Roman"/>
          <w:sz w:val="24"/>
          <w:szCs w:val="24"/>
        </w:rPr>
        <w:t xml:space="preserve"> in favour of the Bill</w:t>
      </w:r>
      <w:r w:rsidR="005F53FA" w:rsidRPr="00A6363B">
        <w:rPr>
          <w:rFonts w:ascii="Times New Roman" w:hAnsi="Times New Roman" w:cs="Times New Roman"/>
          <w:sz w:val="24"/>
          <w:szCs w:val="24"/>
        </w:rPr>
        <w:t>, with a recommendation.</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6.1.7 Northern Cape</w:t>
      </w:r>
      <w:r w:rsidR="003A4185" w:rsidRPr="00A6363B">
        <w:rPr>
          <w:rFonts w:ascii="Times New Roman" w:hAnsi="Times New Roman" w:cs="Times New Roman"/>
          <w:sz w:val="24"/>
          <w:szCs w:val="24"/>
        </w:rPr>
        <w:t xml:space="preserve"> </w:t>
      </w:r>
      <w:r w:rsidR="00E52C5C" w:rsidRPr="00A6363B">
        <w:rPr>
          <w:rFonts w:ascii="Times New Roman" w:hAnsi="Times New Roman" w:cs="Times New Roman"/>
          <w:sz w:val="24"/>
          <w:szCs w:val="24"/>
        </w:rPr>
        <w:t>negotiated</w:t>
      </w:r>
      <w:r w:rsidR="003A4185" w:rsidRPr="00A6363B">
        <w:rPr>
          <w:rFonts w:ascii="Times New Roman" w:hAnsi="Times New Roman" w:cs="Times New Roman"/>
          <w:sz w:val="24"/>
          <w:szCs w:val="24"/>
        </w:rPr>
        <w:t xml:space="preserve"> in favour of the Bill</w:t>
      </w:r>
      <w:r w:rsidR="005F53FA" w:rsidRPr="00A6363B">
        <w:rPr>
          <w:rFonts w:ascii="Times New Roman" w:hAnsi="Times New Roman" w:cs="Times New Roman"/>
          <w:sz w:val="24"/>
          <w:szCs w:val="24"/>
        </w:rPr>
        <w:t>,</w:t>
      </w:r>
      <w:r w:rsidR="003A4185" w:rsidRPr="00A6363B">
        <w:rPr>
          <w:rFonts w:ascii="Times New Roman" w:hAnsi="Times New Roman" w:cs="Times New Roman"/>
          <w:sz w:val="24"/>
          <w:szCs w:val="24"/>
        </w:rPr>
        <w:t xml:space="preserve"> with recommendations.</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6.1.8 North West</w:t>
      </w:r>
      <w:r w:rsidR="003A4185" w:rsidRPr="00A6363B">
        <w:rPr>
          <w:rFonts w:ascii="Times New Roman" w:hAnsi="Times New Roman" w:cs="Times New Roman"/>
          <w:sz w:val="24"/>
          <w:szCs w:val="24"/>
        </w:rPr>
        <w:t xml:space="preserve"> </w:t>
      </w:r>
      <w:r w:rsidR="00E52C5C" w:rsidRPr="00A6363B">
        <w:rPr>
          <w:rFonts w:ascii="Times New Roman" w:hAnsi="Times New Roman" w:cs="Times New Roman"/>
          <w:sz w:val="24"/>
          <w:szCs w:val="24"/>
        </w:rPr>
        <w:t>negotiated</w:t>
      </w:r>
      <w:r w:rsidR="003A4185" w:rsidRPr="00A6363B">
        <w:rPr>
          <w:rFonts w:ascii="Times New Roman" w:hAnsi="Times New Roman" w:cs="Times New Roman"/>
          <w:sz w:val="24"/>
          <w:szCs w:val="24"/>
        </w:rPr>
        <w:t xml:space="preserve"> in favour of the Bill</w:t>
      </w:r>
      <w:r w:rsidR="00A30795" w:rsidRPr="00A6363B">
        <w:rPr>
          <w:rFonts w:ascii="Times New Roman" w:hAnsi="Times New Roman" w:cs="Times New Roman"/>
          <w:sz w:val="24"/>
          <w:szCs w:val="24"/>
        </w:rPr>
        <w:t>,</w:t>
      </w:r>
      <w:r w:rsidR="003A4185" w:rsidRPr="00A6363B">
        <w:rPr>
          <w:rFonts w:ascii="Times New Roman" w:hAnsi="Times New Roman" w:cs="Times New Roman"/>
          <w:sz w:val="24"/>
          <w:szCs w:val="24"/>
        </w:rPr>
        <w:t xml:space="preserve"> with recommendations</w:t>
      </w:r>
      <w:r w:rsidR="00A30795" w:rsidRPr="00A6363B">
        <w:rPr>
          <w:rFonts w:ascii="Times New Roman" w:hAnsi="Times New Roman" w:cs="Times New Roman"/>
          <w:sz w:val="24"/>
          <w:szCs w:val="24"/>
        </w:rPr>
        <w:t>.</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6.1.9 Western Cape</w:t>
      </w:r>
      <w:r w:rsidR="007205B5" w:rsidRPr="00A6363B">
        <w:rPr>
          <w:rFonts w:ascii="Times New Roman" w:hAnsi="Times New Roman" w:cs="Times New Roman"/>
          <w:sz w:val="24"/>
          <w:szCs w:val="24"/>
        </w:rPr>
        <w:t xml:space="preserve"> supported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p>
    <w:p w:rsidR="00A6363B" w:rsidRDefault="00A6363B" w:rsidP="00EE48C3">
      <w:pPr>
        <w:autoSpaceDE w:val="0"/>
        <w:autoSpaceDN w:val="0"/>
        <w:adjustRightInd w:val="0"/>
        <w:spacing w:after="0" w:line="360" w:lineRule="auto"/>
        <w:jc w:val="both"/>
        <w:rPr>
          <w:rFonts w:ascii="Times New Roman" w:hAnsi="Times New Roman" w:cs="Times New Roman"/>
          <w:b/>
          <w:sz w:val="24"/>
          <w:szCs w:val="24"/>
        </w:rPr>
      </w:pPr>
    </w:p>
    <w:p w:rsidR="00425AE3" w:rsidRPr="00A6363B" w:rsidRDefault="00425AE3" w:rsidP="00EE48C3">
      <w:pPr>
        <w:autoSpaceDE w:val="0"/>
        <w:autoSpaceDN w:val="0"/>
        <w:adjustRightInd w:val="0"/>
        <w:spacing w:after="0" w:line="360" w:lineRule="auto"/>
        <w:jc w:val="both"/>
        <w:rPr>
          <w:rFonts w:ascii="Times New Roman" w:hAnsi="Times New Roman" w:cs="Times New Roman"/>
          <w:b/>
          <w:sz w:val="24"/>
          <w:szCs w:val="24"/>
        </w:rPr>
      </w:pPr>
      <w:r w:rsidRPr="00A6363B">
        <w:rPr>
          <w:rFonts w:ascii="Times New Roman" w:hAnsi="Times New Roman" w:cs="Times New Roman"/>
          <w:b/>
          <w:sz w:val="24"/>
          <w:szCs w:val="24"/>
        </w:rPr>
        <w:t xml:space="preserve">6.2 </w:t>
      </w:r>
      <w:r w:rsidR="00463DEC" w:rsidRPr="00A6363B">
        <w:rPr>
          <w:rFonts w:ascii="Times New Roman" w:hAnsi="Times New Roman" w:cs="Times New Roman"/>
          <w:b/>
          <w:sz w:val="24"/>
          <w:szCs w:val="24"/>
        </w:rPr>
        <w:t>Final Mandates</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6.2.1 Eastern Cape</w:t>
      </w:r>
      <w:r w:rsidR="00E52C5C" w:rsidRPr="00A6363B">
        <w:rPr>
          <w:rFonts w:ascii="Times New Roman" w:hAnsi="Times New Roman" w:cs="Times New Roman"/>
          <w:sz w:val="24"/>
          <w:szCs w:val="24"/>
        </w:rPr>
        <w:t xml:space="preserve"> voted in favour of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6.2.2 Free State</w:t>
      </w:r>
      <w:r w:rsidR="00E52C5C" w:rsidRPr="00A6363B">
        <w:rPr>
          <w:rFonts w:ascii="Times New Roman" w:hAnsi="Times New Roman" w:cs="Times New Roman"/>
          <w:sz w:val="24"/>
          <w:szCs w:val="24"/>
        </w:rPr>
        <w:t>’s final was still outstanding.</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6.2.3 Gauteng</w:t>
      </w:r>
      <w:r w:rsidR="00E52C5C" w:rsidRPr="00A6363B">
        <w:rPr>
          <w:rFonts w:ascii="Times New Roman" w:hAnsi="Times New Roman" w:cs="Times New Roman"/>
          <w:sz w:val="24"/>
          <w:szCs w:val="24"/>
        </w:rPr>
        <w:t xml:space="preserve"> supported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6.2.4 KwaZulu-Natal</w:t>
      </w:r>
      <w:r w:rsidR="00E52C5C" w:rsidRPr="00A6363B">
        <w:rPr>
          <w:rFonts w:ascii="Times New Roman" w:hAnsi="Times New Roman" w:cs="Times New Roman"/>
          <w:sz w:val="24"/>
          <w:szCs w:val="24"/>
        </w:rPr>
        <w:t xml:space="preserve"> supported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6.2.5 Limpopo</w:t>
      </w:r>
      <w:r w:rsidR="00E52C5C" w:rsidRPr="00A6363B">
        <w:rPr>
          <w:rFonts w:ascii="Times New Roman" w:hAnsi="Times New Roman" w:cs="Times New Roman"/>
          <w:sz w:val="24"/>
          <w:szCs w:val="24"/>
        </w:rPr>
        <w:t xml:space="preserve"> voted in favour of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6.2.6 Mpumalanga</w:t>
      </w:r>
      <w:r w:rsidR="00E52C5C" w:rsidRPr="00A6363B">
        <w:rPr>
          <w:rFonts w:ascii="Times New Roman" w:hAnsi="Times New Roman" w:cs="Times New Roman"/>
          <w:sz w:val="24"/>
          <w:szCs w:val="24"/>
        </w:rPr>
        <w:t xml:space="preserve"> voted in favour of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6.2.7 Northern Cape</w:t>
      </w:r>
      <w:r w:rsidR="00E52C5C" w:rsidRPr="00A6363B">
        <w:rPr>
          <w:rFonts w:ascii="Times New Roman" w:hAnsi="Times New Roman" w:cs="Times New Roman"/>
          <w:sz w:val="24"/>
          <w:szCs w:val="24"/>
        </w:rPr>
        <w:t xml:space="preserve"> voted in favour of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6.2.8 North West</w:t>
      </w:r>
      <w:r w:rsidR="00E52C5C" w:rsidRPr="00A6363B">
        <w:rPr>
          <w:rFonts w:ascii="Times New Roman" w:hAnsi="Times New Roman" w:cs="Times New Roman"/>
          <w:sz w:val="24"/>
          <w:szCs w:val="24"/>
        </w:rPr>
        <w:t xml:space="preserve"> voted in favour of the Bill.</w:t>
      </w:r>
    </w:p>
    <w:p w:rsidR="00425AE3" w:rsidRPr="00A6363B" w:rsidRDefault="00425AE3"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6.2.9 Western Cape</w:t>
      </w:r>
      <w:r w:rsidR="00287790" w:rsidRPr="00A6363B">
        <w:rPr>
          <w:rFonts w:ascii="Times New Roman" w:hAnsi="Times New Roman" w:cs="Times New Roman"/>
          <w:sz w:val="24"/>
          <w:szCs w:val="24"/>
        </w:rPr>
        <w:t xml:space="preserve"> voted in favour of the Bill.</w:t>
      </w:r>
    </w:p>
    <w:p w:rsidR="002B213C" w:rsidRPr="00A6363B" w:rsidRDefault="002B213C" w:rsidP="00EE48C3">
      <w:pPr>
        <w:autoSpaceDE w:val="0"/>
        <w:autoSpaceDN w:val="0"/>
        <w:adjustRightInd w:val="0"/>
        <w:spacing w:after="0" w:line="360" w:lineRule="auto"/>
        <w:jc w:val="both"/>
        <w:rPr>
          <w:rFonts w:ascii="Times New Roman" w:hAnsi="Times New Roman" w:cs="Times New Roman"/>
          <w:sz w:val="24"/>
          <w:szCs w:val="24"/>
        </w:rPr>
      </w:pPr>
    </w:p>
    <w:p w:rsidR="002B213C" w:rsidRPr="00A6363B" w:rsidRDefault="002B213C" w:rsidP="00EE48C3">
      <w:pPr>
        <w:autoSpaceDE w:val="0"/>
        <w:autoSpaceDN w:val="0"/>
        <w:adjustRightInd w:val="0"/>
        <w:spacing w:after="0" w:line="360" w:lineRule="auto"/>
        <w:jc w:val="both"/>
        <w:rPr>
          <w:rFonts w:ascii="Times New Roman" w:hAnsi="Times New Roman" w:cs="Times New Roman"/>
          <w:sz w:val="24"/>
          <w:szCs w:val="24"/>
        </w:rPr>
      </w:pPr>
    </w:p>
    <w:p w:rsidR="002B213C" w:rsidRPr="00A6363B" w:rsidRDefault="002B213C" w:rsidP="00EE48C3">
      <w:pPr>
        <w:pStyle w:val="ListParagraph"/>
        <w:numPr>
          <w:ilvl w:val="0"/>
          <w:numId w:val="1"/>
        </w:numPr>
        <w:autoSpaceDE w:val="0"/>
        <w:autoSpaceDN w:val="0"/>
        <w:adjustRightInd w:val="0"/>
        <w:spacing w:after="0" w:line="360" w:lineRule="auto"/>
        <w:ind w:hanging="644"/>
        <w:jc w:val="both"/>
        <w:rPr>
          <w:rFonts w:ascii="Times New Roman" w:hAnsi="Times New Roman" w:cs="Times New Roman"/>
          <w:b/>
          <w:sz w:val="24"/>
          <w:szCs w:val="24"/>
        </w:rPr>
      </w:pPr>
      <w:r w:rsidRPr="00A6363B">
        <w:rPr>
          <w:rFonts w:ascii="Times New Roman" w:hAnsi="Times New Roman" w:cs="Times New Roman"/>
          <w:b/>
          <w:sz w:val="24"/>
          <w:szCs w:val="24"/>
        </w:rPr>
        <w:t>Observations</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w:t>
      </w:r>
      <w:r w:rsidRPr="00A6363B">
        <w:rPr>
          <w:rFonts w:ascii="Times New Roman" w:eastAsia="Times New Roman" w:hAnsi="Times New Roman" w:cs="Times New Roman"/>
          <w:color w:val="000000"/>
          <w:spacing w:val="6"/>
          <w:sz w:val="24"/>
          <w:szCs w:val="24"/>
          <w:lang w:eastAsia="en-GB"/>
        </w:rPr>
        <w:tab/>
        <w:t>The Bill contains the introduction of new conditional grants, ring-fencing of grant funds, the termination of the National Health Insurance Grant, the reconfiguration of the School Infrastructure Backlogs Grant and reductions and additions to some conditional grant baselines. The newly introduced grants and ring-fencing in some grants were, however, funded by reprioritising funds away from the under-spending grants</w:t>
      </w:r>
      <w:r w:rsidR="001A21D2" w:rsidRPr="00A6363B">
        <w:rPr>
          <w:rFonts w:ascii="Times New Roman" w:eastAsia="Times New Roman" w:hAnsi="Times New Roman" w:cs="Times New Roman"/>
          <w:color w:val="000000"/>
          <w:spacing w:val="6"/>
          <w:sz w:val="24"/>
          <w:szCs w:val="24"/>
          <w:lang w:eastAsia="en-GB"/>
        </w:rPr>
        <w:t xml:space="preserve"> or government programmes</w:t>
      </w:r>
      <w:r w:rsidRPr="00A6363B">
        <w:rPr>
          <w:rFonts w:ascii="Times New Roman" w:eastAsia="Times New Roman" w:hAnsi="Times New Roman" w:cs="Times New Roman"/>
          <w:color w:val="000000"/>
          <w:spacing w:val="6"/>
          <w:sz w:val="24"/>
          <w:szCs w:val="24"/>
          <w:lang w:eastAsia="en-GB"/>
        </w:rPr>
        <w:t>.</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7.2</w:t>
      </w:r>
      <w:r w:rsidRPr="00A6363B">
        <w:rPr>
          <w:rFonts w:ascii="Times New Roman" w:eastAsia="Times New Roman" w:hAnsi="Times New Roman" w:cs="Times New Roman"/>
          <w:color w:val="000000"/>
          <w:spacing w:val="6"/>
          <w:sz w:val="24"/>
          <w:szCs w:val="24"/>
          <w:lang w:eastAsia="en-GB"/>
        </w:rPr>
        <w:tab/>
        <w:t>Over the 2017 MTEF the National School Nutrition Programme Grant and the Comprehensive HIV, AIDS and TB Grant receive additional funding of R390 million and R1 billion, respectively.</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7.3</w:t>
      </w:r>
      <w:r w:rsidRPr="00A6363B">
        <w:rPr>
          <w:rFonts w:ascii="Times New Roman" w:eastAsia="Times New Roman" w:hAnsi="Times New Roman" w:cs="Times New Roman"/>
          <w:color w:val="000000"/>
          <w:spacing w:val="6"/>
          <w:sz w:val="24"/>
          <w:szCs w:val="24"/>
          <w:lang w:eastAsia="en-GB"/>
        </w:rPr>
        <w:tab/>
        <w:t>Despite small reductions that have been made to certain local government grants, the grants affected continue to grow by at least 5 percent per year over the 2017 MTEF period.</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7.4</w:t>
      </w:r>
      <w:r w:rsidRPr="00A6363B">
        <w:rPr>
          <w:rFonts w:ascii="Times New Roman" w:eastAsia="Times New Roman" w:hAnsi="Times New Roman" w:cs="Times New Roman"/>
          <w:color w:val="000000"/>
          <w:spacing w:val="6"/>
          <w:sz w:val="24"/>
          <w:szCs w:val="24"/>
          <w:lang w:eastAsia="en-GB"/>
        </w:rPr>
        <w:tab/>
        <w:t>The Committee noted the revisions in clauses 21(1), (2) and (4) of the Bill on the in-year conversions of allocations. The revisions are aimed at reducing inefficiencies in the management of conditional grants.</w:t>
      </w:r>
    </w:p>
    <w:p w:rsidR="002B213C" w:rsidRPr="00A6363B" w:rsidRDefault="002B213C" w:rsidP="00EE48C3">
      <w:pPr>
        <w:spacing w:after="0" w:line="360" w:lineRule="auto"/>
        <w:ind w:left="567" w:hanging="426"/>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7.5 The Committee noted the R5 billion additional allocation to the Department of Higher Education over the MTEF as well as the pilot project for a mix</w:t>
      </w:r>
      <w:r w:rsidR="00BF5E7A" w:rsidRPr="00A6363B">
        <w:rPr>
          <w:rFonts w:ascii="Times New Roman" w:eastAsia="Times New Roman" w:hAnsi="Times New Roman" w:cs="Times New Roman"/>
          <w:color w:val="000000"/>
          <w:spacing w:val="6"/>
          <w:sz w:val="24"/>
          <w:szCs w:val="24"/>
          <w:lang w:eastAsia="en-GB"/>
        </w:rPr>
        <w:t>ed</w:t>
      </w:r>
      <w:r w:rsidRPr="00A6363B">
        <w:rPr>
          <w:rFonts w:ascii="Times New Roman" w:eastAsia="Times New Roman" w:hAnsi="Times New Roman" w:cs="Times New Roman"/>
          <w:color w:val="000000"/>
          <w:spacing w:val="6"/>
          <w:sz w:val="24"/>
          <w:szCs w:val="24"/>
          <w:lang w:eastAsia="en-GB"/>
        </w:rPr>
        <w:t xml:space="preserve"> funding scheme to accommodate the students in the missing middle.</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lastRenderedPageBreak/>
        <w:t>7.6</w:t>
      </w:r>
      <w:r w:rsidRPr="00A6363B">
        <w:rPr>
          <w:rFonts w:ascii="Times New Roman" w:eastAsia="Times New Roman" w:hAnsi="Times New Roman" w:cs="Times New Roman"/>
          <w:color w:val="000000"/>
          <w:spacing w:val="6"/>
          <w:sz w:val="24"/>
          <w:szCs w:val="24"/>
          <w:lang w:eastAsia="en-GB"/>
        </w:rPr>
        <w:tab/>
        <w:t xml:space="preserve">Despite adjustments and reductions to provincial equitable shares and conditional </w:t>
      </w:r>
      <w:r w:rsidR="00035284" w:rsidRPr="00A6363B">
        <w:rPr>
          <w:rFonts w:ascii="Times New Roman" w:eastAsia="Times New Roman" w:hAnsi="Times New Roman" w:cs="Times New Roman"/>
          <w:color w:val="000000"/>
          <w:spacing w:val="6"/>
          <w:sz w:val="24"/>
          <w:szCs w:val="24"/>
          <w:lang w:eastAsia="en-GB"/>
        </w:rPr>
        <w:t xml:space="preserve">   </w:t>
      </w:r>
      <w:r w:rsidRPr="00A6363B">
        <w:rPr>
          <w:rFonts w:ascii="Times New Roman" w:eastAsia="Times New Roman" w:hAnsi="Times New Roman" w:cs="Times New Roman"/>
          <w:color w:val="000000"/>
          <w:spacing w:val="6"/>
          <w:sz w:val="24"/>
          <w:szCs w:val="24"/>
          <w:lang w:eastAsia="en-GB"/>
        </w:rPr>
        <w:t>grants</w:t>
      </w:r>
      <w:r w:rsidR="00815E87"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direct and indirect allocations to </w:t>
      </w:r>
      <w:r w:rsidR="00815E87" w:rsidRPr="00A6363B">
        <w:rPr>
          <w:rFonts w:ascii="Times New Roman" w:eastAsia="Times New Roman" w:hAnsi="Times New Roman" w:cs="Times New Roman"/>
          <w:color w:val="000000"/>
          <w:spacing w:val="6"/>
          <w:sz w:val="24"/>
          <w:szCs w:val="24"/>
          <w:lang w:eastAsia="en-GB"/>
        </w:rPr>
        <w:t xml:space="preserve">the </w:t>
      </w:r>
      <w:r w:rsidRPr="00A6363B">
        <w:rPr>
          <w:rFonts w:ascii="Times New Roman" w:eastAsia="Times New Roman" w:hAnsi="Times New Roman" w:cs="Times New Roman"/>
          <w:color w:val="000000"/>
          <w:spacing w:val="6"/>
          <w:sz w:val="24"/>
          <w:szCs w:val="24"/>
          <w:lang w:eastAsia="en-GB"/>
        </w:rPr>
        <w:t>provincial sphere still grow at above the rate of inflation over the 2017 MTEF period.</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7.7</w:t>
      </w:r>
      <w:r w:rsidRPr="00A6363B">
        <w:rPr>
          <w:rFonts w:ascii="Times New Roman" w:eastAsia="Times New Roman" w:hAnsi="Times New Roman" w:cs="Times New Roman"/>
          <w:color w:val="000000"/>
          <w:spacing w:val="6"/>
          <w:sz w:val="24"/>
          <w:szCs w:val="24"/>
          <w:lang w:eastAsia="en-GB"/>
        </w:rPr>
        <w:tab/>
        <w:t xml:space="preserve">While the increases in </w:t>
      </w:r>
      <w:r w:rsidR="00815E87" w:rsidRPr="00A6363B">
        <w:rPr>
          <w:rFonts w:ascii="Times New Roman" w:eastAsia="Times New Roman" w:hAnsi="Times New Roman" w:cs="Times New Roman"/>
          <w:color w:val="000000"/>
          <w:spacing w:val="6"/>
          <w:sz w:val="24"/>
          <w:szCs w:val="24"/>
          <w:lang w:eastAsia="en-GB"/>
        </w:rPr>
        <w:t xml:space="preserve">the </w:t>
      </w:r>
      <w:r w:rsidRPr="00A6363B">
        <w:rPr>
          <w:rFonts w:ascii="Times New Roman" w:eastAsia="Times New Roman" w:hAnsi="Times New Roman" w:cs="Times New Roman"/>
          <w:color w:val="000000"/>
          <w:spacing w:val="6"/>
          <w:sz w:val="24"/>
          <w:szCs w:val="24"/>
          <w:lang w:eastAsia="en-GB"/>
        </w:rPr>
        <w:t>local government equitable s</w:t>
      </w:r>
      <w:r w:rsidR="00815E87" w:rsidRPr="00A6363B">
        <w:rPr>
          <w:rFonts w:ascii="Times New Roman" w:eastAsia="Times New Roman" w:hAnsi="Times New Roman" w:cs="Times New Roman"/>
          <w:color w:val="000000"/>
          <w:spacing w:val="6"/>
          <w:sz w:val="24"/>
          <w:szCs w:val="24"/>
          <w:lang w:eastAsia="en-GB"/>
        </w:rPr>
        <w:t xml:space="preserve">hare are welcomed, this </w:t>
      </w:r>
      <w:r w:rsidRPr="00A6363B">
        <w:rPr>
          <w:rFonts w:ascii="Times New Roman" w:eastAsia="Times New Roman" w:hAnsi="Times New Roman" w:cs="Times New Roman"/>
          <w:color w:val="000000"/>
          <w:spacing w:val="6"/>
          <w:sz w:val="24"/>
          <w:szCs w:val="24"/>
          <w:lang w:eastAsia="en-GB"/>
        </w:rPr>
        <w:t xml:space="preserve">does not necessarily address </w:t>
      </w:r>
      <w:r w:rsidR="00815E87" w:rsidRPr="00A6363B">
        <w:rPr>
          <w:rFonts w:ascii="Times New Roman" w:eastAsia="Times New Roman" w:hAnsi="Times New Roman" w:cs="Times New Roman"/>
          <w:color w:val="000000"/>
          <w:spacing w:val="6"/>
          <w:sz w:val="24"/>
          <w:szCs w:val="24"/>
          <w:lang w:eastAsia="en-GB"/>
        </w:rPr>
        <w:t xml:space="preserve">the </w:t>
      </w:r>
      <w:r w:rsidRPr="00A6363B">
        <w:rPr>
          <w:rFonts w:ascii="Times New Roman" w:eastAsia="Times New Roman" w:hAnsi="Times New Roman" w:cs="Times New Roman"/>
          <w:color w:val="000000"/>
          <w:spacing w:val="6"/>
          <w:sz w:val="24"/>
          <w:szCs w:val="24"/>
          <w:lang w:eastAsia="en-GB"/>
        </w:rPr>
        <w:t>chall</w:t>
      </w:r>
      <w:r w:rsidR="00815E87" w:rsidRPr="00A6363B">
        <w:rPr>
          <w:rFonts w:ascii="Times New Roman" w:eastAsia="Times New Roman" w:hAnsi="Times New Roman" w:cs="Times New Roman"/>
          <w:color w:val="000000"/>
          <w:spacing w:val="6"/>
          <w:sz w:val="24"/>
          <w:szCs w:val="24"/>
          <w:lang w:eastAsia="en-GB"/>
        </w:rPr>
        <w:t>enges of municipalities with a</w:t>
      </w:r>
      <w:r w:rsidRPr="00A6363B">
        <w:rPr>
          <w:rFonts w:ascii="Times New Roman" w:eastAsia="Times New Roman" w:hAnsi="Times New Roman" w:cs="Times New Roman"/>
          <w:color w:val="000000"/>
          <w:spacing w:val="6"/>
          <w:sz w:val="24"/>
          <w:szCs w:val="24"/>
          <w:lang w:eastAsia="en-GB"/>
        </w:rPr>
        <w:t xml:space="preserve"> low revenue base</w:t>
      </w:r>
      <w:r w:rsidR="00815E87"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given the current economic conditions.</w:t>
      </w:r>
    </w:p>
    <w:p w:rsidR="002B213C" w:rsidRPr="00A6363B" w:rsidRDefault="00FA3EA1"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7.8 The</w:t>
      </w:r>
      <w:r w:rsidR="002B213C" w:rsidRPr="00A6363B">
        <w:rPr>
          <w:rFonts w:ascii="Times New Roman" w:eastAsia="Times New Roman" w:hAnsi="Times New Roman" w:cs="Times New Roman"/>
          <w:color w:val="000000"/>
          <w:spacing w:val="6"/>
          <w:sz w:val="24"/>
          <w:szCs w:val="24"/>
          <w:lang w:eastAsia="en-GB"/>
        </w:rPr>
        <w:t xml:space="preserve"> Committee welcomed the introduction of the Municipal Standard Chart of Accounts which is an attempt to improve the financial capacity of South African municipalities.</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7.9</w:t>
      </w:r>
      <w:r w:rsidRPr="00A6363B">
        <w:rPr>
          <w:rFonts w:ascii="Times New Roman" w:eastAsia="Times New Roman" w:hAnsi="Times New Roman" w:cs="Times New Roman"/>
          <w:color w:val="000000"/>
          <w:spacing w:val="6"/>
          <w:sz w:val="24"/>
          <w:szCs w:val="24"/>
          <w:lang w:eastAsia="en-GB"/>
        </w:rPr>
        <w:tab/>
        <w:t>The Committee has noted the conflicting calls to review the current local government equitable share formula</w:t>
      </w:r>
      <w:r w:rsidR="00815E87" w:rsidRPr="00A6363B">
        <w:rPr>
          <w:rFonts w:ascii="Times New Roman" w:eastAsia="Times New Roman" w:hAnsi="Times New Roman" w:cs="Times New Roman"/>
          <w:color w:val="000000"/>
          <w:spacing w:val="6"/>
          <w:sz w:val="24"/>
          <w:szCs w:val="24"/>
          <w:lang w:eastAsia="en-GB"/>
        </w:rPr>
        <w:t>. These are</w:t>
      </w:r>
      <w:r w:rsidRPr="00A6363B">
        <w:rPr>
          <w:rFonts w:ascii="Times New Roman" w:eastAsia="Times New Roman" w:hAnsi="Times New Roman" w:cs="Times New Roman"/>
          <w:color w:val="000000"/>
          <w:spacing w:val="6"/>
          <w:sz w:val="24"/>
          <w:szCs w:val="24"/>
          <w:lang w:eastAsia="en-GB"/>
        </w:rPr>
        <w:t xml:space="preserve"> calls to put more emphasis on rural conditions as against urban conditions, </w:t>
      </w:r>
      <w:r w:rsidR="00815E87" w:rsidRPr="00A6363B">
        <w:rPr>
          <w:rFonts w:ascii="Times New Roman" w:eastAsia="Times New Roman" w:hAnsi="Times New Roman" w:cs="Times New Roman"/>
          <w:color w:val="000000"/>
          <w:spacing w:val="6"/>
          <w:sz w:val="24"/>
          <w:szCs w:val="24"/>
          <w:lang w:eastAsia="en-GB"/>
        </w:rPr>
        <w:t xml:space="preserve">the </w:t>
      </w:r>
      <w:r w:rsidRPr="00A6363B">
        <w:rPr>
          <w:rFonts w:ascii="Times New Roman" w:eastAsia="Times New Roman" w:hAnsi="Times New Roman" w:cs="Times New Roman"/>
          <w:color w:val="000000"/>
          <w:spacing w:val="6"/>
          <w:sz w:val="24"/>
          <w:szCs w:val="24"/>
          <w:lang w:eastAsia="en-GB"/>
        </w:rPr>
        <w:t>vastness of the areas as against the population or even the accuracy of the population figures utilised.</w:t>
      </w:r>
    </w:p>
    <w:p w:rsidR="007D7F04"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7.10</w:t>
      </w:r>
      <w:r w:rsidR="007D7F04" w:rsidRPr="00A6363B">
        <w:rPr>
          <w:rFonts w:ascii="Times New Roman" w:eastAsia="Times New Roman" w:hAnsi="Times New Roman" w:cs="Times New Roman"/>
          <w:color w:val="000000"/>
          <w:spacing w:val="6"/>
          <w:sz w:val="24"/>
          <w:szCs w:val="24"/>
          <w:lang w:eastAsia="en-GB"/>
        </w:rPr>
        <w:t xml:space="preserve"> </w:t>
      </w:r>
      <w:r w:rsidRPr="00A6363B">
        <w:rPr>
          <w:rFonts w:ascii="Times New Roman" w:eastAsia="Times New Roman" w:hAnsi="Times New Roman" w:cs="Times New Roman"/>
          <w:color w:val="000000"/>
          <w:spacing w:val="6"/>
          <w:sz w:val="24"/>
          <w:szCs w:val="24"/>
          <w:lang w:eastAsia="en-GB"/>
        </w:rPr>
        <w:t xml:space="preserve">The Committee noted the concerns raised </w:t>
      </w:r>
      <w:r w:rsidR="00287790" w:rsidRPr="00A6363B">
        <w:rPr>
          <w:rFonts w:ascii="Times New Roman" w:eastAsia="Times New Roman" w:hAnsi="Times New Roman" w:cs="Times New Roman"/>
          <w:color w:val="000000"/>
          <w:spacing w:val="6"/>
          <w:sz w:val="24"/>
          <w:szCs w:val="24"/>
          <w:lang w:eastAsia="en-GB"/>
        </w:rPr>
        <w:t xml:space="preserve">by provinces in their negotiating mandates </w:t>
      </w:r>
      <w:r w:rsidR="007D7F04" w:rsidRPr="00A6363B">
        <w:rPr>
          <w:rFonts w:ascii="Times New Roman" w:eastAsia="Times New Roman" w:hAnsi="Times New Roman" w:cs="Times New Roman"/>
          <w:color w:val="000000"/>
          <w:spacing w:val="6"/>
          <w:sz w:val="24"/>
          <w:szCs w:val="24"/>
          <w:lang w:eastAsia="en-GB"/>
        </w:rPr>
        <w:t>over</w:t>
      </w:r>
      <w:r w:rsidRPr="00A6363B">
        <w:rPr>
          <w:rFonts w:ascii="Times New Roman" w:eastAsia="Times New Roman" w:hAnsi="Times New Roman" w:cs="Times New Roman"/>
          <w:color w:val="000000"/>
          <w:spacing w:val="6"/>
          <w:sz w:val="24"/>
          <w:szCs w:val="24"/>
          <w:lang w:eastAsia="en-GB"/>
        </w:rPr>
        <w:t xml:space="preserve"> the termination of the </w:t>
      </w:r>
      <w:r w:rsidR="00815E87" w:rsidRPr="00A6363B">
        <w:rPr>
          <w:rFonts w:ascii="Times New Roman" w:eastAsia="Times New Roman" w:hAnsi="Times New Roman" w:cs="Times New Roman"/>
          <w:color w:val="000000"/>
          <w:spacing w:val="6"/>
          <w:sz w:val="24"/>
          <w:szCs w:val="24"/>
          <w:lang w:eastAsia="en-GB"/>
        </w:rPr>
        <w:t xml:space="preserve">Bucket </w:t>
      </w:r>
    </w:p>
    <w:p w:rsidR="007D7F04" w:rsidRPr="00A6363B" w:rsidRDefault="007D7F04" w:rsidP="00EE48C3">
      <w:pPr>
        <w:spacing w:after="0" w:line="360" w:lineRule="auto"/>
        <w:ind w:left="426" w:hanging="426"/>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 xml:space="preserve">        </w:t>
      </w:r>
      <w:r w:rsidR="00815E87" w:rsidRPr="00A6363B">
        <w:rPr>
          <w:rFonts w:ascii="Times New Roman" w:eastAsia="Times New Roman" w:hAnsi="Times New Roman" w:cs="Times New Roman"/>
          <w:color w:val="000000"/>
          <w:spacing w:val="6"/>
          <w:sz w:val="24"/>
          <w:szCs w:val="24"/>
          <w:lang w:eastAsia="en-GB"/>
        </w:rPr>
        <w:t>E</w:t>
      </w:r>
      <w:r w:rsidR="002B213C" w:rsidRPr="00A6363B">
        <w:rPr>
          <w:rFonts w:ascii="Times New Roman" w:eastAsia="Times New Roman" w:hAnsi="Times New Roman" w:cs="Times New Roman"/>
          <w:color w:val="000000"/>
          <w:spacing w:val="6"/>
          <w:sz w:val="24"/>
          <w:szCs w:val="24"/>
          <w:lang w:eastAsia="en-GB"/>
        </w:rPr>
        <w:t xml:space="preserve">radication </w:t>
      </w:r>
      <w:r w:rsidR="00815E87" w:rsidRPr="00A6363B">
        <w:rPr>
          <w:rFonts w:ascii="Times New Roman" w:eastAsia="Times New Roman" w:hAnsi="Times New Roman" w:cs="Times New Roman"/>
          <w:color w:val="000000"/>
          <w:spacing w:val="6"/>
          <w:sz w:val="24"/>
          <w:szCs w:val="24"/>
          <w:lang w:eastAsia="en-GB"/>
        </w:rPr>
        <w:t>G</w:t>
      </w:r>
      <w:r w:rsidR="002B213C" w:rsidRPr="00A6363B">
        <w:rPr>
          <w:rFonts w:ascii="Times New Roman" w:eastAsia="Times New Roman" w:hAnsi="Times New Roman" w:cs="Times New Roman"/>
          <w:color w:val="000000"/>
          <w:spacing w:val="6"/>
          <w:sz w:val="24"/>
          <w:szCs w:val="24"/>
          <w:lang w:eastAsia="en-GB"/>
        </w:rPr>
        <w:t>rant</w:t>
      </w:r>
      <w:r w:rsidRPr="00A6363B">
        <w:rPr>
          <w:rFonts w:ascii="Times New Roman" w:eastAsia="Times New Roman" w:hAnsi="Times New Roman" w:cs="Times New Roman"/>
          <w:color w:val="000000"/>
          <w:spacing w:val="6"/>
          <w:sz w:val="24"/>
          <w:szCs w:val="24"/>
          <w:lang w:eastAsia="en-GB"/>
        </w:rPr>
        <w:t>,</w:t>
      </w:r>
      <w:r w:rsidR="002B213C" w:rsidRPr="00A6363B">
        <w:rPr>
          <w:rFonts w:ascii="Times New Roman" w:eastAsia="Times New Roman" w:hAnsi="Times New Roman" w:cs="Times New Roman"/>
          <w:color w:val="000000"/>
          <w:spacing w:val="6"/>
          <w:sz w:val="24"/>
          <w:szCs w:val="24"/>
          <w:lang w:eastAsia="en-GB"/>
        </w:rPr>
        <w:t xml:space="preserve"> given the current rates at which informal settlements are </w:t>
      </w:r>
    </w:p>
    <w:p w:rsidR="002B213C" w:rsidRPr="00A6363B" w:rsidRDefault="007D7F04" w:rsidP="00EE48C3">
      <w:pPr>
        <w:spacing w:after="0" w:line="360" w:lineRule="auto"/>
        <w:ind w:left="426" w:hanging="426"/>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 xml:space="preserve">        </w:t>
      </w:r>
      <w:r w:rsidR="002B213C" w:rsidRPr="00A6363B">
        <w:rPr>
          <w:rFonts w:ascii="Times New Roman" w:eastAsia="Times New Roman" w:hAnsi="Times New Roman" w:cs="Times New Roman"/>
          <w:color w:val="000000"/>
          <w:spacing w:val="6"/>
          <w:sz w:val="24"/>
          <w:szCs w:val="24"/>
          <w:lang w:eastAsia="en-GB"/>
        </w:rPr>
        <w:t>growing.</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7.11 The Committee noted that there might be challenges of coordination within the various spheres of government when it comes to disaster management.</w:t>
      </w:r>
      <w:r w:rsidR="007D7F04" w:rsidRPr="00A6363B">
        <w:rPr>
          <w:rFonts w:ascii="Times New Roman" w:eastAsia="Times New Roman" w:hAnsi="Times New Roman" w:cs="Times New Roman"/>
          <w:color w:val="000000"/>
          <w:spacing w:val="6"/>
          <w:sz w:val="24"/>
          <w:szCs w:val="24"/>
          <w:lang w:eastAsia="en-GB"/>
        </w:rPr>
        <w:t xml:space="preserve"> These</w:t>
      </w:r>
      <w:r w:rsidRPr="00A6363B">
        <w:rPr>
          <w:rFonts w:ascii="Times New Roman" w:eastAsia="Times New Roman" w:hAnsi="Times New Roman" w:cs="Times New Roman"/>
          <w:color w:val="000000"/>
          <w:spacing w:val="6"/>
          <w:sz w:val="24"/>
          <w:szCs w:val="24"/>
          <w:lang w:eastAsia="en-GB"/>
        </w:rPr>
        <w:t xml:space="preserve"> challenges contribute to late interventions or even </w:t>
      </w:r>
      <w:r w:rsidR="007D7F04" w:rsidRPr="00A6363B">
        <w:rPr>
          <w:rFonts w:ascii="Times New Roman" w:eastAsia="Times New Roman" w:hAnsi="Times New Roman" w:cs="Times New Roman"/>
          <w:color w:val="000000"/>
          <w:spacing w:val="6"/>
          <w:sz w:val="24"/>
          <w:szCs w:val="24"/>
          <w:lang w:eastAsia="en-GB"/>
        </w:rPr>
        <w:t>under-</w:t>
      </w:r>
      <w:r w:rsidRPr="00A6363B">
        <w:rPr>
          <w:rFonts w:ascii="Times New Roman" w:eastAsia="Times New Roman" w:hAnsi="Times New Roman" w:cs="Times New Roman"/>
          <w:color w:val="000000"/>
          <w:spacing w:val="6"/>
          <w:sz w:val="24"/>
          <w:szCs w:val="24"/>
          <w:lang w:eastAsia="en-GB"/>
        </w:rPr>
        <w:t>spending of the disaster funds.</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7.12</w:t>
      </w:r>
      <w:r w:rsidRPr="00A6363B">
        <w:rPr>
          <w:rFonts w:ascii="Times New Roman" w:eastAsia="Times New Roman" w:hAnsi="Times New Roman" w:cs="Times New Roman"/>
          <w:color w:val="000000"/>
          <w:spacing w:val="6"/>
          <w:sz w:val="24"/>
          <w:szCs w:val="24"/>
          <w:lang w:eastAsia="en-GB"/>
        </w:rPr>
        <w:tab/>
        <w:t>The Committee has noted that</w:t>
      </w:r>
      <w:r w:rsidR="007D7F04"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despite the establishment of the Inter-Ministerial Task Team and the Technical Task Team</w:t>
      </w:r>
      <w:r w:rsidR="007D7F04"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the following issues between E</w:t>
      </w:r>
      <w:r w:rsidR="007D7F04" w:rsidRPr="00A6363B">
        <w:rPr>
          <w:rFonts w:ascii="Times New Roman" w:eastAsia="Times New Roman" w:hAnsi="Times New Roman" w:cs="Times New Roman"/>
          <w:color w:val="000000"/>
          <w:spacing w:val="6"/>
          <w:sz w:val="24"/>
          <w:szCs w:val="24"/>
          <w:lang w:eastAsia="en-GB"/>
        </w:rPr>
        <w:t>skom</w:t>
      </w:r>
      <w:r w:rsidRPr="00A6363B">
        <w:rPr>
          <w:rFonts w:ascii="Times New Roman" w:eastAsia="Times New Roman" w:hAnsi="Times New Roman" w:cs="Times New Roman"/>
          <w:color w:val="000000"/>
          <w:spacing w:val="6"/>
          <w:sz w:val="24"/>
          <w:szCs w:val="24"/>
          <w:lang w:eastAsia="en-GB"/>
        </w:rPr>
        <w:t xml:space="preserve"> and Salga remain unresolved:</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7.12.1</w:t>
      </w:r>
      <w:r w:rsidRPr="00A6363B">
        <w:rPr>
          <w:rFonts w:ascii="Times New Roman" w:eastAsia="Times New Roman" w:hAnsi="Times New Roman" w:cs="Times New Roman"/>
          <w:color w:val="000000"/>
          <w:spacing w:val="6"/>
          <w:sz w:val="24"/>
          <w:szCs w:val="24"/>
          <w:lang w:eastAsia="en-GB"/>
        </w:rPr>
        <w:tab/>
      </w:r>
      <w:r w:rsidR="007D7F04" w:rsidRPr="00A6363B">
        <w:rPr>
          <w:rFonts w:ascii="Times New Roman" w:eastAsia="Times New Roman" w:hAnsi="Times New Roman" w:cs="Times New Roman"/>
          <w:color w:val="000000"/>
          <w:spacing w:val="6"/>
          <w:sz w:val="24"/>
          <w:szCs w:val="24"/>
          <w:lang w:eastAsia="en-GB"/>
        </w:rPr>
        <w:t>The d</w:t>
      </w:r>
      <w:r w:rsidRPr="00A6363B">
        <w:rPr>
          <w:rFonts w:ascii="Times New Roman" w:eastAsia="Times New Roman" w:hAnsi="Times New Roman" w:cs="Times New Roman"/>
          <w:color w:val="000000"/>
          <w:spacing w:val="6"/>
          <w:sz w:val="24"/>
          <w:szCs w:val="24"/>
          <w:lang w:eastAsia="en-GB"/>
        </w:rPr>
        <w:t xml:space="preserve">isagreements between Salga and </w:t>
      </w:r>
      <w:r w:rsidR="007D7F04" w:rsidRPr="00A6363B">
        <w:rPr>
          <w:rFonts w:ascii="Times New Roman" w:eastAsia="Times New Roman" w:hAnsi="Times New Roman" w:cs="Times New Roman"/>
          <w:color w:val="000000"/>
          <w:spacing w:val="6"/>
          <w:sz w:val="24"/>
          <w:szCs w:val="24"/>
          <w:lang w:eastAsia="en-GB"/>
        </w:rPr>
        <w:t>Eskom</w:t>
      </w:r>
      <w:r w:rsidRPr="00A6363B">
        <w:rPr>
          <w:rFonts w:ascii="Times New Roman" w:eastAsia="Times New Roman" w:hAnsi="Times New Roman" w:cs="Times New Roman"/>
          <w:color w:val="000000"/>
          <w:spacing w:val="6"/>
          <w:sz w:val="24"/>
          <w:szCs w:val="24"/>
          <w:lang w:eastAsia="en-GB"/>
        </w:rPr>
        <w:t xml:space="preserve"> on the constitutional authority of municipalities for electricity reticulation as well as the absence of service delivery agreements between </w:t>
      </w:r>
      <w:r w:rsidR="007D7F04" w:rsidRPr="00A6363B">
        <w:rPr>
          <w:rFonts w:ascii="Times New Roman" w:eastAsia="Times New Roman" w:hAnsi="Times New Roman" w:cs="Times New Roman"/>
          <w:color w:val="000000"/>
          <w:spacing w:val="6"/>
          <w:sz w:val="24"/>
          <w:szCs w:val="24"/>
          <w:lang w:eastAsia="en-GB"/>
        </w:rPr>
        <w:t>Eskom</w:t>
      </w:r>
      <w:r w:rsidRPr="00A6363B">
        <w:rPr>
          <w:rFonts w:ascii="Times New Roman" w:eastAsia="Times New Roman" w:hAnsi="Times New Roman" w:cs="Times New Roman"/>
          <w:color w:val="000000"/>
          <w:spacing w:val="6"/>
          <w:sz w:val="24"/>
          <w:szCs w:val="24"/>
          <w:lang w:eastAsia="en-GB"/>
        </w:rPr>
        <w:t xml:space="preserve"> and municipalities in areas where </w:t>
      </w:r>
      <w:r w:rsidR="007D7F04" w:rsidRPr="00A6363B">
        <w:rPr>
          <w:rFonts w:ascii="Times New Roman" w:eastAsia="Times New Roman" w:hAnsi="Times New Roman" w:cs="Times New Roman"/>
          <w:color w:val="000000"/>
          <w:spacing w:val="6"/>
          <w:sz w:val="24"/>
          <w:szCs w:val="24"/>
          <w:lang w:eastAsia="en-GB"/>
        </w:rPr>
        <w:t>Eskom</w:t>
      </w:r>
      <w:r w:rsidRPr="00A6363B">
        <w:rPr>
          <w:rFonts w:ascii="Times New Roman" w:eastAsia="Times New Roman" w:hAnsi="Times New Roman" w:cs="Times New Roman"/>
          <w:color w:val="000000"/>
          <w:spacing w:val="6"/>
          <w:sz w:val="24"/>
          <w:szCs w:val="24"/>
          <w:lang w:eastAsia="en-GB"/>
        </w:rPr>
        <w:t xml:space="preserve"> supply electricity. </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7.12.2</w:t>
      </w:r>
      <w:r w:rsidRPr="00A6363B">
        <w:rPr>
          <w:rFonts w:ascii="Times New Roman" w:eastAsia="Times New Roman" w:hAnsi="Times New Roman" w:cs="Times New Roman"/>
          <w:color w:val="000000"/>
          <w:spacing w:val="6"/>
          <w:sz w:val="24"/>
          <w:szCs w:val="24"/>
          <w:lang w:eastAsia="en-GB"/>
        </w:rPr>
        <w:tab/>
      </w:r>
      <w:r w:rsidR="007D7F04" w:rsidRPr="00A6363B">
        <w:rPr>
          <w:rFonts w:ascii="Times New Roman" w:eastAsia="Times New Roman" w:hAnsi="Times New Roman" w:cs="Times New Roman"/>
          <w:color w:val="000000"/>
          <w:spacing w:val="6"/>
          <w:sz w:val="24"/>
          <w:szCs w:val="24"/>
          <w:lang w:eastAsia="en-GB"/>
        </w:rPr>
        <w:t>Eskom</w:t>
      </w:r>
      <w:r w:rsidRPr="00A6363B">
        <w:rPr>
          <w:rFonts w:ascii="Times New Roman" w:eastAsia="Times New Roman" w:hAnsi="Times New Roman" w:cs="Times New Roman"/>
          <w:color w:val="000000"/>
          <w:spacing w:val="6"/>
          <w:sz w:val="24"/>
          <w:szCs w:val="24"/>
          <w:lang w:eastAsia="en-GB"/>
        </w:rPr>
        <w:t xml:space="preserve"> credit control mechanisms for municipal bulk accounts are not aligned</w:t>
      </w:r>
      <w:r w:rsidR="00797752" w:rsidRPr="00A6363B">
        <w:rPr>
          <w:rFonts w:ascii="Times New Roman" w:eastAsia="Times New Roman" w:hAnsi="Times New Roman" w:cs="Times New Roman"/>
          <w:color w:val="000000"/>
          <w:spacing w:val="6"/>
          <w:sz w:val="24"/>
          <w:szCs w:val="24"/>
          <w:lang w:eastAsia="en-GB"/>
        </w:rPr>
        <w:t xml:space="preserve"> </w:t>
      </w:r>
      <w:r w:rsidRPr="00A6363B">
        <w:rPr>
          <w:rFonts w:ascii="Times New Roman" w:eastAsia="Times New Roman" w:hAnsi="Times New Roman" w:cs="Times New Roman"/>
          <w:color w:val="000000"/>
          <w:spacing w:val="6"/>
          <w:sz w:val="24"/>
          <w:szCs w:val="24"/>
          <w:lang w:eastAsia="en-GB"/>
        </w:rPr>
        <w:t>with municipal credit control by-laws and cycles.</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7.12.3</w:t>
      </w:r>
      <w:r w:rsidRPr="00A6363B">
        <w:rPr>
          <w:rFonts w:ascii="Times New Roman" w:eastAsia="Times New Roman" w:hAnsi="Times New Roman" w:cs="Times New Roman"/>
          <w:color w:val="000000"/>
          <w:spacing w:val="6"/>
          <w:sz w:val="24"/>
          <w:szCs w:val="24"/>
          <w:lang w:eastAsia="en-GB"/>
        </w:rPr>
        <w:tab/>
        <w:t>Structural issues such as municipal debt.</w:t>
      </w:r>
    </w:p>
    <w:p w:rsidR="002B213C" w:rsidRPr="00A6363B" w:rsidRDefault="002B213C" w:rsidP="00EE48C3">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7.13</w:t>
      </w:r>
      <w:r w:rsidRPr="00A6363B">
        <w:rPr>
          <w:rFonts w:ascii="Times New Roman" w:eastAsia="Times New Roman" w:hAnsi="Times New Roman" w:cs="Times New Roman"/>
          <w:color w:val="000000"/>
          <w:spacing w:val="6"/>
          <w:sz w:val="24"/>
          <w:szCs w:val="24"/>
          <w:lang w:eastAsia="en-GB"/>
        </w:rPr>
        <w:tab/>
        <w:t xml:space="preserve">The Committee noted the issues that were raised by provinces in their submission of the negotiating mandates. </w:t>
      </w:r>
      <w:r w:rsidR="008A6ED4" w:rsidRPr="00A6363B">
        <w:rPr>
          <w:rFonts w:ascii="Times New Roman" w:eastAsia="Times New Roman" w:hAnsi="Times New Roman" w:cs="Times New Roman"/>
          <w:color w:val="000000"/>
          <w:spacing w:val="6"/>
          <w:sz w:val="24"/>
          <w:szCs w:val="24"/>
          <w:lang w:eastAsia="en-GB"/>
        </w:rPr>
        <w:t xml:space="preserve">These included </w:t>
      </w:r>
      <w:r w:rsidRPr="00A6363B">
        <w:rPr>
          <w:rFonts w:ascii="Times New Roman" w:eastAsia="Times New Roman" w:hAnsi="Times New Roman" w:cs="Times New Roman"/>
          <w:color w:val="000000"/>
          <w:spacing w:val="6"/>
          <w:sz w:val="24"/>
          <w:szCs w:val="24"/>
          <w:lang w:eastAsia="en-GB"/>
        </w:rPr>
        <w:t xml:space="preserve">the need to review the current formulas </w:t>
      </w:r>
      <w:r w:rsidR="008A6ED4" w:rsidRPr="00A6363B">
        <w:rPr>
          <w:rFonts w:ascii="Times New Roman" w:eastAsia="Times New Roman" w:hAnsi="Times New Roman" w:cs="Times New Roman"/>
          <w:color w:val="000000"/>
          <w:spacing w:val="6"/>
          <w:sz w:val="24"/>
          <w:szCs w:val="24"/>
          <w:lang w:eastAsia="en-GB"/>
        </w:rPr>
        <w:t xml:space="preserve">for </w:t>
      </w:r>
      <w:r w:rsidRPr="00A6363B">
        <w:rPr>
          <w:rFonts w:ascii="Times New Roman" w:eastAsia="Times New Roman" w:hAnsi="Times New Roman" w:cs="Times New Roman"/>
          <w:color w:val="000000"/>
          <w:spacing w:val="6"/>
          <w:sz w:val="24"/>
          <w:szCs w:val="24"/>
          <w:lang w:eastAsia="en-GB"/>
        </w:rPr>
        <w:t xml:space="preserve">calculating the equitable shares </w:t>
      </w:r>
      <w:r w:rsidR="008A6ED4" w:rsidRPr="00A6363B">
        <w:rPr>
          <w:rFonts w:ascii="Times New Roman" w:eastAsia="Times New Roman" w:hAnsi="Times New Roman" w:cs="Times New Roman"/>
          <w:color w:val="000000"/>
          <w:spacing w:val="6"/>
          <w:sz w:val="24"/>
          <w:szCs w:val="24"/>
          <w:lang w:eastAsia="en-GB"/>
        </w:rPr>
        <w:t>among the spheres of government;</w:t>
      </w:r>
      <w:r w:rsidRPr="00A6363B">
        <w:rPr>
          <w:rFonts w:ascii="Times New Roman" w:eastAsia="Times New Roman" w:hAnsi="Times New Roman" w:cs="Times New Roman"/>
          <w:color w:val="000000"/>
          <w:spacing w:val="6"/>
          <w:sz w:val="24"/>
          <w:szCs w:val="24"/>
          <w:lang w:eastAsia="en-GB"/>
        </w:rPr>
        <w:t xml:space="preserve"> </w:t>
      </w:r>
      <w:r w:rsidRPr="00A6363B">
        <w:rPr>
          <w:rFonts w:ascii="Times New Roman" w:eastAsia="Times New Roman" w:hAnsi="Times New Roman" w:cs="Times New Roman"/>
          <w:color w:val="000000"/>
          <w:spacing w:val="6"/>
          <w:sz w:val="24"/>
          <w:szCs w:val="24"/>
          <w:lang w:eastAsia="en-GB"/>
        </w:rPr>
        <w:lastRenderedPageBreak/>
        <w:t>funding for the district municipalities</w:t>
      </w:r>
      <w:r w:rsidR="008A6ED4" w:rsidRPr="00A6363B">
        <w:rPr>
          <w:rFonts w:ascii="Times New Roman" w:eastAsia="Times New Roman" w:hAnsi="Times New Roman" w:cs="Times New Roman"/>
          <w:color w:val="000000"/>
          <w:spacing w:val="6"/>
          <w:sz w:val="24"/>
          <w:szCs w:val="24"/>
          <w:lang w:eastAsia="en-GB"/>
        </w:rPr>
        <w:t xml:space="preserve"> and</w:t>
      </w:r>
      <w:r w:rsidRPr="00A6363B">
        <w:rPr>
          <w:rFonts w:ascii="Times New Roman" w:eastAsia="Times New Roman" w:hAnsi="Times New Roman" w:cs="Times New Roman"/>
          <w:color w:val="000000"/>
          <w:spacing w:val="6"/>
          <w:sz w:val="24"/>
          <w:szCs w:val="24"/>
          <w:lang w:eastAsia="en-GB"/>
        </w:rPr>
        <w:t xml:space="preserve"> maintenance and repair of certain municipal infrastructure. </w:t>
      </w:r>
    </w:p>
    <w:p w:rsidR="002B213C" w:rsidRPr="00A6363B" w:rsidRDefault="002B213C" w:rsidP="00EE48C3">
      <w:pPr>
        <w:autoSpaceDE w:val="0"/>
        <w:autoSpaceDN w:val="0"/>
        <w:adjustRightInd w:val="0"/>
        <w:spacing w:after="0" w:line="360" w:lineRule="auto"/>
        <w:jc w:val="both"/>
        <w:rPr>
          <w:rFonts w:ascii="Times New Roman" w:hAnsi="Times New Roman" w:cs="Times New Roman"/>
          <w:sz w:val="24"/>
          <w:szCs w:val="24"/>
        </w:rPr>
      </w:pPr>
    </w:p>
    <w:p w:rsidR="002B213C" w:rsidRPr="00A6363B" w:rsidRDefault="002B213C" w:rsidP="00EE48C3">
      <w:pPr>
        <w:pStyle w:val="ListParagraph"/>
        <w:numPr>
          <w:ilvl w:val="0"/>
          <w:numId w:val="1"/>
        </w:numPr>
        <w:autoSpaceDE w:val="0"/>
        <w:autoSpaceDN w:val="0"/>
        <w:adjustRightInd w:val="0"/>
        <w:spacing w:after="0" w:line="360" w:lineRule="auto"/>
        <w:ind w:hanging="644"/>
        <w:jc w:val="both"/>
        <w:rPr>
          <w:rFonts w:ascii="Times New Roman" w:hAnsi="Times New Roman" w:cs="Times New Roman"/>
          <w:b/>
          <w:sz w:val="24"/>
          <w:szCs w:val="24"/>
        </w:rPr>
      </w:pPr>
      <w:r w:rsidRPr="00A6363B">
        <w:rPr>
          <w:rFonts w:ascii="Times New Roman" w:hAnsi="Times New Roman" w:cs="Times New Roman"/>
          <w:b/>
          <w:sz w:val="24"/>
          <w:szCs w:val="24"/>
        </w:rPr>
        <w:t>Recommendations</w:t>
      </w:r>
    </w:p>
    <w:p w:rsidR="002B213C" w:rsidRPr="00A6363B" w:rsidRDefault="002B213C"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hAnsi="Times New Roman" w:cs="Times New Roman"/>
          <w:sz w:val="24"/>
          <w:szCs w:val="24"/>
        </w:rPr>
        <w:t>8.1</w:t>
      </w:r>
      <w:r w:rsidRPr="00A6363B">
        <w:rPr>
          <w:rFonts w:ascii="Times New Roman" w:hAnsi="Times New Roman" w:cs="Times New Roman"/>
          <w:sz w:val="24"/>
          <w:szCs w:val="24"/>
        </w:rPr>
        <w:tab/>
      </w:r>
      <w:r w:rsidR="00BC786B" w:rsidRPr="00A6363B">
        <w:rPr>
          <w:rFonts w:ascii="Times New Roman" w:eastAsia="Times New Roman" w:hAnsi="Times New Roman" w:cs="Times New Roman"/>
          <w:color w:val="000000"/>
          <w:spacing w:val="6"/>
          <w:sz w:val="24"/>
          <w:szCs w:val="24"/>
          <w:lang w:eastAsia="en-GB"/>
        </w:rPr>
        <w:t>The r</w:t>
      </w:r>
      <w:r w:rsidRPr="00A6363B">
        <w:rPr>
          <w:rFonts w:ascii="Times New Roman" w:eastAsia="Times New Roman" w:hAnsi="Times New Roman" w:cs="Times New Roman"/>
          <w:color w:val="000000"/>
          <w:spacing w:val="6"/>
          <w:sz w:val="24"/>
          <w:szCs w:val="24"/>
          <w:lang w:eastAsia="en-GB"/>
        </w:rPr>
        <w:t xml:space="preserve">eprioritisation of funds </w:t>
      </w:r>
      <w:r w:rsidR="00BC786B" w:rsidRPr="00A6363B">
        <w:rPr>
          <w:rFonts w:ascii="Times New Roman" w:eastAsia="Times New Roman" w:hAnsi="Times New Roman" w:cs="Times New Roman"/>
          <w:color w:val="000000"/>
          <w:spacing w:val="6"/>
          <w:sz w:val="24"/>
          <w:szCs w:val="24"/>
          <w:lang w:eastAsia="en-GB"/>
        </w:rPr>
        <w:t xml:space="preserve">away </w:t>
      </w:r>
      <w:r w:rsidRPr="00A6363B">
        <w:rPr>
          <w:rFonts w:ascii="Times New Roman" w:eastAsia="Times New Roman" w:hAnsi="Times New Roman" w:cs="Times New Roman"/>
          <w:color w:val="000000"/>
          <w:spacing w:val="6"/>
          <w:sz w:val="24"/>
          <w:szCs w:val="24"/>
          <w:lang w:eastAsia="en-GB"/>
        </w:rPr>
        <w:t xml:space="preserve">from </w:t>
      </w:r>
      <w:r w:rsidR="00BC786B" w:rsidRPr="00A6363B">
        <w:rPr>
          <w:rFonts w:ascii="Times New Roman" w:eastAsia="Times New Roman" w:hAnsi="Times New Roman" w:cs="Times New Roman"/>
          <w:color w:val="000000"/>
          <w:spacing w:val="6"/>
          <w:sz w:val="24"/>
          <w:szCs w:val="24"/>
          <w:lang w:eastAsia="en-GB"/>
        </w:rPr>
        <w:t>under-</w:t>
      </w:r>
      <w:r w:rsidRPr="00A6363B">
        <w:rPr>
          <w:rFonts w:ascii="Times New Roman" w:eastAsia="Times New Roman" w:hAnsi="Times New Roman" w:cs="Times New Roman"/>
          <w:color w:val="000000"/>
          <w:spacing w:val="6"/>
          <w:sz w:val="24"/>
          <w:szCs w:val="24"/>
          <w:lang w:eastAsia="en-GB"/>
        </w:rPr>
        <w:t>spending conditional grants is not a sustainable practice in the long term</w:t>
      </w:r>
      <w:r w:rsidR="00BC786B"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and for this reason National Treasury and relevant sector departments should ensure that </w:t>
      </w:r>
      <w:r w:rsidR="00BC786B" w:rsidRPr="00A6363B">
        <w:rPr>
          <w:rFonts w:ascii="Times New Roman" w:eastAsia="Times New Roman" w:hAnsi="Times New Roman" w:cs="Times New Roman"/>
          <w:color w:val="000000"/>
          <w:spacing w:val="6"/>
          <w:sz w:val="24"/>
          <w:szCs w:val="24"/>
          <w:lang w:eastAsia="en-GB"/>
        </w:rPr>
        <w:t xml:space="preserve">they prioritise </w:t>
      </w:r>
      <w:r w:rsidRPr="00A6363B">
        <w:rPr>
          <w:rFonts w:ascii="Times New Roman" w:eastAsia="Times New Roman" w:hAnsi="Times New Roman" w:cs="Times New Roman"/>
          <w:color w:val="000000"/>
          <w:spacing w:val="6"/>
          <w:sz w:val="24"/>
          <w:szCs w:val="24"/>
          <w:lang w:eastAsia="en-GB"/>
        </w:rPr>
        <w:t>building capacity to spend the allocated funds.</w:t>
      </w:r>
    </w:p>
    <w:p w:rsidR="002B213C" w:rsidRPr="00A6363B" w:rsidRDefault="002B213C"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8.2</w:t>
      </w:r>
      <w:r w:rsidRPr="00A6363B">
        <w:rPr>
          <w:rFonts w:ascii="Times New Roman" w:eastAsia="Times New Roman" w:hAnsi="Times New Roman" w:cs="Times New Roman"/>
          <w:color w:val="000000"/>
          <w:spacing w:val="6"/>
          <w:sz w:val="24"/>
          <w:szCs w:val="24"/>
          <w:lang w:eastAsia="en-GB"/>
        </w:rPr>
        <w:tab/>
        <w:t xml:space="preserve">To ensure that the revisions in clauses 21(1), (2) and (4) of the Bill on the in-year conversions of allocations reduce inefficiencies in the </w:t>
      </w:r>
      <w:r w:rsidR="00BC786B" w:rsidRPr="00A6363B">
        <w:rPr>
          <w:rFonts w:ascii="Times New Roman" w:eastAsia="Times New Roman" w:hAnsi="Times New Roman" w:cs="Times New Roman"/>
          <w:color w:val="000000"/>
          <w:spacing w:val="6"/>
          <w:sz w:val="24"/>
          <w:szCs w:val="24"/>
          <w:lang w:eastAsia="en-GB"/>
        </w:rPr>
        <w:t xml:space="preserve">management of </w:t>
      </w:r>
      <w:r w:rsidRPr="00A6363B">
        <w:rPr>
          <w:rFonts w:ascii="Times New Roman" w:eastAsia="Times New Roman" w:hAnsi="Times New Roman" w:cs="Times New Roman"/>
          <w:color w:val="000000"/>
          <w:spacing w:val="6"/>
          <w:sz w:val="24"/>
          <w:szCs w:val="24"/>
          <w:lang w:eastAsia="en-GB"/>
        </w:rPr>
        <w:t>conditional grants, transferring officers should ascertain beforehand that recipients ha</w:t>
      </w:r>
      <w:r w:rsidR="00BC786B" w:rsidRPr="00A6363B">
        <w:rPr>
          <w:rFonts w:ascii="Times New Roman" w:eastAsia="Times New Roman" w:hAnsi="Times New Roman" w:cs="Times New Roman"/>
          <w:color w:val="000000"/>
          <w:spacing w:val="6"/>
          <w:sz w:val="24"/>
          <w:szCs w:val="24"/>
          <w:lang w:eastAsia="en-GB"/>
        </w:rPr>
        <w:t>ve</w:t>
      </w:r>
      <w:r w:rsidRPr="00A6363B">
        <w:rPr>
          <w:rFonts w:ascii="Times New Roman" w:eastAsia="Times New Roman" w:hAnsi="Times New Roman" w:cs="Times New Roman"/>
          <w:color w:val="000000"/>
          <w:spacing w:val="6"/>
          <w:sz w:val="24"/>
          <w:szCs w:val="24"/>
          <w:lang w:eastAsia="en-GB"/>
        </w:rPr>
        <w:t xml:space="preserve"> </w:t>
      </w:r>
      <w:r w:rsidR="00BC786B" w:rsidRPr="00A6363B">
        <w:rPr>
          <w:rFonts w:ascii="Times New Roman" w:eastAsia="Times New Roman" w:hAnsi="Times New Roman" w:cs="Times New Roman"/>
          <w:color w:val="000000"/>
          <w:spacing w:val="6"/>
          <w:sz w:val="24"/>
          <w:szCs w:val="24"/>
          <w:lang w:eastAsia="en-GB"/>
        </w:rPr>
        <w:t xml:space="preserve">the </w:t>
      </w:r>
      <w:r w:rsidRPr="00A6363B">
        <w:rPr>
          <w:rFonts w:ascii="Times New Roman" w:eastAsia="Times New Roman" w:hAnsi="Times New Roman" w:cs="Times New Roman"/>
          <w:color w:val="000000"/>
          <w:spacing w:val="6"/>
          <w:sz w:val="24"/>
          <w:szCs w:val="24"/>
          <w:lang w:eastAsia="en-GB"/>
        </w:rPr>
        <w:t>capacity to spend.</w:t>
      </w:r>
    </w:p>
    <w:p w:rsidR="002B213C" w:rsidRPr="00A6363B" w:rsidRDefault="002B213C"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8.3</w:t>
      </w:r>
      <w:r w:rsidRPr="00A6363B">
        <w:rPr>
          <w:rFonts w:ascii="Times New Roman" w:eastAsia="Times New Roman" w:hAnsi="Times New Roman" w:cs="Times New Roman"/>
          <w:color w:val="000000"/>
          <w:spacing w:val="6"/>
          <w:sz w:val="24"/>
          <w:szCs w:val="24"/>
          <w:lang w:eastAsia="en-GB"/>
        </w:rPr>
        <w:tab/>
        <w:t>National Treasury</w:t>
      </w:r>
      <w:r w:rsidR="00BC786B"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together with </w:t>
      </w:r>
      <w:r w:rsidR="00BC786B" w:rsidRPr="00A6363B">
        <w:rPr>
          <w:rFonts w:ascii="Times New Roman" w:eastAsia="Times New Roman" w:hAnsi="Times New Roman" w:cs="Times New Roman"/>
          <w:color w:val="000000"/>
          <w:spacing w:val="6"/>
          <w:sz w:val="24"/>
          <w:szCs w:val="24"/>
          <w:lang w:eastAsia="en-GB"/>
        </w:rPr>
        <w:t>the Department of Cooperative Governance and Traditional Affairs,</w:t>
      </w:r>
      <w:r w:rsidRPr="00A6363B">
        <w:rPr>
          <w:rFonts w:ascii="Times New Roman" w:eastAsia="Times New Roman" w:hAnsi="Times New Roman" w:cs="Times New Roman"/>
          <w:color w:val="000000"/>
          <w:spacing w:val="6"/>
          <w:sz w:val="24"/>
          <w:szCs w:val="24"/>
          <w:lang w:eastAsia="en-GB"/>
        </w:rPr>
        <w:t xml:space="preserve"> should ensure that municipalities with </w:t>
      </w:r>
      <w:r w:rsidR="00BC786B" w:rsidRPr="00A6363B">
        <w:rPr>
          <w:rFonts w:ascii="Times New Roman" w:eastAsia="Times New Roman" w:hAnsi="Times New Roman" w:cs="Times New Roman"/>
          <w:color w:val="000000"/>
          <w:spacing w:val="6"/>
          <w:sz w:val="24"/>
          <w:szCs w:val="24"/>
          <w:lang w:eastAsia="en-GB"/>
        </w:rPr>
        <w:t xml:space="preserve">a </w:t>
      </w:r>
      <w:r w:rsidRPr="00A6363B">
        <w:rPr>
          <w:rFonts w:ascii="Times New Roman" w:eastAsia="Times New Roman" w:hAnsi="Times New Roman" w:cs="Times New Roman"/>
          <w:color w:val="000000"/>
          <w:spacing w:val="6"/>
          <w:sz w:val="24"/>
          <w:szCs w:val="24"/>
          <w:lang w:eastAsia="en-GB"/>
        </w:rPr>
        <w:t>low revenue base are duly given technical and financial support</w:t>
      </w:r>
      <w:r w:rsidR="00BC786B"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where possible.</w:t>
      </w:r>
    </w:p>
    <w:p w:rsidR="002B213C" w:rsidRPr="00A6363B" w:rsidRDefault="002B213C"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8.4</w:t>
      </w:r>
      <w:r w:rsidRPr="00A6363B">
        <w:rPr>
          <w:rFonts w:ascii="Times New Roman" w:eastAsia="Times New Roman" w:hAnsi="Times New Roman" w:cs="Times New Roman"/>
          <w:color w:val="000000"/>
          <w:spacing w:val="6"/>
          <w:sz w:val="24"/>
          <w:szCs w:val="24"/>
          <w:lang w:eastAsia="en-GB"/>
        </w:rPr>
        <w:tab/>
        <w:t>Within 30 days after the adoption of th</w:t>
      </w:r>
      <w:r w:rsidR="00BC786B" w:rsidRPr="00A6363B">
        <w:rPr>
          <w:rFonts w:ascii="Times New Roman" w:eastAsia="Times New Roman" w:hAnsi="Times New Roman" w:cs="Times New Roman"/>
          <w:color w:val="000000"/>
          <w:spacing w:val="6"/>
          <w:sz w:val="24"/>
          <w:szCs w:val="24"/>
          <w:lang w:eastAsia="en-GB"/>
        </w:rPr>
        <w:t>is R</w:t>
      </w:r>
      <w:r w:rsidRPr="00A6363B">
        <w:rPr>
          <w:rFonts w:ascii="Times New Roman" w:eastAsia="Times New Roman" w:hAnsi="Times New Roman" w:cs="Times New Roman"/>
          <w:color w:val="000000"/>
          <w:spacing w:val="6"/>
          <w:sz w:val="24"/>
          <w:szCs w:val="24"/>
          <w:lang w:eastAsia="en-GB"/>
        </w:rPr>
        <w:t>eport by the House</w:t>
      </w:r>
      <w:r w:rsidR="00BC786B"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the Inter-Ministerial Task Team should provide </w:t>
      </w:r>
      <w:r w:rsidR="00BC786B" w:rsidRPr="00A6363B">
        <w:rPr>
          <w:rFonts w:ascii="Times New Roman" w:eastAsia="Times New Roman" w:hAnsi="Times New Roman" w:cs="Times New Roman"/>
          <w:color w:val="000000"/>
          <w:spacing w:val="6"/>
          <w:sz w:val="24"/>
          <w:szCs w:val="24"/>
          <w:lang w:eastAsia="en-GB"/>
        </w:rPr>
        <w:t>a</w:t>
      </w:r>
      <w:r w:rsidRPr="00A6363B">
        <w:rPr>
          <w:rFonts w:ascii="Times New Roman" w:eastAsia="Times New Roman" w:hAnsi="Times New Roman" w:cs="Times New Roman"/>
          <w:color w:val="000000"/>
          <w:spacing w:val="6"/>
          <w:sz w:val="24"/>
          <w:szCs w:val="24"/>
          <w:lang w:eastAsia="en-GB"/>
        </w:rPr>
        <w:t xml:space="preserve"> progress report on the resolution of issues between </w:t>
      </w:r>
      <w:r w:rsidR="007D7F04" w:rsidRPr="00A6363B">
        <w:rPr>
          <w:rFonts w:ascii="Times New Roman" w:eastAsia="Times New Roman" w:hAnsi="Times New Roman" w:cs="Times New Roman"/>
          <w:color w:val="000000"/>
          <w:spacing w:val="6"/>
          <w:sz w:val="24"/>
          <w:szCs w:val="24"/>
          <w:lang w:eastAsia="en-GB"/>
        </w:rPr>
        <w:t>Eskom</w:t>
      </w:r>
      <w:r w:rsidRPr="00A6363B">
        <w:rPr>
          <w:rFonts w:ascii="Times New Roman" w:eastAsia="Times New Roman" w:hAnsi="Times New Roman" w:cs="Times New Roman"/>
          <w:color w:val="000000"/>
          <w:spacing w:val="6"/>
          <w:sz w:val="24"/>
          <w:szCs w:val="24"/>
          <w:lang w:eastAsia="en-GB"/>
        </w:rPr>
        <w:t xml:space="preserve"> and Salga.</w:t>
      </w:r>
    </w:p>
    <w:p w:rsidR="002B213C" w:rsidRPr="00A6363B" w:rsidRDefault="002B213C"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8.5</w:t>
      </w:r>
      <w:r w:rsidRPr="00A6363B">
        <w:rPr>
          <w:rFonts w:ascii="Times New Roman" w:eastAsia="Times New Roman" w:hAnsi="Times New Roman" w:cs="Times New Roman"/>
          <w:color w:val="000000"/>
          <w:spacing w:val="6"/>
          <w:sz w:val="24"/>
          <w:szCs w:val="24"/>
          <w:lang w:eastAsia="en-GB"/>
        </w:rPr>
        <w:tab/>
      </w:r>
      <w:r w:rsidR="00BC786B" w:rsidRPr="00A6363B">
        <w:rPr>
          <w:rFonts w:ascii="Times New Roman" w:eastAsia="Times New Roman" w:hAnsi="Times New Roman" w:cs="Times New Roman"/>
          <w:color w:val="000000"/>
          <w:spacing w:val="6"/>
          <w:sz w:val="24"/>
          <w:szCs w:val="24"/>
          <w:lang w:eastAsia="en-GB"/>
        </w:rPr>
        <w:t xml:space="preserve">The Department of </w:t>
      </w:r>
      <w:r w:rsidR="00287790" w:rsidRPr="00A6363B">
        <w:rPr>
          <w:rFonts w:ascii="Times New Roman" w:eastAsia="Times New Roman" w:hAnsi="Times New Roman" w:cs="Times New Roman"/>
          <w:color w:val="000000"/>
          <w:spacing w:val="6"/>
          <w:sz w:val="24"/>
          <w:szCs w:val="24"/>
          <w:lang w:eastAsia="en-GB"/>
        </w:rPr>
        <w:t>Water and Sanitation</w:t>
      </w:r>
      <w:r w:rsidRPr="00A6363B">
        <w:rPr>
          <w:rFonts w:ascii="Times New Roman" w:eastAsia="Times New Roman" w:hAnsi="Times New Roman" w:cs="Times New Roman"/>
          <w:color w:val="000000"/>
          <w:spacing w:val="6"/>
          <w:sz w:val="24"/>
          <w:szCs w:val="24"/>
          <w:lang w:eastAsia="en-GB"/>
        </w:rPr>
        <w:t xml:space="preserve"> should report </w:t>
      </w:r>
      <w:r w:rsidR="001231BF" w:rsidRPr="00A6363B">
        <w:rPr>
          <w:rFonts w:ascii="Times New Roman" w:eastAsia="Times New Roman" w:hAnsi="Times New Roman" w:cs="Times New Roman"/>
          <w:color w:val="000000"/>
          <w:spacing w:val="6"/>
          <w:sz w:val="24"/>
          <w:szCs w:val="24"/>
          <w:lang w:eastAsia="en-GB"/>
        </w:rPr>
        <w:t>to the C</w:t>
      </w:r>
      <w:r w:rsidRPr="00A6363B">
        <w:rPr>
          <w:rFonts w:ascii="Times New Roman" w:eastAsia="Times New Roman" w:hAnsi="Times New Roman" w:cs="Times New Roman"/>
          <w:color w:val="000000"/>
          <w:spacing w:val="6"/>
          <w:sz w:val="24"/>
          <w:szCs w:val="24"/>
          <w:lang w:eastAsia="en-GB"/>
        </w:rPr>
        <w:t>ommittee</w:t>
      </w:r>
      <w:r w:rsidR="001231BF"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within three mon</w:t>
      </w:r>
      <w:r w:rsidR="001231BF" w:rsidRPr="00A6363B">
        <w:rPr>
          <w:rFonts w:ascii="Times New Roman" w:eastAsia="Times New Roman" w:hAnsi="Times New Roman" w:cs="Times New Roman"/>
          <w:color w:val="000000"/>
          <w:spacing w:val="6"/>
          <w:sz w:val="24"/>
          <w:szCs w:val="24"/>
          <w:lang w:eastAsia="en-GB"/>
        </w:rPr>
        <w:t>ths after the adoption of this R</w:t>
      </w:r>
      <w:r w:rsidRPr="00A6363B">
        <w:rPr>
          <w:rFonts w:ascii="Times New Roman" w:eastAsia="Times New Roman" w:hAnsi="Times New Roman" w:cs="Times New Roman"/>
          <w:color w:val="000000"/>
          <w:spacing w:val="6"/>
          <w:sz w:val="24"/>
          <w:szCs w:val="24"/>
          <w:lang w:eastAsia="en-GB"/>
        </w:rPr>
        <w:t>eport by the House</w:t>
      </w:r>
      <w:r w:rsidR="001231BF"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about measures in place to mitigate against any uni</w:t>
      </w:r>
      <w:r w:rsidR="001231BF" w:rsidRPr="00A6363B">
        <w:rPr>
          <w:rFonts w:ascii="Times New Roman" w:eastAsia="Times New Roman" w:hAnsi="Times New Roman" w:cs="Times New Roman"/>
          <w:color w:val="000000"/>
          <w:spacing w:val="6"/>
          <w:sz w:val="24"/>
          <w:szCs w:val="24"/>
          <w:lang w:eastAsia="en-GB"/>
        </w:rPr>
        <w:t>n</w:t>
      </w:r>
      <w:r w:rsidRPr="00A6363B">
        <w:rPr>
          <w:rFonts w:ascii="Times New Roman" w:eastAsia="Times New Roman" w:hAnsi="Times New Roman" w:cs="Times New Roman"/>
          <w:color w:val="000000"/>
          <w:spacing w:val="6"/>
          <w:sz w:val="24"/>
          <w:szCs w:val="24"/>
          <w:lang w:eastAsia="en-GB"/>
        </w:rPr>
        <w:t xml:space="preserve">tended consequences of the termination of </w:t>
      </w:r>
      <w:r w:rsidR="001231BF" w:rsidRPr="00A6363B">
        <w:rPr>
          <w:rFonts w:ascii="Times New Roman" w:eastAsia="Times New Roman" w:hAnsi="Times New Roman" w:cs="Times New Roman"/>
          <w:color w:val="000000"/>
          <w:spacing w:val="6"/>
          <w:sz w:val="24"/>
          <w:szCs w:val="24"/>
          <w:lang w:eastAsia="en-GB"/>
        </w:rPr>
        <w:t>the B</w:t>
      </w:r>
      <w:r w:rsidRPr="00A6363B">
        <w:rPr>
          <w:rFonts w:ascii="Times New Roman" w:eastAsia="Times New Roman" w:hAnsi="Times New Roman" w:cs="Times New Roman"/>
          <w:color w:val="000000"/>
          <w:spacing w:val="6"/>
          <w:sz w:val="24"/>
          <w:szCs w:val="24"/>
          <w:lang w:eastAsia="en-GB"/>
        </w:rPr>
        <w:t xml:space="preserve">ucket </w:t>
      </w:r>
      <w:r w:rsidR="001231BF" w:rsidRPr="00A6363B">
        <w:rPr>
          <w:rFonts w:ascii="Times New Roman" w:eastAsia="Times New Roman" w:hAnsi="Times New Roman" w:cs="Times New Roman"/>
          <w:color w:val="000000"/>
          <w:spacing w:val="6"/>
          <w:sz w:val="24"/>
          <w:szCs w:val="24"/>
          <w:lang w:eastAsia="en-GB"/>
        </w:rPr>
        <w:t>Eradication G</w:t>
      </w:r>
      <w:r w:rsidRPr="00A6363B">
        <w:rPr>
          <w:rFonts w:ascii="Times New Roman" w:eastAsia="Times New Roman" w:hAnsi="Times New Roman" w:cs="Times New Roman"/>
          <w:color w:val="000000"/>
          <w:spacing w:val="6"/>
          <w:sz w:val="24"/>
          <w:szCs w:val="24"/>
          <w:lang w:eastAsia="en-GB"/>
        </w:rPr>
        <w:t xml:space="preserve">rant. </w:t>
      </w:r>
      <w:r w:rsidR="00287790" w:rsidRPr="00A6363B">
        <w:rPr>
          <w:rFonts w:ascii="Times New Roman" w:eastAsia="Times New Roman" w:hAnsi="Times New Roman" w:cs="Times New Roman"/>
          <w:color w:val="000000"/>
          <w:spacing w:val="6"/>
          <w:sz w:val="24"/>
          <w:szCs w:val="24"/>
          <w:lang w:eastAsia="en-GB"/>
        </w:rPr>
        <w:t>Given</w:t>
      </w:r>
      <w:r w:rsidRPr="00A6363B">
        <w:rPr>
          <w:rFonts w:ascii="Times New Roman" w:eastAsia="Times New Roman" w:hAnsi="Times New Roman" w:cs="Times New Roman"/>
          <w:color w:val="000000"/>
          <w:spacing w:val="6"/>
          <w:sz w:val="24"/>
          <w:szCs w:val="24"/>
          <w:lang w:eastAsia="en-GB"/>
        </w:rPr>
        <w:t xml:space="preserve"> the current rapid increase in informal settlements in some areas.</w:t>
      </w:r>
    </w:p>
    <w:p w:rsidR="002B213C" w:rsidRPr="00A6363B" w:rsidRDefault="002B213C"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8.6</w:t>
      </w:r>
      <w:r w:rsidRPr="00A6363B">
        <w:rPr>
          <w:rFonts w:ascii="Times New Roman" w:eastAsia="Times New Roman" w:hAnsi="Times New Roman" w:cs="Times New Roman"/>
          <w:color w:val="000000"/>
          <w:spacing w:val="6"/>
          <w:sz w:val="24"/>
          <w:szCs w:val="24"/>
          <w:lang w:eastAsia="en-GB"/>
        </w:rPr>
        <w:tab/>
        <w:t>Within three mon</w:t>
      </w:r>
      <w:r w:rsidR="001231BF" w:rsidRPr="00A6363B">
        <w:rPr>
          <w:rFonts w:ascii="Times New Roman" w:eastAsia="Times New Roman" w:hAnsi="Times New Roman" w:cs="Times New Roman"/>
          <w:color w:val="000000"/>
          <w:spacing w:val="6"/>
          <w:sz w:val="24"/>
          <w:szCs w:val="24"/>
          <w:lang w:eastAsia="en-GB"/>
        </w:rPr>
        <w:t>ths after the adoption of this R</w:t>
      </w:r>
      <w:r w:rsidRPr="00A6363B">
        <w:rPr>
          <w:rFonts w:ascii="Times New Roman" w:eastAsia="Times New Roman" w:hAnsi="Times New Roman" w:cs="Times New Roman"/>
          <w:color w:val="000000"/>
          <w:spacing w:val="6"/>
          <w:sz w:val="24"/>
          <w:szCs w:val="24"/>
          <w:lang w:eastAsia="en-GB"/>
        </w:rPr>
        <w:t>eport by the House</w:t>
      </w:r>
      <w:r w:rsidR="001231BF" w:rsidRPr="00A6363B">
        <w:rPr>
          <w:rFonts w:ascii="Times New Roman" w:eastAsia="Times New Roman" w:hAnsi="Times New Roman" w:cs="Times New Roman"/>
          <w:color w:val="000000"/>
          <w:spacing w:val="6"/>
          <w:sz w:val="24"/>
          <w:szCs w:val="24"/>
          <w:lang w:eastAsia="en-GB"/>
        </w:rPr>
        <w:t>,</w:t>
      </w:r>
      <w:r w:rsidRPr="00A6363B">
        <w:rPr>
          <w:rFonts w:ascii="Times New Roman" w:eastAsia="Times New Roman" w:hAnsi="Times New Roman" w:cs="Times New Roman"/>
          <w:color w:val="000000"/>
          <w:spacing w:val="6"/>
          <w:sz w:val="24"/>
          <w:szCs w:val="24"/>
          <w:lang w:eastAsia="en-GB"/>
        </w:rPr>
        <w:t xml:space="preserve"> both National Treasury and </w:t>
      </w:r>
      <w:r w:rsidR="00BC786B" w:rsidRPr="00A6363B">
        <w:rPr>
          <w:rFonts w:ascii="Times New Roman" w:eastAsia="Times New Roman" w:hAnsi="Times New Roman" w:cs="Times New Roman"/>
          <w:color w:val="000000"/>
          <w:spacing w:val="6"/>
          <w:sz w:val="24"/>
          <w:szCs w:val="24"/>
          <w:lang w:eastAsia="en-GB"/>
        </w:rPr>
        <w:t xml:space="preserve">the Department of Cooperative Governance </w:t>
      </w:r>
      <w:r w:rsidRPr="00A6363B">
        <w:rPr>
          <w:rFonts w:ascii="Times New Roman" w:eastAsia="Times New Roman" w:hAnsi="Times New Roman" w:cs="Times New Roman"/>
          <w:color w:val="000000"/>
          <w:spacing w:val="6"/>
          <w:sz w:val="24"/>
          <w:szCs w:val="24"/>
          <w:lang w:eastAsia="en-GB"/>
        </w:rPr>
        <w:t xml:space="preserve">should report to the </w:t>
      </w:r>
      <w:r w:rsidR="001231BF" w:rsidRPr="00A6363B">
        <w:rPr>
          <w:rFonts w:ascii="Times New Roman" w:eastAsia="Times New Roman" w:hAnsi="Times New Roman" w:cs="Times New Roman"/>
          <w:color w:val="000000"/>
          <w:spacing w:val="6"/>
          <w:sz w:val="24"/>
          <w:szCs w:val="24"/>
          <w:lang w:eastAsia="en-GB"/>
        </w:rPr>
        <w:t>C</w:t>
      </w:r>
      <w:r w:rsidRPr="00A6363B">
        <w:rPr>
          <w:rFonts w:ascii="Times New Roman" w:eastAsia="Times New Roman" w:hAnsi="Times New Roman" w:cs="Times New Roman"/>
          <w:color w:val="000000"/>
          <w:spacing w:val="6"/>
          <w:sz w:val="24"/>
          <w:szCs w:val="24"/>
          <w:lang w:eastAsia="en-GB"/>
        </w:rPr>
        <w:t xml:space="preserve">ommittee about the measures that might be considered to address the </w:t>
      </w:r>
      <w:r w:rsidR="009E5156" w:rsidRPr="00A6363B">
        <w:rPr>
          <w:rFonts w:ascii="Times New Roman" w:eastAsia="Times New Roman" w:hAnsi="Times New Roman" w:cs="Times New Roman"/>
          <w:color w:val="000000"/>
          <w:spacing w:val="6"/>
          <w:sz w:val="24"/>
          <w:szCs w:val="24"/>
          <w:lang w:eastAsia="en-GB"/>
        </w:rPr>
        <w:t>municipal</w:t>
      </w:r>
      <w:r w:rsidR="005F41E7" w:rsidRPr="00A6363B">
        <w:rPr>
          <w:rFonts w:ascii="Times New Roman" w:eastAsia="Times New Roman" w:hAnsi="Times New Roman" w:cs="Times New Roman"/>
          <w:color w:val="000000"/>
          <w:spacing w:val="6"/>
          <w:sz w:val="24"/>
          <w:szCs w:val="24"/>
          <w:lang w:eastAsia="en-GB"/>
        </w:rPr>
        <w:t>ities’ electricity</w:t>
      </w:r>
      <w:r w:rsidR="009E5156" w:rsidRPr="00A6363B">
        <w:rPr>
          <w:rFonts w:ascii="Times New Roman" w:eastAsia="Times New Roman" w:hAnsi="Times New Roman" w:cs="Times New Roman"/>
          <w:color w:val="000000"/>
          <w:spacing w:val="6"/>
          <w:sz w:val="24"/>
          <w:szCs w:val="24"/>
          <w:lang w:eastAsia="en-GB"/>
        </w:rPr>
        <w:t xml:space="preserve"> </w:t>
      </w:r>
      <w:r w:rsidRPr="00A6363B">
        <w:rPr>
          <w:rFonts w:ascii="Times New Roman" w:eastAsia="Times New Roman" w:hAnsi="Times New Roman" w:cs="Times New Roman"/>
          <w:color w:val="000000"/>
          <w:spacing w:val="6"/>
          <w:sz w:val="24"/>
          <w:szCs w:val="24"/>
          <w:lang w:eastAsia="en-GB"/>
        </w:rPr>
        <w:t>debt</w:t>
      </w:r>
      <w:r w:rsidR="009E5156" w:rsidRPr="00A6363B">
        <w:rPr>
          <w:rFonts w:ascii="Times New Roman" w:eastAsia="Times New Roman" w:hAnsi="Times New Roman" w:cs="Times New Roman"/>
          <w:color w:val="000000"/>
          <w:spacing w:val="6"/>
          <w:sz w:val="24"/>
          <w:szCs w:val="24"/>
          <w:lang w:eastAsia="en-GB"/>
        </w:rPr>
        <w:t xml:space="preserve"> to Eskom</w:t>
      </w:r>
      <w:r w:rsidRPr="00A6363B">
        <w:rPr>
          <w:rFonts w:ascii="Times New Roman" w:eastAsia="Times New Roman" w:hAnsi="Times New Roman" w:cs="Times New Roman"/>
          <w:color w:val="000000"/>
          <w:spacing w:val="6"/>
          <w:sz w:val="24"/>
          <w:szCs w:val="24"/>
          <w:lang w:eastAsia="en-GB"/>
        </w:rPr>
        <w:t>.</w:t>
      </w:r>
    </w:p>
    <w:p w:rsidR="009E5156" w:rsidRPr="00A6363B" w:rsidRDefault="002B213C"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8.7</w:t>
      </w:r>
      <w:r w:rsidRPr="00A6363B">
        <w:rPr>
          <w:rFonts w:ascii="Times New Roman" w:eastAsia="Times New Roman" w:hAnsi="Times New Roman" w:cs="Times New Roman"/>
          <w:color w:val="000000"/>
          <w:spacing w:val="6"/>
          <w:sz w:val="24"/>
          <w:szCs w:val="24"/>
          <w:lang w:eastAsia="en-GB"/>
        </w:rPr>
        <w:tab/>
      </w:r>
      <w:r w:rsidR="009E5156" w:rsidRPr="00A6363B">
        <w:rPr>
          <w:rFonts w:ascii="Times New Roman" w:eastAsia="Times New Roman" w:hAnsi="Times New Roman" w:cs="Times New Roman"/>
          <w:color w:val="000000"/>
          <w:spacing w:val="6"/>
          <w:sz w:val="24"/>
          <w:szCs w:val="24"/>
          <w:lang w:eastAsia="en-GB"/>
        </w:rPr>
        <w:t xml:space="preserve">Within three months after the adoption of this Report by the House, the Department of Public Works, National Treasury and </w:t>
      </w:r>
      <w:r w:rsidR="00BF5E7A" w:rsidRPr="00A6363B">
        <w:rPr>
          <w:rFonts w:ascii="Times New Roman" w:eastAsia="Times New Roman" w:hAnsi="Times New Roman" w:cs="Times New Roman"/>
          <w:color w:val="000000"/>
          <w:spacing w:val="6"/>
          <w:sz w:val="24"/>
          <w:szCs w:val="24"/>
          <w:lang w:eastAsia="en-GB"/>
        </w:rPr>
        <w:t xml:space="preserve">the </w:t>
      </w:r>
      <w:r w:rsidR="009E5156" w:rsidRPr="00A6363B">
        <w:rPr>
          <w:rFonts w:ascii="Times New Roman" w:eastAsia="Times New Roman" w:hAnsi="Times New Roman" w:cs="Times New Roman"/>
          <w:color w:val="000000"/>
          <w:spacing w:val="6"/>
          <w:sz w:val="24"/>
          <w:szCs w:val="24"/>
          <w:lang w:eastAsia="en-GB"/>
        </w:rPr>
        <w:t>Department of Cooperative Governance should report to the Committee about the measures that might be considered to address the national and provincial departments</w:t>
      </w:r>
      <w:r w:rsidR="00BF5E7A" w:rsidRPr="00A6363B">
        <w:rPr>
          <w:rFonts w:ascii="Times New Roman" w:eastAsia="Times New Roman" w:hAnsi="Times New Roman" w:cs="Times New Roman"/>
          <w:color w:val="000000"/>
          <w:spacing w:val="6"/>
          <w:sz w:val="24"/>
          <w:szCs w:val="24"/>
          <w:lang w:eastAsia="en-GB"/>
        </w:rPr>
        <w:t>’</w:t>
      </w:r>
      <w:r w:rsidR="009E5156" w:rsidRPr="00A6363B">
        <w:rPr>
          <w:rFonts w:ascii="Times New Roman" w:eastAsia="Times New Roman" w:hAnsi="Times New Roman" w:cs="Times New Roman"/>
          <w:color w:val="000000"/>
          <w:spacing w:val="6"/>
          <w:sz w:val="24"/>
          <w:szCs w:val="24"/>
          <w:lang w:eastAsia="en-GB"/>
        </w:rPr>
        <w:t xml:space="preserve"> debt to municipalities</w:t>
      </w:r>
      <w:r w:rsidR="005F41E7" w:rsidRPr="00A6363B">
        <w:rPr>
          <w:rFonts w:ascii="Times New Roman" w:eastAsia="Times New Roman" w:hAnsi="Times New Roman" w:cs="Times New Roman"/>
          <w:color w:val="000000"/>
          <w:spacing w:val="6"/>
          <w:sz w:val="24"/>
          <w:szCs w:val="24"/>
          <w:lang w:eastAsia="en-GB"/>
        </w:rPr>
        <w:t xml:space="preserve">. </w:t>
      </w:r>
    </w:p>
    <w:p w:rsidR="002B213C" w:rsidRPr="00A6363B" w:rsidRDefault="009E5156" w:rsidP="00EE48C3">
      <w:pPr>
        <w:spacing w:after="0" w:line="360" w:lineRule="auto"/>
        <w:ind w:left="709" w:hanging="709"/>
        <w:jc w:val="both"/>
        <w:rPr>
          <w:rFonts w:ascii="Times New Roman" w:eastAsia="Times New Roman" w:hAnsi="Times New Roman" w:cs="Times New Roman"/>
          <w:color w:val="000000"/>
          <w:spacing w:val="6"/>
          <w:sz w:val="24"/>
          <w:szCs w:val="24"/>
          <w:lang w:eastAsia="en-GB"/>
        </w:rPr>
      </w:pPr>
      <w:r w:rsidRPr="00A6363B">
        <w:rPr>
          <w:rFonts w:ascii="Times New Roman" w:eastAsia="Times New Roman" w:hAnsi="Times New Roman" w:cs="Times New Roman"/>
          <w:color w:val="000000"/>
          <w:spacing w:val="6"/>
          <w:sz w:val="24"/>
          <w:szCs w:val="24"/>
          <w:lang w:eastAsia="en-GB"/>
        </w:rPr>
        <w:t>8.8</w:t>
      </w:r>
      <w:r w:rsidRPr="00A6363B">
        <w:rPr>
          <w:rFonts w:ascii="Times New Roman" w:eastAsia="Times New Roman" w:hAnsi="Times New Roman" w:cs="Times New Roman"/>
          <w:color w:val="000000"/>
          <w:spacing w:val="6"/>
          <w:sz w:val="24"/>
          <w:szCs w:val="24"/>
          <w:lang w:eastAsia="en-GB"/>
        </w:rPr>
        <w:tab/>
      </w:r>
      <w:r w:rsidR="002B213C" w:rsidRPr="00A6363B">
        <w:rPr>
          <w:rFonts w:ascii="Times New Roman" w:eastAsia="Times New Roman" w:hAnsi="Times New Roman" w:cs="Times New Roman"/>
          <w:color w:val="000000"/>
          <w:spacing w:val="6"/>
          <w:sz w:val="24"/>
          <w:szCs w:val="24"/>
          <w:lang w:eastAsia="en-GB"/>
        </w:rPr>
        <w:t>National Treasury should</w:t>
      </w:r>
      <w:r w:rsidR="001231BF" w:rsidRPr="00A6363B">
        <w:rPr>
          <w:rFonts w:ascii="Times New Roman" w:eastAsia="Times New Roman" w:hAnsi="Times New Roman" w:cs="Times New Roman"/>
          <w:color w:val="000000"/>
          <w:spacing w:val="6"/>
          <w:sz w:val="24"/>
          <w:szCs w:val="24"/>
          <w:lang w:eastAsia="en-GB"/>
        </w:rPr>
        <w:t>,</w:t>
      </w:r>
      <w:r w:rsidR="002B213C" w:rsidRPr="00A6363B">
        <w:rPr>
          <w:rFonts w:ascii="Times New Roman" w:eastAsia="Times New Roman" w:hAnsi="Times New Roman" w:cs="Times New Roman"/>
          <w:color w:val="000000"/>
          <w:spacing w:val="6"/>
          <w:sz w:val="24"/>
          <w:szCs w:val="24"/>
          <w:lang w:eastAsia="en-GB"/>
        </w:rPr>
        <w:t xml:space="preserve"> on </w:t>
      </w:r>
      <w:r w:rsidR="001231BF" w:rsidRPr="00A6363B">
        <w:rPr>
          <w:rFonts w:ascii="Times New Roman" w:eastAsia="Times New Roman" w:hAnsi="Times New Roman" w:cs="Times New Roman"/>
          <w:color w:val="000000"/>
          <w:spacing w:val="6"/>
          <w:sz w:val="24"/>
          <w:szCs w:val="24"/>
          <w:lang w:eastAsia="en-GB"/>
        </w:rPr>
        <w:t xml:space="preserve">a </w:t>
      </w:r>
      <w:r w:rsidR="002B213C" w:rsidRPr="00A6363B">
        <w:rPr>
          <w:rFonts w:ascii="Times New Roman" w:eastAsia="Times New Roman" w:hAnsi="Times New Roman" w:cs="Times New Roman"/>
          <w:color w:val="000000"/>
          <w:spacing w:val="6"/>
          <w:sz w:val="24"/>
          <w:szCs w:val="24"/>
          <w:lang w:eastAsia="en-GB"/>
        </w:rPr>
        <w:t>regular basis</w:t>
      </w:r>
      <w:r w:rsidR="001231BF" w:rsidRPr="00A6363B">
        <w:rPr>
          <w:rFonts w:ascii="Times New Roman" w:eastAsia="Times New Roman" w:hAnsi="Times New Roman" w:cs="Times New Roman"/>
          <w:color w:val="000000"/>
          <w:spacing w:val="6"/>
          <w:sz w:val="24"/>
          <w:szCs w:val="24"/>
          <w:lang w:eastAsia="en-GB"/>
        </w:rPr>
        <w:t>, report to the C</w:t>
      </w:r>
      <w:r w:rsidR="002B213C" w:rsidRPr="00A6363B">
        <w:rPr>
          <w:rFonts w:ascii="Times New Roman" w:eastAsia="Times New Roman" w:hAnsi="Times New Roman" w:cs="Times New Roman"/>
          <w:color w:val="000000"/>
          <w:spacing w:val="6"/>
          <w:sz w:val="24"/>
          <w:szCs w:val="24"/>
          <w:lang w:eastAsia="en-GB"/>
        </w:rPr>
        <w:t xml:space="preserve">ommittee on any progress with regard to the implementation of the Municipal Standard Chart of </w:t>
      </w:r>
      <w:r w:rsidR="002B213C" w:rsidRPr="00A6363B">
        <w:rPr>
          <w:rFonts w:ascii="Times New Roman" w:eastAsia="Times New Roman" w:hAnsi="Times New Roman" w:cs="Times New Roman"/>
          <w:color w:val="000000"/>
          <w:spacing w:val="6"/>
          <w:sz w:val="24"/>
          <w:szCs w:val="24"/>
          <w:lang w:eastAsia="en-GB"/>
        </w:rPr>
        <w:lastRenderedPageBreak/>
        <w:t>Accounts</w:t>
      </w:r>
      <w:r w:rsidR="001231BF" w:rsidRPr="00A6363B">
        <w:rPr>
          <w:rFonts w:ascii="Times New Roman" w:eastAsia="Times New Roman" w:hAnsi="Times New Roman" w:cs="Times New Roman"/>
          <w:color w:val="000000"/>
          <w:spacing w:val="6"/>
          <w:sz w:val="24"/>
          <w:szCs w:val="24"/>
          <w:lang w:eastAsia="en-GB"/>
        </w:rPr>
        <w:t>,</w:t>
      </w:r>
      <w:r w:rsidR="002B213C" w:rsidRPr="00A6363B">
        <w:rPr>
          <w:rFonts w:ascii="Times New Roman" w:eastAsia="Times New Roman" w:hAnsi="Times New Roman" w:cs="Times New Roman"/>
          <w:color w:val="000000"/>
          <w:spacing w:val="6"/>
          <w:sz w:val="24"/>
          <w:szCs w:val="24"/>
          <w:lang w:eastAsia="en-GB"/>
        </w:rPr>
        <w:t xml:space="preserve"> which is an attempt to improve the financial capacity of South African municipalities.</w:t>
      </w:r>
    </w:p>
    <w:p w:rsidR="002B213C" w:rsidRPr="00A6363B" w:rsidRDefault="002B213C" w:rsidP="00EE48C3">
      <w:pPr>
        <w:autoSpaceDE w:val="0"/>
        <w:autoSpaceDN w:val="0"/>
        <w:adjustRightInd w:val="0"/>
        <w:spacing w:after="0" w:line="360" w:lineRule="auto"/>
        <w:jc w:val="both"/>
        <w:rPr>
          <w:rFonts w:ascii="Times New Roman" w:hAnsi="Times New Roman" w:cs="Times New Roman"/>
          <w:sz w:val="24"/>
          <w:szCs w:val="24"/>
        </w:rPr>
      </w:pPr>
    </w:p>
    <w:p w:rsidR="002B213C" w:rsidRPr="00A6363B" w:rsidRDefault="002B213C" w:rsidP="00EE48C3">
      <w:pPr>
        <w:pStyle w:val="ListParagraph"/>
        <w:numPr>
          <w:ilvl w:val="0"/>
          <w:numId w:val="1"/>
        </w:numPr>
        <w:autoSpaceDE w:val="0"/>
        <w:autoSpaceDN w:val="0"/>
        <w:adjustRightInd w:val="0"/>
        <w:spacing w:after="0" w:line="360" w:lineRule="auto"/>
        <w:ind w:hanging="644"/>
        <w:jc w:val="both"/>
        <w:rPr>
          <w:rFonts w:ascii="Times New Roman" w:hAnsi="Times New Roman" w:cs="Times New Roman"/>
          <w:b/>
          <w:sz w:val="24"/>
          <w:szCs w:val="24"/>
        </w:rPr>
      </w:pPr>
      <w:r w:rsidRPr="00A6363B">
        <w:rPr>
          <w:rFonts w:ascii="Times New Roman" w:hAnsi="Times New Roman" w:cs="Times New Roman"/>
          <w:b/>
          <w:sz w:val="24"/>
          <w:szCs w:val="24"/>
        </w:rPr>
        <w:t>Conclusion</w:t>
      </w:r>
    </w:p>
    <w:p w:rsidR="002B213C" w:rsidRPr="00A6363B" w:rsidRDefault="002B213C"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 xml:space="preserve">Having considered the </w:t>
      </w:r>
      <w:r w:rsidRPr="00A6363B">
        <w:rPr>
          <w:rFonts w:ascii="Times New Roman" w:hAnsi="Times New Roman" w:cs="Times New Roman"/>
          <w:i/>
          <w:sz w:val="24"/>
          <w:szCs w:val="24"/>
        </w:rPr>
        <w:t>Division of Revenue Bill</w:t>
      </w:r>
      <w:r w:rsidRPr="00A6363B">
        <w:rPr>
          <w:rFonts w:ascii="Times New Roman" w:hAnsi="Times New Roman" w:cs="Times New Roman"/>
          <w:sz w:val="24"/>
          <w:szCs w:val="24"/>
        </w:rPr>
        <w:t xml:space="preserve"> [B4 - 2017] and submissions made by stakeholders and provinces, the Committee recommends the adoption of </w:t>
      </w:r>
      <w:r w:rsidRPr="00A6363B">
        <w:rPr>
          <w:rFonts w:ascii="Times New Roman" w:hAnsi="Times New Roman" w:cs="Times New Roman"/>
          <w:i/>
          <w:sz w:val="24"/>
          <w:szCs w:val="24"/>
        </w:rPr>
        <w:t>the Division of Revenue Bill</w:t>
      </w:r>
      <w:r w:rsidRPr="00A6363B">
        <w:rPr>
          <w:rFonts w:ascii="Times New Roman" w:hAnsi="Times New Roman" w:cs="Times New Roman"/>
          <w:sz w:val="24"/>
          <w:szCs w:val="24"/>
        </w:rPr>
        <w:t xml:space="preserve"> [B4 - 2017] without amendments.</w:t>
      </w:r>
    </w:p>
    <w:p w:rsidR="004C0414" w:rsidRPr="00A6363B" w:rsidRDefault="004C0414" w:rsidP="00EE48C3">
      <w:pPr>
        <w:autoSpaceDE w:val="0"/>
        <w:autoSpaceDN w:val="0"/>
        <w:adjustRightInd w:val="0"/>
        <w:spacing w:after="0" w:line="360" w:lineRule="auto"/>
        <w:jc w:val="both"/>
        <w:rPr>
          <w:rFonts w:ascii="Times New Roman" w:hAnsi="Times New Roman" w:cs="Times New Roman"/>
          <w:sz w:val="24"/>
          <w:szCs w:val="24"/>
        </w:rPr>
      </w:pPr>
    </w:p>
    <w:p w:rsidR="004C0414" w:rsidRPr="00A6363B" w:rsidRDefault="004C0414" w:rsidP="00EE48C3">
      <w:pPr>
        <w:autoSpaceDE w:val="0"/>
        <w:autoSpaceDN w:val="0"/>
        <w:adjustRightInd w:val="0"/>
        <w:spacing w:after="0" w:line="360" w:lineRule="auto"/>
        <w:jc w:val="both"/>
        <w:rPr>
          <w:rFonts w:ascii="Times New Roman" w:hAnsi="Times New Roman" w:cs="Times New Roman"/>
          <w:sz w:val="24"/>
          <w:szCs w:val="24"/>
        </w:rPr>
      </w:pPr>
      <w:r w:rsidRPr="00A6363B">
        <w:rPr>
          <w:rFonts w:ascii="Times New Roman" w:hAnsi="Times New Roman" w:cs="Times New Roman"/>
          <w:sz w:val="24"/>
          <w:szCs w:val="24"/>
        </w:rPr>
        <w:t>Report to be considered.</w:t>
      </w:r>
    </w:p>
    <w:p w:rsidR="00AB3D3B" w:rsidRPr="00A6363B" w:rsidRDefault="00AB3D3B" w:rsidP="00425AE3">
      <w:pPr>
        <w:autoSpaceDE w:val="0"/>
        <w:autoSpaceDN w:val="0"/>
        <w:adjustRightInd w:val="0"/>
        <w:spacing w:after="0" w:line="360" w:lineRule="auto"/>
        <w:jc w:val="both"/>
        <w:rPr>
          <w:rFonts w:ascii="Times New Roman" w:hAnsi="Times New Roman" w:cs="Times New Roman"/>
          <w:b/>
          <w:sz w:val="24"/>
          <w:szCs w:val="24"/>
        </w:rPr>
      </w:pPr>
    </w:p>
    <w:sectPr w:rsidR="00AB3D3B" w:rsidRPr="00A636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04" w:rsidRDefault="00B26A04" w:rsidP="00D32CE3">
      <w:pPr>
        <w:spacing w:after="0" w:line="240" w:lineRule="auto"/>
      </w:pPr>
      <w:r>
        <w:separator/>
      </w:r>
    </w:p>
  </w:endnote>
  <w:endnote w:type="continuationSeparator" w:id="0">
    <w:p w:rsidR="00B26A04" w:rsidRDefault="00B26A04" w:rsidP="00D3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03278"/>
      <w:docPartObj>
        <w:docPartGallery w:val="Page Numbers (Bottom of Page)"/>
        <w:docPartUnique/>
      </w:docPartObj>
    </w:sdtPr>
    <w:sdtEndPr>
      <w:rPr>
        <w:noProof/>
      </w:rPr>
    </w:sdtEndPr>
    <w:sdtContent>
      <w:p w:rsidR="00E52C5C" w:rsidRDefault="00E52C5C">
        <w:pPr>
          <w:pStyle w:val="Footer"/>
          <w:jc w:val="right"/>
        </w:pPr>
        <w:r>
          <w:fldChar w:fldCharType="begin"/>
        </w:r>
        <w:r>
          <w:instrText xml:space="preserve"> PAGE   \* MERGEFORMAT </w:instrText>
        </w:r>
        <w:r>
          <w:fldChar w:fldCharType="separate"/>
        </w:r>
        <w:r w:rsidR="00413438">
          <w:rPr>
            <w:noProof/>
          </w:rPr>
          <w:t>1</w:t>
        </w:r>
        <w:r>
          <w:rPr>
            <w:noProof/>
          </w:rPr>
          <w:fldChar w:fldCharType="end"/>
        </w:r>
      </w:p>
    </w:sdtContent>
  </w:sdt>
  <w:p w:rsidR="00E52C5C" w:rsidRDefault="00E5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04" w:rsidRDefault="00B26A04" w:rsidP="00D32CE3">
      <w:pPr>
        <w:spacing w:after="0" w:line="240" w:lineRule="auto"/>
      </w:pPr>
      <w:r>
        <w:separator/>
      </w:r>
    </w:p>
  </w:footnote>
  <w:footnote w:type="continuationSeparator" w:id="0">
    <w:p w:rsidR="00B26A04" w:rsidRDefault="00B26A04" w:rsidP="00D3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5C" w:rsidRDefault="00E52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2CD"/>
    <w:multiLevelType w:val="hybridMultilevel"/>
    <w:tmpl w:val="7B6C58F8"/>
    <w:lvl w:ilvl="0" w:tplc="2BE426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8A653B"/>
    <w:multiLevelType w:val="hybridMultilevel"/>
    <w:tmpl w:val="CF324F68"/>
    <w:lvl w:ilvl="0" w:tplc="B100CD58">
      <w:start w:val="1"/>
      <w:numFmt w:val="decimal"/>
      <w:lvlText w:val="%1."/>
      <w:lvlJc w:val="left"/>
      <w:pPr>
        <w:ind w:left="644" w:hanging="360"/>
      </w:pPr>
      <w:rPr>
        <w:rFonts w:ascii="Times New Roman" w:eastAsia="Times New Roman" w:hAnsi="Times New Roman" w:cs="Times New Roman" w:hint="default"/>
        <w:b/>
      </w:rPr>
    </w:lvl>
    <w:lvl w:ilvl="1" w:tplc="FB5470F2">
      <w:start w:val="1"/>
      <w:numFmt w:val="lowerLetter"/>
      <w:lvlText w:val="(%2)"/>
      <w:lvlJc w:val="left"/>
      <w:pPr>
        <w:tabs>
          <w:tab w:val="num" w:pos="2145"/>
        </w:tabs>
        <w:ind w:left="2145" w:hanging="106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3E71AF"/>
    <w:multiLevelType w:val="hybridMultilevel"/>
    <w:tmpl w:val="DDEEB8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1E7907"/>
    <w:multiLevelType w:val="hybridMultilevel"/>
    <w:tmpl w:val="560EB412"/>
    <w:lvl w:ilvl="0" w:tplc="CE4856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9B28D6"/>
    <w:multiLevelType w:val="hybridMultilevel"/>
    <w:tmpl w:val="B4C0B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12231B6"/>
    <w:multiLevelType w:val="hybridMultilevel"/>
    <w:tmpl w:val="071893FE"/>
    <w:lvl w:ilvl="0" w:tplc="7A4C3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BB50FE"/>
    <w:multiLevelType w:val="hybridMultilevel"/>
    <w:tmpl w:val="47FAB0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1C01E30"/>
    <w:multiLevelType w:val="hybridMultilevel"/>
    <w:tmpl w:val="9DD688F6"/>
    <w:lvl w:ilvl="0" w:tplc="6700F352">
      <w:start w:val="2"/>
      <w:numFmt w:val="bullet"/>
      <w:lvlText w:val="-"/>
      <w:lvlJc w:val="left"/>
      <w:pPr>
        <w:ind w:left="720" w:hanging="360"/>
      </w:pPr>
      <w:rPr>
        <w:rFonts w:ascii="Arial" w:eastAsiaTheme="minorHAnsi" w:hAnsi="Arial" w:cs="Aria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5243265"/>
    <w:multiLevelType w:val="hybridMultilevel"/>
    <w:tmpl w:val="8BAE3172"/>
    <w:lvl w:ilvl="0" w:tplc="151C5B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606112"/>
    <w:multiLevelType w:val="hybridMultilevel"/>
    <w:tmpl w:val="277C3E46"/>
    <w:lvl w:ilvl="0" w:tplc="6700F352">
      <w:start w:val="2"/>
      <w:numFmt w:val="bullet"/>
      <w:lvlText w:val="-"/>
      <w:lvlJc w:val="left"/>
      <w:pPr>
        <w:ind w:left="720" w:hanging="360"/>
      </w:pPr>
      <w:rPr>
        <w:rFonts w:ascii="Arial" w:eastAsiaTheme="minorHAnsi" w:hAnsi="Arial" w:cs="Aria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D771825"/>
    <w:multiLevelType w:val="multilevel"/>
    <w:tmpl w:val="FAEA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E6F48A3"/>
    <w:multiLevelType w:val="hybridMultilevel"/>
    <w:tmpl w:val="01C686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737A39"/>
    <w:multiLevelType w:val="hybridMultilevel"/>
    <w:tmpl w:val="4D4487A0"/>
    <w:lvl w:ilvl="0" w:tplc="6700F352">
      <w:start w:val="2"/>
      <w:numFmt w:val="bullet"/>
      <w:lvlText w:val="-"/>
      <w:lvlJc w:val="left"/>
      <w:pPr>
        <w:ind w:left="720" w:hanging="360"/>
      </w:pPr>
      <w:rPr>
        <w:rFonts w:ascii="Arial" w:eastAsiaTheme="minorHAnsi" w:hAnsi="Arial" w:cs="Aria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43424A2"/>
    <w:multiLevelType w:val="hybridMultilevel"/>
    <w:tmpl w:val="3FDE8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8F27F7C"/>
    <w:multiLevelType w:val="hybridMultilevel"/>
    <w:tmpl w:val="F59E70A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65430C45"/>
    <w:multiLevelType w:val="hybridMultilevel"/>
    <w:tmpl w:val="AFA24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BD3116C"/>
    <w:multiLevelType w:val="multilevel"/>
    <w:tmpl w:val="0F581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0"/>
  </w:num>
  <w:num w:numId="4">
    <w:abstractNumId w:val="13"/>
  </w:num>
  <w:num w:numId="5">
    <w:abstractNumId w:val="16"/>
  </w:num>
  <w:num w:numId="6">
    <w:abstractNumId w:val="9"/>
  </w:num>
  <w:num w:numId="7">
    <w:abstractNumId w:val="7"/>
  </w:num>
  <w:num w:numId="8">
    <w:abstractNumId w:val="12"/>
  </w:num>
  <w:num w:numId="9">
    <w:abstractNumId w:val="15"/>
  </w:num>
  <w:num w:numId="10">
    <w:abstractNumId w:val="14"/>
  </w:num>
  <w:num w:numId="11">
    <w:abstractNumId w:val="4"/>
  </w:num>
  <w:num w:numId="12">
    <w:abstractNumId w:val="5"/>
  </w:num>
  <w:num w:numId="13">
    <w:abstractNumId w:val="0"/>
  </w:num>
  <w:num w:numId="14">
    <w:abstractNumId w:val="8"/>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38"/>
    <w:rsid w:val="0000004E"/>
    <w:rsid w:val="000078BA"/>
    <w:rsid w:val="000147F5"/>
    <w:rsid w:val="00035284"/>
    <w:rsid w:val="0008220D"/>
    <w:rsid w:val="00090180"/>
    <w:rsid w:val="000B0F1C"/>
    <w:rsid w:val="000B7252"/>
    <w:rsid w:val="000C220B"/>
    <w:rsid w:val="000C2DDB"/>
    <w:rsid w:val="000D0BC0"/>
    <w:rsid w:val="000D3A3A"/>
    <w:rsid w:val="000D6E83"/>
    <w:rsid w:val="000D71C6"/>
    <w:rsid w:val="00101B58"/>
    <w:rsid w:val="0010765C"/>
    <w:rsid w:val="001231BF"/>
    <w:rsid w:val="0013204F"/>
    <w:rsid w:val="0015130D"/>
    <w:rsid w:val="00152876"/>
    <w:rsid w:val="00152C2A"/>
    <w:rsid w:val="0015497F"/>
    <w:rsid w:val="00166372"/>
    <w:rsid w:val="00166647"/>
    <w:rsid w:val="001671FA"/>
    <w:rsid w:val="00187CD5"/>
    <w:rsid w:val="0019378A"/>
    <w:rsid w:val="00197F5C"/>
    <w:rsid w:val="001A21D2"/>
    <w:rsid w:val="001A231C"/>
    <w:rsid w:val="001B334B"/>
    <w:rsid w:val="001B4A2C"/>
    <w:rsid w:val="001B54DA"/>
    <w:rsid w:val="001C65CD"/>
    <w:rsid w:val="001D00D9"/>
    <w:rsid w:val="001D2EA6"/>
    <w:rsid w:val="001D6B51"/>
    <w:rsid w:val="00200A9F"/>
    <w:rsid w:val="00216676"/>
    <w:rsid w:val="0021714D"/>
    <w:rsid w:val="00244283"/>
    <w:rsid w:val="002558E5"/>
    <w:rsid w:val="002572BE"/>
    <w:rsid w:val="00263580"/>
    <w:rsid w:val="00273473"/>
    <w:rsid w:val="00281AB1"/>
    <w:rsid w:val="00287790"/>
    <w:rsid w:val="002A3EC7"/>
    <w:rsid w:val="002A415C"/>
    <w:rsid w:val="002B18D5"/>
    <w:rsid w:val="002B213C"/>
    <w:rsid w:val="002C5A6E"/>
    <w:rsid w:val="002C7C86"/>
    <w:rsid w:val="002E1CF7"/>
    <w:rsid w:val="002E5F17"/>
    <w:rsid w:val="002F0DE3"/>
    <w:rsid w:val="002F79B4"/>
    <w:rsid w:val="00300E96"/>
    <w:rsid w:val="00301D90"/>
    <w:rsid w:val="00303B49"/>
    <w:rsid w:val="00312890"/>
    <w:rsid w:val="00313299"/>
    <w:rsid w:val="00325EC1"/>
    <w:rsid w:val="00326A06"/>
    <w:rsid w:val="003270DE"/>
    <w:rsid w:val="0036032C"/>
    <w:rsid w:val="00367566"/>
    <w:rsid w:val="00371AC8"/>
    <w:rsid w:val="00374354"/>
    <w:rsid w:val="003964E5"/>
    <w:rsid w:val="003A4185"/>
    <w:rsid w:val="003B3E55"/>
    <w:rsid w:val="003C6926"/>
    <w:rsid w:val="003D0853"/>
    <w:rsid w:val="00413438"/>
    <w:rsid w:val="00425AE3"/>
    <w:rsid w:val="00426370"/>
    <w:rsid w:val="00432456"/>
    <w:rsid w:val="00457F92"/>
    <w:rsid w:val="00463DEC"/>
    <w:rsid w:val="00475B42"/>
    <w:rsid w:val="004B0108"/>
    <w:rsid w:val="004B11D5"/>
    <w:rsid w:val="004B5A88"/>
    <w:rsid w:val="004C0414"/>
    <w:rsid w:val="004C499F"/>
    <w:rsid w:val="004D49CB"/>
    <w:rsid w:val="004E7C62"/>
    <w:rsid w:val="00506843"/>
    <w:rsid w:val="0051028D"/>
    <w:rsid w:val="00522885"/>
    <w:rsid w:val="00545527"/>
    <w:rsid w:val="005543C3"/>
    <w:rsid w:val="005565E0"/>
    <w:rsid w:val="00566B81"/>
    <w:rsid w:val="00572AE3"/>
    <w:rsid w:val="00583805"/>
    <w:rsid w:val="0059434B"/>
    <w:rsid w:val="0059443C"/>
    <w:rsid w:val="005B2B8A"/>
    <w:rsid w:val="005C2485"/>
    <w:rsid w:val="005C6169"/>
    <w:rsid w:val="005E1E7F"/>
    <w:rsid w:val="005E318A"/>
    <w:rsid w:val="005F41E7"/>
    <w:rsid w:val="005F53FA"/>
    <w:rsid w:val="00611957"/>
    <w:rsid w:val="0062405F"/>
    <w:rsid w:val="00626C5C"/>
    <w:rsid w:val="00663693"/>
    <w:rsid w:val="00676536"/>
    <w:rsid w:val="0068190B"/>
    <w:rsid w:val="00690892"/>
    <w:rsid w:val="00696252"/>
    <w:rsid w:val="006A420C"/>
    <w:rsid w:val="006C1B7F"/>
    <w:rsid w:val="006E67A2"/>
    <w:rsid w:val="006F02F6"/>
    <w:rsid w:val="006F556A"/>
    <w:rsid w:val="006F5F2B"/>
    <w:rsid w:val="007205B5"/>
    <w:rsid w:val="0072492E"/>
    <w:rsid w:val="00724F89"/>
    <w:rsid w:val="007567D9"/>
    <w:rsid w:val="00760986"/>
    <w:rsid w:val="00767689"/>
    <w:rsid w:val="00772C9F"/>
    <w:rsid w:val="00777F08"/>
    <w:rsid w:val="00785067"/>
    <w:rsid w:val="00790793"/>
    <w:rsid w:val="00797752"/>
    <w:rsid w:val="007A67FA"/>
    <w:rsid w:val="007B563F"/>
    <w:rsid w:val="007B6C0A"/>
    <w:rsid w:val="007C43CD"/>
    <w:rsid w:val="007C4CF4"/>
    <w:rsid w:val="007C6A29"/>
    <w:rsid w:val="007C7D16"/>
    <w:rsid w:val="007D0CAD"/>
    <w:rsid w:val="007D7F04"/>
    <w:rsid w:val="008007E7"/>
    <w:rsid w:val="0080704D"/>
    <w:rsid w:val="00815E87"/>
    <w:rsid w:val="00825703"/>
    <w:rsid w:val="00834E79"/>
    <w:rsid w:val="00861A7E"/>
    <w:rsid w:val="00882863"/>
    <w:rsid w:val="008901FD"/>
    <w:rsid w:val="008A6ED4"/>
    <w:rsid w:val="008B26AA"/>
    <w:rsid w:val="008C6F3E"/>
    <w:rsid w:val="008D714B"/>
    <w:rsid w:val="008E6FC9"/>
    <w:rsid w:val="008F2638"/>
    <w:rsid w:val="00905BFB"/>
    <w:rsid w:val="0090600A"/>
    <w:rsid w:val="00924A93"/>
    <w:rsid w:val="00941877"/>
    <w:rsid w:val="009618E3"/>
    <w:rsid w:val="0096224F"/>
    <w:rsid w:val="00967446"/>
    <w:rsid w:val="0097440F"/>
    <w:rsid w:val="009A4309"/>
    <w:rsid w:val="009B19E2"/>
    <w:rsid w:val="009C11B9"/>
    <w:rsid w:val="009C6037"/>
    <w:rsid w:val="009D10E2"/>
    <w:rsid w:val="009E5156"/>
    <w:rsid w:val="009E7230"/>
    <w:rsid w:val="009F5104"/>
    <w:rsid w:val="009F7F04"/>
    <w:rsid w:val="00A06008"/>
    <w:rsid w:val="00A12FFD"/>
    <w:rsid w:val="00A14723"/>
    <w:rsid w:val="00A30795"/>
    <w:rsid w:val="00A37220"/>
    <w:rsid w:val="00A4565F"/>
    <w:rsid w:val="00A6363B"/>
    <w:rsid w:val="00A82508"/>
    <w:rsid w:val="00A9646D"/>
    <w:rsid w:val="00AA46C3"/>
    <w:rsid w:val="00AA4DF5"/>
    <w:rsid w:val="00AB285B"/>
    <w:rsid w:val="00AB3D3B"/>
    <w:rsid w:val="00AB5E90"/>
    <w:rsid w:val="00AB66C8"/>
    <w:rsid w:val="00AB70F6"/>
    <w:rsid w:val="00AC043B"/>
    <w:rsid w:val="00AD1775"/>
    <w:rsid w:val="00B05FB9"/>
    <w:rsid w:val="00B247B0"/>
    <w:rsid w:val="00B26A04"/>
    <w:rsid w:val="00B30038"/>
    <w:rsid w:val="00B305C6"/>
    <w:rsid w:val="00B4214C"/>
    <w:rsid w:val="00B45F04"/>
    <w:rsid w:val="00B55878"/>
    <w:rsid w:val="00B725E5"/>
    <w:rsid w:val="00B85164"/>
    <w:rsid w:val="00B879BE"/>
    <w:rsid w:val="00B95C95"/>
    <w:rsid w:val="00BA59D4"/>
    <w:rsid w:val="00BB2E67"/>
    <w:rsid w:val="00BC0EEF"/>
    <w:rsid w:val="00BC1477"/>
    <w:rsid w:val="00BC2489"/>
    <w:rsid w:val="00BC72EA"/>
    <w:rsid w:val="00BC786B"/>
    <w:rsid w:val="00BD4190"/>
    <w:rsid w:val="00BD46A0"/>
    <w:rsid w:val="00BE5B55"/>
    <w:rsid w:val="00BF5E7A"/>
    <w:rsid w:val="00C0667C"/>
    <w:rsid w:val="00C12CD9"/>
    <w:rsid w:val="00C619B5"/>
    <w:rsid w:val="00C72DF7"/>
    <w:rsid w:val="00C819AF"/>
    <w:rsid w:val="00C8375F"/>
    <w:rsid w:val="00CA7F7B"/>
    <w:rsid w:val="00CB3634"/>
    <w:rsid w:val="00CC7989"/>
    <w:rsid w:val="00CF1D57"/>
    <w:rsid w:val="00D019E4"/>
    <w:rsid w:val="00D03432"/>
    <w:rsid w:val="00D21361"/>
    <w:rsid w:val="00D32CE3"/>
    <w:rsid w:val="00D40602"/>
    <w:rsid w:val="00D45FE2"/>
    <w:rsid w:val="00D47B89"/>
    <w:rsid w:val="00D50A8B"/>
    <w:rsid w:val="00D50CBB"/>
    <w:rsid w:val="00D54165"/>
    <w:rsid w:val="00D63CCC"/>
    <w:rsid w:val="00D70BCE"/>
    <w:rsid w:val="00D7635F"/>
    <w:rsid w:val="00DB1A1D"/>
    <w:rsid w:val="00DC220B"/>
    <w:rsid w:val="00DE2F60"/>
    <w:rsid w:val="00E013F5"/>
    <w:rsid w:val="00E0500B"/>
    <w:rsid w:val="00E2235F"/>
    <w:rsid w:val="00E446FB"/>
    <w:rsid w:val="00E46CCE"/>
    <w:rsid w:val="00E52C5C"/>
    <w:rsid w:val="00E53420"/>
    <w:rsid w:val="00E60B09"/>
    <w:rsid w:val="00E708CE"/>
    <w:rsid w:val="00E73753"/>
    <w:rsid w:val="00E90791"/>
    <w:rsid w:val="00E90BAA"/>
    <w:rsid w:val="00E95234"/>
    <w:rsid w:val="00EA5E36"/>
    <w:rsid w:val="00EA604B"/>
    <w:rsid w:val="00EB4521"/>
    <w:rsid w:val="00EC5115"/>
    <w:rsid w:val="00ED5629"/>
    <w:rsid w:val="00ED7E5D"/>
    <w:rsid w:val="00EE48C3"/>
    <w:rsid w:val="00EF3506"/>
    <w:rsid w:val="00F1160F"/>
    <w:rsid w:val="00F507EE"/>
    <w:rsid w:val="00F50B10"/>
    <w:rsid w:val="00F5200D"/>
    <w:rsid w:val="00F57302"/>
    <w:rsid w:val="00F657F1"/>
    <w:rsid w:val="00F66771"/>
    <w:rsid w:val="00F71FFE"/>
    <w:rsid w:val="00F75761"/>
    <w:rsid w:val="00F772F6"/>
    <w:rsid w:val="00F846BA"/>
    <w:rsid w:val="00F85D16"/>
    <w:rsid w:val="00F90454"/>
    <w:rsid w:val="00F9481A"/>
    <w:rsid w:val="00F95256"/>
    <w:rsid w:val="00F965E4"/>
    <w:rsid w:val="00FA3EA1"/>
    <w:rsid w:val="00FB15D8"/>
    <w:rsid w:val="00FD5361"/>
    <w:rsid w:val="00FF04B9"/>
    <w:rsid w:val="00FF7A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38"/>
    <w:pPr>
      <w:ind w:left="720"/>
      <w:contextualSpacing/>
    </w:pPr>
  </w:style>
  <w:style w:type="table" w:styleId="TableGrid">
    <w:name w:val="Table Grid"/>
    <w:basedOn w:val="TableNormal"/>
    <w:uiPriority w:val="39"/>
    <w:rsid w:val="002A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B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E3"/>
  </w:style>
  <w:style w:type="paragraph" w:styleId="Footer">
    <w:name w:val="footer"/>
    <w:basedOn w:val="Normal"/>
    <w:link w:val="FooterChar"/>
    <w:uiPriority w:val="99"/>
    <w:unhideWhenUsed/>
    <w:rsid w:val="00D3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E3"/>
  </w:style>
  <w:style w:type="paragraph" w:styleId="BalloonText">
    <w:name w:val="Balloon Text"/>
    <w:basedOn w:val="Normal"/>
    <w:link w:val="BalloonTextChar"/>
    <w:uiPriority w:val="99"/>
    <w:semiHidden/>
    <w:unhideWhenUsed/>
    <w:rsid w:val="0020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9F"/>
    <w:rPr>
      <w:rFonts w:ascii="Segoe UI" w:hAnsi="Segoe UI" w:cs="Segoe UI"/>
      <w:sz w:val="18"/>
      <w:szCs w:val="18"/>
    </w:rPr>
  </w:style>
  <w:style w:type="character" w:styleId="CommentReference">
    <w:name w:val="annotation reference"/>
    <w:basedOn w:val="DefaultParagraphFont"/>
    <w:uiPriority w:val="99"/>
    <w:semiHidden/>
    <w:unhideWhenUsed/>
    <w:rsid w:val="00200A9F"/>
    <w:rPr>
      <w:sz w:val="16"/>
      <w:szCs w:val="16"/>
    </w:rPr>
  </w:style>
  <w:style w:type="paragraph" w:styleId="CommentText">
    <w:name w:val="annotation text"/>
    <w:basedOn w:val="Normal"/>
    <w:link w:val="CommentTextChar"/>
    <w:uiPriority w:val="99"/>
    <w:semiHidden/>
    <w:unhideWhenUsed/>
    <w:rsid w:val="00200A9F"/>
    <w:pPr>
      <w:spacing w:line="240" w:lineRule="auto"/>
    </w:pPr>
    <w:rPr>
      <w:sz w:val="20"/>
      <w:szCs w:val="20"/>
    </w:rPr>
  </w:style>
  <w:style w:type="character" w:customStyle="1" w:styleId="CommentTextChar">
    <w:name w:val="Comment Text Char"/>
    <w:basedOn w:val="DefaultParagraphFont"/>
    <w:link w:val="CommentText"/>
    <w:uiPriority w:val="99"/>
    <w:semiHidden/>
    <w:rsid w:val="00200A9F"/>
    <w:rPr>
      <w:sz w:val="20"/>
      <w:szCs w:val="20"/>
    </w:rPr>
  </w:style>
  <w:style w:type="paragraph" w:styleId="CommentSubject">
    <w:name w:val="annotation subject"/>
    <w:basedOn w:val="CommentText"/>
    <w:next w:val="CommentText"/>
    <w:link w:val="CommentSubjectChar"/>
    <w:uiPriority w:val="99"/>
    <w:semiHidden/>
    <w:unhideWhenUsed/>
    <w:rsid w:val="00200A9F"/>
    <w:rPr>
      <w:b/>
      <w:bCs/>
    </w:rPr>
  </w:style>
  <w:style w:type="character" w:customStyle="1" w:styleId="CommentSubjectChar">
    <w:name w:val="Comment Subject Char"/>
    <w:basedOn w:val="CommentTextChar"/>
    <w:link w:val="CommentSubject"/>
    <w:uiPriority w:val="99"/>
    <w:semiHidden/>
    <w:rsid w:val="00200A9F"/>
    <w:rPr>
      <w:b/>
      <w:bCs/>
      <w:sz w:val="20"/>
      <w:szCs w:val="20"/>
    </w:rPr>
  </w:style>
  <w:style w:type="paragraph" w:styleId="Revision">
    <w:name w:val="Revision"/>
    <w:hidden/>
    <w:uiPriority w:val="99"/>
    <w:semiHidden/>
    <w:rsid w:val="00F952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38"/>
    <w:pPr>
      <w:ind w:left="720"/>
      <w:contextualSpacing/>
    </w:pPr>
  </w:style>
  <w:style w:type="table" w:styleId="TableGrid">
    <w:name w:val="Table Grid"/>
    <w:basedOn w:val="TableNormal"/>
    <w:uiPriority w:val="39"/>
    <w:rsid w:val="002A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B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E3"/>
  </w:style>
  <w:style w:type="paragraph" w:styleId="Footer">
    <w:name w:val="footer"/>
    <w:basedOn w:val="Normal"/>
    <w:link w:val="FooterChar"/>
    <w:uiPriority w:val="99"/>
    <w:unhideWhenUsed/>
    <w:rsid w:val="00D3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E3"/>
  </w:style>
  <w:style w:type="paragraph" w:styleId="BalloonText">
    <w:name w:val="Balloon Text"/>
    <w:basedOn w:val="Normal"/>
    <w:link w:val="BalloonTextChar"/>
    <w:uiPriority w:val="99"/>
    <w:semiHidden/>
    <w:unhideWhenUsed/>
    <w:rsid w:val="0020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9F"/>
    <w:rPr>
      <w:rFonts w:ascii="Segoe UI" w:hAnsi="Segoe UI" w:cs="Segoe UI"/>
      <w:sz w:val="18"/>
      <w:szCs w:val="18"/>
    </w:rPr>
  </w:style>
  <w:style w:type="character" w:styleId="CommentReference">
    <w:name w:val="annotation reference"/>
    <w:basedOn w:val="DefaultParagraphFont"/>
    <w:uiPriority w:val="99"/>
    <w:semiHidden/>
    <w:unhideWhenUsed/>
    <w:rsid w:val="00200A9F"/>
    <w:rPr>
      <w:sz w:val="16"/>
      <w:szCs w:val="16"/>
    </w:rPr>
  </w:style>
  <w:style w:type="paragraph" w:styleId="CommentText">
    <w:name w:val="annotation text"/>
    <w:basedOn w:val="Normal"/>
    <w:link w:val="CommentTextChar"/>
    <w:uiPriority w:val="99"/>
    <w:semiHidden/>
    <w:unhideWhenUsed/>
    <w:rsid w:val="00200A9F"/>
    <w:pPr>
      <w:spacing w:line="240" w:lineRule="auto"/>
    </w:pPr>
    <w:rPr>
      <w:sz w:val="20"/>
      <w:szCs w:val="20"/>
    </w:rPr>
  </w:style>
  <w:style w:type="character" w:customStyle="1" w:styleId="CommentTextChar">
    <w:name w:val="Comment Text Char"/>
    <w:basedOn w:val="DefaultParagraphFont"/>
    <w:link w:val="CommentText"/>
    <w:uiPriority w:val="99"/>
    <w:semiHidden/>
    <w:rsid w:val="00200A9F"/>
    <w:rPr>
      <w:sz w:val="20"/>
      <w:szCs w:val="20"/>
    </w:rPr>
  </w:style>
  <w:style w:type="paragraph" w:styleId="CommentSubject">
    <w:name w:val="annotation subject"/>
    <w:basedOn w:val="CommentText"/>
    <w:next w:val="CommentText"/>
    <w:link w:val="CommentSubjectChar"/>
    <w:uiPriority w:val="99"/>
    <w:semiHidden/>
    <w:unhideWhenUsed/>
    <w:rsid w:val="00200A9F"/>
    <w:rPr>
      <w:b/>
      <w:bCs/>
    </w:rPr>
  </w:style>
  <w:style w:type="character" w:customStyle="1" w:styleId="CommentSubjectChar">
    <w:name w:val="Comment Subject Char"/>
    <w:basedOn w:val="CommentTextChar"/>
    <w:link w:val="CommentSubject"/>
    <w:uiPriority w:val="99"/>
    <w:semiHidden/>
    <w:rsid w:val="00200A9F"/>
    <w:rPr>
      <w:b/>
      <w:bCs/>
      <w:sz w:val="20"/>
      <w:szCs w:val="20"/>
    </w:rPr>
  </w:style>
  <w:style w:type="paragraph" w:styleId="Revision">
    <w:name w:val="Revision"/>
    <w:hidden/>
    <w:uiPriority w:val="99"/>
    <w:semiHidden/>
    <w:rsid w:val="00F95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254">
      <w:bodyDiv w:val="1"/>
      <w:marLeft w:val="0"/>
      <w:marRight w:val="0"/>
      <w:marTop w:val="0"/>
      <w:marBottom w:val="0"/>
      <w:divBdr>
        <w:top w:val="none" w:sz="0" w:space="0" w:color="auto"/>
        <w:left w:val="none" w:sz="0" w:space="0" w:color="auto"/>
        <w:bottom w:val="none" w:sz="0" w:space="0" w:color="auto"/>
        <w:right w:val="none" w:sz="0" w:space="0" w:color="auto"/>
      </w:divBdr>
    </w:div>
    <w:div w:id="616762893">
      <w:bodyDiv w:val="1"/>
      <w:marLeft w:val="0"/>
      <w:marRight w:val="0"/>
      <w:marTop w:val="0"/>
      <w:marBottom w:val="0"/>
      <w:divBdr>
        <w:top w:val="none" w:sz="0" w:space="0" w:color="auto"/>
        <w:left w:val="none" w:sz="0" w:space="0" w:color="auto"/>
        <w:bottom w:val="none" w:sz="0" w:space="0" w:color="auto"/>
        <w:right w:val="none" w:sz="0" w:space="0" w:color="auto"/>
      </w:divBdr>
    </w:div>
    <w:div w:id="11329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AE6D26-3919-4F4E-B0CD-F619CCA6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6174</Words>
  <Characters>35197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2017-05-11T13:47:00Z</dcterms:created>
  <dcterms:modified xsi:type="dcterms:W3CDTF">2017-05-11T13:47:00Z</dcterms:modified>
</cp:coreProperties>
</file>