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B7CB7" w14:textId="277F45A2" w:rsidR="003B26DA" w:rsidRPr="005C3A83" w:rsidRDefault="005C3A83" w:rsidP="007A4338">
      <w:pPr>
        <w:spacing w:after="0" w:line="360" w:lineRule="auto"/>
        <w:jc w:val="both"/>
        <w:rPr>
          <w:rFonts w:ascii="Times New Roman" w:eastAsia="Times New Roman" w:hAnsi="Times New Roman" w:cs="Times New Roman"/>
          <w:spacing w:val="6"/>
          <w:sz w:val="28"/>
          <w:szCs w:val="28"/>
          <w:lang w:val="en-ZA" w:eastAsia="en-GB"/>
        </w:rPr>
      </w:pPr>
      <w:bookmarkStart w:id="0" w:name="_GoBack"/>
      <w:bookmarkEnd w:id="0"/>
      <w:r w:rsidRPr="005C3A83">
        <w:rPr>
          <w:rFonts w:ascii="Times New Roman" w:eastAsia="Times New Roman" w:hAnsi="Times New Roman" w:cs="Times New Roman"/>
          <w:b/>
          <w:color w:val="000000"/>
          <w:spacing w:val="6"/>
          <w:sz w:val="28"/>
          <w:szCs w:val="28"/>
          <w:lang w:val="en-ZA" w:eastAsia="en-GB"/>
        </w:rPr>
        <w:t xml:space="preserve">1. </w:t>
      </w:r>
      <w:r w:rsidR="003B26DA" w:rsidRPr="005C3A83">
        <w:rPr>
          <w:rFonts w:ascii="Times New Roman" w:eastAsia="Times New Roman" w:hAnsi="Times New Roman" w:cs="Times New Roman"/>
          <w:b/>
          <w:color w:val="000000"/>
          <w:spacing w:val="6"/>
          <w:sz w:val="28"/>
          <w:szCs w:val="28"/>
          <w:lang w:val="en-ZA" w:eastAsia="en-GB"/>
        </w:rPr>
        <w:t>REPORT OF THE STANDING COMMITT</w:t>
      </w:r>
      <w:r w:rsidR="00374453" w:rsidRPr="005C3A83">
        <w:rPr>
          <w:rFonts w:ascii="Times New Roman" w:eastAsia="Times New Roman" w:hAnsi="Times New Roman" w:cs="Times New Roman"/>
          <w:b/>
          <w:color w:val="000000"/>
          <w:spacing w:val="6"/>
          <w:sz w:val="28"/>
          <w:szCs w:val="28"/>
          <w:lang w:val="en-ZA" w:eastAsia="en-GB"/>
        </w:rPr>
        <w:t xml:space="preserve">EE ON APPROPRIATIONS ON THE </w:t>
      </w:r>
      <w:r w:rsidR="003B26DA" w:rsidRPr="005C3A83">
        <w:rPr>
          <w:rFonts w:ascii="Times New Roman" w:eastAsia="Times New Roman" w:hAnsi="Times New Roman" w:cs="Times New Roman"/>
          <w:b/>
          <w:color w:val="000000"/>
          <w:spacing w:val="6"/>
          <w:sz w:val="28"/>
          <w:szCs w:val="28"/>
          <w:lang w:val="en-ZA" w:eastAsia="en-GB"/>
        </w:rPr>
        <w:t>DIVISION OF REVENUE AMEND</w:t>
      </w:r>
      <w:r>
        <w:rPr>
          <w:rFonts w:ascii="Times New Roman" w:eastAsia="Times New Roman" w:hAnsi="Times New Roman" w:cs="Times New Roman"/>
          <w:b/>
          <w:color w:val="000000"/>
          <w:spacing w:val="6"/>
          <w:sz w:val="28"/>
          <w:szCs w:val="28"/>
          <w:lang w:val="en-ZA" w:eastAsia="en-GB"/>
        </w:rPr>
        <w:t xml:space="preserve">MENT BILL [B15 – 2019], DATED </w:t>
      </w:r>
      <w:r w:rsidR="00374453" w:rsidRPr="005C3A83">
        <w:rPr>
          <w:rFonts w:ascii="Times New Roman" w:eastAsia="Times New Roman" w:hAnsi="Times New Roman" w:cs="Times New Roman"/>
          <w:b/>
          <w:spacing w:val="6"/>
          <w:sz w:val="28"/>
          <w:szCs w:val="28"/>
          <w:lang w:val="en-ZA" w:eastAsia="en-GB"/>
        </w:rPr>
        <w:t>19 NOVEMBER 2019</w:t>
      </w:r>
    </w:p>
    <w:p w14:paraId="313C6CFF" w14:textId="77777777" w:rsidR="003B26DA" w:rsidRPr="008B22E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762E377E" w14:textId="0C25C80A" w:rsidR="003B26DA" w:rsidRPr="008B22E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8B22E8">
        <w:rPr>
          <w:rFonts w:ascii="Times New Roman" w:eastAsia="Times New Roman" w:hAnsi="Times New Roman" w:cs="Times New Roman"/>
          <w:color w:val="000000"/>
          <w:spacing w:val="6"/>
          <w:sz w:val="24"/>
          <w:szCs w:val="24"/>
          <w:lang w:val="en-ZA" w:eastAsia="en-GB"/>
        </w:rPr>
        <w:t>The Standing Committee on Appropriations having</w:t>
      </w:r>
      <w:r w:rsidR="00B578E8">
        <w:rPr>
          <w:rFonts w:ascii="Times New Roman" w:eastAsia="Times New Roman" w:hAnsi="Times New Roman" w:cs="Times New Roman"/>
          <w:color w:val="000000"/>
          <w:spacing w:val="6"/>
          <w:sz w:val="24"/>
          <w:szCs w:val="24"/>
          <w:lang w:val="en-ZA" w:eastAsia="en-GB"/>
        </w:rPr>
        <w:t xml:space="preserve"> considered the</w:t>
      </w:r>
      <w:r w:rsidRPr="008B22E8">
        <w:rPr>
          <w:rFonts w:ascii="Times New Roman" w:eastAsia="Times New Roman" w:hAnsi="Times New Roman" w:cs="Times New Roman"/>
          <w:color w:val="000000"/>
          <w:spacing w:val="6"/>
          <w:sz w:val="24"/>
          <w:szCs w:val="24"/>
          <w:lang w:val="en-ZA" w:eastAsia="en-GB"/>
        </w:rPr>
        <w:t xml:space="preserve"> </w:t>
      </w:r>
      <w:r w:rsidRPr="008B22E8">
        <w:rPr>
          <w:rFonts w:ascii="Times New Roman" w:eastAsia="Times New Roman" w:hAnsi="Times New Roman" w:cs="Times New Roman"/>
          <w:i/>
          <w:color w:val="000000"/>
          <w:spacing w:val="6"/>
          <w:sz w:val="24"/>
          <w:szCs w:val="24"/>
          <w:lang w:val="en-ZA" w:eastAsia="en-GB"/>
        </w:rPr>
        <w:t>Divisi</w:t>
      </w:r>
      <w:r w:rsidR="004809E6" w:rsidRPr="008B22E8">
        <w:rPr>
          <w:rFonts w:ascii="Times New Roman" w:eastAsia="Times New Roman" w:hAnsi="Times New Roman" w:cs="Times New Roman"/>
          <w:i/>
          <w:color w:val="000000"/>
          <w:spacing w:val="6"/>
          <w:sz w:val="24"/>
          <w:szCs w:val="24"/>
          <w:lang w:val="en-ZA" w:eastAsia="en-GB"/>
        </w:rPr>
        <w:t>on of Revenue Amendment Bill [B15</w:t>
      </w:r>
      <w:r w:rsidRPr="008B22E8">
        <w:rPr>
          <w:rFonts w:ascii="Times New Roman" w:eastAsia="Times New Roman" w:hAnsi="Times New Roman" w:cs="Times New Roman"/>
          <w:i/>
          <w:color w:val="000000"/>
          <w:spacing w:val="6"/>
          <w:sz w:val="24"/>
          <w:szCs w:val="24"/>
          <w:lang w:val="en-ZA" w:eastAsia="en-GB"/>
        </w:rPr>
        <w:t xml:space="preserve"> - 201</w:t>
      </w:r>
      <w:r w:rsidR="004809E6" w:rsidRPr="008B22E8">
        <w:rPr>
          <w:rFonts w:ascii="Times New Roman" w:eastAsia="Times New Roman" w:hAnsi="Times New Roman" w:cs="Times New Roman"/>
          <w:i/>
          <w:color w:val="000000"/>
          <w:spacing w:val="6"/>
          <w:sz w:val="24"/>
          <w:szCs w:val="24"/>
          <w:lang w:val="en-ZA" w:eastAsia="en-GB"/>
        </w:rPr>
        <w:t>9</w:t>
      </w:r>
      <w:r w:rsidRPr="008B22E8">
        <w:rPr>
          <w:rFonts w:ascii="Times New Roman" w:eastAsia="Times New Roman" w:hAnsi="Times New Roman" w:cs="Times New Roman"/>
          <w:i/>
          <w:color w:val="000000"/>
          <w:spacing w:val="6"/>
          <w:sz w:val="24"/>
          <w:szCs w:val="24"/>
          <w:lang w:val="en-ZA" w:eastAsia="en-GB"/>
        </w:rPr>
        <w:t>]</w:t>
      </w:r>
      <w:r w:rsidRPr="008B22E8">
        <w:rPr>
          <w:rFonts w:ascii="Times New Roman" w:eastAsia="Times New Roman" w:hAnsi="Times New Roman" w:cs="Times New Roman"/>
          <w:color w:val="000000"/>
          <w:spacing w:val="6"/>
          <w:sz w:val="24"/>
          <w:szCs w:val="24"/>
          <w:lang w:val="en-ZA" w:eastAsia="en-GB"/>
        </w:rPr>
        <w:t xml:space="preserve"> (National Assembly – section 76 (the Bill), reports as follows:</w:t>
      </w:r>
    </w:p>
    <w:p w14:paraId="6613DA34" w14:textId="77777777" w:rsidR="003B26DA" w:rsidRPr="008B22E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75F010F2" w14:textId="70379DD1" w:rsidR="003B26DA" w:rsidRPr="00113680" w:rsidRDefault="003B26DA" w:rsidP="007A4338">
      <w:pPr>
        <w:numPr>
          <w:ilvl w:val="0"/>
          <w:numId w:val="1"/>
        </w:numPr>
        <w:spacing w:after="0" w:line="360" w:lineRule="auto"/>
        <w:ind w:left="360"/>
        <w:jc w:val="both"/>
        <w:rPr>
          <w:rFonts w:ascii="Times New Roman" w:eastAsia="Times New Roman" w:hAnsi="Times New Roman" w:cs="Times New Roman"/>
          <w:b/>
          <w:color w:val="000000"/>
          <w:spacing w:val="6"/>
          <w:sz w:val="24"/>
          <w:szCs w:val="24"/>
          <w:lang w:val="en-ZA" w:eastAsia="en-GB"/>
        </w:rPr>
      </w:pPr>
      <w:r w:rsidRPr="008B22E8">
        <w:rPr>
          <w:rFonts w:ascii="Times New Roman" w:eastAsia="Times New Roman" w:hAnsi="Times New Roman" w:cs="Times New Roman"/>
          <w:b/>
          <w:color w:val="000000"/>
          <w:spacing w:val="6"/>
          <w:sz w:val="24"/>
          <w:szCs w:val="24"/>
          <w:lang w:val="en-ZA" w:eastAsia="en-GB"/>
        </w:rPr>
        <w:t>Introduction</w:t>
      </w:r>
    </w:p>
    <w:p w14:paraId="15C718C4" w14:textId="398942F3" w:rsidR="00B40F36" w:rsidRPr="0017771F" w:rsidRDefault="003B26DA" w:rsidP="00D864CB">
      <w:pPr>
        <w:spacing w:after="0" w:line="360" w:lineRule="auto"/>
        <w:jc w:val="both"/>
        <w:rPr>
          <w:rFonts w:ascii="Times New Roman" w:eastAsia="Times New Roman" w:hAnsi="Times New Roman" w:cs="Times New Roman"/>
          <w:color w:val="000000"/>
          <w:spacing w:val="6"/>
          <w:sz w:val="24"/>
          <w:szCs w:val="24"/>
          <w:u w:val="single"/>
          <w:lang w:val="en-ZA" w:eastAsia="en-GB"/>
        </w:rPr>
      </w:pPr>
      <w:r w:rsidRPr="008B22E8">
        <w:rPr>
          <w:rFonts w:ascii="Times New Roman" w:eastAsia="Times New Roman" w:hAnsi="Times New Roman" w:cs="Times New Roman"/>
          <w:color w:val="000000"/>
          <w:spacing w:val="6"/>
          <w:sz w:val="24"/>
          <w:szCs w:val="24"/>
          <w:lang w:val="en-ZA" w:eastAsia="en-GB"/>
        </w:rPr>
        <w:t xml:space="preserve">The </w:t>
      </w:r>
      <w:r w:rsidR="004809E6" w:rsidRPr="008B22E8">
        <w:rPr>
          <w:rFonts w:ascii="Times New Roman" w:eastAsia="Times New Roman" w:hAnsi="Times New Roman" w:cs="Times New Roman"/>
          <w:color w:val="000000"/>
          <w:spacing w:val="6"/>
          <w:sz w:val="24"/>
          <w:szCs w:val="24"/>
          <w:lang w:val="en-ZA" w:eastAsia="en-GB"/>
        </w:rPr>
        <w:t>Minister of Finance tabled the Division of Revenue Amendment Bill (henceforth referred to as the Bill) in Parliament on 30 of October 2019</w:t>
      </w:r>
      <w:r w:rsidRPr="008B22E8">
        <w:rPr>
          <w:rFonts w:ascii="Times New Roman" w:eastAsia="Times New Roman" w:hAnsi="Times New Roman" w:cs="Times New Roman"/>
          <w:color w:val="000000"/>
          <w:spacing w:val="6"/>
          <w:sz w:val="24"/>
          <w:szCs w:val="24"/>
          <w:lang w:val="en-ZA" w:eastAsia="en-GB"/>
        </w:rPr>
        <w:t xml:space="preserve"> during the presentation of the 201</w:t>
      </w:r>
      <w:r w:rsidR="004809E6" w:rsidRPr="008B22E8">
        <w:rPr>
          <w:rFonts w:ascii="Times New Roman" w:eastAsia="Times New Roman" w:hAnsi="Times New Roman" w:cs="Times New Roman"/>
          <w:color w:val="000000"/>
          <w:spacing w:val="6"/>
          <w:sz w:val="24"/>
          <w:szCs w:val="24"/>
          <w:lang w:val="en-ZA" w:eastAsia="en-GB"/>
        </w:rPr>
        <w:t>9</w:t>
      </w:r>
      <w:r w:rsidRPr="008B22E8">
        <w:rPr>
          <w:rFonts w:ascii="Times New Roman" w:eastAsia="Times New Roman" w:hAnsi="Times New Roman" w:cs="Times New Roman"/>
          <w:color w:val="000000"/>
          <w:spacing w:val="6"/>
          <w:sz w:val="24"/>
          <w:szCs w:val="24"/>
          <w:lang w:val="en-ZA" w:eastAsia="en-GB"/>
        </w:rPr>
        <w:t xml:space="preserve"> Medium Term Budget Policy Statement (MTBPS). </w:t>
      </w:r>
      <w:r w:rsidRPr="00374453">
        <w:rPr>
          <w:rFonts w:ascii="Times New Roman" w:eastAsia="Times New Roman" w:hAnsi="Times New Roman" w:cs="Times New Roman"/>
          <w:spacing w:val="6"/>
          <w:sz w:val="24"/>
          <w:szCs w:val="24"/>
          <w:lang w:val="en-ZA" w:eastAsia="en-GB"/>
        </w:rPr>
        <w:t xml:space="preserve">The Bill was referred to the Committee on </w:t>
      </w:r>
      <w:r w:rsidR="00374453" w:rsidRPr="00374453">
        <w:rPr>
          <w:rFonts w:ascii="Times New Roman" w:eastAsia="Times New Roman" w:hAnsi="Times New Roman" w:cs="Times New Roman"/>
          <w:spacing w:val="6"/>
          <w:sz w:val="24"/>
          <w:szCs w:val="24"/>
          <w:lang w:val="en-ZA" w:eastAsia="en-GB"/>
        </w:rPr>
        <w:t>13 November</w:t>
      </w:r>
      <w:r w:rsidR="004809E6" w:rsidRPr="00374453">
        <w:rPr>
          <w:rFonts w:ascii="Times New Roman" w:eastAsia="Times New Roman" w:hAnsi="Times New Roman" w:cs="Times New Roman"/>
          <w:spacing w:val="6"/>
          <w:sz w:val="24"/>
          <w:szCs w:val="24"/>
          <w:lang w:val="en-ZA" w:eastAsia="en-GB"/>
        </w:rPr>
        <w:t xml:space="preserve"> 2019</w:t>
      </w:r>
      <w:r w:rsidRPr="008B22E8">
        <w:rPr>
          <w:rFonts w:ascii="Times New Roman" w:eastAsia="Times New Roman" w:hAnsi="Times New Roman" w:cs="Times New Roman"/>
          <w:color w:val="FF0000"/>
          <w:spacing w:val="6"/>
          <w:sz w:val="24"/>
          <w:szCs w:val="24"/>
          <w:lang w:val="en-ZA" w:eastAsia="en-GB"/>
        </w:rPr>
        <w:t xml:space="preserve"> </w:t>
      </w:r>
      <w:r w:rsidRPr="008B22E8">
        <w:rPr>
          <w:rFonts w:ascii="Times New Roman" w:eastAsia="Times New Roman" w:hAnsi="Times New Roman" w:cs="Times New Roman"/>
          <w:spacing w:val="6"/>
          <w:sz w:val="24"/>
          <w:szCs w:val="24"/>
          <w:lang w:val="en-ZA" w:eastAsia="en-GB"/>
        </w:rPr>
        <w:t xml:space="preserve">and the Committee </w:t>
      </w:r>
      <w:r w:rsidRPr="008B22E8">
        <w:rPr>
          <w:rFonts w:ascii="Times New Roman" w:eastAsia="Times New Roman" w:hAnsi="Times New Roman" w:cs="Times New Roman"/>
          <w:color w:val="000000"/>
          <w:spacing w:val="6"/>
          <w:sz w:val="24"/>
          <w:szCs w:val="24"/>
          <w:lang w:val="en-ZA" w:eastAsia="en-GB"/>
        </w:rPr>
        <w:t>received a briefing thereon from the National Treasury</w:t>
      </w:r>
      <w:r w:rsidR="00374453">
        <w:rPr>
          <w:rFonts w:ascii="Times New Roman" w:eastAsia="Times New Roman" w:hAnsi="Times New Roman" w:cs="Times New Roman"/>
          <w:color w:val="000000"/>
          <w:spacing w:val="6"/>
          <w:sz w:val="24"/>
          <w:szCs w:val="24"/>
          <w:lang w:val="en-ZA" w:eastAsia="en-GB"/>
        </w:rPr>
        <w:t xml:space="preserve"> the following day</w:t>
      </w:r>
      <w:r w:rsidRPr="008B22E8">
        <w:rPr>
          <w:rFonts w:ascii="Times New Roman" w:eastAsia="Times New Roman" w:hAnsi="Times New Roman" w:cs="Times New Roman"/>
          <w:color w:val="000000"/>
          <w:spacing w:val="6"/>
          <w:sz w:val="24"/>
          <w:szCs w:val="24"/>
          <w:lang w:val="en-ZA" w:eastAsia="en-GB"/>
        </w:rPr>
        <w:t>. To facilitate public participation, the Committee published adverts in print media in a</w:t>
      </w:r>
      <w:r w:rsidR="00374453">
        <w:rPr>
          <w:rFonts w:ascii="Times New Roman" w:eastAsia="Times New Roman" w:hAnsi="Times New Roman" w:cs="Times New Roman"/>
          <w:color w:val="000000"/>
          <w:spacing w:val="6"/>
          <w:sz w:val="24"/>
          <w:szCs w:val="24"/>
          <w:lang w:val="en-ZA" w:eastAsia="en-GB"/>
        </w:rPr>
        <w:t xml:space="preserve">ll 11 official languages from 3 November 2019 to 8 November 2019. The Organisation Undoing Tax Abuse </w:t>
      </w:r>
      <w:r w:rsidR="00120FC5">
        <w:rPr>
          <w:rFonts w:ascii="Times New Roman" w:eastAsia="Times New Roman" w:hAnsi="Times New Roman" w:cs="Times New Roman"/>
          <w:color w:val="000000"/>
          <w:spacing w:val="6"/>
          <w:sz w:val="24"/>
          <w:szCs w:val="24"/>
          <w:lang w:val="en-ZA" w:eastAsia="en-GB"/>
        </w:rPr>
        <w:t xml:space="preserve">(OUTA) </w:t>
      </w:r>
      <w:r w:rsidR="00374453">
        <w:rPr>
          <w:rFonts w:ascii="Times New Roman" w:eastAsia="Times New Roman" w:hAnsi="Times New Roman" w:cs="Times New Roman"/>
          <w:color w:val="000000"/>
          <w:spacing w:val="6"/>
          <w:sz w:val="24"/>
          <w:szCs w:val="24"/>
          <w:lang w:val="en-ZA" w:eastAsia="en-GB"/>
        </w:rPr>
        <w:t xml:space="preserve">and Equal Education made submissions on the Bill in response to the afore-mentioned advertisements. The Committee further invited National Treasury to brief the Committee on the Bill in its entirety </w:t>
      </w:r>
      <w:r w:rsidR="00374453" w:rsidRPr="00FB5121">
        <w:rPr>
          <w:rFonts w:ascii="Times New Roman" w:eastAsia="Times New Roman" w:hAnsi="Times New Roman" w:cs="Times New Roman"/>
          <w:color w:val="000000"/>
          <w:spacing w:val="6"/>
          <w:sz w:val="24"/>
          <w:szCs w:val="24"/>
          <w:lang w:val="en-ZA" w:eastAsia="en-GB"/>
        </w:rPr>
        <w:t>and the Financial</w:t>
      </w:r>
      <w:r w:rsidR="0004616E">
        <w:rPr>
          <w:rFonts w:ascii="Times New Roman" w:eastAsia="Times New Roman" w:hAnsi="Times New Roman" w:cs="Times New Roman"/>
          <w:color w:val="000000"/>
          <w:spacing w:val="6"/>
          <w:sz w:val="24"/>
          <w:szCs w:val="24"/>
          <w:lang w:val="en-ZA" w:eastAsia="en-GB"/>
        </w:rPr>
        <w:t xml:space="preserve"> and Fiscal Commission</w:t>
      </w:r>
      <w:r w:rsidR="00FB5121">
        <w:rPr>
          <w:rFonts w:ascii="Times New Roman" w:eastAsia="Times New Roman" w:hAnsi="Times New Roman" w:cs="Times New Roman"/>
          <w:color w:val="000000"/>
          <w:spacing w:val="6"/>
          <w:sz w:val="24"/>
          <w:szCs w:val="24"/>
          <w:lang w:val="en-ZA" w:eastAsia="en-GB"/>
        </w:rPr>
        <w:t xml:space="preserve"> comment</w:t>
      </w:r>
      <w:r w:rsidR="0004616E">
        <w:rPr>
          <w:rFonts w:ascii="Times New Roman" w:eastAsia="Times New Roman" w:hAnsi="Times New Roman" w:cs="Times New Roman"/>
          <w:color w:val="000000"/>
          <w:spacing w:val="6"/>
          <w:sz w:val="24"/>
          <w:szCs w:val="24"/>
          <w:lang w:val="en-ZA" w:eastAsia="en-GB"/>
        </w:rPr>
        <w:t>ed</w:t>
      </w:r>
      <w:r w:rsidR="00374453" w:rsidRPr="00FB5121">
        <w:rPr>
          <w:rFonts w:ascii="Times New Roman" w:eastAsia="Times New Roman" w:hAnsi="Times New Roman" w:cs="Times New Roman"/>
          <w:color w:val="000000"/>
          <w:spacing w:val="6"/>
          <w:sz w:val="24"/>
          <w:szCs w:val="24"/>
          <w:lang w:val="en-ZA" w:eastAsia="en-GB"/>
        </w:rPr>
        <w:t xml:space="preserve"> on the Bill.</w:t>
      </w:r>
      <w:r w:rsidR="00374453" w:rsidRPr="0017771F">
        <w:rPr>
          <w:rFonts w:ascii="Times New Roman" w:eastAsia="Times New Roman" w:hAnsi="Times New Roman" w:cs="Times New Roman"/>
          <w:color w:val="000000"/>
          <w:spacing w:val="6"/>
          <w:sz w:val="24"/>
          <w:szCs w:val="24"/>
          <w:u w:val="single"/>
          <w:lang w:val="en-ZA" w:eastAsia="en-GB"/>
        </w:rPr>
        <w:t xml:space="preserve"> </w:t>
      </w:r>
    </w:p>
    <w:p w14:paraId="120DCCA1" w14:textId="77777777" w:rsidR="00CF7941" w:rsidRPr="008B22E8" w:rsidRDefault="00CF7941" w:rsidP="00D864CB">
      <w:pPr>
        <w:spacing w:after="0" w:line="360" w:lineRule="auto"/>
        <w:jc w:val="both"/>
        <w:rPr>
          <w:rFonts w:ascii="Times New Roman" w:eastAsia="Times New Roman" w:hAnsi="Times New Roman" w:cs="Times New Roman"/>
          <w:color w:val="000000"/>
          <w:spacing w:val="6"/>
          <w:sz w:val="24"/>
          <w:szCs w:val="24"/>
          <w:lang w:val="en-ZA" w:eastAsia="en-GB"/>
        </w:rPr>
      </w:pPr>
    </w:p>
    <w:p w14:paraId="0243E6A7" w14:textId="23680220" w:rsidR="001E26C9" w:rsidRPr="008B22E8" w:rsidRDefault="003B26DA" w:rsidP="00D864CB">
      <w:pPr>
        <w:spacing w:after="0" w:line="360" w:lineRule="auto"/>
        <w:jc w:val="both"/>
        <w:rPr>
          <w:rFonts w:ascii="Times New Roman" w:eastAsia="Times New Roman" w:hAnsi="Times New Roman" w:cs="Times New Roman"/>
          <w:color w:val="000000"/>
          <w:spacing w:val="6"/>
          <w:sz w:val="24"/>
          <w:szCs w:val="24"/>
          <w:lang w:val="en-ZA" w:eastAsia="en-GB"/>
        </w:rPr>
      </w:pPr>
      <w:r w:rsidRPr="008B22E8">
        <w:rPr>
          <w:rFonts w:ascii="Times New Roman" w:eastAsia="Times New Roman" w:hAnsi="Times New Roman" w:cs="Times New Roman"/>
          <w:color w:val="000000"/>
          <w:spacing w:val="6"/>
          <w:sz w:val="24"/>
          <w:szCs w:val="24"/>
          <w:lang w:val="en-ZA" w:eastAsia="en-GB"/>
        </w:rPr>
        <w:t>The Bill and its annexures address the following matters:</w:t>
      </w:r>
    </w:p>
    <w:p w14:paraId="01F44646" w14:textId="77777777" w:rsidR="003B26DA" w:rsidRPr="008B22E8" w:rsidRDefault="003B26DA" w:rsidP="00374453">
      <w:pPr>
        <w:numPr>
          <w:ilvl w:val="0"/>
          <w:numId w:val="21"/>
        </w:numPr>
        <w:spacing w:after="0" w:line="360" w:lineRule="auto"/>
        <w:ind w:hanging="294"/>
        <w:jc w:val="both"/>
        <w:rPr>
          <w:rFonts w:ascii="Times New Roman" w:eastAsia="Times New Roman" w:hAnsi="Times New Roman" w:cs="Times New Roman"/>
          <w:spacing w:val="6"/>
          <w:sz w:val="24"/>
          <w:szCs w:val="24"/>
          <w:lang w:val="en-ZA" w:eastAsia="en-GB"/>
        </w:rPr>
      </w:pPr>
      <w:r w:rsidRPr="008B22E8">
        <w:rPr>
          <w:rFonts w:ascii="Times New Roman" w:eastAsia="Times New Roman" w:hAnsi="Times New Roman" w:cs="Times New Roman"/>
          <w:spacing w:val="6"/>
          <w:sz w:val="24"/>
          <w:szCs w:val="24"/>
          <w:lang w:val="en-ZA" w:eastAsia="en-GB"/>
        </w:rPr>
        <w:t>Changes in the equitable division of nationally raised revenue among the spheres of government;</w:t>
      </w:r>
    </w:p>
    <w:p w14:paraId="1338A85A" w14:textId="77777777" w:rsidR="003B26DA" w:rsidRPr="008B22E8" w:rsidRDefault="003B26DA" w:rsidP="00374453">
      <w:pPr>
        <w:numPr>
          <w:ilvl w:val="0"/>
          <w:numId w:val="21"/>
        </w:numPr>
        <w:spacing w:after="0" w:line="360" w:lineRule="auto"/>
        <w:ind w:hanging="294"/>
        <w:jc w:val="both"/>
        <w:rPr>
          <w:rFonts w:ascii="Times New Roman" w:eastAsia="Times New Roman" w:hAnsi="Times New Roman" w:cs="Times New Roman"/>
          <w:spacing w:val="6"/>
          <w:sz w:val="24"/>
          <w:szCs w:val="24"/>
          <w:lang w:val="en-ZA" w:eastAsia="en-GB"/>
        </w:rPr>
      </w:pPr>
      <w:r w:rsidRPr="008B22E8">
        <w:rPr>
          <w:rFonts w:ascii="Times New Roman" w:eastAsia="Times New Roman" w:hAnsi="Times New Roman" w:cs="Times New Roman"/>
          <w:spacing w:val="6"/>
          <w:sz w:val="24"/>
          <w:szCs w:val="24"/>
          <w:lang w:val="en-ZA" w:eastAsia="en-GB"/>
        </w:rPr>
        <w:t xml:space="preserve">Adjustments to Provincial Allocations; </w:t>
      </w:r>
    </w:p>
    <w:p w14:paraId="7F9F42A7" w14:textId="77777777" w:rsidR="003B26DA" w:rsidRPr="008B22E8" w:rsidRDefault="003B26DA" w:rsidP="00374453">
      <w:pPr>
        <w:numPr>
          <w:ilvl w:val="0"/>
          <w:numId w:val="21"/>
        </w:numPr>
        <w:spacing w:after="0" w:line="360" w:lineRule="auto"/>
        <w:ind w:hanging="294"/>
        <w:jc w:val="both"/>
        <w:rPr>
          <w:rFonts w:ascii="Times New Roman" w:eastAsia="Times New Roman" w:hAnsi="Times New Roman" w:cs="Times New Roman"/>
          <w:spacing w:val="6"/>
          <w:sz w:val="24"/>
          <w:szCs w:val="24"/>
          <w:lang w:val="en-ZA" w:eastAsia="en-GB"/>
        </w:rPr>
      </w:pPr>
      <w:r w:rsidRPr="008B22E8">
        <w:rPr>
          <w:rFonts w:ascii="Times New Roman" w:eastAsia="Times New Roman" w:hAnsi="Times New Roman" w:cs="Times New Roman"/>
          <w:spacing w:val="6"/>
          <w:sz w:val="24"/>
          <w:szCs w:val="24"/>
          <w:lang w:val="en-ZA" w:eastAsia="en-GB"/>
        </w:rPr>
        <w:t>Adjustments to Local Government Allocations; and</w:t>
      </w:r>
    </w:p>
    <w:p w14:paraId="1BCD0191" w14:textId="77777777" w:rsidR="003B26DA" w:rsidRPr="008B22E8" w:rsidRDefault="003B26DA" w:rsidP="00374453">
      <w:pPr>
        <w:numPr>
          <w:ilvl w:val="0"/>
          <w:numId w:val="21"/>
        </w:numPr>
        <w:spacing w:after="0" w:line="360" w:lineRule="auto"/>
        <w:ind w:hanging="294"/>
        <w:jc w:val="both"/>
        <w:rPr>
          <w:rFonts w:ascii="Times New Roman" w:eastAsia="Times New Roman" w:hAnsi="Times New Roman" w:cs="Times New Roman"/>
          <w:spacing w:val="6"/>
          <w:sz w:val="24"/>
          <w:szCs w:val="24"/>
          <w:lang w:val="en-ZA" w:eastAsia="en-GB"/>
        </w:rPr>
      </w:pPr>
      <w:r w:rsidRPr="008B22E8">
        <w:rPr>
          <w:rFonts w:ascii="Times New Roman" w:eastAsia="Times New Roman" w:hAnsi="Times New Roman" w:cs="Times New Roman"/>
          <w:spacing w:val="6"/>
          <w:sz w:val="24"/>
          <w:szCs w:val="24"/>
          <w:lang w:val="en-ZA" w:eastAsia="en-GB"/>
        </w:rPr>
        <w:t xml:space="preserve">Changes to Conditional Grant frameworks. </w:t>
      </w:r>
    </w:p>
    <w:p w14:paraId="22C1D38C" w14:textId="77777777" w:rsidR="003B26DA" w:rsidRPr="008B22E8" w:rsidRDefault="003B26DA" w:rsidP="007A4338">
      <w:pPr>
        <w:spacing w:after="0" w:line="360" w:lineRule="auto"/>
        <w:ind w:left="709"/>
        <w:jc w:val="both"/>
        <w:rPr>
          <w:rFonts w:ascii="Times New Roman" w:eastAsia="Times New Roman" w:hAnsi="Times New Roman" w:cs="Times New Roman"/>
          <w:spacing w:val="6"/>
          <w:sz w:val="24"/>
          <w:szCs w:val="24"/>
          <w:lang w:val="en-ZA" w:eastAsia="en-GB"/>
        </w:rPr>
      </w:pPr>
    </w:p>
    <w:p w14:paraId="00DD5A5C" w14:textId="27E920B5" w:rsidR="003B26DA" w:rsidRPr="0017771F" w:rsidRDefault="003B26DA" w:rsidP="007A4338">
      <w:pPr>
        <w:spacing w:after="0" w:line="360" w:lineRule="auto"/>
        <w:jc w:val="both"/>
        <w:rPr>
          <w:rFonts w:ascii="Times New Roman" w:eastAsia="Times New Roman" w:hAnsi="Times New Roman" w:cs="Times New Roman"/>
          <w:color w:val="000000"/>
          <w:spacing w:val="6"/>
          <w:sz w:val="24"/>
          <w:szCs w:val="24"/>
          <w:u w:val="single"/>
          <w:lang w:val="en-ZA" w:eastAsia="en-GB"/>
        </w:rPr>
      </w:pPr>
      <w:r w:rsidRPr="008B22E8">
        <w:rPr>
          <w:rFonts w:ascii="Times New Roman" w:eastAsia="Times New Roman" w:hAnsi="Times New Roman" w:cs="Times New Roman"/>
          <w:color w:val="000000"/>
          <w:spacing w:val="6"/>
          <w:sz w:val="24"/>
          <w:szCs w:val="24"/>
          <w:lang w:val="en-ZA" w:eastAsia="en-GB"/>
        </w:rPr>
        <w:t xml:space="preserve">This report focuses on </w:t>
      </w:r>
      <w:r w:rsidR="000905B7" w:rsidRPr="008B22E8">
        <w:rPr>
          <w:rFonts w:ascii="Times New Roman" w:eastAsia="Times New Roman" w:hAnsi="Times New Roman" w:cs="Times New Roman"/>
          <w:color w:val="000000"/>
          <w:spacing w:val="6"/>
          <w:sz w:val="24"/>
          <w:szCs w:val="24"/>
          <w:lang w:val="en-ZA" w:eastAsia="en-GB"/>
        </w:rPr>
        <w:t xml:space="preserve">the </w:t>
      </w:r>
      <w:r w:rsidR="00374453">
        <w:rPr>
          <w:rFonts w:ascii="Times New Roman" w:eastAsia="Times New Roman" w:hAnsi="Times New Roman" w:cs="Times New Roman"/>
          <w:color w:val="000000"/>
          <w:spacing w:val="6"/>
          <w:sz w:val="24"/>
          <w:szCs w:val="24"/>
          <w:lang w:val="en-ZA" w:eastAsia="en-GB"/>
        </w:rPr>
        <w:t xml:space="preserve">proposed </w:t>
      </w:r>
      <w:r w:rsidRPr="008B22E8">
        <w:rPr>
          <w:rFonts w:ascii="Times New Roman" w:eastAsia="Times New Roman" w:hAnsi="Times New Roman" w:cs="Times New Roman"/>
          <w:color w:val="000000"/>
          <w:spacing w:val="6"/>
          <w:sz w:val="24"/>
          <w:szCs w:val="24"/>
          <w:lang w:val="en-ZA" w:eastAsia="en-GB"/>
        </w:rPr>
        <w:t xml:space="preserve">amendments </w:t>
      </w:r>
      <w:r w:rsidR="00374453">
        <w:rPr>
          <w:rFonts w:ascii="Times New Roman" w:eastAsia="Times New Roman" w:hAnsi="Times New Roman" w:cs="Times New Roman"/>
          <w:color w:val="000000"/>
          <w:spacing w:val="6"/>
          <w:sz w:val="24"/>
          <w:szCs w:val="24"/>
          <w:lang w:val="en-ZA" w:eastAsia="en-GB"/>
        </w:rPr>
        <w:t xml:space="preserve">to the 2019 Division of Revenue Act as </w:t>
      </w:r>
      <w:r w:rsidR="005E52BD" w:rsidRPr="008B22E8">
        <w:rPr>
          <w:rFonts w:ascii="Times New Roman" w:eastAsia="Times New Roman" w:hAnsi="Times New Roman" w:cs="Times New Roman"/>
          <w:color w:val="000000"/>
          <w:spacing w:val="6"/>
          <w:sz w:val="24"/>
          <w:szCs w:val="24"/>
          <w:lang w:val="en-ZA" w:eastAsia="en-GB"/>
        </w:rPr>
        <w:t xml:space="preserve">tabled by the Minister </w:t>
      </w:r>
      <w:r w:rsidR="00374453">
        <w:rPr>
          <w:rFonts w:ascii="Times New Roman" w:eastAsia="Times New Roman" w:hAnsi="Times New Roman" w:cs="Times New Roman"/>
          <w:color w:val="000000"/>
          <w:spacing w:val="6"/>
          <w:sz w:val="24"/>
          <w:szCs w:val="24"/>
          <w:lang w:val="en-ZA" w:eastAsia="en-GB"/>
        </w:rPr>
        <w:t xml:space="preserve">of Finance </w:t>
      </w:r>
      <w:r w:rsidR="005E52BD" w:rsidRPr="008B22E8">
        <w:rPr>
          <w:rFonts w:ascii="Times New Roman" w:eastAsia="Times New Roman" w:hAnsi="Times New Roman" w:cs="Times New Roman"/>
          <w:color w:val="000000"/>
          <w:spacing w:val="6"/>
          <w:sz w:val="24"/>
          <w:szCs w:val="24"/>
          <w:lang w:val="en-ZA" w:eastAsia="en-GB"/>
        </w:rPr>
        <w:t xml:space="preserve">and the </w:t>
      </w:r>
      <w:r w:rsidRPr="008B22E8">
        <w:rPr>
          <w:rFonts w:ascii="Times New Roman" w:eastAsia="Times New Roman" w:hAnsi="Times New Roman" w:cs="Times New Roman"/>
          <w:color w:val="000000"/>
          <w:spacing w:val="6"/>
          <w:sz w:val="24"/>
          <w:szCs w:val="24"/>
          <w:lang w:val="en-ZA" w:eastAsia="en-GB"/>
        </w:rPr>
        <w:t>ma</w:t>
      </w:r>
      <w:r w:rsidR="00374453">
        <w:rPr>
          <w:rFonts w:ascii="Times New Roman" w:eastAsia="Times New Roman" w:hAnsi="Times New Roman" w:cs="Times New Roman"/>
          <w:color w:val="000000"/>
          <w:spacing w:val="6"/>
          <w:sz w:val="24"/>
          <w:szCs w:val="24"/>
          <w:lang w:val="en-ZA" w:eastAsia="en-GB"/>
        </w:rPr>
        <w:t xml:space="preserve">tters raised during the </w:t>
      </w:r>
      <w:r w:rsidR="00374453" w:rsidRPr="00FB5121">
        <w:rPr>
          <w:rFonts w:ascii="Times New Roman" w:eastAsia="Times New Roman" w:hAnsi="Times New Roman" w:cs="Times New Roman"/>
          <w:color w:val="000000"/>
          <w:spacing w:val="6"/>
          <w:sz w:val="24"/>
          <w:szCs w:val="24"/>
          <w:lang w:val="en-ZA" w:eastAsia="en-GB"/>
        </w:rPr>
        <w:t>engagements with National Treasury, the Financial and Fiscal Commission</w:t>
      </w:r>
      <w:r w:rsidR="0017771F" w:rsidRPr="00FB5121">
        <w:rPr>
          <w:rFonts w:ascii="Times New Roman" w:eastAsia="Times New Roman" w:hAnsi="Times New Roman" w:cs="Times New Roman"/>
          <w:color w:val="000000"/>
          <w:spacing w:val="6"/>
          <w:sz w:val="24"/>
          <w:szCs w:val="24"/>
          <w:lang w:val="en-ZA" w:eastAsia="en-GB"/>
        </w:rPr>
        <w:t>, and the Organisation Undoing Tax Abuse</w:t>
      </w:r>
      <w:r w:rsidR="00120FC5">
        <w:rPr>
          <w:rFonts w:ascii="Times New Roman" w:eastAsia="Times New Roman" w:hAnsi="Times New Roman" w:cs="Times New Roman"/>
          <w:color w:val="000000"/>
          <w:spacing w:val="6"/>
          <w:sz w:val="24"/>
          <w:szCs w:val="24"/>
          <w:lang w:val="en-ZA" w:eastAsia="en-GB"/>
        </w:rPr>
        <w:t>, as well as the submission made by Equal Education</w:t>
      </w:r>
      <w:r w:rsidR="0017771F" w:rsidRPr="00FB5121">
        <w:rPr>
          <w:rFonts w:ascii="Times New Roman" w:eastAsia="Times New Roman" w:hAnsi="Times New Roman" w:cs="Times New Roman"/>
          <w:color w:val="000000"/>
          <w:spacing w:val="6"/>
          <w:sz w:val="24"/>
          <w:szCs w:val="24"/>
          <w:lang w:val="en-ZA" w:eastAsia="en-GB"/>
        </w:rPr>
        <w:t>.</w:t>
      </w:r>
      <w:r w:rsidR="0017771F" w:rsidRPr="0017771F">
        <w:rPr>
          <w:rFonts w:ascii="Times New Roman" w:eastAsia="Times New Roman" w:hAnsi="Times New Roman" w:cs="Times New Roman"/>
          <w:color w:val="000000"/>
          <w:spacing w:val="6"/>
          <w:sz w:val="24"/>
          <w:szCs w:val="24"/>
          <w:u w:val="single"/>
          <w:lang w:val="en-ZA" w:eastAsia="en-GB"/>
        </w:rPr>
        <w:t xml:space="preserve"> </w:t>
      </w:r>
    </w:p>
    <w:p w14:paraId="46E02D40" w14:textId="77777777" w:rsidR="003B26DA" w:rsidRPr="008B22E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003F8904" w14:textId="1E629910" w:rsidR="004F0873" w:rsidRPr="00113680" w:rsidRDefault="00302087" w:rsidP="00CA173C">
      <w:pPr>
        <w:numPr>
          <w:ilvl w:val="0"/>
          <w:numId w:val="1"/>
        </w:numPr>
        <w:spacing w:after="0" w:line="360" w:lineRule="auto"/>
        <w:ind w:left="360"/>
        <w:jc w:val="both"/>
        <w:rPr>
          <w:rFonts w:ascii="Times New Roman" w:eastAsia="Times New Roman" w:hAnsi="Times New Roman" w:cs="Times New Roman"/>
          <w:b/>
          <w:color w:val="000000"/>
          <w:spacing w:val="6"/>
          <w:sz w:val="24"/>
          <w:szCs w:val="24"/>
          <w:lang w:val="en-ZA" w:eastAsia="en-GB"/>
        </w:rPr>
      </w:pPr>
      <w:r w:rsidRPr="008B22E8">
        <w:rPr>
          <w:rFonts w:ascii="Times New Roman" w:eastAsia="Times New Roman" w:hAnsi="Times New Roman" w:cs="Times New Roman"/>
          <w:b/>
          <w:color w:val="000000"/>
          <w:spacing w:val="6"/>
          <w:sz w:val="24"/>
          <w:szCs w:val="24"/>
          <w:lang w:val="en-ZA" w:eastAsia="en-GB"/>
        </w:rPr>
        <w:t>Equitable division of revenue raised nationally among the spheres of government</w:t>
      </w:r>
    </w:p>
    <w:p w14:paraId="5AC3A929" w14:textId="67FC828F" w:rsidR="00CA173C" w:rsidRPr="008B22E8" w:rsidRDefault="004F0873" w:rsidP="00CA173C">
      <w:pPr>
        <w:spacing w:after="0" w:line="360" w:lineRule="auto"/>
        <w:jc w:val="both"/>
        <w:rPr>
          <w:rFonts w:ascii="Times New Roman" w:eastAsia="Times New Roman" w:hAnsi="Times New Roman" w:cs="Times New Roman"/>
          <w:color w:val="000000"/>
          <w:spacing w:val="6"/>
          <w:sz w:val="24"/>
          <w:szCs w:val="24"/>
          <w:lang w:val="en-ZA" w:eastAsia="en-GB"/>
        </w:rPr>
      </w:pPr>
      <w:r w:rsidRPr="008B22E8">
        <w:rPr>
          <w:rFonts w:ascii="Times New Roman" w:eastAsia="Times New Roman" w:hAnsi="Times New Roman" w:cs="Times New Roman"/>
          <w:color w:val="000000"/>
          <w:spacing w:val="6"/>
          <w:sz w:val="24"/>
          <w:szCs w:val="24"/>
          <w:lang w:val="en-ZA" w:eastAsia="en-GB"/>
        </w:rPr>
        <w:t xml:space="preserve">Table 1 below outlines the equitable division of revenue raised nationally among the three spheres of government (National, Provincial and Local). The net effect </w:t>
      </w:r>
      <w:r w:rsidR="0017771F">
        <w:rPr>
          <w:rFonts w:ascii="Times New Roman" w:eastAsia="Times New Roman" w:hAnsi="Times New Roman" w:cs="Times New Roman"/>
          <w:color w:val="000000"/>
          <w:spacing w:val="6"/>
          <w:sz w:val="24"/>
          <w:szCs w:val="24"/>
          <w:lang w:val="en-ZA" w:eastAsia="en-GB"/>
        </w:rPr>
        <w:t xml:space="preserve">of </w:t>
      </w:r>
      <w:r w:rsidRPr="008B22E8">
        <w:rPr>
          <w:rFonts w:ascii="Times New Roman" w:eastAsia="Times New Roman" w:hAnsi="Times New Roman" w:cs="Times New Roman"/>
          <w:color w:val="000000"/>
          <w:spacing w:val="6"/>
          <w:sz w:val="24"/>
          <w:szCs w:val="24"/>
          <w:lang w:val="en-ZA" w:eastAsia="en-GB"/>
        </w:rPr>
        <w:t xml:space="preserve">the 2019 </w:t>
      </w:r>
      <w:r w:rsidRPr="008B22E8">
        <w:rPr>
          <w:rFonts w:ascii="Times New Roman" w:eastAsia="Times New Roman" w:hAnsi="Times New Roman" w:cs="Times New Roman"/>
          <w:color w:val="000000"/>
          <w:spacing w:val="6"/>
          <w:sz w:val="24"/>
          <w:szCs w:val="24"/>
          <w:lang w:val="en-ZA" w:eastAsia="en-GB"/>
        </w:rPr>
        <w:lastRenderedPageBreak/>
        <w:t xml:space="preserve">adjustments is an increase in the 2019/20 budget allocation </w:t>
      </w:r>
      <w:r w:rsidR="00E04049">
        <w:rPr>
          <w:rFonts w:ascii="Times New Roman" w:eastAsia="Times New Roman" w:hAnsi="Times New Roman" w:cs="Times New Roman"/>
          <w:color w:val="000000"/>
          <w:spacing w:val="6"/>
          <w:sz w:val="24"/>
          <w:szCs w:val="24"/>
          <w:lang w:val="en-ZA" w:eastAsia="en-GB"/>
        </w:rPr>
        <w:t>by</w:t>
      </w:r>
      <w:r w:rsidRPr="008B22E8">
        <w:rPr>
          <w:rFonts w:ascii="Times New Roman" w:eastAsia="Times New Roman" w:hAnsi="Times New Roman" w:cs="Times New Roman"/>
          <w:color w:val="000000"/>
          <w:spacing w:val="6"/>
          <w:sz w:val="24"/>
          <w:szCs w:val="24"/>
          <w:lang w:val="en-ZA" w:eastAsia="en-GB"/>
        </w:rPr>
        <w:t xml:space="preserve"> R24 644 884 000, increasing the budget allocation from R1 658 707 425 000 to R 1 683 352 309 000.  </w:t>
      </w:r>
      <w:r w:rsidR="005F5018" w:rsidRPr="008B22E8">
        <w:rPr>
          <w:rFonts w:ascii="Times New Roman" w:eastAsia="Times New Roman" w:hAnsi="Times New Roman" w:cs="Times New Roman"/>
          <w:color w:val="000000"/>
          <w:spacing w:val="6"/>
          <w:sz w:val="24"/>
          <w:szCs w:val="24"/>
          <w:lang w:val="en-ZA" w:eastAsia="en-GB"/>
        </w:rPr>
        <w:t xml:space="preserve">The R24 644 884 000 adjustment allocation is attributed largely to the government financial support to Eskom though the </w:t>
      </w:r>
      <w:r w:rsidR="005F5018" w:rsidRPr="008B22E8">
        <w:rPr>
          <w:rFonts w:ascii="Times New Roman" w:eastAsia="Times New Roman" w:hAnsi="Times New Roman" w:cs="Times New Roman"/>
          <w:i/>
          <w:color w:val="000000"/>
          <w:spacing w:val="6"/>
          <w:sz w:val="24"/>
          <w:szCs w:val="24"/>
          <w:lang w:val="en-ZA" w:eastAsia="en-GB"/>
        </w:rPr>
        <w:t>Special Appropriation Bill [[B10 – 2019] (Reprint)],</w:t>
      </w:r>
      <w:r w:rsidR="005F5018" w:rsidRPr="008B22E8">
        <w:rPr>
          <w:rFonts w:ascii="Times New Roman" w:eastAsia="Times New Roman" w:hAnsi="Times New Roman" w:cs="Times New Roman"/>
          <w:color w:val="000000"/>
          <w:spacing w:val="6"/>
          <w:sz w:val="24"/>
          <w:szCs w:val="24"/>
          <w:lang w:val="en-ZA" w:eastAsia="en-GB"/>
        </w:rPr>
        <w:t xml:space="preserve"> and to a lesser extent, </w:t>
      </w:r>
      <w:r w:rsidR="00672DE6" w:rsidRPr="008B22E8">
        <w:rPr>
          <w:rFonts w:ascii="Times New Roman" w:eastAsia="Times New Roman" w:hAnsi="Times New Roman" w:cs="Times New Roman"/>
          <w:color w:val="000000"/>
          <w:spacing w:val="6"/>
          <w:sz w:val="24"/>
          <w:szCs w:val="24"/>
          <w:lang w:val="en-ZA" w:eastAsia="en-GB"/>
        </w:rPr>
        <w:t xml:space="preserve">debt services costs, the contingency reserve, and provisional allocations. </w:t>
      </w:r>
    </w:p>
    <w:p w14:paraId="061A156C" w14:textId="77777777" w:rsidR="00672DE6" w:rsidRPr="008B22E8" w:rsidRDefault="00672DE6" w:rsidP="00CA173C">
      <w:pPr>
        <w:spacing w:after="0" w:line="360" w:lineRule="auto"/>
        <w:jc w:val="both"/>
        <w:rPr>
          <w:rFonts w:ascii="Times New Roman" w:eastAsia="Times New Roman" w:hAnsi="Times New Roman" w:cs="Times New Roman"/>
          <w:color w:val="000000"/>
          <w:spacing w:val="6"/>
          <w:sz w:val="24"/>
          <w:szCs w:val="24"/>
          <w:lang w:val="en-ZA" w:eastAsia="en-GB"/>
        </w:rPr>
      </w:pPr>
    </w:p>
    <w:p w14:paraId="0D3A462B" w14:textId="0A71D4FB" w:rsidR="004F0873" w:rsidRDefault="004F0873" w:rsidP="004F0873">
      <w:pPr>
        <w:spacing w:after="0" w:line="240" w:lineRule="auto"/>
        <w:jc w:val="both"/>
        <w:rPr>
          <w:rFonts w:ascii="Times New Roman" w:eastAsia="Times New Roman" w:hAnsi="Times New Roman" w:cs="Times New Roman"/>
          <w:color w:val="000000"/>
          <w:spacing w:val="6"/>
          <w:sz w:val="24"/>
          <w:szCs w:val="24"/>
          <w:lang w:val="en-ZA" w:eastAsia="en-GB"/>
        </w:rPr>
      </w:pPr>
      <w:r w:rsidRPr="008B22E8">
        <w:rPr>
          <w:rFonts w:ascii="Times New Roman" w:eastAsia="Times New Roman" w:hAnsi="Times New Roman" w:cs="Times New Roman"/>
          <w:b/>
          <w:color w:val="000000"/>
          <w:spacing w:val="6"/>
          <w:sz w:val="24"/>
          <w:szCs w:val="24"/>
          <w:lang w:val="en-ZA" w:eastAsia="en-GB"/>
        </w:rPr>
        <w:t xml:space="preserve">Table 1: </w:t>
      </w:r>
      <w:r w:rsidRPr="0017771F">
        <w:rPr>
          <w:rFonts w:ascii="Times New Roman" w:eastAsia="Times New Roman" w:hAnsi="Times New Roman" w:cs="Times New Roman"/>
          <w:color w:val="000000"/>
          <w:spacing w:val="6"/>
          <w:sz w:val="24"/>
          <w:szCs w:val="24"/>
          <w:lang w:val="en-ZA" w:eastAsia="en-GB"/>
        </w:rPr>
        <w:t>Schedule 1: Equitable Division of Revenue Raised Nationally Among the Three Spheres of Government</w:t>
      </w:r>
    </w:p>
    <w:p w14:paraId="4C0450B0" w14:textId="77777777" w:rsidR="00801A1B" w:rsidRPr="0017771F" w:rsidRDefault="00801A1B" w:rsidP="004F0873">
      <w:pPr>
        <w:spacing w:after="0" w:line="240" w:lineRule="auto"/>
        <w:jc w:val="both"/>
        <w:rPr>
          <w:rFonts w:ascii="Times New Roman" w:eastAsia="Times New Roman" w:hAnsi="Times New Roman" w:cs="Times New Roman"/>
          <w:color w:val="000000"/>
          <w:spacing w:val="6"/>
          <w:sz w:val="24"/>
          <w:szCs w:val="24"/>
          <w:lang w:val="en-ZA"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1727"/>
        <w:gridCol w:w="2164"/>
        <w:gridCol w:w="2503"/>
      </w:tblGrid>
      <w:tr w:rsidR="00DD7A5A" w:rsidRPr="008B22E8" w14:paraId="158936AE" w14:textId="77777777" w:rsidTr="00DD7A5A">
        <w:trPr>
          <w:trHeight w:val="576"/>
        </w:trPr>
        <w:tc>
          <w:tcPr>
            <w:tcW w:w="1753" w:type="pct"/>
            <w:vMerge w:val="restart"/>
            <w:shd w:val="clear" w:color="auto" w:fill="D9D9D9" w:themeFill="background1" w:themeFillShade="D9"/>
          </w:tcPr>
          <w:p w14:paraId="17CC9ACD" w14:textId="77777777" w:rsidR="00DD7A5A" w:rsidRDefault="00DD7A5A" w:rsidP="00CA173C">
            <w:pPr>
              <w:spacing w:after="0" w:line="240" w:lineRule="auto"/>
              <w:jc w:val="both"/>
              <w:rPr>
                <w:rFonts w:ascii="Times New Roman" w:eastAsia="Calibri" w:hAnsi="Times New Roman" w:cs="Times New Roman"/>
                <w:b/>
                <w:bCs/>
                <w:color w:val="000000"/>
                <w:spacing w:val="6"/>
                <w:sz w:val="24"/>
                <w:szCs w:val="24"/>
                <w:lang w:val="en-ZA" w:eastAsia="en-GB"/>
              </w:rPr>
            </w:pPr>
          </w:p>
          <w:p w14:paraId="0AEA6020" w14:textId="77777777" w:rsidR="00DD7A5A" w:rsidRDefault="00DD7A5A" w:rsidP="00CA173C">
            <w:pPr>
              <w:spacing w:after="0" w:line="240" w:lineRule="auto"/>
              <w:jc w:val="both"/>
              <w:rPr>
                <w:rFonts w:ascii="Times New Roman" w:eastAsia="Calibri" w:hAnsi="Times New Roman" w:cs="Times New Roman"/>
                <w:b/>
                <w:bCs/>
                <w:color w:val="000000"/>
                <w:spacing w:val="6"/>
                <w:sz w:val="24"/>
                <w:szCs w:val="24"/>
                <w:lang w:val="en-ZA" w:eastAsia="en-GB"/>
              </w:rPr>
            </w:pPr>
          </w:p>
          <w:p w14:paraId="10C4AA87" w14:textId="1F14DE63" w:rsidR="00DD7A5A" w:rsidRPr="008B22E8" w:rsidRDefault="00DD7A5A" w:rsidP="00CA173C">
            <w:pPr>
              <w:spacing w:after="0" w:line="240" w:lineRule="auto"/>
              <w:jc w:val="both"/>
              <w:rPr>
                <w:rFonts w:ascii="Times New Roman" w:eastAsia="Calibri" w:hAnsi="Times New Roman" w:cs="Times New Roman"/>
                <w:b/>
                <w:bCs/>
                <w:color w:val="000000"/>
                <w:spacing w:val="6"/>
                <w:sz w:val="24"/>
                <w:szCs w:val="24"/>
                <w:lang w:val="en-ZA" w:eastAsia="en-GB"/>
              </w:rPr>
            </w:pPr>
            <w:r w:rsidRPr="008B22E8">
              <w:rPr>
                <w:rFonts w:ascii="Times New Roman" w:eastAsia="Calibri" w:hAnsi="Times New Roman" w:cs="Times New Roman"/>
                <w:b/>
                <w:bCs/>
                <w:color w:val="000000"/>
                <w:spacing w:val="6"/>
                <w:sz w:val="24"/>
                <w:szCs w:val="24"/>
                <w:lang w:val="en-ZA" w:eastAsia="en-GB"/>
              </w:rPr>
              <w:t xml:space="preserve">Spheres of government </w:t>
            </w:r>
          </w:p>
        </w:tc>
        <w:tc>
          <w:tcPr>
            <w:tcW w:w="3247" w:type="pct"/>
            <w:gridSpan w:val="3"/>
            <w:shd w:val="clear" w:color="auto" w:fill="D9D9D9" w:themeFill="background1" w:themeFillShade="D9"/>
          </w:tcPr>
          <w:p w14:paraId="1321DF89" w14:textId="303515BA" w:rsidR="00DD7A5A" w:rsidRPr="008B22E8" w:rsidRDefault="00DD7A5A" w:rsidP="00DD7A5A">
            <w:pPr>
              <w:spacing w:after="0" w:line="240" w:lineRule="auto"/>
              <w:jc w:val="center"/>
              <w:rPr>
                <w:rFonts w:ascii="Times New Roman" w:eastAsia="Calibri" w:hAnsi="Times New Roman" w:cs="Times New Roman"/>
                <w:b/>
                <w:bCs/>
                <w:color w:val="000000"/>
                <w:spacing w:val="6"/>
                <w:sz w:val="24"/>
                <w:szCs w:val="24"/>
                <w:lang w:val="en-ZA" w:eastAsia="en-GB"/>
              </w:rPr>
            </w:pPr>
            <w:r>
              <w:rPr>
                <w:rFonts w:ascii="Times New Roman" w:eastAsia="Calibri" w:hAnsi="Times New Roman" w:cs="Times New Roman"/>
                <w:b/>
                <w:bCs/>
                <w:color w:val="000000"/>
                <w:spacing w:val="6"/>
                <w:sz w:val="24"/>
                <w:szCs w:val="24"/>
                <w:lang w:val="en-ZA" w:eastAsia="en-GB"/>
              </w:rPr>
              <w:t>Column A</w:t>
            </w:r>
          </w:p>
        </w:tc>
      </w:tr>
      <w:tr w:rsidR="00DD7A5A" w:rsidRPr="008B22E8" w14:paraId="56123D0C" w14:textId="77777777" w:rsidTr="00DD7A5A">
        <w:trPr>
          <w:trHeight w:val="576"/>
        </w:trPr>
        <w:tc>
          <w:tcPr>
            <w:tcW w:w="1753" w:type="pct"/>
            <w:vMerge/>
            <w:shd w:val="clear" w:color="auto" w:fill="D9D9D9" w:themeFill="background1" w:themeFillShade="D9"/>
          </w:tcPr>
          <w:p w14:paraId="6E0CF35D" w14:textId="0BE81378" w:rsidR="00DD7A5A" w:rsidRPr="008B22E8" w:rsidRDefault="00DD7A5A" w:rsidP="00CA173C">
            <w:pPr>
              <w:spacing w:after="0" w:line="240" w:lineRule="auto"/>
              <w:jc w:val="both"/>
              <w:rPr>
                <w:rFonts w:ascii="Times New Roman" w:eastAsia="Calibri" w:hAnsi="Times New Roman" w:cs="Times New Roman"/>
                <w:b/>
                <w:bCs/>
                <w:color w:val="000000"/>
                <w:spacing w:val="6"/>
                <w:sz w:val="24"/>
                <w:szCs w:val="24"/>
                <w:lang w:val="en-ZA" w:eastAsia="en-GB"/>
              </w:rPr>
            </w:pPr>
          </w:p>
        </w:tc>
        <w:tc>
          <w:tcPr>
            <w:tcW w:w="877" w:type="pct"/>
            <w:shd w:val="clear" w:color="auto" w:fill="D9D9D9" w:themeFill="background1" w:themeFillShade="D9"/>
          </w:tcPr>
          <w:p w14:paraId="01E12FCD" w14:textId="7372CE2B" w:rsidR="00DD7A5A" w:rsidRPr="008B22E8" w:rsidRDefault="00DD7A5A" w:rsidP="00CA173C">
            <w:pPr>
              <w:spacing w:after="0" w:line="240" w:lineRule="auto"/>
              <w:jc w:val="center"/>
              <w:rPr>
                <w:rFonts w:ascii="Times New Roman" w:eastAsia="Calibri" w:hAnsi="Times New Roman" w:cs="Times New Roman"/>
                <w:b/>
                <w:bCs/>
                <w:color w:val="000000"/>
                <w:spacing w:val="6"/>
                <w:sz w:val="24"/>
                <w:szCs w:val="24"/>
                <w:lang w:val="en-ZA" w:eastAsia="en-GB"/>
              </w:rPr>
            </w:pPr>
            <w:r w:rsidRPr="008B22E8">
              <w:rPr>
                <w:rFonts w:ascii="Times New Roman" w:eastAsia="Calibri" w:hAnsi="Times New Roman" w:cs="Times New Roman"/>
                <w:b/>
                <w:bCs/>
                <w:color w:val="000000"/>
                <w:spacing w:val="6"/>
                <w:sz w:val="24"/>
                <w:szCs w:val="24"/>
                <w:lang w:val="en-ZA" w:eastAsia="en-GB"/>
              </w:rPr>
              <w:t>2011/20  Main Allocations</w:t>
            </w:r>
          </w:p>
          <w:p w14:paraId="36F37D00" w14:textId="77777777" w:rsidR="00DD7A5A" w:rsidRPr="008B22E8" w:rsidRDefault="00DD7A5A" w:rsidP="00CA173C">
            <w:pPr>
              <w:spacing w:after="0" w:line="240" w:lineRule="auto"/>
              <w:jc w:val="both"/>
              <w:rPr>
                <w:rFonts w:ascii="Times New Roman" w:eastAsia="Calibri" w:hAnsi="Times New Roman" w:cs="Times New Roman"/>
                <w:b/>
                <w:bCs/>
                <w:color w:val="000000"/>
                <w:spacing w:val="6"/>
                <w:sz w:val="24"/>
                <w:szCs w:val="24"/>
                <w:lang w:val="en-ZA" w:eastAsia="en-GB"/>
              </w:rPr>
            </w:pPr>
          </w:p>
          <w:p w14:paraId="360F4551" w14:textId="0B1B70F9" w:rsidR="00DD7A5A" w:rsidRPr="008B22E8" w:rsidRDefault="00DD7A5A" w:rsidP="00CA173C">
            <w:pPr>
              <w:spacing w:after="0" w:line="240" w:lineRule="auto"/>
              <w:jc w:val="both"/>
              <w:rPr>
                <w:rFonts w:ascii="Times New Roman" w:eastAsia="Calibri" w:hAnsi="Times New Roman" w:cs="Times New Roman"/>
                <w:b/>
                <w:bCs/>
                <w:color w:val="000000"/>
                <w:spacing w:val="6"/>
                <w:sz w:val="24"/>
                <w:szCs w:val="24"/>
                <w:lang w:val="en-ZA" w:eastAsia="en-GB"/>
              </w:rPr>
            </w:pPr>
          </w:p>
        </w:tc>
        <w:tc>
          <w:tcPr>
            <w:tcW w:w="1099" w:type="pct"/>
            <w:shd w:val="clear" w:color="auto" w:fill="D9D9D9" w:themeFill="background1" w:themeFillShade="D9"/>
          </w:tcPr>
          <w:p w14:paraId="02E2F684" w14:textId="77777777" w:rsidR="00DD7A5A" w:rsidRPr="008B22E8" w:rsidRDefault="00DD7A5A" w:rsidP="00CA173C">
            <w:pPr>
              <w:spacing w:after="0" w:line="240" w:lineRule="auto"/>
              <w:jc w:val="both"/>
              <w:rPr>
                <w:rFonts w:ascii="Times New Roman" w:eastAsia="Calibri" w:hAnsi="Times New Roman" w:cs="Times New Roman"/>
                <w:b/>
                <w:bCs/>
                <w:color w:val="000000"/>
                <w:spacing w:val="6"/>
                <w:sz w:val="24"/>
                <w:szCs w:val="24"/>
                <w:lang w:val="en-ZA" w:eastAsia="en-GB"/>
              </w:rPr>
            </w:pPr>
            <w:r w:rsidRPr="008B22E8">
              <w:rPr>
                <w:rFonts w:ascii="Times New Roman" w:eastAsia="Calibri" w:hAnsi="Times New Roman" w:cs="Times New Roman"/>
                <w:b/>
                <w:bCs/>
                <w:color w:val="000000"/>
                <w:spacing w:val="6"/>
                <w:sz w:val="24"/>
                <w:szCs w:val="24"/>
                <w:lang w:val="en-ZA" w:eastAsia="en-GB"/>
              </w:rPr>
              <w:t xml:space="preserve">Adjustment </w:t>
            </w:r>
          </w:p>
          <w:p w14:paraId="5817E15F" w14:textId="77777777" w:rsidR="00DD7A5A" w:rsidRPr="008B22E8" w:rsidRDefault="00DD7A5A" w:rsidP="00CA173C">
            <w:pPr>
              <w:spacing w:after="0" w:line="240" w:lineRule="auto"/>
              <w:jc w:val="both"/>
              <w:rPr>
                <w:rFonts w:ascii="Times New Roman" w:eastAsia="Calibri" w:hAnsi="Times New Roman" w:cs="Times New Roman"/>
                <w:b/>
                <w:bCs/>
                <w:color w:val="000000"/>
                <w:spacing w:val="6"/>
                <w:sz w:val="24"/>
                <w:szCs w:val="24"/>
                <w:lang w:val="en-ZA" w:eastAsia="en-GB"/>
              </w:rPr>
            </w:pPr>
          </w:p>
          <w:p w14:paraId="166FCB23" w14:textId="77777777" w:rsidR="00DD7A5A" w:rsidRPr="008B22E8" w:rsidRDefault="00DD7A5A" w:rsidP="00CA173C">
            <w:pPr>
              <w:spacing w:after="0" w:line="240" w:lineRule="auto"/>
              <w:jc w:val="both"/>
              <w:rPr>
                <w:rFonts w:ascii="Times New Roman" w:eastAsia="Calibri" w:hAnsi="Times New Roman" w:cs="Times New Roman"/>
                <w:b/>
                <w:bCs/>
                <w:color w:val="000000"/>
                <w:spacing w:val="6"/>
                <w:sz w:val="24"/>
                <w:szCs w:val="24"/>
                <w:lang w:val="en-ZA" w:eastAsia="en-GB"/>
              </w:rPr>
            </w:pPr>
          </w:p>
          <w:p w14:paraId="272DD4EE" w14:textId="3A6EDE6E" w:rsidR="00DD7A5A" w:rsidRPr="008B22E8" w:rsidRDefault="00DD7A5A" w:rsidP="00CA173C">
            <w:pPr>
              <w:spacing w:after="0" w:line="240" w:lineRule="auto"/>
              <w:jc w:val="both"/>
              <w:rPr>
                <w:rFonts w:ascii="Times New Roman" w:eastAsia="Calibri" w:hAnsi="Times New Roman" w:cs="Times New Roman"/>
                <w:b/>
                <w:bCs/>
                <w:color w:val="000000"/>
                <w:spacing w:val="6"/>
                <w:sz w:val="24"/>
                <w:szCs w:val="24"/>
                <w:lang w:val="en-ZA" w:eastAsia="en-GB"/>
              </w:rPr>
            </w:pPr>
          </w:p>
        </w:tc>
        <w:tc>
          <w:tcPr>
            <w:tcW w:w="1272" w:type="pct"/>
            <w:shd w:val="clear" w:color="auto" w:fill="D9D9D9" w:themeFill="background1" w:themeFillShade="D9"/>
          </w:tcPr>
          <w:p w14:paraId="244E69A8" w14:textId="21620F52" w:rsidR="00DD7A5A" w:rsidRPr="008B22E8" w:rsidRDefault="00DD7A5A" w:rsidP="00CA173C">
            <w:pPr>
              <w:spacing w:after="0" w:line="240" w:lineRule="auto"/>
              <w:jc w:val="both"/>
              <w:rPr>
                <w:rFonts w:ascii="Times New Roman" w:eastAsia="Calibri" w:hAnsi="Times New Roman" w:cs="Times New Roman"/>
                <w:b/>
                <w:bCs/>
                <w:color w:val="000000"/>
                <w:spacing w:val="6"/>
                <w:sz w:val="24"/>
                <w:szCs w:val="24"/>
                <w:lang w:val="en-ZA" w:eastAsia="en-GB"/>
              </w:rPr>
            </w:pPr>
            <w:r w:rsidRPr="008B22E8">
              <w:rPr>
                <w:rFonts w:ascii="Times New Roman" w:eastAsia="Calibri" w:hAnsi="Times New Roman" w:cs="Times New Roman"/>
                <w:b/>
                <w:bCs/>
                <w:color w:val="000000"/>
                <w:spacing w:val="6"/>
                <w:sz w:val="24"/>
                <w:szCs w:val="24"/>
                <w:lang w:val="en-ZA" w:eastAsia="en-GB"/>
              </w:rPr>
              <w:t>2019/20 Adjusted Allocation</w:t>
            </w:r>
          </w:p>
          <w:p w14:paraId="5BE771FE" w14:textId="77777777" w:rsidR="00DD7A5A" w:rsidRPr="008B22E8" w:rsidRDefault="00DD7A5A" w:rsidP="00CA173C">
            <w:pPr>
              <w:spacing w:after="0" w:line="240" w:lineRule="auto"/>
              <w:jc w:val="both"/>
              <w:rPr>
                <w:rFonts w:ascii="Times New Roman" w:eastAsia="Calibri" w:hAnsi="Times New Roman" w:cs="Times New Roman"/>
                <w:b/>
                <w:bCs/>
                <w:color w:val="000000"/>
                <w:spacing w:val="6"/>
                <w:sz w:val="24"/>
                <w:szCs w:val="24"/>
                <w:lang w:val="en-ZA" w:eastAsia="en-GB"/>
              </w:rPr>
            </w:pPr>
          </w:p>
          <w:p w14:paraId="6F381889" w14:textId="24271E95" w:rsidR="00DD7A5A" w:rsidRPr="008B22E8" w:rsidRDefault="00DD7A5A" w:rsidP="00CA173C">
            <w:pPr>
              <w:spacing w:after="0" w:line="240" w:lineRule="auto"/>
              <w:jc w:val="both"/>
              <w:rPr>
                <w:rFonts w:ascii="Times New Roman" w:eastAsia="Calibri" w:hAnsi="Times New Roman" w:cs="Times New Roman"/>
                <w:b/>
                <w:bCs/>
                <w:color w:val="000000"/>
                <w:spacing w:val="6"/>
                <w:sz w:val="24"/>
                <w:szCs w:val="24"/>
                <w:lang w:val="en-ZA" w:eastAsia="en-GB"/>
              </w:rPr>
            </w:pPr>
          </w:p>
        </w:tc>
      </w:tr>
      <w:tr w:rsidR="00CA173C" w:rsidRPr="008B22E8" w14:paraId="61DAAAEB" w14:textId="77777777" w:rsidTr="00DD7A5A">
        <w:trPr>
          <w:trHeight w:val="370"/>
        </w:trPr>
        <w:tc>
          <w:tcPr>
            <w:tcW w:w="1753" w:type="pct"/>
            <w:shd w:val="clear" w:color="auto" w:fill="FFFFFF" w:themeFill="background1"/>
          </w:tcPr>
          <w:p w14:paraId="18D4511F" w14:textId="77777777" w:rsidR="00CA173C" w:rsidRPr="008B22E8" w:rsidRDefault="00CA173C" w:rsidP="00CA173C">
            <w:pPr>
              <w:spacing w:after="0" w:line="240" w:lineRule="auto"/>
              <w:jc w:val="both"/>
              <w:rPr>
                <w:rFonts w:ascii="Times New Roman" w:eastAsia="Calibri" w:hAnsi="Times New Roman" w:cs="Times New Roman"/>
                <w:b/>
                <w:bCs/>
                <w:color w:val="000000"/>
                <w:spacing w:val="6"/>
                <w:sz w:val="24"/>
                <w:szCs w:val="24"/>
                <w:lang w:val="en-ZA" w:eastAsia="en-GB"/>
              </w:rPr>
            </w:pPr>
          </w:p>
        </w:tc>
        <w:tc>
          <w:tcPr>
            <w:tcW w:w="877" w:type="pct"/>
            <w:shd w:val="clear" w:color="auto" w:fill="FFFFFF" w:themeFill="background1"/>
          </w:tcPr>
          <w:p w14:paraId="2438CAFD" w14:textId="334B595B" w:rsidR="00CA173C" w:rsidRPr="008B22E8" w:rsidRDefault="00CA173C" w:rsidP="00CA173C">
            <w:pPr>
              <w:spacing w:after="0" w:line="240" w:lineRule="auto"/>
              <w:rPr>
                <w:rFonts w:ascii="Times New Roman" w:eastAsia="Calibri" w:hAnsi="Times New Roman" w:cs="Times New Roman"/>
                <w:b/>
                <w:bCs/>
                <w:color w:val="000000"/>
                <w:spacing w:val="6"/>
                <w:sz w:val="24"/>
                <w:szCs w:val="24"/>
                <w:lang w:val="en-ZA" w:eastAsia="en-GB"/>
              </w:rPr>
            </w:pPr>
            <w:r w:rsidRPr="008B22E8">
              <w:rPr>
                <w:rFonts w:ascii="Times New Roman" w:eastAsia="Calibri" w:hAnsi="Times New Roman" w:cs="Times New Roman"/>
                <w:b/>
                <w:bCs/>
                <w:color w:val="000000"/>
                <w:spacing w:val="6"/>
                <w:sz w:val="24"/>
                <w:szCs w:val="24"/>
                <w:lang w:val="en-ZA" w:eastAsia="en-GB"/>
              </w:rPr>
              <w:t>R’000</w:t>
            </w:r>
          </w:p>
        </w:tc>
        <w:tc>
          <w:tcPr>
            <w:tcW w:w="1099" w:type="pct"/>
            <w:shd w:val="clear" w:color="auto" w:fill="FFFFFF" w:themeFill="background1"/>
          </w:tcPr>
          <w:p w14:paraId="31D00349" w14:textId="6A25948E" w:rsidR="00CA173C" w:rsidRPr="008B22E8" w:rsidRDefault="00CA173C" w:rsidP="00CA173C">
            <w:pPr>
              <w:spacing w:after="0" w:line="240" w:lineRule="auto"/>
              <w:jc w:val="both"/>
              <w:rPr>
                <w:rFonts w:ascii="Times New Roman" w:eastAsia="Calibri" w:hAnsi="Times New Roman" w:cs="Times New Roman"/>
                <w:b/>
                <w:bCs/>
                <w:color w:val="000000"/>
                <w:spacing w:val="6"/>
                <w:sz w:val="24"/>
                <w:szCs w:val="24"/>
                <w:lang w:val="en-ZA" w:eastAsia="en-GB"/>
              </w:rPr>
            </w:pPr>
            <w:r w:rsidRPr="008B22E8">
              <w:rPr>
                <w:rFonts w:ascii="Times New Roman" w:eastAsia="Calibri" w:hAnsi="Times New Roman" w:cs="Times New Roman"/>
                <w:b/>
                <w:bCs/>
                <w:color w:val="000000"/>
                <w:spacing w:val="6"/>
                <w:sz w:val="24"/>
                <w:szCs w:val="24"/>
                <w:lang w:val="en-ZA" w:eastAsia="en-GB"/>
              </w:rPr>
              <w:t>R’000</w:t>
            </w:r>
          </w:p>
        </w:tc>
        <w:tc>
          <w:tcPr>
            <w:tcW w:w="1272" w:type="pct"/>
            <w:shd w:val="clear" w:color="auto" w:fill="FFFFFF" w:themeFill="background1"/>
          </w:tcPr>
          <w:p w14:paraId="141AC3EA" w14:textId="553B3922" w:rsidR="00CA173C" w:rsidRPr="008B22E8" w:rsidRDefault="00CA173C" w:rsidP="00CA173C">
            <w:pPr>
              <w:spacing w:after="0" w:line="240" w:lineRule="auto"/>
              <w:jc w:val="both"/>
              <w:rPr>
                <w:rFonts w:ascii="Times New Roman" w:eastAsia="Calibri" w:hAnsi="Times New Roman" w:cs="Times New Roman"/>
                <w:b/>
                <w:bCs/>
                <w:color w:val="000000"/>
                <w:spacing w:val="6"/>
                <w:sz w:val="24"/>
                <w:szCs w:val="24"/>
                <w:lang w:val="en-ZA" w:eastAsia="en-GB"/>
              </w:rPr>
            </w:pPr>
            <w:r w:rsidRPr="008B22E8">
              <w:rPr>
                <w:rFonts w:ascii="Times New Roman" w:eastAsia="Calibri" w:hAnsi="Times New Roman" w:cs="Times New Roman"/>
                <w:b/>
                <w:bCs/>
                <w:color w:val="000000"/>
                <w:spacing w:val="6"/>
                <w:sz w:val="24"/>
                <w:szCs w:val="24"/>
                <w:lang w:val="en-ZA" w:eastAsia="en-GB"/>
              </w:rPr>
              <w:t>R’000</w:t>
            </w:r>
          </w:p>
        </w:tc>
      </w:tr>
      <w:tr w:rsidR="00CA173C" w:rsidRPr="008B22E8" w14:paraId="1FE5D92D" w14:textId="77777777" w:rsidTr="00DD7A5A">
        <w:trPr>
          <w:trHeight w:val="288"/>
        </w:trPr>
        <w:tc>
          <w:tcPr>
            <w:tcW w:w="1753" w:type="pct"/>
            <w:shd w:val="clear" w:color="auto" w:fill="auto"/>
            <w:noWrap/>
          </w:tcPr>
          <w:p w14:paraId="14BCEA2D" w14:textId="53E0B30A" w:rsidR="00CA173C" w:rsidRPr="008B22E8" w:rsidRDefault="00CA173C" w:rsidP="0006575C">
            <w:pPr>
              <w:spacing w:after="0" w:line="360" w:lineRule="auto"/>
              <w:jc w:val="both"/>
              <w:rPr>
                <w:rFonts w:ascii="Times New Roman" w:eastAsia="Calibri" w:hAnsi="Times New Roman" w:cs="Times New Roman"/>
                <w:b/>
                <w:color w:val="000000"/>
                <w:spacing w:val="6"/>
                <w:sz w:val="24"/>
                <w:szCs w:val="24"/>
                <w:lang w:val="en-ZA" w:eastAsia="en-GB"/>
              </w:rPr>
            </w:pPr>
            <w:r w:rsidRPr="008B22E8">
              <w:rPr>
                <w:rFonts w:ascii="Times New Roman" w:eastAsia="Calibri" w:hAnsi="Times New Roman" w:cs="Times New Roman"/>
                <w:b/>
                <w:color w:val="000000"/>
                <w:spacing w:val="6"/>
                <w:sz w:val="24"/>
                <w:szCs w:val="24"/>
                <w:lang w:val="en-ZA" w:eastAsia="en-GB"/>
              </w:rPr>
              <w:t>National</w:t>
            </w:r>
            <w:r w:rsidR="00DE134E" w:rsidRPr="008B22E8">
              <w:rPr>
                <w:rStyle w:val="FootnoteReference"/>
                <w:rFonts w:ascii="Times New Roman" w:eastAsia="Calibri" w:hAnsi="Times New Roman" w:cs="Times New Roman"/>
                <w:b/>
                <w:color w:val="000000"/>
                <w:spacing w:val="6"/>
                <w:sz w:val="24"/>
                <w:szCs w:val="24"/>
                <w:lang w:val="en-ZA" w:eastAsia="en-GB"/>
              </w:rPr>
              <w:footnoteReference w:id="1"/>
            </w:r>
            <w:r w:rsidRPr="008B22E8">
              <w:rPr>
                <w:rFonts w:ascii="Times New Roman" w:eastAsia="Calibri" w:hAnsi="Times New Roman" w:cs="Times New Roman"/>
                <w:b/>
                <w:color w:val="000000"/>
                <w:spacing w:val="6"/>
                <w:sz w:val="24"/>
                <w:szCs w:val="24"/>
                <w:lang w:val="en-ZA" w:eastAsia="en-GB"/>
              </w:rPr>
              <w:t xml:space="preserve"> </w:t>
            </w:r>
            <w:r w:rsidR="00DE134E" w:rsidRPr="008B22E8">
              <w:rPr>
                <w:rStyle w:val="FootnoteReference"/>
                <w:rFonts w:ascii="Times New Roman" w:eastAsia="Calibri" w:hAnsi="Times New Roman" w:cs="Times New Roman"/>
                <w:b/>
                <w:color w:val="000000"/>
                <w:spacing w:val="6"/>
                <w:sz w:val="24"/>
                <w:szCs w:val="24"/>
                <w:lang w:val="en-ZA" w:eastAsia="en-GB"/>
              </w:rPr>
              <w:footnoteReference w:id="2"/>
            </w:r>
          </w:p>
        </w:tc>
        <w:tc>
          <w:tcPr>
            <w:tcW w:w="877" w:type="pct"/>
            <w:shd w:val="clear" w:color="auto" w:fill="auto"/>
            <w:noWrap/>
          </w:tcPr>
          <w:p w14:paraId="2E707AA5" w14:textId="6A2FBB65" w:rsidR="00CA173C" w:rsidRPr="008B22E8" w:rsidRDefault="00CA173C" w:rsidP="00CA173C">
            <w:pPr>
              <w:tabs>
                <w:tab w:val="left" w:pos="226"/>
                <w:tab w:val="left" w:pos="414"/>
              </w:tabs>
              <w:spacing w:after="0" w:line="360" w:lineRule="auto"/>
              <w:jc w:val="both"/>
              <w:rPr>
                <w:rFonts w:ascii="Times New Roman" w:eastAsia="Calibri" w:hAnsi="Times New Roman" w:cs="Times New Roman"/>
                <w:color w:val="000000"/>
                <w:spacing w:val="6"/>
                <w:sz w:val="24"/>
                <w:szCs w:val="24"/>
                <w:lang w:val="en-ZA" w:eastAsia="en-GB"/>
              </w:rPr>
            </w:pPr>
            <w:r w:rsidRPr="008B22E8">
              <w:rPr>
                <w:rFonts w:ascii="Times New Roman" w:eastAsia="Calibri" w:hAnsi="Times New Roman" w:cs="Times New Roman"/>
                <w:color w:val="000000"/>
                <w:spacing w:val="6"/>
                <w:sz w:val="24"/>
                <w:szCs w:val="24"/>
                <w:lang w:val="en-ZA" w:eastAsia="en-GB"/>
              </w:rPr>
              <w:t>1 084 180 207</w:t>
            </w:r>
          </w:p>
        </w:tc>
        <w:tc>
          <w:tcPr>
            <w:tcW w:w="1099" w:type="pct"/>
            <w:shd w:val="clear" w:color="auto" w:fill="auto"/>
            <w:noWrap/>
          </w:tcPr>
          <w:p w14:paraId="2C1DCB8F" w14:textId="3BE8048B" w:rsidR="00CA173C" w:rsidRPr="008B22E8" w:rsidRDefault="00CA173C" w:rsidP="0006575C">
            <w:pPr>
              <w:spacing w:after="0" w:line="360" w:lineRule="auto"/>
              <w:jc w:val="both"/>
              <w:rPr>
                <w:rFonts w:ascii="Times New Roman" w:eastAsia="Calibri" w:hAnsi="Times New Roman" w:cs="Times New Roman"/>
                <w:color w:val="000000"/>
                <w:spacing w:val="6"/>
                <w:sz w:val="24"/>
                <w:szCs w:val="24"/>
                <w:lang w:val="en-ZA" w:eastAsia="en-GB"/>
              </w:rPr>
            </w:pPr>
            <w:r w:rsidRPr="008B22E8">
              <w:rPr>
                <w:rFonts w:ascii="Times New Roman" w:eastAsia="Calibri" w:hAnsi="Times New Roman" w:cs="Times New Roman"/>
                <w:color w:val="000000"/>
                <w:spacing w:val="6"/>
                <w:sz w:val="24"/>
                <w:szCs w:val="24"/>
                <w:lang w:val="en-ZA" w:eastAsia="en-GB"/>
              </w:rPr>
              <w:t xml:space="preserve">   24 644 884 </w:t>
            </w:r>
          </w:p>
        </w:tc>
        <w:tc>
          <w:tcPr>
            <w:tcW w:w="1272" w:type="pct"/>
            <w:shd w:val="clear" w:color="auto" w:fill="auto"/>
            <w:noWrap/>
          </w:tcPr>
          <w:p w14:paraId="0E16E898" w14:textId="2EA2CDFF" w:rsidR="00CA173C" w:rsidRPr="008B22E8" w:rsidRDefault="00DE134E" w:rsidP="0006575C">
            <w:pPr>
              <w:spacing w:after="0" w:line="360" w:lineRule="auto"/>
              <w:jc w:val="both"/>
              <w:rPr>
                <w:rFonts w:ascii="Times New Roman" w:eastAsia="Calibri" w:hAnsi="Times New Roman" w:cs="Times New Roman"/>
                <w:color w:val="000000"/>
                <w:spacing w:val="6"/>
                <w:sz w:val="24"/>
                <w:szCs w:val="24"/>
                <w:lang w:val="en-ZA" w:eastAsia="en-GB"/>
              </w:rPr>
            </w:pPr>
            <w:r w:rsidRPr="008B22E8">
              <w:rPr>
                <w:rFonts w:ascii="Times New Roman" w:eastAsia="Calibri" w:hAnsi="Times New Roman" w:cs="Times New Roman"/>
                <w:color w:val="000000"/>
                <w:spacing w:val="6"/>
                <w:sz w:val="24"/>
                <w:szCs w:val="24"/>
                <w:lang w:val="en-ZA" w:eastAsia="en-GB"/>
              </w:rPr>
              <w:t xml:space="preserve">1 108 825 091 </w:t>
            </w:r>
          </w:p>
        </w:tc>
      </w:tr>
      <w:tr w:rsidR="00DE134E" w:rsidRPr="008B22E8" w14:paraId="7EDE53B9" w14:textId="77777777" w:rsidTr="00DD7A5A">
        <w:trPr>
          <w:trHeight w:val="288"/>
        </w:trPr>
        <w:tc>
          <w:tcPr>
            <w:tcW w:w="1753" w:type="pct"/>
            <w:shd w:val="clear" w:color="auto" w:fill="auto"/>
            <w:noWrap/>
          </w:tcPr>
          <w:p w14:paraId="4FC9518A" w14:textId="77777777" w:rsidR="00DE134E" w:rsidRPr="008B22E8" w:rsidRDefault="00DE134E" w:rsidP="00DE134E">
            <w:pPr>
              <w:spacing w:after="0" w:line="360" w:lineRule="auto"/>
              <w:jc w:val="both"/>
              <w:rPr>
                <w:rFonts w:ascii="Times New Roman" w:eastAsia="Calibri" w:hAnsi="Times New Roman" w:cs="Times New Roman"/>
                <w:b/>
                <w:color w:val="000000"/>
                <w:spacing w:val="6"/>
                <w:sz w:val="24"/>
                <w:szCs w:val="24"/>
                <w:lang w:val="en-ZA" w:eastAsia="en-GB"/>
              </w:rPr>
            </w:pPr>
            <w:r w:rsidRPr="008B22E8">
              <w:rPr>
                <w:rFonts w:ascii="Times New Roman" w:eastAsia="Calibri" w:hAnsi="Times New Roman" w:cs="Times New Roman"/>
                <w:b/>
                <w:color w:val="000000"/>
                <w:spacing w:val="6"/>
                <w:sz w:val="24"/>
                <w:szCs w:val="24"/>
                <w:lang w:val="en-ZA" w:eastAsia="en-GB"/>
              </w:rPr>
              <w:t xml:space="preserve">Provincial </w:t>
            </w:r>
          </w:p>
        </w:tc>
        <w:tc>
          <w:tcPr>
            <w:tcW w:w="877" w:type="pct"/>
            <w:shd w:val="clear" w:color="auto" w:fill="auto"/>
            <w:noWrap/>
          </w:tcPr>
          <w:p w14:paraId="7949EBD4" w14:textId="3C69190C" w:rsidR="00DE134E" w:rsidRPr="008B22E8" w:rsidRDefault="00DE134E" w:rsidP="00DE134E">
            <w:pPr>
              <w:spacing w:after="0" w:line="360" w:lineRule="auto"/>
              <w:jc w:val="both"/>
              <w:rPr>
                <w:rFonts w:ascii="Times New Roman" w:eastAsia="Calibri" w:hAnsi="Times New Roman" w:cs="Times New Roman"/>
                <w:color w:val="000000"/>
                <w:spacing w:val="6"/>
                <w:sz w:val="24"/>
                <w:szCs w:val="24"/>
                <w:lang w:val="en-ZA" w:eastAsia="en-GB"/>
              </w:rPr>
            </w:pPr>
            <w:r w:rsidRPr="008B22E8">
              <w:rPr>
                <w:rFonts w:ascii="Times New Roman" w:eastAsia="Calibri" w:hAnsi="Times New Roman" w:cs="Times New Roman"/>
                <w:color w:val="000000"/>
                <w:spacing w:val="6"/>
                <w:sz w:val="24"/>
                <w:szCs w:val="24"/>
                <w:lang w:val="en-ZA" w:eastAsia="en-GB"/>
              </w:rPr>
              <w:t xml:space="preserve">   505 553 753</w:t>
            </w:r>
          </w:p>
        </w:tc>
        <w:tc>
          <w:tcPr>
            <w:tcW w:w="1099" w:type="pct"/>
            <w:shd w:val="clear" w:color="auto" w:fill="auto"/>
            <w:noWrap/>
          </w:tcPr>
          <w:p w14:paraId="23E915E9" w14:textId="77777777" w:rsidR="00DE134E" w:rsidRPr="008B22E8" w:rsidRDefault="00DE134E" w:rsidP="00DE134E">
            <w:pPr>
              <w:spacing w:after="0" w:line="360" w:lineRule="auto"/>
              <w:jc w:val="both"/>
              <w:rPr>
                <w:rFonts w:ascii="Times New Roman" w:eastAsia="Calibri" w:hAnsi="Times New Roman" w:cs="Times New Roman"/>
                <w:color w:val="000000"/>
                <w:spacing w:val="6"/>
                <w:sz w:val="24"/>
                <w:szCs w:val="24"/>
                <w:lang w:val="en-ZA" w:eastAsia="en-GB"/>
              </w:rPr>
            </w:pPr>
            <w:r w:rsidRPr="008B22E8">
              <w:rPr>
                <w:rFonts w:ascii="Times New Roman" w:eastAsia="Calibri" w:hAnsi="Times New Roman" w:cs="Times New Roman"/>
                <w:color w:val="000000"/>
                <w:spacing w:val="6"/>
                <w:sz w:val="24"/>
                <w:szCs w:val="24"/>
                <w:lang w:val="en-ZA" w:eastAsia="en-GB"/>
              </w:rPr>
              <w:t> </w:t>
            </w:r>
          </w:p>
        </w:tc>
        <w:tc>
          <w:tcPr>
            <w:tcW w:w="1272" w:type="pct"/>
            <w:shd w:val="clear" w:color="auto" w:fill="auto"/>
            <w:noWrap/>
          </w:tcPr>
          <w:p w14:paraId="3FFA42B8" w14:textId="51D41FB9" w:rsidR="00DE134E" w:rsidRPr="008B22E8" w:rsidRDefault="00DE134E" w:rsidP="00DE134E">
            <w:pPr>
              <w:spacing w:after="0" w:line="360" w:lineRule="auto"/>
              <w:jc w:val="both"/>
              <w:rPr>
                <w:rFonts w:ascii="Times New Roman" w:eastAsia="Calibri" w:hAnsi="Times New Roman" w:cs="Times New Roman"/>
                <w:color w:val="000000"/>
                <w:spacing w:val="6"/>
                <w:sz w:val="24"/>
                <w:szCs w:val="24"/>
                <w:lang w:val="en-ZA" w:eastAsia="en-GB"/>
              </w:rPr>
            </w:pPr>
            <w:r w:rsidRPr="008B22E8">
              <w:rPr>
                <w:rFonts w:ascii="Times New Roman" w:eastAsia="Calibri" w:hAnsi="Times New Roman" w:cs="Times New Roman"/>
                <w:color w:val="000000"/>
                <w:spacing w:val="6"/>
                <w:sz w:val="24"/>
                <w:szCs w:val="24"/>
                <w:lang w:val="en-ZA" w:eastAsia="en-GB"/>
              </w:rPr>
              <w:t xml:space="preserve">   505 553 753</w:t>
            </w:r>
          </w:p>
        </w:tc>
      </w:tr>
      <w:tr w:rsidR="00DE134E" w:rsidRPr="008B22E8" w14:paraId="54D7B9E3" w14:textId="77777777" w:rsidTr="00DD7A5A">
        <w:trPr>
          <w:trHeight w:val="300"/>
        </w:trPr>
        <w:tc>
          <w:tcPr>
            <w:tcW w:w="1753" w:type="pct"/>
            <w:shd w:val="clear" w:color="auto" w:fill="auto"/>
            <w:noWrap/>
          </w:tcPr>
          <w:p w14:paraId="323ED9F7" w14:textId="77777777" w:rsidR="00DE134E" w:rsidRPr="008B22E8" w:rsidRDefault="00DE134E" w:rsidP="00DE134E">
            <w:pPr>
              <w:spacing w:after="0" w:line="360" w:lineRule="auto"/>
              <w:jc w:val="both"/>
              <w:rPr>
                <w:rFonts w:ascii="Times New Roman" w:eastAsia="Calibri" w:hAnsi="Times New Roman" w:cs="Times New Roman"/>
                <w:b/>
                <w:color w:val="000000"/>
                <w:spacing w:val="6"/>
                <w:sz w:val="24"/>
                <w:szCs w:val="24"/>
                <w:lang w:val="en-ZA" w:eastAsia="en-GB"/>
              </w:rPr>
            </w:pPr>
            <w:r w:rsidRPr="008B22E8">
              <w:rPr>
                <w:rFonts w:ascii="Times New Roman" w:eastAsia="Calibri" w:hAnsi="Times New Roman" w:cs="Times New Roman"/>
                <w:b/>
                <w:color w:val="000000"/>
                <w:spacing w:val="6"/>
                <w:sz w:val="24"/>
                <w:szCs w:val="24"/>
                <w:lang w:val="en-ZA" w:eastAsia="en-GB"/>
              </w:rPr>
              <w:t xml:space="preserve">Local  </w:t>
            </w:r>
          </w:p>
        </w:tc>
        <w:tc>
          <w:tcPr>
            <w:tcW w:w="877" w:type="pct"/>
            <w:shd w:val="clear" w:color="auto" w:fill="auto"/>
            <w:noWrap/>
          </w:tcPr>
          <w:p w14:paraId="303CB904" w14:textId="727CAAEF" w:rsidR="00DE134E" w:rsidRPr="008B22E8" w:rsidRDefault="00DE134E" w:rsidP="00DE134E">
            <w:pPr>
              <w:spacing w:after="0" w:line="360" w:lineRule="auto"/>
              <w:jc w:val="both"/>
              <w:rPr>
                <w:rFonts w:ascii="Times New Roman" w:eastAsia="Calibri" w:hAnsi="Times New Roman" w:cs="Times New Roman"/>
                <w:color w:val="000000"/>
                <w:spacing w:val="6"/>
                <w:sz w:val="24"/>
                <w:szCs w:val="24"/>
                <w:lang w:val="en-ZA" w:eastAsia="en-GB"/>
              </w:rPr>
            </w:pPr>
            <w:r w:rsidRPr="008B22E8">
              <w:rPr>
                <w:rFonts w:ascii="Times New Roman" w:eastAsia="Calibri" w:hAnsi="Times New Roman" w:cs="Times New Roman"/>
                <w:color w:val="000000"/>
                <w:spacing w:val="6"/>
                <w:sz w:val="24"/>
                <w:szCs w:val="24"/>
                <w:lang w:val="en-ZA" w:eastAsia="en-GB"/>
              </w:rPr>
              <w:t xml:space="preserve">     68 973 465</w:t>
            </w:r>
          </w:p>
        </w:tc>
        <w:tc>
          <w:tcPr>
            <w:tcW w:w="1099" w:type="pct"/>
            <w:shd w:val="clear" w:color="auto" w:fill="auto"/>
            <w:noWrap/>
          </w:tcPr>
          <w:p w14:paraId="24929197" w14:textId="77777777" w:rsidR="00DE134E" w:rsidRPr="008B22E8" w:rsidRDefault="00DE134E" w:rsidP="00DE134E">
            <w:pPr>
              <w:spacing w:after="0" w:line="360" w:lineRule="auto"/>
              <w:jc w:val="both"/>
              <w:rPr>
                <w:rFonts w:ascii="Times New Roman" w:eastAsia="Calibri" w:hAnsi="Times New Roman" w:cs="Times New Roman"/>
                <w:color w:val="000000"/>
                <w:spacing w:val="6"/>
                <w:sz w:val="24"/>
                <w:szCs w:val="24"/>
                <w:lang w:val="en-ZA" w:eastAsia="en-GB"/>
              </w:rPr>
            </w:pPr>
            <w:r w:rsidRPr="008B22E8">
              <w:rPr>
                <w:rFonts w:ascii="Times New Roman" w:eastAsia="Calibri" w:hAnsi="Times New Roman" w:cs="Times New Roman"/>
                <w:color w:val="000000"/>
                <w:spacing w:val="6"/>
                <w:sz w:val="24"/>
                <w:szCs w:val="24"/>
                <w:lang w:val="en-ZA" w:eastAsia="en-GB"/>
              </w:rPr>
              <w:t> </w:t>
            </w:r>
          </w:p>
        </w:tc>
        <w:tc>
          <w:tcPr>
            <w:tcW w:w="1272" w:type="pct"/>
            <w:shd w:val="clear" w:color="auto" w:fill="auto"/>
            <w:noWrap/>
          </w:tcPr>
          <w:p w14:paraId="25E81E1B" w14:textId="51D1E1CF" w:rsidR="00DE134E" w:rsidRPr="008B22E8" w:rsidRDefault="00DE134E" w:rsidP="00DE134E">
            <w:pPr>
              <w:spacing w:after="0" w:line="360" w:lineRule="auto"/>
              <w:jc w:val="both"/>
              <w:rPr>
                <w:rFonts w:ascii="Times New Roman" w:eastAsia="Calibri" w:hAnsi="Times New Roman" w:cs="Times New Roman"/>
                <w:color w:val="000000"/>
                <w:spacing w:val="6"/>
                <w:sz w:val="24"/>
                <w:szCs w:val="24"/>
                <w:lang w:val="en-ZA" w:eastAsia="en-GB"/>
              </w:rPr>
            </w:pPr>
            <w:r w:rsidRPr="008B22E8">
              <w:rPr>
                <w:rFonts w:ascii="Times New Roman" w:eastAsia="Calibri" w:hAnsi="Times New Roman" w:cs="Times New Roman"/>
                <w:color w:val="000000"/>
                <w:spacing w:val="6"/>
                <w:sz w:val="24"/>
                <w:szCs w:val="24"/>
                <w:lang w:val="en-ZA" w:eastAsia="en-GB"/>
              </w:rPr>
              <w:t xml:space="preserve">     68 973 465</w:t>
            </w:r>
          </w:p>
        </w:tc>
      </w:tr>
      <w:tr w:rsidR="00DE134E" w:rsidRPr="008B22E8" w14:paraId="6CD974DB" w14:textId="77777777" w:rsidTr="00DD7A5A">
        <w:trPr>
          <w:trHeight w:val="300"/>
        </w:trPr>
        <w:tc>
          <w:tcPr>
            <w:tcW w:w="1753" w:type="pct"/>
            <w:shd w:val="clear" w:color="auto" w:fill="FFFFFF" w:themeFill="background1"/>
            <w:noWrap/>
          </w:tcPr>
          <w:p w14:paraId="73032FA0" w14:textId="77777777" w:rsidR="00DE134E" w:rsidRPr="008B22E8" w:rsidRDefault="00DE134E" w:rsidP="00DE134E">
            <w:pPr>
              <w:spacing w:after="0" w:line="360" w:lineRule="auto"/>
              <w:jc w:val="both"/>
              <w:rPr>
                <w:rFonts w:ascii="Times New Roman" w:eastAsia="Calibri" w:hAnsi="Times New Roman" w:cs="Times New Roman"/>
                <w:b/>
                <w:bCs/>
                <w:color w:val="000000"/>
                <w:spacing w:val="6"/>
                <w:sz w:val="24"/>
                <w:szCs w:val="24"/>
                <w:lang w:val="en-ZA" w:eastAsia="en-GB"/>
              </w:rPr>
            </w:pPr>
            <w:r w:rsidRPr="008B22E8">
              <w:rPr>
                <w:rFonts w:ascii="Times New Roman" w:eastAsia="Calibri" w:hAnsi="Times New Roman" w:cs="Times New Roman"/>
                <w:b/>
                <w:bCs/>
                <w:color w:val="000000"/>
                <w:spacing w:val="6"/>
                <w:sz w:val="24"/>
                <w:szCs w:val="24"/>
                <w:lang w:val="en-ZA" w:eastAsia="en-GB"/>
              </w:rPr>
              <w:t xml:space="preserve">Total </w:t>
            </w:r>
          </w:p>
        </w:tc>
        <w:tc>
          <w:tcPr>
            <w:tcW w:w="877" w:type="pct"/>
            <w:shd w:val="clear" w:color="auto" w:fill="FFFFFF" w:themeFill="background1"/>
            <w:noWrap/>
          </w:tcPr>
          <w:p w14:paraId="5C46F81F" w14:textId="1C0E3062" w:rsidR="00DE134E" w:rsidRPr="008B22E8" w:rsidRDefault="00DE134E" w:rsidP="00DE134E">
            <w:pPr>
              <w:spacing w:after="0" w:line="360" w:lineRule="auto"/>
              <w:jc w:val="both"/>
              <w:rPr>
                <w:rFonts w:ascii="Times New Roman" w:eastAsia="Calibri" w:hAnsi="Times New Roman" w:cs="Times New Roman"/>
                <w:b/>
                <w:bCs/>
                <w:color w:val="000000"/>
                <w:spacing w:val="6"/>
                <w:sz w:val="24"/>
                <w:szCs w:val="24"/>
                <w:lang w:val="en-ZA" w:eastAsia="en-GB"/>
              </w:rPr>
            </w:pPr>
            <w:r w:rsidRPr="008B22E8">
              <w:rPr>
                <w:rFonts w:ascii="Times New Roman" w:eastAsia="Calibri" w:hAnsi="Times New Roman" w:cs="Times New Roman"/>
                <w:b/>
                <w:bCs/>
                <w:color w:val="000000"/>
                <w:spacing w:val="6"/>
                <w:sz w:val="24"/>
                <w:szCs w:val="24"/>
                <w:lang w:val="en-ZA" w:eastAsia="en-GB"/>
              </w:rPr>
              <w:t>1 658</w:t>
            </w:r>
            <w:r w:rsidR="003F06F6" w:rsidRPr="008B22E8">
              <w:rPr>
                <w:rFonts w:ascii="Times New Roman" w:eastAsia="Calibri" w:hAnsi="Times New Roman" w:cs="Times New Roman"/>
                <w:b/>
                <w:bCs/>
                <w:color w:val="000000"/>
                <w:spacing w:val="6"/>
                <w:sz w:val="24"/>
                <w:szCs w:val="24"/>
                <w:lang w:val="en-ZA" w:eastAsia="en-GB"/>
              </w:rPr>
              <w:t xml:space="preserve"> 707 425</w:t>
            </w:r>
          </w:p>
        </w:tc>
        <w:tc>
          <w:tcPr>
            <w:tcW w:w="1099" w:type="pct"/>
            <w:shd w:val="clear" w:color="auto" w:fill="FFFFFF" w:themeFill="background1"/>
            <w:noWrap/>
          </w:tcPr>
          <w:p w14:paraId="29A9A5CA" w14:textId="43D53982" w:rsidR="00DE134E" w:rsidRPr="008B22E8" w:rsidRDefault="00DE134E" w:rsidP="00DE134E">
            <w:pPr>
              <w:spacing w:after="0" w:line="360" w:lineRule="auto"/>
              <w:jc w:val="both"/>
              <w:rPr>
                <w:rFonts w:ascii="Times New Roman" w:eastAsia="Calibri" w:hAnsi="Times New Roman" w:cs="Times New Roman"/>
                <w:b/>
                <w:bCs/>
                <w:color w:val="000000"/>
                <w:spacing w:val="6"/>
                <w:sz w:val="24"/>
                <w:szCs w:val="24"/>
                <w:lang w:val="en-ZA" w:eastAsia="en-GB"/>
              </w:rPr>
            </w:pPr>
            <w:r w:rsidRPr="008B22E8">
              <w:rPr>
                <w:rFonts w:ascii="Times New Roman" w:eastAsia="Calibri" w:hAnsi="Times New Roman" w:cs="Times New Roman"/>
                <w:b/>
                <w:bCs/>
                <w:color w:val="000000"/>
                <w:spacing w:val="6"/>
                <w:sz w:val="24"/>
                <w:szCs w:val="24"/>
                <w:lang w:val="en-ZA" w:eastAsia="en-GB"/>
              </w:rPr>
              <w:t> </w:t>
            </w:r>
            <w:r w:rsidRPr="008B22E8">
              <w:rPr>
                <w:rFonts w:ascii="Times New Roman" w:eastAsia="Calibri" w:hAnsi="Times New Roman" w:cs="Times New Roman"/>
                <w:b/>
                <w:color w:val="000000"/>
                <w:spacing w:val="6"/>
                <w:sz w:val="24"/>
                <w:szCs w:val="24"/>
                <w:lang w:val="en-ZA" w:eastAsia="en-GB"/>
              </w:rPr>
              <w:t xml:space="preserve"> 24 644 884 </w:t>
            </w:r>
          </w:p>
        </w:tc>
        <w:tc>
          <w:tcPr>
            <w:tcW w:w="1272" w:type="pct"/>
            <w:shd w:val="clear" w:color="auto" w:fill="FFFFFF" w:themeFill="background1"/>
            <w:noWrap/>
          </w:tcPr>
          <w:p w14:paraId="6C49F8C4" w14:textId="1BFAF223" w:rsidR="00DE134E" w:rsidRPr="008B22E8" w:rsidRDefault="00DE134E" w:rsidP="00DE134E">
            <w:pPr>
              <w:spacing w:after="0" w:line="360" w:lineRule="auto"/>
              <w:jc w:val="both"/>
              <w:rPr>
                <w:rFonts w:ascii="Times New Roman" w:eastAsia="Calibri" w:hAnsi="Times New Roman" w:cs="Times New Roman"/>
                <w:b/>
                <w:bCs/>
                <w:color w:val="000000"/>
                <w:spacing w:val="6"/>
                <w:sz w:val="24"/>
                <w:szCs w:val="24"/>
                <w:lang w:val="en-ZA" w:eastAsia="en-GB"/>
              </w:rPr>
            </w:pPr>
            <w:r w:rsidRPr="008B22E8">
              <w:rPr>
                <w:rFonts w:ascii="Times New Roman" w:eastAsia="Calibri" w:hAnsi="Times New Roman" w:cs="Times New Roman"/>
                <w:b/>
                <w:bCs/>
                <w:color w:val="000000"/>
                <w:spacing w:val="6"/>
                <w:sz w:val="24"/>
                <w:szCs w:val="24"/>
                <w:lang w:val="en-ZA" w:eastAsia="en-GB"/>
              </w:rPr>
              <w:t>1 683 352 309</w:t>
            </w:r>
          </w:p>
        </w:tc>
      </w:tr>
    </w:tbl>
    <w:p w14:paraId="4F52C735" w14:textId="1DF36B98" w:rsidR="00CA173C" w:rsidRPr="0017771F" w:rsidRDefault="00C36768" w:rsidP="00CA173C">
      <w:pPr>
        <w:spacing w:after="0" w:line="360" w:lineRule="auto"/>
        <w:jc w:val="both"/>
        <w:rPr>
          <w:rFonts w:ascii="Times New Roman" w:eastAsia="Times New Roman" w:hAnsi="Times New Roman" w:cs="Times New Roman"/>
          <w:color w:val="000000"/>
          <w:spacing w:val="6"/>
          <w:sz w:val="20"/>
          <w:szCs w:val="24"/>
          <w:lang w:val="en-ZA" w:eastAsia="en-GB"/>
        </w:rPr>
      </w:pPr>
      <w:r w:rsidRPr="0017771F">
        <w:rPr>
          <w:rFonts w:ascii="Times New Roman" w:eastAsia="Times New Roman" w:hAnsi="Times New Roman" w:cs="Times New Roman"/>
          <w:color w:val="000000"/>
          <w:spacing w:val="6"/>
          <w:sz w:val="20"/>
          <w:szCs w:val="24"/>
          <w:lang w:val="en-ZA" w:eastAsia="en-GB"/>
        </w:rPr>
        <w:t xml:space="preserve">Source: National Treasury </w:t>
      </w:r>
      <w:r w:rsidR="0017771F">
        <w:rPr>
          <w:rFonts w:ascii="Times New Roman" w:eastAsia="Times New Roman" w:hAnsi="Times New Roman" w:cs="Times New Roman"/>
          <w:color w:val="000000"/>
          <w:spacing w:val="6"/>
          <w:sz w:val="20"/>
          <w:szCs w:val="24"/>
          <w:lang w:val="en-ZA" w:eastAsia="en-GB"/>
        </w:rPr>
        <w:t>(</w:t>
      </w:r>
      <w:r w:rsidRPr="0017771F">
        <w:rPr>
          <w:rFonts w:ascii="Times New Roman" w:eastAsia="Times New Roman" w:hAnsi="Times New Roman" w:cs="Times New Roman"/>
          <w:color w:val="000000"/>
          <w:spacing w:val="6"/>
          <w:sz w:val="20"/>
          <w:szCs w:val="24"/>
          <w:lang w:val="en-ZA" w:eastAsia="en-GB"/>
        </w:rPr>
        <w:t>2019 Division of Revenue Amendment Bill</w:t>
      </w:r>
      <w:r w:rsidR="0017771F">
        <w:rPr>
          <w:rFonts w:ascii="Times New Roman" w:eastAsia="Times New Roman" w:hAnsi="Times New Roman" w:cs="Times New Roman"/>
          <w:color w:val="000000"/>
          <w:spacing w:val="6"/>
          <w:sz w:val="20"/>
          <w:szCs w:val="24"/>
          <w:lang w:val="en-ZA" w:eastAsia="en-GB"/>
        </w:rPr>
        <w:t>)</w:t>
      </w:r>
    </w:p>
    <w:p w14:paraId="14A60EC8" w14:textId="7AB1CA5C" w:rsidR="0014636D" w:rsidRPr="008B22E8" w:rsidRDefault="0014636D" w:rsidP="001D16C3">
      <w:pPr>
        <w:spacing w:after="0" w:line="360" w:lineRule="auto"/>
        <w:rPr>
          <w:rFonts w:ascii="Times New Roman" w:hAnsi="Times New Roman" w:cs="Times New Roman"/>
          <w:sz w:val="24"/>
          <w:szCs w:val="24"/>
          <w:lang w:val="en-ZA"/>
        </w:rPr>
      </w:pPr>
    </w:p>
    <w:p w14:paraId="0F5624A1" w14:textId="3BFCE338" w:rsidR="007C7219" w:rsidRPr="008B22E8" w:rsidRDefault="007C7219" w:rsidP="0017771F">
      <w:pPr>
        <w:numPr>
          <w:ilvl w:val="0"/>
          <w:numId w:val="1"/>
        </w:numPr>
        <w:spacing w:after="0" w:line="360" w:lineRule="auto"/>
        <w:ind w:left="709" w:hanging="709"/>
        <w:jc w:val="both"/>
        <w:rPr>
          <w:rFonts w:ascii="Times New Roman" w:eastAsia="Times New Roman" w:hAnsi="Times New Roman" w:cs="Times New Roman"/>
          <w:b/>
          <w:color w:val="000000"/>
          <w:spacing w:val="6"/>
          <w:sz w:val="24"/>
          <w:szCs w:val="24"/>
          <w:lang w:val="en-ZA" w:eastAsia="en-GB"/>
        </w:rPr>
      </w:pPr>
      <w:r w:rsidRPr="008B22E8">
        <w:rPr>
          <w:rFonts w:ascii="Times New Roman" w:eastAsia="Times New Roman" w:hAnsi="Times New Roman" w:cs="Times New Roman"/>
          <w:b/>
          <w:color w:val="000000"/>
          <w:spacing w:val="6"/>
          <w:sz w:val="24"/>
          <w:szCs w:val="24"/>
          <w:lang w:val="en-ZA" w:eastAsia="en-GB"/>
        </w:rPr>
        <w:t xml:space="preserve">Adjustments to provincial </w:t>
      </w:r>
      <w:r w:rsidR="0038326B" w:rsidRPr="008B22E8">
        <w:rPr>
          <w:rFonts w:ascii="Times New Roman" w:eastAsia="Times New Roman" w:hAnsi="Times New Roman" w:cs="Times New Roman"/>
          <w:b/>
          <w:color w:val="000000"/>
          <w:spacing w:val="6"/>
          <w:sz w:val="24"/>
          <w:szCs w:val="24"/>
          <w:lang w:val="en-ZA" w:eastAsia="en-GB"/>
        </w:rPr>
        <w:t xml:space="preserve">government conditional grant </w:t>
      </w:r>
      <w:r w:rsidRPr="008B22E8">
        <w:rPr>
          <w:rFonts w:ascii="Times New Roman" w:eastAsia="Times New Roman" w:hAnsi="Times New Roman" w:cs="Times New Roman"/>
          <w:b/>
          <w:color w:val="000000"/>
          <w:spacing w:val="6"/>
          <w:sz w:val="24"/>
          <w:szCs w:val="24"/>
          <w:lang w:val="en-ZA" w:eastAsia="en-GB"/>
        </w:rPr>
        <w:t xml:space="preserve">allocations </w:t>
      </w:r>
    </w:p>
    <w:p w14:paraId="040DEE6D" w14:textId="77777777" w:rsidR="00E03045" w:rsidRPr="008B22E8" w:rsidRDefault="00E03045" w:rsidP="00E03045">
      <w:pPr>
        <w:spacing w:after="0" w:line="360" w:lineRule="auto"/>
        <w:jc w:val="both"/>
        <w:rPr>
          <w:rFonts w:ascii="Times New Roman" w:eastAsia="Times New Roman" w:hAnsi="Times New Roman" w:cs="Times New Roman"/>
          <w:b/>
          <w:color w:val="000000"/>
          <w:spacing w:val="6"/>
          <w:sz w:val="24"/>
          <w:szCs w:val="24"/>
          <w:lang w:val="en-ZA" w:eastAsia="en-GB"/>
        </w:rPr>
      </w:pPr>
    </w:p>
    <w:p w14:paraId="0A1517AC" w14:textId="422D053D" w:rsidR="0003388E" w:rsidRPr="00113680" w:rsidRDefault="00AE08F7" w:rsidP="007C7219">
      <w:pPr>
        <w:pStyle w:val="ListParagraph"/>
        <w:numPr>
          <w:ilvl w:val="1"/>
          <w:numId w:val="1"/>
        </w:numPr>
        <w:spacing w:after="0" w:line="360" w:lineRule="auto"/>
        <w:ind w:left="709" w:hanging="709"/>
        <w:jc w:val="both"/>
        <w:rPr>
          <w:rFonts w:ascii="Times New Roman" w:eastAsia="Times New Roman" w:hAnsi="Times New Roman" w:cs="Times New Roman"/>
          <w:b/>
          <w:color w:val="000000"/>
          <w:spacing w:val="6"/>
          <w:sz w:val="24"/>
          <w:szCs w:val="24"/>
          <w:lang w:val="en-ZA" w:eastAsia="en-GB"/>
        </w:rPr>
      </w:pPr>
      <w:r w:rsidRPr="008B22E8">
        <w:rPr>
          <w:rFonts w:ascii="Times New Roman" w:eastAsia="Times New Roman" w:hAnsi="Times New Roman" w:cs="Times New Roman"/>
          <w:b/>
          <w:color w:val="000000"/>
          <w:spacing w:val="6"/>
          <w:sz w:val="24"/>
          <w:szCs w:val="24"/>
          <w:lang w:val="en-ZA" w:eastAsia="en-GB"/>
        </w:rPr>
        <w:t>Shifting of funds to support disaster recovery</w:t>
      </w:r>
      <w:r w:rsidR="007C7219" w:rsidRPr="008B22E8">
        <w:rPr>
          <w:rFonts w:ascii="Times New Roman" w:eastAsia="Times New Roman" w:hAnsi="Times New Roman" w:cs="Times New Roman"/>
          <w:b/>
          <w:color w:val="000000"/>
          <w:spacing w:val="6"/>
          <w:sz w:val="24"/>
          <w:szCs w:val="24"/>
          <w:lang w:val="en-ZA" w:eastAsia="en-GB"/>
        </w:rPr>
        <w:t xml:space="preserve"> </w:t>
      </w:r>
    </w:p>
    <w:p w14:paraId="36AFE80E" w14:textId="697A0ADA" w:rsidR="0003388E" w:rsidRDefault="0003388E" w:rsidP="00384690">
      <w:pPr>
        <w:spacing w:after="0" w:line="360" w:lineRule="auto"/>
        <w:jc w:val="both"/>
        <w:rPr>
          <w:rFonts w:ascii="Times New Roman" w:eastAsia="Times New Roman" w:hAnsi="Times New Roman" w:cs="Times New Roman"/>
          <w:color w:val="000000"/>
          <w:spacing w:val="6"/>
          <w:sz w:val="24"/>
          <w:szCs w:val="24"/>
          <w:lang w:val="en-ZA" w:eastAsia="en-GB"/>
        </w:rPr>
      </w:pPr>
      <w:r w:rsidRPr="00801A1B">
        <w:rPr>
          <w:rFonts w:ascii="Times New Roman" w:eastAsia="Times New Roman" w:hAnsi="Times New Roman" w:cs="Times New Roman"/>
          <w:b/>
          <w:i/>
          <w:color w:val="000000"/>
          <w:spacing w:val="6"/>
          <w:sz w:val="24"/>
          <w:szCs w:val="24"/>
          <w:lang w:val="en-ZA" w:eastAsia="en-GB"/>
        </w:rPr>
        <w:t>Provincial Road Maintenance Grant:</w:t>
      </w:r>
      <w:r w:rsidRPr="00801A1B">
        <w:rPr>
          <w:rFonts w:ascii="Times New Roman" w:eastAsia="Times New Roman" w:hAnsi="Times New Roman" w:cs="Times New Roman"/>
          <w:color w:val="000000"/>
          <w:spacing w:val="6"/>
          <w:sz w:val="24"/>
          <w:szCs w:val="24"/>
          <w:lang w:val="en-ZA" w:eastAsia="en-GB"/>
        </w:rPr>
        <w:t xml:space="preserve"> A total of R60.</w:t>
      </w:r>
      <w:r w:rsidR="008E2705" w:rsidRPr="00801A1B">
        <w:rPr>
          <w:rFonts w:ascii="Times New Roman" w:eastAsia="Times New Roman" w:hAnsi="Times New Roman" w:cs="Times New Roman"/>
          <w:color w:val="000000"/>
          <w:spacing w:val="6"/>
          <w:sz w:val="24"/>
          <w:szCs w:val="24"/>
          <w:lang w:val="en-ZA" w:eastAsia="en-GB"/>
        </w:rPr>
        <w:t xml:space="preserve"> 733 million </w:t>
      </w:r>
      <w:r w:rsidR="00E04049">
        <w:rPr>
          <w:rFonts w:ascii="Times New Roman" w:eastAsia="Times New Roman" w:hAnsi="Times New Roman" w:cs="Times New Roman"/>
          <w:color w:val="000000"/>
          <w:spacing w:val="6"/>
          <w:sz w:val="24"/>
          <w:szCs w:val="24"/>
          <w:lang w:val="en-ZA" w:eastAsia="en-GB"/>
        </w:rPr>
        <w:t xml:space="preserve">has </w:t>
      </w:r>
      <w:r w:rsidR="008E2705" w:rsidRPr="00801A1B">
        <w:rPr>
          <w:rFonts w:ascii="Times New Roman" w:eastAsia="Times New Roman" w:hAnsi="Times New Roman" w:cs="Times New Roman"/>
          <w:color w:val="000000"/>
          <w:spacing w:val="6"/>
          <w:sz w:val="24"/>
          <w:szCs w:val="24"/>
          <w:lang w:val="en-ZA" w:eastAsia="en-GB"/>
        </w:rPr>
        <w:t xml:space="preserve">been shifted </w:t>
      </w:r>
      <w:r w:rsidR="00E04049">
        <w:rPr>
          <w:rFonts w:ascii="Times New Roman" w:eastAsia="Times New Roman" w:hAnsi="Times New Roman" w:cs="Times New Roman"/>
          <w:color w:val="000000"/>
          <w:spacing w:val="6"/>
          <w:sz w:val="24"/>
          <w:szCs w:val="24"/>
          <w:lang w:val="en-ZA" w:eastAsia="en-GB"/>
        </w:rPr>
        <w:t xml:space="preserve">to, </w:t>
      </w:r>
      <w:r w:rsidR="008E2705" w:rsidRPr="00801A1B">
        <w:rPr>
          <w:rFonts w:ascii="Times New Roman" w:eastAsia="Times New Roman" w:hAnsi="Times New Roman" w:cs="Times New Roman"/>
          <w:color w:val="000000"/>
          <w:spacing w:val="6"/>
          <w:sz w:val="24"/>
          <w:szCs w:val="24"/>
          <w:lang w:val="en-ZA" w:eastAsia="en-GB"/>
        </w:rPr>
        <w:t xml:space="preserve">and ring-fenced </w:t>
      </w:r>
      <w:r w:rsidR="00E04049">
        <w:rPr>
          <w:rFonts w:ascii="Times New Roman" w:eastAsia="Times New Roman" w:hAnsi="Times New Roman" w:cs="Times New Roman"/>
          <w:color w:val="000000"/>
          <w:spacing w:val="6"/>
          <w:sz w:val="24"/>
          <w:szCs w:val="24"/>
          <w:lang w:val="en-ZA" w:eastAsia="en-GB"/>
        </w:rPr>
        <w:t>in</w:t>
      </w:r>
      <w:r w:rsidR="008E2705" w:rsidRPr="00801A1B">
        <w:rPr>
          <w:rFonts w:ascii="Times New Roman" w:eastAsia="Times New Roman" w:hAnsi="Times New Roman" w:cs="Times New Roman"/>
          <w:color w:val="000000"/>
          <w:spacing w:val="6"/>
          <w:sz w:val="24"/>
          <w:szCs w:val="24"/>
          <w:lang w:val="en-ZA" w:eastAsia="en-GB"/>
        </w:rPr>
        <w:t xml:space="preserve"> the provincial road maintenance grant for the Eastern Cape Department of Transport to repair flood-damaged roads in the province. </w:t>
      </w:r>
      <w:r w:rsidR="00002F05" w:rsidRPr="00801A1B">
        <w:rPr>
          <w:rFonts w:ascii="Times New Roman" w:eastAsia="Times New Roman" w:hAnsi="Times New Roman" w:cs="Times New Roman"/>
          <w:color w:val="000000"/>
          <w:spacing w:val="6"/>
          <w:sz w:val="24"/>
          <w:szCs w:val="24"/>
          <w:lang w:val="en-ZA" w:eastAsia="en-GB"/>
        </w:rPr>
        <w:t xml:space="preserve">The funds were shifted from the Municipal Disaster Recovery Grant for Joe </w:t>
      </w:r>
      <w:proofErr w:type="spellStart"/>
      <w:r w:rsidR="00002F05" w:rsidRPr="00801A1B">
        <w:rPr>
          <w:rFonts w:ascii="Times New Roman" w:eastAsia="Times New Roman" w:hAnsi="Times New Roman" w:cs="Times New Roman"/>
          <w:color w:val="000000"/>
          <w:spacing w:val="6"/>
          <w:sz w:val="24"/>
          <w:szCs w:val="24"/>
          <w:lang w:val="en-ZA" w:eastAsia="en-GB"/>
        </w:rPr>
        <w:t>Gqabi</w:t>
      </w:r>
      <w:proofErr w:type="spellEnd"/>
      <w:r w:rsidR="00002F05" w:rsidRPr="00801A1B">
        <w:rPr>
          <w:rFonts w:ascii="Times New Roman" w:eastAsia="Times New Roman" w:hAnsi="Times New Roman" w:cs="Times New Roman"/>
          <w:color w:val="000000"/>
          <w:spacing w:val="6"/>
          <w:sz w:val="24"/>
          <w:szCs w:val="24"/>
          <w:lang w:val="en-ZA" w:eastAsia="en-GB"/>
        </w:rPr>
        <w:t xml:space="preserve"> District Municipality and ring-fenced to the Provincial Roads Maintenance Grant to repair flood-damaged roads within Joe </w:t>
      </w:r>
      <w:proofErr w:type="spellStart"/>
      <w:r w:rsidR="00002F05" w:rsidRPr="00801A1B">
        <w:rPr>
          <w:rFonts w:ascii="Times New Roman" w:eastAsia="Times New Roman" w:hAnsi="Times New Roman" w:cs="Times New Roman"/>
          <w:color w:val="000000"/>
          <w:spacing w:val="6"/>
          <w:sz w:val="24"/>
          <w:szCs w:val="24"/>
          <w:lang w:val="en-ZA" w:eastAsia="en-GB"/>
        </w:rPr>
        <w:t>Gqabi</w:t>
      </w:r>
      <w:proofErr w:type="spellEnd"/>
      <w:r w:rsidR="00002F05" w:rsidRPr="00801A1B">
        <w:rPr>
          <w:rFonts w:ascii="Times New Roman" w:eastAsia="Times New Roman" w:hAnsi="Times New Roman" w:cs="Times New Roman"/>
          <w:color w:val="000000"/>
          <w:spacing w:val="6"/>
          <w:sz w:val="24"/>
          <w:szCs w:val="24"/>
          <w:lang w:val="en-ZA" w:eastAsia="en-GB"/>
        </w:rPr>
        <w:t xml:space="preserve"> District Municipality. </w:t>
      </w:r>
      <w:r w:rsidR="00384690">
        <w:rPr>
          <w:rFonts w:ascii="Times New Roman" w:eastAsia="Times New Roman" w:hAnsi="Times New Roman" w:cs="Times New Roman"/>
          <w:color w:val="000000"/>
          <w:spacing w:val="6"/>
          <w:sz w:val="24"/>
          <w:szCs w:val="24"/>
          <w:lang w:val="en-ZA" w:eastAsia="en-GB"/>
        </w:rPr>
        <w:t xml:space="preserve">The </w:t>
      </w:r>
      <w:r w:rsidR="00384690" w:rsidRPr="00384690">
        <w:rPr>
          <w:rFonts w:ascii="Times New Roman" w:eastAsia="Times New Roman" w:hAnsi="Times New Roman" w:cs="Times New Roman"/>
          <w:color w:val="000000"/>
          <w:spacing w:val="6"/>
          <w:sz w:val="24"/>
          <w:szCs w:val="24"/>
          <w:lang w:val="en-ZA" w:eastAsia="en-GB"/>
        </w:rPr>
        <w:t xml:space="preserve">R60.7 million was erroneously allocated to the Joe </w:t>
      </w:r>
      <w:proofErr w:type="spellStart"/>
      <w:r w:rsidR="00384690" w:rsidRPr="00384690">
        <w:rPr>
          <w:rFonts w:ascii="Times New Roman" w:eastAsia="Times New Roman" w:hAnsi="Times New Roman" w:cs="Times New Roman"/>
          <w:color w:val="000000"/>
          <w:spacing w:val="6"/>
          <w:sz w:val="24"/>
          <w:szCs w:val="24"/>
          <w:lang w:val="en-ZA" w:eastAsia="en-GB"/>
        </w:rPr>
        <w:t>Gqabi</w:t>
      </w:r>
      <w:proofErr w:type="spellEnd"/>
      <w:r w:rsidR="00384690" w:rsidRPr="00384690">
        <w:rPr>
          <w:rFonts w:ascii="Times New Roman" w:eastAsia="Times New Roman" w:hAnsi="Times New Roman" w:cs="Times New Roman"/>
          <w:color w:val="000000"/>
          <w:spacing w:val="6"/>
          <w:sz w:val="24"/>
          <w:szCs w:val="24"/>
          <w:lang w:val="en-ZA" w:eastAsia="en-GB"/>
        </w:rPr>
        <w:t xml:space="preserve"> </w:t>
      </w:r>
      <w:proofErr w:type="spellStart"/>
      <w:r w:rsidR="00384690" w:rsidRPr="00384690">
        <w:rPr>
          <w:rFonts w:ascii="Times New Roman" w:eastAsia="Times New Roman" w:hAnsi="Times New Roman" w:cs="Times New Roman"/>
          <w:color w:val="000000"/>
          <w:spacing w:val="6"/>
          <w:sz w:val="24"/>
          <w:szCs w:val="24"/>
          <w:lang w:val="en-ZA" w:eastAsia="en-GB"/>
        </w:rPr>
        <w:t>Distrct</w:t>
      </w:r>
      <w:proofErr w:type="spellEnd"/>
      <w:r w:rsidR="00384690" w:rsidRPr="00384690">
        <w:rPr>
          <w:rFonts w:ascii="Times New Roman" w:eastAsia="Times New Roman" w:hAnsi="Times New Roman" w:cs="Times New Roman"/>
          <w:color w:val="000000"/>
          <w:spacing w:val="6"/>
          <w:sz w:val="24"/>
          <w:szCs w:val="24"/>
          <w:lang w:val="en-ZA" w:eastAsia="en-GB"/>
        </w:rPr>
        <w:t xml:space="preserve"> Municipality in EC</w:t>
      </w:r>
      <w:r w:rsidR="00384690">
        <w:rPr>
          <w:rFonts w:ascii="Times New Roman" w:eastAsia="Times New Roman" w:hAnsi="Times New Roman" w:cs="Times New Roman"/>
          <w:color w:val="000000"/>
          <w:spacing w:val="6"/>
          <w:sz w:val="24"/>
          <w:szCs w:val="24"/>
          <w:lang w:val="en-ZA" w:eastAsia="en-GB"/>
        </w:rPr>
        <w:t xml:space="preserve"> </w:t>
      </w:r>
      <w:r w:rsidR="00384690" w:rsidRPr="00384690">
        <w:rPr>
          <w:rFonts w:ascii="Times New Roman" w:eastAsia="Times New Roman" w:hAnsi="Times New Roman" w:cs="Times New Roman"/>
          <w:color w:val="000000"/>
          <w:spacing w:val="6"/>
          <w:sz w:val="24"/>
          <w:szCs w:val="24"/>
          <w:lang w:val="en-ZA" w:eastAsia="en-GB"/>
        </w:rPr>
        <w:t>under Municipal Disaster Recovery Grant (MDRG</w:t>
      </w:r>
      <w:r w:rsidR="00384690">
        <w:rPr>
          <w:rFonts w:ascii="Times New Roman" w:eastAsia="Times New Roman" w:hAnsi="Times New Roman" w:cs="Times New Roman"/>
          <w:color w:val="000000"/>
          <w:spacing w:val="6"/>
          <w:sz w:val="24"/>
          <w:szCs w:val="24"/>
          <w:lang w:val="en-ZA" w:eastAsia="en-GB"/>
        </w:rPr>
        <w:t>) a</w:t>
      </w:r>
      <w:r w:rsidR="00E04049">
        <w:rPr>
          <w:rFonts w:ascii="Times New Roman" w:eastAsia="Times New Roman" w:hAnsi="Times New Roman" w:cs="Times New Roman"/>
          <w:color w:val="000000"/>
          <w:spacing w:val="6"/>
          <w:sz w:val="24"/>
          <w:szCs w:val="24"/>
          <w:lang w:val="en-ZA" w:eastAsia="en-GB"/>
        </w:rPr>
        <w:t>s</w:t>
      </w:r>
      <w:r w:rsidR="00384690" w:rsidRPr="00384690">
        <w:rPr>
          <w:rFonts w:ascii="Times New Roman" w:eastAsia="Times New Roman" w:hAnsi="Times New Roman" w:cs="Times New Roman"/>
          <w:color w:val="000000"/>
          <w:spacing w:val="6"/>
          <w:sz w:val="24"/>
          <w:szCs w:val="24"/>
          <w:lang w:val="en-ZA" w:eastAsia="en-GB"/>
        </w:rPr>
        <w:t xml:space="preserve"> the d</w:t>
      </w:r>
      <w:r w:rsidR="00384690">
        <w:rPr>
          <w:rFonts w:ascii="Times New Roman" w:eastAsia="Times New Roman" w:hAnsi="Times New Roman" w:cs="Times New Roman"/>
          <w:color w:val="000000"/>
          <w:spacing w:val="6"/>
          <w:sz w:val="24"/>
          <w:szCs w:val="24"/>
          <w:lang w:val="en-ZA" w:eastAsia="en-GB"/>
        </w:rPr>
        <w:t>a</w:t>
      </w:r>
      <w:r w:rsidR="00384690" w:rsidRPr="00384690">
        <w:rPr>
          <w:rFonts w:ascii="Times New Roman" w:eastAsia="Times New Roman" w:hAnsi="Times New Roman" w:cs="Times New Roman"/>
          <w:color w:val="000000"/>
          <w:spacing w:val="6"/>
          <w:sz w:val="24"/>
          <w:szCs w:val="24"/>
          <w:lang w:val="en-ZA" w:eastAsia="en-GB"/>
        </w:rPr>
        <w:t>maged roads are provincial roads, the funds will be shifted to the</w:t>
      </w:r>
      <w:r w:rsidR="00384690">
        <w:rPr>
          <w:rFonts w:ascii="Times New Roman" w:eastAsia="Times New Roman" w:hAnsi="Times New Roman" w:cs="Times New Roman"/>
          <w:color w:val="000000"/>
          <w:spacing w:val="6"/>
          <w:sz w:val="24"/>
          <w:szCs w:val="24"/>
          <w:lang w:val="en-ZA" w:eastAsia="en-GB"/>
        </w:rPr>
        <w:t xml:space="preserve"> </w:t>
      </w:r>
      <w:r w:rsidR="00384690" w:rsidRPr="00384690">
        <w:rPr>
          <w:rFonts w:ascii="Times New Roman" w:eastAsia="Times New Roman" w:hAnsi="Times New Roman" w:cs="Times New Roman"/>
          <w:color w:val="000000"/>
          <w:spacing w:val="6"/>
          <w:sz w:val="24"/>
          <w:szCs w:val="24"/>
          <w:lang w:val="en-ZA" w:eastAsia="en-GB"/>
        </w:rPr>
        <w:t>Provincial Roads Maintenance Grant and ring fenced to fund the repair of these</w:t>
      </w:r>
      <w:r w:rsidR="00384690">
        <w:rPr>
          <w:rFonts w:ascii="Times New Roman" w:eastAsia="Times New Roman" w:hAnsi="Times New Roman" w:cs="Times New Roman"/>
          <w:color w:val="000000"/>
          <w:spacing w:val="6"/>
          <w:sz w:val="24"/>
          <w:szCs w:val="24"/>
          <w:lang w:val="en-ZA" w:eastAsia="en-GB"/>
        </w:rPr>
        <w:t xml:space="preserve"> roads.</w:t>
      </w:r>
    </w:p>
    <w:p w14:paraId="2906D7C0" w14:textId="0C814FF9" w:rsidR="00BC6427" w:rsidRPr="008B22E8" w:rsidRDefault="00BC6427" w:rsidP="00BC6427">
      <w:pPr>
        <w:spacing w:after="0" w:line="360" w:lineRule="auto"/>
        <w:jc w:val="both"/>
        <w:rPr>
          <w:rFonts w:ascii="Times New Roman" w:eastAsia="Times New Roman" w:hAnsi="Times New Roman" w:cs="Times New Roman"/>
          <w:color w:val="000000"/>
          <w:spacing w:val="6"/>
          <w:sz w:val="24"/>
          <w:szCs w:val="24"/>
          <w:lang w:val="en-ZA" w:eastAsia="en-GB"/>
        </w:rPr>
      </w:pPr>
    </w:p>
    <w:p w14:paraId="79AB1A9F" w14:textId="20A54F81" w:rsidR="00F67D1B" w:rsidRPr="00113680" w:rsidRDefault="00BC6427" w:rsidP="00113680">
      <w:pPr>
        <w:pStyle w:val="ListParagraph"/>
        <w:numPr>
          <w:ilvl w:val="1"/>
          <w:numId w:val="1"/>
        </w:numPr>
        <w:spacing w:after="0" w:line="360" w:lineRule="auto"/>
        <w:ind w:left="709" w:hanging="709"/>
        <w:jc w:val="both"/>
        <w:rPr>
          <w:rFonts w:ascii="Times New Roman" w:eastAsia="Times New Roman" w:hAnsi="Times New Roman" w:cs="Times New Roman"/>
          <w:b/>
          <w:color w:val="000000"/>
          <w:spacing w:val="6"/>
          <w:sz w:val="24"/>
          <w:szCs w:val="24"/>
          <w:lang w:val="en-ZA" w:eastAsia="en-GB"/>
        </w:rPr>
      </w:pPr>
      <w:r w:rsidRPr="008B22E8">
        <w:rPr>
          <w:rFonts w:ascii="Times New Roman" w:eastAsia="Times New Roman" w:hAnsi="Times New Roman" w:cs="Times New Roman"/>
          <w:b/>
          <w:color w:val="000000"/>
          <w:spacing w:val="6"/>
          <w:sz w:val="24"/>
          <w:szCs w:val="24"/>
          <w:lang w:val="en-ZA" w:eastAsia="en-GB"/>
        </w:rPr>
        <w:t>Creation of new indirect grant</w:t>
      </w:r>
    </w:p>
    <w:p w14:paraId="53A0D76C" w14:textId="5A0B9C49" w:rsidR="008E2705" w:rsidRPr="00801A1B" w:rsidRDefault="008E2705" w:rsidP="00801A1B">
      <w:pPr>
        <w:spacing w:after="0" w:line="360" w:lineRule="auto"/>
        <w:jc w:val="both"/>
        <w:rPr>
          <w:rFonts w:ascii="Times New Roman" w:eastAsia="Times New Roman" w:hAnsi="Times New Roman" w:cs="Times New Roman"/>
          <w:color w:val="000000"/>
          <w:spacing w:val="6"/>
          <w:sz w:val="24"/>
          <w:szCs w:val="24"/>
          <w:lang w:val="en-ZA" w:eastAsia="en-GB"/>
        </w:rPr>
      </w:pPr>
      <w:proofErr w:type="spellStart"/>
      <w:r w:rsidRPr="00801A1B">
        <w:rPr>
          <w:rFonts w:ascii="Times New Roman" w:eastAsia="Times New Roman" w:hAnsi="Times New Roman" w:cs="Times New Roman"/>
          <w:b/>
          <w:i/>
          <w:color w:val="000000"/>
          <w:spacing w:val="6"/>
          <w:sz w:val="24"/>
          <w:szCs w:val="24"/>
          <w:lang w:val="en-ZA" w:eastAsia="en-GB"/>
        </w:rPr>
        <w:t>Ilima</w:t>
      </w:r>
      <w:proofErr w:type="spellEnd"/>
      <w:r w:rsidRPr="00801A1B">
        <w:rPr>
          <w:rFonts w:ascii="Times New Roman" w:eastAsia="Times New Roman" w:hAnsi="Times New Roman" w:cs="Times New Roman"/>
          <w:b/>
          <w:i/>
          <w:color w:val="000000"/>
          <w:spacing w:val="6"/>
          <w:sz w:val="24"/>
          <w:szCs w:val="24"/>
          <w:lang w:val="en-ZA" w:eastAsia="en-GB"/>
        </w:rPr>
        <w:t>/</w:t>
      </w:r>
      <w:proofErr w:type="spellStart"/>
      <w:r w:rsidRPr="00801A1B">
        <w:rPr>
          <w:rFonts w:ascii="Times New Roman" w:eastAsia="Times New Roman" w:hAnsi="Times New Roman" w:cs="Times New Roman"/>
          <w:b/>
          <w:i/>
          <w:color w:val="000000"/>
          <w:spacing w:val="6"/>
          <w:sz w:val="24"/>
          <w:szCs w:val="24"/>
          <w:lang w:val="en-ZA" w:eastAsia="en-GB"/>
        </w:rPr>
        <w:t>Letsema</w:t>
      </w:r>
      <w:proofErr w:type="spellEnd"/>
      <w:r w:rsidRPr="00801A1B">
        <w:rPr>
          <w:rFonts w:ascii="Times New Roman" w:eastAsia="Times New Roman" w:hAnsi="Times New Roman" w:cs="Times New Roman"/>
          <w:b/>
          <w:i/>
          <w:color w:val="000000"/>
          <w:spacing w:val="6"/>
          <w:sz w:val="24"/>
          <w:szCs w:val="24"/>
          <w:lang w:val="en-ZA" w:eastAsia="en-GB"/>
        </w:rPr>
        <w:t xml:space="preserve"> Project Grant:</w:t>
      </w:r>
      <w:r w:rsidRPr="00801A1B">
        <w:rPr>
          <w:rFonts w:ascii="Times New Roman" w:eastAsia="Times New Roman" w:hAnsi="Times New Roman" w:cs="Times New Roman"/>
          <w:color w:val="000000"/>
          <w:spacing w:val="6"/>
          <w:sz w:val="24"/>
          <w:szCs w:val="24"/>
          <w:lang w:val="en-ZA" w:eastAsia="en-GB"/>
        </w:rPr>
        <w:t xml:space="preserve"> A total of R</w:t>
      </w:r>
      <w:r w:rsidR="00DD7A5A">
        <w:rPr>
          <w:rFonts w:ascii="Times New Roman" w:eastAsia="Times New Roman" w:hAnsi="Times New Roman" w:cs="Times New Roman"/>
          <w:color w:val="000000"/>
          <w:spacing w:val="6"/>
          <w:sz w:val="24"/>
          <w:szCs w:val="24"/>
          <w:lang w:val="en-ZA" w:eastAsia="en-GB"/>
        </w:rPr>
        <w:t>45.</w:t>
      </w:r>
      <w:r w:rsidR="00095E5E" w:rsidRPr="00801A1B">
        <w:rPr>
          <w:rFonts w:ascii="Times New Roman" w:eastAsia="Times New Roman" w:hAnsi="Times New Roman" w:cs="Times New Roman"/>
          <w:color w:val="000000"/>
          <w:spacing w:val="6"/>
          <w:sz w:val="24"/>
          <w:szCs w:val="24"/>
          <w:lang w:val="en-ZA" w:eastAsia="en-GB"/>
        </w:rPr>
        <w:t xml:space="preserve">268 million has been shifted from the </w:t>
      </w:r>
      <w:proofErr w:type="spellStart"/>
      <w:r w:rsidR="00095E5E" w:rsidRPr="00801A1B">
        <w:rPr>
          <w:rFonts w:ascii="Times New Roman" w:eastAsia="Times New Roman" w:hAnsi="Times New Roman" w:cs="Times New Roman"/>
          <w:color w:val="000000"/>
          <w:spacing w:val="6"/>
          <w:sz w:val="24"/>
          <w:szCs w:val="24"/>
          <w:lang w:val="en-ZA" w:eastAsia="en-GB"/>
        </w:rPr>
        <w:t>Ilima</w:t>
      </w:r>
      <w:proofErr w:type="spellEnd"/>
      <w:r w:rsidR="00095E5E" w:rsidRPr="00801A1B">
        <w:rPr>
          <w:rFonts w:ascii="Times New Roman" w:eastAsia="Times New Roman" w:hAnsi="Times New Roman" w:cs="Times New Roman"/>
          <w:color w:val="000000"/>
          <w:spacing w:val="6"/>
          <w:sz w:val="24"/>
          <w:szCs w:val="24"/>
          <w:lang w:val="en-ZA" w:eastAsia="en-GB"/>
        </w:rPr>
        <w:t>/</w:t>
      </w:r>
      <w:proofErr w:type="spellStart"/>
      <w:r w:rsidR="00095E5E" w:rsidRPr="00801A1B">
        <w:rPr>
          <w:rFonts w:ascii="Times New Roman" w:eastAsia="Times New Roman" w:hAnsi="Times New Roman" w:cs="Times New Roman"/>
          <w:color w:val="000000"/>
          <w:spacing w:val="6"/>
          <w:sz w:val="24"/>
          <w:szCs w:val="24"/>
          <w:lang w:val="en-ZA" w:eastAsia="en-GB"/>
        </w:rPr>
        <w:t>Letsema</w:t>
      </w:r>
      <w:proofErr w:type="spellEnd"/>
      <w:r w:rsidR="00095E5E" w:rsidRPr="00801A1B">
        <w:rPr>
          <w:rFonts w:ascii="Times New Roman" w:eastAsia="Times New Roman" w:hAnsi="Times New Roman" w:cs="Times New Roman"/>
          <w:color w:val="000000"/>
          <w:spacing w:val="6"/>
          <w:sz w:val="24"/>
          <w:szCs w:val="24"/>
          <w:lang w:val="en-ZA" w:eastAsia="en-GB"/>
        </w:rPr>
        <w:t xml:space="preserve"> Direct Grant in order to create </w:t>
      </w:r>
      <w:r w:rsidR="00F67D1B" w:rsidRPr="00801A1B">
        <w:rPr>
          <w:rFonts w:ascii="Times New Roman" w:eastAsia="Times New Roman" w:hAnsi="Times New Roman" w:cs="Times New Roman"/>
          <w:color w:val="000000"/>
          <w:spacing w:val="6"/>
          <w:sz w:val="24"/>
          <w:szCs w:val="24"/>
          <w:lang w:val="en-ZA" w:eastAsia="en-GB"/>
        </w:rPr>
        <w:t>an</w:t>
      </w:r>
      <w:r w:rsidR="00C12247" w:rsidRPr="00801A1B">
        <w:rPr>
          <w:rFonts w:ascii="Times New Roman" w:eastAsia="Times New Roman" w:hAnsi="Times New Roman" w:cs="Times New Roman"/>
          <w:color w:val="000000"/>
          <w:spacing w:val="6"/>
          <w:sz w:val="24"/>
          <w:szCs w:val="24"/>
          <w:lang w:val="en-ZA" w:eastAsia="en-GB"/>
        </w:rPr>
        <w:t xml:space="preserve"> </w:t>
      </w:r>
      <w:proofErr w:type="spellStart"/>
      <w:r w:rsidR="00C12247" w:rsidRPr="00801A1B">
        <w:rPr>
          <w:rFonts w:ascii="Times New Roman" w:eastAsia="Times New Roman" w:hAnsi="Times New Roman" w:cs="Times New Roman"/>
          <w:color w:val="000000"/>
          <w:spacing w:val="6"/>
          <w:sz w:val="24"/>
          <w:szCs w:val="24"/>
          <w:lang w:val="en-ZA" w:eastAsia="en-GB"/>
        </w:rPr>
        <w:t>Ilema</w:t>
      </w:r>
      <w:proofErr w:type="spellEnd"/>
      <w:r w:rsidR="00C12247" w:rsidRPr="00801A1B">
        <w:rPr>
          <w:rFonts w:ascii="Times New Roman" w:eastAsia="Times New Roman" w:hAnsi="Times New Roman" w:cs="Times New Roman"/>
          <w:color w:val="000000"/>
          <w:spacing w:val="6"/>
          <w:sz w:val="24"/>
          <w:szCs w:val="24"/>
          <w:lang w:val="en-ZA" w:eastAsia="en-GB"/>
        </w:rPr>
        <w:t>/</w:t>
      </w:r>
      <w:proofErr w:type="spellStart"/>
      <w:r w:rsidR="00095E5E" w:rsidRPr="00801A1B">
        <w:rPr>
          <w:rFonts w:ascii="Times New Roman" w:eastAsia="Times New Roman" w:hAnsi="Times New Roman" w:cs="Times New Roman"/>
          <w:color w:val="000000"/>
          <w:spacing w:val="6"/>
          <w:sz w:val="24"/>
          <w:szCs w:val="24"/>
          <w:lang w:val="en-ZA" w:eastAsia="en-GB"/>
        </w:rPr>
        <w:t>Letsema</w:t>
      </w:r>
      <w:proofErr w:type="spellEnd"/>
      <w:r w:rsidR="00095E5E" w:rsidRPr="00801A1B">
        <w:rPr>
          <w:rFonts w:ascii="Times New Roman" w:eastAsia="Times New Roman" w:hAnsi="Times New Roman" w:cs="Times New Roman"/>
          <w:color w:val="000000"/>
          <w:spacing w:val="6"/>
          <w:sz w:val="24"/>
          <w:szCs w:val="24"/>
          <w:lang w:val="en-ZA" w:eastAsia="en-GB"/>
        </w:rPr>
        <w:t xml:space="preserve"> Indirect Grant to fund the National Food and Nutrition Survey to be conducted by the Human Sciences Research Council (HSRC). The survey is aimed at setting a baseline of poverty and vulnerability, for food security</w:t>
      </w:r>
      <w:r w:rsidR="00DD7A5A">
        <w:rPr>
          <w:rFonts w:ascii="Times New Roman" w:eastAsia="Times New Roman" w:hAnsi="Times New Roman" w:cs="Times New Roman"/>
          <w:color w:val="000000"/>
          <w:spacing w:val="6"/>
          <w:sz w:val="24"/>
          <w:szCs w:val="24"/>
          <w:lang w:val="en-ZA" w:eastAsia="en-GB"/>
        </w:rPr>
        <w:t xml:space="preserve"> forecasting purposes. The R45.</w:t>
      </w:r>
      <w:r w:rsidR="00095E5E" w:rsidRPr="00801A1B">
        <w:rPr>
          <w:rFonts w:ascii="Times New Roman" w:eastAsia="Times New Roman" w:hAnsi="Times New Roman" w:cs="Times New Roman"/>
          <w:color w:val="000000"/>
          <w:spacing w:val="6"/>
          <w:sz w:val="24"/>
          <w:szCs w:val="24"/>
          <w:lang w:val="en-ZA" w:eastAsia="en-GB"/>
        </w:rPr>
        <w:t>268 million was originally ring-fenced within the direct grant, which required each of the nine provinces to transfer the funds to the HSRC, whereas the new indirect grant allows the national Department of Agriculture, Land Reform and Rural Development to transfer the funds directly to the HSRC.</w:t>
      </w:r>
    </w:p>
    <w:p w14:paraId="11D39240" w14:textId="2E731A56" w:rsidR="00AE08F7" w:rsidRPr="008B22E8" w:rsidRDefault="00AE08F7" w:rsidP="00AE08F7">
      <w:pPr>
        <w:spacing w:after="0" w:line="360" w:lineRule="auto"/>
        <w:ind w:left="360"/>
        <w:jc w:val="both"/>
        <w:rPr>
          <w:rFonts w:ascii="Times New Roman" w:eastAsia="Times New Roman" w:hAnsi="Times New Roman" w:cs="Times New Roman"/>
          <w:color w:val="000000"/>
          <w:spacing w:val="6"/>
          <w:sz w:val="24"/>
          <w:szCs w:val="24"/>
          <w:lang w:val="en-ZA" w:eastAsia="en-GB"/>
        </w:rPr>
      </w:pPr>
    </w:p>
    <w:p w14:paraId="1A6D3EF4" w14:textId="77A202CB" w:rsidR="000475B7" w:rsidRPr="00113680" w:rsidRDefault="00AE08F7" w:rsidP="00113680">
      <w:pPr>
        <w:pStyle w:val="ListParagraph"/>
        <w:numPr>
          <w:ilvl w:val="1"/>
          <w:numId w:val="1"/>
        </w:numPr>
        <w:spacing w:after="0" w:line="360" w:lineRule="auto"/>
        <w:ind w:left="709" w:hanging="709"/>
        <w:jc w:val="both"/>
        <w:rPr>
          <w:rFonts w:ascii="Times New Roman" w:eastAsia="Times New Roman" w:hAnsi="Times New Roman" w:cs="Times New Roman"/>
          <w:b/>
          <w:color w:val="000000"/>
          <w:spacing w:val="6"/>
          <w:sz w:val="24"/>
          <w:szCs w:val="24"/>
          <w:lang w:val="en-ZA" w:eastAsia="en-GB"/>
        </w:rPr>
      </w:pPr>
      <w:r w:rsidRPr="008B22E8">
        <w:rPr>
          <w:rFonts w:ascii="Times New Roman" w:eastAsia="Times New Roman" w:hAnsi="Times New Roman" w:cs="Times New Roman"/>
          <w:b/>
          <w:color w:val="000000"/>
          <w:spacing w:val="6"/>
          <w:sz w:val="24"/>
          <w:szCs w:val="24"/>
          <w:lang w:val="en-ZA" w:eastAsia="en-GB"/>
        </w:rPr>
        <w:t xml:space="preserve">Grant funding reprioritisation </w:t>
      </w:r>
    </w:p>
    <w:p w14:paraId="4D4035DB" w14:textId="20A5669C" w:rsidR="000475B7" w:rsidRPr="00801A1B" w:rsidRDefault="00E03045" w:rsidP="00801A1B">
      <w:pPr>
        <w:spacing w:after="0" w:line="360" w:lineRule="auto"/>
        <w:jc w:val="both"/>
        <w:rPr>
          <w:rFonts w:ascii="Times New Roman" w:eastAsia="Times New Roman" w:hAnsi="Times New Roman" w:cs="Times New Roman"/>
          <w:b/>
          <w:color w:val="000000"/>
          <w:spacing w:val="6"/>
          <w:sz w:val="24"/>
          <w:szCs w:val="24"/>
          <w:lang w:val="en-ZA" w:eastAsia="en-GB"/>
        </w:rPr>
      </w:pPr>
      <w:r w:rsidRPr="00801A1B">
        <w:rPr>
          <w:rFonts w:ascii="Times New Roman" w:eastAsia="Times New Roman" w:hAnsi="Times New Roman" w:cs="Times New Roman"/>
          <w:b/>
          <w:i/>
          <w:color w:val="000000"/>
          <w:spacing w:val="6"/>
          <w:sz w:val="24"/>
          <w:szCs w:val="24"/>
          <w:lang w:val="en-ZA" w:eastAsia="en-GB"/>
        </w:rPr>
        <w:t xml:space="preserve">Reprioritisation to the </w:t>
      </w:r>
      <w:r w:rsidR="000475B7" w:rsidRPr="00801A1B">
        <w:rPr>
          <w:rFonts w:ascii="Times New Roman" w:eastAsia="Times New Roman" w:hAnsi="Times New Roman" w:cs="Times New Roman"/>
          <w:b/>
          <w:i/>
          <w:color w:val="000000"/>
          <w:spacing w:val="6"/>
          <w:sz w:val="24"/>
          <w:szCs w:val="24"/>
          <w:lang w:val="en-ZA" w:eastAsia="en-GB"/>
        </w:rPr>
        <w:t>Human Resources Capacitation Grant:</w:t>
      </w:r>
      <w:r w:rsidR="000475B7" w:rsidRPr="00801A1B">
        <w:rPr>
          <w:rFonts w:ascii="Times New Roman" w:eastAsia="Times New Roman" w:hAnsi="Times New Roman" w:cs="Times New Roman"/>
          <w:b/>
          <w:color w:val="000000"/>
          <w:spacing w:val="6"/>
          <w:sz w:val="24"/>
          <w:szCs w:val="24"/>
          <w:lang w:val="en-ZA" w:eastAsia="en-GB"/>
        </w:rPr>
        <w:t xml:space="preserve"> </w:t>
      </w:r>
      <w:r w:rsidR="00B84179" w:rsidRPr="00801A1B">
        <w:rPr>
          <w:rFonts w:ascii="Times New Roman" w:eastAsia="Times New Roman" w:hAnsi="Times New Roman" w:cs="Times New Roman"/>
          <w:color w:val="000000"/>
          <w:spacing w:val="6"/>
          <w:sz w:val="24"/>
          <w:szCs w:val="24"/>
          <w:lang w:val="en-ZA" w:eastAsia="en-GB"/>
        </w:rPr>
        <w:t>A total of R300 million has been added to</w:t>
      </w:r>
      <w:r w:rsidR="002E5A91">
        <w:rPr>
          <w:rFonts w:ascii="Times New Roman" w:eastAsia="Times New Roman" w:hAnsi="Times New Roman" w:cs="Times New Roman"/>
          <w:color w:val="000000"/>
          <w:spacing w:val="6"/>
          <w:sz w:val="24"/>
          <w:szCs w:val="24"/>
          <w:lang w:val="en-ZA" w:eastAsia="en-GB"/>
        </w:rPr>
        <w:t xml:space="preserve"> the</w:t>
      </w:r>
      <w:r w:rsidR="00B84179" w:rsidRPr="00801A1B">
        <w:rPr>
          <w:rFonts w:ascii="Times New Roman" w:eastAsia="Times New Roman" w:hAnsi="Times New Roman" w:cs="Times New Roman"/>
          <w:color w:val="000000"/>
          <w:spacing w:val="6"/>
          <w:sz w:val="24"/>
          <w:szCs w:val="24"/>
          <w:lang w:val="en-ZA" w:eastAsia="en-GB"/>
        </w:rPr>
        <w:t xml:space="preserve"> grant in order fund the carry-through costs of post filled in the Health Sector in 2018/19 financial year. This is funded through reprioritisation that included R115 million from the National Health Insurance </w:t>
      </w:r>
      <w:r w:rsidR="00C12247" w:rsidRPr="00801A1B">
        <w:rPr>
          <w:rFonts w:ascii="Times New Roman" w:eastAsia="Times New Roman" w:hAnsi="Times New Roman" w:cs="Times New Roman"/>
          <w:color w:val="000000"/>
          <w:spacing w:val="6"/>
          <w:sz w:val="24"/>
          <w:szCs w:val="24"/>
          <w:lang w:val="en-ZA" w:eastAsia="en-GB"/>
        </w:rPr>
        <w:t xml:space="preserve">(NHI) </w:t>
      </w:r>
      <w:r w:rsidR="00B84179" w:rsidRPr="00801A1B">
        <w:rPr>
          <w:rFonts w:ascii="Times New Roman" w:eastAsia="Times New Roman" w:hAnsi="Times New Roman" w:cs="Times New Roman"/>
          <w:color w:val="000000"/>
          <w:spacing w:val="6"/>
          <w:sz w:val="24"/>
          <w:szCs w:val="24"/>
          <w:lang w:val="en-ZA" w:eastAsia="en-GB"/>
        </w:rPr>
        <w:t>Indirect Grant: non-personnel services component, R40 million fr</w:t>
      </w:r>
      <w:r w:rsidR="00C12247" w:rsidRPr="00801A1B">
        <w:rPr>
          <w:rFonts w:ascii="Times New Roman" w:eastAsia="Times New Roman" w:hAnsi="Times New Roman" w:cs="Times New Roman"/>
          <w:color w:val="000000"/>
          <w:spacing w:val="6"/>
          <w:sz w:val="24"/>
          <w:szCs w:val="24"/>
          <w:lang w:val="en-ZA" w:eastAsia="en-GB"/>
        </w:rPr>
        <w:t>om the NHI</w:t>
      </w:r>
      <w:r w:rsidR="00B84179" w:rsidRPr="00801A1B">
        <w:rPr>
          <w:rFonts w:ascii="Times New Roman" w:eastAsia="Times New Roman" w:hAnsi="Times New Roman" w:cs="Times New Roman"/>
          <w:color w:val="000000"/>
          <w:spacing w:val="6"/>
          <w:sz w:val="24"/>
          <w:szCs w:val="24"/>
          <w:lang w:val="en-ZA" w:eastAsia="en-GB"/>
        </w:rPr>
        <w:t xml:space="preserve"> Indirect Grant: personnel </w:t>
      </w:r>
      <w:r w:rsidR="00113680">
        <w:rPr>
          <w:rFonts w:ascii="Times New Roman" w:eastAsia="Times New Roman" w:hAnsi="Times New Roman" w:cs="Times New Roman"/>
          <w:color w:val="000000"/>
          <w:spacing w:val="6"/>
          <w:sz w:val="24"/>
          <w:szCs w:val="24"/>
          <w:lang w:val="en-ZA" w:eastAsia="en-GB"/>
        </w:rPr>
        <w:t>services component, R43</w:t>
      </w:r>
      <w:r w:rsidR="00B84179" w:rsidRPr="00801A1B">
        <w:rPr>
          <w:rFonts w:ascii="Times New Roman" w:eastAsia="Times New Roman" w:hAnsi="Times New Roman" w:cs="Times New Roman"/>
          <w:color w:val="000000"/>
          <w:spacing w:val="6"/>
          <w:sz w:val="24"/>
          <w:szCs w:val="24"/>
          <w:lang w:val="en-ZA" w:eastAsia="en-GB"/>
        </w:rPr>
        <w:t xml:space="preserve"> million from the Human Papillomavirus Vaccine Grant</w:t>
      </w:r>
      <w:r w:rsidR="009916BE" w:rsidRPr="00801A1B">
        <w:rPr>
          <w:rFonts w:ascii="Times New Roman" w:eastAsia="Times New Roman" w:hAnsi="Times New Roman" w:cs="Times New Roman"/>
          <w:color w:val="000000"/>
          <w:spacing w:val="6"/>
          <w:sz w:val="24"/>
          <w:szCs w:val="24"/>
          <w:lang w:val="en-ZA" w:eastAsia="en-GB"/>
        </w:rPr>
        <w:t xml:space="preserve">. R11 million has also been declared in savings in the Human Papillomavirus Vaccine Grant and funds have also been reprioritised from </w:t>
      </w:r>
      <w:r w:rsidR="00113680">
        <w:rPr>
          <w:rFonts w:ascii="Times New Roman" w:eastAsia="Times New Roman" w:hAnsi="Times New Roman" w:cs="Times New Roman"/>
          <w:color w:val="000000"/>
          <w:spacing w:val="6"/>
          <w:sz w:val="24"/>
          <w:szCs w:val="24"/>
          <w:lang w:val="en-ZA" w:eastAsia="en-GB"/>
        </w:rPr>
        <w:t xml:space="preserve">programmes within </w:t>
      </w:r>
      <w:r w:rsidR="009916BE" w:rsidRPr="00801A1B">
        <w:rPr>
          <w:rFonts w:ascii="Times New Roman" w:eastAsia="Times New Roman" w:hAnsi="Times New Roman" w:cs="Times New Roman"/>
          <w:color w:val="000000"/>
          <w:spacing w:val="6"/>
          <w:sz w:val="24"/>
          <w:szCs w:val="24"/>
          <w:lang w:val="en-ZA" w:eastAsia="en-GB"/>
        </w:rPr>
        <w:t xml:space="preserve">the National Department of Health to the Human Resources Capacitation Grant. </w:t>
      </w:r>
    </w:p>
    <w:p w14:paraId="6D4FC8ED" w14:textId="77777777" w:rsidR="0065262A" w:rsidRPr="008B22E8" w:rsidRDefault="0065262A" w:rsidP="0065262A">
      <w:pPr>
        <w:pStyle w:val="ListParagraph"/>
        <w:rPr>
          <w:rFonts w:ascii="Times New Roman" w:eastAsia="Times New Roman" w:hAnsi="Times New Roman" w:cs="Times New Roman"/>
          <w:b/>
          <w:color w:val="000000"/>
          <w:spacing w:val="6"/>
          <w:sz w:val="24"/>
          <w:szCs w:val="24"/>
          <w:lang w:val="en-ZA" w:eastAsia="en-GB"/>
        </w:rPr>
      </w:pPr>
    </w:p>
    <w:p w14:paraId="19E9C34C" w14:textId="045E3BED" w:rsidR="0065262A" w:rsidRPr="00801A1B" w:rsidRDefault="0065262A" w:rsidP="00801A1B">
      <w:pPr>
        <w:spacing w:after="0" w:line="360" w:lineRule="auto"/>
        <w:jc w:val="both"/>
        <w:rPr>
          <w:rFonts w:ascii="Times New Roman" w:eastAsia="Times New Roman" w:hAnsi="Times New Roman" w:cs="Times New Roman"/>
          <w:b/>
          <w:color w:val="000000"/>
          <w:spacing w:val="6"/>
          <w:sz w:val="24"/>
          <w:szCs w:val="24"/>
          <w:lang w:val="en-ZA" w:eastAsia="en-GB"/>
        </w:rPr>
      </w:pPr>
      <w:r w:rsidRPr="00801A1B">
        <w:rPr>
          <w:rFonts w:ascii="Times New Roman" w:eastAsia="Times New Roman" w:hAnsi="Times New Roman" w:cs="Times New Roman"/>
          <w:b/>
          <w:i/>
          <w:color w:val="000000"/>
          <w:spacing w:val="6"/>
          <w:sz w:val="24"/>
          <w:szCs w:val="24"/>
          <w:lang w:val="en-ZA" w:eastAsia="en-GB"/>
        </w:rPr>
        <w:t>Reprioritisation fr</w:t>
      </w:r>
      <w:r w:rsidR="00C12247" w:rsidRPr="00801A1B">
        <w:rPr>
          <w:rFonts w:ascii="Times New Roman" w:eastAsia="Times New Roman" w:hAnsi="Times New Roman" w:cs="Times New Roman"/>
          <w:b/>
          <w:i/>
          <w:color w:val="000000"/>
          <w:spacing w:val="6"/>
          <w:sz w:val="24"/>
          <w:szCs w:val="24"/>
          <w:lang w:val="en-ZA" w:eastAsia="en-GB"/>
        </w:rPr>
        <w:t>om the NHI</w:t>
      </w:r>
      <w:r w:rsidRPr="00801A1B">
        <w:rPr>
          <w:rFonts w:ascii="Times New Roman" w:eastAsia="Times New Roman" w:hAnsi="Times New Roman" w:cs="Times New Roman"/>
          <w:b/>
          <w:i/>
          <w:color w:val="000000"/>
          <w:spacing w:val="6"/>
          <w:sz w:val="24"/>
          <w:szCs w:val="24"/>
          <w:lang w:val="en-ZA" w:eastAsia="en-GB"/>
        </w:rPr>
        <w:t xml:space="preserve"> Indirect Grant:</w:t>
      </w:r>
      <w:r w:rsidRPr="00801A1B">
        <w:rPr>
          <w:rFonts w:ascii="Times New Roman" w:eastAsia="Times New Roman" w:hAnsi="Times New Roman" w:cs="Times New Roman"/>
          <w:b/>
          <w:color w:val="000000"/>
          <w:spacing w:val="6"/>
          <w:sz w:val="24"/>
          <w:szCs w:val="24"/>
          <w:lang w:val="en-ZA" w:eastAsia="en-GB"/>
        </w:rPr>
        <w:t xml:space="preserve"> </w:t>
      </w:r>
      <w:r w:rsidR="00113680">
        <w:rPr>
          <w:rFonts w:ascii="Times New Roman" w:eastAsia="Times New Roman" w:hAnsi="Times New Roman" w:cs="Times New Roman"/>
          <w:color w:val="000000"/>
          <w:spacing w:val="6"/>
          <w:sz w:val="24"/>
          <w:szCs w:val="24"/>
          <w:lang w:val="en-ZA" w:eastAsia="en-GB"/>
        </w:rPr>
        <w:t>A total of R289</w:t>
      </w:r>
      <w:r w:rsidR="00E03045" w:rsidRPr="00801A1B">
        <w:rPr>
          <w:rFonts w:ascii="Times New Roman" w:eastAsia="Times New Roman" w:hAnsi="Times New Roman" w:cs="Times New Roman"/>
          <w:color w:val="000000"/>
          <w:spacing w:val="6"/>
          <w:sz w:val="24"/>
          <w:szCs w:val="24"/>
          <w:lang w:val="en-ZA" w:eastAsia="en-GB"/>
        </w:rPr>
        <w:t>.3 million is shifted fr</w:t>
      </w:r>
      <w:r w:rsidR="00C12247" w:rsidRPr="00801A1B">
        <w:rPr>
          <w:rFonts w:ascii="Times New Roman" w:eastAsia="Times New Roman" w:hAnsi="Times New Roman" w:cs="Times New Roman"/>
          <w:color w:val="000000"/>
          <w:spacing w:val="6"/>
          <w:sz w:val="24"/>
          <w:szCs w:val="24"/>
          <w:lang w:val="en-ZA" w:eastAsia="en-GB"/>
        </w:rPr>
        <w:t>om the NHI</w:t>
      </w:r>
      <w:r w:rsidR="00E03045" w:rsidRPr="00801A1B">
        <w:rPr>
          <w:rFonts w:ascii="Times New Roman" w:eastAsia="Times New Roman" w:hAnsi="Times New Roman" w:cs="Times New Roman"/>
          <w:color w:val="000000"/>
          <w:spacing w:val="6"/>
          <w:sz w:val="24"/>
          <w:szCs w:val="24"/>
          <w:lang w:val="en-ZA" w:eastAsia="en-GB"/>
        </w:rPr>
        <w:t xml:space="preserve"> Indirect Grant: personnel services component </w:t>
      </w:r>
      <w:r w:rsidR="00C12247" w:rsidRPr="00801A1B">
        <w:rPr>
          <w:rFonts w:ascii="Times New Roman" w:eastAsia="Times New Roman" w:hAnsi="Times New Roman" w:cs="Times New Roman"/>
          <w:color w:val="000000"/>
          <w:spacing w:val="6"/>
          <w:sz w:val="24"/>
          <w:szCs w:val="24"/>
          <w:lang w:val="en-ZA" w:eastAsia="en-GB"/>
        </w:rPr>
        <w:t>to the NHI</w:t>
      </w:r>
      <w:r w:rsidR="00E03045" w:rsidRPr="00801A1B">
        <w:rPr>
          <w:rFonts w:ascii="Times New Roman" w:eastAsia="Times New Roman" w:hAnsi="Times New Roman" w:cs="Times New Roman"/>
          <w:color w:val="000000"/>
          <w:spacing w:val="6"/>
          <w:sz w:val="24"/>
          <w:szCs w:val="24"/>
          <w:lang w:val="en-ZA" w:eastAsia="en-GB"/>
        </w:rPr>
        <w:t xml:space="preserve"> Direct Grant for health professionals contracting. </w:t>
      </w:r>
      <w:r w:rsidR="00B31DAB" w:rsidRPr="00801A1B">
        <w:rPr>
          <w:rFonts w:ascii="Times New Roman" w:eastAsia="Times New Roman" w:hAnsi="Times New Roman" w:cs="Times New Roman"/>
          <w:color w:val="000000"/>
          <w:spacing w:val="6"/>
          <w:sz w:val="24"/>
          <w:szCs w:val="24"/>
          <w:lang w:val="en-ZA" w:eastAsia="en-GB"/>
        </w:rPr>
        <w:t>Provinces already contract these professions</w:t>
      </w:r>
      <w:r w:rsidR="00E03045" w:rsidRPr="00801A1B">
        <w:rPr>
          <w:rFonts w:ascii="Times New Roman" w:eastAsia="Times New Roman" w:hAnsi="Times New Roman" w:cs="Times New Roman"/>
          <w:color w:val="000000"/>
          <w:spacing w:val="6"/>
          <w:sz w:val="24"/>
          <w:szCs w:val="24"/>
          <w:lang w:val="en-ZA" w:eastAsia="en-GB"/>
        </w:rPr>
        <w:t xml:space="preserve"> and </w:t>
      </w:r>
      <w:r w:rsidR="008B319E" w:rsidRPr="00801A1B">
        <w:rPr>
          <w:rFonts w:ascii="Times New Roman" w:eastAsia="Times New Roman" w:hAnsi="Times New Roman" w:cs="Times New Roman"/>
          <w:color w:val="000000"/>
          <w:spacing w:val="6"/>
          <w:sz w:val="24"/>
          <w:szCs w:val="24"/>
          <w:lang w:val="en-ZA" w:eastAsia="en-GB"/>
        </w:rPr>
        <w:t xml:space="preserve">this shift will allow provinces to make payments directly, rather than claiming reimbursement from the national department. </w:t>
      </w:r>
    </w:p>
    <w:p w14:paraId="4D62CC8E" w14:textId="77777777" w:rsidR="008B319E" w:rsidRPr="008B22E8" w:rsidRDefault="008B319E" w:rsidP="008B319E">
      <w:pPr>
        <w:pStyle w:val="ListParagraph"/>
        <w:rPr>
          <w:rFonts w:ascii="Times New Roman" w:eastAsia="Times New Roman" w:hAnsi="Times New Roman" w:cs="Times New Roman"/>
          <w:b/>
          <w:color w:val="000000"/>
          <w:spacing w:val="6"/>
          <w:sz w:val="24"/>
          <w:szCs w:val="24"/>
          <w:lang w:val="en-ZA" w:eastAsia="en-GB"/>
        </w:rPr>
      </w:pPr>
    </w:p>
    <w:p w14:paraId="7C3210C3" w14:textId="253212B8" w:rsidR="008B319E" w:rsidRPr="008B22E8" w:rsidRDefault="00554B6A" w:rsidP="0017771F">
      <w:pPr>
        <w:pStyle w:val="ListParagraph"/>
        <w:numPr>
          <w:ilvl w:val="1"/>
          <w:numId w:val="1"/>
        </w:numPr>
        <w:spacing w:after="0" w:line="360" w:lineRule="auto"/>
        <w:ind w:left="709" w:hanging="709"/>
        <w:jc w:val="both"/>
        <w:rPr>
          <w:rFonts w:ascii="Times New Roman" w:eastAsia="Times New Roman" w:hAnsi="Times New Roman" w:cs="Times New Roman"/>
          <w:b/>
          <w:color w:val="000000"/>
          <w:spacing w:val="6"/>
          <w:sz w:val="24"/>
          <w:szCs w:val="24"/>
          <w:lang w:val="en-ZA" w:eastAsia="en-GB"/>
        </w:rPr>
      </w:pPr>
      <w:r w:rsidRPr="008B22E8">
        <w:rPr>
          <w:rFonts w:ascii="Times New Roman" w:eastAsia="Times New Roman" w:hAnsi="Times New Roman" w:cs="Times New Roman"/>
          <w:b/>
          <w:color w:val="000000"/>
          <w:spacing w:val="6"/>
          <w:sz w:val="24"/>
          <w:szCs w:val="24"/>
          <w:lang w:val="en-ZA" w:eastAsia="en-GB"/>
        </w:rPr>
        <w:t>Roll-over funds from</w:t>
      </w:r>
      <w:r w:rsidR="008B319E" w:rsidRPr="008B22E8">
        <w:rPr>
          <w:rFonts w:ascii="Times New Roman" w:eastAsia="Times New Roman" w:hAnsi="Times New Roman" w:cs="Times New Roman"/>
          <w:b/>
          <w:color w:val="000000"/>
          <w:spacing w:val="6"/>
          <w:sz w:val="24"/>
          <w:szCs w:val="24"/>
          <w:lang w:val="en-ZA" w:eastAsia="en-GB"/>
        </w:rPr>
        <w:t xml:space="preserve"> grants</w:t>
      </w:r>
      <w:r w:rsidRPr="008B22E8">
        <w:rPr>
          <w:rFonts w:ascii="Times New Roman" w:eastAsia="Times New Roman" w:hAnsi="Times New Roman" w:cs="Times New Roman"/>
          <w:b/>
          <w:color w:val="000000"/>
          <w:spacing w:val="6"/>
          <w:sz w:val="24"/>
          <w:szCs w:val="24"/>
          <w:lang w:val="en-ZA" w:eastAsia="en-GB"/>
        </w:rPr>
        <w:t xml:space="preserve"> allocation</w:t>
      </w:r>
    </w:p>
    <w:p w14:paraId="2491F515" w14:textId="5FB06F96" w:rsidR="000E3A58" w:rsidRDefault="00C12247" w:rsidP="008C253B">
      <w:pPr>
        <w:spacing w:after="0" w:line="360" w:lineRule="auto"/>
        <w:jc w:val="both"/>
        <w:rPr>
          <w:rFonts w:ascii="Times New Roman" w:eastAsia="Times New Roman" w:hAnsi="Times New Roman" w:cs="Times New Roman"/>
          <w:b/>
          <w:color w:val="000000"/>
          <w:spacing w:val="6"/>
          <w:sz w:val="24"/>
          <w:szCs w:val="24"/>
          <w:lang w:val="en-ZA" w:eastAsia="en-GB"/>
        </w:rPr>
      </w:pPr>
      <w:r w:rsidRPr="00801A1B">
        <w:rPr>
          <w:rFonts w:ascii="Times New Roman" w:eastAsia="Times New Roman" w:hAnsi="Times New Roman" w:cs="Times New Roman"/>
          <w:b/>
          <w:i/>
          <w:color w:val="000000"/>
          <w:spacing w:val="6"/>
          <w:sz w:val="24"/>
          <w:szCs w:val="24"/>
          <w:lang w:val="en-ZA" w:eastAsia="en-GB"/>
        </w:rPr>
        <w:t>NHI</w:t>
      </w:r>
      <w:r w:rsidR="008B319E" w:rsidRPr="00801A1B">
        <w:rPr>
          <w:rFonts w:ascii="Times New Roman" w:eastAsia="Times New Roman" w:hAnsi="Times New Roman" w:cs="Times New Roman"/>
          <w:b/>
          <w:i/>
          <w:color w:val="000000"/>
          <w:spacing w:val="6"/>
          <w:sz w:val="24"/>
          <w:szCs w:val="24"/>
          <w:lang w:val="en-ZA" w:eastAsia="en-GB"/>
        </w:rPr>
        <w:t xml:space="preserve"> Grant:</w:t>
      </w:r>
      <w:r w:rsidR="008B319E" w:rsidRPr="00801A1B">
        <w:rPr>
          <w:rFonts w:ascii="Times New Roman" w:eastAsia="Times New Roman" w:hAnsi="Times New Roman" w:cs="Times New Roman"/>
          <w:b/>
          <w:color w:val="000000"/>
          <w:spacing w:val="6"/>
          <w:sz w:val="24"/>
          <w:szCs w:val="24"/>
          <w:lang w:val="en-ZA" w:eastAsia="en-GB"/>
        </w:rPr>
        <w:t xml:space="preserve"> </w:t>
      </w:r>
      <w:r w:rsidR="008B319E" w:rsidRPr="00801A1B">
        <w:rPr>
          <w:rFonts w:ascii="Times New Roman" w:eastAsia="Times New Roman" w:hAnsi="Times New Roman" w:cs="Times New Roman"/>
          <w:color w:val="000000"/>
          <w:spacing w:val="6"/>
          <w:sz w:val="24"/>
          <w:szCs w:val="24"/>
          <w:lang w:val="en-ZA" w:eastAsia="en-GB"/>
        </w:rPr>
        <w:t>A total</w:t>
      </w:r>
      <w:r w:rsidR="00B31DAB" w:rsidRPr="00801A1B">
        <w:rPr>
          <w:rFonts w:ascii="Times New Roman" w:eastAsia="Times New Roman" w:hAnsi="Times New Roman" w:cs="Times New Roman"/>
          <w:color w:val="000000"/>
          <w:spacing w:val="6"/>
          <w:sz w:val="24"/>
          <w:szCs w:val="24"/>
          <w:lang w:val="en-ZA" w:eastAsia="en-GB"/>
        </w:rPr>
        <w:t xml:space="preserve"> of R89.3 million is rolled-over for </w:t>
      </w:r>
      <w:r w:rsidRPr="00801A1B">
        <w:rPr>
          <w:rFonts w:ascii="Times New Roman" w:eastAsia="Times New Roman" w:hAnsi="Times New Roman" w:cs="Times New Roman"/>
          <w:color w:val="000000"/>
          <w:spacing w:val="6"/>
          <w:sz w:val="24"/>
          <w:szCs w:val="24"/>
          <w:lang w:val="en-ZA" w:eastAsia="en-GB"/>
        </w:rPr>
        <w:t>the NHI</w:t>
      </w:r>
      <w:r w:rsidR="00B31DAB" w:rsidRPr="00801A1B">
        <w:rPr>
          <w:rFonts w:ascii="Times New Roman" w:eastAsia="Times New Roman" w:hAnsi="Times New Roman" w:cs="Times New Roman"/>
          <w:color w:val="000000"/>
          <w:spacing w:val="6"/>
          <w:sz w:val="24"/>
          <w:szCs w:val="24"/>
          <w:lang w:val="en-ZA" w:eastAsia="en-GB"/>
        </w:rPr>
        <w:t xml:space="preserve"> Indirect </w:t>
      </w:r>
      <w:r w:rsidR="00CC24A1">
        <w:rPr>
          <w:rFonts w:ascii="Times New Roman" w:eastAsia="Times New Roman" w:hAnsi="Times New Roman" w:cs="Times New Roman"/>
          <w:color w:val="000000"/>
          <w:spacing w:val="6"/>
          <w:sz w:val="24"/>
          <w:szCs w:val="24"/>
          <w:lang w:val="en-ZA" w:eastAsia="en-GB"/>
        </w:rPr>
        <w:t>G</w:t>
      </w:r>
      <w:r w:rsidR="00B31DAB" w:rsidRPr="00801A1B">
        <w:rPr>
          <w:rFonts w:ascii="Times New Roman" w:eastAsia="Times New Roman" w:hAnsi="Times New Roman" w:cs="Times New Roman"/>
          <w:color w:val="000000"/>
          <w:spacing w:val="6"/>
          <w:sz w:val="24"/>
          <w:szCs w:val="24"/>
          <w:lang w:val="en-ZA" w:eastAsia="en-GB"/>
        </w:rPr>
        <w:t xml:space="preserve">rant on the health revitalisation component. These funds will be used for settling payments to service providers for medical equipment procured for hospitals in Limpopo. </w:t>
      </w:r>
    </w:p>
    <w:p w14:paraId="5EC0BA45" w14:textId="239B541C" w:rsidR="002E5A91" w:rsidRPr="008B22E8" w:rsidRDefault="002E5A91" w:rsidP="008C253B">
      <w:pPr>
        <w:spacing w:after="0" w:line="360" w:lineRule="auto"/>
        <w:jc w:val="both"/>
        <w:rPr>
          <w:rFonts w:ascii="Times New Roman" w:eastAsia="Times New Roman" w:hAnsi="Times New Roman" w:cs="Times New Roman"/>
          <w:b/>
          <w:color w:val="000000"/>
          <w:spacing w:val="6"/>
          <w:sz w:val="24"/>
          <w:szCs w:val="24"/>
          <w:lang w:val="en-ZA" w:eastAsia="en-GB"/>
        </w:rPr>
      </w:pPr>
    </w:p>
    <w:p w14:paraId="63CBF12D" w14:textId="60FFACF6" w:rsidR="008C253B" w:rsidRPr="008B22E8" w:rsidRDefault="002E5A91" w:rsidP="0017771F">
      <w:pPr>
        <w:pStyle w:val="ListParagraph"/>
        <w:numPr>
          <w:ilvl w:val="1"/>
          <w:numId w:val="1"/>
        </w:numPr>
        <w:spacing w:after="0" w:line="360" w:lineRule="auto"/>
        <w:ind w:left="709" w:hanging="709"/>
        <w:jc w:val="both"/>
        <w:rPr>
          <w:rFonts w:ascii="Times New Roman" w:eastAsia="Times New Roman" w:hAnsi="Times New Roman" w:cs="Times New Roman"/>
          <w:b/>
          <w:color w:val="000000"/>
          <w:spacing w:val="6"/>
          <w:sz w:val="24"/>
          <w:szCs w:val="24"/>
          <w:lang w:val="en-ZA" w:eastAsia="en-GB"/>
        </w:rPr>
      </w:pPr>
      <w:r>
        <w:rPr>
          <w:rFonts w:ascii="Times New Roman" w:eastAsia="Times New Roman" w:hAnsi="Times New Roman" w:cs="Times New Roman"/>
          <w:b/>
          <w:color w:val="000000"/>
          <w:spacing w:val="6"/>
          <w:sz w:val="24"/>
          <w:szCs w:val="24"/>
          <w:lang w:val="en-ZA" w:eastAsia="en-GB"/>
        </w:rPr>
        <w:t>Reductions to indirect</w:t>
      </w:r>
      <w:r w:rsidR="008C253B" w:rsidRPr="008B22E8">
        <w:rPr>
          <w:rFonts w:ascii="Times New Roman" w:eastAsia="Times New Roman" w:hAnsi="Times New Roman" w:cs="Times New Roman"/>
          <w:b/>
          <w:color w:val="000000"/>
          <w:spacing w:val="6"/>
          <w:sz w:val="24"/>
          <w:szCs w:val="24"/>
          <w:lang w:val="en-ZA" w:eastAsia="en-GB"/>
        </w:rPr>
        <w:t xml:space="preserve"> </w:t>
      </w:r>
      <w:r>
        <w:rPr>
          <w:rFonts w:ascii="Times New Roman" w:eastAsia="Times New Roman" w:hAnsi="Times New Roman" w:cs="Times New Roman"/>
          <w:b/>
          <w:color w:val="000000"/>
          <w:spacing w:val="6"/>
          <w:sz w:val="24"/>
          <w:szCs w:val="24"/>
          <w:lang w:val="en-ZA" w:eastAsia="en-GB"/>
        </w:rPr>
        <w:t xml:space="preserve">conditional </w:t>
      </w:r>
      <w:r w:rsidR="008C253B" w:rsidRPr="008B22E8">
        <w:rPr>
          <w:rFonts w:ascii="Times New Roman" w:eastAsia="Times New Roman" w:hAnsi="Times New Roman" w:cs="Times New Roman"/>
          <w:b/>
          <w:color w:val="000000"/>
          <w:spacing w:val="6"/>
          <w:sz w:val="24"/>
          <w:szCs w:val="24"/>
          <w:lang w:val="en-ZA" w:eastAsia="en-GB"/>
        </w:rPr>
        <w:t>grants</w:t>
      </w:r>
      <w:r w:rsidR="00554B6A" w:rsidRPr="008B22E8">
        <w:rPr>
          <w:rFonts w:ascii="Times New Roman" w:eastAsia="Times New Roman" w:hAnsi="Times New Roman" w:cs="Times New Roman"/>
          <w:b/>
          <w:color w:val="000000"/>
          <w:spacing w:val="6"/>
          <w:sz w:val="24"/>
          <w:szCs w:val="24"/>
          <w:lang w:val="en-ZA" w:eastAsia="en-GB"/>
        </w:rPr>
        <w:t xml:space="preserve"> allocation</w:t>
      </w:r>
      <w:r w:rsidR="00724959">
        <w:rPr>
          <w:rFonts w:ascii="Times New Roman" w:eastAsia="Times New Roman" w:hAnsi="Times New Roman" w:cs="Times New Roman"/>
          <w:b/>
          <w:color w:val="000000"/>
          <w:spacing w:val="6"/>
          <w:sz w:val="24"/>
          <w:szCs w:val="24"/>
          <w:lang w:val="en-ZA" w:eastAsia="en-GB"/>
        </w:rPr>
        <w:t xml:space="preserve">s </w:t>
      </w:r>
    </w:p>
    <w:p w14:paraId="7C648837" w14:textId="4993D5FD" w:rsidR="008C253B" w:rsidRPr="00801A1B" w:rsidRDefault="00554B6A" w:rsidP="00801A1B">
      <w:pPr>
        <w:spacing w:after="0" w:line="360" w:lineRule="auto"/>
        <w:jc w:val="both"/>
        <w:rPr>
          <w:rFonts w:ascii="Times New Roman" w:eastAsia="Times New Roman" w:hAnsi="Times New Roman" w:cs="Times New Roman"/>
          <w:color w:val="000000"/>
          <w:spacing w:val="6"/>
          <w:sz w:val="24"/>
          <w:szCs w:val="24"/>
          <w:lang w:val="en-ZA" w:eastAsia="en-GB"/>
        </w:rPr>
      </w:pPr>
      <w:r w:rsidRPr="00801A1B">
        <w:rPr>
          <w:rFonts w:ascii="Times New Roman" w:eastAsia="Times New Roman" w:hAnsi="Times New Roman" w:cs="Times New Roman"/>
          <w:color w:val="000000"/>
          <w:spacing w:val="6"/>
          <w:sz w:val="24"/>
          <w:szCs w:val="24"/>
          <w:lang w:val="en-ZA" w:eastAsia="en-GB"/>
        </w:rPr>
        <w:lastRenderedPageBreak/>
        <w:t xml:space="preserve">A total of R310 million is reduced from indirect grant allocations </w:t>
      </w:r>
      <w:r w:rsidR="00B81EE2">
        <w:rPr>
          <w:rFonts w:ascii="Times New Roman" w:eastAsia="Times New Roman" w:hAnsi="Times New Roman" w:cs="Times New Roman"/>
          <w:color w:val="000000"/>
          <w:spacing w:val="6"/>
          <w:sz w:val="24"/>
          <w:szCs w:val="24"/>
          <w:lang w:val="en-ZA" w:eastAsia="en-GB"/>
        </w:rPr>
        <w:t xml:space="preserve">to provinces </w:t>
      </w:r>
      <w:r w:rsidRPr="00801A1B">
        <w:rPr>
          <w:rFonts w:ascii="Times New Roman" w:eastAsia="Times New Roman" w:hAnsi="Times New Roman" w:cs="Times New Roman"/>
          <w:color w:val="000000"/>
          <w:spacing w:val="6"/>
          <w:sz w:val="24"/>
          <w:szCs w:val="24"/>
          <w:lang w:val="en-ZA" w:eastAsia="en-GB"/>
        </w:rPr>
        <w:t xml:space="preserve">in order to stay within the </w:t>
      </w:r>
      <w:r w:rsidR="002E5A91">
        <w:rPr>
          <w:rFonts w:ascii="Times New Roman" w:eastAsia="Times New Roman" w:hAnsi="Times New Roman" w:cs="Times New Roman"/>
          <w:color w:val="000000"/>
          <w:spacing w:val="6"/>
          <w:sz w:val="24"/>
          <w:szCs w:val="24"/>
          <w:lang w:val="en-ZA" w:eastAsia="en-GB"/>
        </w:rPr>
        <w:t xml:space="preserve">2019/20 </w:t>
      </w:r>
      <w:r w:rsidR="00C12247" w:rsidRPr="00801A1B">
        <w:rPr>
          <w:rFonts w:ascii="Times New Roman" w:eastAsia="Times New Roman" w:hAnsi="Times New Roman" w:cs="Times New Roman"/>
          <w:color w:val="000000"/>
          <w:spacing w:val="6"/>
          <w:sz w:val="24"/>
          <w:szCs w:val="24"/>
          <w:lang w:val="en-ZA" w:eastAsia="en-GB"/>
        </w:rPr>
        <w:t>expenditure ceiling</w:t>
      </w:r>
      <w:r w:rsidR="00B81EE2">
        <w:rPr>
          <w:rFonts w:ascii="Times New Roman" w:eastAsia="Times New Roman" w:hAnsi="Times New Roman" w:cs="Times New Roman"/>
          <w:color w:val="000000"/>
          <w:spacing w:val="6"/>
          <w:sz w:val="24"/>
          <w:szCs w:val="24"/>
          <w:lang w:val="en-ZA" w:eastAsia="en-GB"/>
        </w:rPr>
        <w:t xml:space="preserve"> and due to projected underspending</w:t>
      </w:r>
      <w:r w:rsidR="00C12247" w:rsidRPr="00801A1B">
        <w:rPr>
          <w:rFonts w:ascii="Times New Roman" w:eastAsia="Times New Roman" w:hAnsi="Times New Roman" w:cs="Times New Roman"/>
          <w:color w:val="000000"/>
          <w:spacing w:val="6"/>
          <w:sz w:val="24"/>
          <w:szCs w:val="24"/>
          <w:lang w:val="en-ZA" w:eastAsia="en-GB"/>
        </w:rPr>
        <w:t xml:space="preserve"> as follows: </w:t>
      </w:r>
    </w:p>
    <w:p w14:paraId="2CB8FD12" w14:textId="0985C705" w:rsidR="00AE08F7" w:rsidRPr="0017771F" w:rsidRDefault="00AE08F7" w:rsidP="00801A1B">
      <w:pPr>
        <w:pStyle w:val="ListParagraph"/>
        <w:numPr>
          <w:ilvl w:val="0"/>
          <w:numId w:val="25"/>
        </w:numPr>
        <w:spacing w:after="0" w:line="360" w:lineRule="auto"/>
        <w:ind w:left="709" w:hanging="283"/>
        <w:jc w:val="both"/>
        <w:rPr>
          <w:rFonts w:ascii="Times New Roman" w:hAnsi="Times New Roman" w:cs="Times New Roman"/>
          <w:sz w:val="24"/>
          <w:szCs w:val="24"/>
          <w:lang w:val="en-ZA"/>
        </w:rPr>
      </w:pPr>
      <w:r w:rsidRPr="0017771F">
        <w:rPr>
          <w:rFonts w:ascii="Times New Roman" w:hAnsi="Times New Roman" w:cs="Times New Roman"/>
          <w:sz w:val="24"/>
          <w:szCs w:val="24"/>
          <w:lang w:val="en-ZA"/>
        </w:rPr>
        <w:t xml:space="preserve">A total </w:t>
      </w:r>
      <w:r w:rsidR="00560D81" w:rsidRPr="0017771F">
        <w:rPr>
          <w:rFonts w:ascii="Times New Roman" w:hAnsi="Times New Roman" w:cs="Times New Roman"/>
          <w:sz w:val="24"/>
          <w:szCs w:val="24"/>
          <w:lang w:val="en-ZA"/>
        </w:rPr>
        <w:t xml:space="preserve">reduction </w:t>
      </w:r>
      <w:r w:rsidR="002E5A91">
        <w:rPr>
          <w:rFonts w:ascii="Times New Roman" w:hAnsi="Times New Roman" w:cs="Times New Roman"/>
          <w:sz w:val="24"/>
          <w:szCs w:val="24"/>
          <w:lang w:val="en-ZA"/>
        </w:rPr>
        <w:t>of R40 million from the School Infrastructure B</w:t>
      </w:r>
      <w:r w:rsidRPr="0017771F">
        <w:rPr>
          <w:rFonts w:ascii="Times New Roman" w:hAnsi="Times New Roman" w:cs="Times New Roman"/>
          <w:sz w:val="24"/>
          <w:szCs w:val="24"/>
          <w:lang w:val="en-ZA"/>
        </w:rPr>
        <w:t>acklog</w:t>
      </w:r>
      <w:r w:rsidR="002E5A91">
        <w:rPr>
          <w:rFonts w:ascii="Times New Roman" w:hAnsi="Times New Roman" w:cs="Times New Roman"/>
          <w:sz w:val="24"/>
          <w:szCs w:val="24"/>
          <w:lang w:val="en-ZA"/>
        </w:rPr>
        <w:t>s G</w:t>
      </w:r>
      <w:r w:rsidRPr="0017771F">
        <w:rPr>
          <w:rFonts w:ascii="Times New Roman" w:hAnsi="Times New Roman" w:cs="Times New Roman"/>
          <w:sz w:val="24"/>
          <w:szCs w:val="24"/>
          <w:lang w:val="en-ZA"/>
        </w:rPr>
        <w:t>rant;</w:t>
      </w:r>
    </w:p>
    <w:p w14:paraId="2E0C730D" w14:textId="6CD4C67E" w:rsidR="00AE08F7" w:rsidRPr="0017771F" w:rsidRDefault="00AE08F7" w:rsidP="00801A1B">
      <w:pPr>
        <w:pStyle w:val="ListParagraph"/>
        <w:numPr>
          <w:ilvl w:val="0"/>
          <w:numId w:val="25"/>
        </w:numPr>
        <w:spacing w:after="0" w:line="360" w:lineRule="auto"/>
        <w:ind w:left="709" w:hanging="283"/>
        <w:jc w:val="both"/>
        <w:rPr>
          <w:rFonts w:ascii="Times New Roman" w:hAnsi="Times New Roman" w:cs="Times New Roman"/>
          <w:sz w:val="24"/>
          <w:szCs w:val="24"/>
          <w:lang w:val="en-ZA"/>
        </w:rPr>
      </w:pPr>
      <w:r w:rsidRPr="0017771F">
        <w:rPr>
          <w:rFonts w:ascii="Times New Roman" w:hAnsi="Times New Roman" w:cs="Times New Roman"/>
          <w:sz w:val="24"/>
          <w:szCs w:val="24"/>
          <w:lang w:val="en-ZA"/>
        </w:rPr>
        <w:t xml:space="preserve">A total </w:t>
      </w:r>
      <w:r w:rsidR="00560D81" w:rsidRPr="0017771F">
        <w:rPr>
          <w:rFonts w:ascii="Times New Roman" w:hAnsi="Times New Roman" w:cs="Times New Roman"/>
          <w:sz w:val="24"/>
          <w:szCs w:val="24"/>
          <w:lang w:val="en-ZA"/>
        </w:rPr>
        <w:t xml:space="preserve">reduction </w:t>
      </w:r>
      <w:r w:rsidRPr="0017771F">
        <w:rPr>
          <w:rFonts w:ascii="Times New Roman" w:hAnsi="Times New Roman" w:cs="Times New Roman"/>
          <w:sz w:val="24"/>
          <w:szCs w:val="24"/>
          <w:lang w:val="en-ZA"/>
        </w:rPr>
        <w:t>of R230 million fro</w:t>
      </w:r>
      <w:r w:rsidR="00C12247">
        <w:rPr>
          <w:rFonts w:ascii="Times New Roman" w:hAnsi="Times New Roman" w:cs="Times New Roman"/>
          <w:sz w:val="24"/>
          <w:szCs w:val="24"/>
          <w:lang w:val="en-ZA"/>
        </w:rPr>
        <w:t>m the NHI Indirect G</w:t>
      </w:r>
      <w:r w:rsidRPr="0017771F">
        <w:rPr>
          <w:rFonts w:ascii="Times New Roman" w:hAnsi="Times New Roman" w:cs="Times New Roman"/>
          <w:sz w:val="24"/>
          <w:szCs w:val="24"/>
          <w:lang w:val="en-ZA"/>
        </w:rPr>
        <w:t>ran</w:t>
      </w:r>
      <w:r w:rsidR="0017771F" w:rsidRPr="0017771F">
        <w:rPr>
          <w:rFonts w:ascii="Times New Roman" w:hAnsi="Times New Roman" w:cs="Times New Roman"/>
          <w:sz w:val="24"/>
          <w:szCs w:val="24"/>
          <w:lang w:val="en-ZA"/>
        </w:rPr>
        <w:t>t: personnel services component;</w:t>
      </w:r>
    </w:p>
    <w:p w14:paraId="49A335AF" w14:textId="1F0ABFF9" w:rsidR="00AE08F7" w:rsidRPr="0017771F" w:rsidRDefault="00AE08F7" w:rsidP="00801A1B">
      <w:pPr>
        <w:pStyle w:val="ListParagraph"/>
        <w:numPr>
          <w:ilvl w:val="0"/>
          <w:numId w:val="25"/>
        </w:numPr>
        <w:spacing w:after="0" w:line="360" w:lineRule="auto"/>
        <w:ind w:left="709" w:hanging="283"/>
        <w:jc w:val="both"/>
        <w:rPr>
          <w:rFonts w:ascii="Times New Roman" w:hAnsi="Times New Roman" w:cs="Times New Roman"/>
          <w:sz w:val="24"/>
          <w:szCs w:val="24"/>
          <w:lang w:val="en-ZA"/>
        </w:rPr>
      </w:pPr>
      <w:r w:rsidRPr="0017771F">
        <w:rPr>
          <w:rFonts w:ascii="Times New Roman" w:hAnsi="Times New Roman" w:cs="Times New Roman"/>
          <w:sz w:val="24"/>
          <w:szCs w:val="24"/>
          <w:lang w:val="en-ZA"/>
        </w:rPr>
        <w:t xml:space="preserve">A total </w:t>
      </w:r>
      <w:r w:rsidR="00560D81" w:rsidRPr="0017771F">
        <w:rPr>
          <w:rFonts w:ascii="Times New Roman" w:hAnsi="Times New Roman" w:cs="Times New Roman"/>
          <w:sz w:val="24"/>
          <w:szCs w:val="24"/>
          <w:lang w:val="en-ZA"/>
        </w:rPr>
        <w:t xml:space="preserve">reduction </w:t>
      </w:r>
      <w:r w:rsidRPr="0017771F">
        <w:rPr>
          <w:rFonts w:ascii="Times New Roman" w:hAnsi="Times New Roman" w:cs="Times New Roman"/>
          <w:sz w:val="24"/>
          <w:szCs w:val="24"/>
          <w:lang w:val="en-ZA"/>
        </w:rPr>
        <w:t>of R10 million from</w:t>
      </w:r>
      <w:r w:rsidR="00C12247">
        <w:rPr>
          <w:rFonts w:ascii="Times New Roman" w:hAnsi="Times New Roman" w:cs="Times New Roman"/>
          <w:sz w:val="24"/>
          <w:szCs w:val="24"/>
          <w:lang w:val="en-ZA"/>
        </w:rPr>
        <w:t xml:space="preserve"> the NHI Indirect G</w:t>
      </w:r>
      <w:r w:rsidRPr="0017771F">
        <w:rPr>
          <w:rFonts w:ascii="Times New Roman" w:hAnsi="Times New Roman" w:cs="Times New Roman"/>
          <w:sz w:val="24"/>
          <w:szCs w:val="24"/>
          <w:lang w:val="en-ZA"/>
        </w:rPr>
        <w:t>rant: non personnel component; and</w:t>
      </w:r>
    </w:p>
    <w:p w14:paraId="236F8E53" w14:textId="0AABDD8E" w:rsidR="00AE08F7" w:rsidRPr="0017771F" w:rsidRDefault="00AE08F7" w:rsidP="00801A1B">
      <w:pPr>
        <w:pStyle w:val="ListParagraph"/>
        <w:numPr>
          <w:ilvl w:val="0"/>
          <w:numId w:val="25"/>
        </w:numPr>
        <w:spacing w:after="0" w:line="360" w:lineRule="auto"/>
        <w:ind w:left="709" w:hanging="283"/>
        <w:jc w:val="both"/>
        <w:rPr>
          <w:rFonts w:ascii="Times New Roman" w:hAnsi="Times New Roman" w:cs="Times New Roman"/>
          <w:sz w:val="24"/>
          <w:szCs w:val="24"/>
          <w:lang w:val="en-ZA"/>
        </w:rPr>
      </w:pPr>
      <w:r w:rsidRPr="0017771F">
        <w:rPr>
          <w:rFonts w:ascii="Times New Roman" w:hAnsi="Times New Roman" w:cs="Times New Roman"/>
          <w:sz w:val="24"/>
          <w:szCs w:val="24"/>
          <w:lang w:val="en-ZA"/>
        </w:rPr>
        <w:t xml:space="preserve">A total </w:t>
      </w:r>
      <w:r w:rsidR="00560D81" w:rsidRPr="0017771F">
        <w:rPr>
          <w:rFonts w:ascii="Times New Roman" w:hAnsi="Times New Roman" w:cs="Times New Roman"/>
          <w:sz w:val="24"/>
          <w:szCs w:val="24"/>
          <w:lang w:val="en-ZA"/>
        </w:rPr>
        <w:t xml:space="preserve">reduction </w:t>
      </w:r>
      <w:r w:rsidR="00C12247">
        <w:rPr>
          <w:rFonts w:ascii="Times New Roman" w:hAnsi="Times New Roman" w:cs="Times New Roman"/>
          <w:sz w:val="24"/>
          <w:szCs w:val="24"/>
          <w:lang w:val="en-ZA"/>
        </w:rPr>
        <w:t>of R30 million from the NHI Indirect G</w:t>
      </w:r>
      <w:r w:rsidRPr="0017771F">
        <w:rPr>
          <w:rFonts w:ascii="Times New Roman" w:hAnsi="Times New Roman" w:cs="Times New Roman"/>
          <w:sz w:val="24"/>
          <w:szCs w:val="24"/>
          <w:lang w:val="en-ZA"/>
        </w:rPr>
        <w:t xml:space="preserve">rant: health facility revitalisation component.  </w:t>
      </w:r>
    </w:p>
    <w:p w14:paraId="7C3F71D6" w14:textId="7BF53438" w:rsidR="005438C9" w:rsidRPr="008B22E8" w:rsidRDefault="005438C9" w:rsidP="005438C9">
      <w:pPr>
        <w:spacing w:after="0" w:line="360" w:lineRule="auto"/>
        <w:jc w:val="both"/>
        <w:rPr>
          <w:rFonts w:ascii="Times New Roman" w:eastAsia="Times New Roman" w:hAnsi="Times New Roman" w:cs="Times New Roman"/>
          <w:color w:val="000000"/>
          <w:spacing w:val="6"/>
          <w:sz w:val="24"/>
          <w:szCs w:val="24"/>
          <w:lang w:val="en-ZA" w:eastAsia="en-GB"/>
        </w:rPr>
      </w:pPr>
    </w:p>
    <w:p w14:paraId="08E147BA" w14:textId="3A9CCFE2" w:rsidR="005438C9" w:rsidRPr="008B22E8" w:rsidRDefault="005438C9" w:rsidP="0017771F">
      <w:pPr>
        <w:pStyle w:val="ListParagraph"/>
        <w:numPr>
          <w:ilvl w:val="0"/>
          <w:numId w:val="1"/>
        </w:numPr>
        <w:spacing w:after="0" w:line="360" w:lineRule="auto"/>
        <w:ind w:hanging="720"/>
        <w:jc w:val="both"/>
        <w:rPr>
          <w:rFonts w:ascii="Times New Roman" w:eastAsia="Times New Roman" w:hAnsi="Times New Roman" w:cs="Times New Roman"/>
          <w:b/>
          <w:color w:val="000000"/>
          <w:spacing w:val="6"/>
          <w:sz w:val="24"/>
          <w:szCs w:val="24"/>
          <w:lang w:val="en-ZA" w:eastAsia="en-GB"/>
        </w:rPr>
      </w:pPr>
      <w:r w:rsidRPr="008B22E8">
        <w:rPr>
          <w:rFonts w:ascii="Times New Roman" w:eastAsia="Times New Roman" w:hAnsi="Times New Roman" w:cs="Times New Roman"/>
          <w:b/>
          <w:color w:val="000000"/>
          <w:spacing w:val="6"/>
          <w:sz w:val="24"/>
          <w:szCs w:val="24"/>
          <w:lang w:val="en-ZA" w:eastAsia="en-GB"/>
        </w:rPr>
        <w:t xml:space="preserve">Changes to local government </w:t>
      </w:r>
      <w:r w:rsidR="00724959">
        <w:rPr>
          <w:rFonts w:ascii="Times New Roman" w:eastAsia="Times New Roman" w:hAnsi="Times New Roman" w:cs="Times New Roman"/>
          <w:b/>
          <w:color w:val="000000"/>
          <w:spacing w:val="6"/>
          <w:sz w:val="24"/>
          <w:szCs w:val="24"/>
          <w:lang w:val="en-ZA" w:eastAsia="en-GB"/>
        </w:rPr>
        <w:t xml:space="preserve">indirect </w:t>
      </w:r>
      <w:r w:rsidR="009617B3" w:rsidRPr="008B22E8">
        <w:rPr>
          <w:rFonts w:ascii="Times New Roman" w:eastAsia="Times New Roman" w:hAnsi="Times New Roman" w:cs="Times New Roman"/>
          <w:b/>
          <w:color w:val="000000"/>
          <w:spacing w:val="6"/>
          <w:sz w:val="24"/>
          <w:szCs w:val="24"/>
          <w:lang w:val="en-ZA" w:eastAsia="en-GB"/>
        </w:rPr>
        <w:t xml:space="preserve">conditional grant </w:t>
      </w:r>
      <w:r w:rsidRPr="008B22E8">
        <w:rPr>
          <w:rFonts w:ascii="Times New Roman" w:eastAsia="Times New Roman" w:hAnsi="Times New Roman" w:cs="Times New Roman"/>
          <w:b/>
          <w:color w:val="000000"/>
          <w:spacing w:val="6"/>
          <w:sz w:val="24"/>
          <w:szCs w:val="24"/>
          <w:lang w:val="en-ZA" w:eastAsia="en-GB"/>
        </w:rPr>
        <w:t>allocations</w:t>
      </w:r>
    </w:p>
    <w:p w14:paraId="116179A8" w14:textId="73FAE90F" w:rsidR="005438C9" w:rsidRPr="008B22E8" w:rsidRDefault="005438C9" w:rsidP="005438C9">
      <w:pPr>
        <w:spacing w:after="0" w:line="360" w:lineRule="auto"/>
        <w:jc w:val="both"/>
        <w:rPr>
          <w:rFonts w:ascii="Times New Roman" w:eastAsia="Times New Roman" w:hAnsi="Times New Roman" w:cs="Times New Roman"/>
          <w:color w:val="000000"/>
          <w:spacing w:val="6"/>
          <w:sz w:val="24"/>
          <w:szCs w:val="24"/>
          <w:lang w:val="en-ZA" w:eastAsia="en-GB"/>
        </w:rPr>
      </w:pPr>
    </w:p>
    <w:p w14:paraId="016D1CE6" w14:textId="2E2DB0FD" w:rsidR="008C253B" w:rsidRPr="00113680" w:rsidRDefault="009107E2" w:rsidP="008C253B">
      <w:pPr>
        <w:pStyle w:val="ListParagraph"/>
        <w:numPr>
          <w:ilvl w:val="1"/>
          <w:numId w:val="1"/>
        </w:numPr>
        <w:spacing w:after="0" w:line="360" w:lineRule="auto"/>
        <w:ind w:left="709" w:hanging="709"/>
        <w:jc w:val="both"/>
        <w:rPr>
          <w:rFonts w:ascii="Times New Roman" w:eastAsia="Times New Roman" w:hAnsi="Times New Roman" w:cs="Times New Roman"/>
          <w:b/>
          <w:color w:val="000000"/>
          <w:spacing w:val="6"/>
          <w:sz w:val="24"/>
          <w:szCs w:val="24"/>
          <w:lang w:val="en-ZA" w:eastAsia="en-GB"/>
        </w:rPr>
      </w:pPr>
      <w:r w:rsidRPr="008B22E8">
        <w:rPr>
          <w:rFonts w:ascii="Times New Roman" w:eastAsia="Times New Roman" w:hAnsi="Times New Roman" w:cs="Times New Roman"/>
          <w:b/>
          <w:color w:val="000000"/>
          <w:spacing w:val="6"/>
          <w:sz w:val="24"/>
          <w:szCs w:val="24"/>
          <w:lang w:val="en-ZA" w:eastAsia="en-GB"/>
        </w:rPr>
        <w:t>Conversion of a direct to indirect grant allocation</w:t>
      </w:r>
    </w:p>
    <w:p w14:paraId="11AD1440" w14:textId="7CAABE13" w:rsidR="007C7219" w:rsidRPr="00801A1B" w:rsidRDefault="00F34CF0" w:rsidP="00801A1B">
      <w:pPr>
        <w:spacing w:after="0" w:line="360" w:lineRule="auto"/>
        <w:jc w:val="both"/>
        <w:rPr>
          <w:rFonts w:ascii="Times New Roman" w:hAnsi="Times New Roman" w:cs="Times New Roman"/>
          <w:sz w:val="24"/>
          <w:szCs w:val="24"/>
          <w:lang w:val="en-ZA"/>
        </w:rPr>
      </w:pPr>
      <w:r w:rsidRPr="00801A1B">
        <w:rPr>
          <w:rFonts w:ascii="Times New Roman" w:hAnsi="Times New Roman" w:cs="Times New Roman"/>
          <w:sz w:val="24"/>
          <w:szCs w:val="24"/>
          <w:lang w:val="en-ZA"/>
        </w:rPr>
        <w:t>A total of R19.5</w:t>
      </w:r>
      <w:r w:rsidR="00CA696B" w:rsidRPr="00801A1B">
        <w:rPr>
          <w:rFonts w:ascii="Times New Roman" w:hAnsi="Times New Roman" w:cs="Times New Roman"/>
          <w:sz w:val="24"/>
          <w:szCs w:val="24"/>
          <w:lang w:val="en-ZA"/>
        </w:rPr>
        <w:t xml:space="preserve"> million is converted from the N</w:t>
      </w:r>
      <w:r w:rsidRPr="00801A1B">
        <w:rPr>
          <w:rFonts w:ascii="Times New Roman" w:hAnsi="Times New Roman" w:cs="Times New Roman"/>
          <w:sz w:val="24"/>
          <w:szCs w:val="24"/>
          <w:lang w:val="en-ZA"/>
        </w:rPr>
        <w:t>eighbourhood</w:t>
      </w:r>
      <w:r w:rsidR="00CA696B" w:rsidRPr="00801A1B">
        <w:rPr>
          <w:rFonts w:ascii="Times New Roman" w:hAnsi="Times New Roman" w:cs="Times New Roman"/>
          <w:sz w:val="24"/>
          <w:szCs w:val="24"/>
          <w:lang w:val="en-ZA"/>
        </w:rPr>
        <w:t xml:space="preserve"> Development Partnership G</w:t>
      </w:r>
      <w:r w:rsidRPr="00801A1B">
        <w:rPr>
          <w:rFonts w:ascii="Times New Roman" w:hAnsi="Times New Roman" w:cs="Times New Roman"/>
          <w:sz w:val="24"/>
          <w:szCs w:val="24"/>
          <w:lang w:val="en-ZA"/>
        </w:rPr>
        <w:t>rant</w:t>
      </w:r>
      <w:r w:rsidRPr="00801A1B">
        <w:rPr>
          <w:rFonts w:ascii="Times New Roman" w:hAnsi="Times New Roman" w:cs="Times New Roman"/>
          <w:i/>
          <w:sz w:val="24"/>
          <w:szCs w:val="24"/>
          <w:lang w:val="en-ZA"/>
        </w:rPr>
        <w:t xml:space="preserve"> </w:t>
      </w:r>
      <w:r w:rsidR="00CA696B" w:rsidRPr="00801A1B">
        <w:rPr>
          <w:rFonts w:ascii="Times New Roman" w:hAnsi="Times New Roman" w:cs="Times New Roman"/>
          <w:sz w:val="24"/>
          <w:szCs w:val="24"/>
          <w:lang w:val="en-ZA"/>
        </w:rPr>
        <w:t>direct c</w:t>
      </w:r>
      <w:r w:rsidRPr="00801A1B">
        <w:rPr>
          <w:rFonts w:ascii="Times New Roman" w:hAnsi="Times New Roman" w:cs="Times New Roman"/>
          <w:sz w:val="24"/>
          <w:szCs w:val="24"/>
          <w:lang w:val="en-ZA"/>
        </w:rPr>
        <w:t xml:space="preserve">omponent to the </w:t>
      </w:r>
      <w:r w:rsidR="00CA696B" w:rsidRPr="00801A1B">
        <w:rPr>
          <w:rFonts w:ascii="Times New Roman" w:hAnsi="Times New Roman" w:cs="Times New Roman"/>
          <w:sz w:val="24"/>
          <w:szCs w:val="24"/>
          <w:lang w:val="en-ZA"/>
        </w:rPr>
        <w:t xml:space="preserve">indirect </w:t>
      </w:r>
      <w:r w:rsidRPr="00801A1B">
        <w:rPr>
          <w:rFonts w:ascii="Times New Roman" w:hAnsi="Times New Roman" w:cs="Times New Roman"/>
          <w:sz w:val="24"/>
          <w:szCs w:val="24"/>
          <w:lang w:val="en-ZA"/>
        </w:rPr>
        <w:t>component as follows;</w:t>
      </w:r>
    </w:p>
    <w:p w14:paraId="3342D2A3" w14:textId="77777777" w:rsidR="00C7223F" w:rsidRPr="008B22E8" w:rsidRDefault="00F34CF0" w:rsidP="00801A1B">
      <w:pPr>
        <w:pStyle w:val="ListParagraph"/>
        <w:numPr>
          <w:ilvl w:val="0"/>
          <w:numId w:val="25"/>
        </w:numPr>
        <w:spacing w:after="0" w:line="360" w:lineRule="auto"/>
        <w:ind w:left="709" w:hanging="283"/>
        <w:jc w:val="both"/>
        <w:rPr>
          <w:rFonts w:ascii="Times New Roman" w:hAnsi="Times New Roman" w:cs="Times New Roman"/>
          <w:sz w:val="24"/>
          <w:szCs w:val="24"/>
          <w:lang w:val="en-ZA"/>
        </w:rPr>
      </w:pPr>
      <w:r w:rsidRPr="008B22E8">
        <w:rPr>
          <w:rFonts w:ascii="Times New Roman" w:hAnsi="Times New Roman" w:cs="Times New Roman"/>
          <w:sz w:val="24"/>
          <w:szCs w:val="24"/>
          <w:lang w:val="en-ZA"/>
        </w:rPr>
        <w:t>A total of R12 million is converted for the West Rand District Municipality for road widening</w:t>
      </w:r>
      <w:r w:rsidR="00C7223F" w:rsidRPr="008B22E8">
        <w:rPr>
          <w:rFonts w:ascii="Times New Roman" w:hAnsi="Times New Roman" w:cs="Times New Roman"/>
          <w:sz w:val="24"/>
          <w:szCs w:val="24"/>
          <w:lang w:val="en-ZA"/>
        </w:rPr>
        <w:t xml:space="preserve"> and upgrades, </w:t>
      </w:r>
      <w:r w:rsidRPr="008B22E8">
        <w:rPr>
          <w:rFonts w:ascii="Times New Roman" w:hAnsi="Times New Roman" w:cs="Times New Roman"/>
          <w:sz w:val="24"/>
          <w:szCs w:val="24"/>
          <w:lang w:val="en-ZA"/>
        </w:rPr>
        <w:t>and</w:t>
      </w:r>
    </w:p>
    <w:p w14:paraId="0A6A5DAA" w14:textId="0554DE0D" w:rsidR="007C7219" w:rsidRPr="008B22E8" w:rsidRDefault="00C7223F" w:rsidP="00801A1B">
      <w:pPr>
        <w:pStyle w:val="ListParagraph"/>
        <w:numPr>
          <w:ilvl w:val="0"/>
          <w:numId w:val="25"/>
        </w:numPr>
        <w:spacing w:after="0" w:line="360" w:lineRule="auto"/>
        <w:ind w:left="709" w:hanging="283"/>
        <w:jc w:val="both"/>
        <w:rPr>
          <w:rFonts w:ascii="Times New Roman" w:hAnsi="Times New Roman" w:cs="Times New Roman"/>
          <w:sz w:val="24"/>
          <w:szCs w:val="24"/>
          <w:lang w:val="en-ZA"/>
        </w:rPr>
      </w:pPr>
      <w:r w:rsidRPr="008B22E8">
        <w:rPr>
          <w:rFonts w:ascii="Times New Roman" w:hAnsi="Times New Roman" w:cs="Times New Roman"/>
          <w:sz w:val="24"/>
          <w:szCs w:val="24"/>
          <w:lang w:val="en-ZA"/>
        </w:rPr>
        <w:t>A total of R7.5 million for road upgrade projects</w:t>
      </w:r>
      <w:r w:rsidR="00F34CF0" w:rsidRPr="008B22E8">
        <w:rPr>
          <w:rFonts w:ascii="Times New Roman" w:hAnsi="Times New Roman" w:cs="Times New Roman"/>
          <w:sz w:val="24"/>
          <w:szCs w:val="24"/>
          <w:lang w:val="en-ZA"/>
        </w:rPr>
        <w:t xml:space="preserve"> at Emfuleni Local </w:t>
      </w:r>
      <w:r w:rsidR="000057EF" w:rsidRPr="008B22E8">
        <w:rPr>
          <w:rFonts w:ascii="Times New Roman" w:hAnsi="Times New Roman" w:cs="Times New Roman"/>
          <w:sz w:val="24"/>
          <w:szCs w:val="24"/>
          <w:lang w:val="en-ZA"/>
        </w:rPr>
        <w:t>Municipality, which</w:t>
      </w:r>
      <w:r w:rsidRPr="008B22E8">
        <w:rPr>
          <w:rFonts w:ascii="Times New Roman" w:hAnsi="Times New Roman" w:cs="Times New Roman"/>
          <w:sz w:val="24"/>
          <w:szCs w:val="24"/>
          <w:lang w:val="en-ZA"/>
        </w:rPr>
        <w:t xml:space="preserve"> were approved in 2017. </w:t>
      </w:r>
    </w:p>
    <w:p w14:paraId="326FA7E8" w14:textId="77777777" w:rsidR="00C7223F" w:rsidRPr="008B22E8" w:rsidRDefault="00C7223F" w:rsidP="00C7223F">
      <w:pPr>
        <w:pStyle w:val="ListParagraph"/>
        <w:spacing w:after="0" w:line="360" w:lineRule="auto"/>
        <w:ind w:left="1800"/>
        <w:jc w:val="both"/>
        <w:rPr>
          <w:rFonts w:ascii="Times New Roman" w:hAnsi="Times New Roman" w:cs="Times New Roman"/>
          <w:sz w:val="24"/>
          <w:szCs w:val="24"/>
          <w:lang w:val="en-ZA"/>
        </w:rPr>
      </w:pPr>
    </w:p>
    <w:p w14:paraId="51E7CF73" w14:textId="68A8253E" w:rsidR="0058394E" w:rsidRPr="00113680" w:rsidRDefault="00C7223F" w:rsidP="0058394E">
      <w:pPr>
        <w:pStyle w:val="ListParagraph"/>
        <w:numPr>
          <w:ilvl w:val="1"/>
          <w:numId w:val="1"/>
        </w:numPr>
        <w:spacing w:after="0" w:line="360" w:lineRule="auto"/>
        <w:ind w:left="709" w:hanging="709"/>
        <w:rPr>
          <w:rFonts w:ascii="Times New Roman" w:hAnsi="Times New Roman" w:cs="Times New Roman"/>
          <w:b/>
          <w:sz w:val="24"/>
          <w:szCs w:val="24"/>
          <w:lang w:val="en-ZA"/>
        </w:rPr>
      </w:pPr>
      <w:r w:rsidRPr="008B22E8">
        <w:rPr>
          <w:rFonts w:ascii="Times New Roman" w:hAnsi="Times New Roman" w:cs="Times New Roman"/>
          <w:b/>
          <w:sz w:val="24"/>
          <w:szCs w:val="24"/>
          <w:lang w:val="en-ZA"/>
        </w:rPr>
        <w:t xml:space="preserve">Roll-over funds from grant allocation </w:t>
      </w:r>
    </w:p>
    <w:p w14:paraId="17F0E884" w14:textId="6F05C346" w:rsidR="0058394E" w:rsidRPr="00801A1B" w:rsidRDefault="00CA696B" w:rsidP="00801A1B">
      <w:pPr>
        <w:spacing w:after="0" w:line="360" w:lineRule="auto"/>
        <w:jc w:val="both"/>
        <w:rPr>
          <w:rFonts w:ascii="Times New Roman" w:hAnsi="Times New Roman" w:cs="Times New Roman"/>
          <w:b/>
          <w:sz w:val="24"/>
          <w:szCs w:val="24"/>
          <w:lang w:val="en-ZA"/>
        </w:rPr>
      </w:pPr>
      <w:r w:rsidRPr="00801A1B">
        <w:rPr>
          <w:rFonts w:ascii="Times New Roman" w:hAnsi="Times New Roman" w:cs="Times New Roman"/>
          <w:b/>
          <w:i/>
          <w:sz w:val="24"/>
          <w:szCs w:val="24"/>
          <w:lang w:val="en-ZA"/>
        </w:rPr>
        <w:t>Regional Bulk Infrastructure G</w:t>
      </w:r>
      <w:r w:rsidR="0058394E" w:rsidRPr="00801A1B">
        <w:rPr>
          <w:rFonts w:ascii="Times New Roman" w:hAnsi="Times New Roman" w:cs="Times New Roman"/>
          <w:b/>
          <w:i/>
          <w:sz w:val="24"/>
          <w:szCs w:val="24"/>
          <w:lang w:val="en-ZA"/>
        </w:rPr>
        <w:t>rant:</w:t>
      </w:r>
      <w:r w:rsidR="0058394E" w:rsidRPr="00801A1B">
        <w:rPr>
          <w:rFonts w:ascii="Times New Roman" w:hAnsi="Times New Roman" w:cs="Times New Roman"/>
          <w:b/>
          <w:sz w:val="24"/>
          <w:szCs w:val="24"/>
          <w:lang w:val="en-ZA"/>
        </w:rPr>
        <w:t xml:space="preserve"> </w:t>
      </w:r>
      <w:r w:rsidR="0058394E" w:rsidRPr="00801A1B">
        <w:rPr>
          <w:rFonts w:ascii="Times New Roman" w:hAnsi="Times New Roman" w:cs="Times New Roman"/>
          <w:sz w:val="24"/>
          <w:szCs w:val="24"/>
          <w:lang w:val="en-ZA"/>
        </w:rPr>
        <w:t xml:space="preserve">A total of R241.9 million is rolled-over for the regional bulk infrastructure indirect grant for the Vaal River System (VSR) pollution remediation intervention in </w:t>
      </w:r>
      <w:r w:rsidRPr="00801A1B">
        <w:rPr>
          <w:rFonts w:ascii="Times New Roman" w:hAnsi="Times New Roman" w:cs="Times New Roman"/>
          <w:sz w:val="24"/>
          <w:szCs w:val="24"/>
          <w:lang w:val="en-ZA"/>
        </w:rPr>
        <w:t xml:space="preserve">the </w:t>
      </w:r>
      <w:r w:rsidR="0058394E" w:rsidRPr="00801A1B">
        <w:rPr>
          <w:rFonts w:ascii="Times New Roman" w:hAnsi="Times New Roman" w:cs="Times New Roman"/>
          <w:sz w:val="24"/>
          <w:szCs w:val="24"/>
          <w:lang w:val="en-ZA"/>
        </w:rPr>
        <w:t xml:space="preserve">Emfuleni Local Municipality. </w:t>
      </w:r>
    </w:p>
    <w:p w14:paraId="5F155DB7" w14:textId="52398BBC" w:rsidR="006917F2" w:rsidRPr="008B22E8" w:rsidRDefault="006917F2" w:rsidP="0062373C">
      <w:pPr>
        <w:spacing w:after="0" w:line="360" w:lineRule="auto"/>
        <w:jc w:val="both"/>
        <w:rPr>
          <w:rFonts w:ascii="Times New Roman" w:hAnsi="Times New Roman" w:cs="Times New Roman"/>
          <w:b/>
          <w:sz w:val="24"/>
          <w:szCs w:val="24"/>
          <w:lang w:val="en-ZA"/>
        </w:rPr>
      </w:pPr>
    </w:p>
    <w:p w14:paraId="25D74858" w14:textId="55847E9C" w:rsidR="000057EF" w:rsidRPr="00113680" w:rsidRDefault="000057EF" w:rsidP="0062373C">
      <w:pPr>
        <w:pStyle w:val="ListParagraph"/>
        <w:numPr>
          <w:ilvl w:val="1"/>
          <w:numId w:val="1"/>
        </w:numPr>
        <w:spacing w:after="0" w:line="360" w:lineRule="auto"/>
        <w:ind w:left="709" w:hanging="709"/>
        <w:jc w:val="both"/>
        <w:rPr>
          <w:rFonts w:ascii="Times New Roman" w:hAnsi="Times New Roman" w:cs="Times New Roman"/>
          <w:b/>
          <w:sz w:val="24"/>
          <w:szCs w:val="24"/>
          <w:lang w:val="en-ZA"/>
        </w:rPr>
      </w:pPr>
      <w:r w:rsidRPr="008B22E8">
        <w:rPr>
          <w:rFonts w:ascii="Times New Roman" w:hAnsi="Times New Roman" w:cs="Times New Roman"/>
          <w:b/>
          <w:sz w:val="24"/>
          <w:szCs w:val="24"/>
          <w:lang w:val="en-ZA"/>
        </w:rPr>
        <w:t xml:space="preserve">Reductions to indirect grant allocations </w:t>
      </w:r>
    </w:p>
    <w:p w14:paraId="38D08945" w14:textId="5DFD9ABE" w:rsidR="001B5565" w:rsidRPr="00801A1B" w:rsidRDefault="000057EF" w:rsidP="00801A1B">
      <w:pPr>
        <w:spacing w:after="0" w:line="360" w:lineRule="auto"/>
        <w:jc w:val="both"/>
        <w:rPr>
          <w:rFonts w:ascii="Times New Roman" w:hAnsi="Times New Roman" w:cs="Times New Roman"/>
          <w:sz w:val="24"/>
          <w:szCs w:val="24"/>
          <w:lang w:val="en-ZA"/>
        </w:rPr>
      </w:pPr>
      <w:r w:rsidRPr="00801A1B">
        <w:rPr>
          <w:rFonts w:ascii="Times New Roman" w:hAnsi="Times New Roman" w:cs="Times New Roman"/>
          <w:sz w:val="24"/>
          <w:szCs w:val="24"/>
          <w:lang w:val="en-ZA"/>
        </w:rPr>
        <w:t xml:space="preserve">A total of R445.5 million </w:t>
      </w:r>
      <w:r w:rsidR="00E04049">
        <w:rPr>
          <w:rFonts w:ascii="Times New Roman" w:hAnsi="Times New Roman" w:cs="Times New Roman"/>
          <w:sz w:val="24"/>
          <w:szCs w:val="24"/>
          <w:lang w:val="en-ZA"/>
        </w:rPr>
        <w:t xml:space="preserve">in </w:t>
      </w:r>
      <w:r w:rsidRPr="00801A1B">
        <w:rPr>
          <w:rFonts w:ascii="Times New Roman" w:hAnsi="Times New Roman" w:cs="Times New Roman"/>
          <w:sz w:val="24"/>
          <w:szCs w:val="24"/>
          <w:lang w:val="en-ZA"/>
        </w:rPr>
        <w:t>reductions to indirect grant allocations are made as follows</w:t>
      </w:r>
      <w:r w:rsidR="001B5565" w:rsidRPr="00801A1B">
        <w:rPr>
          <w:rFonts w:ascii="Times New Roman" w:hAnsi="Times New Roman" w:cs="Times New Roman"/>
          <w:sz w:val="24"/>
          <w:szCs w:val="24"/>
          <w:lang w:val="en-ZA"/>
        </w:rPr>
        <w:t xml:space="preserve"> in order stay within the expenditure ceiling</w:t>
      </w:r>
      <w:r w:rsidR="00893B18">
        <w:rPr>
          <w:rFonts w:ascii="Times New Roman" w:hAnsi="Times New Roman" w:cs="Times New Roman"/>
          <w:sz w:val="24"/>
          <w:szCs w:val="24"/>
          <w:lang w:val="en-ZA"/>
        </w:rPr>
        <w:t xml:space="preserve"> and due to projected underspending</w:t>
      </w:r>
      <w:r w:rsidRPr="00801A1B">
        <w:rPr>
          <w:rFonts w:ascii="Times New Roman" w:hAnsi="Times New Roman" w:cs="Times New Roman"/>
          <w:sz w:val="24"/>
          <w:szCs w:val="24"/>
          <w:lang w:val="en-ZA"/>
        </w:rPr>
        <w:t>:</w:t>
      </w:r>
    </w:p>
    <w:p w14:paraId="569BD70B" w14:textId="10136577" w:rsidR="001B5565" w:rsidRPr="008B22E8" w:rsidRDefault="001B5565" w:rsidP="00801A1B">
      <w:pPr>
        <w:pStyle w:val="ListParagraph"/>
        <w:numPr>
          <w:ilvl w:val="0"/>
          <w:numId w:val="25"/>
        </w:numPr>
        <w:spacing w:after="0" w:line="360" w:lineRule="auto"/>
        <w:ind w:left="709" w:hanging="283"/>
        <w:jc w:val="both"/>
        <w:rPr>
          <w:rFonts w:ascii="Times New Roman" w:hAnsi="Times New Roman" w:cs="Times New Roman"/>
          <w:sz w:val="24"/>
          <w:szCs w:val="24"/>
          <w:lang w:val="en-ZA"/>
        </w:rPr>
      </w:pPr>
      <w:r w:rsidRPr="008B22E8">
        <w:rPr>
          <w:rFonts w:ascii="Times New Roman" w:hAnsi="Times New Roman" w:cs="Times New Roman"/>
          <w:sz w:val="24"/>
          <w:szCs w:val="24"/>
          <w:lang w:val="en-ZA"/>
        </w:rPr>
        <w:t xml:space="preserve">A total </w:t>
      </w:r>
      <w:r w:rsidR="00560D81" w:rsidRPr="008B22E8">
        <w:rPr>
          <w:rFonts w:ascii="Times New Roman" w:hAnsi="Times New Roman" w:cs="Times New Roman"/>
          <w:sz w:val="24"/>
          <w:szCs w:val="24"/>
          <w:lang w:val="en-ZA"/>
        </w:rPr>
        <w:t xml:space="preserve">reduction </w:t>
      </w:r>
      <w:r w:rsidR="00CA696B">
        <w:rPr>
          <w:rFonts w:ascii="Times New Roman" w:hAnsi="Times New Roman" w:cs="Times New Roman"/>
          <w:sz w:val="24"/>
          <w:szCs w:val="24"/>
          <w:lang w:val="en-ZA"/>
        </w:rPr>
        <w:t>of R10.5 million from the Municipal Systems Improvement G</w:t>
      </w:r>
      <w:r w:rsidRPr="008B22E8">
        <w:rPr>
          <w:rFonts w:ascii="Times New Roman" w:hAnsi="Times New Roman" w:cs="Times New Roman"/>
          <w:sz w:val="24"/>
          <w:szCs w:val="24"/>
          <w:lang w:val="en-ZA"/>
        </w:rPr>
        <w:t>rant;</w:t>
      </w:r>
    </w:p>
    <w:p w14:paraId="068E7612" w14:textId="219AB20A" w:rsidR="001B5565" w:rsidRPr="008B22E8" w:rsidRDefault="001B5565" w:rsidP="00801A1B">
      <w:pPr>
        <w:pStyle w:val="ListParagraph"/>
        <w:numPr>
          <w:ilvl w:val="0"/>
          <w:numId w:val="25"/>
        </w:numPr>
        <w:spacing w:after="0" w:line="360" w:lineRule="auto"/>
        <w:ind w:left="709" w:hanging="283"/>
        <w:jc w:val="both"/>
        <w:rPr>
          <w:rFonts w:ascii="Times New Roman" w:hAnsi="Times New Roman" w:cs="Times New Roman"/>
          <w:sz w:val="24"/>
          <w:szCs w:val="24"/>
          <w:lang w:val="en-ZA"/>
        </w:rPr>
      </w:pPr>
      <w:r w:rsidRPr="008B22E8">
        <w:rPr>
          <w:rFonts w:ascii="Times New Roman" w:hAnsi="Times New Roman" w:cs="Times New Roman"/>
          <w:sz w:val="24"/>
          <w:szCs w:val="24"/>
          <w:lang w:val="en-ZA"/>
        </w:rPr>
        <w:t xml:space="preserve">A total </w:t>
      </w:r>
      <w:r w:rsidR="00560D81" w:rsidRPr="008B22E8">
        <w:rPr>
          <w:rFonts w:ascii="Times New Roman" w:hAnsi="Times New Roman" w:cs="Times New Roman"/>
          <w:sz w:val="24"/>
          <w:szCs w:val="24"/>
          <w:lang w:val="en-ZA"/>
        </w:rPr>
        <w:t xml:space="preserve">reduction </w:t>
      </w:r>
      <w:r w:rsidRPr="008B22E8">
        <w:rPr>
          <w:rFonts w:ascii="Times New Roman" w:hAnsi="Times New Roman" w:cs="Times New Roman"/>
          <w:sz w:val="24"/>
          <w:szCs w:val="24"/>
          <w:lang w:val="en-ZA"/>
        </w:rPr>
        <w:t>of R</w:t>
      </w:r>
      <w:r w:rsidR="00CA696B">
        <w:rPr>
          <w:rFonts w:ascii="Times New Roman" w:hAnsi="Times New Roman" w:cs="Times New Roman"/>
          <w:sz w:val="24"/>
          <w:szCs w:val="24"/>
          <w:lang w:val="en-ZA"/>
        </w:rPr>
        <w:t>185 million from the indirect Regional Bulk I</w:t>
      </w:r>
      <w:r w:rsidR="00560D81" w:rsidRPr="008B22E8">
        <w:rPr>
          <w:rFonts w:ascii="Times New Roman" w:hAnsi="Times New Roman" w:cs="Times New Roman"/>
          <w:sz w:val="24"/>
          <w:szCs w:val="24"/>
          <w:lang w:val="en-ZA"/>
        </w:rPr>
        <w:t xml:space="preserve">nfrastructure </w:t>
      </w:r>
      <w:r w:rsidR="00CA696B">
        <w:rPr>
          <w:rFonts w:ascii="Times New Roman" w:hAnsi="Times New Roman" w:cs="Times New Roman"/>
          <w:sz w:val="24"/>
          <w:szCs w:val="24"/>
          <w:lang w:val="en-ZA"/>
        </w:rPr>
        <w:t>G</w:t>
      </w:r>
      <w:r w:rsidR="00560D81" w:rsidRPr="008B22E8">
        <w:rPr>
          <w:rFonts w:ascii="Times New Roman" w:hAnsi="Times New Roman" w:cs="Times New Roman"/>
          <w:sz w:val="24"/>
          <w:szCs w:val="24"/>
          <w:lang w:val="en-ZA"/>
        </w:rPr>
        <w:t xml:space="preserve">rant; </w:t>
      </w:r>
      <w:r w:rsidR="00724959">
        <w:rPr>
          <w:rFonts w:ascii="Times New Roman" w:hAnsi="Times New Roman" w:cs="Times New Roman"/>
          <w:sz w:val="24"/>
          <w:szCs w:val="24"/>
          <w:lang w:val="en-ZA"/>
        </w:rPr>
        <w:t>and</w:t>
      </w:r>
    </w:p>
    <w:p w14:paraId="523F33C6" w14:textId="26363843" w:rsidR="00765B0C" w:rsidRPr="00853963" w:rsidRDefault="00560D81" w:rsidP="0062373C">
      <w:pPr>
        <w:pStyle w:val="ListParagraph"/>
        <w:numPr>
          <w:ilvl w:val="0"/>
          <w:numId w:val="25"/>
        </w:numPr>
        <w:spacing w:after="0" w:line="360" w:lineRule="auto"/>
        <w:ind w:left="709" w:hanging="283"/>
        <w:jc w:val="both"/>
        <w:rPr>
          <w:rFonts w:ascii="Times New Roman" w:hAnsi="Times New Roman" w:cs="Times New Roman"/>
          <w:sz w:val="24"/>
          <w:szCs w:val="24"/>
          <w:lang w:val="en-ZA"/>
        </w:rPr>
      </w:pPr>
      <w:r w:rsidRPr="008B22E8">
        <w:rPr>
          <w:rFonts w:ascii="Times New Roman" w:hAnsi="Times New Roman" w:cs="Times New Roman"/>
          <w:sz w:val="24"/>
          <w:szCs w:val="24"/>
          <w:lang w:val="en-ZA"/>
        </w:rPr>
        <w:t>A total redu</w:t>
      </w:r>
      <w:r w:rsidR="00CA696B">
        <w:rPr>
          <w:rFonts w:ascii="Times New Roman" w:hAnsi="Times New Roman" w:cs="Times New Roman"/>
          <w:sz w:val="24"/>
          <w:szCs w:val="24"/>
          <w:lang w:val="en-ZA"/>
        </w:rPr>
        <w:t>ction of R250 million from the Integrated National Electrification P</w:t>
      </w:r>
      <w:r w:rsidRPr="008B22E8">
        <w:rPr>
          <w:rFonts w:ascii="Times New Roman" w:hAnsi="Times New Roman" w:cs="Times New Roman"/>
          <w:sz w:val="24"/>
          <w:szCs w:val="24"/>
          <w:lang w:val="en-ZA"/>
        </w:rPr>
        <w:t xml:space="preserve">rogramme (Eskom) </w:t>
      </w:r>
      <w:r w:rsidR="00F73876">
        <w:rPr>
          <w:rFonts w:ascii="Times New Roman" w:hAnsi="Times New Roman" w:cs="Times New Roman"/>
          <w:sz w:val="24"/>
          <w:szCs w:val="24"/>
          <w:lang w:val="en-ZA"/>
        </w:rPr>
        <w:t>G</w:t>
      </w:r>
      <w:r w:rsidRPr="008B22E8">
        <w:rPr>
          <w:rFonts w:ascii="Times New Roman" w:hAnsi="Times New Roman" w:cs="Times New Roman"/>
          <w:sz w:val="24"/>
          <w:szCs w:val="24"/>
          <w:lang w:val="en-ZA"/>
        </w:rPr>
        <w:t xml:space="preserve">rant. </w:t>
      </w:r>
    </w:p>
    <w:p w14:paraId="59E8505B" w14:textId="77777777" w:rsidR="00765B0C" w:rsidRPr="008B22E8" w:rsidRDefault="00765B0C" w:rsidP="0062373C">
      <w:pPr>
        <w:spacing w:after="0" w:line="360" w:lineRule="auto"/>
        <w:jc w:val="both"/>
        <w:rPr>
          <w:rFonts w:ascii="Times New Roman" w:hAnsi="Times New Roman" w:cs="Times New Roman"/>
          <w:sz w:val="24"/>
          <w:szCs w:val="24"/>
          <w:lang w:val="en-ZA"/>
        </w:rPr>
      </w:pPr>
    </w:p>
    <w:p w14:paraId="46FD65DA" w14:textId="05011934" w:rsidR="0000156E" w:rsidRPr="00113680" w:rsidRDefault="00724959" w:rsidP="0062373C">
      <w:pPr>
        <w:pStyle w:val="ListParagraph"/>
        <w:numPr>
          <w:ilvl w:val="0"/>
          <w:numId w:val="1"/>
        </w:numPr>
        <w:spacing w:after="0" w:line="360" w:lineRule="auto"/>
        <w:ind w:hanging="720"/>
        <w:jc w:val="both"/>
        <w:rPr>
          <w:rFonts w:ascii="Times New Roman" w:hAnsi="Times New Roman" w:cs="Times New Roman"/>
          <w:b/>
          <w:sz w:val="24"/>
          <w:szCs w:val="24"/>
          <w:lang w:val="en-ZA"/>
        </w:rPr>
      </w:pPr>
      <w:r>
        <w:rPr>
          <w:rFonts w:ascii="Times New Roman" w:hAnsi="Times New Roman" w:cs="Times New Roman"/>
          <w:b/>
          <w:sz w:val="24"/>
          <w:szCs w:val="24"/>
          <w:lang w:val="en-ZA"/>
        </w:rPr>
        <w:t xml:space="preserve">Corrections </w:t>
      </w:r>
      <w:r w:rsidR="00903F58" w:rsidRPr="008B22E8">
        <w:rPr>
          <w:rFonts w:ascii="Times New Roman" w:hAnsi="Times New Roman" w:cs="Times New Roman"/>
          <w:b/>
          <w:sz w:val="24"/>
          <w:szCs w:val="24"/>
          <w:lang w:val="en-ZA"/>
        </w:rPr>
        <w:t xml:space="preserve">to gazetted </w:t>
      </w:r>
      <w:r>
        <w:rPr>
          <w:rFonts w:ascii="Times New Roman" w:hAnsi="Times New Roman" w:cs="Times New Roman"/>
          <w:b/>
          <w:sz w:val="24"/>
          <w:szCs w:val="24"/>
          <w:lang w:val="en-ZA"/>
        </w:rPr>
        <w:t xml:space="preserve">conditional grant </w:t>
      </w:r>
      <w:r w:rsidR="00903F58" w:rsidRPr="008B22E8">
        <w:rPr>
          <w:rFonts w:ascii="Times New Roman" w:hAnsi="Times New Roman" w:cs="Times New Roman"/>
          <w:b/>
          <w:sz w:val="24"/>
          <w:szCs w:val="24"/>
          <w:lang w:val="en-ZA"/>
        </w:rPr>
        <w:t xml:space="preserve">frameworks </w:t>
      </w:r>
    </w:p>
    <w:p w14:paraId="077049F7" w14:textId="652665FB" w:rsidR="0062373C" w:rsidRPr="008B22E8" w:rsidRDefault="0062373C" w:rsidP="001D16C3">
      <w:pPr>
        <w:spacing w:after="0" w:line="360" w:lineRule="auto"/>
        <w:jc w:val="both"/>
        <w:rPr>
          <w:rFonts w:ascii="Times New Roman" w:hAnsi="Times New Roman" w:cs="Times New Roman"/>
          <w:sz w:val="24"/>
          <w:szCs w:val="24"/>
          <w:lang w:val="en-ZA"/>
        </w:rPr>
      </w:pPr>
      <w:r w:rsidRPr="008B22E8">
        <w:rPr>
          <w:rFonts w:ascii="Times New Roman" w:hAnsi="Times New Roman" w:cs="Times New Roman"/>
          <w:sz w:val="24"/>
          <w:szCs w:val="24"/>
          <w:lang w:val="en-ZA"/>
        </w:rPr>
        <w:lastRenderedPageBreak/>
        <w:t>Together with the tabling of the</w:t>
      </w:r>
      <w:r w:rsidR="00CA696B">
        <w:rPr>
          <w:rFonts w:ascii="Times New Roman" w:hAnsi="Times New Roman" w:cs="Times New Roman"/>
          <w:sz w:val="24"/>
          <w:szCs w:val="24"/>
          <w:lang w:val="en-ZA"/>
        </w:rPr>
        <w:t xml:space="preserve"> Division of Revenue Amendment B</w:t>
      </w:r>
      <w:r w:rsidRPr="008B22E8">
        <w:rPr>
          <w:rFonts w:ascii="Times New Roman" w:hAnsi="Times New Roman" w:cs="Times New Roman"/>
          <w:sz w:val="24"/>
          <w:szCs w:val="24"/>
          <w:lang w:val="en-ZA"/>
        </w:rPr>
        <w:t>ill, National Treasury also submitted to Parliament, the proposed changes to the gazetted conditional grant framework</w:t>
      </w:r>
      <w:r w:rsidR="00E04049">
        <w:rPr>
          <w:rFonts w:ascii="Times New Roman" w:hAnsi="Times New Roman" w:cs="Times New Roman"/>
          <w:sz w:val="24"/>
          <w:szCs w:val="24"/>
          <w:lang w:val="en-ZA"/>
        </w:rPr>
        <w:t>s</w:t>
      </w:r>
      <w:r w:rsidRPr="008B22E8">
        <w:rPr>
          <w:rFonts w:ascii="Times New Roman" w:hAnsi="Times New Roman" w:cs="Times New Roman"/>
          <w:sz w:val="24"/>
          <w:szCs w:val="24"/>
          <w:lang w:val="en-ZA"/>
        </w:rPr>
        <w:t xml:space="preserve"> and allocations. Section 16(4) of the Division of Revenue Act, 2019, requires National Treasury to consult Parliament on any proposed changes to a conditional grant framework for the purposes of correcting an error or omission, as envisaged in Section 16(2) of the Division of Revenue Act, 2019. The following proposed changes were submitted by the Minister of Finance with the Bill;</w:t>
      </w:r>
    </w:p>
    <w:p w14:paraId="07DC3FD0" w14:textId="77777777" w:rsidR="0062373C" w:rsidRPr="008B22E8" w:rsidRDefault="0062373C" w:rsidP="001D16C3">
      <w:pPr>
        <w:spacing w:after="0" w:line="360" w:lineRule="auto"/>
        <w:jc w:val="both"/>
        <w:rPr>
          <w:rFonts w:ascii="Times New Roman" w:hAnsi="Times New Roman" w:cs="Times New Roman"/>
          <w:sz w:val="24"/>
          <w:szCs w:val="24"/>
          <w:lang w:val="en-ZA"/>
        </w:rPr>
      </w:pPr>
    </w:p>
    <w:p w14:paraId="06055006" w14:textId="06F9C486" w:rsidR="007B12FF" w:rsidRPr="00724959" w:rsidRDefault="00724959" w:rsidP="007B12FF">
      <w:pPr>
        <w:pStyle w:val="ListParagraph"/>
        <w:numPr>
          <w:ilvl w:val="0"/>
          <w:numId w:val="24"/>
        </w:numPr>
        <w:spacing w:after="0" w:line="360" w:lineRule="auto"/>
        <w:ind w:left="709" w:hanging="283"/>
        <w:jc w:val="both"/>
        <w:rPr>
          <w:rFonts w:ascii="Times New Roman" w:hAnsi="Times New Roman" w:cs="Times New Roman"/>
          <w:b/>
          <w:sz w:val="24"/>
          <w:szCs w:val="24"/>
          <w:lang w:val="en-ZA"/>
        </w:rPr>
      </w:pPr>
      <w:proofErr w:type="spellStart"/>
      <w:r>
        <w:rPr>
          <w:rFonts w:ascii="Times New Roman" w:hAnsi="Times New Roman" w:cs="Times New Roman"/>
          <w:b/>
          <w:sz w:val="24"/>
          <w:szCs w:val="24"/>
          <w:lang w:val="en-ZA"/>
        </w:rPr>
        <w:t>Ilima</w:t>
      </w:r>
      <w:proofErr w:type="spellEnd"/>
      <w:r>
        <w:rPr>
          <w:rFonts w:ascii="Times New Roman" w:hAnsi="Times New Roman" w:cs="Times New Roman"/>
          <w:b/>
          <w:sz w:val="24"/>
          <w:szCs w:val="24"/>
          <w:lang w:val="en-ZA"/>
        </w:rPr>
        <w:t>/</w:t>
      </w:r>
      <w:proofErr w:type="spellStart"/>
      <w:r>
        <w:rPr>
          <w:rFonts w:ascii="Times New Roman" w:hAnsi="Times New Roman" w:cs="Times New Roman"/>
          <w:b/>
          <w:sz w:val="24"/>
          <w:szCs w:val="24"/>
          <w:lang w:val="en-ZA"/>
        </w:rPr>
        <w:t>L</w:t>
      </w:r>
      <w:r w:rsidR="0062373C" w:rsidRPr="008B22E8">
        <w:rPr>
          <w:rFonts w:ascii="Times New Roman" w:hAnsi="Times New Roman" w:cs="Times New Roman"/>
          <w:b/>
          <w:sz w:val="24"/>
          <w:szCs w:val="24"/>
          <w:lang w:val="en-ZA"/>
        </w:rPr>
        <w:t>etsema</w:t>
      </w:r>
      <w:proofErr w:type="spellEnd"/>
      <w:r w:rsidR="0062373C" w:rsidRPr="008B22E8">
        <w:rPr>
          <w:rFonts w:ascii="Times New Roman" w:hAnsi="Times New Roman" w:cs="Times New Roman"/>
          <w:b/>
          <w:sz w:val="24"/>
          <w:szCs w:val="24"/>
          <w:lang w:val="en-ZA"/>
        </w:rPr>
        <w:t xml:space="preserve"> grant framework</w:t>
      </w:r>
      <w:r w:rsidR="00801A1B">
        <w:rPr>
          <w:rFonts w:ascii="Times New Roman" w:hAnsi="Times New Roman" w:cs="Times New Roman"/>
          <w:b/>
          <w:sz w:val="24"/>
          <w:szCs w:val="24"/>
          <w:lang w:val="en-ZA"/>
        </w:rPr>
        <w:t xml:space="preserve">: </w:t>
      </w:r>
      <w:r w:rsidR="008B22E8" w:rsidRPr="00801A1B">
        <w:rPr>
          <w:rFonts w:ascii="Times New Roman" w:hAnsi="Times New Roman" w:cs="Times New Roman"/>
          <w:sz w:val="24"/>
          <w:szCs w:val="24"/>
          <w:lang w:val="en-ZA"/>
        </w:rPr>
        <w:t>T</w:t>
      </w:r>
      <w:r w:rsidR="007B12FF" w:rsidRPr="00801A1B">
        <w:rPr>
          <w:rFonts w:ascii="Times New Roman" w:hAnsi="Times New Roman" w:cs="Times New Roman"/>
          <w:sz w:val="24"/>
          <w:szCs w:val="24"/>
          <w:lang w:val="en-ZA"/>
        </w:rPr>
        <w:t xml:space="preserve">he framework is amended to include conditions for </w:t>
      </w:r>
      <w:r w:rsidR="00C738F9">
        <w:rPr>
          <w:rFonts w:ascii="Times New Roman" w:hAnsi="Times New Roman" w:cs="Times New Roman"/>
          <w:sz w:val="24"/>
          <w:szCs w:val="24"/>
          <w:lang w:val="en-ZA"/>
        </w:rPr>
        <w:t>the new</w:t>
      </w:r>
      <w:r w:rsidR="007B12FF" w:rsidRPr="00801A1B">
        <w:rPr>
          <w:rFonts w:ascii="Times New Roman" w:hAnsi="Times New Roman" w:cs="Times New Roman"/>
          <w:sz w:val="24"/>
          <w:szCs w:val="24"/>
          <w:lang w:val="en-ZA"/>
        </w:rPr>
        <w:t xml:space="preserve"> indirect component and allow the national Department of Agriculture, Forestry and Fisheries to make payments direct</w:t>
      </w:r>
      <w:r w:rsidR="00E04049">
        <w:rPr>
          <w:rFonts w:ascii="Times New Roman" w:hAnsi="Times New Roman" w:cs="Times New Roman"/>
          <w:sz w:val="24"/>
          <w:szCs w:val="24"/>
          <w:lang w:val="en-ZA"/>
        </w:rPr>
        <w:t>ly</w:t>
      </w:r>
      <w:r w:rsidR="007B12FF" w:rsidRPr="00801A1B">
        <w:rPr>
          <w:rFonts w:ascii="Times New Roman" w:hAnsi="Times New Roman" w:cs="Times New Roman"/>
          <w:sz w:val="24"/>
          <w:szCs w:val="24"/>
          <w:lang w:val="en-ZA"/>
        </w:rPr>
        <w:t xml:space="preserve"> to the HSRC to undertake the National Food and Nutrition Survey using funds that were</w:t>
      </w:r>
      <w:r w:rsidR="00E04049">
        <w:rPr>
          <w:rFonts w:ascii="Times New Roman" w:hAnsi="Times New Roman" w:cs="Times New Roman"/>
          <w:sz w:val="24"/>
          <w:szCs w:val="24"/>
          <w:lang w:val="en-ZA"/>
        </w:rPr>
        <w:t xml:space="preserve"> previously</w:t>
      </w:r>
      <w:r w:rsidR="007B12FF" w:rsidRPr="00801A1B">
        <w:rPr>
          <w:rFonts w:ascii="Times New Roman" w:hAnsi="Times New Roman" w:cs="Times New Roman"/>
          <w:sz w:val="24"/>
          <w:szCs w:val="24"/>
          <w:lang w:val="en-ZA"/>
        </w:rPr>
        <w:t xml:space="preserve"> ring-fenced on the direct grant for the survey. </w:t>
      </w:r>
    </w:p>
    <w:p w14:paraId="07D603A5" w14:textId="7E637316" w:rsidR="007B12FF" w:rsidRPr="00724959" w:rsidRDefault="00CA696B" w:rsidP="007B12FF">
      <w:pPr>
        <w:pStyle w:val="ListParagraph"/>
        <w:numPr>
          <w:ilvl w:val="0"/>
          <w:numId w:val="24"/>
        </w:numPr>
        <w:spacing w:after="0" w:line="360" w:lineRule="auto"/>
        <w:ind w:left="709" w:hanging="283"/>
        <w:jc w:val="both"/>
        <w:rPr>
          <w:rFonts w:ascii="Times New Roman" w:hAnsi="Times New Roman" w:cs="Times New Roman"/>
          <w:b/>
          <w:sz w:val="24"/>
          <w:szCs w:val="24"/>
          <w:lang w:val="en-ZA"/>
        </w:rPr>
      </w:pPr>
      <w:r>
        <w:rPr>
          <w:rFonts w:ascii="Times New Roman" w:hAnsi="Times New Roman" w:cs="Times New Roman"/>
          <w:b/>
          <w:sz w:val="24"/>
          <w:szCs w:val="24"/>
          <w:lang w:val="en-ZA"/>
        </w:rPr>
        <w:t>School Infrastructure Backlogs G</w:t>
      </w:r>
      <w:r w:rsidR="007B12FF" w:rsidRPr="008B22E8">
        <w:rPr>
          <w:rFonts w:ascii="Times New Roman" w:hAnsi="Times New Roman" w:cs="Times New Roman"/>
          <w:b/>
          <w:sz w:val="24"/>
          <w:szCs w:val="24"/>
          <w:lang w:val="en-ZA"/>
        </w:rPr>
        <w:t>rant</w:t>
      </w:r>
      <w:r w:rsidR="00801A1B">
        <w:rPr>
          <w:rFonts w:ascii="Times New Roman" w:hAnsi="Times New Roman" w:cs="Times New Roman"/>
          <w:b/>
          <w:sz w:val="24"/>
          <w:szCs w:val="24"/>
          <w:lang w:val="en-ZA"/>
        </w:rPr>
        <w:t xml:space="preserve">: </w:t>
      </w:r>
      <w:r w:rsidR="007B12FF" w:rsidRPr="00801A1B">
        <w:rPr>
          <w:rFonts w:ascii="Times New Roman" w:hAnsi="Times New Roman" w:cs="Times New Roman"/>
          <w:sz w:val="24"/>
          <w:szCs w:val="24"/>
          <w:lang w:val="en-ZA"/>
        </w:rPr>
        <w:t xml:space="preserve">The framework is amended to reflect an increase in the number of schools provided with improved sanitation from 195 to 717 schools and water from 177 to 227 schools. </w:t>
      </w:r>
      <w:r w:rsidR="00E04049">
        <w:rPr>
          <w:rFonts w:ascii="Times New Roman" w:hAnsi="Times New Roman" w:cs="Times New Roman"/>
          <w:sz w:val="24"/>
          <w:szCs w:val="24"/>
          <w:lang w:val="en-ZA"/>
        </w:rPr>
        <w:t>This is the result of</w:t>
      </w:r>
      <w:r w:rsidR="007B12FF" w:rsidRPr="00801A1B">
        <w:rPr>
          <w:rFonts w:ascii="Times New Roman" w:hAnsi="Times New Roman" w:cs="Times New Roman"/>
          <w:sz w:val="24"/>
          <w:szCs w:val="24"/>
          <w:lang w:val="en-ZA"/>
        </w:rPr>
        <w:t xml:space="preserve"> an additional R700 million being allocated in 2019/20</w:t>
      </w:r>
      <w:r w:rsidR="00E04049">
        <w:rPr>
          <w:rFonts w:ascii="Times New Roman" w:hAnsi="Times New Roman" w:cs="Times New Roman"/>
          <w:sz w:val="24"/>
          <w:szCs w:val="24"/>
          <w:lang w:val="en-ZA"/>
        </w:rPr>
        <w:t>,</w:t>
      </w:r>
      <w:r w:rsidR="007B12FF" w:rsidRPr="00801A1B">
        <w:rPr>
          <w:rFonts w:ascii="Times New Roman" w:hAnsi="Times New Roman" w:cs="Times New Roman"/>
          <w:sz w:val="24"/>
          <w:szCs w:val="24"/>
          <w:lang w:val="en-ZA"/>
        </w:rPr>
        <w:t xml:space="preserve"> </w:t>
      </w:r>
      <w:r w:rsidR="00E04049">
        <w:rPr>
          <w:rFonts w:ascii="Times New Roman" w:hAnsi="Times New Roman" w:cs="Times New Roman"/>
          <w:sz w:val="24"/>
          <w:szCs w:val="24"/>
          <w:lang w:val="en-ZA"/>
        </w:rPr>
        <w:t xml:space="preserve">shifted </w:t>
      </w:r>
      <w:r w:rsidR="007B12FF" w:rsidRPr="00801A1B">
        <w:rPr>
          <w:rFonts w:ascii="Times New Roman" w:hAnsi="Times New Roman" w:cs="Times New Roman"/>
          <w:sz w:val="24"/>
          <w:szCs w:val="24"/>
          <w:lang w:val="en-ZA"/>
        </w:rPr>
        <w:t xml:space="preserve">from the </w:t>
      </w:r>
      <w:r w:rsidR="00E04049">
        <w:rPr>
          <w:rFonts w:ascii="Times New Roman" w:hAnsi="Times New Roman" w:cs="Times New Roman"/>
          <w:sz w:val="24"/>
          <w:szCs w:val="24"/>
          <w:lang w:val="en-ZA"/>
        </w:rPr>
        <w:t>E</w:t>
      </w:r>
      <w:r w:rsidR="007B12FF" w:rsidRPr="00801A1B">
        <w:rPr>
          <w:rFonts w:ascii="Times New Roman" w:hAnsi="Times New Roman" w:cs="Times New Roman"/>
          <w:sz w:val="24"/>
          <w:szCs w:val="24"/>
          <w:lang w:val="en-ZA"/>
        </w:rPr>
        <w:t xml:space="preserve">ducation </w:t>
      </w:r>
      <w:r w:rsidR="00E04049">
        <w:rPr>
          <w:rFonts w:ascii="Times New Roman" w:hAnsi="Times New Roman" w:cs="Times New Roman"/>
          <w:sz w:val="24"/>
          <w:szCs w:val="24"/>
          <w:lang w:val="en-ZA"/>
        </w:rPr>
        <w:t>I</w:t>
      </w:r>
      <w:r w:rsidR="007B12FF" w:rsidRPr="00801A1B">
        <w:rPr>
          <w:rFonts w:ascii="Times New Roman" w:hAnsi="Times New Roman" w:cs="Times New Roman"/>
          <w:sz w:val="24"/>
          <w:szCs w:val="24"/>
          <w:lang w:val="en-ZA"/>
        </w:rPr>
        <w:t xml:space="preserve">nfrastructure </w:t>
      </w:r>
      <w:r w:rsidR="00E04049">
        <w:rPr>
          <w:rFonts w:ascii="Times New Roman" w:hAnsi="Times New Roman" w:cs="Times New Roman"/>
          <w:sz w:val="24"/>
          <w:szCs w:val="24"/>
          <w:lang w:val="en-ZA"/>
        </w:rPr>
        <w:t>G</w:t>
      </w:r>
      <w:r w:rsidR="007B12FF" w:rsidRPr="00801A1B">
        <w:rPr>
          <w:rFonts w:ascii="Times New Roman" w:hAnsi="Times New Roman" w:cs="Times New Roman"/>
          <w:sz w:val="24"/>
          <w:szCs w:val="24"/>
          <w:lang w:val="en-ZA"/>
        </w:rPr>
        <w:t>rant</w:t>
      </w:r>
      <w:r w:rsidR="00E04049">
        <w:rPr>
          <w:rFonts w:ascii="Times New Roman" w:hAnsi="Times New Roman" w:cs="Times New Roman"/>
          <w:sz w:val="24"/>
          <w:szCs w:val="24"/>
          <w:lang w:val="en-ZA"/>
        </w:rPr>
        <w:t>,</w:t>
      </w:r>
      <w:r w:rsidR="007B12FF" w:rsidRPr="00801A1B">
        <w:rPr>
          <w:rFonts w:ascii="Times New Roman" w:hAnsi="Times New Roman" w:cs="Times New Roman"/>
          <w:sz w:val="24"/>
          <w:szCs w:val="24"/>
          <w:lang w:val="en-ZA"/>
        </w:rPr>
        <w:t xml:space="preserve"> to cater for the Sanitation Appropriate for Education (SAFE) infrastructure</w:t>
      </w:r>
      <w:r w:rsidR="00E04049">
        <w:rPr>
          <w:rFonts w:ascii="Times New Roman" w:hAnsi="Times New Roman" w:cs="Times New Roman"/>
          <w:sz w:val="24"/>
          <w:szCs w:val="24"/>
          <w:lang w:val="en-ZA"/>
        </w:rPr>
        <w:t xml:space="preserve"> initiative</w:t>
      </w:r>
      <w:r w:rsidR="007B12FF" w:rsidRPr="00801A1B">
        <w:rPr>
          <w:rFonts w:ascii="Times New Roman" w:hAnsi="Times New Roman" w:cs="Times New Roman"/>
          <w:sz w:val="24"/>
          <w:szCs w:val="24"/>
          <w:lang w:val="en-ZA"/>
        </w:rPr>
        <w:t>.</w:t>
      </w:r>
      <w:r w:rsidR="00E04049">
        <w:rPr>
          <w:rFonts w:ascii="Times New Roman" w:hAnsi="Times New Roman" w:cs="Times New Roman"/>
          <w:sz w:val="24"/>
          <w:szCs w:val="24"/>
          <w:lang w:val="en-ZA"/>
        </w:rPr>
        <w:t xml:space="preserve"> </w:t>
      </w:r>
      <w:r w:rsidR="007B12FF" w:rsidRPr="00801A1B">
        <w:rPr>
          <w:rFonts w:ascii="Times New Roman" w:hAnsi="Times New Roman" w:cs="Times New Roman"/>
          <w:sz w:val="24"/>
          <w:szCs w:val="24"/>
          <w:lang w:val="en-ZA"/>
        </w:rPr>
        <w:t xml:space="preserve"> </w:t>
      </w:r>
    </w:p>
    <w:p w14:paraId="255ECFC4" w14:textId="6DD854C5" w:rsidR="00C12247" w:rsidRPr="00724959" w:rsidRDefault="00C12247" w:rsidP="00D651ED">
      <w:pPr>
        <w:pStyle w:val="ListParagraph"/>
        <w:numPr>
          <w:ilvl w:val="0"/>
          <w:numId w:val="24"/>
        </w:numPr>
        <w:spacing w:after="0" w:line="360" w:lineRule="auto"/>
        <w:ind w:left="709" w:hanging="283"/>
        <w:jc w:val="both"/>
        <w:rPr>
          <w:rFonts w:ascii="Times New Roman" w:hAnsi="Times New Roman" w:cs="Times New Roman"/>
          <w:b/>
          <w:sz w:val="24"/>
          <w:szCs w:val="24"/>
          <w:lang w:val="en-ZA"/>
        </w:rPr>
      </w:pPr>
      <w:r>
        <w:rPr>
          <w:rFonts w:ascii="Times New Roman" w:hAnsi="Times New Roman" w:cs="Times New Roman"/>
          <w:b/>
          <w:sz w:val="24"/>
          <w:szCs w:val="24"/>
          <w:lang w:val="en-ZA"/>
        </w:rPr>
        <w:t>NHI</w:t>
      </w:r>
      <w:r w:rsidR="00CA696B">
        <w:rPr>
          <w:rFonts w:ascii="Times New Roman" w:hAnsi="Times New Roman" w:cs="Times New Roman"/>
          <w:b/>
          <w:sz w:val="24"/>
          <w:szCs w:val="24"/>
          <w:lang w:val="en-ZA"/>
        </w:rPr>
        <w:t xml:space="preserve"> Direct G</w:t>
      </w:r>
      <w:r w:rsidR="007B12FF" w:rsidRPr="008B22E8">
        <w:rPr>
          <w:rFonts w:ascii="Times New Roman" w:hAnsi="Times New Roman" w:cs="Times New Roman"/>
          <w:b/>
          <w:sz w:val="24"/>
          <w:szCs w:val="24"/>
          <w:lang w:val="en-ZA"/>
        </w:rPr>
        <w:t>rant</w:t>
      </w:r>
      <w:r w:rsidR="00801A1B">
        <w:rPr>
          <w:rFonts w:ascii="Times New Roman" w:hAnsi="Times New Roman" w:cs="Times New Roman"/>
          <w:b/>
          <w:sz w:val="24"/>
          <w:szCs w:val="24"/>
          <w:lang w:val="en-ZA"/>
        </w:rPr>
        <w:t xml:space="preserve">: </w:t>
      </w:r>
      <w:r w:rsidR="00BE4F08" w:rsidRPr="00801A1B">
        <w:rPr>
          <w:rFonts w:ascii="Times New Roman" w:hAnsi="Times New Roman" w:cs="Times New Roman"/>
          <w:sz w:val="24"/>
          <w:szCs w:val="24"/>
          <w:lang w:val="en-ZA"/>
        </w:rPr>
        <w:t xml:space="preserve">A new grant </w:t>
      </w:r>
      <w:r w:rsidR="005C6C38" w:rsidRPr="00801A1B">
        <w:rPr>
          <w:rFonts w:ascii="Times New Roman" w:hAnsi="Times New Roman" w:cs="Times New Roman"/>
          <w:sz w:val="24"/>
          <w:szCs w:val="24"/>
          <w:lang w:val="en-ZA"/>
        </w:rPr>
        <w:t xml:space="preserve">framework </w:t>
      </w:r>
      <w:r w:rsidR="00CA696B" w:rsidRPr="00801A1B">
        <w:rPr>
          <w:rFonts w:ascii="Times New Roman" w:hAnsi="Times New Roman" w:cs="Times New Roman"/>
          <w:sz w:val="24"/>
          <w:szCs w:val="24"/>
          <w:lang w:val="en-ZA"/>
        </w:rPr>
        <w:t>for the N</w:t>
      </w:r>
      <w:r w:rsidRPr="00801A1B">
        <w:rPr>
          <w:rFonts w:ascii="Times New Roman" w:hAnsi="Times New Roman" w:cs="Times New Roman"/>
          <w:sz w:val="24"/>
          <w:szCs w:val="24"/>
          <w:lang w:val="en-ZA"/>
        </w:rPr>
        <w:t>HI</w:t>
      </w:r>
      <w:r w:rsidR="00CA696B" w:rsidRPr="00801A1B">
        <w:rPr>
          <w:rFonts w:ascii="Times New Roman" w:hAnsi="Times New Roman" w:cs="Times New Roman"/>
          <w:sz w:val="24"/>
          <w:szCs w:val="24"/>
          <w:lang w:val="en-ZA"/>
        </w:rPr>
        <w:t xml:space="preserve"> Direct G</w:t>
      </w:r>
      <w:r w:rsidR="00BE4F08" w:rsidRPr="00801A1B">
        <w:rPr>
          <w:rFonts w:ascii="Times New Roman" w:hAnsi="Times New Roman" w:cs="Times New Roman"/>
          <w:sz w:val="24"/>
          <w:szCs w:val="24"/>
          <w:lang w:val="en-ZA"/>
        </w:rPr>
        <w:t xml:space="preserve">rant will be gazetted for 2019/20. This grant framework did not form part of the Division of Revenue Act, 2019, but it is introduced as a result </w:t>
      </w:r>
      <w:proofErr w:type="gramStart"/>
      <w:r w:rsidR="00BE4F08" w:rsidRPr="00801A1B">
        <w:rPr>
          <w:rFonts w:ascii="Times New Roman" w:hAnsi="Times New Roman" w:cs="Times New Roman"/>
          <w:sz w:val="24"/>
          <w:szCs w:val="24"/>
          <w:lang w:val="en-ZA"/>
        </w:rPr>
        <w:t xml:space="preserve">of </w:t>
      </w:r>
      <w:r w:rsidR="00E11BA7">
        <w:rPr>
          <w:rFonts w:ascii="Times New Roman" w:hAnsi="Times New Roman" w:cs="Times New Roman"/>
          <w:sz w:val="24"/>
          <w:szCs w:val="24"/>
          <w:lang w:val="en-ZA"/>
        </w:rPr>
        <w:t xml:space="preserve"> the</w:t>
      </w:r>
      <w:proofErr w:type="gramEnd"/>
      <w:r w:rsidR="00E11BA7">
        <w:rPr>
          <w:rFonts w:ascii="Times New Roman" w:hAnsi="Times New Roman" w:cs="Times New Roman"/>
          <w:sz w:val="24"/>
          <w:szCs w:val="24"/>
          <w:lang w:val="en-ZA"/>
        </w:rPr>
        <w:t xml:space="preserve"> </w:t>
      </w:r>
      <w:r w:rsidR="00BE4F08" w:rsidRPr="00801A1B">
        <w:rPr>
          <w:rFonts w:ascii="Times New Roman" w:hAnsi="Times New Roman" w:cs="Times New Roman"/>
          <w:sz w:val="24"/>
          <w:szCs w:val="24"/>
          <w:lang w:val="en-ZA"/>
        </w:rPr>
        <w:t xml:space="preserve">shift in funds for health professionals contracting. This will allow provinces to make direct payments </w:t>
      </w:r>
      <w:r w:rsidR="00A66325" w:rsidRPr="00801A1B">
        <w:rPr>
          <w:rFonts w:ascii="Times New Roman" w:hAnsi="Times New Roman" w:cs="Times New Roman"/>
          <w:sz w:val="24"/>
          <w:szCs w:val="24"/>
          <w:lang w:val="en-ZA"/>
        </w:rPr>
        <w:t>for health professionals already contracted by provinces rather than claiming reimbursement from the national department.</w:t>
      </w:r>
      <w:r w:rsidR="00A66325" w:rsidRPr="00801A1B">
        <w:rPr>
          <w:rFonts w:ascii="Times New Roman" w:hAnsi="Times New Roman" w:cs="Times New Roman"/>
          <w:b/>
          <w:sz w:val="24"/>
          <w:szCs w:val="24"/>
          <w:lang w:val="en-ZA"/>
        </w:rPr>
        <w:t xml:space="preserve"> </w:t>
      </w:r>
    </w:p>
    <w:p w14:paraId="51CB7701" w14:textId="5D0E5DA9" w:rsidR="00D651ED" w:rsidRPr="00724959" w:rsidRDefault="00C12247" w:rsidP="005C6C38">
      <w:pPr>
        <w:pStyle w:val="ListParagraph"/>
        <w:numPr>
          <w:ilvl w:val="0"/>
          <w:numId w:val="24"/>
        </w:numPr>
        <w:spacing w:after="0" w:line="360" w:lineRule="auto"/>
        <w:ind w:left="709" w:hanging="283"/>
        <w:jc w:val="both"/>
        <w:rPr>
          <w:rFonts w:ascii="Times New Roman" w:hAnsi="Times New Roman" w:cs="Times New Roman"/>
          <w:b/>
          <w:sz w:val="24"/>
          <w:szCs w:val="24"/>
          <w:lang w:val="en-ZA"/>
        </w:rPr>
      </w:pPr>
      <w:r>
        <w:rPr>
          <w:rFonts w:ascii="Times New Roman" w:hAnsi="Times New Roman" w:cs="Times New Roman"/>
          <w:b/>
          <w:sz w:val="24"/>
          <w:szCs w:val="24"/>
          <w:lang w:val="en-ZA"/>
        </w:rPr>
        <w:t>Human Papillomavirus Vaccine G</w:t>
      </w:r>
      <w:r w:rsidR="00A66325" w:rsidRPr="008B22E8">
        <w:rPr>
          <w:rFonts w:ascii="Times New Roman" w:hAnsi="Times New Roman" w:cs="Times New Roman"/>
          <w:b/>
          <w:sz w:val="24"/>
          <w:szCs w:val="24"/>
          <w:lang w:val="en-ZA"/>
        </w:rPr>
        <w:t>rant</w:t>
      </w:r>
      <w:r w:rsidR="00801A1B">
        <w:rPr>
          <w:rFonts w:ascii="Times New Roman" w:hAnsi="Times New Roman" w:cs="Times New Roman"/>
          <w:b/>
          <w:sz w:val="24"/>
          <w:szCs w:val="24"/>
          <w:lang w:val="en-ZA"/>
        </w:rPr>
        <w:t xml:space="preserve">: </w:t>
      </w:r>
      <w:r w:rsidR="005C6C38" w:rsidRPr="00801A1B">
        <w:rPr>
          <w:rFonts w:ascii="Times New Roman" w:hAnsi="Times New Roman" w:cs="Times New Roman"/>
          <w:sz w:val="24"/>
          <w:szCs w:val="24"/>
          <w:lang w:val="en-ZA"/>
        </w:rPr>
        <w:t xml:space="preserve">The </w:t>
      </w:r>
      <w:r w:rsidR="00E3189E" w:rsidRPr="00801A1B">
        <w:rPr>
          <w:rFonts w:ascii="Times New Roman" w:hAnsi="Times New Roman" w:cs="Times New Roman"/>
          <w:sz w:val="24"/>
          <w:szCs w:val="24"/>
          <w:lang w:val="en-ZA"/>
        </w:rPr>
        <w:t xml:space="preserve">grant </w:t>
      </w:r>
      <w:r w:rsidR="005C6C38" w:rsidRPr="00801A1B">
        <w:rPr>
          <w:rFonts w:ascii="Times New Roman" w:hAnsi="Times New Roman" w:cs="Times New Roman"/>
          <w:sz w:val="24"/>
          <w:szCs w:val="24"/>
          <w:lang w:val="en-ZA"/>
        </w:rPr>
        <w:t xml:space="preserve">framework is amended to include the vaccination of grade 5 school girls since the original framework </w:t>
      </w:r>
      <w:r w:rsidR="00E11BA7">
        <w:rPr>
          <w:rFonts w:ascii="Times New Roman" w:hAnsi="Times New Roman" w:cs="Times New Roman"/>
          <w:sz w:val="24"/>
          <w:szCs w:val="24"/>
          <w:lang w:val="en-ZA"/>
        </w:rPr>
        <w:t xml:space="preserve">only </w:t>
      </w:r>
      <w:r w:rsidR="005C6C38" w:rsidRPr="00801A1B">
        <w:rPr>
          <w:rFonts w:ascii="Times New Roman" w:hAnsi="Times New Roman" w:cs="Times New Roman"/>
          <w:sz w:val="24"/>
          <w:szCs w:val="24"/>
          <w:lang w:val="en-ZA"/>
        </w:rPr>
        <w:t xml:space="preserve">catered for grade 4 girls. </w:t>
      </w:r>
    </w:p>
    <w:p w14:paraId="2B563CD3" w14:textId="2F428DEE" w:rsidR="00A66325" w:rsidRPr="008B22E8" w:rsidRDefault="00C12247" w:rsidP="00801A1B">
      <w:pPr>
        <w:pStyle w:val="ListParagraph"/>
        <w:numPr>
          <w:ilvl w:val="0"/>
          <w:numId w:val="24"/>
        </w:numPr>
        <w:spacing w:after="0" w:line="360" w:lineRule="auto"/>
        <w:ind w:left="709" w:hanging="283"/>
        <w:jc w:val="both"/>
        <w:rPr>
          <w:rFonts w:ascii="Times New Roman" w:hAnsi="Times New Roman" w:cs="Times New Roman"/>
          <w:b/>
          <w:sz w:val="24"/>
          <w:szCs w:val="24"/>
          <w:lang w:val="en-ZA"/>
        </w:rPr>
      </w:pPr>
      <w:r>
        <w:rPr>
          <w:rFonts w:ascii="Times New Roman" w:hAnsi="Times New Roman" w:cs="Times New Roman"/>
          <w:b/>
          <w:sz w:val="24"/>
          <w:szCs w:val="24"/>
          <w:lang w:val="en-ZA"/>
        </w:rPr>
        <w:t>Human Resources C</w:t>
      </w:r>
      <w:r w:rsidR="005C6C38" w:rsidRPr="008B22E8">
        <w:rPr>
          <w:rFonts w:ascii="Times New Roman" w:hAnsi="Times New Roman" w:cs="Times New Roman"/>
          <w:b/>
          <w:sz w:val="24"/>
          <w:szCs w:val="24"/>
          <w:lang w:val="en-ZA"/>
        </w:rPr>
        <w:t xml:space="preserve">apacitation </w:t>
      </w:r>
      <w:r>
        <w:rPr>
          <w:rFonts w:ascii="Times New Roman" w:hAnsi="Times New Roman" w:cs="Times New Roman"/>
          <w:b/>
          <w:sz w:val="24"/>
          <w:szCs w:val="24"/>
          <w:lang w:val="en-ZA"/>
        </w:rPr>
        <w:t>G</w:t>
      </w:r>
      <w:r w:rsidR="005C6C38" w:rsidRPr="008B22E8">
        <w:rPr>
          <w:rFonts w:ascii="Times New Roman" w:hAnsi="Times New Roman" w:cs="Times New Roman"/>
          <w:b/>
          <w:sz w:val="24"/>
          <w:szCs w:val="24"/>
          <w:lang w:val="en-ZA"/>
        </w:rPr>
        <w:t>rant</w:t>
      </w:r>
    </w:p>
    <w:p w14:paraId="18F55AB7" w14:textId="5B358AD4" w:rsidR="005C6C38" w:rsidRPr="00CA696B" w:rsidRDefault="00E3189E" w:rsidP="00801A1B">
      <w:pPr>
        <w:pStyle w:val="ListParagraph"/>
        <w:numPr>
          <w:ilvl w:val="0"/>
          <w:numId w:val="25"/>
        </w:numPr>
        <w:spacing w:after="0" w:line="360" w:lineRule="auto"/>
        <w:ind w:left="1276" w:hanging="283"/>
        <w:jc w:val="both"/>
        <w:rPr>
          <w:rFonts w:ascii="Times New Roman" w:hAnsi="Times New Roman" w:cs="Times New Roman"/>
          <w:sz w:val="24"/>
          <w:szCs w:val="24"/>
          <w:lang w:val="en-ZA"/>
        </w:rPr>
      </w:pPr>
      <w:r w:rsidRPr="008B22E8">
        <w:rPr>
          <w:rFonts w:ascii="Times New Roman" w:hAnsi="Times New Roman" w:cs="Times New Roman"/>
          <w:sz w:val="24"/>
          <w:szCs w:val="24"/>
          <w:lang w:val="en-ZA"/>
        </w:rPr>
        <w:t xml:space="preserve">The grant framework is corrected to rectify the grant purpose and outcome statement to be in line with the intended function of the grant, </w:t>
      </w:r>
    </w:p>
    <w:p w14:paraId="20C79D31" w14:textId="67A37A0E" w:rsidR="00E3189E" w:rsidRPr="00724959" w:rsidRDefault="00E3189E" w:rsidP="004F0790">
      <w:pPr>
        <w:pStyle w:val="ListParagraph"/>
        <w:numPr>
          <w:ilvl w:val="0"/>
          <w:numId w:val="25"/>
        </w:numPr>
        <w:spacing w:after="0" w:line="360" w:lineRule="auto"/>
        <w:ind w:left="1276" w:hanging="283"/>
        <w:jc w:val="both"/>
        <w:rPr>
          <w:rFonts w:ascii="Times New Roman" w:hAnsi="Times New Roman" w:cs="Times New Roman"/>
          <w:sz w:val="24"/>
          <w:szCs w:val="24"/>
          <w:lang w:val="en-ZA"/>
        </w:rPr>
      </w:pPr>
      <w:r w:rsidRPr="008B22E8">
        <w:rPr>
          <w:rFonts w:ascii="Times New Roman" w:hAnsi="Times New Roman" w:cs="Times New Roman"/>
          <w:sz w:val="24"/>
          <w:szCs w:val="24"/>
          <w:lang w:val="en-ZA"/>
        </w:rPr>
        <w:t>A condition for the procurement of statutory posts is corrected to allow the grant to be used for non-statutory post</w:t>
      </w:r>
      <w:r w:rsidR="00E11BA7">
        <w:rPr>
          <w:rFonts w:ascii="Times New Roman" w:hAnsi="Times New Roman" w:cs="Times New Roman"/>
          <w:sz w:val="24"/>
          <w:szCs w:val="24"/>
          <w:lang w:val="en-ZA"/>
        </w:rPr>
        <w:t>s</w:t>
      </w:r>
      <w:r w:rsidRPr="008B22E8">
        <w:rPr>
          <w:rFonts w:ascii="Times New Roman" w:hAnsi="Times New Roman" w:cs="Times New Roman"/>
          <w:sz w:val="24"/>
          <w:szCs w:val="24"/>
          <w:lang w:val="en-ZA"/>
        </w:rPr>
        <w:t>, if t</w:t>
      </w:r>
      <w:r w:rsidR="00807109" w:rsidRPr="008B22E8">
        <w:rPr>
          <w:rFonts w:ascii="Times New Roman" w:hAnsi="Times New Roman" w:cs="Times New Roman"/>
          <w:sz w:val="24"/>
          <w:szCs w:val="24"/>
          <w:lang w:val="en-ZA"/>
        </w:rPr>
        <w:t xml:space="preserve">he posts were filled in 2018/19.  This correction allows for the grant to pay for the carry-through costs of posts already funded from the grant in </w:t>
      </w:r>
      <w:r w:rsidR="00E11BA7">
        <w:rPr>
          <w:rFonts w:ascii="Times New Roman" w:hAnsi="Times New Roman" w:cs="Times New Roman"/>
          <w:sz w:val="24"/>
          <w:szCs w:val="24"/>
          <w:lang w:val="en-ZA"/>
        </w:rPr>
        <w:t xml:space="preserve">the </w:t>
      </w:r>
      <w:r w:rsidR="00807109" w:rsidRPr="008B22E8">
        <w:rPr>
          <w:rFonts w:ascii="Times New Roman" w:hAnsi="Times New Roman" w:cs="Times New Roman"/>
          <w:sz w:val="24"/>
          <w:szCs w:val="24"/>
          <w:lang w:val="en-ZA"/>
        </w:rPr>
        <w:t xml:space="preserve">previous financial year, without requiring approval from National Treasury. </w:t>
      </w:r>
    </w:p>
    <w:p w14:paraId="6CA60634" w14:textId="058E6692" w:rsidR="00B83FFE" w:rsidRPr="00724959" w:rsidRDefault="00C12247" w:rsidP="00724959">
      <w:pPr>
        <w:pStyle w:val="ListParagraph"/>
        <w:numPr>
          <w:ilvl w:val="0"/>
          <w:numId w:val="24"/>
        </w:numPr>
        <w:spacing w:after="0" w:line="360" w:lineRule="auto"/>
        <w:ind w:left="709" w:hanging="283"/>
        <w:jc w:val="both"/>
        <w:rPr>
          <w:rFonts w:ascii="Times New Roman" w:hAnsi="Times New Roman" w:cs="Times New Roman"/>
          <w:b/>
          <w:sz w:val="24"/>
          <w:szCs w:val="24"/>
          <w:lang w:val="en-ZA"/>
        </w:rPr>
      </w:pPr>
      <w:r>
        <w:rPr>
          <w:rFonts w:ascii="Times New Roman" w:hAnsi="Times New Roman" w:cs="Times New Roman"/>
          <w:b/>
          <w:sz w:val="24"/>
          <w:szCs w:val="24"/>
          <w:lang w:val="en-ZA"/>
        </w:rPr>
        <w:t>NHI I</w:t>
      </w:r>
      <w:r w:rsidR="004F0790" w:rsidRPr="008B22E8">
        <w:rPr>
          <w:rFonts w:ascii="Times New Roman" w:hAnsi="Times New Roman" w:cs="Times New Roman"/>
          <w:b/>
          <w:sz w:val="24"/>
          <w:szCs w:val="24"/>
          <w:lang w:val="en-ZA"/>
        </w:rPr>
        <w:t>ndirect grant: health facility revitalisation component</w:t>
      </w:r>
      <w:r w:rsidR="00801A1B">
        <w:rPr>
          <w:rFonts w:ascii="Times New Roman" w:hAnsi="Times New Roman" w:cs="Times New Roman"/>
          <w:b/>
          <w:sz w:val="24"/>
          <w:szCs w:val="24"/>
          <w:lang w:val="en-ZA"/>
        </w:rPr>
        <w:t xml:space="preserve">: </w:t>
      </w:r>
      <w:r w:rsidR="00CF560E" w:rsidRPr="00801A1B">
        <w:rPr>
          <w:rFonts w:ascii="Times New Roman" w:hAnsi="Times New Roman" w:cs="Times New Roman"/>
          <w:sz w:val="24"/>
          <w:szCs w:val="24"/>
          <w:lang w:val="en-ZA"/>
        </w:rPr>
        <w:t xml:space="preserve">The grant framework is amended to allow for the payment </w:t>
      </w:r>
      <w:r w:rsidR="00E11BA7">
        <w:rPr>
          <w:rFonts w:ascii="Times New Roman" w:hAnsi="Times New Roman" w:cs="Times New Roman"/>
          <w:sz w:val="24"/>
          <w:szCs w:val="24"/>
          <w:lang w:val="en-ZA"/>
        </w:rPr>
        <w:t>for</w:t>
      </w:r>
      <w:r w:rsidR="00E11BA7" w:rsidRPr="00801A1B">
        <w:rPr>
          <w:rFonts w:ascii="Times New Roman" w:hAnsi="Times New Roman" w:cs="Times New Roman"/>
          <w:sz w:val="24"/>
          <w:szCs w:val="24"/>
          <w:lang w:val="en-ZA"/>
        </w:rPr>
        <w:t xml:space="preserve"> </w:t>
      </w:r>
      <w:r w:rsidR="00CF560E" w:rsidRPr="00801A1B">
        <w:rPr>
          <w:rFonts w:ascii="Times New Roman" w:hAnsi="Times New Roman" w:cs="Times New Roman"/>
          <w:sz w:val="24"/>
          <w:szCs w:val="24"/>
          <w:lang w:val="en-ZA"/>
        </w:rPr>
        <w:t xml:space="preserve">linen and beds that were procured under the </w:t>
      </w:r>
      <w:r w:rsidR="00CF560E" w:rsidRPr="00801A1B">
        <w:rPr>
          <w:rFonts w:ascii="Times New Roman" w:hAnsi="Times New Roman" w:cs="Times New Roman"/>
          <w:sz w:val="24"/>
          <w:szCs w:val="24"/>
          <w:lang w:val="en-ZA"/>
        </w:rPr>
        <w:lastRenderedPageBreak/>
        <w:t xml:space="preserve">discontinued beds and laundry services component that was introduced in 2018/19 and this allows for the completion of outstanding projects from 2018/19. </w:t>
      </w:r>
    </w:p>
    <w:p w14:paraId="6A2AB4E5" w14:textId="09BD2041" w:rsidR="00B83FFE" w:rsidRPr="00724959" w:rsidRDefault="00D651ED" w:rsidP="00801A1B">
      <w:pPr>
        <w:pStyle w:val="ListParagraph"/>
        <w:numPr>
          <w:ilvl w:val="0"/>
          <w:numId w:val="24"/>
        </w:numPr>
        <w:spacing w:after="0" w:line="360" w:lineRule="auto"/>
        <w:ind w:left="709" w:hanging="283"/>
        <w:jc w:val="both"/>
        <w:rPr>
          <w:rFonts w:ascii="Times New Roman" w:hAnsi="Times New Roman" w:cs="Times New Roman"/>
          <w:b/>
          <w:sz w:val="24"/>
          <w:szCs w:val="24"/>
          <w:lang w:val="en-ZA"/>
        </w:rPr>
      </w:pPr>
      <w:r>
        <w:rPr>
          <w:rFonts w:ascii="Times New Roman" w:hAnsi="Times New Roman" w:cs="Times New Roman"/>
          <w:b/>
          <w:sz w:val="24"/>
          <w:szCs w:val="24"/>
          <w:lang w:val="en-ZA"/>
        </w:rPr>
        <w:t>Provincial Roads Maintenance G</w:t>
      </w:r>
      <w:r w:rsidR="00B83FFE" w:rsidRPr="008B22E8">
        <w:rPr>
          <w:rFonts w:ascii="Times New Roman" w:hAnsi="Times New Roman" w:cs="Times New Roman"/>
          <w:b/>
          <w:sz w:val="24"/>
          <w:szCs w:val="24"/>
          <w:lang w:val="en-ZA"/>
        </w:rPr>
        <w:t>rant</w:t>
      </w:r>
      <w:r w:rsidR="00801A1B">
        <w:rPr>
          <w:rFonts w:ascii="Times New Roman" w:hAnsi="Times New Roman" w:cs="Times New Roman"/>
          <w:b/>
          <w:sz w:val="24"/>
          <w:szCs w:val="24"/>
          <w:lang w:val="en-ZA"/>
        </w:rPr>
        <w:t xml:space="preserve">: </w:t>
      </w:r>
      <w:r w:rsidR="00B83FFE" w:rsidRPr="00801A1B">
        <w:rPr>
          <w:rFonts w:ascii="Times New Roman" w:hAnsi="Times New Roman" w:cs="Times New Roman"/>
          <w:sz w:val="24"/>
          <w:szCs w:val="24"/>
          <w:lang w:val="en-ZA"/>
        </w:rPr>
        <w:t xml:space="preserve">The grant framework is amended to ring-fence the R60.7 million added to the grant for the repair of flood damaged roads in the Joe </w:t>
      </w:r>
      <w:proofErr w:type="spellStart"/>
      <w:r w:rsidR="00B83FFE" w:rsidRPr="00801A1B">
        <w:rPr>
          <w:rFonts w:ascii="Times New Roman" w:hAnsi="Times New Roman" w:cs="Times New Roman"/>
          <w:sz w:val="24"/>
          <w:szCs w:val="24"/>
          <w:lang w:val="en-ZA"/>
        </w:rPr>
        <w:t>Gqabi</w:t>
      </w:r>
      <w:proofErr w:type="spellEnd"/>
      <w:r w:rsidR="00B83FFE" w:rsidRPr="00801A1B">
        <w:rPr>
          <w:rFonts w:ascii="Times New Roman" w:hAnsi="Times New Roman" w:cs="Times New Roman"/>
          <w:sz w:val="24"/>
          <w:szCs w:val="24"/>
          <w:lang w:val="en-ZA"/>
        </w:rPr>
        <w:t xml:space="preserve"> District Municipality in the Eastern Cape. </w:t>
      </w:r>
    </w:p>
    <w:p w14:paraId="46852AC2" w14:textId="3F951B9E" w:rsidR="00B83FFE" w:rsidRPr="008B22E8" w:rsidRDefault="00D651ED" w:rsidP="00801A1B">
      <w:pPr>
        <w:pStyle w:val="ListParagraph"/>
        <w:numPr>
          <w:ilvl w:val="0"/>
          <w:numId w:val="24"/>
        </w:numPr>
        <w:spacing w:after="0" w:line="360" w:lineRule="auto"/>
        <w:ind w:left="709" w:hanging="283"/>
        <w:jc w:val="both"/>
        <w:rPr>
          <w:rFonts w:ascii="Times New Roman" w:hAnsi="Times New Roman" w:cs="Times New Roman"/>
          <w:b/>
          <w:sz w:val="24"/>
          <w:szCs w:val="24"/>
          <w:lang w:val="en-ZA"/>
        </w:rPr>
      </w:pPr>
      <w:r>
        <w:rPr>
          <w:rFonts w:ascii="Times New Roman" w:hAnsi="Times New Roman" w:cs="Times New Roman"/>
          <w:b/>
          <w:sz w:val="24"/>
          <w:szCs w:val="24"/>
          <w:lang w:val="en-ZA"/>
        </w:rPr>
        <w:t>Integrated Urban Development G</w:t>
      </w:r>
      <w:r w:rsidR="008428E9" w:rsidRPr="008B22E8">
        <w:rPr>
          <w:rFonts w:ascii="Times New Roman" w:hAnsi="Times New Roman" w:cs="Times New Roman"/>
          <w:b/>
          <w:sz w:val="24"/>
          <w:szCs w:val="24"/>
          <w:lang w:val="en-ZA"/>
        </w:rPr>
        <w:t>rant</w:t>
      </w:r>
    </w:p>
    <w:p w14:paraId="2430318B" w14:textId="6CC6671F" w:rsidR="008428E9" w:rsidRPr="00CA696B" w:rsidRDefault="00312E72" w:rsidP="00801A1B">
      <w:pPr>
        <w:pStyle w:val="ListParagraph"/>
        <w:numPr>
          <w:ilvl w:val="0"/>
          <w:numId w:val="25"/>
        </w:numPr>
        <w:spacing w:after="0" w:line="360" w:lineRule="auto"/>
        <w:ind w:left="1276" w:hanging="283"/>
        <w:jc w:val="both"/>
        <w:rPr>
          <w:rFonts w:ascii="Times New Roman" w:hAnsi="Times New Roman" w:cs="Times New Roman"/>
          <w:sz w:val="24"/>
          <w:szCs w:val="24"/>
          <w:lang w:val="en-ZA"/>
        </w:rPr>
      </w:pPr>
      <w:r w:rsidRPr="008B22E8">
        <w:rPr>
          <w:rFonts w:ascii="Times New Roman" w:hAnsi="Times New Roman" w:cs="Times New Roman"/>
          <w:sz w:val="24"/>
          <w:szCs w:val="24"/>
          <w:lang w:val="en-ZA"/>
        </w:rPr>
        <w:t>T</w:t>
      </w:r>
      <w:r w:rsidR="000825EA" w:rsidRPr="008B22E8">
        <w:rPr>
          <w:rFonts w:ascii="Times New Roman" w:hAnsi="Times New Roman" w:cs="Times New Roman"/>
          <w:sz w:val="24"/>
          <w:szCs w:val="24"/>
          <w:lang w:val="en-ZA"/>
        </w:rPr>
        <w:t xml:space="preserve">he </w:t>
      </w:r>
      <w:r w:rsidR="009617B3" w:rsidRPr="008B22E8">
        <w:rPr>
          <w:rFonts w:ascii="Times New Roman" w:hAnsi="Times New Roman" w:cs="Times New Roman"/>
          <w:sz w:val="24"/>
          <w:szCs w:val="24"/>
          <w:lang w:val="en-ZA"/>
        </w:rPr>
        <w:t xml:space="preserve">grant framework is amended to rephrase a condition for the transfer of the second tranche to align the requirements of the spending on the first tranche with the payment schedule. </w:t>
      </w:r>
    </w:p>
    <w:p w14:paraId="126EEEAD" w14:textId="7FB1BF28" w:rsidR="009617B3" w:rsidRPr="00CA696B" w:rsidRDefault="009617B3" w:rsidP="00801A1B">
      <w:pPr>
        <w:pStyle w:val="ListParagraph"/>
        <w:numPr>
          <w:ilvl w:val="0"/>
          <w:numId w:val="25"/>
        </w:numPr>
        <w:spacing w:after="0" w:line="360" w:lineRule="auto"/>
        <w:ind w:left="1276" w:hanging="283"/>
        <w:jc w:val="both"/>
        <w:rPr>
          <w:rFonts w:ascii="Times New Roman" w:hAnsi="Times New Roman" w:cs="Times New Roman"/>
          <w:sz w:val="24"/>
          <w:szCs w:val="24"/>
          <w:lang w:val="en-ZA"/>
        </w:rPr>
      </w:pPr>
      <w:r w:rsidRPr="008B22E8">
        <w:rPr>
          <w:rFonts w:ascii="Times New Roman" w:hAnsi="Times New Roman" w:cs="Times New Roman"/>
          <w:sz w:val="24"/>
          <w:szCs w:val="24"/>
          <w:lang w:val="en-ZA"/>
        </w:rPr>
        <w:t xml:space="preserve">The condition “the second transfer will only be released to municipalities that spent at least 50 per cent of their transfer funds by the end of the second quarter” is replaced with “the second transfer will only be released to municipalities that have spent at least 50 per cent of their first tranche.” </w:t>
      </w:r>
      <w:r w:rsidR="00FD13EF" w:rsidRPr="008B22E8">
        <w:rPr>
          <w:rFonts w:ascii="Times New Roman" w:hAnsi="Times New Roman" w:cs="Times New Roman"/>
          <w:sz w:val="24"/>
          <w:szCs w:val="24"/>
          <w:lang w:val="en-ZA"/>
        </w:rPr>
        <w:t xml:space="preserve">This correction is needed because the second tranche is transferred before the end of the second quarter of the municipal financial year. </w:t>
      </w:r>
    </w:p>
    <w:p w14:paraId="7B7569E7" w14:textId="56936161" w:rsidR="00BD75A8" w:rsidRPr="00801A1B" w:rsidRDefault="00BD75A8" w:rsidP="00801A1B">
      <w:pPr>
        <w:pStyle w:val="ListParagraph"/>
        <w:spacing w:after="0" w:line="360" w:lineRule="auto"/>
        <w:ind w:left="1276"/>
        <w:jc w:val="both"/>
        <w:rPr>
          <w:rFonts w:ascii="Times New Roman" w:hAnsi="Times New Roman" w:cs="Times New Roman"/>
          <w:sz w:val="24"/>
          <w:szCs w:val="24"/>
          <w:lang w:val="en-ZA"/>
        </w:rPr>
      </w:pPr>
    </w:p>
    <w:p w14:paraId="65B5E174" w14:textId="2B897B6D" w:rsidR="0062373C" w:rsidRPr="00113680" w:rsidRDefault="00BD75A8" w:rsidP="001D16C3">
      <w:pPr>
        <w:pStyle w:val="ListParagraph"/>
        <w:numPr>
          <w:ilvl w:val="0"/>
          <w:numId w:val="1"/>
        </w:numPr>
        <w:spacing w:after="0" w:line="360" w:lineRule="auto"/>
        <w:ind w:hanging="720"/>
        <w:jc w:val="both"/>
        <w:rPr>
          <w:rFonts w:ascii="Times New Roman" w:hAnsi="Times New Roman" w:cs="Times New Roman"/>
          <w:b/>
          <w:sz w:val="24"/>
          <w:szCs w:val="24"/>
          <w:lang w:val="en-ZA"/>
        </w:rPr>
      </w:pPr>
      <w:r w:rsidRPr="008B22E8">
        <w:rPr>
          <w:rFonts w:ascii="Times New Roman" w:hAnsi="Times New Roman" w:cs="Times New Roman"/>
          <w:b/>
          <w:sz w:val="24"/>
          <w:szCs w:val="24"/>
          <w:lang w:val="en-ZA"/>
        </w:rPr>
        <w:t xml:space="preserve">Changes to local government grant allocations </w:t>
      </w:r>
    </w:p>
    <w:p w14:paraId="407ABF85" w14:textId="2286A8C2" w:rsidR="00E26726" w:rsidRPr="00437819" w:rsidRDefault="00D651ED" w:rsidP="00437819">
      <w:pPr>
        <w:spacing w:after="0" w:line="360" w:lineRule="auto"/>
        <w:jc w:val="both"/>
        <w:rPr>
          <w:rFonts w:ascii="Times New Roman" w:hAnsi="Times New Roman" w:cs="Times New Roman"/>
          <w:sz w:val="24"/>
          <w:szCs w:val="24"/>
          <w:lang w:val="en-ZA"/>
        </w:rPr>
      </w:pPr>
      <w:r w:rsidRPr="00437819">
        <w:rPr>
          <w:rFonts w:ascii="Times New Roman" w:hAnsi="Times New Roman" w:cs="Times New Roman"/>
          <w:b/>
          <w:i/>
          <w:sz w:val="24"/>
          <w:szCs w:val="24"/>
          <w:lang w:val="en-ZA"/>
        </w:rPr>
        <w:t>Municipal Infrastructure G</w:t>
      </w:r>
      <w:r w:rsidR="008060EC" w:rsidRPr="00437819">
        <w:rPr>
          <w:rFonts w:ascii="Times New Roman" w:hAnsi="Times New Roman" w:cs="Times New Roman"/>
          <w:b/>
          <w:i/>
          <w:sz w:val="24"/>
          <w:szCs w:val="24"/>
          <w:lang w:val="en-ZA"/>
        </w:rPr>
        <w:t>rant (</w:t>
      </w:r>
      <w:r w:rsidR="00BD75A8" w:rsidRPr="00437819">
        <w:rPr>
          <w:rFonts w:ascii="Times New Roman" w:hAnsi="Times New Roman" w:cs="Times New Roman"/>
          <w:b/>
          <w:i/>
          <w:sz w:val="24"/>
          <w:szCs w:val="24"/>
          <w:lang w:val="en-ZA"/>
        </w:rPr>
        <w:t>Sports allocation</w:t>
      </w:r>
      <w:r w:rsidR="008060EC" w:rsidRPr="00437819">
        <w:rPr>
          <w:rFonts w:ascii="Times New Roman" w:hAnsi="Times New Roman" w:cs="Times New Roman"/>
          <w:b/>
          <w:i/>
          <w:sz w:val="24"/>
          <w:szCs w:val="24"/>
          <w:lang w:val="en-ZA"/>
        </w:rPr>
        <w:t>):</w:t>
      </w:r>
      <w:r w:rsidR="0040558E" w:rsidRPr="00437819">
        <w:rPr>
          <w:rFonts w:ascii="Times New Roman" w:hAnsi="Times New Roman" w:cs="Times New Roman"/>
          <w:sz w:val="24"/>
          <w:szCs w:val="24"/>
          <w:lang w:val="en-ZA"/>
        </w:rPr>
        <w:t xml:space="preserve"> T</w:t>
      </w:r>
      <w:r w:rsidR="00FD0860" w:rsidRPr="00437819">
        <w:rPr>
          <w:rFonts w:ascii="Times New Roman" w:hAnsi="Times New Roman" w:cs="Times New Roman"/>
          <w:sz w:val="24"/>
          <w:szCs w:val="24"/>
          <w:lang w:val="en-ZA"/>
        </w:rPr>
        <w:t>o correct allocations ring-fe</w:t>
      </w:r>
      <w:r w:rsidRPr="00437819">
        <w:rPr>
          <w:rFonts w:ascii="Times New Roman" w:hAnsi="Times New Roman" w:cs="Times New Roman"/>
          <w:sz w:val="24"/>
          <w:szCs w:val="24"/>
          <w:lang w:val="en-ZA"/>
        </w:rPr>
        <w:t>nced for sports project in the Municipal Infrastructure G</w:t>
      </w:r>
      <w:r w:rsidR="00FD0860" w:rsidRPr="00437819">
        <w:rPr>
          <w:rFonts w:ascii="Times New Roman" w:hAnsi="Times New Roman" w:cs="Times New Roman"/>
          <w:sz w:val="24"/>
          <w:szCs w:val="24"/>
          <w:lang w:val="en-ZA"/>
        </w:rPr>
        <w:t>rant</w:t>
      </w:r>
      <w:r w:rsidRPr="00437819">
        <w:rPr>
          <w:rFonts w:ascii="Times New Roman" w:hAnsi="Times New Roman" w:cs="Times New Roman"/>
          <w:sz w:val="24"/>
          <w:szCs w:val="24"/>
          <w:lang w:val="en-ZA"/>
        </w:rPr>
        <w:t xml:space="preserve"> (MIG)</w:t>
      </w:r>
      <w:r w:rsidR="00FD0860" w:rsidRPr="00437819">
        <w:rPr>
          <w:rFonts w:ascii="Times New Roman" w:hAnsi="Times New Roman" w:cs="Times New Roman"/>
          <w:sz w:val="24"/>
          <w:szCs w:val="24"/>
          <w:lang w:val="en-ZA"/>
        </w:rPr>
        <w:t xml:space="preserve">, a total of R3.6 million is proposed to be shifted to </w:t>
      </w:r>
      <w:r w:rsidR="00E26726" w:rsidRPr="00437819">
        <w:rPr>
          <w:rFonts w:ascii="Times New Roman" w:hAnsi="Times New Roman" w:cs="Times New Roman"/>
          <w:sz w:val="24"/>
          <w:szCs w:val="24"/>
          <w:lang w:val="en-ZA"/>
        </w:rPr>
        <w:t>Prince Albert Local Municipality in t</w:t>
      </w:r>
      <w:r w:rsidR="00437819">
        <w:rPr>
          <w:rFonts w:ascii="Times New Roman" w:hAnsi="Times New Roman" w:cs="Times New Roman"/>
          <w:sz w:val="24"/>
          <w:szCs w:val="24"/>
          <w:lang w:val="en-ZA"/>
        </w:rPr>
        <w:t>he Western Cape, consisting of:</w:t>
      </w:r>
    </w:p>
    <w:p w14:paraId="07EC803F" w14:textId="21606CF5" w:rsidR="0062373C" w:rsidRPr="008B22E8" w:rsidRDefault="00D651ED" w:rsidP="00437819">
      <w:pPr>
        <w:pStyle w:val="ListParagraph"/>
        <w:numPr>
          <w:ilvl w:val="0"/>
          <w:numId w:val="25"/>
        </w:numPr>
        <w:spacing w:after="0" w:line="360" w:lineRule="auto"/>
        <w:ind w:left="1276" w:hanging="283"/>
        <w:jc w:val="both"/>
        <w:rPr>
          <w:rFonts w:ascii="Times New Roman" w:hAnsi="Times New Roman" w:cs="Times New Roman"/>
          <w:sz w:val="24"/>
          <w:szCs w:val="24"/>
          <w:lang w:val="en-ZA"/>
        </w:rPr>
      </w:pPr>
      <w:r>
        <w:rPr>
          <w:rFonts w:ascii="Times New Roman" w:hAnsi="Times New Roman" w:cs="Times New Roman"/>
          <w:sz w:val="24"/>
          <w:szCs w:val="24"/>
          <w:lang w:val="en-ZA"/>
        </w:rPr>
        <w:t>A total of R1.</w:t>
      </w:r>
      <w:r w:rsidR="00E26726" w:rsidRPr="008B22E8">
        <w:rPr>
          <w:rFonts w:ascii="Times New Roman" w:hAnsi="Times New Roman" w:cs="Times New Roman"/>
          <w:sz w:val="24"/>
          <w:szCs w:val="24"/>
          <w:lang w:val="en-ZA"/>
        </w:rPr>
        <w:t xml:space="preserve">6 million from </w:t>
      </w:r>
      <w:proofErr w:type="spellStart"/>
      <w:r w:rsidR="00E26726" w:rsidRPr="008B22E8">
        <w:rPr>
          <w:rFonts w:ascii="Times New Roman" w:hAnsi="Times New Roman" w:cs="Times New Roman"/>
          <w:sz w:val="24"/>
          <w:szCs w:val="24"/>
          <w:lang w:val="en-ZA"/>
        </w:rPr>
        <w:t>Emthanjeni</w:t>
      </w:r>
      <w:proofErr w:type="spellEnd"/>
      <w:r w:rsidR="00E26726" w:rsidRPr="008B22E8">
        <w:rPr>
          <w:rFonts w:ascii="Times New Roman" w:hAnsi="Times New Roman" w:cs="Times New Roman"/>
          <w:sz w:val="24"/>
          <w:szCs w:val="24"/>
          <w:lang w:val="en-ZA"/>
        </w:rPr>
        <w:t xml:space="preserve"> Local</w:t>
      </w:r>
      <w:r w:rsidR="00437819">
        <w:rPr>
          <w:rFonts w:ascii="Times New Roman" w:hAnsi="Times New Roman" w:cs="Times New Roman"/>
          <w:sz w:val="24"/>
          <w:szCs w:val="24"/>
          <w:lang w:val="en-ZA"/>
        </w:rPr>
        <w:t xml:space="preserve"> Municipality in Northern Cape; and</w:t>
      </w:r>
    </w:p>
    <w:p w14:paraId="35E87B43" w14:textId="7CB64DFC" w:rsidR="00E26726" w:rsidRPr="008B22E8" w:rsidRDefault="00E26726" w:rsidP="00437819">
      <w:pPr>
        <w:pStyle w:val="ListParagraph"/>
        <w:numPr>
          <w:ilvl w:val="0"/>
          <w:numId w:val="25"/>
        </w:numPr>
        <w:spacing w:after="0" w:line="360" w:lineRule="auto"/>
        <w:ind w:left="1276" w:hanging="283"/>
        <w:jc w:val="both"/>
        <w:rPr>
          <w:rFonts w:ascii="Times New Roman" w:hAnsi="Times New Roman" w:cs="Times New Roman"/>
          <w:sz w:val="24"/>
          <w:szCs w:val="24"/>
          <w:lang w:val="en-ZA"/>
        </w:rPr>
      </w:pPr>
      <w:r w:rsidRPr="008B22E8">
        <w:rPr>
          <w:rFonts w:ascii="Times New Roman" w:hAnsi="Times New Roman" w:cs="Times New Roman"/>
          <w:sz w:val="24"/>
          <w:szCs w:val="24"/>
          <w:lang w:val="en-ZA"/>
        </w:rPr>
        <w:t xml:space="preserve">A total of R2 million from </w:t>
      </w:r>
      <w:proofErr w:type="spellStart"/>
      <w:r w:rsidRPr="008B22E8">
        <w:rPr>
          <w:rFonts w:ascii="Times New Roman" w:hAnsi="Times New Roman" w:cs="Times New Roman"/>
          <w:sz w:val="24"/>
          <w:szCs w:val="24"/>
          <w:lang w:val="en-ZA"/>
        </w:rPr>
        <w:t>Magareng</w:t>
      </w:r>
      <w:proofErr w:type="spellEnd"/>
      <w:r w:rsidRPr="008B22E8">
        <w:rPr>
          <w:rFonts w:ascii="Times New Roman" w:hAnsi="Times New Roman" w:cs="Times New Roman"/>
          <w:sz w:val="24"/>
          <w:szCs w:val="24"/>
          <w:lang w:val="en-ZA"/>
        </w:rPr>
        <w:t xml:space="preserve"> Local Mu</w:t>
      </w:r>
      <w:r w:rsidR="00437819">
        <w:rPr>
          <w:rFonts w:ascii="Times New Roman" w:hAnsi="Times New Roman" w:cs="Times New Roman"/>
          <w:sz w:val="24"/>
          <w:szCs w:val="24"/>
          <w:lang w:val="en-ZA"/>
        </w:rPr>
        <w:t xml:space="preserve">nicipality in the Northern Cape. </w:t>
      </w:r>
    </w:p>
    <w:p w14:paraId="01C285DF" w14:textId="77777777" w:rsidR="00CA696B" w:rsidRDefault="00CA696B" w:rsidP="00E26726">
      <w:pPr>
        <w:spacing w:after="0" w:line="360" w:lineRule="auto"/>
        <w:jc w:val="both"/>
        <w:rPr>
          <w:rFonts w:ascii="Times New Roman" w:hAnsi="Times New Roman" w:cs="Times New Roman"/>
          <w:sz w:val="24"/>
          <w:szCs w:val="24"/>
          <w:lang w:val="en-ZA"/>
        </w:rPr>
      </w:pPr>
    </w:p>
    <w:p w14:paraId="67745183" w14:textId="4301AFB4" w:rsidR="0040558E" w:rsidRPr="008B22E8" w:rsidRDefault="00E26726" w:rsidP="00E26726">
      <w:pPr>
        <w:spacing w:after="0" w:line="360" w:lineRule="auto"/>
        <w:jc w:val="both"/>
        <w:rPr>
          <w:rFonts w:ascii="Times New Roman" w:hAnsi="Times New Roman" w:cs="Times New Roman"/>
          <w:sz w:val="24"/>
          <w:szCs w:val="24"/>
          <w:lang w:val="en-ZA"/>
        </w:rPr>
      </w:pPr>
      <w:r w:rsidRPr="008B22E8">
        <w:rPr>
          <w:rFonts w:ascii="Times New Roman" w:hAnsi="Times New Roman" w:cs="Times New Roman"/>
          <w:sz w:val="24"/>
          <w:szCs w:val="24"/>
          <w:lang w:val="en-ZA"/>
        </w:rPr>
        <w:t xml:space="preserve">The allocations were not captured correctly in </w:t>
      </w:r>
      <w:r w:rsidR="00D651ED">
        <w:rPr>
          <w:rFonts w:ascii="Times New Roman" w:hAnsi="Times New Roman" w:cs="Times New Roman"/>
          <w:sz w:val="24"/>
          <w:szCs w:val="24"/>
          <w:lang w:val="en-ZA"/>
        </w:rPr>
        <w:t>MIG</w:t>
      </w:r>
      <w:r w:rsidRPr="008B22E8">
        <w:rPr>
          <w:rFonts w:ascii="Times New Roman" w:hAnsi="Times New Roman" w:cs="Times New Roman"/>
          <w:sz w:val="24"/>
          <w:szCs w:val="24"/>
          <w:lang w:val="en-ZA"/>
        </w:rPr>
        <w:t xml:space="preserve"> allocations, necessitating this correction and this will ensure that sufficient funds are available to complete all planned sports infrastructure projects in the three affected municipalities. </w:t>
      </w:r>
    </w:p>
    <w:p w14:paraId="37933D4E" w14:textId="77777777" w:rsidR="0040558E" w:rsidRPr="008B22E8" w:rsidRDefault="0040558E" w:rsidP="00E26726">
      <w:pPr>
        <w:spacing w:after="0" w:line="360" w:lineRule="auto"/>
        <w:jc w:val="both"/>
        <w:rPr>
          <w:rFonts w:ascii="Times New Roman" w:hAnsi="Times New Roman" w:cs="Times New Roman"/>
          <w:sz w:val="24"/>
          <w:szCs w:val="24"/>
          <w:lang w:val="en-ZA"/>
        </w:rPr>
      </w:pPr>
    </w:p>
    <w:p w14:paraId="13B0DD08" w14:textId="2957596C" w:rsidR="00842C4D" w:rsidRPr="00437819" w:rsidRDefault="00D651ED" w:rsidP="00437819">
      <w:pPr>
        <w:spacing w:after="0" w:line="360" w:lineRule="auto"/>
        <w:jc w:val="both"/>
        <w:rPr>
          <w:rFonts w:ascii="Times New Roman" w:hAnsi="Times New Roman" w:cs="Times New Roman"/>
          <w:sz w:val="24"/>
          <w:szCs w:val="24"/>
          <w:lang w:val="en-ZA"/>
        </w:rPr>
      </w:pPr>
      <w:r w:rsidRPr="00437819">
        <w:rPr>
          <w:rFonts w:ascii="Times New Roman" w:hAnsi="Times New Roman" w:cs="Times New Roman"/>
          <w:b/>
          <w:i/>
          <w:sz w:val="24"/>
          <w:szCs w:val="24"/>
          <w:lang w:val="en-ZA"/>
        </w:rPr>
        <w:t>Municipal D</w:t>
      </w:r>
      <w:r w:rsidR="0040558E" w:rsidRPr="00437819">
        <w:rPr>
          <w:rFonts w:ascii="Times New Roman" w:hAnsi="Times New Roman" w:cs="Times New Roman"/>
          <w:b/>
          <w:i/>
          <w:sz w:val="24"/>
          <w:szCs w:val="24"/>
          <w:lang w:val="en-ZA"/>
        </w:rPr>
        <w:t>i</w:t>
      </w:r>
      <w:r w:rsidRPr="00437819">
        <w:rPr>
          <w:rFonts w:ascii="Times New Roman" w:hAnsi="Times New Roman" w:cs="Times New Roman"/>
          <w:b/>
          <w:i/>
          <w:sz w:val="24"/>
          <w:szCs w:val="24"/>
          <w:lang w:val="en-ZA"/>
        </w:rPr>
        <w:t>saster Recovery G</w:t>
      </w:r>
      <w:r w:rsidR="0040558E" w:rsidRPr="00437819">
        <w:rPr>
          <w:rFonts w:ascii="Times New Roman" w:hAnsi="Times New Roman" w:cs="Times New Roman"/>
          <w:b/>
          <w:i/>
          <w:sz w:val="24"/>
          <w:szCs w:val="24"/>
          <w:lang w:val="en-ZA"/>
        </w:rPr>
        <w:t>rant:</w:t>
      </w:r>
      <w:r w:rsidR="0040558E" w:rsidRPr="00437819">
        <w:rPr>
          <w:rFonts w:ascii="Times New Roman" w:hAnsi="Times New Roman" w:cs="Times New Roman"/>
          <w:sz w:val="24"/>
          <w:szCs w:val="24"/>
          <w:lang w:val="en-ZA"/>
        </w:rPr>
        <w:t xml:space="preserve"> A total of R133.2 million in </w:t>
      </w:r>
      <w:r w:rsidRPr="00437819">
        <w:rPr>
          <w:rFonts w:ascii="Times New Roman" w:hAnsi="Times New Roman" w:cs="Times New Roman"/>
          <w:sz w:val="24"/>
          <w:szCs w:val="24"/>
          <w:lang w:val="en-ZA"/>
        </w:rPr>
        <w:t xml:space="preserve">the </w:t>
      </w:r>
      <w:r w:rsidR="0040558E" w:rsidRPr="00437819">
        <w:rPr>
          <w:rFonts w:ascii="Times New Roman" w:hAnsi="Times New Roman" w:cs="Times New Roman"/>
          <w:sz w:val="24"/>
          <w:szCs w:val="24"/>
          <w:lang w:val="en-ZA"/>
        </w:rPr>
        <w:t xml:space="preserve">grant that was unallocated at the beginning of the financial year is allocated to eThekwini Metropolitan Municipality and </w:t>
      </w:r>
      <w:proofErr w:type="spellStart"/>
      <w:r w:rsidR="00842C4D" w:rsidRPr="00437819">
        <w:rPr>
          <w:rFonts w:ascii="Times New Roman" w:hAnsi="Times New Roman" w:cs="Times New Roman"/>
          <w:sz w:val="24"/>
          <w:szCs w:val="24"/>
          <w:lang w:val="en-ZA"/>
        </w:rPr>
        <w:t>Ugu</w:t>
      </w:r>
      <w:proofErr w:type="spellEnd"/>
      <w:r w:rsidR="00842C4D" w:rsidRPr="00437819">
        <w:rPr>
          <w:rFonts w:ascii="Times New Roman" w:hAnsi="Times New Roman" w:cs="Times New Roman"/>
          <w:sz w:val="24"/>
          <w:szCs w:val="24"/>
          <w:lang w:val="en-ZA"/>
        </w:rPr>
        <w:t xml:space="preserve"> District Municipality in KwaZulu-Natal for the repair of roads damaged by floods in </w:t>
      </w:r>
      <w:r w:rsidR="00842C4D" w:rsidRPr="005A6175">
        <w:rPr>
          <w:rFonts w:ascii="Times New Roman" w:hAnsi="Times New Roman" w:cs="Times New Roman"/>
          <w:sz w:val="24"/>
          <w:szCs w:val="24"/>
          <w:lang w:val="en-ZA"/>
        </w:rPr>
        <w:t>2017</w:t>
      </w:r>
      <w:r w:rsidR="00842C4D" w:rsidRPr="00437819">
        <w:rPr>
          <w:rFonts w:ascii="Times New Roman" w:hAnsi="Times New Roman" w:cs="Times New Roman"/>
          <w:sz w:val="24"/>
          <w:szCs w:val="24"/>
          <w:lang w:val="en-ZA"/>
        </w:rPr>
        <w:t xml:space="preserve"> as follows;</w:t>
      </w:r>
    </w:p>
    <w:p w14:paraId="22C73776" w14:textId="77777777" w:rsidR="00842C4D" w:rsidRPr="008B22E8" w:rsidRDefault="00842C4D" w:rsidP="00437819">
      <w:pPr>
        <w:pStyle w:val="ListParagraph"/>
        <w:numPr>
          <w:ilvl w:val="0"/>
          <w:numId w:val="25"/>
        </w:numPr>
        <w:spacing w:after="0" w:line="360" w:lineRule="auto"/>
        <w:ind w:left="1276" w:hanging="283"/>
        <w:jc w:val="both"/>
        <w:rPr>
          <w:rFonts w:ascii="Times New Roman" w:hAnsi="Times New Roman" w:cs="Times New Roman"/>
          <w:sz w:val="24"/>
          <w:szCs w:val="24"/>
          <w:lang w:val="en-ZA"/>
        </w:rPr>
      </w:pPr>
      <w:r w:rsidRPr="008B22E8">
        <w:rPr>
          <w:rFonts w:ascii="Times New Roman" w:hAnsi="Times New Roman" w:cs="Times New Roman"/>
          <w:sz w:val="24"/>
          <w:szCs w:val="24"/>
          <w:lang w:val="en-ZA"/>
        </w:rPr>
        <w:t xml:space="preserve">A total of R113 million is allocated to eThekwini Metropolitan municipality, and </w:t>
      </w:r>
    </w:p>
    <w:p w14:paraId="61F7B82A" w14:textId="69709255" w:rsidR="00C04874" w:rsidRPr="000E3A58" w:rsidRDefault="00842C4D" w:rsidP="00842C4D">
      <w:pPr>
        <w:pStyle w:val="ListParagraph"/>
        <w:numPr>
          <w:ilvl w:val="0"/>
          <w:numId w:val="25"/>
        </w:numPr>
        <w:spacing w:after="0" w:line="360" w:lineRule="auto"/>
        <w:ind w:left="1276" w:hanging="283"/>
        <w:jc w:val="both"/>
        <w:rPr>
          <w:rFonts w:ascii="Times New Roman" w:hAnsi="Times New Roman" w:cs="Times New Roman"/>
          <w:sz w:val="24"/>
          <w:szCs w:val="24"/>
          <w:lang w:val="en-ZA"/>
        </w:rPr>
      </w:pPr>
      <w:r w:rsidRPr="008B22E8">
        <w:rPr>
          <w:rFonts w:ascii="Times New Roman" w:hAnsi="Times New Roman" w:cs="Times New Roman"/>
          <w:sz w:val="24"/>
          <w:szCs w:val="24"/>
          <w:lang w:val="en-ZA"/>
        </w:rPr>
        <w:t xml:space="preserve">A total of </w:t>
      </w:r>
      <w:r w:rsidR="00D651ED" w:rsidRPr="008B22E8">
        <w:rPr>
          <w:rFonts w:ascii="Times New Roman" w:hAnsi="Times New Roman" w:cs="Times New Roman"/>
          <w:sz w:val="24"/>
          <w:szCs w:val="24"/>
          <w:lang w:val="en-ZA"/>
        </w:rPr>
        <w:t>R20.3 million</w:t>
      </w:r>
      <w:r w:rsidRPr="008B22E8">
        <w:rPr>
          <w:rFonts w:ascii="Times New Roman" w:hAnsi="Times New Roman" w:cs="Times New Roman"/>
          <w:sz w:val="24"/>
          <w:szCs w:val="24"/>
          <w:lang w:val="en-ZA"/>
        </w:rPr>
        <w:t xml:space="preserve"> is allocated to </w:t>
      </w:r>
      <w:proofErr w:type="spellStart"/>
      <w:r w:rsidRPr="008B22E8">
        <w:rPr>
          <w:rFonts w:ascii="Times New Roman" w:hAnsi="Times New Roman" w:cs="Times New Roman"/>
          <w:sz w:val="24"/>
          <w:szCs w:val="24"/>
          <w:lang w:val="en-ZA"/>
        </w:rPr>
        <w:t>Ugu</w:t>
      </w:r>
      <w:proofErr w:type="spellEnd"/>
      <w:r w:rsidRPr="008B22E8">
        <w:rPr>
          <w:rFonts w:ascii="Times New Roman" w:hAnsi="Times New Roman" w:cs="Times New Roman"/>
          <w:sz w:val="24"/>
          <w:szCs w:val="24"/>
          <w:lang w:val="en-ZA"/>
        </w:rPr>
        <w:t xml:space="preserve"> District Municipality. </w:t>
      </w:r>
    </w:p>
    <w:p w14:paraId="326FFBA0" w14:textId="77777777" w:rsidR="00C04874" w:rsidRPr="008B22E8" w:rsidRDefault="00C04874" w:rsidP="00842C4D">
      <w:pPr>
        <w:spacing w:after="0" w:line="360" w:lineRule="auto"/>
        <w:jc w:val="both"/>
        <w:rPr>
          <w:rFonts w:ascii="Times New Roman" w:hAnsi="Times New Roman" w:cs="Times New Roman"/>
          <w:sz w:val="24"/>
          <w:szCs w:val="24"/>
          <w:lang w:val="en-ZA"/>
        </w:rPr>
      </w:pPr>
    </w:p>
    <w:p w14:paraId="46184EE2" w14:textId="690EC3B5" w:rsidR="00D651ED" w:rsidRDefault="00D651ED" w:rsidP="00D651ED">
      <w:pPr>
        <w:pStyle w:val="ListParagraph"/>
        <w:numPr>
          <w:ilvl w:val="0"/>
          <w:numId w:val="19"/>
        </w:numPr>
        <w:spacing w:after="0" w:line="360" w:lineRule="auto"/>
        <w:ind w:hanging="720"/>
        <w:jc w:val="both"/>
        <w:rPr>
          <w:rFonts w:ascii="Times New Roman" w:hAnsi="Times New Roman" w:cs="Times New Roman"/>
          <w:b/>
          <w:sz w:val="24"/>
          <w:szCs w:val="24"/>
          <w:lang w:val="en-ZA"/>
        </w:rPr>
      </w:pPr>
      <w:r>
        <w:rPr>
          <w:rFonts w:ascii="Times New Roman" w:hAnsi="Times New Roman" w:cs="Times New Roman"/>
          <w:b/>
          <w:sz w:val="24"/>
          <w:szCs w:val="24"/>
          <w:lang w:val="en-ZA"/>
        </w:rPr>
        <w:t>Submissions from Interested Stakeholders</w:t>
      </w:r>
    </w:p>
    <w:p w14:paraId="39759674" w14:textId="337AB80E" w:rsidR="00D651ED" w:rsidRDefault="00D651ED" w:rsidP="00D651ED">
      <w:pPr>
        <w:spacing w:after="0" w:line="360" w:lineRule="auto"/>
        <w:jc w:val="both"/>
        <w:rPr>
          <w:rFonts w:ascii="Times New Roman" w:hAnsi="Times New Roman" w:cs="Times New Roman"/>
          <w:b/>
          <w:sz w:val="24"/>
          <w:szCs w:val="24"/>
          <w:lang w:val="en-ZA"/>
        </w:rPr>
      </w:pPr>
    </w:p>
    <w:p w14:paraId="40513F36" w14:textId="3BC46C39" w:rsidR="00D651ED" w:rsidRDefault="00D651ED" w:rsidP="00D651ED">
      <w:pPr>
        <w:spacing w:after="0" w:line="360" w:lineRule="auto"/>
        <w:jc w:val="both"/>
        <w:rPr>
          <w:rFonts w:ascii="Times New Roman" w:hAnsi="Times New Roman" w:cs="Times New Roman"/>
          <w:b/>
          <w:sz w:val="24"/>
          <w:szCs w:val="24"/>
          <w:lang w:val="en-ZA"/>
        </w:rPr>
      </w:pPr>
      <w:r>
        <w:rPr>
          <w:rFonts w:ascii="Times New Roman" w:hAnsi="Times New Roman" w:cs="Times New Roman"/>
          <w:b/>
          <w:sz w:val="24"/>
          <w:szCs w:val="24"/>
          <w:lang w:val="en-ZA"/>
        </w:rPr>
        <w:t>7.1</w:t>
      </w:r>
      <w:r w:rsidR="002719D0">
        <w:rPr>
          <w:rFonts w:ascii="Times New Roman" w:hAnsi="Times New Roman" w:cs="Times New Roman"/>
          <w:b/>
          <w:sz w:val="24"/>
          <w:szCs w:val="24"/>
          <w:lang w:val="en-ZA"/>
        </w:rPr>
        <w:t>.</w:t>
      </w:r>
      <w:r>
        <w:rPr>
          <w:rFonts w:ascii="Times New Roman" w:hAnsi="Times New Roman" w:cs="Times New Roman"/>
          <w:b/>
          <w:sz w:val="24"/>
          <w:szCs w:val="24"/>
          <w:lang w:val="en-ZA"/>
        </w:rPr>
        <w:tab/>
        <w:t>Financial and Fiscal Commission</w:t>
      </w:r>
    </w:p>
    <w:p w14:paraId="7BC66301" w14:textId="525CBC0A" w:rsidR="002719D0" w:rsidRPr="002719D0" w:rsidRDefault="002719D0" w:rsidP="002719D0">
      <w:pPr>
        <w:spacing w:after="0" w:line="360" w:lineRule="auto"/>
        <w:jc w:val="both"/>
        <w:rPr>
          <w:rFonts w:ascii="Times New Roman" w:hAnsi="Times New Roman" w:cs="Times New Roman"/>
          <w:sz w:val="24"/>
          <w:szCs w:val="24"/>
          <w:lang w:val="en-ZA"/>
        </w:rPr>
      </w:pPr>
      <w:r w:rsidRPr="002719D0">
        <w:rPr>
          <w:rFonts w:ascii="Times New Roman" w:hAnsi="Times New Roman" w:cs="Times New Roman"/>
          <w:sz w:val="24"/>
          <w:szCs w:val="24"/>
          <w:lang w:val="en-ZA"/>
        </w:rPr>
        <w:t>The Financial and Fiscal Commission (FFC) provided an overview of actual expenditure in 2019/20, by reporting highlights based on an analysis of aggregate spending for the first six months of the financial year. Total government spending by mid-year was at R816 billion, or 48 per</w:t>
      </w:r>
      <w:r w:rsidR="00C04874">
        <w:rPr>
          <w:rFonts w:ascii="Times New Roman" w:hAnsi="Times New Roman" w:cs="Times New Roman"/>
          <w:sz w:val="24"/>
          <w:szCs w:val="24"/>
          <w:lang w:val="en-ZA"/>
        </w:rPr>
        <w:t xml:space="preserve"> </w:t>
      </w:r>
      <w:r w:rsidRPr="002719D0">
        <w:rPr>
          <w:rFonts w:ascii="Times New Roman" w:hAnsi="Times New Roman" w:cs="Times New Roman"/>
          <w:sz w:val="24"/>
          <w:szCs w:val="24"/>
          <w:lang w:val="en-ZA"/>
        </w:rPr>
        <w:t>cent; spending by all votes at R448 billion, or 48 per</w:t>
      </w:r>
      <w:r w:rsidR="00C04874">
        <w:rPr>
          <w:rFonts w:ascii="Times New Roman" w:hAnsi="Times New Roman" w:cs="Times New Roman"/>
          <w:sz w:val="24"/>
          <w:szCs w:val="24"/>
          <w:lang w:val="en-ZA"/>
        </w:rPr>
        <w:t xml:space="preserve"> </w:t>
      </w:r>
      <w:r w:rsidRPr="002719D0">
        <w:rPr>
          <w:rFonts w:ascii="Times New Roman" w:hAnsi="Times New Roman" w:cs="Times New Roman"/>
          <w:sz w:val="24"/>
          <w:szCs w:val="24"/>
          <w:lang w:val="en-ZA"/>
        </w:rPr>
        <w:t>cent, and transfers of the Provincial Equitable Share (PES) at 50 per</w:t>
      </w:r>
      <w:r w:rsidR="00C04874">
        <w:rPr>
          <w:rFonts w:ascii="Times New Roman" w:hAnsi="Times New Roman" w:cs="Times New Roman"/>
          <w:sz w:val="24"/>
          <w:szCs w:val="24"/>
          <w:lang w:val="en-ZA"/>
        </w:rPr>
        <w:t xml:space="preserve"> </w:t>
      </w:r>
      <w:r w:rsidRPr="002719D0">
        <w:rPr>
          <w:rFonts w:ascii="Times New Roman" w:hAnsi="Times New Roman" w:cs="Times New Roman"/>
          <w:sz w:val="24"/>
          <w:szCs w:val="24"/>
          <w:lang w:val="en-ZA"/>
        </w:rPr>
        <w:t>cent, as expected. However, the FFC reported that an assessment of individual departmental performance showed somewhat uneven spending patterns. The Department of Higher Education and Training had spent 71 per</w:t>
      </w:r>
      <w:r w:rsidR="00C04874">
        <w:rPr>
          <w:rFonts w:ascii="Times New Roman" w:hAnsi="Times New Roman" w:cs="Times New Roman"/>
          <w:sz w:val="24"/>
          <w:szCs w:val="24"/>
          <w:lang w:val="en-ZA"/>
        </w:rPr>
        <w:t xml:space="preserve"> </w:t>
      </w:r>
      <w:r w:rsidRPr="002719D0">
        <w:rPr>
          <w:rFonts w:ascii="Times New Roman" w:hAnsi="Times New Roman" w:cs="Times New Roman"/>
          <w:sz w:val="24"/>
          <w:szCs w:val="24"/>
          <w:lang w:val="en-ZA"/>
        </w:rPr>
        <w:t>cent of its budget and the Department of Basic Education 58.5 per</w:t>
      </w:r>
      <w:r w:rsidR="00C04874">
        <w:rPr>
          <w:rFonts w:ascii="Times New Roman" w:hAnsi="Times New Roman" w:cs="Times New Roman"/>
          <w:sz w:val="24"/>
          <w:szCs w:val="24"/>
          <w:lang w:val="en-ZA"/>
        </w:rPr>
        <w:t xml:space="preserve"> </w:t>
      </w:r>
      <w:r w:rsidRPr="002719D0">
        <w:rPr>
          <w:rFonts w:ascii="Times New Roman" w:hAnsi="Times New Roman" w:cs="Times New Roman"/>
          <w:sz w:val="24"/>
          <w:szCs w:val="24"/>
          <w:lang w:val="en-ZA"/>
        </w:rPr>
        <w:t>cent. Other departments such as Environmental Affairs, Water and Sanitation, Human Settlements and Rural Development and Land Reform had registered below average spending or just at 40 per</w:t>
      </w:r>
      <w:r w:rsidR="00C04874">
        <w:rPr>
          <w:rFonts w:ascii="Times New Roman" w:hAnsi="Times New Roman" w:cs="Times New Roman"/>
          <w:sz w:val="24"/>
          <w:szCs w:val="24"/>
          <w:lang w:val="en-ZA"/>
        </w:rPr>
        <w:t xml:space="preserve"> </w:t>
      </w:r>
      <w:r w:rsidRPr="002719D0">
        <w:rPr>
          <w:rFonts w:ascii="Times New Roman" w:hAnsi="Times New Roman" w:cs="Times New Roman"/>
          <w:sz w:val="24"/>
          <w:szCs w:val="24"/>
          <w:lang w:val="en-ZA"/>
        </w:rPr>
        <w:t>cent. According to the Commission, excessive deviations below or above the average were generally perceived as undesirable from a budget planning and execution point of view; unless a department’s annual plan explicitly identify unusual spending</w:t>
      </w:r>
      <w:r w:rsidR="00ED2C80">
        <w:rPr>
          <w:rFonts w:ascii="Times New Roman" w:hAnsi="Times New Roman" w:cs="Times New Roman"/>
          <w:sz w:val="24"/>
          <w:szCs w:val="24"/>
          <w:lang w:val="en-ZA"/>
        </w:rPr>
        <w:t xml:space="preserve"> patterns</w:t>
      </w:r>
      <w:r w:rsidRPr="002719D0">
        <w:rPr>
          <w:rFonts w:ascii="Times New Roman" w:hAnsi="Times New Roman" w:cs="Times New Roman"/>
          <w:sz w:val="24"/>
          <w:szCs w:val="24"/>
          <w:lang w:val="en-ZA"/>
        </w:rPr>
        <w:t>.</w:t>
      </w:r>
    </w:p>
    <w:p w14:paraId="750ECF05" w14:textId="77777777" w:rsidR="002719D0" w:rsidRDefault="002719D0" w:rsidP="002719D0">
      <w:pPr>
        <w:spacing w:after="0" w:line="360" w:lineRule="auto"/>
        <w:jc w:val="both"/>
        <w:rPr>
          <w:rFonts w:ascii="Times New Roman" w:hAnsi="Times New Roman" w:cs="Times New Roman"/>
          <w:sz w:val="24"/>
          <w:szCs w:val="24"/>
          <w:lang w:val="en-ZA"/>
        </w:rPr>
      </w:pPr>
    </w:p>
    <w:p w14:paraId="04D11CAC" w14:textId="777DF4D1" w:rsidR="002719D0" w:rsidRPr="002719D0" w:rsidRDefault="000E3A58" w:rsidP="002719D0">
      <w:pPr>
        <w:spacing w:after="0"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R</w:t>
      </w:r>
      <w:r w:rsidRPr="002719D0">
        <w:rPr>
          <w:rFonts w:ascii="Times New Roman" w:hAnsi="Times New Roman" w:cs="Times New Roman"/>
          <w:sz w:val="24"/>
          <w:szCs w:val="24"/>
          <w:lang w:val="en-ZA"/>
        </w:rPr>
        <w:t>egard</w:t>
      </w:r>
      <w:r>
        <w:rPr>
          <w:rFonts w:ascii="Times New Roman" w:hAnsi="Times New Roman" w:cs="Times New Roman"/>
          <w:sz w:val="24"/>
          <w:szCs w:val="24"/>
          <w:lang w:val="en-ZA"/>
        </w:rPr>
        <w:t>ing</w:t>
      </w:r>
      <w:r w:rsidRPr="002719D0">
        <w:rPr>
          <w:rFonts w:ascii="Times New Roman" w:hAnsi="Times New Roman" w:cs="Times New Roman"/>
          <w:sz w:val="24"/>
          <w:szCs w:val="24"/>
          <w:lang w:val="en-ZA"/>
        </w:rPr>
        <w:t xml:space="preserve"> the</w:t>
      </w:r>
      <w:r w:rsidR="002719D0" w:rsidRPr="002719D0">
        <w:rPr>
          <w:rFonts w:ascii="Times New Roman" w:hAnsi="Times New Roman" w:cs="Times New Roman"/>
          <w:sz w:val="24"/>
          <w:szCs w:val="24"/>
          <w:lang w:val="en-ZA"/>
        </w:rPr>
        <w:t xml:space="preserve"> revised division of revenue for 2019/20, the FFC reported that declared unspent funds returned to the </w:t>
      </w:r>
      <w:proofErr w:type="spellStart"/>
      <w:r w:rsidR="002719D0" w:rsidRPr="002719D0">
        <w:rPr>
          <w:rFonts w:ascii="Times New Roman" w:hAnsi="Times New Roman" w:cs="Times New Roman"/>
          <w:sz w:val="24"/>
          <w:szCs w:val="24"/>
          <w:lang w:val="en-ZA"/>
        </w:rPr>
        <w:t>fiscus</w:t>
      </w:r>
      <w:proofErr w:type="spellEnd"/>
      <w:r w:rsidR="002719D0" w:rsidRPr="002719D0">
        <w:rPr>
          <w:rFonts w:ascii="Times New Roman" w:hAnsi="Times New Roman" w:cs="Times New Roman"/>
          <w:sz w:val="24"/>
          <w:szCs w:val="24"/>
          <w:lang w:val="en-ZA"/>
        </w:rPr>
        <w:t xml:space="preserve"> amounted to R3.9 billion in 2019/20; which was a significant increase from the R329 million declared in the 2018/19 financial year. The largest amount of unspent funds was for the Department of Higher Education and Training (R897.1 million) due to slow capital expenditure, and the Department of Health (R346 million) as a result of slow expenditure on the National Health Insurance (NHI) Indirect Grant. The Commission expressed concern</w:t>
      </w:r>
      <w:r w:rsidR="00ED2C80">
        <w:rPr>
          <w:rFonts w:ascii="Times New Roman" w:hAnsi="Times New Roman" w:cs="Times New Roman"/>
          <w:sz w:val="24"/>
          <w:szCs w:val="24"/>
          <w:lang w:val="en-ZA"/>
        </w:rPr>
        <w:t>s</w:t>
      </w:r>
      <w:r w:rsidR="002719D0" w:rsidRPr="002719D0">
        <w:rPr>
          <w:rFonts w:ascii="Times New Roman" w:hAnsi="Times New Roman" w:cs="Times New Roman"/>
          <w:sz w:val="24"/>
          <w:szCs w:val="24"/>
          <w:lang w:val="en-ZA"/>
        </w:rPr>
        <w:t xml:space="preserve"> over the unspent funds on these programmes, given their critical role in addressing shortfalls at institutions of higher learning as well as the imminent health reforms through the NHI</w:t>
      </w:r>
      <w:r w:rsidR="00ED2C80">
        <w:rPr>
          <w:rFonts w:ascii="Times New Roman" w:hAnsi="Times New Roman" w:cs="Times New Roman"/>
          <w:sz w:val="24"/>
          <w:szCs w:val="24"/>
          <w:lang w:val="en-ZA"/>
        </w:rPr>
        <w:t xml:space="preserve"> programme implementation</w:t>
      </w:r>
      <w:r w:rsidR="002719D0" w:rsidRPr="002719D0">
        <w:rPr>
          <w:rFonts w:ascii="Times New Roman" w:hAnsi="Times New Roman" w:cs="Times New Roman"/>
          <w:sz w:val="24"/>
          <w:szCs w:val="24"/>
          <w:lang w:val="en-ZA"/>
        </w:rPr>
        <w:t>.</w:t>
      </w:r>
    </w:p>
    <w:p w14:paraId="4ED20245" w14:textId="77777777" w:rsidR="002719D0" w:rsidRDefault="002719D0" w:rsidP="002719D0">
      <w:pPr>
        <w:spacing w:after="0" w:line="360" w:lineRule="auto"/>
        <w:jc w:val="both"/>
        <w:rPr>
          <w:rFonts w:ascii="Times New Roman" w:hAnsi="Times New Roman" w:cs="Times New Roman"/>
          <w:sz w:val="24"/>
          <w:szCs w:val="24"/>
          <w:lang w:val="en-ZA"/>
        </w:rPr>
      </w:pPr>
    </w:p>
    <w:p w14:paraId="55BE6938" w14:textId="27EE97E4" w:rsidR="00801A1B" w:rsidRDefault="002719D0" w:rsidP="002719D0">
      <w:pPr>
        <w:spacing w:after="0" w:line="360" w:lineRule="auto"/>
        <w:jc w:val="both"/>
        <w:rPr>
          <w:rFonts w:ascii="Times New Roman" w:hAnsi="Times New Roman" w:cs="Times New Roman"/>
          <w:sz w:val="24"/>
          <w:szCs w:val="24"/>
          <w:lang w:val="en-ZA"/>
        </w:rPr>
      </w:pPr>
      <w:r w:rsidRPr="002719D0">
        <w:rPr>
          <w:rFonts w:ascii="Times New Roman" w:hAnsi="Times New Roman" w:cs="Times New Roman"/>
          <w:sz w:val="24"/>
          <w:szCs w:val="24"/>
          <w:lang w:val="en-ZA"/>
        </w:rPr>
        <w:t xml:space="preserve">Projected under-spending for national government was reportedly estimated </w:t>
      </w:r>
      <w:r w:rsidR="00ED2C80">
        <w:rPr>
          <w:rFonts w:ascii="Times New Roman" w:hAnsi="Times New Roman" w:cs="Times New Roman"/>
          <w:sz w:val="24"/>
          <w:szCs w:val="24"/>
          <w:lang w:val="en-ZA"/>
        </w:rPr>
        <w:t>at a</w:t>
      </w:r>
      <w:r w:rsidR="00ED2C80" w:rsidRPr="002719D0">
        <w:rPr>
          <w:rFonts w:ascii="Times New Roman" w:hAnsi="Times New Roman" w:cs="Times New Roman"/>
          <w:sz w:val="24"/>
          <w:szCs w:val="24"/>
          <w:lang w:val="en-ZA"/>
        </w:rPr>
        <w:t xml:space="preserve"> total</w:t>
      </w:r>
      <w:r w:rsidRPr="002719D0">
        <w:rPr>
          <w:rFonts w:ascii="Times New Roman" w:hAnsi="Times New Roman" w:cs="Times New Roman"/>
          <w:sz w:val="24"/>
          <w:szCs w:val="24"/>
          <w:lang w:val="en-ZA"/>
        </w:rPr>
        <w:t xml:space="preserve"> R1.183 billion in 2019/20, a decline compared to the R2.7 billion projected in 2018/19. The largest roll-overs </w:t>
      </w:r>
      <w:r w:rsidR="00ED2C80">
        <w:rPr>
          <w:rFonts w:ascii="Times New Roman" w:hAnsi="Times New Roman" w:cs="Times New Roman"/>
          <w:sz w:val="24"/>
          <w:szCs w:val="24"/>
          <w:lang w:val="en-ZA"/>
        </w:rPr>
        <w:t xml:space="preserve">funds </w:t>
      </w:r>
      <w:r w:rsidRPr="002719D0">
        <w:rPr>
          <w:rFonts w:ascii="Times New Roman" w:hAnsi="Times New Roman" w:cs="Times New Roman"/>
          <w:sz w:val="24"/>
          <w:szCs w:val="24"/>
          <w:lang w:val="en-ZA"/>
        </w:rPr>
        <w:t>were registered for the Department of Water and Sanitation (R241.9 million) and the Department of Health (R89.3 million), which was 96 per</w:t>
      </w:r>
      <w:r w:rsidR="00ED2C80">
        <w:rPr>
          <w:rFonts w:ascii="Times New Roman" w:hAnsi="Times New Roman" w:cs="Times New Roman"/>
          <w:sz w:val="24"/>
          <w:szCs w:val="24"/>
          <w:lang w:val="en-ZA"/>
        </w:rPr>
        <w:t xml:space="preserve"> </w:t>
      </w:r>
      <w:r w:rsidRPr="002719D0">
        <w:rPr>
          <w:rFonts w:ascii="Times New Roman" w:hAnsi="Times New Roman" w:cs="Times New Roman"/>
          <w:sz w:val="24"/>
          <w:szCs w:val="24"/>
          <w:lang w:val="en-ZA"/>
        </w:rPr>
        <w:t xml:space="preserve">cent of the total roll-overs of R344.9 million in 2019/20. The FFC reiterated the importance of departments using roll-overs as per Treasury Regulations section 6.4 to avoid </w:t>
      </w:r>
      <w:r w:rsidR="00ED2C80" w:rsidRPr="002719D0">
        <w:rPr>
          <w:rFonts w:ascii="Times New Roman" w:hAnsi="Times New Roman" w:cs="Times New Roman"/>
          <w:sz w:val="24"/>
          <w:szCs w:val="24"/>
          <w:lang w:val="en-ZA"/>
        </w:rPr>
        <w:t xml:space="preserve">fruitless </w:t>
      </w:r>
      <w:r w:rsidRPr="002719D0">
        <w:rPr>
          <w:rFonts w:ascii="Times New Roman" w:hAnsi="Times New Roman" w:cs="Times New Roman"/>
          <w:sz w:val="24"/>
          <w:szCs w:val="24"/>
          <w:lang w:val="en-ZA"/>
        </w:rPr>
        <w:t xml:space="preserve">and </w:t>
      </w:r>
      <w:r w:rsidR="00ED2C80" w:rsidRPr="002719D0">
        <w:rPr>
          <w:rFonts w:ascii="Times New Roman" w:hAnsi="Times New Roman" w:cs="Times New Roman"/>
          <w:sz w:val="24"/>
          <w:szCs w:val="24"/>
          <w:lang w:val="en-ZA"/>
        </w:rPr>
        <w:t>wasteful</w:t>
      </w:r>
      <w:r w:rsidR="00ED2C80" w:rsidRPr="002719D0" w:rsidDel="00ED2C80">
        <w:rPr>
          <w:rFonts w:ascii="Times New Roman" w:hAnsi="Times New Roman" w:cs="Times New Roman"/>
          <w:sz w:val="24"/>
          <w:szCs w:val="24"/>
          <w:lang w:val="en-ZA"/>
        </w:rPr>
        <w:t xml:space="preserve"> </w:t>
      </w:r>
      <w:r w:rsidRPr="002719D0">
        <w:rPr>
          <w:rFonts w:ascii="Times New Roman" w:hAnsi="Times New Roman" w:cs="Times New Roman"/>
          <w:sz w:val="24"/>
          <w:szCs w:val="24"/>
          <w:lang w:val="en-ZA"/>
        </w:rPr>
        <w:t>expenditure.</w:t>
      </w:r>
    </w:p>
    <w:p w14:paraId="38A1D808" w14:textId="77777777" w:rsidR="002C2C8D" w:rsidRPr="002719D0" w:rsidRDefault="002C2C8D" w:rsidP="002719D0">
      <w:pPr>
        <w:spacing w:after="0" w:line="360" w:lineRule="auto"/>
        <w:jc w:val="both"/>
        <w:rPr>
          <w:rFonts w:ascii="Times New Roman" w:hAnsi="Times New Roman" w:cs="Times New Roman"/>
          <w:sz w:val="24"/>
          <w:szCs w:val="24"/>
          <w:lang w:val="en-ZA"/>
        </w:rPr>
      </w:pPr>
    </w:p>
    <w:p w14:paraId="397BBC16" w14:textId="0312B9FB" w:rsidR="002719D0" w:rsidRPr="00113680" w:rsidRDefault="002719D0" w:rsidP="002719D0">
      <w:pPr>
        <w:spacing w:after="0" w:line="360" w:lineRule="auto"/>
        <w:jc w:val="both"/>
        <w:rPr>
          <w:rFonts w:ascii="Times New Roman" w:hAnsi="Times New Roman" w:cs="Times New Roman"/>
          <w:b/>
          <w:sz w:val="24"/>
          <w:szCs w:val="24"/>
          <w:lang w:val="en-ZA"/>
        </w:rPr>
      </w:pPr>
      <w:r>
        <w:rPr>
          <w:rFonts w:ascii="Times New Roman" w:hAnsi="Times New Roman" w:cs="Times New Roman"/>
          <w:b/>
          <w:sz w:val="24"/>
          <w:szCs w:val="24"/>
          <w:lang w:val="en-ZA"/>
        </w:rPr>
        <w:t>7.2.</w:t>
      </w:r>
      <w:r>
        <w:rPr>
          <w:rFonts w:ascii="Times New Roman" w:hAnsi="Times New Roman" w:cs="Times New Roman"/>
          <w:b/>
          <w:sz w:val="24"/>
          <w:szCs w:val="24"/>
          <w:lang w:val="en-ZA"/>
        </w:rPr>
        <w:tab/>
      </w:r>
      <w:r w:rsidRPr="002719D0">
        <w:rPr>
          <w:rFonts w:ascii="Times New Roman" w:hAnsi="Times New Roman" w:cs="Times New Roman"/>
          <w:b/>
          <w:sz w:val="24"/>
          <w:szCs w:val="24"/>
          <w:lang w:val="en-ZA"/>
        </w:rPr>
        <w:t>Organisation Undoing Tax Abuse</w:t>
      </w:r>
    </w:p>
    <w:p w14:paraId="543FCAD3" w14:textId="001E2CB9" w:rsidR="002719D0" w:rsidRPr="002719D0" w:rsidRDefault="002719D0" w:rsidP="002719D0">
      <w:pPr>
        <w:spacing w:after="0" w:line="360" w:lineRule="auto"/>
        <w:jc w:val="both"/>
        <w:rPr>
          <w:rFonts w:ascii="Times New Roman" w:hAnsi="Times New Roman" w:cs="Times New Roman"/>
          <w:sz w:val="24"/>
          <w:szCs w:val="24"/>
          <w:lang w:val="en-ZA"/>
        </w:rPr>
      </w:pPr>
      <w:r w:rsidRPr="002719D0">
        <w:rPr>
          <w:rFonts w:ascii="Times New Roman" w:hAnsi="Times New Roman" w:cs="Times New Roman"/>
          <w:sz w:val="24"/>
          <w:szCs w:val="24"/>
          <w:lang w:val="en-ZA"/>
        </w:rPr>
        <w:t xml:space="preserve">The Organisation Undoing Tax Abuse (OUTA) submitted that the amendment of the Division of Revenue act was a fundamentally stagnant budgeting process that largely excludes the ordinary </w:t>
      </w:r>
      <w:r w:rsidRPr="002719D0">
        <w:rPr>
          <w:rFonts w:ascii="Times New Roman" w:hAnsi="Times New Roman" w:cs="Times New Roman"/>
          <w:sz w:val="24"/>
          <w:szCs w:val="24"/>
          <w:lang w:val="en-ZA"/>
        </w:rPr>
        <w:lastRenderedPageBreak/>
        <w:t xml:space="preserve">citizens. OUTA submitted that budgets and expenditure needed to be more heavily scrutinised by Parliament. In terms of public participation, OUTA suggested that the budgeting processes in Parliament needed to prioritise constituency demands over political expediency. It further asked that Parliament make public access to the budgeting process easier through producing searchable PDFs, collation of budget documents on National Treasury’s website, and summaries of key budget documents, particularly in different languages. OUTA recommended that the budget cycle in the Executive be harmonised with the Parliamentary calendar to ensure that meaningful public participation in expenditure decisions is facilitated timeously. </w:t>
      </w:r>
    </w:p>
    <w:p w14:paraId="2E54D626" w14:textId="77777777" w:rsidR="002719D0" w:rsidRPr="002719D0" w:rsidRDefault="002719D0" w:rsidP="002719D0">
      <w:pPr>
        <w:spacing w:after="0" w:line="360" w:lineRule="auto"/>
        <w:jc w:val="both"/>
        <w:rPr>
          <w:rFonts w:ascii="Times New Roman" w:hAnsi="Times New Roman" w:cs="Times New Roman"/>
          <w:sz w:val="24"/>
          <w:szCs w:val="24"/>
          <w:lang w:val="en-ZA"/>
        </w:rPr>
      </w:pPr>
    </w:p>
    <w:p w14:paraId="07A82CF3" w14:textId="1B2D1CA1" w:rsidR="002719D0" w:rsidRPr="002719D0" w:rsidRDefault="002719D0" w:rsidP="002719D0">
      <w:pPr>
        <w:spacing w:after="0" w:line="360" w:lineRule="auto"/>
        <w:jc w:val="both"/>
        <w:rPr>
          <w:rFonts w:ascii="Times New Roman" w:hAnsi="Times New Roman" w:cs="Times New Roman"/>
          <w:sz w:val="24"/>
          <w:szCs w:val="24"/>
          <w:lang w:val="en-ZA"/>
        </w:rPr>
      </w:pPr>
      <w:r w:rsidRPr="002719D0">
        <w:rPr>
          <w:rFonts w:ascii="Times New Roman" w:hAnsi="Times New Roman" w:cs="Times New Roman"/>
          <w:sz w:val="24"/>
          <w:szCs w:val="24"/>
          <w:lang w:val="en-ZA"/>
        </w:rPr>
        <w:t xml:space="preserve">OUTA submitted that the precarious state of local government was </w:t>
      </w:r>
      <w:r w:rsidR="008E5FBF" w:rsidRPr="002719D0">
        <w:rPr>
          <w:rFonts w:ascii="Times New Roman" w:hAnsi="Times New Roman" w:cs="Times New Roman"/>
          <w:sz w:val="24"/>
          <w:szCs w:val="24"/>
          <w:lang w:val="en-ZA"/>
        </w:rPr>
        <w:t>an obstacle</w:t>
      </w:r>
      <w:r w:rsidRPr="002719D0">
        <w:rPr>
          <w:rFonts w:ascii="Times New Roman" w:hAnsi="Times New Roman" w:cs="Times New Roman"/>
          <w:sz w:val="24"/>
          <w:szCs w:val="24"/>
          <w:lang w:val="en-ZA"/>
        </w:rPr>
        <w:t xml:space="preserve"> to attracting foreign </w:t>
      </w:r>
      <w:r w:rsidR="008E5FBF">
        <w:rPr>
          <w:rFonts w:ascii="Times New Roman" w:hAnsi="Times New Roman" w:cs="Times New Roman"/>
          <w:sz w:val="24"/>
          <w:szCs w:val="24"/>
          <w:lang w:val="en-ZA"/>
        </w:rPr>
        <w:t xml:space="preserve">direct </w:t>
      </w:r>
      <w:r w:rsidRPr="002719D0">
        <w:rPr>
          <w:rFonts w:ascii="Times New Roman" w:hAnsi="Times New Roman" w:cs="Times New Roman"/>
          <w:sz w:val="24"/>
          <w:szCs w:val="24"/>
          <w:lang w:val="en-ZA"/>
        </w:rPr>
        <w:t xml:space="preserve">investment and stated that there was an urgent need reassess the local government business model as the present one has failed. It further alluded to the fiscal pressures facing municipalities and submitted that municipal funding was based on population statistics with migration not being sufficiently taken into account. It recommended that National Treasury should revisit the intergovernmental fiscal relations </w:t>
      </w:r>
      <w:r w:rsidR="00133EC7">
        <w:rPr>
          <w:rFonts w:ascii="Times New Roman" w:hAnsi="Times New Roman" w:cs="Times New Roman"/>
          <w:sz w:val="24"/>
          <w:szCs w:val="24"/>
          <w:lang w:val="en-ZA"/>
        </w:rPr>
        <w:t>framework, which</w:t>
      </w:r>
      <w:r w:rsidRPr="002719D0">
        <w:rPr>
          <w:rFonts w:ascii="Times New Roman" w:hAnsi="Times New Roman" w:cs="Times New Roman"/>
          <w:sz w:val="24"/>
          <w:szCs w:val="24"/>
          <w:lang w:val="en-ZA"/>
        </w:rPr>
        <w:t xml:space="preserve"> have culminated in mutually destructive operations of municipalities and Eskom. </w:t>
      </w:r>
    </w:p>
    <w:p w14:paraId="59D12225" w14:textId="77777777" w:rsidR="002719D0" w:rsidRPr="002719D0" w:rsidRDefault="002719D0" w:rsidP="002719D0">
      <w:pPr>
        <w:spacing w:after="0" w:line="360" w:lineRule="auto"/>
        <w:jc w:val="both"/>
        <w:rPr>
          <w:rFonts w:ascii="Times New Roman" w:hAnsi="Times New Roman" w:cs="Times New Roman"/>
          <w:sz w:val="24"/>
          <w:szCs w:val="24"/>
          <w:lang w:val="en-ZA"/>
        </w:rPr>
      </w:pPr>
    </w:p>
    <w:p w14:paraId="4717C44D" w14:textId="0A43803F" w:rsidR="002719D0" w:rsidRPr="002719D0" w:rsidRDefault="00133EC7" w:rsidP="002719D0">
      <w:pPr>
        <w:spacing w:after="0"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R</w:t>
      </w:r>
      <w:r w:rsidR="002719D0" w:rsidRPr="002719D0">
        <w:rPr>
          <w:rFonts w:ascii="Times New Roman" w:hAnsi="Times New Roman" w:cs="Times New Roman"/>
          <w:sz w:val="24"/>
          <w:szCs w:val="24"/>
          <w:lang w:val="en-ZA"/>
        </w:rPr>
        <w:t>egard</w:t>
      </w:r>
      <w:r>
        <w:rPr>
          <w:rFonts w:ascii="Times New Roman" w:hAnsi="Times New Roman" w:cs="Times New Roman"/>
          <w:sz w:val="24"/>
          <w:szCs w:val="24"/>
          <w:lang w:val="en-ZA"/>
        </w:rPr>
        <w:t>ing</w:t>
      </w:r>
      <w:r w:rsidR="002719D0" w:rsidRPr="002719D0">
        <w:rPr>
          <w:rFonts w:ascii="Times New Roman" w:hAnsi="Times New Roman" w:cs="Times New Roman"/>
          <w:sz w:val="24"/>
          <w:szCs w:val="24"/>
          <w:lang w:val="en-ZA"/>
        </w:rPr>
        <w:t xml:space="preserve"> the equitable share determinations for municipalities, OUTA recommended the withholding of the equitable share tranches due to be transferred on 2 December 2019 to municipalities which are heavily indebted to Eskom and/or water boards or who have failed to honour payment agreements on those debts. It also recommended that the withholding of aforementioned tranches to municipalities which passed unfunded budgets for the 2019/20 financial year and have not rectified these in line with National Treasury’s instructions. </w:t>
      </w:r>
    </w:p>
    <w:p w14:paraId="75D29629" w14:textId="77777777" w:rsidR="002719D0" w:rsidRPr="002719D0" w:rsidRDefault="002719D0" w:rsidP="002719D0">
      <w:pPr>
        <w:spacing w:after="0" w:line="360" w:lineRule="auto"/>
        <w:jc w:val="both"/>
        <w:rPr>
          <w:rFonts w:ascii="Times New Roman" w:hAnsi="Times New Roman" w:cs="Times New Roman"/>
          <w:sz w:val="24"/>
          <w:szCs w:val="24"/>
          <w:lang w:val="en-ZA"/>
        </w:rPr>
      </w:pPr>
    </w:p>
    <w:p w14:paraId="2AD79B15" w14:textId="77777777" w:rsidR="002719D0" w:rsidRPr="002719D0" w:rsidRDefault="002719D0" w:rsidP="002719D0">
      <w:pPr>
        <w:spacing w:after="0" w:line="360" w:lineRule="auto"/>
        <w:jc w:val="both"/>
        <w:rPr>
          <w:rFonts w:ascii="Times New Roman" w:hAnsi="Times New Roman" w:cs="Times New Roman"/>
          <w:sz w:val="24"/>
          <w:szCs w:val="24"/>
          <w:lang w:val="en-ZA"/>
        </w:rPr>
      </w:pPr>
      <w:r w:rsidRPr="002719D0">
        <w:rPr>
          <w:rFonts w:ascii="Times New Roman" w:hAnsi="Times New Roman" w:cs="Times New Roman"/>
          <w:sz w:val="24"/>
          <w:szCs w:val="24"/>
          <w:lang w:val="en-ZA"/>
        </w:rPr>
        <w:t xml:space="preserve">In terms of Conditional Grants, OUTA suggested that the Integrated National Electrification Programme Grants (Municipal and Eskom) be reassessed, with consideration being given to withholding grants from municipalities which are in default to Eskom, particularly those which failed to sign debt agreements or to adhere to those agreements. </w:t>
      </w:r>
    </w:p>
    <w:p w14:paraId="2C653598" w14:textId="77777777" w:rsidR="002719D0" w:rsidRPr="002719D0" w:rsidRDefault="002719D0" w:rsidP="002719D0">
      <w:pPr>
        <w:spacing w:after="0" w:line="360" w:lineRule="auto"/>
        <w:jc w:val="both"/>
        <w:rPr>
          <w:rFonts w:ascii="Times New Roman" w:hAnsi="Times New Roman" w:cs="Times New Roman"/>
          <w:sz w:val="24"/>
          <w:szCs w:val="24"/>
          <w:lang w:val="en-ZA"/>
        </w:rPr>
      </w:pPr>
    </w:p>
    <w:p w14:paraId="41C5CE34" w14:textId="20AF8D71" w:rsidR="002719D0" w:rsidRPr="002719D0" w:rsidRDefault="002719D0" w:rsidP="002719D0">
      <w:pPr>
        <w:spacing w:after="0" w:line="360" w:lineRule="auto"/>
        <w:jc w:val="both"/>
        <w:rPr>
          <w:rFonts w:ascii="Times New Roman" w:hAnsi="Times New Roman" w:cs="Times New Roman"/>
          <w:sz w:val="24"/>
          <w:szCs w:val="24"/>
          <w:lang w:val="en-ZA"/>
        </w:rPr>
      </w:pPr>
      <w:r w:rsidRPr="002719D0">
        <w:rPr>
          <w:rFonts w:ascii="Times New Roman" w:hAnsi="Times New Roman" w:cs="Times New Roman"/>
          <w:sz w:val="24"/>
          <w:szCs w:val="24"/>
          <w:lang w:val="en-ZA"/>
        </w:rPr>
        <w:t xml:space="preserve">OUTA also submitted that the funding allocated to the Vaal River System for emergency pollution remediation intervention in the Emfuleni Local Municipality was incoherent. Whilst the South African National Defence Force estimated the cost for the aforementioned at about R1 billion, the R241.9 million allocated in the form of a grant to </w:t>
      </w:r>
      <w:r w:rsidR="00630717" w:rsidRPr="002719D0">
        <w:rPr>
          <w:rFonts w:ascii="Times New Roman" w:hAnsi="Times New Roman" w:cs="Times New Roman"/>
          <w:sz w:val="24"/>
          <w:szCs w:val="24"/>
          <w:lang w:val="en-ZA"/>
        </w:rPr>
        <w:t>Emfuleni</w:t>
      </w:r>
      <w:r w:rsidRPr="002719D0">
        <w:rPr>
          <w:rFonts w:ascii="Times New Roman" w:hAnsi="Times New Roman" w:cs="Times New Roman"/>
          <w:sz w:val="24"/>
          <w:szCs w:val="24"/>
          <w:lang w:val="en-ZA"/>
        </w:rPr>
        <w:t xml:space="preserve"> has effectively not been spent and will be rolled over. </w:t>
      </w:r>
    </w:p>
    <w:p w14:paraId="5C846D64" w14:textId="77777777" w:rsidR="002719D0" w:rsidRPr="002719D0" w:rsidRDefault="002719D0" w:rsidP="002719D0">
      <w:pPr>
        <w:spacing w:after="0" w:line="360" w:lineRule="auto"/>
        <w:jc w:val="both"/>
        <w:rPr>
          <w:rFonts w:ascii="Times New Roman" w:hAnsi="Times New Roman" w:cs="Times New Roman"/>
          <w:sz w:val="24"/>
          <w:szCs w:val="24"/>
          <w:lang w:val="en-ZA"/>
        </w:rPr>
      </w:pPr>
    </w:p>
    <w:p w14:paraId="5F6580A0" w14:textId="51AF9DEA" w:rsidR="002719D0" w:rsidRPr="002719D0" w:rsidRDefault="000E3A58" w:rsidP="002719D0">
      <w:pPr>
        <w:spacing w:after="0"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R</w:t>
      </w:r>
      <w:r w:rsidRPr="002719D0">
        <w:rPr>
          <w:rFonts w:ascii="Times New Roman" w:hAnsi="Times New Roman" w:cs="Times New Roman"/>
          <w:sz w:val="24"/>
          <w:szCs w:val="24"/>
          <w:lang w:val="en-ZA"/>
        </w:rPr>
        <w:t>egard</w:t>
      </w:r>
      <w:r>
        <w:rPr>
          <w:rFonts w:ascii="Times New Roman" w:hAnsi="Times New Roman" w:cs="Times New Roman"/>
          <w:sz w:val="24"/>
          <w:szCs w:val="24"/>
          <w:lang w:val="en-ZA"/>
        </w:rPr>
        <w:t>ing</w:t>
      </w:r>
      <w:r w:rsidRPr="002719D0">
        <w:rPr>
          <w:rFonts w:ascii="Times New Roman" w:hAnsi="Times New Roman" w:cs="Times New Roman"/>
          <w:sz w:val="24"/>
          <w:szCs w:val="24"/>
          <w:lang w:val="en-ZA"/>
        </w:rPr>
        <w:t xml:space="preserve"> the</w:t>
      </w:r>
      <w:r w:rsidR="002719D0" w:rsidRPr="002719D0">
        <w:rPr>
          <w:rFonts w:ascii="Times New Roman" w:hAnsi="Times New Roman" w:cs="Times New Roman"/>
          <w:sz w:val="24"/>
          <w:szCs w:val="24"/>
          <w:lang w:val="en-ZA"/>
        </w:rPr>
        <w:t xml:space="preserve"> NHI, OUTA submitted that it was in full support of the goal of universal health coverage as this will help make section 27 of Constitution a reality</w:t>
      </w:r>
      <w:r w:rsidR="002719D0">
        <w:rPr>
          <w:rFonts w:ascii="Times New Roman" w:hAnsi="Times New Roman" w:cs="Times New Roman"/>
          <w:sz w:val="24"/>
          <w:szCs w:val="24"/>
          <w:lang w:val="en-ZA"/>
        </w:rPr>
        <w:t xml:space="preserve"> for South African citizens</w:t>
      </w:r>
      <w:r w:rsidR="002719D0" w:rsidRPr="002719D0">
        <w:rPr>
          <w:rFonts w:ascii="Times New Roman" w:hAnsi="Times New Roman" w:cs="Times New Roman"/>
          <w:sz w:val="24"/>
          <w:szCs w:val="24"/>
          <w:lang w:val="en-ZA"/>
        </w:rPr>
        <w:t xml:space="preserve">. It however expressed concerns about the inadequate fiscal planning relating to the NHI as well as the question regarding its affordability as stated in the 2019 MTBPS. </w:t>
      </w:r>
    </w:p>
    <w:p w14:paraId="54045829" w14:textId="77777777" w:rsidR="002719D0" w:rsidRPr="002719D0" w:rsidRDefault="002719D0" w:rsidP="002719D0">
      <w:pPr>
        <w:spacing w:after="0" w:line="360" w:lineRule="auto"/>
        <w:jc w:val="both"/>
        <w:rPr>
          <w:rFonts w:ascii="Times New Roman" w:hAnsi="Times New Roman" w:cs="Times New Roman"/>
          <w:sz w:val="24"/>
          <w:szCs w:val="24"/>
          <w:lang w:val="en-ZA"/>
        </w:rPr>
      </w:pPr>
    </w:p>
    <w:p w14:paraId="45B6F529" w14:textId="69219F4D" w:rsidR="00F8136B" w:rsidRPr="002719D0" w:rsidRDefault="002719D0" w:rsidP="002719D0">
      <w:pPr>
        <w:spacing w:after="0" w:line="360" w:lineRule="auto"/>
        <w:jc w:val="both"/>
        <w:rPr>
          <w:rFonts w:ascii="Times New Roman" w:hAnsi="Times New Roman" w:cs="Times New Roman"/>
          <w:sz w:val="24"/>
          <w:szCs w:val="24"/>
          <w:lang w:val="en-ZA"/>
        </w:rPr>
      </w:pPr>
      <w:r w:rsidRPr="002719D0">
        <w:rPr>
          <w:rFonts w:ascii="Times New Roman" w:hAnsi="Times New Roman" w:cs="Times New Roman"/>
          <w:sz w:val="24"/>
          <w:szCs w:val="24"/>
          <w:lang w:val="en-ZA"/>
        </w:rPr>
        <w:t xml:space="preserve">OUTA recommended that the Schools Infrastructure Backlogs Grant not be reduced as this funding was essential to supporting some of the most vulnerable and voiceless people in South Africa. It further recommended that government seek expert advice from health experts before reducing the Human Papillomavirus Vaccine Grant as this reduction </w:t>
      </w:r>
      <w:r w:rsidR="00630717">
        <w:rPr>
          <w:rFonts w:ascii="Times New Roman" w:hAnsi="Times New Roman" w:cs="Times New Roman"/>
          <w:sz w:val="24"/>
          <w:szCs w:val="24"/>
          <w:lang w:val="en-ZA"/>
        </w:rPr>
        <w:t>will affect</w:t>
      </w:r>
      <w:r w:rsidRPr="002719D0">
        <w:rPr>
          <w:rFonts w:ascii="Times New Roman" w:hAnsi="Times New Roman" w:cs="Times New Roman"/>
          <w:sz w:val="24"/>
          <w:szCs w:val="24"/>
          <w:lang w:val="en-ZA"/>
        </w:rPr>
        <w:t xml:space="preserve"> some of the most vulnerable and voiceless</w:t>
      </w:r>
      <w:r w:rsidR="00630717">
        <w:rPr>
          <w:rFonts w:ascii="Times New Roman" w:hAnsi="Times New Roman" w:cs="Times New Roman"/>
          <w:sz w:val="24"/>
          <w:szCs w:val="24"/>
          <w:lang w:val="en-ZA"/>
        </w:rPr>
        <w:t xml:space="preserve"> section of the society</w:t>
      </w:r>
      <w:r w:rsidRPr="002719D0">
        <w:rPr>
          <w:rFonts w:ascii="Times New Roman" w:hAnsi="Times New Roman" w:cs="Times New Roman"/>
          <w:sz w:val="24"/>
          <w:szCs w:val="24"/>
          <w:lang w:val="en-ZA"/>
        </w:rPr>
        <w:t xml:space="preserve">. It further submitted that government needed to give assurance that limiting the vaccination to prevent cervical cancer to just one grade of school children will pose no significant risk in terms of prevention. </w:t>
      </w:r>
    </w:p>
    <w:p w14:paraId="4743BA0F" w14:textId="77777777" w:rsidR="002719D0" w:rsidRDefault="002719D0" w:rsidP="002719D0">
      <w:pPr>
        <w:spacing w:after="0" w:line="360" w:lineRule="auto"/>
        <w:jc w:val="both"/>
        <w:rPr>
          <w:rFonts w:ascii="Times New Roman" w:hAnsi="Times New Roman" w:cs="Times New Roman"/>
          <w:sz w:val="24"/>
          <w:szCs w:val="24"/>
          <w:lang w:val="en-ZA"/>
        </w:rPr>
      </w:pPr>
    </w:p>
    <w:p w14:paraId="7571A51B" w14:textId="25D3D4F4" w:rsidR="002719D0" w:rsidRPr="00113680" w:rsidRDefault="002719D0" w:rsidP="002719D0">
      <w:pPr>
        <w:spacing w:after="0" w:line="360" w:lineRule="auto"/>
        <w:jc w:val="both"/>
        <w:rPr>
          <w:rFonts w:ascii="Times New Roman" w:hAnsi="Times New Roman" w:cs="Times New Roman"/>
          <w:b/>
          <w:sz w:val="24"/>
          <w:szCs w:val="24"/>
          <w:lang w:val="en-ZA"/>
        </w:rPr>
      </w:pPr>
      <w:r w:rsidRPr="00FB5121">
        <w:rPr>
          <w:rFonts w:ascii="Times New Roman" w:hAnsi="Times New Roman" w:cs="Times New Roman"/>
          <w:b/>
          <w:sz w:val="24"/>
          <w:szCs w:val="24"/>
          <w:lang w:val="en-ZA"/>
        </w:rPr>
        <w:t>7.3.</w:t>
      </w:r>
      <w:r w:rsidRPr="00FB5121">
        <w:rPr>
          <w:rFonts w:ascii="Times New Roman" w:hAnsi="Times New Roman" w:cs="Times New Roman"/>
          <w:b/>
          <w:sz w:val="24"/>
          <w:szCs w:val="24"/>
          <w:lang w:val="en-ZA"/>
        </w:rPr>
        <w:tab/>
        <w:t xml:space="preserve">Equal Education </w:t>
      </w:r>
    </w:p>
    <w:p w14:paraId="11EC0985" w14:textId="49E92EE7" w:rsidR="00FB5121" w:rsidRPr="00FB5121" w:rsidRDefault="00FB5121" w:rsidP="00FB5121">
      <w:pPr>
        <w:spacing w:after="0" w:line="360" w:lineRule="auto"/>
        <w:jc w:val="both"/>
        <w:rPr>
          <w:rFonts w:ascii="Times New Roman" w:hAnsi="Times New Roman" w:cs="Times New Roman"/>
          <w:sz w:val="24"/>
          <w:szCs w:val="24"/>
          <w:lang w:val="en-ZA"/>
        </w:rPr>
      </w:pPr>
      <w:r w:rsidRPr="00FB5121">
        <w:rPr>
          <w:rFonts w:ascii="Times New Roman" w:hAnsi="Times New Roman" w:cs="Times New Roman"/>
          <w:sz w:val="24"/>
          <w:szCs w:val="24"/>
          <w:lang w:val="en-ZA"/>
        </w:rPr>
        <w:t>The focus of Equal Education submission was on the Basic Education sector. Equal Education (EE) submitted that if inflation was taken into account, the total basic education sectoral allocation was growing at an achingly slow pace, which would be 0.8</w:t>
      </w:r>
      <w:r w:rsidR="008277DB">
        <w:rPr>
          <w:rFonts w:ascii="Times New Roman" w:hAnsi="Times New Roman" w:cs="Times New Roman"/>
          <w:sz w:val="24"/>
          <w:szCs w:val="24"/>
          <w:lang w:val="en-ZA"/>
        </w:rPr>
        <w:t xml:space="preserve"> per cent</w:t>
      </w:r>
      <w:r w:rsidRPr="00FB5121">
        <w:rPr>
          <w:rFonts w:ascii="Times New Roman" w:hAnsi="Times New Roman" w:cs="Times New Roman"/>
          <w:sz w:val="24"/>
          <w:szCs w:val="24"/>
          <w:lang w:val="en-ZA"/>
        </w:rPr>
        <w:t xml:space="preserve"> real growth anticipated in 2020/21 financial year. EE added that based on current projections, R7 billion less was to be spent on education in the 2020/21 financial year </w:t>
      </w:r>
      <w:r w:rsidRPr="000E3A58">
        <w:rPr>
          <w:rFonts w:ascii="Times New Roman" w:hAnsi="Times New Roman" w:cs="Times New Roman"/>
          <w:sz w:val="24"/>
          <w:szCs w:val="24"/>
          <w:lang w:val="en-ZA"/>
        </w:rPr>
        <w:t>than their 2017 plans.</w:t>
      </w:r>
    </w:p>
    <w:p w14:paraId="20FC51CE" w14:textId="77777777" w:rsidR="00801A1B" w:rsidRDefault="00801A1B" w:rsidP="00FB5121">
      <w:pPr>
        <w:spacing w:after="0" w:line="360" w:lineRule="auto"/>
        <w:jc w:val="both"/>
        <w:rPr>
          <w:rFonts w:ascii="Times New Roman" w:hAnsi="Times New Roman" w:cs="Times New Roman"/>
          <w:sz w:val="24"/>
          <w:szCs w:val="24"/>
          <w:lang w:val="en-ZA"/>
        </w:rPr>
      </w:pPr>
    </w:p>
    <w:p w14:paraId="2735E5AC" w14:textId="3F39DD77" w:rsidR="00FB5121" w:rsidRPr="00FB5121" w:rsidRDefault="008277DB" w:rsidP="00FB5121">
      <w:pPr>
        <w:spacing w:after="0"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R</w:t>
      </w:r>
      <w:r w:rsidR="00FB5121" w:rsidRPr="00FB5121">
        <w:rPr>
          <w:rFonts w:ascii="Times New Roman" w:hAnsi="Times New Roman" w:cs="Times New Roman"/>
          <w:sz w:val="24"/>
          <w:szCs w:val="24"/>
          <w:lang w:val="en-ZA"/>
        </w:rPr>
        <w:t>egard</w:t>
      </w:r>
      <w:r>
        <w:rPr>
          <w:rFonts w:ascii="Times New Roman" w:hAnsi="Times New Roman" w:cs="Times New Roman"/>
          <w:sz w:val="24"/>
          <w:szCs w:val="24"/>
          <w:lang w:val="en-ZA"/>
        </w:rPr>
        <w:t>ing</w:t>
      </w:r>
      <w:r w:rsidR="00FB5121" w:rsidRPr="00FB5121">
        <w:rPr>
          <w:rFonts w:ascii="Times New Roman" w:hAnsi="Times New Roman" w:cs="Times New Roman"/>
          <w:sz w:val="24"/>
          <w:szCs w:val="24"/>
          <w:lang w:val="en-ZA"/>
        </w:rPr>
        <w:t xml:space="preserve"> conditional grants, EE submitted that they noted reductions in conditional grants such as the s</w:t>
      </w:r>
      <w:r w:rsidR="00FB5121" w:rsidRPr="00FB5121">
        <w:rPr>
          <w:rFonts w:ascii="Times New Roman" w:hAnsi="Times New Roman" w:cs="Times New Roman"/>
          <w:iCs/>
          <w:sz w:val="24"/>
          <w:szCs w:val="24"/>
          <w:lang w:val="en-ZA"/>
        </w:rPr>
        <w:t xml:space="preserve">chool infrastructure conditional grants. EE stated that </w:t>
      </w:r>
      <w:r w:rsidR="00FB5121" w:rsidRPr="008277DB">
        <w:rPr>
          <w:rFonts w:ascii="Times New Roman" w:hAnsi="Times New Roman" w:cs="Times New Roman"/>
          <w:iCs/>
          <w:sz w:val="24"/>
          <w:szCs w:val="24"/>
          <w:lang w:val="en-ZA"/>
        </w:rPr>
        <w:t>these</w:t>
      </w:r>
      <w:r w:rsidR="00FB5121" w:rsidRPr="000E3A58">
        <w:rPr>
          <w:rFonts w:ascii="Times New Roman" w:hAnsi="Times New Roman" w:cs="Times New Roman"/>
          <w:iCs/>
          <w:sz w:val="24"/>
          <w:szCs w:val="24"/>
          <w:lang w:val="en-ZA"/>
        </w:rPr>
        <w:t xml:space="preserve"> c</w:t>
      </w:r>
      <w:r w:rsidR="00FB5121" w:rsidRPr="00FB5121">
        <w:rPr>
          <w:rFonts w:ascii="Times New Roman" w:hAnsi="Times New Roman" w:cs="Times New Roman"/>
          <w:sz w:val="24"/>
          <w:szCs w:val="24"/>
          <w:lang w:val="en-ZA"/>
        </w:rPr>
        <w:t xml:space="preserve">uts to conditional grants remain a threat to eradicating school infrastructure backlogs. EE explained that allocations to almost all provinces declined for the upcoming financial year, including provinces with major infrastructure backlogs such as the Eastern Cape and Kwazulu-Natal. EE emphasised that the budget for the School Infrastructure Backlogs Grant (SIBG), which allocates money to the Department of Basic Education (DBE) to build schools, continued to decline in the 2020/21 financial year, with a projected R350 million </w:t>
      </w:r>
      <w:r>
        <w:rPr>
          <w:rFonts w:ascii="Times New Roman" w:hAnsi="Times New Roman" w:cs="Times New Roman"/>
          <w:sz w:val="24"/>
          <w:szCs w:val="24"/>
          <w:lang w:val="en-ZA"/>
        </w:rPr>
        <w:t xml:space="preserve">in </w:t>
      </w:r>
      <w:r w:rsidR="00FB5121" w:rsidRPr="00FB5121">
        <w:rPr>
          <w:rFonts w:ascii="Times New Roman" w:hAnsi="Times New Roman" w:cs="Times New Roman"/>
          <w:sz w:val="24"/>
          <w:szCs w:val="24"/>
          <w:lang w:val="en-ZA"/>
        </w:rPr>
        <w:t xml:space="preserve">real decrease. It further </w:t>
      </w:r>
      <w:r w:rsidRPr="00FB5121">
        <w:rPr>
          <w:rFonts w:ascii="Times New Roman" w:hAnsi="Times New Roman" w:cs="Times New Roman"/>
          <w:sz w:val="24"/>
          <w:szCs w:val="24"/>
          <w:lang w:val="en-ZA"/>
        </w:rPr>
        <w:t>highlighted</w:t>
      </w:r>
      <w:r>
        <w:rPr>
          <w:rFonts w:ascii="Times New Roman" w:hAnsi="Times New Roman" w:cs="Times New Roman"/>
          <w:sz w:val="24"/>
          <w:szCs w:val="24"/>
          <w:lang w:val="en-ZA"/>
        </w:rPr>
        <w:t xml:space="preserve"> </w:t>
      </w:r>
      <w:r w:rsidR="00FB5121" w:rsidRPr="00FB5121">
        <w:rPr>
          <w:rFonts w:ascii="Times New Roman" w:hAnsi="Times New Roman" w:cs="Times New Roman"/>
          <w:sz w:val="24"/>
          <w:szCs w:val="24"/>
          <w:lang w:val="en-ZA"/>
        </w:rPr>
        <w:t xml:space="preserve">the Bill cuts </w:t>
      </w:r>
      <w:r>
        <w:rPr>
          <w:rFonts w:ascii="Times New Roman" w:hAnsi="Times New Roman" w:cs="Times New Roman"/>
          <w:sz w:val="24"/>
          <w:szCs w:val="24"/>
          <w:lang w:val="en-ZA"/>
        </w:rPr>
        <w:t xml:space="preserve">amounting to </w:t>
      </w:r>
      <w:r w:rsidR="00FB5121" w:rsidRPr="00FB5121">
        <w:rPr>
          <w:rFonts w:ascii="Times New Roman" w:hAnsi="Times New Roman" w:cs="Times New Roman"/>
          <w:sz w:val="24"/>
          <w:szCs w:val="24"/>
          <w:lang w:val="en-ZA"/>
        </w:rPr>
        <w:t>R40 million from provinces due to the slow implementation of water and sanitation projects. EE added that a further R100 million was moved out of the national infrastructure budget as it was incorrectly classified in the 2019 Estimates of National Expenditure. These reductions follow a R7 billion cut from infrastructure grants in 2018.</w:t>
      </w:r>
    </w:p>
    <w:p w14:paraId="2FDF696A" w14:textId="77777777" w:rsidR="000E3A58" w:rsidRDefault="000E3A58" w:rsidP="00FB5121">
      <w:pPr>
        <w:spacing w:after="0" w:line="360" w:lineRule="auto"/>
        <w:jc w:val="both"/>
        <w:rPr>
          <w:rFonts w:ascii="Times New Roman" w:hAnsi="Times New Roman" w:cs="Times New Roman"/>
          <w:sz w:val="24"/>
          <w:szCs w:val="24"/>
          <w:lang w:val="en-ZA"/>
        </w:rPr>
      </w:pPr>
    </w:p>
    <w:p w14:paraId="59B8AD5B" w14:textId="4F028CC6" w:rsidR="00FB5121" w:rsidRPr="00FB5121" w:rsidRDefault="008277DB" w:rsidP="00FB5121">
      <w:pPr>
        <w:spacing w:after="0"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Regarding the</w:t>
      </w:r>
      <w:r w:rsidR="00FB5121" w:rsidRPr="00FB5121">
        <w:rPr>
          <w:rFonts w:ascii="Times New Roman" w:hAnsi="Times New Roman" w:cs="Times New Roman"/>
          <w:sz w:val="24"/>
          <w:szCs w:val="24"/>
          <w:lang w:val="en-ZA"/>
        </w:rPr>
        <w:t xml:space="preserve"> scholar transport, EE submitted that over the last few years, the Department of Basic Education and National Treasury have committed to introducing a conditional grant for scholar </w:t>
      </w:r>
      <w:r w:rsidR="00FB5121" w:rsidRPr="00FB5121">
        <w:rPr>
          <w:rFonts w:ascii="Times New Roman" w:hAnsi="Times New Roman" w:cs="Times New Roman"/>
          <w:sz w:val="24"/>
          <w:szCs w:val="24"/>
          <w:lang w:val="en-ZA"/>
        </w:rPr>
        <w:lastRenderedPageBreak/>
        <w:t>transport, but have thus far failed to deliver on this promise. EE explained that the finalisation of a Department of Planning Monitoring and Evaluation (DPME) evaluation on scholar transport provision was cited as one of the two main barriers to introducing a scholar transport conditional grant. According to EE submission, the evaluation was now completed, yet there was still no mention in budget documents and speeches of the introduction of such a grant.</w:t>
      </w:r>
    </w:p>
    <w:p w14:paraId="1CDF6CE7" w14:textId="77777777" w:rsidR="00FB5121" w:rsidRPr="00FB5121" w:rsidRDefault="00FB5121" w:rsidP="00FB5121">
      <w:pPr>
        <w:spacing w:after="0" w:line="360" w:lineRule="auto"/>
        <w:jc w:val="both"/>
        <w:rPr>
          <w:rFonts w:ascii="Times New Roman" w:hAnsi="Times New Roman" w:cs="Times New Roman"/>
          <w:sz w:val="24"/>
          <w:szCs w:val="24"/>
          <w:lang w:val="en-ZA"/>
        </w:rPr>
      </w:pPr>
    </w:p>
    <w:p w14:paraId="4261A286" w14:textId="74F28B47" w:rsidR="00FB5121" w:rsidRPr="00FB5121" w:rsidRDefault="000E3A58" w:rsidP="00FB5121">
      <w:pPr>
        <w:spacing w:after="0" w:line="360" w:lineRule="auto"/>
        <w:jc w:val="both"/>
        <w:rPr>
          <w:rFonts w:ascii="Times New Roman" w:hAnsi="Times New Roman" w:cs="Times New Roman"/>
          <w:bCs/>
          <w:sz w:val="24"/>
          <w:szCs w:val="24"/>
          <w:lang w:val="en-ZA"/>
        </w:rPr>
      </w:pPr>
      <w:r>
        <w:rPr>
          <w:rFonts w:ascii="Times New Roman" w:hAnsi="Times New Roman" w:cs="Times New Roman"/>
          <w:sz w:val="24"/>
          <w:szCs w:val="24"/>
          <w:lang w:val="en-ZA"/>
        </w:rPr>
        <w:t xml:space="preserve">In respect of </w:t>
      </w:r>
      <w:r w:rsidR="00FB5121" w:rsidRPr="00FB5121">
        <w:rPr>
          <w:rFonts w:ascii="Times New Roman" w:hAnsi="Times New Roman" w:cs="Times New Roman"/>
          <w:sz w:val="24"/>
          <w:szCs w:val="24"/>
          <w:lang w:val="en-ZA"/>
        </w:rPr>
        <w:t>the equitable share</w:t>
      </w:r>
      <w:r w:rsidR="008277DB">
        <w:rPr>
          <w:rFonts w:ascii="Times New Roman" w:hAnsi="Times New Roman" w:cs="Times New Roman"/>
          <w:sz w:val="24"/>
          <w:szCs w:val="24"/>
          <w:lang w:val="en-ZA"/>
        </w:rPr>
        <w:t xml:space="preserve"> allocation</w:t>
      </w:r>
      <w:r w:rsidR="00FB5121" w:rsidRPr="00FB5121">
        <w:rPr>
          <w:rFonts w:ascii="Times New Roman" w:hAnsi="Times New Roman" w:cs="Times New Roman"/>
          <w:sz w:val="24"/>
          <w:szCs w:val="24"/>
          <w:lang w:val="en-ZA"/>
        </w:rPr>
        <w:t>, EE submitted that in previous submissions to the Committee, they highlighted the problems with the equitable share (ES) formula. EE submitted that the current formula failed to cater for the higher costs of education provision in rural provinces as compared to urban areas. However, EE welcomed National Treasury’s intention to review the current equitable share formula even though they were still expecting time</w:t>
      </w:r>
      <w:r w:rsidR="008277DB">
        <w:rPr>
          <w:rFonts w:ascii="Times New Roman" w:hAnsi="Times New Roman" w:cs="Times New Roman"/>
          <w:sz w:val="24"/>
          <w:szCs w:val="24"/>
          <w:lang w:val="en-ZA"/>
        </w:rPr>
        <w:t>-</w:t>
      </w:r>
      <w:r w:rsidR="00FB5121" w:rsidRPr="00FB5121">
        <w:rPr>
          <w:rFonts w:ascii="Times New Roman" w:hAnsi="Times New Roman" w:cs="Times New Roman"/>
          <w:sz w:val="24"/>
          <w:szCs w:val="24"/>
          <w:lang w:val="en-ZA"/>
        </w:rPr>
        <w:t>frames for the review process to be made public. EE added that the information provided in various Division of Revenue Bill Explanatory Memorandums was vague, such that it was impossible to ascertain when the public can expect to interact with the process and to provide comments. EE claimed that it was unclear to what extent the education component of the ES formula was to be reviewed. EE added that the existing formula was not taking into account the factors contributing to the high cost of providing education in rural provinces when allocating funds for education.</w:t>
      </w:r>
    </w:p>
    <w:p w14:paraId="36A4C8E5" w14:textId="77777777" w:rsidR="00FB5121" w:rsidRPr="00FB5121" w:rsidRDefault="00FB5121" w:rsidP="00FB5121">
      <w:pPr>
        <w:spacing w:after="0" w:line="360" w:lineRule="auto"/>
        <w:jc w:val="both"/>
        <w:rPr>
          <w:rFonts w:ascii="Times New Roman" w:hAnsi="Times New Roman" w:cs="Times New Roman"/>
          <w:sz w:val="24"/>
          <w:szCs w:val="24"/>
          <w:lang w:val="en-ZA"/>
        </w:rPr>
      </w:pPr>
    </w:p>
    <w:p w14:paraId="6ABBC757" w14:textId="77777777" w:rsidR="00FB5121" w:rsidRPr="00FB5121" w:rsidRDefault="00FB5121" w:rsidP="00FB5121">
      <w:pPr>
        <w:spacing w:after="0" w:line="360" w:lineRule="auto"/>
        <w:jc w:val="both"/>
        <w:rPr>
          <w:rFonts w:ascii="Times New Roman" w:hAnsi="Times New Roman" w:cs="Times New Roman"/>
          <w:sz w:val="24"/>
          <w:szCs w:val="24"/>
          <w:lang w:val="en-ZA"/>
        </w:rPr>
      </w:pPr>
      <w:r w:rsidRPr="00FB5121">
        <w:rPr>
          <w:rFonts w:ascii="Times New Roman" w:hAnsi="Times New Roman" w:cs="Times New Roman"/>
          <w:sz w:val="24"/>
          <w:szCs w:val="24"/>
          <w:lang w:val="en-ZA"/>
        </w:rPr>
        <w:t xml:space="preserve">In conclusion, EE submitted the following recommendations on the Bill:  </w:t>
      </w:r>
    </w:p>
    <w:p w14:paraId="40DB3FC1" w14:textId="77777777" w:rsidR="00FB5121" w:rsidRPr="00FB5121" w:rsidRDefault="00FB5121" w:rsidP="00FB5121">
      <w:pPr>
        <w:spacing w:after="0" w:line="360" w:lineRule="auto"/>
        <w:jc w:val="both"/>
        <w:rPr>
          <w:rFonts w:ascii="Times New Roman" w:hAnsi="Times New Roman" w:cs="Times New Roman"/>
          <w:sz w:val="24"/>
          <w:szCs w:val="24"/>
          <w:lang w:val="en-ZA"/>
        </w:rPr>
      </w:pPr>
    </w:p>
    <w:p w14:paraId="36299F36" w14:textId="77777777" w:rsidR="00FB5121" w:rsidRPr="00FB5121" w:rsidRDefault="00FB5121" w:rsidP="00FB5121">
      <w:pPr>
        <w:numPr>
          <w:ilvl w:val="0"/>
          <w:numId w:val="27"/>
        </w:numPr>
        <w:spacing w:after="0" w:line="360" w:lineRule="auto"/>
        <w:jc w:val="both"/>
        <w:rPr>
          <w:rFonts w:ascii="Times New Roman" w:hAnsi="Times New Roman" w:cs="Times New Roman"/>
          <w:sz w:val="24"/>
          <w:szCs w:val="24"/>
          <w:lang w:val="en-ZA"/>
        </w:rPr>
      </w:pPr>
      <w:r w:rsidRPr="00FB5121">
        <w:rPr>
          <w:rFonts w:ascii="Times New Roman" w:hAnsi="Times New Roman" w:cs="Times New Roman"/>
          <w:sz w:val="24"/>
          <w:szCs w:val="24"/>
          <w:lang w:val="en-ZA"/>
        </w:rPr>
        <w:t xml:space="preserve">That drastic steps should be taken to ensure that bailouts for State Owned Entities cease to divert funds from critical social spending priorities such as basic education;  </w:t>
      </w:r>
    </w:p>
    <w:p w14:paraId="75CDBB1F" w14:textId="6ED716EF" w:rsidR="00FB5121" w:rsidRPr="00FB5121" w:rsidRDefault="00FB5121" w:rsidP="00FB5121">
      <w:pPr>
        <w:numPr>
          <w:ilvl w:val="0"/>
          <w:numId w:val="27"/>
        </w:numPr>
        <w:spacing w:after="0" w:line="360" w:lineRule="auto"/>
        <w:jc w:val="both"/>
        <w:rPr>
          <w:rFonts w:ascii="Times New Roman" w:hAnsi="Times New Roman" w:cs="Times New Roman"/>
          <w:sz w:val="24"/>
          <w:szCs w:val="24"/>
          <w:lang w:val="en-ZA"/>
        </w:rPr>
      </w:pPr>
      <w:r w:rsidRPr="00FB5121">
        <w:rPr>
          <w:rFonts w:ascii="Times New Roman" w:hAnsi="Times New Roman" w:cs="Times New Roman"/>
          <w:sz w:val="24"/>
          <w:szCs w:val="24"/>
          <w:lang w:val="en-ZA"/>
        </w:rPr>
        <w:t>That the Committee evaluate National Treasury’s Medium Term Expenditure Framework projections for basic education funding and insist that the basic education sectoral budget be considered for an annual real increase greater than 0.8</w:t>
      </w:r>
      <w:r w:rsidR="008277DB">
        <w:rPr>
          <w:rFonts w:ascii="Times New Roman" w:hAnsi="Times New Roman" w:cs="Times New Roman"/>
          <w:sz w:val="24"/>
          <w:szCs w:val="24"/>
          <w:lang w:val="en-ZA"/>
        </w:rPr>
        <w:t xml:space="preserve"> per cent</w:t>
      </w:r>
      <w:r w:rsidRPr="00FB5121">
        <w:rPr>
          <w:rFonts w:ascii="Times New Roman" w:hAnsi="Times New Roman" w:cs="Times New Roman"/>
          <w:sz w:val="24"/>
          <w:szCs w:val="24"/>
          <w:lang w:val="en-ZA"/>
        </w:rPr>
        <w:t xml:space="preserve"> in the 2020/21 financial year. </w:t>
      </w:r>
    </w:p>
    <w:p w14:paraId="709092AA" w14:textId="77777777" w:rsidR="00FB5121" w:rsidRPr="00FB5121" w:rsidRDefault="00FB5121" w:rsidP="00FB5121">
      <w:pPr>
        <w:numPr>
          <w:ilvl w:val="0"/>
          <w:numId w:val="27"/>
        </w:numPr>
        <w:spacing w:after="0" w:line="360" w:lineRule="auto"/>
        <w:jc w:val="both"/>
        <w:rPr>
          <w:rFonts w:ascii="Times New Roman" w:hAnsi="Times New Roman" w:cs="Times New Roman"/>
          <w:sz w:val="24"/>
          <w:szCs w:val="24"/>
          <w:lang w:val="en-ZA"/>
        </w:rPr>
      </w:pPr>
      <w:r w:rsidRPr="00FB5121">
        <w:rPr>
          <w:rFonts w:ascii="Times New Roman" w:hAnsi="Times New Roman" w:cs="Times New Roman"/>
          <w:sz w:val="24"/>
          <w:szCs w:val="24"/>
          <w:lang w:val="en-ZA"/>
        </w:rPr>
        <w:t xml:space="preserve">That the Committees halt the proposed decreases to all education conditional grants, particularly school infrastructure grants which were drastically reduced in 2018. </w:t>
      </w:r>
    </w:p>
    <w:p w14:paraId="75576E14" w14:textId="77777777" w:rsidR="00FB5121" w:rsidRPr="00FB5121" w:rsidRDefault="00FB5121" w:rsidP="00FB5121">
      <w:pPr>
        <w:numPr>
          <w:ilvl w:val="0"/>
          <w:numId w:val="27"/>
        </w:numPr>
        <w:spacing w:after="0" w:line="360" w:lineRule="auto"/>
        <w:jc w:val="both"/>
        <w:rPr>
          <w:rFonts w:ascii="Times New Roman" w:hAnsi="Times New Roman" w:cs="Times New Roman"/>
          <w:sz w:val="24"/>
          <w:szCs w:val="24"/>
          <w:lang w:val="en-ZA"/>
        </w:rPr>
      </w:pPr>
      <w:r w:rsidRPr="00FB5121">
        <w:rPr>
          <w:rFonts w:ascii="Times New Roman" w:hAnsi="Times New Roman" w:cs="Times New Roman"/>
          <w:sz w:val="24"/>
          <w:szCs w:val="24"/>
          <w:lang w:val="en-ZA"/>
        </w:rPr>
        <w:t xml:space="preserve">That the Committees ensure stakeholders such as National Treasury provide support to the Department of Basic Education (DBE) and Provincial Education Departments (PEDs) to strengthen their ability to efficiently spend allocated funds. EE said they recommend that the Committee request the DBE and PEDs to report on interventions to improve spending and delivery. </w:t>
      </w:r>
    </w:p>
    <w:p w14:paraId="3626EBE1" w14:textId="77777777" w:rsidR="00FB5121" w:rsidRPr="00FB5121" w:rsidRDefault="00FB5121" w:rsidP="00FB5121">
      <w:pPr>
        <w:numPr>
          <w:ilvl w:val="0"/>
          <w:numId w:val="27"/>
        </w:numPr>
        <w:spacing w:after="0" w:line="360" w:lineRule="auto"/>
        <w:jc w:val="both"/>
        <w:rPr>
          <w:rFonts w:ascii="Times New Roman" w:hAnsi="Times New Roman" w:cs="Times New Roman"/>
          <w:sz w:val="24"/>
          <w:szCs w:val="24"/>
          <w:lang w:val="en-ZA"/>
        </w:rPr>
      </w:pPr>
      <w:r w:rsidRPr="00FB5121">
        <w:rPr>
          <w:rFonts w:ascii="Times New Roman" w:hAnsi="Times New Roman" w:cs="Times New Roman"/>
          <w:sz w:val="24"/>
          <w:szCs w:val="24"/>
          <w:lang w:val="en-ZA"/>
        </w:rPr>
        <w:t xml:space="preserve">That the Committee should request National Treasury to strengthen oversight of conditional grants and intervene in provinces that are under-resourced or under-capacitated. </w:t>
      </w:r>
    </w:p>
    <w:p w14:paraId="0E33DEE6" w14:textId="77777777" w:rsidR="00FB5121" w:rsidRPr="00FB5121" w:rsidRDefault="00FB5121" w:rsidP="00FB5121">
      <w:pPr>
        <w:numPr>
          <w:ilvl w:val="0"/>
          <w:numId w:val="27"/>
        </w:numPr>
        <w:spacing w:after="0" w:line="360" w:lineRule="auto"/>
        <w:jc w:val="both"/>
        <w:rPr>
          <w:rFonts w:ascii="Times New Roman" w:hAnsi="Times New Roman" w:cs="Times New Roman"/>
          <w:sz w:val="24"/>
          <w:szCs w:val="24"/>
          <w:lang w:val="en-ZA"/>
        </w:rPr>
      </w:pPr>
      <w:r w:rsidRPr="00FB5121">
        <w:rPr>
          <w:rFonts w:ascii="Times New Roman" w:hAnsi="Times New Roman" w:cs="Times New Roman"/>
          <w:sz w:val="24"/>
          <w:szCs w:val="24"/>
          <w:lang w:val="en-ZA"/>
        </w:rPr>
        <w:lastRenderedPageBreak/>
        <w:t xml:space="preserve">That the Committees should call on National Treasury, the DBE and other relevant departments to urgently finalise the development of a conditional grant for scholar transport, which should be put into effect in the 2020/21 financial year. In addition, the Committee should follow-up on the status of the Evaluation Report conducted by the DPME on scholar transport. </w:t>
      </w:r>
    </w:p>
    <w:p w14:paraId="76FACDF5" w14:textId="59DF4576" w:rsidR="00FB5121" w:rsidRPr="00FB5121" w:rsidRDefault="00FB5121" w:rsidP="00FB5121">
      <w:pPr>
        <w:numPr>
          <w:ilvl w:val="0"/>
          <w:numId w:val="27"/>
        </w:numPr>
        <w:spacing w:after="0" w:line="360" w:lineRule="auto"/>
        <w:jc w:val="both"/>
        <w:rPr>
          <w:rFonts w:ascii="Times New Roman" w:hAnsi="Times New Roman" w:cs="Times New Roman"/>
          <w:sz w:val="24"/>
          <w:szCs w:val="24"/>
          <w:lang w:val="en-ZA"/>
        </w:rPr>
      </w:pPr>
      <w:r w:rsidRPr="00FB5121">
        <w:rPr>
          <w:rFonts w:ascii="Times New Roman" w:hAnsi="Times New Roman" w:cs="Times New Roman"/>
          <w:sz w:val="24"/>
          <w:szCs w:val="24"/>
          <w:lang w:val="en-ZA"/>
        </w:rPr>
        <w:t>That a progress update and timelines on the ES review process be made publicly available, as a matter of urgency, and that details of the proc</w:t>
      </w:r>
      <w:r>
        <w:rPr>
          <w:rFonts w:ascii="Times New Roman" w:hAnsi="Times New Roman" w:cs="Times New Roman"/>
          <w:sz w:val="24"/>
          <w:szCs w:val="24"/>
          <w:lang w:val="en-ZA"/>
        </w:rPr>
        <w:t>ess be included in the 2020 Division of Revenue Bill</w:t>
      </w:r>
      <w:r w:rsidRPr="00FB5121">
        <w:rPr>
          <w:rFonts w:ascii="Times New Roman" w:hAnsi="Times New Roman" w:cs="Times New Roman"/>
          <w:sz w:val="24"/>
          <w:szCs w:val="24"/>
          <w:lang w:val="en-ZA"/>
        </w:rPr>
        <w:t xml:space="preserve">. </w:t>
      </w:r>
    </w:p>
    <w:p w14:paraId="0EBC16E2" w14:textId="77777777" w:rsidR="00FB5121" w:rsidRPr="00FB5121" w:rsidRDefault="00FB5121" w:rsidP="00FB5121">
      <w:pPr>
        <w:numPr>
          <w:ilvl w:val="0"/>
          <w:numId w:val="27"/>
        </w:numPr>
        <w:spacing w:after="0" w:line="360" w:lineRule="auto"/>
        <w:jc w:val="both"/>
        <w:rPr>
          <w:rFonts w:ascii="Times New Roman" w:hAnsi="Times New Roman" w:cs="Times New Roman"/>
          <w:sz w:val="24"/>
          <w:szCs w:val="24"/>
          <w:lang w:val="en-ZA"/>
        </w:rPr>
      </w:pPr>
      <w:r w:rsidRPr="00FB5121">
        <w:rPr>
          <w:rFonts w:ascii="Times New Roman" w:hAnsi="Times New Roman" w:cs="Times New Roman"/>
          <w:sz w:val="24"/>
          <w:szCs w:val="24"/>
          <w:lang w:val="en-ZA"/>
        </w:rPr>
        <w:t xml:space="preserve">That further phases of the ES formula review take into account the factors contributing to the high cost of providing education in rural provinces </w:t>
      </w:r>
    </w:p>
    <w:p w14:paraId="5C4C506B" w14:textId="33D3BFB2" w:rsidR="002719D0" w:rsidRDefault="002719D0" w:rsidP="002719D0">
      <w:pPr>
        <w:spacing w:after="0" w:line="360" w:lineRule="auto"/>
        <w:jc w:val="both"/>
        <w:rPr>
          <w:rFonts w:ascii="Times New Roman" w:hAnsi="Times New Roman" w:cs="Times New Roman"/>
          <w:sz w:val="24"/>
          <w:szCs w:val="24"/>
          <w:lang w:val="en-ZA"/>
        </w:rPr>
      </w:pPr>
    </w:p>
    <w:p w14:paraId="56C40E3D" w14:textId="6DCF55B7" w:rsidR="00842C4D" w:rsidRPr="008B22E8" w:rsidRDefault="00842C4D" w:rsidP="00801A1B">
      <w:pPr>
        <w:pStyle w:val="ListParagraph"/>
        <w:numPr>
          <w:ilvl w:val="0"/>
          <w:numId w:val="19"/>
        </w:numPr>
        <w:spacing w:after="0" w:line="360" w:lineRule="auto"/>
        <w:ind w:hanging="720"/>
        <w:jc w:val="both"/>
        <w:rPr>
          <w:rFonts w:ascii="Times New Roman" w:hAnsi="Times New Roman" w:cs="Times New Roman"/>
          <w:b/>
          <w:sz w:val="24"/>
          <w:szCs w:val="24"/>
          <w:lang w:val="en-ZA"/>
        </w:rPr>
      </w:pPr>
      <w:r w:rsidRPr="008B22E8">
        <w:rPr>
          <w:rFonts w:ascii="Times New Roman" w:hAnsi="Times New Roman" w:cs="Times New Roman"/>
          <w:b/>
          <w:sz w:val="24"/>
          <w:szCs w:val="24"/>
          <w:lang w:val="en-ZA"/>
        </w:rPr>
        <w:t xml:space="preserve">Findings </w:t>
      </w:r>
    </w:p>
    <w:p w14:paraId="37BC2BFA" w14:textId="081ECFB6" w:rsidR="00181ECB" w:rsidRDefault="00181ECB" w:rsidP="00181ECB">
      <w:pPr>
        <w:spacing w:after="0" w:line="360" w:lineRule="auto"/>
        <w:jc w:val="both"/>
        <w:rPr>
          <w:rFonts w:ascii="Times New Roman" w:hAnsi="Times New Roman" w:cs="Times New Roman"/>
          <w:b/>
          <w:sz w:val="24"/>
          <w:szCs w:val="24"/>
          <w:lang w:val="en-ZA"/>
        </w:rPr>
      </w:pPr>
    </w:p>
    <w:p w14:paraId="296C7D5C" w14:textId="4C97B626" w:rsidR="006B7BA5" w:rsidRPr="006B7BA5" w:rsidRDefault="006B7BA5" w:rsidP="006B7BA5">
      <w:pPr>
        <w:spacing w:after="0" w:line="360" w:lineRule="auto"/>
        <w:jc w:val="both"/>
        <w:rPr>
          <w:rFonts w:ascii="Times New Roman" w:eastAsia="Times New Roman" w:hAnsi="Times New Roman" w:cs="Times New Roman"/>
          <w:color w:val="000000"/>
          <w:spacing w:val="6"/>
          <w:sz w:val="24"/>
          <w:szCs w:val="24"/>
          <w:lang w:val="en-ZA" w:eastAsia="en-GB"/>
        </w:rPr>
      </w:pPr>
      <w:r w:rsidRPr="006B7BA5">
        <w:rPr>
          <w:rFonts w:ascii="Times New Roman" w:eastAsia="Times New Roman" w:hAnsi="Times New Roman" w:cs="Times New Roman"/>
          <w:color w:val="000000"/>
          <w:spacing w:val="6"/>
          <w:sz w:val="24"/>
          <w:szCs w:val="24"/>
          <w:lang w:val="en-ZA" w:eastAsia="en-GB"/>
        </w:rPr>
        <w:t xml:space="preserve">The </w:t>
      </w:r>
      <w:r>
        <w:rPr>
          <w:rFonts w:ascii="Times New Roman" w:eastAsia="Times New Roman" w:hAnsi="Times New Roman" w:cs="Times New Roman"/>
          <w:color w:val="000000"/>
          <w:spacing w:val="6"/>
          <w:sz w:val="24"/>
          <w:szCs w:val="24"/>
          <w:lang w:val="en-ZA" w:eastAsia="en-GB"/>
        </w:rPr>
        <w:t xml:space="preserve">Standing </w:t>
      </w:r>
      <w:r w:rsidRPr="006B7BA5">
        <w:rPr>
          <w:rFonts w:ascii="Times New Roman" w:eastAsia="Times New Roman" w:hAnsi="Times New Roman" w:cs="Times New Roman"/>
          <w:color w:val="000000"/>
          <w:spacing w:val="6"/>
          <w:sz w:val="24"/>
          <w:szCs w:val="24"/>
          <w:lang w:val="en-ZA" w:eastAsia="en-GB"/>
        </w:rPr>
        <w:t xml:space="preserve">Committee </w:t>
      </w:r>
      <w:r>
        <w:rPr>
          <w:rFonts w:ascii="Times New Roman" w:eastAsia="Times New Roman" w:hAnsi="Times New Roman" w:cs="Times New Roman"/>
          <w:color w:val="000000"/>
          <w:spacing w:val="6"/>
          <w:sz w:val="24"/>
          <w:szCs w:val="24"/>
          <w:lang w:val="en-ZA" w:eastAsia="en-GB"/>
        </w:rPr>
        <w:t xml:space="preserve">on Appropriations </w:t>
      </w:r>
      <w:r w:rsidRPr="006B7BA5">
        <w:rPr>
          <w:rFonts w:ascii="Times New Roman" w:eastAsia="Times New Roman" w:hAnsi="Times New Roman" w:cs="Times New Roman"/>
          <w:color w:val="000000"/>
          <w:spacing w:val="6"/>
          <w:sz w:val="24"/>
          <w:szCs w:val="24"/>
          <w:lang w:val="en-ZA" w:eastAsia="en-GB"/>
        </w:rPr>
        <w:t xml:space="preserve">made the following findings during its deliberations with </w:t>
      </w:r>
      <w:r>
        <w:rPr>
          <w:rFonts w:ascii="Times New Roman" w:eastAsia="Times New Roman" w:hAnsi="Times New Roman" w:cs="Times New Roman"/>
          <w:color w:val="000000"/>
          <w:spacing w:val="6"/>
          <w:sz w:val="24"/>
          <w:szCs w:val="24"/>
          <w:lang w:val="en-ZA" w:eastAsia="en-GB"/>
        </w:rPr>
        <w:t>identified stakeholders</w:t>
      </w:r>
      <w:r w:rsidRPr="006B7BA5">
        <w:rPr>
          <w:rFonts w:ascii="Times New Roman" w:eastAsia="Times New Roman" w:hAnsi="Times New Roman" w:cs="Times New Roman"/>
          <w:color w:val="000000"/>
          <w:spacing w:val="6"/>
          <w:sz w:val="24"/>
          <w:szCs w:val="24"/>
          <w:lang w:val="en-ZA" w:eastAsia="en-GB"/>
        </w:rPr>
        <w:t xml:space="preserve"> on the </w:t>
      </w:r>
      <w:r>
        <w:rPr>
          <w:rFonts w:ascii="Times New Roman" w:eastAsia="Times New Roman" w:hAnsi="Times New Roman" w:cs="Times New Roman"/>
          <w:color w:val="000000"/>
          <w:spacing w:val="6"/>
          <w:sz w:val="24"/>
          <w:szCs w:val="24"/>
          <w:lang w:val="en-ZA" w:eastAsia="en-GB"/>
        </w:rPr>
        <w:t>201</w:t>
      </w:r>
      <w:r w:rsidR="00BF4F27">
        <w:rPr>
          <w:rFonts w:ascii="Times New Roman" w:eastAsia="Times New Roman" w:hAnsi="Times New Roman" w:cs="Times New Roman"/>
          <w:color w:val="000000"/>
          <w:spacing w:val="6"/>
          <w:sz w:val="24"/>
          <w:szCs w:val="24"/>
          <w:lang w:val="en-ZA" w:eastAsia="en-GB"/>
        </w:rPr>
        <w:t>9</w:t>
      </w:r>
      <w:r w:rsidRPr="006B7BA5">
        <w:rPr>
          <w:rFonts w:ascii="Times New Roman" w:eastAsia="Times New Roman" w:hAnsi="Times New Roman" w:cs="Times New Roman"/>
          <w:color w:val="000000"/>
          <w:spacing w:val="6"/>
          <w:sz w:val="24"/>
          <w:szCs w:val="24"/>
          <w:lang w:val="en-ZA" w:eastAsia="en-GB"/>
        </w:rPr>
        <w:t xml:space="preserve"> Division of Revenue Amendment Bill: </w:t>
      </w:r>
    </w:p>
    <w:p w14:paraId="0A60F9C5" w14:textId="371CE689" w:rsidR="00BF4F27" w:rsidRDefault="00BF4F27" w:rsidP="00BF4F27">
      <w:pPr>
        <w:spacing w:after="0" w:line="360" w:lineRule="auto"/>
        <w:jc w:val="both"/>
        <w:rPr>
          <w:rFonts w:ascii="Times New Roman" w:hAnsi="Times New Roman" w:cs="Times New Roman"/>
          <w:b/>
          <w:sz w:val="24"/>
          <w:szCs w:val="24"/>
          <w:lang w:val="en-ZA"/>
        </w:rPr>
      </w:pPr>
    </w:p>
    <w:p w14:paraId="6AC4F0E1" w14:textId="32BE5CDD" w:rsidR="00BF4F27" w:rsidRDefault="00BF4F27" w:rsidP="000E3A58">
      <w:pPr>
        <w:pStyle w:val="ListParagraph"/>
        <w:numPr>
          <w:ilvl w:val="1"/>
          <w:numId w:val="31"/>
        </w:numPr>
        <w:spacing w:after="0" w:line="360" w:lineRule="auto"/>
        <w:jc w:val="both"/>
        <w:rPr>
          <w:rFonts w:ascii="Times New Roman" w:hAnsi="Times New Roman" w:cs="Times New Roman"/>
          <w:sz w:val="24"/>
          <w:szCs w:val="24"/>
          <w:lang w:val="en-ZA"/>
        </w:rPr>
      </w:pPr>
      <w:r>
        <w:rPr>
          <w:rFonts w:ascii="Times New Roman" w:hAnsi="Times New Roman" w:cs="Times New Roman"/>
          <w:b/>
          <w:sz w:val="24"/>
          <w:szCs w:val="24"/>
          <w:lang w:val="en-ZA"/>
        </w:rPr>
        <w:t xml:space="preserve"> </w:t>
      </w:r>
      <w:r w:rsidRPr="000E3A58">
        <w:rPr>
          <w:rFonts w:ascii="Times New Roman" w:hAnsi="Times New Roman" w:cs="Times New Roman"/>
          <w:sz w:val="24"/>
          <w:szCs w:val="24"/>
          <w:lang w:val="en-ZA"/>
        </w:rPr>
        <w:t xml:space="preserve">The Committee welcomes the </w:t>
      </w:r>
      <w:r>
        <w:rPr>
          <w:rFonts w:ascii="Times New Roman" w:hAnsi="Times New Roman" w:cs="Times New Roman"/>
          <w:sz w:val="24"/>
          <w:szCs w:val="24"/>
          <w:lang w:val="en-ZA"/>
        </w:rPr>
        <w:t>additional allocation of R300 million</w:t>
      </w:r>
      <w:r w:rsidRPr="000E3A58">
        <w:rPr>
          <w:rFonts w:ascii="Times New Roman" w:hAnsi="Times New Roman" w:cs="Times New Roman"/>
          <w:sz w:val="24"/>
          <w:szCs w:val="24"/>
          <w:lang w:val="en-ZA"/>
        </w:rPr>
        <w:t xml:space="preserve"> to the Hum</w:t>
      </w:r>
      <w:r w:rsidRPr="00BF4F27">
        <w:rPr>
          <w:rFonts w:ascii="Times New Roman" w:hAnsi="Times New Roman" w:cs="Times New Roman"/>
          <w:sz w:val="24"/>
          <w:szCs w:val="24"/>
          <w:lang w:val="en-ZA"/>
        </w:rPr>
        <w:t>an Resources Capacitation Grant</w:t>
      </w:r>
      <w:r w:rsidRPr="000E3A58">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for </w:t>
      </w:r>
      <w:r w:rsidRPr="000E3A58">
        <w:rPr>
          <w:rFonts w:ascii="Times New Roman" w:hAnsi="Times New Roman" w:cs="Times New Roman"/>
          <w:sz w:val="24"/>
          <w:szCs w:val="24"/>
          <w:lang w:val="en-ZA"/>
        </w:rPr>
        <w:t>fund</w:t>
      </w:r>
      <w:r>
        <w:rPr>
          <w:rFonts w:ascii="Times New Roman" w:hAnsi="Times New Roman" w:cs="Times New Roman"/>
          <w:sz w:val="24"/>
          <w:szCs w:val="24"/>
          <w:lang w:val="en-ZA"/>
        </w:rPr>
        <w:t>ing</w:t>
      </w:r>
      <w:r w:rsidRPr="000E3A58">
        <w:rPr>
          <w:rFonts w:ascii="Times New Roman" w:hAnsi="Times New Roman" w:cs="Times New Roman"/>
          <w:sz w:val="24"/>
          <w:szCs w:val="24"/>
          <w:lang w:val="en-ZA"/>
        </w:rPr>
        <w:t xml:space="preserve"> the carry-through costs of post filled in the Health Sector in 2018/19 financial year</w:t>
      </w:r>
      <w:r>
        <w:rPr>
          <w:rFonts w:ascii="Times New Roman" w:hAnsi="Times New Roman" w:cs="Times New Roman"/>
          <w:sz w:val="24"/>
          <w:szCs w:val="24"/>
          <w:lang w:val="en-ZA"/>
        </w:rPr>
        <w:t xml:space="preserve">. Even though the committee views this a critical component, the Committee is concerned by the R145 million reduction in the NHI Indirect Grant component. The Committee is concerned because it views the NHI programme is a very important programme if government has to fully comply with Section 27 of the Constitution through the provision of universal access to health for all the citizens. </w:t>
      </w:r>
      <w:r w:rsidR="00DF26D6">
        <w:rPr>
          <w:rFonts w:ascii="Times New Roman" w:hAnsi="Times New Roman" w:cs="Times New Roman"/>
          <w:sz w:val="24"/>
          <w:szCs w:val="24"/>
          <w:lang w:val="en-ZA"/>
        </w:rPr>
        <w:t xml:space="preserve">The Committee also welcomes </w:t>
      </w:r>
      <w:r w:rsidR="00E11BA7">
        <w:rPr>
          <w:rFonts w:ascii="Times New Roman" w:hAnsi="Times New Roman" w:cs="Times New Roman"/>
          <w:sz w:val="24"/>
          <w:szCs w:val="24"/>
          <w:lang w:val="en-ZA"/>
        </w:rPr>
        <w:t xml:space="preserve">the </w:t>
      </w:r>
      <w:r w:rsidR="00DF26D6">
        <w:rPr>
          <w:rFonts w:ascii="Times New Roman" w:hAnsi="Times New Roman" w:cs="Times New Roman"/>
          <w:sz w:val="24"/>
          <w:szCs w:val="24"/>
          <w:lang w:val="en-ZA"/>
        </w:rPr>
        <w:t>R89.3 million roll</w:t>
      </w:r>
      <w:r w:rsidR="00E11BA7">
        <w:rPr>
          <w:rFonts w:ascii="Times New Roman" w:hAnsi="Times New Roman" w:cs="Times New Roman"/>
          <w:sz w:val="24"/>
          <w:szCs w:val="24"/>
          <w:lang w:val="en-ZA"/>
        </w:rPr>
        <w:t>-</w:t>
      </w:r>
      <w:r w:rsidR="00DF26D6">
        <w:rPr>
          <w:rFonts w:ascii="Times New Roman" w:hAnsi="Times New Roman" w:cs="Times New Roman"/>
          <w:sz w:val="24"/>
          <w:szCs w:val="24"/>
          <w:lang w:val="en-ZA"/>
        </w:rPr>
        <w:t xml:space="preserve">over </w:t>
      </w:r>
      <w:r w:rsidR="00E11BA7">
        <w:rPr>
          <w:rFonts w:ascii="Times New Roman" w:hAnsi="Times New Roman" w:cs="Times New Roman"/>
          <w:sz w:val="24"/>
          <w:szCs w:val="24"/>
          <w:lang w:val="en-ZA"/>
        </w:rPr>
        <w:t xml:space="preserve">of </w:t>
      </w:r>
      <w:r w:rsidR="00DF26D6">
        <w:rPr>
          <w:rFonts w:ascii="Times New Roman" w:hAnsi="Times New Roman" w:cs="Times New Roman"/>
          <w:sz w:val="24"/>
          <w:szCs w:val="24"/>
          <w:lang w:val="en-ZA"/>
        </w:rPr>
        <w:t>fund</w:t>
      </w:r>
      <w:r w:rsidR="00E11BA7">
        <w:rPr>
          <w:rFonts w:ascii="Times New Roman" w:hAnsi="Times New Roman" w:cs="Times New Roman"/>
          <w:sz w:val="24"/>
          <w:szCs w:val="24"/>
          <w:lang w:val="en-ZA"/>
        </w:rPr>
        <w:t>s</w:t>
      </w:r>
      <w:r w:rsidR="00DF26D6">
        <w:rPr>
          <w:rFonts w:ascii="Times New Roman" w:hAnsi="Times New Roman" w:cs="Times New Roman"/>
          <w:sz w:val="24"/>
          <w:szCs w:val="24"/>
          <w:lang w:val="en-ZA"/>
        </w:rPr>
        <w:t xml:space="preserve"> for </w:t>
      </w:r>
      <w:r w:rsidR="00DF26D6" w:rsidRPr="00DF26D6">
        <w:rPr>
          <w:rFonts w:ascii="Times New Roman" w:hAnsi="Times New Roman" w:cs="Times New Roman"/>
          <w:sz w:val="24"/>
          <w:szCs w:val="24"/>
          <w:lang w:val="en-ZA"/>
        </w:rPr>
        <w:t>the NHI Indirect Grant, in the Health Facility</w:t>
      </w:r>
      <w:r w:rsidR="00DF26D6">
        <w:rPr>
          <w:rFonts w:ascii="Times New Roman" w:hAnsi="Times New Roman" w:cs="Times New Roman"/>
          <w:sz w:val="24"/>
          <w:szCs w:val="24"/>
          <w:lang w:val="en-ZA"/>
        </w:rPr>
        <w:t xml:space="preserve"> </w:t>
      </w:r>
      <w:r w:rsidR="00DF26D6" w:rsidRPr="000E3A58">
        <w:rPr>
          <w:rFonts w:ascii="Times New Roman" w:hAnsi="Times New Roman" w:cs="Times New Roman"/>
          <w:sz w:val="24"/>
          <w:szCs w:val="24"/>
          <w:lang w:val="en-ZA"/>
        </w:rPr>
        <w:t>Revitalisation Component to pay for medical equipment procured for hospitals in Limpopo</w:t>
      </w:r>
      <w:r w:rsidR="00DF26D6">
        <w:rPr>
          <w:rFonts w:ascii="Times New Roman" w:hAnsi="Times New Roman" w:cs="Times New Roman"/>
          <w:sz w:val="24"/>
          <w:szCs w:val="24"/>
          <w:lang w:val="en-ZA"/>
        </w:rPr>
        <w:t xml:space="preserve">. </w:t>
      </w:r>
    </w:p>
    <w:p w14:paraId="33FC2C41" w14:textId="1309D5CC" w:rsidR="0006076B" w:rsidRDefault="00FB12C1" w:rsidP="000E3A58">
      <w:pPr>
        <w:pStyle w:val="ListParagraph"/>
        <w:numPr>
          <w:ilvl w:val="1"/>
          <w:numId w:val="31"/>
        </w:numPr>
        <w:spacing w:after="0" w:line="360" w:lineRule="auto"/>
        <w:jc w:val="both"/>
        <w:rPr>
          <w:rFonts w:ascii="Times New Roman" w:hAnsi="Times New Roman" w:cs="Times New Roman"/>
          <w:sz w:val="24"/>
          <w:szCs w:val="24"/>
          <w:lang w:val="en-ZA"/>
        </w:rPr>
      </w:pPr>
      <w:r w:rsidRPr="00FB12C1">
        <w:rPr>
          <w:rFonts w:ascii="Times New Roman" w:hAnsi="Times New Roman" w:cs="Times New Roman"/>
          <w:sz w:val="24"/>
          <w:szCs w:val="24"/>
          <w:lang w:val="en-ZA"/>
        </w:rPr>
        <w:t>The Committee welcome</w:t>
      </w:r>
      <w:r w:rsidR="000E3A58">
        <w:rPr>
          <w:rFonts w:ascii="Times New Roman" w:hAnsi="Times New Roman" w:cs="Times New Roman"/>
          <w:sz w:val="24"/>
          <w:szCs w:val="24"/>
          <w:lang w:val="en-ZA"/>
        </w:rPr>
        <w:t>s</w:t>
      </w:r>
      <w:r w:rsidRPr="00FB12C1">
        <w:rPr>
          <w:rFonts w:ascii="Times New Roman" w:hAnsi="Times New Roman" w:cs="Times New Roman"/>
          <w:sz w:val="24"/>
          <w:szCs w:val="24"/>
          <w:lang w:val="en-ZA"/>
        </w:rPr>
        <w:t xml:space="preserve"> the R310 million that will be reduced from indirect conditional grants to provinces due to projected underspending of R40 million from the School Infrastructure Backlogs Grant R230 million from the Personal Services Component of the NHI Indirect Grant; R10 million from the Non Personal Services Component of the NHI grant;</w:t>
      </w:r>
      <w:r>
        <w:rPr>
          <w:rFonts w:ascii="Times New Roman" w:hAnsi="Times New Roman" w:cs="Times New Roman"/>
          <w:sz w:val="24"/>
          <w:szCs w:val="24"/>
          <w:lang w:val="en-ZA"/>
        </w:rPr>
        <w:t xml:space="preserve"> </w:t>
      </w:r>
      <w:r w:rsidRPr="00FB12C1">
        <w:rPr>
          <w:rFonts w:ascii="Times New Roman" w:hAnsi="Times New Roman" w:cs="Times New Roman"/>
          <w:sz w:val="24"/>
          <w:szCs w:val="24"/>
          <w:lang w:val="en-ZA"/>
        </w:rPr>
        <w:t>R30 million from the Health Facility Revitalisation Component of the NHI Indirect Grant</w:t>
      </w:r>
      <w:r>
        <w:rPr>
          <w:rFonts w:ascii="Times New Roman" w:hAnsi="Times New Roman" w:cs="Times New Roman"/>
          <w:sz w:val="24"/>
          <w:szCs w:val="24"/>
          <w:lang w:val="en-ZA"/>
        </w:rPr>
        <w:t xml:space="preserve">. The Committee is of the view that funds must be shifted from underspending programme in order to allow these funds to be used in other key government programmes. However, the Committee is very concerned about the continued underspending </w:t>
      </w:r>
      <w:r w:rsidR="00E11BA7">
        <w:rPr>
          <w:rFonts w:ascii="Times New Roman" w:hAnsi="Times New Roman" w:cs="Times New Roman"/>
          <w:sz w:val="24"/>
          <w:szCs w:val="24"/>
          <w:lang w:val="en-ZA"/>
        </w:rPr>
        <w:t xml:space="preserve">on </w:t>
      </w:r>
      <w:r>
        <w:rPr>
          <w:rFonts w:ascii="Times New Roman" w:hAnsi="Times New Roman" w:cs="Times New Roman"/>
          <w:sz w:val="24"/>
          <w:szCs w:val="24"/>
          <w:lang w:val="en-ZA"/>
        </w:rPr>
        <w:t>infrastructure grant</w:t>
      </w:r>
      <w:r w:rsidR="004C5A20">
        <w:rPr>
          <w:rFonts w:ascii="Times New Roman" w:hAnsi="Times New Roman" w:cs="Times New Roman"/>
          <w:sz w:val="24"/>
          <w:szCs w:val="24"/>
          <w:lang w:val="en-ZA"/>
        </w:rPr>
        <w:t>s</w:t>
      </w:r>
      <w:r>
        <w:rPr>
          <w:rFonts w:ascii="Times New Roman" w:hAnsi="Times New Roman" w:cs="Times New Roman"/>
          <w:sz w:val="24"/>
          <w:szCs w:val="24"/>
          <w:lang w:val="en-ZA"/>
        </w:rPr>
        <w:t xml:space="preserve"> like the School Infrastructure </w:t>
      </w:r>
      <w:r w:rsidR="0006076B">
        <w:rPr>
          <w:rFonts w:ascii="Times New Roman" w:hAnsi="Times New Roman" w:cs="Times New Roman"/>
          <w:sz w:val="24"/>
          <w:szCs w:val="24"/>
          <w:lang w:val="en-ZA"/>
        </w:rPr>
        <w:t xml:space="preserve">Backlog </w:t>
      </w:r>
      <w:r>
        <w:rPr>
          <w:rFonts w:ascii="Times New Roman" w:hAnsi="Times New Roman" w:cs="Times New Roman"/>
          <w:sz w:val="24"/>
          <w:szCs w:val="24"/>
          <w:lang w:val="en-ZA"/>
        </w:rPr>
        <w:t>Grant</w:t>
      </w:r>
      <w:r w:rsidR="00E11BA7">
        <w:rPr>
          <w:rFonts w:ascii="Times New Roman" w:hAnsi="Times New Roman" w:cs="Times New Roman"/>
          <w:sz w:val="24"/>
          <w:szCs w:val="24"/>
          <w:lang w:val="en-ZA"/>
        </w:rPr>
        <w:t>,</w:t>
      </w:r>
      <w:r>
        <w:rPr>
          <w:rFonts w:ascii="Times New Roman" w:hAnsi="Times New Roman" w:cs="Times New Roman"/>
          <w:sz w:val="24"/>
          <w:szCs w:val="24"/>
          <w:lang w:val="en-ZA"/>
        </w:rPr>
        <w:t xml:space="preserve"> in particular when you consider the backlog that needs to be addressed in various school infrastructure project</w:t>
      </w:r>
      <w:r w:rsidR="00E11BA7">
        <w:rPr>
          <w:rFonts w:ascii="Times New Roman" w:hAnsi="Times New Roman" w:cs="Times New Roman"/>
          <w:sz w:val="24"/>
          <w:szCs w:val="24"/>
          <w:lang w:val="en-ZA"/>
        </w:rPr>
        <w:t>s</w:t>
      </w:r>
      <w:r>
        <w:rPr>
          <w:rFonts w:ascii="Times New Roman" w:hAnsi="Times New Roman" w:cs="Times New Roman"/>
          <w:sz w:val="24"/>
          <w:szCs w:val="24"/>
          <w:lang w:val="en-ZA"/>
        </w:rPr>
        <w:t xml:space="preserve">. The Committee is of the view that there is a </w:t>
      </w:r>
      <w:r>
        <w:rPr>
          <w:rFonts w:ascii="Times New Roman" w:hAnsi="Times New Roman" w:cs="Times New Roman"/>
          <w:sz w:val="24"/>
          <w:szCs w:val="24"/>
          <w:lang w:val="en-ZA"/>
        </w:rPr>
        <w:lastRenderedPageBreak/>
        <w:t xml:space="preserve">need for a collaborative effort </w:t>
      </w:r>
      <w:r w:rsidR="0006076B">
        <w:rPr>
          <w:rFonts w:ascii="Times New Roman" w:hAnsi="Times New Roman" w:cs="Times New Roman"/>
          <w:sz w:val="24"/>
          <w:szCs w:val="24"/>
          <w:lang w:val="en-ZA"/>
        </w:rPr>
        <w:t xml:space="preserve">by the national </w:t>
      </w:r>
      <w:r w:rsidR="00E11BA7">
        <w:rPr>
          <w:rFonts w:ascii="Times New Roman" w:hAnsi="Times New Roman" w:cs="Times New Roman"/>
          <w:sz w:val="24"/>
          <w:szCs w:val="24"/>
          <w:lang w:val="en-ZA"/>
        </w:rPr>
        <w:t>D</w:t>
      </w:r>
      <w:r w:rsidR="0006076B">
        <w:rPr>
          <w:rFonts w:ascii="Times New Roman" w:hAnsi="Times New Roman" w:cs="Times New Roman"/>
          <w:sz w:val="24"/>
          <w:szCs w:val="24"/>
          <w:lang w:val="en-ZA"/>
        </w:rPr>
        <w:t xml:space="preserve">epartment of </w:t>
      </w:r>
      <w:r w:rsidR="00E11BA7">
        <w:rPr>
          <w:rFonts w:ascii="Times New Roman" w:hAnsi="Times New Roman" w:cs="Times New Roman"/>
          <w:sz w:val="24"/>
          <w:szCs w:val="24"/>
          <w:lang w:val="en-ZA"/>
        </w:rPr>
        <w:t>B</w:t>
      </w:r>
      <w:r w:rsidR="0006076B">
        <w:rPr>
          <w:rFonts w:ascii="Times New Roman" w:hAnsi="Times New Roman" w:cs="Times New Roman"/>
          <w:sz w:val="24"/>
          <w:szCs w:val="24"/>
          <w:lang w:val="en-ZA"/>
        </w:rPr>
        <w:t xml:space="preserve">asic </w:t>
      </w:r>
      <w:r w:rsidR="00E11BA7">
        <w:rPr>
          <w:rFonts w:ascii="Times New Roman" w:hAnsi="Times New Roman" w:cs="Times New Roman"/>
          <w:sz w:val="24"/>
          <w:szCs w:val="24"/>
          <w:lang w:val="en-ZA"/>
        </w:rPr>
        <w:t>E</w:t>
      </w:r>
      <w:r w:rsidR="0006076B">
        <w:rPr>
          <w:rFonts w:ascii="Times New Roman" w:hAnsi="Times New Roman" w:cs="Times New Roman"/>
          <w:sz w:val="24"/>
          <w:szCs w:val="24"/>
          <w:lang w:val="en-ZA"/>
        </w:rPr>
        <w:t xml:space="preserve">ducation and provincial departments of </w:t>
      </w:r>
      <w:r w:rsidR="00E11BA7">
        <w:rPr>
          <w:rFonts w:ascii="Times New Roman" w:hAnsi="Times New Roman" w:cs="Times New Roman"/>
          <w:sz w:val="24"/>
          <w:szCs w:val="24"/>
          <w:lang w:val="en-ZA"/>
        </w:rPr>
        <w:t xml:space="preserve">basic </w:t>
      </w:r>
      <w:r w:rsidR="0006076B">
        <w:rPr>
          <w:rFonts w:ascii="Times New Roman" w:hAnsi="Times New Roman" w:cs="Times New Roman"/>
          <w:sz w:val="24"/>
          <w:szCs w:val="24"/>
          <w:lang w:val="en-ZA"/>
        </w:rPr>
        <w:t xml:space="preserve">education in order to ensure that school infrastructure grants </w:t>
      </w:r>
      <w:r w:rsidR="00E11BA7">
        <w:rPr>
          <w:rFonts w:ascii="Times New Roman" w:hAnsi="Times New Roman" w:cs="Times New Roman"/>
          <w:sz w:val="24"/>
          <w:szCs w:val="24"/>
          <w:lang w:val="en-ZA"/>
        </w:rPr>
        <w:t xml:space="preserve">are </w:t>
      </w:r>
      <w:r w:rsidR="0006076B">
        <w:rPr>
          <w:rFonts w:ascii="Times New Roman" w:hAnsi="Times New Roman" w:cs="Times New Roman"/>
          <w:sz w:val="24"/>
          <w:szCs w:val="24"/>
          <w:lang w:val="en-ZA"/>
        </w:rPr>
        <w:t>spent speedily in order to address the know</w:t>
      </w:r>
      <w:r w:rsidR="004C5A20">
        <w:rPr>
          <w:rFonts w:ascii="Times New Roman" w:hAnsi="Times New Roman" w:cs="Times New Roman"/>
          <w:sz w:val="24"/>
          <w:szCs w:val="24"/>
          <w:lang w:val="en-ZA"/>
        </w:rPr>
        <w:t>n</w:t>
      </w:r>
      <w:r w:rsidR="0006076B">
        <w:rPr>
          <w:rFonts w:ascii="Times New Roman" w:hAnsi="Times New Roman" w:cs="Times New Roman"/>
          <w:sz w:val="24"/>
          <w:szCs w:val="24"/>
          <w:lang w:val="en-ZA"/>
        </w:rPr>
        <w:t xml:space="preserve"> infrastructure backlogs in schools, with particular reference to school in rural areas. Furthermore, the Committee is concerned by the under expenditure in the School Infrastructure Backlog Grant because there seem to be no plans to improve expenditure in this grant and </w:t>
      </w:r>
      <w:r w:rsidR="00E11BA7">
        <w:rPr>
          <w:rFonts w:ascii="Times New Roman" w:hAnsi="Times New Roman" w:cs="Times New Roman"/>
          <w:sz w:val="24"/>
          <w:szCs w:val="24"/>
          <w:lang w:val="en-ZA"/>
        </w:rPr>
        <w:t xml:space="preserve">there have </w:t>
      </w:r>
      <w:r w:rsidR="0006076B">
        <w:rPr>
          <w:rFonts w:ascii="Times New Roman" w:hAnsi="Times New Roman" w:cs="Times New Roman"/>
          <w:sz w:val="24"/>
          <w:szCs w:val="24"/>
          <w:lang w:val="en-ZA"/>
        </w:rPr>
        <w:t>been reductions in the grant for the past three</w:t>
      </w:r>
      <w:r w:rsidR="00F67FB6">
        <w:rPr>
          <w:rFonts w:ascii="Times New Roman" w:hAnsi="Times New Roman" w:cs="Times New Roman"/>
          <w:sz w:val="24"/>
          <w:szCs w:val="24"/>
          <w:lang w:val="en-ZA"/>
        </w:rPr>
        <w:t xml:space="preserve"> financial years</w:t>
      </w:r>
      <w:r w:rsidR="0006076B">
        <w:rPr>
          <w:rFonts w:ascii="Times New Roman" w:hAnsi="Times New Roman" w:cs="Times New Roman"/>
          <w:sz w:val="24"/>
          <w:szCs w:val="24"/>
          <w:lang w:val="en-ZA"/>
        </w:rPr>
        <w:t xml:space="preserve"> which the Committee also raised its concern during those period. </w:t>
      </w:r>
      <w:r w:rsidR="002E1443">
        <w:rPr>
          <w:rFonts w:ascii="Times New Roman" w:hAnsi="Times New Roman" w:cs="Times New Roman"/>
          <w:sz w:val="24"/>
          <w:szCs w:val="24"/>
          <w:lang w:val="en-ZA"/>
        </w:rPr>
        <w:t xml:space="preserve">The Committee will continue to monitor the implementation of these grant by the department of basic education. </w:t>
      </w:r>
    </w:p>
    <w:p w14:paraId="375E78CB" w14:textId="3CA7AF62" w:rsidR="0006076B" w:rsidRDefault="008B47CA" w:rsidP="000E3A58">
      <w:pPr>
        <w:pStyle w:val="ListParagraph"/>
        <w:numPr>
          <w:ilvl w:val="1"/>
          <w:numId w:val="31"/>
        </w:numPr>
        <w:spacing w:after="0" w:line="360" w:lineRule="auto"/>
        <w:jc w:val="both"/>
        <w:rPr>
          <w:rFonts w:ascii="Times New Roman" w:hAnsi="Times New Roman" w:cs="Times New Roman"/>
          <w:sz w:val="24"/>
          <w:szCs w:val="24"/>
          <w:lang w:val="en-ZA"/>
        </w:rPr>
      </w:pPr>
      <w:r w:rsidRPr="008B47CA">
        <w:rPr>
          <w:rFonts w:ascii="Times New Roman" w:hAnsi="Times New Roman" w:cs="Times New Roman"/>
          <w:sz w:val="24"/>
          <w:szCs w:val="24"/>
          <w:lang w:val="en-ZA"/>
        </w:rPr>
        <w:t xml:space="preserve"> The Committee is concerned by the R445.5 million </w:t>
      </w:r>
      <w:r w:rsidR="002746C5" w:rsidRPr="008B47CA">
        <w:rPr>
          <w:rFonts w:ascii="Times New Roman" w:hAnsi="Times New Roman" w:cs="Times New Roman"/>
          <w:sz w:val="24"/>
          <w:szCs w:val="24"/>
          <w:lang w:val="en-ZA"/>
        </w:rPr>
        <w:t>reductions</w:t>
      </w:r>
      <w:r w:rsidRPr="008B47CA">
        <w:rPr>
          <w:rFonts w:ascii="Times New Roman" w:hAnsi="Times New Roman" w:cs="Times New Roman"/>
          <w:sz w:val="24"/>
          <w:szCs w:val="24"/>
          <w:lang w:val="en-ZA"/>
        </w:rPr>
        <w:t xml:space="preserve"> from </w:t>
      </w:r>
      <w:r>
        <w:rPr>
          <w:rFonts w:ascii="Times New Roman" w:hAnsi="Times New Roman" w:cs="Times New Roman"/>
          <w:sz w:val="24"/>
          <w:szCs w:val="24"/>
          <w:lang w:val="en-ZA"/>
        </w:rPr>
        <w:t xml:space="preserve">local government </w:t>
      </w:r>
      <w:r w:rsidRPr="008B47CA">
        <w:rPr>
          <w:rFonts w:ascii="Times New Roman" w:hAnsi="Times New Roman" w:cs="Times New Roman"/>
          <w:sz w:val="24"/>
          <w:szCs w:val="24"/>
          <w:lang w:val="en-ZA"/>
        </w:rPr>
        <w:t xml:space="preserve">indirect conditional grants due to projected underspending of </w:t>
      </w:r>
      <w:r w:rsidRPr="000E3A58">
        <w:rPr>
          <w:rFonts w:ascii="Times New Roman" w:hAnsi="Times New Roman" w:cs="Times New Roman"/>
          <w:sz w:val="24"/>
          <w:szCs w:val="24"/>
          <w:lang w:val="en-ZA"/>
        </w:rPr>
        <w:t>R185 million from the Regional Bulk Infrastructure Grant</w:t>
      </w:r>
      <w:r w:rsidRPr="008B47CA">
        <w:rPr>
          <w:rFonts w:ascii="Times New Roman" w:hAnsi="Times New Roman" w:cs="Times New Roman"/>
          <w:sz w:val="24"/>
          <w:szCs w:val="24"/>
          <w:lang w:val="en-ZA"/>
        </w:rPr>
        <w:t>;</w:t>
      </w:r>
      <w:r>
        <w:rPr>
          <w:rFonts w:ascii="Times New Roman" w:hAnsi="Times New Roman" w:cs="Times New Roman"/>
          <w:sz w:val="24"/>
          <w:szCs w:val="24"/>
          <w:lang w:val="en-ZA"/>
        </w:rPr>
        <w:t xml:space="preserve"> </w:t>
      </w:r>
      <w:r w:rsidRPr="008B47CA">
        <w:rPr>
          <w:rFonts w:ascii="Times New Roman" w:hAnsi="Times New Roman" w:cs="Times New Roman"/>
          <w:sz w:val="24"/>
          <w:szCs w:val="24"/>
          <w:lang w:val="en-ZA"/>
        </w:rPr>
        <w:t>R250</w:t>
      </w:r>
      <w:r>
        <w:rPr>
          <w:rFonts w:ascii="Times New Roman" w:hAnsi="Times New Roman" w:cs="Times New Roman"/>
          <w:sz w:val="24"/>
          <w:szCs w:val="24"/>
          <w:lang w:val="en-ZA"/>
        </w:rPr>
        <w:t xml:space="preserve"> million</w:t>
      </w:r>
      <w:r w:rsidRPr="008B47CA">
        <w:rPr>
          <w:rFonts w:ascii="Times New Roman" w:hAnsi="Times New Roman" w:cs="Times New Roman"/>
          <w:sz w:val="24"/>
          <w:szCs w:val="24"/>
          <w:lang w:val="en-ZA"/>
        </w:rPr>
        <w:t xml:space="preserve"> from the Integrated National Electrification Programme (Eskom) Grant</w:t>
      </w:r>
      <w:r>
        <w:rPr>
          <w:rFonts w:ascii="Times New Roman" w:hAnsi="Times New Roman" w:cs="Times New Roman"/>
          <w:sz w:val="24"/>
          <w:szCs w:val="24"/>
          <w:lang w:val="en-ZA"/>
        </w:rPr>
        <w:t xml:space="preserve"> and </w:t>
      </w:r>
      <w:r w:rsidRPr="000E3A58">
        <w:rPr>
          <w:rFonts w:ascii="Times New Roman" w:hAnsi="Times New Roman" w:cs="Times New Roman"/>
          <w:sz w:val="24"/>
          <w:szCs w:val="24"/>
          <w:lang w:val="en-ZA"/>
        </w:rPr>
        <w:t>R10.5</w:t>
      </w:r>
      <w:r>
        <w:rPr>
          <w:rFonts w:ascii="Times New Roman" w:hAnsi="Times New Roman" w:cs="Times New Roman"/>
          <w:sz w:val="24"/>
          <w:szCs w:val="24"/>
          <w:lang w:val="en-ZA"/>
        </w:rPr>
        <w:t xml:space="preserve"> million</w:t>
      </w:r>
      <w:r w:rsidRPr="000E3A58">
        <w:rPr>
          <w:rFonts w:ascii="Times New Roman" w:hAnsi="Times New Roman" w:cs="Times New Roman"/>
          <w:sz w:val="24"/>
          <w:szCs w:val="24"/>
          <w:lang w:val="en-ZA"/>
        </w:rPr>
        <w:t xml:space="preserve"> from the Municipal Systems Improvement Grant</w:t>
      </w:r>
      <w:r>
        <w:rPr>
          <w:rFonts w:ascii="Times New Roman" w:hAnsi="Times New Roman" w:cs="Times New Roman"/>
          <w:sz w:val="24"/>
          <w:szCs w:val="24"/>
          <w:lang w:val="en-ZA"/>
        </w:rPr>
        <w:t xml:space="preserve">. </w:t>
      </w:r>
      <w:r w:rsidR="00A94994">
        <w:rPr>
          <w:rFonts w:ascii="Times New Roman" w:hAnsi="Times New Roman" w:cs="Times New Roman"/>
          <w:sz w:val="24"/>
          <w:szCs w:val="24"/>
          <w:lang w:val="en-ZA"/>
        </w:rPr>
        <w:t>The Committee</w:t>
      </w:r>
      <w:r w:rsidR="00DD1E2C">
        <w:rPr>
          <w:rFonts w:ascii="Times New Roman" w:hAnsi="Times New Roman" w:cs="Times New Roman"/>
          <w:sz w:val="24"/>
          <w:szCs w:val="24"/>
          <w:lang w:val="en-ZA"/>
        </w:rPr>
        <w:t>s’ c</w:t>
      </w:r>
      <w:r w:rsidR="00A94994">
        <w:rPr>
          <w:rFonts w:ascii="Times New Roman" w:hAnsi="Times New Roman" w:cs="Times New Roman"/>
          <w:sz w:val="24"/>
          <w:szCs w:val="24"/>
          <w:lang w:val="en-ZA"/>
        </w:rPr>
        <w:t>oncerns ema</w:t>
      </w:r>
      <w:r w:rsidR="00DD1E2C">
        <w:rPr>
          <w:rFonts w:ascii="Times New Roman" w:hAnsi="Times New Roman" w:cs="Times New Roman"/>
          <w:sz w:val="24"/>
          <w:szCs w:val="24"/>
          <w:lang w:val="en-ZA"/>
        </w:rPr>
        <w:t xml:space="preserve">nate from the fact that local government is at the </w:t>
      </w:r>
      <w:r w:rsidR="008D134A">
        <w:rPr>
          <w:rFonts w:ascii="Times New Roman" w:hAnsi="Times New Roman" w:cs="Times New Roman"/>
          <w:sz w:val="24"/>
          <w:szCs w:val="24"/>
          <w:lang w:val="en-ZA"/>
        </w:rPr>
        <w:t>cold</w:t>
      </w:r>
      <w:r w:rsidR="00DE6962">
        <w:rPr>
          <w:rFonts w:ascii="Times New Roman" w:hAnsi="Times New Roman" w:cs="Times New Roman"/>
          <w:sz w:val="24"/>
          <w:szCs w:val="24"/>
          <w:lang w:val="en-ZA"/>
        </w:rPr>
        <w:t xml:space="preserve"> </w:t>
      </w:r>
      <w:r w:rsidR="00DD1E2C">
        <w:rPr>
          <w:rFonts w:ascii="Times New Roman" w:hAnsi="Times New Roman" w:cs="Times New Roman"/>
          <w:sz w:val="24"/>
          <w:szCs w:val="24"/>
          <w:lang w:val="en-ZA"/>
        </w:rPr>
        <w:t>face of service delivery and the continued reduction in these grant will surely have negative impact on the level of service delivery that these grant</w:t>
      </w:r>
      <w:r w:rsidR="00DE6962">
        <w:rPr>
          <w:rFonts w:ascii="Times New Roman" w:hAnsi="Times New Roman" w:cs="Times New Roman"/>
          <w:sz w:val="24"/>
          <w:szCs w:val="24"/>
          <w:lang w:val="en-ZA"/>
        </w:rPr>
        <w:t>s</w:t>
      </w:r>
      <w:r w:rsidR="00DD1E2C">
        <w:rPr>
          <w:rFonts w:ascii="Times New Roman" w:hAnsi="Times New Roman" w:cs="Times New Roman"/>
          <w:sz w:val="24"/>
          <w:szCs w:val="24"/>
          <w:lang w:val="en-ZA"/>
        </w:rPr>
        <w:t xml:space="preserve"> were expected to address. The Committee feels strongly that National Treasury </w:t>
      </w:r>
      <w:r w:rsidR="00200002">
        <w:rPr>
          <w:rFonts w:ascii="Times New Roman" w:hAnsi="Times New Roman" w:cs="Times New Roman"/>
          <w:sz w:val="24"/>
          <w:szCs w:val="24"/>
          <w:lang w:val="en-ZA"/>
        </w:rPr>
        <w:t xml:space="preserve">and </w:t>
      </w:r>
      <w:r w:rsidR="00DD1E2C">
        <w:rPr>
          <w:rFonts w:ascii="Times New Roman" w:hAnsi="Times New Roman" w:cs="Times New Roman"/>
          <w:sz w:val="24"/>
          <w:szCs w:val="24"/>
          <w:lang w:val="en-ZA"/>
        </w:rPr>
        <w:t>the Department of Co</w:t>
      </w:r>
      <w:r w:rsidR="00200002">
        <w:rPr>
          <w:rFonts w:ascii="Times New Roman" w:hAnsi="Times New Roman" w:cs="Times New Roman"/>
          <w:sz w:val="24"/>
          <w:szCs w:val="24"/>
          <w:lang w:val="en-ZA"/>
        </w:rPr>
        <w:t>o</w:t>
      </w:r>
      <w:r w:rsidR="00DD1E2C">
        <w:rPr>
          <w:rFonts w:ascii="Times New Roman" w:hAnsi="Times New Roman" w:cs="Times New Roman"/>
          <w:sz w:val="24"/>
          <w:szCs w:val="24"/>
          <w:lang w:val="en-ZA"/>
        </w:rPr>
        <w:t>p</w:t>
      </w:r>
      <w:r w:rsidR="00200002">
        <w:rPr>
          <w:rFonts w:ascii="Times New Roman" w:hAnsi="Times New Roman" w:cs="Times New Roman"/>
          <w:sz w:val="24"/>
          <w:szCs w:val="24"/>
          <w:lang w:val="en-ZA"/>
        </w:rPr>
        <w:t>e</w:t>
      </w:r>
      <w:r w:rsidR="00DD1E2C">
        <w:rPr>
          <w:rFonts w:ascii="Times New Roman" w:hAnsi="Times New Roman" w:cs="Times New Roman"/>
          <w:sz w:val="24"/>
          <w:szCs w:val="24"/>
          <w:lang w:val="en-ZA"/>
        </w:rPr>
        <w:t>rative Governance must collaboratively provide assistance to municipalities who are consistently underspending on these grants in order to improve service delivery. The Committee is of the view that instead of the continued budget cuts on these grants by National Treasury, National Treasury</w:t>
      </w:r>
      <w:r w:rsidR="00200002">
        <w:rPr>
          <w:rFonts w:ascii="Times New Roman" w:hAnsi="Times New Roman" w:cs="Times New Roman"/>
          <w:sz w:val="24"/>
          <w:szCs w:val="24"/>
          <w:lang w:val="en-ZA"/>
        </w:rPr>
        <w:t xml:space="preserve"> and the Department of Cooperative Governance</w:t>
      </w:r>
      <w:r w:rsidR="00DD1E2C">
        <w:rPr>
          <w:rFonts w:ascii="Times New Roman" w:hAnsi="Times New Roman" w:cs="Times New Roman"/>
          <w:sz w:val="24"/>
          <w:szCs w:val="24"/>
          <w:lang w:val="en-ZA"/>
        </w:rPr>
        <w:t xml:space="preserve"> should assist these municipalities in developing plans on how to improve spending in order to improve service delivery. </w:t>
      </w:r>
    </w:p>
    <w:p w14:paraId="2E809860" w14:textId="7684B9A8" w:rsidR="00DD1E2C" w:rsidRPr="00457E34" w:rsidRDefault="00DD1E2C" w:rsidP="000E3A58">
      <w:pPr>
        <w:pStyle w:val="ListParagraph"/>
        <w:numPr>
          <w:ilvl w:val="1"/>
          <w:numId w:val="31"/>
        </w:numPr>
        <w:spacing w:after="0" w:line="360" w:lineRule="auto"/>
        <w:jc w:val="both"/>
        <w:rPr>
          <w:rFonts w:ascii="Times New Roman" w:hAnsi="Times New Roman" w:cs="Times New Roman"/>
          <w:sz w:val="24"/>
          <w:szCs w:val="24"/>
          <w:lang w:val="en-ZA"/>
        </w:rPr>
      </w:pPr>
      <w:r w:rsidRPr="00DD1E2C">
        <w:rPr>
          <w:rFonts w:ascii="Times New Roman" w:hAnsi="Times New Roman" w:cs="Times New Roman"/>
          <w:sz w:val="24"/>
          <w:szCs w:val="24"/>
          <w:lang w:val="en-ZA"/>
        </w:rPr>
        <w:t xml:space="preserve"> </w:t>
      </w:r>
      <w:r w:rsidRPr="00457E34">
        <w:rPr>
          <w:rFonts w:ascii="Times New Roman" w:hAnsi="Times New Roman" w:cs="Times New Roman"/>
          <w:sz w:val="24"/>
          <w:szCs w:val="24"/>
          <w:lang w:val="en-ZA"/>
        </w:rPr>
        <w:t>The Committee welcome</w:t>
      </w:r>
      <w:r w:rsidR="00DA2CA7" w:rsidRPr="00457E34">
        <w:rPr>
          <w:rFonts w:ascii="Times New Roman" w:hAnsi="Times New Roman" w:cs="Times New Roman"/>
          <w:sz w:val="24"/>
          <w:szCs w:val="24"/>
          <w:lang w:val="en-ZA"/>
        </w:rPr>
        <w:t>s</w:t>
      </w:r>
      <w:r w:rsidRPr="00457E34">
        <w:rPr>
          <w:rFonts w:ascii="Times New Roman" w:hAnsi="Times New Roman" w:cs="Times New Roman"/>
          <w:sz w:val="24"/>
          <w:szCs w:val="24"/>
          <w:lang w:val="en-ZA"/>
        </w:rPr>
        <w:t xml:space="preserve"> the roll-over of funds for the indirect Regional Bulk Infrastructure Grant of R241.9 million which will be used for the emergency Vaal River System pollution remediation intervention. However, the Committee </w:t>
      </w:r>
      <w:r w:rsidR="008D134A" w:rsidRPr="00457E34">
        <w:rPr>
          <w:rFonts w:ascii="Times New Roman" w:hAnsi="Times New Roman" w:cs="Times New Roman"/>
          <w:sz w:val="24"/>
          <w:szCs w:val="24"/>
          <w:lang w:val="en-ZA"/>
        </w:rPr>
        <w:t xml:space="preserve">notes that Emfuleni Local Municipality is largely responsible </w:t>
      </w:r>
      <w:r w:rsidR="00F67FB6" w:rsidRPr="00457E34">
        <w:rPr>
          <w:rFonts w:ascii="Times New Roman" w:hAnsi="Times New Roman" w:cs="Times New Roman"/>
          <w:sz w:val="24"/>
          <w:szCs w:val="24"/>
          <w:lang w:val="en-ZA"/>
        </w:rPr>
        <w:t xml:space="preserve">for </w:t>
      </w:r>
      <w:r w:rsidR="008D134A" w:rsidRPr="00457E34">
        <w:rPr>
          <w:rFonts w:ascii="Times New Roman" w:hAnsi="Times New Roman" w:cs="Times New Roman"/>
          <w:sz w:val="24"/>
          <w:szCs w:val="24"/>
          <w:lang w:val="en-ZA"/>
        </w:rPr>
        <w:t xml:space="preserve">the pollution of the Vaal River, however the Committee </w:t>
      </w:r>
      <w:r w:rsidRPr="00457E34">
        <w:rPr>
          <w:rFonts w:ascii="Times New Roman" w:hAnsi="Times New Roman" w:cs="Times New Roman"/>
          <w:sz w:val="24"/>
          <w:szCs w:val="24"/>
          <w:lang w:val="en-ZA"/>
        </w:rPr>
        <w:t xml:space="preserve">is of the view </w:t>
      </w:r>
      <w:r w:rsidR="00457E34" w:rsidRPr="00457E34">
        <w:rPr>
          <w:rFonts w:ascii="Times New Roman" w:hAnsi="Times New Roman" w:cs="Times New Roman"/>
          <w:sz w:val="24"/>
          <w:szCs w:val="24"/>
          <w:lang w:val="en-ZA"/>
        </w:rPr>
        <w:t>that National</w:t>
      </w:r>
      <w:r w:rsidRPr="00457E34">
        <w:rPr>
          <w:rFonts w:ascii="Times New Roman" w:hAnsi="Times New Roman" w:cs="Times New Roman"/>
          <w:sz w:val="24"/>
          <w:szCs w:val="24"/>
          <w:lang w:val="en-ZA"/>
        </w:rPr>
        <w:t xml:space="preserve"> Treasury must </w:t>
      </w:r>
      <w:r w:rsidR="00DA2CA7" w:rsidRPr="00457E34">
        <w:rPr>
          <w:rFonts w:ascii="Times New Roman" w:hAnsi="Times New Roman" w:cs="Times New Roman"/>
          <w:sz w:val="24"/>
          <w:szCs w:val="24"/>
          <w:lang w:val="en-ZA"/>
        </w:rPr>
        <w:t>ensure</w:t>
      </w:r>
      <w:r w:rsidR="00F67FB6" w:rsidRPr="00457E34">
        <w:rPr>
          <w:rFonts w:ascii="Times New Roman" w:hAnsi="Times New Roman" w:cs="Times New Roman"/>
          <w:sz w:val="24"/>
          <w:szCs w:val="24"/>
          <w:lang w:val="en-ZA"/>
        </w:rPr>
        <w:t xml:space="preserve"> that </w:t>
      </w:r>
      <w:r w:rsidR="00457E34" w:rsidRPr="00457E34">
        <w:rPr>
          <w:rFonts w:ascii="Times New Roman" w:hAnsi="Times New Roman" w:cs="Times New Roman"/>
          <w:sz w:val="24"/>
          <w:szCs w:val="24"/>
          <w:lang w:val="en-ZA"/>
        </w:rPr>
        <w:t>other individuals</w:t>
      </w:r>
      <w:r w:rsidR="00F67FB6" w:rsidRPr="00457E34">
        <w:rPr>
          <w:rFonts w:ascii="Times New Roman" w:hAnsi="Times New Roman" w:cs="Times New Roman"/>
          <w:sz w:val="24"/>
          <w:szCs w:val="24"/>
          <w:lang w:val="en-ZA"/>
        </w:rPr>
        <w:t xml:space="preserve"> or organisations </w:t>
      </w:r>
      <w:r w:rsidR="00457E34" w:rsidRPr="00457E34">
        <w:rPr>
          <w:rFonts w:ascii="Times New Roman" w:hAnsi="Times New Roman" w:cs="Times New Roman"/>
          <w:sz w:val="24"/>
          <w:szCs w:val="24"/>
          <w:lang w:val="en-ZA"/>
        </w:rPr>
        <w:t>responsible are</w:t>
      </w:r>
      <w:r w:rsidR="00F67FB6" w:rsidRPr="00457E34">
        <w:rPr>
          <w:rFonts w:ascii="Times New Roman" w:hAnsi="Times New Roman" w:cs="Times New Roman"/>
          <w:sz w:val="24"/>
          <w:szCs w:val="24"/>
          <w:lang w:val="en-ZA"/>
        </w:rPr>
        <w:t xml:space="preserve"> also </w:t>
      </w:r>
      <w:r w:rsidRPr="00457E34">
        <w:rPr>
          <w:rFonts w:ascii="Times New Roman" w:hAnsi="Times New Roman" w:cs="Times New Roman"/>
          <w:sz w:val="24"/>
          <w:szCs w:val="24"/>
          <w:lang w:val="en-ZA"/>
        </w:rPr>
        <w:t>held accountable for these costs</w:t>
      </w:r>
      <w:r w:rsidR="004C5A20" w:rsidRPr="00457E34">
        <w:rPr>
          <w:rFonts w:ascii="Times New Roman" w:hAnsi="Times New Roman" w:cs="Times New Roman"/>
          <w:sz w:val="24"/>
          <w:szCs w:val="24"/>
          <w:lang w:val="en-ZA"/>
        </w:rPr>
        <w:t xml:space="preserve"> and face the legal consequences. </w:t>
      </w:r>
    </w:p>
    <w:p w14:paraId="1E7C337C" w14:textId="5119244F" w:rsidR="00FB12C1" w:rsidRPr="000E3A58" w:rsidRDefault="00FB12C1" w:rsidP="00DD1E2C">
      <w:pPr>
        <w:spacing w:after="0" w:line="360" w:lineRule="auto"/>
        <w:jc w:val="both"/>
        <w:rPr>
          <w:rFonts w:ascii="Times New Roman" w:hAnsi="Times New Roman" w:cs="Times New Roman"/>
          <w:sz w:val="24"/>
          <w:szCs w:val="24"/>
          <w:lang w:val="en-ZA"/>
        </w:rPr>
      </w:pPr>
    </w:p>
    <w:p w14:paraId="74EBFBF6" w14:textId="715D7C32" w:rsidR="00181ECB" w:rsidRPr="008B22E8" w:rsidRDefault="00181ECB" w:rsidP="00801A1B">
      <w:pPr>
        <w:pStyle w:val="ListParagraph"/>
        <w:numPr>
          <w:ilvl w:val="0"/>
          <w:numId w:val="19"/>
        </w:numPr>
        <w:spacing w:after="0" w:line="360" w:lineRule="auto"/>
        <w:ind w:hanging="720"/>
        <w:jc w:val="both"/>
        <w:rPr>
          <w:rFonts w:ascii="Times New Roman" w:hAnsi="Times New Roman" w:cs="Times New Roman"/>
          <w:b/>
          <w:sz w:val="24"/>
          <w:szCs w:val="24"/>
          <w:lang w:val="en-ZA"/>
        </w:rPr>
      </w:pPr>
      <w:r w:rsidRPr="008B22E8">
        <w:rPr>
          <w:rFonts w:ascii="Times New Roman" w:hAnsi="Times New Roman" w:cs="Times New Roman"/>
          <w:b/>
          <w:sz w:val="24"/>
          <w:szCs w:val="24"/>
          <w:lang w:val="en-ZA"/>
        </w:rPr>
        <w:t xml:space="preserve">Recommendations </w:t>
      </w:r>
    </w:p>
    <w:p w14:paraId="4DD2B019" w14:textId="77777777" w:rsidR="006B7BA5" w:rsidRDefault="006B7BA5" w:rsidP="006B7BA5">
      <w:pPr>
        <w:spacing w:after="0" w:line="360" w:lineRule="auto"/>
        <w:jc w:val="both"/>
        <w:rPr>
          <w:rFonts w:ascii="Times New Roman" w:eastAsia="Times New Roman" w:hAnsi="Times New Roman" w:cs="Times New Roman"/>
          <w:color w:val="000000"/>
          <w:spacing w:val="6"/>
          <w:sz w:val="24"/>
          <w:szCs w:val="24"/>
          <w:lang w:val="en-ZA" w:eastAsia="en-GB"/>
        </w:rPr>
      </w:pPr>
    </w:p>
    <w:p w14:paraId="19E3A8CD" w14:textId="0CF52576" w:rsidR="006B7BA5" w:rsidRPr="006B7BA5" w:rsidRDefault="006B7BA5" w:rsidP="006B7BA5">
      <w:pPr>
        <w:spacing w:after="0" w:line="360" w:lineRule="auto"/>
        <w:jc w:val="both"/>
        <w:rPr>
          <w:rFonts w:ascii="Times New Roman" w:eastAsia="Times New Roman" w:hAnsi="Times New Roman" w:cs="Times New Roman"/>
          <w:color w:val="000000"/>
          <w:spacing w:val="6"/>
          <w:sz w:val="24"/>
          <w:szCs w:val="24"/>
          <w:lang w:val="en-ZA" w:eastAsia="en-GB"/>
        </w:rPr>
      </w:pPr>
      <w:r w:rsidRPr="006B7BA5">
        <w:rPr>
          <w:rFonts w:ascii="Times New Roman" w:eastAsia="Times New Roman" w:hAnsi="Times New Roman" w:cs="Times New Roman"/>
          <w:color w:val="000000"/>
          <w:spacing w:val="6"/>
          <w:sz w:val="24"/>
          <w:szCs w:val="24"/>
          <w:lang w:val="en-ZA" w:eastAsia="en-GB"/>
        </w:rPr>
        <w:t>The Standing Committee on Appro</w:t>
      </w:r>
      <w:r>
        <w:rPr>
          <w:rFonts w:ascii="Times New Roman" w:eastAsia="Times New Roman" w:hAnsi="Times New Roman" w:cs="Times New Roman"/>
          <w:color w:val="000000"/>
          <w:spacing w:val="6"/>
          <w:sz w:val="24"/>
          <w:szCs w:val="24"/>
          <w:lang w:val="en-ZA" w:eastAsia="en-GB"/>
        </w:rPr>
        <w:t xml:space="preserve">priations, having considered </w:t>
      </w:r>
      <w:r w:rsidRPr="006B7BA5">
        <w:rPr>
          <w:rFonts w:ascii="Times New Roman" w:eastAsia="Times New Roman" w:hAnsi="Times New Roman" w:cs="Times New Roman"/>
          <w:color w:val="000000"/>
          <w:spacing w:val="6"/>
          <w:sz w:val="24"/>
          <w:szCs w:val="24"/>
          <w:lang w:val="en-ZA" w:eastAsia="en-GB"/>
        </w:rPr>
        <w:t>submissio</w:t>
      </w:r>
      <w:r>
        <w:rPr>
          <w:rFonts w:ascii="Times New Roman" w:eastAsia="Times New Roman" w:hAnsi="Times New Roman" w:cs="Times New Roman"/>
          <w:color w:val="000000"/>
          <w:spacing w:val="6"/>
          <w:sz w:val="24"/>
          <w:szCs w:val="24"/>
          <w:lang w:val="en-ZA" w:eastAsia="en-GB"/>
        </w:rPr>
        <w:t xml:space="preserve">ns from </w:t>
      </w:r>
      <w:r w:rsidR="002E1443">
        <w:rPr>
          <w:rFonts w:ascii="Times New Roman" w:eastAsia="Times New Roman" w:hAnsi="Times New Roman" w:cs="Times New Roman"/>
          <w:color w:val="000000"/>
          <w:spacing w:val="6"/>
          <w:sz w:val="24"/>
          <w:szCs w:val="24"/>
          <w:lang w:val="en-ZA" w:eastAsia="en-GB"/>
        </w:rPr>
        <w:t xml:space="preserve">various </w:t>
      </w:r>
      <w:r>
        <w:rPr>
          <w:rFonts w:ascii="Times New Roman" w:eastAsia="Times New Roman" w:hAnsi="Times New Roman" w:cs="Times New Roman"/>
          <w:color w:val="000000"/>
          <w:spacing w:val="6"/>
          <w:sz w:val="24"/>
          <w:szCs w:val="24"/>
          <w:lang w:val="en-ZA" w:eastAsia="en-GB"/>
        </w:rPr>
        <w:t>stakeholders on the 2019</w:t>
      </w:r>
      <w:r w:rsidRPr="006B7BA5">
        <w:rPr>
          <w:rFonts w:ascii="Times New Roman" w:eastAsia="Times New Roman" w:hAnsi="Times New Roman" w:cs="Times New Roman"/>
          <w:color w:val="000000"/>
          <w:spacing w:val="6"/>
          <w:sz w:val="24"/>
          <w:szCs w:val="24"/>
          <w:lang w:val="en-ZA" w:eastAsia="en-GB"/>
        </w:rPr>
        <w:t xml:space="preserve"> Division of Revenue Amendment Bill, recommends as follows:</w:t>
      </w:r>
    </w:p>
    <w:p w14:paraId="2A728832" w14:textId="4EC891C7" w:rsidR="00181ECB" w:rsidRPr="008B22E8" w:rsidRDefault="00181ECB" w:rsidP="00181ECB">
      <w:pPr>
        <w:spacing w:after="0" w:line="360" w:lineRule="auto"/>
        <w:jc w:val="both"/>
        <w:rPr>
          <w:rFonts w:ascii="Times New Roman" w:hAnsi="Times New Roman" w:cs="Times New Roman"/>
          <w:b/>
          <w:sz w:val="24"/>
          <w:szCs w:val="24"/>
          <w:lang w:val="en-ZA"/>
        </w:rPr>
      </w:pPr>
    </w:p>
    <w:p w14:paraId="266E10FE" w14:textId="398ECE1E" w:rsidR="00E964A4" w:rsidRPr="00E964A4" w:rsidRDefault="006B7BA5" w:rsidP="00E964A4">
      <w:pPr>
        <w:tabs>
          <w:tab w:val="left" w:pos="567"/>
        </w:tabs>
        <w:spacing w:line="360" w:lineRule="auto"/>
        <w:ind w:left="567" w:hanging="567"/>
        <w:jc w:val="both"/>
        <w:rPr>
          <w:rFonts w:ascii="Times New Roman" w:hAnsi="Times New Roman" w:cs="Times New Roman"/>
          <w:sz w:val="24"/>
          <w:szCs w:val="24"/>
        </w:rPr>
      </w:pPr>
      <w:r>
        <w:rPr>
          <w:rFonts w:ascii="Times New Roman" w:hAnsi="Times New Roman" w:cs="Times New Roman"/>
          <w:b/>
          <w:sz w:val="24"/>
          <w:szCs w:val="24"/>
          <w:lang w:val="en-ZA"/>
        </w:rPr>
        <w:lastRenderedPageBreak/>
        <w:t>9.1</w:t>
      </w:r>
      <w:r>
        <w:rPr>
          <w:rFonts w:ascii="Times New Roman" w:hAnsi="Times New Roman" w:cs="Times New Roman"/>
          <w:b/>
          <w:sz w:val="24"/>
          <w:szCs w:val="24"/>
          <w:lang w:val="en-ZA"/>
        </w:rPr>
        <w:tab/>
      </w:r>
      <w:r w:rsidR="00E964A4" w:rsidRPr="00E964A4">
        <w:rPr>
          <w:rFonts w:ascii="Times New Roman" w:hAnsi="Times New Roman" w:cs="Times New Roman"/>
          <w:sz w:val="24"/>
          <w:szCs w:val="24"/>
        </w:rPr>
        <w:t>The Minister of Finance should ensure that National Treasury gazettes the following corrections to the Conditional Grant Frameworks as well as the New Conditional Grant Frameworks as set out in annexures 2 and 3 of the Bill</w:t>
      </w:r>
      <w:r w:rsidR="00E964A4" w:rsidRPr="00E964A4">
        <w:rPr>
          <w:rFonts w:ascii="Times New Roman" w:eastAsia="Times New Roman" w:hAnsi="Times New Roman" w:cs="Times New Roman"/>
          <w:color w:val="000000"/>
          <w:spacing w:val="6"/>
          <w:sz w:val="24"/>
          <w:szCs w:val="24"/>
          <w:lang w:val="en-ZA" w:eastAsia="en-GB"/>
        </w:rPr>
        <w:t>, in accordance with section 16(4) of t</w:t>
      </w:r>
      <w:r w:rsidR="005A6175">
        <w:rPr>
          <w:rFonts w:ascii="Times New Roman" w:eastAsia="Times New Roman" w:hAnsi="Times New Roman" w:cs="Times New Roman"/>
          <w:color w:val="000000"/>
          <w:spacing w:val="6"/>
          <w:sz w:val="24"/>
          <w:szCs w:val="24"/>
          <w:lang w:val="en-ZA" w:eastAsia="en-GB"/>
        </w:rPr>
        <w:t>he Division of Revenue Act, 2019</w:t>
      </w:r>
      <w:r w:rsidR="00E964A4" w:rsidRPr="00E964A4">
        <w:rPr>
          <w:rFonts w:ascii="Times New Roman" w:eastAsia="Times New Roman" w:hAnsi="Times New Roman" w:cs="Times New Roman"/>
          <w:color w:val="000000"/>
          <w:spacing w:val="6"/>
          <w:sz w:val="24"/>
          <w:szCs w:val="24"/>
          <w:lang w:val="en-ZA" w:eastAsia="en-GB"/>
        </w:rPr>
        <w:t xml:space="preserve">: </w:t>
      </w:r>
    </w:p>
    <w:p w14:paraId="678EB71D" w14:textId="77777777" w:rsidR="00E964A4" w:rsidRPr="00E964A4" w:rsidRDefault="00E964A4" w:rsidP="00E964A4">
      <w:pPr>
        <w:spacing w:line="360" w:lineRule="auto"/>
        <w:ind w:firstLine="567"/>
        <w:rPr>
          <w:rFonts w:ascii="Times New Roman" w:hAnsi="Times New Roman" w:cs="Times New Roman"/>
          <w:sz w:val="24"/>
          <w:szCs w:val="24"/>
        </w:rPr>
      </w:pPr>
      <w:r w:rsidRPr="00E964A4">
        <w:rPr>
          <w:rFonts w:ascii="Times New Roman" w:hAnsi="Times New Roman" w:cs="Times New Roman"/>
          <w:sz w:val="24"/>
          <w:szCs w:val="24"/>
        </w:rPr>
        <w:t>Corrections to Conditional Grant Frameworks:</w:t>
      </w:r>
    </w:p>
    <w:p w14:paraId="7D20FC0F" w14:textId="394B8888" w:rsidR="005A6175" w:rsidRPr="005A6175" w:rsidRDefault="005A6175" w:rsidP="005A6175">
      <w:pPr>
        <w:pStyle w:val="ListParagraph"/>
        <w:numPr>
          <w:ilvl w:val="0"/>
          <w:numId w:val="24"/>
        </w:numPr>
        <w:spacing w:after="0" w:line="360" w:lineRule="auto"/>
        <w:ind w:left="709" w:firstLine="142"/>
        <w:jc w:val="both"/>
        <w:rPr>
          <w:rFonts w:ascii="Times New Roman" w:hAnsi="Times New Roman" w:cs="Times New Roman"/>
          <w:sz w:val="24"/>
          <w:szCs w:val="24"/>
          <w:lang w:val="en-ZA"/>
        </w:rPr>
      </w:pPr>
      <w:proofErr w:type="spellStart"/>
      <w:r w:rsidRPr="005A6175">
        <w:rPr>
          <w:rFonts w:ascii="Times New Roman" w:hAnsi="Times New Roman" w:cs="Times New Roman"/>
          <w:sz w:val="24"/>
          <w:szCs w:val="24"/>
          <w:lang w:val="en-ZA"/>
        </w:rPr>
        <w:t>Ilima</w:t>
      </w:r>
      <w:proofErr w:type="spellEnd"/>
      <w:r w:rsidRPr="005A6175">
        <w:rPr>
          <w:rFonts w:ascii="Times New Roman" w:hAnsi="Times New Roman" w:cs="Times New Roman"/>
          <w:sz w:val="24"/>
          <w:szCs w:val="24"/>
          <w:lang w:val="en-ZA"/>
        </w:rPr>
        <w:t>/</w:t>
      </w:r>
      <w:proofErr w:type="spellStart"/>
      <w:r w:rsidRPr="005A6175">
        <w:rPr>
          <w:rFonts w:ascii="Times New Roman" w:hAnsi="Times New Roman" w:cs="Times New Roman"/>
          <w:sz w:val="24"/>
          <w:szCs w:val="24"/>
          <w:lang w:val="en-ZA"/>
        </w:rPr>
        <w:t>Letsema</w:t>
      </w:r>
      <w:proofErr w:type="spellEnd"/>
      <w:r w:rsidRPr="005A6175">
        <w:rPr>
          <w:rFonts w:ascii="Times New Roman" w:hAnsi="Times New Roman" w:cs="Times New Roman"/>
          <w:sz w:val="24"/>
          <w:szCs w:val="24"/>
          <w:lang w:val="en-ZA"/>
        </w:rPr>
        <w:t xml:space="preserve"> grant framework </w:t>
      </w:r>
    </w:p>
    <w:p w14:paraId="7572CC2C" w14:textId="1550ECB9" w:rsidR="005A6175" w:rsidRPr="005A6175" w:rsidRDefault="005A6175" w:rsidP="005A6175">
      <w:pPr>
        <w:pStyle w:val="ListParagraph"/>
        <w:numPr>
          <w:ilvl w:val="0"/>
          <w:numId w:val="24"/>
        </w:numPr>
        <w:spacing w:after="0" w:line="360" w:lineRule="auto"/>
        <w:ind w:left="709" w:firstLine="142"/>
        <w:jc w:val="both"/>
        <w:rPr>
          <w:rFonts w:ascii="Times New Roman" w:hAnsi="Times New Roman" w:cs="Times New Roman"/>
          <w:sz w:val="24"/>
          <w:szCs w:val="24"/>
          <w:lang w:val="en-ZA"/>
        </w:rPr>
      </w:pPr>
      <w:r w:rsidRPr="005A6175">
        <w:rPr>
          <w:rFonts w:ascii="Times New Roman" w:hAnsi="Times New Roman" w:cs="Times New Roman"/>
          <w:sz w:val="24"/>
          <w:szCs w:val="24"/>
          <w:lang w:val="en-ZA"/>
        </w:rPr>
        <w:t>School Infrastructure Backlogs Grant</w:t>
      </w:r>
      <w:r w:rsidRPr="00801A1B">
        <w:rPr>
          <w:rFonts w:ascii="Times New Roman" w:hAnsi="Times New Roman" w:cs="Times New Roman"/>
          <w:sz w:val="24"/>
          <w:szCs w:val="24"/>
          <w:lang w:val="en-ZA"/>
        </w:rPr>
        <w:t xml:space="preserve"> </w:t>
      </w:r>
    </w:p>
    <w:p w14:paraId="500FB695" w14:textId="34F86387" w:rsidR="005A6175" w:rsidRPr="005A6175" w:rsidRDefault="005A6175" w:rsidP="005A6175">
      <w:pPr>
        <w:pStyle w:val="ListParagraph"/>
        <w:numPr>
          <w:ilvl w:val="0"/>
          <w:numId w:val="24"/>
        </w:numPr>
        <w:spacing w:after="0" w:line="360" w:lineRule="auto"/>
        <w:ind w:left="709" w:firstLine="142"/>
        <w:jc w:val="both"/>
        <w:rPr>
          <w:rFonts w:ascii="Times New Roman" w:hAnsi="Times New Roman" w:cs="Times New Roman"/>
          <w:sz w:val="24"/>
          <w:szCs w:val="24"/>
          <w:lang w:val="en-ZA"/>
        </w:rPr>
      </w:pPr>
      <w:r w:rsidRPr="005A6175">
        <w:rPr>
          <w:rFonts w:ascii="Times New Roman" w:hAnsi="Times New Roman" w:cs="Times New Roman"/>
          <w:sz w:val="24"/>
          <w:szCs w:val="24"/>
          <w:lang w:val="en-ZA"/>
        </w:rPr>
        <w:t xml:space="preserve">NHI Direct Grant </w:t>
      </w:r>
    </w:p>
    <w:p w14:paraId="05DC630D" w14:textId="310E639E" w:rsidR="005A6175" w:rsidRPr="005A6175" w:rsidRDefault="005A6175" w:rsidP="005A6175">
      <w:pPr>
        <w:pStyle w:val="ListParagraph"/>
        <w:numPr>
          <w:ilvl w:val="0"/>
          <w:numId w:val="24"/>
        </w:numPr>
        <w:spacing w:after="0" w:line="360" w:lineRule="auto"/>
        <w:ind w:left="709" w:firstLine="142"/>
        <w:jc w:val="both"/>
        <w:rPr>
          <w:rFonts w:ascii="Times New Roman" w:hAnsi="Times New Roman" w:cs="Times New Roman"/>
          <w:sz w:val="24"/>
          <w:szCs w:val="24"/>
          <w:lang w:val="en-ZA"/>
        </w:rPr>
      </w:pPr>
      <w:r w:rsidRPr="005A6175">
        <w:rPr>
          <w:rFonts w:ascii="Times New Roman" w:hAnsi="Times New Roman" w:cs="Times New Roman"/>
          <w:sz w:val="24"/>
          <w:szCs w:val="24"/>
          <w:lang w:val="en-ZA"/>
        </w:rPr>
        <w:t>Human Papillomavirus Vaccine Grant</w:t>
      </w:r>
    </w:p>
    <w:p w14:paraId="72D092EE" w14:textId="77777777" w:rsidR="005A6175" w:rsidRPr="005A6175" w:rsidRDefault="005A6175" w:rsidP="005A6175">
      <w:pPr>
        <w:pStyle w:val="ListParagraph"/>
        <w:numPr>
          <w:ilvl w:val="0"/>
          <w:numId w:val="24"/>
        </w:numPr>
        <w:spacing w:after="0" w:line="360" w:lineRule="auto"/>
        <w:ind w:left="709" w:firstLine="142"/>
        <w:jc w:val="both"/>
        <w:rPr>
          <w:rFonts w:ascii="Times New Roman" w:hAnsi="Times New Roman" w:cs="Times New Roman"/>
          <w:sz w:val="24"/>
          <w:szCs w:val="24"/>
          <w:lang w:val="en-ZA"/>
        </w:rPr>
      </w:pPr>
      <w:r w:rsidRPr="005A6175">
        <w:rPr>
          <w:rFonts w:ascii="Times New Roman" w:hAnsi="Times New Roman" w:cs="Times New Roman"/>
          <w:sz w:val="24"/>
          <w:szCs w:val="24"/>
          <w:lang w:val="en-ZA"/>
        </w:rPr>
        <w:t>Human Resources Capacitation Grant</w:t>
      </w:r>
    </w:p>
    <w:p w14:paraId="404519B0" w14:textId="2B9DB2EC" w:rsidR="005A6175" w:rsidRPr="005A6175" w:rsidRDefault="005A6175" w:rsidP="005A6175">
      <w:pPr>
        <w:pStyle w:val="ListParagraph"/>
        <w:numPr>
          <w:ilvl w:val="0"/>
          <w:numId w:val="24"/>
        </w:numPr>
        <w:spacing w:after="0" w:line="360" w:lineRule="auto"/>
        <w:ind w:left="709" w:firstLine="142"/>
        <w:jc w:val="both"/>
        <w:rPr>
          <w:rFonts w:ascii="Times New Roman" w:hAnsi="Times New Roman" w:cs="Times New Roman"/>
          <w:sz w:val="24"/>
          <w:szCs w:val="24"/>
          <w:lang w:val="en-ZA"/>
        </w:rPr>
      </w:pPr>
      <w:r w:rsidRPr="005A6175">
        <w:rPr>
          <w:rFonts w:ascii="Times New Roman" w:hAnsi="Times New Roman" w:cs="Times New Roman"/>
          <w:sz w:val="24"/>
          <w:szCs w:val="24"/>
          <w:lang w:val="en-ZA"/>
        </w:rPr>
        <w:t>NHI Indirect grant: health facility revitalisation component</w:t>
      </w:r>
    </w:p>
    <w:p w14:paraId="35F752AC" w14:textId="790175DB" w:rsidR="005A6175" w:rsidRPr="005A6175" w:rsidRDefault="005A6175" w:rsidP="005A6175">
      <w:pPr>
        <w:pStyle w:val="ListParagraph"/>
        <w:numPr>
          <w:ilvl w:val="0"/>
          <w:numId w:val="24"/>
        </w:numPr>
        <w:spacing w:after="0" w:line="360" w:lineRule="auto"/>
        <w:ind w:left="709" w:firstLine="142"/>
        <w:jc w:val="both"/>
        <w:rPr>
          <w:rFonts w:ascii="Times New Roman" w:hAnsi="Times New Roman" w:cs="Times New Roman"/>
          <w:sz w:val="24"/>
          <w:szCs w:val="24"/>
          <w:lang w:val="en-ZA"/>
        </w:rPr>
      </w:pPr>
      <w:r w:rsidRPr="005A6175">
        <w:rPr>
          <w:rFonts w:ascii="Times New Roman" w:hAnsi="Times New Roman" w:cs="Times New Roman"/>
          <w:sz w:val="24"/>
          <w:szCs w:val="24"/>
          <w:lang w:val="en-ZA"/>
        </w:rPr>
        <w:t xml:space="preserve">Provincial Roads Maintenance Grant; and </w:t>
      </w:r>
    </w:p>
    <w:p w14:paraId="6C2B733D" w14:textId="2F60588B" w:rsidR="005A6175" w:rsidRPr="005A6175" w:rsidRDefault="005A6175" w:rsidP="005A6175">
      <w:pPr>
        <w:pStyle w:val="ListParagraph"/>
        <w:numPr>
          <w:ilvl w:val="0"/>
          <w:numId w:val="24"/>
        </w:numPr>
        <w:spacing w:after="0" w:line="360" w:lineRule="auto"/>
        <w:ind w:left="709" w:firstLine="142"/>
        <w:jc w:val="both"/>
        <w:rPr>
          <w:rFonts w:ascii="Times New Roman" w:hAnsi="Times New Roman" w:cs="Times New Roman"/>
          <w:sz w:val="24"/>
          <w:szCs w:val="24"/>
          <w:lang w:val="en-ZA"/>
        </w:rPr>
      </w:pPr>
      <w:r w:rsidRPr="005A6175">
        <w:rPr>
          <w:rFonts w:ascii="Times New Roman" w:hAnsi="Times New Roman" w:cs="Times New Roman"/>
          <w:sz w:val="24"/>
          <w:szCs w:val="24"/>
          <w:lang w:val="en-ZA"/>
        </w:rPr>
        <w:t>Integrated Urban Development Grant</w:t>
      </w:r>
      <w:r>
        <w:rPr>
          <w:rFonts w:ascii="Times New Roman" w:hAnsi="Times New Roman" w:cs="Times New Roman"/>
          <w:sz w:val="24"/>
          <w:szCs w:val="24"/>
          <w:lang w:val="en-ZA"/>
        </w:rPr>
        <w:t>.</w:t>
      </w:r>
    </w:p>
    <w:p w14:paraId="3AA29219" w14:textId="43B6376D" w:rsidR="00E964A4" w:rsidRDefault="00E964A4" w:rsidP="00F67FB6">
      <w:pPr>
        <w:spacing w:after="0" w:line="360" w:lineRule="auto"/>
        <w:contextualSpacing/>
        <w:jc w:val="both"/>
        <w:rPr>
          <w:rFonts w:ascii="Times New Roman" w:hAnsi="Times New Roman" w:cs="Times New Roman"/>
          <w:sz w:val="24"/>
          <w:szCs w:val="24"/>
        </w:rPr>
      </w:pPr>
    </w:p>
    <w:p w14:paraId="40792771" w14:textId="4E2A4929" w:rsidR="004C5A20" w:rsidRPr="00457E34" w:rsidRDefault="004C5A20" w:rsidP="00457E34">
      <w:pPr>
        <w:pStyle w:val="ListParagraph"/>
        <w:numPr>
          <w:ilvl w:val="1"/>
          <w:numId w:val="19"/>
        </w:numPr>
        <w:spacing w:after="0" w:line="360" w:lineRule="auto"/>
        <w:ind w:left="567" w:hanging="567"/>
        <w:jc w:val="both"/>
        <w:rPr>
          <w:rFonts w:ascii="Times New Roman" w:hAnsi="Times New Roman" w:cs="Times New Roman"/>
          <w:sz w:val="24"/>
          <w:szCs w:val="24"/>
          <w:lang w:val="en-ZA"/>
        </w:rPr>
      </w:pPr>
      <w:r w:rsidRPr="00457E34">
        <w:rPr>
          <w:rFonts w:ascii="Times New Roman" w:hAnsi="Times New Roman" w:cs="Times New Roman"/>
          <w:sz w:val="24"/>
          <w:szCs w:val="24"/>
          <w:lang w:val="en-ZA"/>
        </w:rPr>
        <w:t xml:space="preserve">That the </w:t>
      </w:r>
      <w:r w:rsidR="00F67FB6" w:rsidRPr="00457E34">
        <w:rPr>
          <w:rFonts w:ascii="Times New Roman" w:hAnsi="Times New Roman" w:cs="Times New Roman"/>
          <w:sz w:val="24"/>
          <w:szCs w:val="24"/>
          <w:lang w:val="en-ZA"/>
        </w:rPr>
        <w:t>Minister of Finance should ensure that there is a consequence management framework and actions is taken against government institutions who continuously underspend on their appropriated budgets.</w:t>
      </w:r>
    </w:p>
    <w:p w14:paraId="741C3B81" w14:textId="77777777" w:rsidR="004C5A20" w:rsidRPr="00F67FB6" w:rsidRDefault="004C5A20" w:rsidP="00F67FB6">
      <w:pPr>
        <w:spacing w:after="0" w:line="360" w:lineRule="auto"/>
        <w:ind w:left="360"/>
        <w:jc w:val="both"/>
        <w:rPr>
          <w:rFonts w:ascii="Times New Roman" w:hAnsi="Times New Roman" w:cs="Times New Roman"/>
          <w:sz w:val="24"/>
          <w:szCs w:val="24"/>
        </w:rPr>
      </w:pPr>
    </w:p>
    <w:p w14:paraId="34DED0EE" w14:textId="0F44E625" w:rsidR="003B26DA" w:rsidRPr="00D553E7" w:rsidRDefault="00031499" w:rsidP="00D553E7">
      <w:pPr>
        <w:pStyle w:val="ListParagraph"/>
        <w:numPr>
          <w:ilvl w:val="0"/>
          <w:numId w:val="19"/>
        </w:numPr>
        <w:spacing w:after="0" w:line="360" w:lineRule="auto"/>
        <w:ind w:hanging="720"/>
        <w:jc w:val="both"/>
        <w:rPr>
          <w:rFonts w:ascii="Times New Roman" w:eastAsia="Times New Roman" w:hAnsi="Times New Roman" w:cs="Times New Roman"/>
          <w:b/>
          <w:color w:val="000000"/>
          <w:spacing w:val="6"/>
          <w:sz w:val="24"/>
          <w:szCs w:val="24"/>
          <w:lang w:val="en-ZA" w:eastAsia="en-GB"/>
        </w:rPr>
      </w:pPr>
      <w:r w:rsidRPr="00D553E7">
        <w:rPr>
          <w:rFonts w:ascii="Times New Roman" w:eastAsia="Times New Roman" w:hAnsi="Times New Roman" w:cs="Times New Roman"/>
          <w:b/>
          <w:color w:val="000000"/>
          <w:spacing w:val="6"/>
          <w:sz w:val="24"/>
          <w:szCs w:val="24"/>
          <w:lang w:val="en-ZA" w:eastAsia="en-GB"/>
        </w:rPr>
        <w:t xml:space="preserve">Committee </w:t>
      </w:r>
      <w:r w:rsidR="003B26DA" w:rsidRPr="00D553E7">
        <w:rPr>
          <w:rFonts w:ascii="Times New Roman" w:eastAsia="Times New Roman" w:hAnsi="Times New Roman" w:cs="Times New Roman"/>
          <w:b/>
          <w:color w:val="000000"/>
          <w:spacing w:val="6"/>
          <w:sz w:val="24"/>
          <w:szCs w:val="24"/>
          <w:lang w:val="en-ZA" w:eastAsia="en-GB"/>
        </w:rPr>
        <w:t>Recommendation</w:t>
      </w:r>
      <w:r w:rsidR="00B353D9" w:rsidRPr="00D553E7">
        <w:rPr>
          <w:rFonts w:ascii="Times New Roman" w:eastAsia="Times New Roman" w:hAnsi="Times New Roman" w:cs="Times New Roman"/>
          <w:b/>
          <w:color w:val="000000"/>
          <w:spacing w:val="6"/>
          <w:sz w:val="24"/>
          <w:szCs w:val="24"/>
          <w:lang w:val="en-ZA" w:eastAsia="en-GB"/>
        </w:rPr>
        <w:t xml:space="preserve"> on the Bill</w:t>
      </w:r>
    </w:p>
    <w:p w14:paraId="63021725" w14:textId="77777777" w:rsidR="00732682" w:rsidRPr="008B22E8" w:rsidRDefault="00732682"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623EDABA" w14:textId="748A7A38" w:rsidR="003B26DA" w:rsidRPr="00FB5121" w:rsidRDefault="003B26DA" w:rsidP="007A4338">
      <w:pPr>
        <w:spacing w:after="0" w:line="360" w:lineRule="auto"/>
        <w:jc w:val="both"/>
        <w:rPr>
          <w:rFonts w:ascii="Times New Roman" w:eastAsia="Times New Roman" w:hAnsi="Times New Roman" w:cs="Times New Roman"/>
          <w:spacing w:val="6"/>
          <w:sz w:val="24"/>
          <w:szCs w:val="24"/>
          <w:lang w:val="en-ZA" w:eastAsia="en-GB"/>
        </w:rPr>
      </w:pPr>
      <w:r w:rsidRPr="008B22E8">
        <w:rPr>
          <w:rFonts w:ascii="Times New Roman" w:eastAsia="Times New Roman" w:hAnsi="Times New Roman" w:cs="Times New Roman"/>
          <w:color w:val="000000"/>
          <w:spacing w:val="6"/>
          <w:sz w:val="24"/>
          <w:szCs w:val="24"/>
          <w:lang w:val="en-ZA" w:eastAsia="en-GB"/>
        </w:rPr>
        <w:t>The Standing Committee on Appropriations, having considered the Divisi</w:t>
      </w:r>
      <w:r w:rsidR="00CF7941" w:rsidRPr="008B22E8">
        <w:rPr>
          <w:rFonts w:ascii="Times New Roman" w:eastAsia="Times New Roman" w:hAnsi="Times New Roman" w:cs="Times New Roman"/>
          <w:color w:val="000000"/>
          <w:spacing w:val="6"/>
          <w:sz w:val="24"/>
          <w:szCs w:val="24"/>
          <w:lang w:val="en-ZA" w:eastAsia="en-GB"/>
        </w:rPr>
        <w:t>o</w:t>
      </w:r>
      <w:r w:rsidR="004809E6" w:rsidRPr="008B22E8">
        <w:rPr>
          <w:rFonts w:ascii="Times New Roman" w:eastAsia="Times New Roman" w:hAnsi="Times New Roman" w:cs="Times New Roman"/>
          <w:color w:val="000000"/>
          <w:spacing w:val="6"/>
          <w:sz w:val="24"/>
          <w:szCs w:val="24"/>
          <w:lang w:val="en-ZA" w:eastAsia="en-GB"/>
        </w:rPr>
        <w:t>n of Revenue Amendment Bill [B15 - 2019</w:t>
      </w:r>
      <w:r w:rsidRPr="008B22E8">
        <w:rPr>
          <w:rFonts w:ascii="Times New Roman" w:eastAsia="Times New Roman" w:hAnsi="Times New Roman" w:cs="Times New Roman"/>
          <w:color w:val="000000"/>
          <w:spacing w:val="6"/>
          <w:sz w:val="24"/>
          <w:szCs w:val="24"/>
          <w:lang w:val="en-ZA" w:eastAsia="en-GB"/>
        </w:rPr>
        <w:t>] (National Assembly) referred to it and classified by the Joint Tagging Mechanism (JTM) as a Section 76 Bill</w:t>
      </w:r>
      <w:r w:rsidRPr="00FB5121">
        <w:rPr>
          <w:rFonts w:ascii="Times New Roman" w:eastAsia="Times New Roman" w:hAnsi="Times New Roman" w:cs="Times New Roman"/>
          <w:spacing w:val="6"/>
          <w:sz w:val="24"/>
          <w:szCs w:val="24"/>
          <w:lang w:val="en-ZA" w:eastAsia="en-GB"/>
        </w:rPr>
        <w:t xml:space="preserve">, recommends that the Bill be adopted, without amendments. </w:t>
      </w:r>
    </w:p>
    <w:p w14:paraId="01C40D6B" w14:textId="09AD56DB" w:rsidR="00FB5121" w:rsidRDefault="00FB5121"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4573836E" w14:textId="77777777" w:rsidR="00FB5121" w:rsidRPr="008B22E8" w:rsidRDefault="00FB5121"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52DF5057" w14:textId="778A5E74" w:rsidR="00B973AA" w:rsidRDefault="001D16C3" w:rsidP="001D16C3">
      <w:pPr>
        <w:spacing w:after="0" w:line="360" w:lineRule="auto"/>
        <w:jc w:val="both"/>
        <w:rPr>
          <w:rFonts w:ascii="Times New Roman" w:eastAsia="Times New Roman" w:hAnsi="Times New Roman" w:cs="Times New Roman"/>
          <w:b/>
          <w:color w:val="000000"/>
          <w:spacing w:val="6"/>
          <w:sz w:val="24"/>
          <w:szCs w:val="24"/>
          <w:lang w:val="en-ZA" w:eastAsia="en-GB"/>
        </w:rPr>
      </w:pPr>
      <w:r w:rsidRPr="008B22E8">
        <w:rPr>
          <w:rFonts w:ascii="Times New Roman" w:eastAsia="Times New Roman" w:hAnsi="Times New Roman" w:cs="Times New Roman"/>
          <w:b/>
          <w:color w:val="000000"/>
          <w:spacing w:val="6"/>
          <w:sz w:val="24"/>
          <w:szCs w:val="24"/>
          <w:lang w:val="en-ZA" w:eastAsia="en-GB"/>
        </w:rPr>
        <w:t>Report to be considered</w:t>
      </w:r>
    </w:p>
    <w:p w14:paraId="12566E45" w14:textId="610DF26F" w:rsidR="00D553E7" w:rsidRDefault="00D553E7" w:rsidP="001D16C3">
      <w:pPr>
        <w:spacing w:after="0" w:line="360" w:lineRule="auto"/>
        <w:jc w:val="both"/>
        <w:rPr>
          <w:rFonts w:ascii="Times New Roman" w:eastAsia="Times New Roman" w:hAnsi="Times New Roman" w:cs="Times New Roman"/>
          <w:b/>
          <w:color w:val="000000"/>
          <w:spacing w:val="6"/>
          <w:sz w:val="24"/>
          <w:szCs w:val="24"/>
          <w:lang w:val="en-ZA" w:eastAsia="en-GB"/>
        </w:rPr>
      </w:pPr>
    </w:p>
    <w:p w14:paraId="6F1A6722" w14:textId="15F6E9FD" w:rsidR="00D553E7" w:rsidRDefault="00D553E7" w:rsidP="001D16C3">
      <w:pPr>
        <w:spacing w:after="0" w:line="360" w:lineRule="auto"/>
        <w:jc w:val="both"/>
        <w:rPr>
          <w:rFonts w:ascii="Times New Roman" w:eastAsia="Times New Roman" w:hAnsi="Times New Roman" w:cs="Times New Roman"/>
          <w:b/>
          <w:color w:val="000000"/>
          <w:spacing w:val="6"/>
          <w:sz w:val="24"/>
          <w:szCs w:val="24"/>
          <w:lang w:val="en-ZA" w:eastAsia="en-GB"/>
        </w:rPr>
      </w:pPr>
    </w:p>
    <w:p w14:paraId="3C7B3A38" w14:textId="77777777" w:rsidR="00D553E7" w:rsidRDefault="00D553E7" w:rsidP="001D16C3">
      <w:pPr>
        <w:spacing w:after="0" w:line="360" w:lineRule="auto"/>
        <w:jc w:val="both"/>
        <w:rPr>
          <w:rFonts w:ascii="Times New Roman" w:eastAsia="Times New Roman" w:hAnsi="Times New Roman" w:cs="Times New Roman"/>
          <w:b/>
          <w:color w:val="000000"/>
          <w:spacing w:val="6"/>
          <w:sz w:val="24"/>
          <w:szCs w:val="24"/>
          <w:lang w:val="en-ZA" w:eastAsia="en-GB"/>
        </w:rPr>
      </w:pPr>
    </w:p>
    <w:p w14:paraId="655BAA9C" w14:textId="77777777" w:rsidR="00D553E7" w:rsidRPr="008B22E8" w:rsidRDefault="00D553E7" w:rsidP="001D16C3">
      <w:pPr>
        <w:spacing w:after="0" w:line="360" w:lineRule="auto"/>
        <w:jc w:val="both"/>
        <w:rPr>
          <w:rFonts w:ascii="Times New Roman" w:eastAsia="Times New Roman" w:hAnsi="Times New Roman" w:cs="Times New Roman"/>
          <w:b/>
          <w:color w:val="000000"/>
          <w:spacing w:val="6"/>
          <w:sz w:val="24"/>
          <w:szCs w:val="24"/>
          <w:lang w:val="en-ZA" w:eastAsia="en-GB"/>
        </w:rPr>
      </w:pPr>
    </w:p>
    <w:sectPr w:rsidR="00D553E7" w:rsidRPr="008B22E8" w:rsidSect="002C2C8D">
      <w:footerReference w:type="default" r:id="rId9"/>
      <w:footerReference w:type="first" r:id="rId10"/>
      <w:pgSz w:w="11906" w:h="16838" w:code="9"/>
      <w:pgMar w:top="1134" w:right="1138" w:bottom="864" w:left="1138" w:header="1138" w:footer="67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06BC72" w16cid:durableId="217D8F2B"/>
  <w16cid:commentId w16cid:paraId="6389AFA0" w16cid:durableId="217D9190"/>
  <w16cid:commentId w16cid:paraId="765DBEF8" w16cid:durableId="217D9280"/>
  <w16cid:commentId w16cid:paraId="61A3AB4A" w16cid:durableId="217D92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39191" w14:textId="77777777" w:rsidR="007F307D" w:rsidRDefault="007F307D">
      <w:pPr>
        <w:spacing w:after="0" w:line="240" w:lineRule="auto"/>
      </w:pPr>
      <w:r>
        <w:separator/>
      </w:r>
    </w:p>
  </w:endnote>
  <w:endnote w:type="continuationSeparator" w:id="0">
    <w:p w14:paraId="3C90F326" w14:textId="77777777" w:rsidR="007F307D" w:rsidRDefault="007F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B6B46" w14:textId="316B115E" w:rsidR="002F03C5" w:rsidRDefault="00031499">
    <w:pPr>
      <w:pStyle w:val="Footer"/>
      <w:jc w:val="right"/>
    </w:pPr>
    <w:r>
      <w:fldChar w:fldCharType="begin"/>
    </w:r>
    <w:r>
      <w:instrText xml:space="preserve"> PAGE   \* MERGEFORMAT </w:instrText>
    </w:r>
    <w:r>
      <w:fldChar w:fldCharType="separate"/>
    </w:r>
    <w:r w:rsidR="00E81A13">
      <w:rPr>
        <w:noProof/>
      </w:rPr>
      <w:t>13</w:t>
    </w:r>
    <w:r>
      <w:fldChar w:fldCharType="end"/>
    </w:r>
  </w:p>
  <w:p w14:paraId="116F1647" w14:textId="77777777" w:rsidR="002F03C5" w:rsidRDefault="00E81A13">
    <w:pPr>
      <w:pStyle w:val="Footer"/>
      <w:ind w:right="360"/>
      <w:rPr>
        <w:rFonts w:ascii="Arial Bold" w:hAnsi="Arial Bol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3E535" w14:textId="4A87D970" w:rsidR="002F03C5" w:rsidRDefault="00031499">
    <w:pPr>
      <w:pStyle w:val="Footer"/>
      <w:jc w:val="right"/>
    </w:pPr>
    <w:r>
      <w:fldChar w:fldCharType="begin"/>
    </w:r>
    <w:r>
      <w:instrText xml:space="preserve"> PAGE   \* MERGEFORMAT </w:instrText>
    </w:r>
    <w:r>
      <w:fldChar w:fldCharType="separate"/>
    </w:r>
    <w:r w:rsidR="00E81A13">
      <w:rPr>
        <w:noProof/>
      </w:rPr>
      <w:t>1</w:t>
    </w:r>
    <w:r>
      <w:fldChar w:fldCharType="end"/>
    </w:r>
  </w:p>
  <w:p w14:paraId="2F0D199E" w14:textId="77777777" w:rsidR="002F03C5" w:rsidRDefault="00E81A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EB51D" w14:textId="77777777" w:rsidR="007F307D" w:rsidRDefault="007F307D">
      <w:pPr>
        <w:spacing w:after="0" w:line="240" w:lineRule="auto"/>
      </w:pPr>
      <w:r>
        <w:separator/>
      </w:r>
    </w:p>
  </w:footnote>
  <w:footnote w:type="continuationSeparator" w:id="0">
    <w:p w14:paraId="2C1E6E19" w14:textId="77777777" w:rsidR="007F307D" w:rsidRDefault="007F307D">
      <w:pPr>
        <w:spacing w:after="0" w:line="240" w:lineRule="auto"/>
      </w:pPr>
      <w:r>
        <w:continuationSeparator/>
      </w:r>
    </w:p>
  </w:footnote>
  <w:footnote w:id="1">
    <w:p w14:paraId="4C226797" w14:textId="43FD70EC" w:rsidR="00DE134E" w:rsidRPr="00DE134E" w:rsidRDefault="00DE134E">
      <w:pPr>
        <w:pStyle w:val="FootnoteText"/>
        <w:rPr>
          <w:i/>
          <w:sz w:val="18"/>
          <w:lang w:val="en-US"/>
        </w:rPr>
      </w:pPr>
      <w:r w:rsidRPr="00DE134E">
        <w:rPr>
          <w:rStyle w:val="FootnoteReference"/>
          <w:i/>
          <w:sz w:val="18"/>
        </w:rPr>
        <w:footnoteRef/>
      </w:r>
      <w:r w:rsidRPr="00DE134E">
        <w:rPr>
          <w:i/>
          <w:sz w:val="18"/>
        </w:rPr>
        <w:t xml:space="preserve"> </w:t>
      </w:r>
      <w:r w:rsidRPr="00DE134E">
        <w:rPr>
          <w:i/>
          <w:sz w:val="18"/>
          <w:lang w:val="en-US"/>
        </w:rPr>
        <w:t xml:space="preserve">National share includes conditional allocations to provincial and local spheres, general fuel levy sharing with metropolitan municipalities, debt-service costs, the contingency reserves, provisional allocations and special appropriations. </w:t>
      </w:r>
    </w:p>
  </w:footnote>
  <w:footnote w:id="2">
    <w:p w14:paraId="6E415DFF" w14:textId="58420D4D" w:rsidR="00DE134E" w:rsidRPr="00DE134E" w:rsidRDefault="00DE134E">
      <w:pPr>
        <w:pStyle w:val="FootnoteText"/>
        <w:rPr>
          <w:lang w:val="en-US"/>
        </w:rPr>
      </w:pPr>
      <w:r w:rsidRPr="00DE134E">
        <w:rPr>
          <w:rStyle w:val="FootnoteReference"/>
          <w:i/>
          <w:sz w:val="18"/>
        </w:rPr>
        <w:footnoteRef/>
      </w:r>
      <w:r w:rsidRPr="00DE134E">
        <w:rPr>
          <w:i/>
          <w:sz w:val="18"/>
        </w:rPr>
        <w:t xml:space="preserve"> </w:t>
      </w:r>
      <w:r w:rsidRPr="00DE134E">
        <w:rPr>
          <w:i/>
          <w:sz w:val="18"/>
          <w:lang w:val="en-US"/>
        </w:rPr>
        <w:t>The direct charges for the provincial equitable share are netted out.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A76"/>
    <w:multiLevelType w:val="hybridMultilevel"/>
    <w:tmpl w:val="A3C8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91F52"/>
    <w:multiLevelType w:val="hybridMultilevel"/>
    <w:tmpl w:val="0D5CD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E220F45"/>
    <w:multiLevelType w:val="hybridMultilevel"/>
    <w:tmpl w:val="8BC23816"/>
    <w:lvl w:ilvl="0" w:tplc="1C090001">
      <w:start w:val="1"/>
      <w:numFmt w:val="bullet"/>
      <w:lvlText w:val=""/>
      <w:lvlJc w:val="left"/>
      <w:pPr>
        <w:ind w:left="720" w:hanging="360"/>
      </w:pPr>
      <w:rPr>
        <w:rFonts w:ascii="Symbol" w:hAnsi="Symbol" w:hint="default"/>
      </w:rPr>
    </w:lvl>
    <w:lvl w:ilvl="1" w:tplc="0FD0F9A2">
      <w:start w:val="25"/>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F714BE9"/>
    <w:multiLevelType w:val="hybridMultilevel"/>
    <w:tmpl w:val="94286740"/>
    <w:lvl w:ilvl="0" w:tplc="1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3767795"/>
    <w:multiLevelType w:val="hybridMultilevel"/>
    <w:tmpl w:val="A6440ABE"/>
    <w:lvl w:ilvl="0" w:tplc="1C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533CF4"/>
    <w:multiLevelType w:val="hybridMultilevel"/>
    <w:tmpl w:val="536EF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52AC1"/>
    <w:multiLevelType w:val="hybridMultilevel"/>
    <w:tmpl w:val="E4F6518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7">
    <w:nsid w:val="3B1C64DB"/>
    <w:multiLevelType w:val="multilevel"/>
    <w:tmpl w:val="0714E0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5B26B3"/>
    <w:multiLevelType w:val="multilevel"/>
    <w:tmpl w:val="BF42FF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F8B72D1"/>
    <w:multiLevelType w:val="hybridMultilevel"/>
    <w:tmpl w:val="FDD439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54D5CCE"/>
    <w:multiLevelType w:val="multilevel"/>
    <w:tmpl w:val="1C16FD08"/>
    <w:lvl w:ilvl="0">
      <w:start w:val="10"/>
      <w:numFmt w:val="decimal"/>
      <w:lvlText w:val="%1"/>
      <w:lvlJc w:val="left"/>
      <w:pPr>
        <w:ind w:left="468" w:hanging="468"/>
      </w:pPr>
      <w:rPr>
        <w:rFonts w:hint="default"/>
      </w:rPr>
    </w:lvl>
    <w:lvl w:ilvl="1">
      <w:start w:val="3"/>
      <w:numFmt w:val="decimal"/>
      <w:lvlText w:val="%1.%2"/>
      <w:lvlJc w:val="left"/>
      <w:pPr>
        <w:ind w:left="468" w:hanging="468"/>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C87150B"/>
    <w:multiLevelType w:val="hybridMultilevel"/>
    <w:tmpl w:val="4B266C6E"/>
    <w:lvl w:ilvl="0" w:tplc="39D658C8">
      <w:start w:val="3"/>
      <w:numFmt w:val="bullet"/>
      <w:lvlText w:val="-"/>
      <w:lvlJc w:val="left"/>
      <w:pPr>
        <w:ind w:left="1899" w:hanging="360"/>
      </w:pPr>
      <w:rPr>
        <w:rFonts w:ascii="Times New Roman" w:eastAsia="Times New Roman" w:hAnsi="Times New Roman" w:cs="Times New Roman"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2">
    <w:nsid w:val="4F86038F"/>
    <w:multiLevelType w:val="hybridMultilevel"/>
    <w:tmpl w:val="0438336A"/>
    <w:lvl w:ilvl="0" w:tplc="BFD01B84">
      <w:start w:val="5"/>
      <w:numFmt w:val="bullet"/>
      <w:lvlText w:val="-"/>
      <w:lvlJc w:val="left"/>
      <w:pPr>
        <w:ind w:left="720" w:hanging="360"/>
      </w:pPr>
      <w:rPr>
        <w:rFonts w:ascii="Arial" w:eastAsia="Calibr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11022C5"/>
    <w:multiLevelType w:val="hybridMultilevel"/>
    <w:tmpl w:val="9536A91E"/>
    <w:lvl w:ilvl="0" w:tplc="1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31340AA"/>
    <w:multiLevelType w:val="multilevel"/>
    <w:tmpl w:val="B4AA73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9EC6E4D"/>
    <w:multiLevelType w:val="hybridMultilevel"/>
    <w:tmpl w:val="982414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B3724B2"/>
    <w:multiLevelType w:val="multilevel"/>
    <w:tmpl w:val="B328B4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C766438"/>
    <w:multiLevelType w:val="hybridMultilevel"/>
    <w:tmpl w:val="B4886B22"/>
    <w:lvl w:ilvl="0" w:tplc="1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E845DC"/>
    <w:multiLevelType w:val="hybridMultilevel"/>
    <w:tmpl w:val="BD4469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636C02FD"/>
    <w:multiLevelType w:val="multilevel"/>
    <w:tmpl w:val="81F63A52"/>
    <w:lvl w:ilvl="0">
      <w:start w:val="3"/>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5"/>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66D71D8B"/>
    <w:multiLevelType w:val="hybridMultilevel"/>
    <w:tmpl w:val="2C6A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C75E87"/>
    <w:multiLevelType w:val="multilevel"/>
    <w:tmpl w:val="359875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8D157FC"/>
    <w:multiLevelType w:val="hybridMultilevel"/>
    <w:tmpl w:val="1C8A3A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B185585"/>
    <w:multiLevelType w:val="multilevel"/>
    <w:tmpl w:val="A3626F64"/>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E0B7A16"/>
    <w:multiLevelType w:val="hybridMultilevel"/>
    <w:tmpl w:val="C608BC2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5">
    <w:nsid w:val="7206158D"/>
    <w:multiLevelType w:val="multilevel"/>
    <w:tmpl w:val="84AACF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2631C51"/>
    <w:multiLevelType w:val="hybridMultilevel"/>
    <w:tmpl w:val="93A6EFB2"/>
    <w:lvl w:ilvl="0" w:tplc="09D2336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E448525A" w:tentative="1">
      <w:start w:val="1"/>
      <w:numFmt w:val="bullet"/>
      <w:lvlText w:val="–"/>
      <w:lvlJc w:val="left"/>
      <w:pPr>
        <w:tabs>
          <w:tab w:val="num" w:pos="2160"/>
        </w:tabs>
        <w:ind w:left="2160" w:hanging="360"/>
      </w:pPr>
      <w:rPr>
        <w:rFonts w:ascii="Arial" w:hAnsi="Arial" w:hint="default"/>
      </w:rPr>
    </w:lvl>
    <w:lvl w:ilvl="3" w:tplc="CEC27166" w:tentative="1">
      <w:start w:val="1"/>
      <w:numFmt w:val="bullet"/>
      <w:lvlText w:val="–"/>
      <w:lvlJc w:val="left"/>
      <w:pPr>
        <w:tabs>
          <w:tab w:val="num" w:pos="2880"/>
        </w:tabs>
        <w:ind w:left="2880" w:hanging="360"/>
      </w:pPr>
      <w:rPr>
        <w:rFonts w:ascii="Arial" w:hAnsi="Arial" w:hint="default"/>
      </w:rPr>
    </w:lvl>
    <w:lvl w:ilvl="4" w:tplc="F266E89C" w:tentative="1">
      <w:start w:val="1"/>
      <w:numFmt w:val="bullet"/>
      <w:lvlText w:val="–"/>
      <w:lvlJc w:val="left"/>
      <w:pPr>
        <w:tabs>
          <w:tab w:val="num" w:pos="3600"/>
        </w:tabs>
        <w:ind w:left="3600" w:hanging="360"/>
      </w:pPr>
      <w:rPr>
        <w:rFonts w:ascii="Arial" w:hAnsi="Arial" w:hint="default"/>
      </w:rPr>
    </w:lvl>
    <w:lvl w:ilvl="5" w:tplc="49CA35A4" w:tentative="1">
      <w:start w:val="1"/>
      <w:numFmt w:val="bullet"/>
      <w:lvlText w:val="–"/>
      <w:lvlJc w:val="left"/>
      <w:pPr>
        <w:tabs>
          <w:tab w:val="num" w:pos="4320"/>
        </w:tabs>
        <w:ind w:left="4320" w:hanging="360"/>
      </w:pPr>
      <w:rPr>
        <w:rFonts w:ascii="Arial" w:hAnsi="Arial" w:hint="default"/>
      </w:rPr>
    </w:lvl>
    <w:lvl w:ilvl="6" w:tplc="1C985292" w:tentative="1">
      <w:start w:val="1"/>
      <w:numFmt w:val="bullet"/>
      <w:lvlText w:val="–"/>
      <w:lvlJc w:val="left"/>
      <w:pPr>
        <w:tabs>
          <w:tab w:val="num" w:pos="5040"/>
        </w:tabs>
        <w:ind w:left="5040" w:hanging="360"/>
      </w:pPr>
      <w:rPr>
        <w:rFonts w:ascii="Arial" w:hAnsi="Arial" w:hint="default"/>
      </w:rPr>
    </w:lvl>
    <w:lvl w:ilvl="7" w:tplc="0F601128" w:tentative="1">
      <w:start w:val="1"/>
      <w:numFmt w:val="bullet"/>
      <w:lvlText w:val="–"/>
      <w:lvlJc w:val="left"/>
      <w:pPr>
        <w:tabs>
          <w:tab w:val="num" w:pos="5760"/>
        </w:tabs>
        <w:ind w:left="5760" w:hanging="360"/>
      </w:pPr>
      <w:rPr>
        <w:rFonts w:ascii="Arial" w:hAnsi="Arial" w:hint="default"/>
      </w:rPr>
    </w:lvl>
    <w:lvl w:ilvl="8" w:tplc="82B26C1A" w:tentative="1">
      <w:start w:val="1"/>
      <w:numFmt w:val="bullet"/>
      <w:lvlText w:val="–"/>
      <w:lvlJc w:val="left"/>
      <w:pPr>
        <w:tabs>
          <w:tab w:val="num" w:pos="6480"/>
        </w:tabs>
        <w:ind w:left="6480" w:hanging="360"/>
      </w:pPr>
      <w:rPr>
        <w:rFonts w:ascii="Arial" w:hAnsi="Arial" w:hint="default"/>
      </w:rPr>
    </w:lvl>
  </w:abstractNum>
  <w:abstractNum w:abstractNumId="27">
    <w:nsid w:val="75575D41"/>
    <w:multiLevelType w:val="hybridMultilevel"/>
    <w:tmpl w:val="90AE0540"/>
    <w:lvl w:ilvl="0" w:tplc="39D658C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70B3D40"/>
    <w:multiLevelType w:val="hybridMultilevel"/>
    <w:tmpl w:val="214E1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1D36"/>
    <w:multiLevelType w:val="hybridMultilevel"/>
    <w:tmpl w:val="C388D7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B8E409D"/>
    <w:multiLevelType w:val="multilevel"/>
    <w:tmpl w:val="87A669D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0"/>
  </w:num>
  <w:num w:numId="2">
    <w:abstractNumId w:val="18"/>
  </w:num>
  <w:num w:numId="3">
    <w:abstractNumId w:val="22"/>
  </w:num>
  <w:num w:numId="4">
    <w:abstractNumId w:val="2"/>
  </w:num>
  <w:num w:numId="5">
    <w:abstractNumId w:val="26"/>
  </w:num>
  <w:num w:numId="6">
    <w:abstractNumId w:val="13"/>
  </w:num>
  <w:num w:numId="7">
    <w:abstractNumId w:val="24"/>
  </w:num>
  <w:num w:numId="8">
    <w:abstractNumId w:val="19"/>
  </w:num>
  <w:num w:numId="9">
    <w:abstractNumId w:val="21"/>
  </w:num>
  <w:num w:numId="10">
    <w:abstractNumId w:val="8"/>
  </w:num>
  <w:num w:numId="11">
    <w:abstractNumId w:val="3"/>
  </w:num>
  <w:num w:numId="12">
    <w:abstractNumId w:val="14"/>
  </w:num>
  <w:num w:numId="13">
    <w:abstractNumId w:val="16"/>
  </w:num>
  <w:num w:numId="14">
    <w:abstractNumId w:val="10"/>
  </w:num>
  <w:num w:numId="15">
    <w:abstractNumId w:val="9"/>
  </w:num>
  <w:num w:numId="16">
    <w:abstractNumId w:val="12"/>
  </w:num>
  <w:num w:numId="17">
    <w:abstractNumId w:val="15"/>
  </w:num>
  <w:num w:numId="18">
    <w:abstractNumId w:val="25"/>
  </w:num>
  <w:num w:numId="19">
    <w:abstractNumId w:val="23"/>
  </w:num>
  <w:num w:numId="20">
    <w:abstractNumId w:val="6"/>
  </w:num>
  <w:num w:numId="21">
    <w:abstractNumId w:val="29"/>
  </w:num>
  <w:num w:numId="22">
    <w:abstractNumId w:val="5"/>
  </w:num>
  <w:num w:numId="23">
    <w:abstractNumId w:val="17"/>
  </w:num>
  <w:num w:numId="24">
    <w:abstractNumId w:val="4"/>
  </w:num>
  <w:num w:numId="25">
    <w:abstractNumId w:val="11"/>
  </w:num>
  <w:num w:numId="26">
    <w:abstractNumId w:val="27"/>
  </w:num>
  <w:num w:numId="27">
    <w:abstractNumId w:val="1"/>
  </w:num>
  <w:num w:numId="28">
    <w:abstractNumId w:val="0"/>
  </w:num>
  <w:num w:numId="29">
    <w:abstractNumId w:val="20"/>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DA"/>
    <w:rsid w:val="0000156E"/>
    <w:rsid w:val="00002636"/>
    <w:rsid w:val="00002B9D"/>
    <w:rsid w:val="00002F05"/>
    <w:rsid w:val="000057EF"/>
    <w:rsid w:val="00013D97"/>
    <w:rsid w:val="00026160"/>
    <w:rsid w:val="00031499"/>
    <w:rsid w:val="0003388E"/>
    <w:rsid w:val="00036351"/>
    <w:rsid w:val="00041E55"/>
    <w:rsid w:val="0004616E"/>
    <w:rsid w:val="000469AB"/>
    <w:rsid w:val="000475B7"/>
    <w:rsid w:val="00057BF7"/>
    <w:rsid w:val="0006076B"/>
    <w:rsid w:val="00060CA7"/>
    <w:rsid w:val="00065B25"/>
    <w:rsid w:val="00075E40"/>
    <w:rsid w:val="000825EA"/>
    <w:rsid w:val="00086B75"/>
    <w:rsid w:val="000905B7"/>
    <w:rsid w:val="00090F44"/>
    <w:rsid w:val="00095491"/>
    <w:rsid w:val="00095E5E"/>
    <w:rsid w:val="000A2285"/>
    <w:rsid w:val="000B1328"/>
    <w:rsid w:val="000B4236"/>
    <w:rsid w:val="000B4CEC"/>
    <w:rsid w:val="000B4E5D"/>
    <w:rsid w:val="000B71B1"/>
    <w:rsid w:val="000C5940"/>
    <w:rsid w:val="000C6FE2"/>
    <w:rsid w:val="000D5CF5"/>
    <w:rsid w:val="000E3A58"/>
    <w:rsid w:val="000E3B78"/>
    <w:rsid w:val="000E492D"/>
    <w:rsid w:val="000F25DC"/>
    <w:rsid w:val="000F4422"/>
    <w:rsid w:val="00101762"/>
    <w:rsid w:val="00103E8A"/>
    <w:rsid w:val="00104E2C"/>
    <w:rsid w:val="00105686"/>
    <w:rsid w:val="00110214"/>
    <w:rsid w:val="00113680"/>
    <w:rsid w:val="00117D24"/>
    <w:rsid w:val="00120FC5"/>
    <w:rsid w:val="00133EC7"/>
    <w:rsid w:val="001371E5"/>
    <w:rsid w:val="0014570E"/>
    <w:rsid w:val="0014636D"/>
    <w:rsid w:val="001541DD"/>
    <w:rsid w:val="001576EF"/>
    <w:rsid w:val="00167F0C"/>
    <w:rsid w:val="0017146F"/>
    <w:rsid w:val="0017771F"/>
    <w:rsid w:val="001818F3"/>
    <w:rsid w:val="00181ECB"/>
    <w:rsid w:val="00192CEA"/>
    <w:rsid w:val="001A308F"/>
    <w:rsid w:val="001A6ECD"/>
    <w:rsid w:val="001B5565"/>
    <w:rsid w:val="001D16C3"/>
    <w:rsid w:val="001D1F93"/>
    <w:rsid w:val="001D468B"/>
    <w:rsid w:val="001D619A"/>
    <w:rsid w:val="001E0C69"/>
    <w:rsid w:val="001E26C9"/>
    <w:rsid w:val="001E51DB"/>
    <w:rsid w:val="001E64BA"/>
    <w:rsid w:val="00200002"/>
    <w:rsid w:val="0022186E"/>
    <w:rsid w:val="002410F6"/>
    <w:rsid w:val="002420A4"/>
    <w:rsid w:val="00251188"/>
    <w:rsid w:val="0026340A"/>
    <w:rsid w:val="002719D0"/>
    <w:rsid w:val="002746C5"/>
    <w:rsid w:val="00274F6D"/>
    <w:rsid w:val="002816CB"/>
    <w:rsid w:val="00286D52"/>
    <w:rsid w:val="002A769C"/>
    <w:rsid w:val="002C1B89"/>
    <w:rsid w:val="002C2C8D"/>
    <w:rsid w:val="002C677A"/>
    <w:rsid w:val="002E1443"/>
    <w:rsid w:val="002E5A91"/>
    <w:rsid w:val="002E6EDD"/>
    <w:rsid w:val="002F5379"/>
    <w:rsid w:val="00302087"/>
    <w:rsid w:val="003038EF"/>
    <w:rsid w:val="00311E70"/>
    <w:rsid w:val="00312E72"/>
    <w:rsid w:val="003143B9"/>
    <w:rsid w:val="00344B18"/>
    <w:rsid w:val="003631C0"/>
    <w:rsid w:val="0036650A"/>
    <w:rsid w:val="00374453"/>
    <w:rsid w:val="0038326B"/>
    <w:rsid w:val="00384690"/>
    <w:rsid w:val="00397A68"/>
    <w:rsid w:val="003A284A"/>
    <w:rsid w:val="003A4DB6"/>
    <w:rsid w:val="003A6CB6"/>
    <w:rsid w:val="003B26DA"/>
    <w:rsid w:val="003B3C76"/>
    <w:rsid w:val="003D4723"/>
    <w:rsid w:val="003D5BBA"/>
    <w:rsid w:val="003D6CF7"/>
    <w:rsid w:val="003D7327"/>
    <w:rsid w:val="003F06F6"/>
    <w:rsid w:val="003F4856"/>
    <w:rsid w:val="0040558E"/>
    <w:rsid w:val="00417734"/>
    <w:rsid w:val="00422830"/>
    <w:rsid w:val="0043012A"/>
    <w:rsid w:val="00433B07"/>
    <w:rsid w:val="00434470"/>
    <w:rsid w:val="00435817"/>
    <w:rsid w:val="00437819"/>
    <w:rsid w:val="00443EBA"/>
    <w:rsid w:val="00447891"/>
    <w:rsid w:val="00454ED9"/>
    <w:rsid w:val="00457E34"/>
    <w:rsid w:val="0046634A"/>
    <w:rsid w:val="004700EB"/>
    <w:rsid w:val="004710D0"/>
    <w:rsid w:val="004809E6"/>
    <w:rsid w:val="004848C0"/>
    <w:rsid w:val="00492904"/>
    <w:rsid w:val="004A21AC"/>
    <w:rsid w:val="004A21D3"/>
    <w:rsid w:val="004A267C"/>
    <w:rsid w:val="004B4749"/>
    <w:rsid w:val="004B7154"/>
    <w:rsid w:val="004C13E6"/>
    <w:rsid w:val="004C3B0A"/>
    <w:rsid w:val="004C5A20"/>
    <w:rsid w:val="004D24AA"/>
    <w:rsid w:val="004D4E18"/>
    <w:rsid w:val="004F0790"/>
    <w:rsid w:val="004F0873"/>
    <w:rsid w:val="00504139"/>
    <w:rsid w:val="005213D2"/>
    <w:rsid w:val="005438C9"/>
    <w:rsid w:val="0054746B"/>
    <w:rsid w:val="0055433D"/>
    <w:rsid w:val="00554B6A"/>
    <w:rsid w:val="00560D81"/>
    <w:rsid w:val="00565B86"/>
    <w:rsid w:val="00565C88"/>
    <w:rsid w:val="0058394E"/>
    <w:rsid w:val="00586419"/>
    <w:rsid w:val="00591737"/>
    <w:rsid w:val="005A17E3"/>
    <w:rsid w:val="005A2E24"/>
    <w:rsid w:val="005A57FC"/>
    <w:rsid w:val="005A5FFB"/>
    <w:rsid w:val="005A6175"/>
    <w:rsid w:val="005A678B"/>
    <w:rsid w:val="005B1B3D"/>
    <w:rsid w:val="005B3411"/>
    <w:rsid w:val="005C34DF"/>
    <w:rsid w:val="005C3A83"/>
    <w:rsid w:val="005C6C38"/>
    <w:rsid w:val="005D3576"/>
    <w:rsid w:val="005E3C1F"/>
    <w:rsid w:val="005E52BD"/>
    <w:rsid w:val="005F5018"/>
    <w:rsid w:val="006036EB"/>
    <w:rsid w:val="00604464"/>
    <w:rsid w:val="00604F50"/>
    <w:rsid w:val="0062373C"/>
    <w:rsid w:val="00623F89"/>
    <w:rsid w:val="0062577D"/>
    <w:rsid w:val="00630717"/>
    <w:rsid w:val="00640E8E"/>
    <w:rsid w:val="0065262A"/>
    <w:rsid w:val="00661B4C"/>
    <w:rsid w:val="0066571A"/>
    <w:rsid w:val="00672DE6"/>
    <w:rsid w:val="00673B78"/>
    <w:rsid w:val="006917F2"/>
    <w:rsid w:val="006B5DFE"/>
    <w:rsid w:val="006B7BA5"/>
    <w:rsid w:val="006D53A6"/>
    <w:rsid w:val="006F4F4F"/>
    <w:rsid w:val="00701F52"/>
    <w:rsid w:val="0071079C"/>
    <w:rsid w:val="00712D14"/>
    <w:rsid w:val="00724959"/>
    <w:rsid w:val="00730975"/>
    <w:rsid w:val="00732682"/>
    <w:rsid w:val="00740D18"/>
    <w:rsid w:val="007517BD"/>
    <w:rsid w:val="00755D39"/>
    <w:rsid w:val="00756058"/>
    <w:rsid w:val="0076474E"/>
    <w:rsid w:val="00765B0C"/>
    <w:rsid w:val="00783A94"/>
    <w:rsid w:val="00793823"/>
    <w:rsid w:val="007944F2"/>
    <w:rsid w:val="007A4338"/>
    <w:rsid w:val="007A72E3"/>
    <w:rsid w:val="007B0383"/>
    <w:rsid w:val="007B12FF"/>
    <w:rsid w:val="007C170D"/>
    <w:rsid w:val="007C3685"/>
    <w:rsid w:val="007C3A3A"/>
    <w:rsid w:val="007C7219"/>
    <w:rsid w:val="007D0901"/>
    <w:rsid w:val="007D39F7"/>
    <w:rsid w:val="007F307D"/>
    <w:rsid w:val="007F5B9F"/>
    <w:rsid w:val="00801A1B"/>
    <w:rsid w:val="008060EC"/>
    <w:rsid w:val="00807109"/>
    <w:rsid w:val="00807E69"/>
    <w:rsid w:val="0081204F"/>
    <w:rsid w:val="008277DB"/>
    <w:rsid w:val="008428E9"/>
    <w:rsid w:val="00842C4D"/>
    <w:rsid w:val="00847F54"/>
    <w:rsid w:val="00853963"/>
    <w:rsid w:val="00853A6F"/>
    <w:rsid w:val="00853CD8"/>
    <w:rsid w:val="0086154F"/>
    <w:rsid w:val="00871597"/>
    <w:rsid w:val="0087432E"/>
    <w:rsid w:val="00893834"/>
    <w:rsid w:val="00893B18"/>
    <w:rsid w:val="008B22E8"/>
    <w:rsid w:val="008B319E"/>
    <w:rsid w:val="008B47CA"/>
    <w:rsid w:val="008B7087"/>
    <w:rsid w:val="008C253B"/>
    <w:rsid w:val="008C26A0"/>
    <w:rsid w:val="008C4341"/>
    <w:rsid w:val="008C760F"/>
    <w:rsid w:val="008D134A"/>
    <w:rsid w:val="008D5EB0"/>
    <w:rsid w:val="008E092F"/>
    <w:rsid w:val="008E2705"/>
    <w:rsid w:val="008E5FBF"/>
    <w:rsid w:val="008F1EBF"/>
    <w:rsid w:val="008F7C4A"/>
    <w:rsid w:val="00903913"/>
    <w:rsid w:val="00903F58"/>
    <w:rsid w:val="00905FA8"/>
    <w:rsid w:val="009107E2"/>
    <w:rsid w:val="00915AEC"/>
    <w:rsid w:val="0093229E"/>
    <w:rsid w:val="009325BA"/>
    <w:rsid w:val="00940FB8"/>
    <w:rsid w:val="00942ED1"/>
    <w:rsid w:val="00956298"/>
    <w:rsid w:val="009617B3"/>
    <w:rsid w:val="00965CE0"/>
    <w:rsid w:val="00973183"/>
    <w:rsid w:val="00984468"/>
    <w:rsid w:val="009916BE"/>
    <w:rsid w:val="009A1B19"/>
    <w:rsid w:val="009A63C6"/>
    <w:rsid w:val="009B618F"/>
    <w:rsid w:val="009B7307"/>
    <w:rsid w:val="009C504F"/>
    <w:rsid w:val="009E16BD"/>
    <w:rsid w:val="009F4DEF"/>
    <w:rsid w:val="00A06792"/>
    <w:rsid w:val="00A22845"/>
    <w:rsid w:val="00A50905"/>
    <w:rsid w:val="00A66325"/>
    <w:rsid w:val="00A703DF"/>
    <w:rsid w:val="00A83E39"/>
    <w:rsid w:val="00A93087"/>
    <w:rsid w:val="00A94994"/>
    <w:rsid w:val="00A95EDA"/>
    <w:rsid w:val="00A95F70"/>
    <w:rsid w:val="00A96765"/>
    <w:rsid w:val="00AA2726"/>
    <w:rsid w:val="00AB663A"/>
    <w:rsid w:val="00AC7F82"/>
    <w:rsid w:val="00AD5207"/>
    <w:rsid w:val="00AE08F7"/>
    <w:rsid w:val="00AE133C"/>
    <w:rsid w:val="00AF6295"/>
    <w:rsid w:val="00B024B6"/>
    <w:rsid w:val="00B05120"/>
    <w:rsid w:val="00B059E6"/>
    <w:rsid w:val="00B119EF"/>
    <w:rsid w:val="00B14DEB"/>
    <w:rsid w:val="00B236D5"/>
    <w:rsid w:val="00B31308"/>
    <w:rsid w:val="00B31403"/>
    <w:rsid w:val="00B31DAB"/>
    <w:rsid w:val="00B33A05"/>
    <w:rsid w:val="00B353D9"/>
    <w:rsid w:val="00B40F36"/>
    <w:rsid w:val="00B514FB"/>
    <w:rsid w:val="00B530E3"/>
    <w:rsid w:val="00B5697C"/>
    <w:rsid w:val="00B578E8"/>
    <w:rsid w:val="00B61570"/>
    <w:rsid w:val="00B64B0D"/>
    <w:rsid w:val="00B74737"/>
    <w:rsid w:val="00B81EE2"/>
    <w:rsid w:val="00B8388A"/>
    <w:rsid w:val="00B83FFE"/>
    <w:rsid w:val="00B84179"/>
    <w:rsid w:val="00B84C64"/>
    <w:rsid w:val="00B973AA"/>
    <w:rsid w:val="00BA4509"/>
    <w:rsid w:val="00BA5440"/>
    <w:rsid w:val="00BA6DC5"/>
    <w:rsid w:val="00BC24B6"/>
    <w:rsid w:val="00BC6427"/>
    <w:rsid w:val="00BD33E4"/>
    <w:rsid w:val="00BD5DA2"/>
    <w:rsid w:val="00BD75A8"/>
    <w:rsid w:val="00BD7748"/>
    <w:rsid w:val="00BE4F08"/>
    <w:rsid w:val="00BF4F27"/>
    <w:rsid w:val="00C04874"/>
    <w:rsid w:val="00C12247"/>
    <w:rsid w:val="00C173B8"/>
    <w:rsid w:val="00C22C17"/>
    <w:rsid w:val="00C33095"/>
    <w:rsid w:val="00C34B42"/>
    <w:rsid w:val="00C36768"/>
    <w:rsid w:val="00C61855"/>
    <w:rsid w:val="00C713C0"/>
    <w:rsid w:val="00C7223F"/>
    <w:rsid w:val="00C738F9"/>
    <w:rsid w:val="00C75E91"/>
    <w:rsid w:val="00C80BA5"/>
    <w:rsid w:val="00C857F9"/>
    <w:rsid w:val="00C904C9"/>
    <w:rsid w:val="00C9707F"/>
    <w:rsid w:val="00CA173C"/>
    <w:rsid w:val="00CA1A4A"/>
    <w:rsid w:val="00CA696B"/>
    <w:rsid w:val="00CA710B"/>
    <w:rsid w:val="00CB2335"/>
    <w:rsid w:val="00CB4715"/>
    <w:rsid w:val="00CC24A1"/>
    <w:rsid w:val="00CC51A7"/>
    <w:rsid w:val="00CD2333"/>
    <w:rsid w:val="00CE784F"/>
    <w:rsid w:val="00CF204C"/>
    <w:rsid w:val="00CF560E"/>
    <w:rsid w:val="00CF7941"/>
    <w:rsid w:val="00D003F4"/>
    <w:rsid w:val="00D02897"/>
    <w:rsid w:val="00D076F1"/>
    <w:rsid w:val="00D12EA6"/>
    <w:rsid w:val="00D2481A"/>
    <w:rsid w:val="00D25C73"/>
    <w:rsid w:val="00D553E7"/>
    <w:rsid w:val="00D62BBD"/>
    <w:rsid w:val="00D62FC3"/>
    <w:rsid w:val="00D6509F"/>
    <w:rsid w:val="00D651ED"/>
    <w:rsid w:val="00D80BE1"/>
    <w:rsid w:val="00D864CB"/>
    <w:rsid w:val="00D933A5"/>
    <w:rsid w:val="00DA2CA7"/>
    <w:rsid w:val="00DA7EF1"/>
    <w:rsid w:val="00DC346A"/>
    <w:rsid w:val="00DD1E2C"/>
    <w:rsid w:val="00DD3D1A"/>
    <w:rsid w:val="00DD7A5A"/>
    <w:rsid w:val="00DE134E"/>
    <w:rsid w:val="00DE6962"/>
    <w:rsid w:val="00DF26D6"/>
    <w:rsid w:val="00E012CB"/>
    <w:rsid w:val="00E03045"/>
    <w:rsid w:val="00E03072"/>
    <w:rsid w:val="00E04049"/>
    <w:rsid w:val="00E11BA7"/>
    <w:rsid w:val="00E26726"/>
    <w:rsid w:val="00E273A5"/>
    <w:rsid w:val="00E3189E"/>
    <w:rsid w:val="00E33842"/>
    <w:rsid w:val="00E47827"/>
    <w:rsid w:val="00E71170"/>
    <w:rsid w:val="00E75B7D"/>
    <w:rsid w:val="00E76041"/>
    <w:rsid w:val="00E81A13"/>
    <w:rsid w:val="00E81C06"/>
    <w:rsid w:val="00E964A4"/>
    <w:rsid w:val="00EA610E"/>
    <w:rsid w:val="00EA6559"/>
    <w:rsid w:val="00EB0976"/>
    <w:rsid w:val="00EB430E"/>
    <w:rsid w:val="00EC441E"/>
    <w:rsid w:val="00ED0873"/>
    <w:rsid w:val="00ED2C80"/>
    <w:rsid w:val="00ED3FF4"/>
    <w:rsid w:val="00EE0999"/>
    <w:rsid w:val="00EE0EFD"/>
    <w:rsid w:val="00EE37C8"/>
    <w:rsid w:val="00EF3695"/>
    <w:rsid w:val="00EF4576"/>
    <w:rsid w:val="00F02DE7"/>
    <w:rsid w:val="00F13884"/>
    <w:rsid w:val="00F33077"/>
    <w:rsid w:val="00F34CF0"/>
    <w:rsid w:val="00F44DBC"/>
    <w:rsid w:val="00F46C8B"/>
    <w:rsid w:val="00F5445A"/>
    <w:rsid w:val="00F60ACA"/>
    <w:rsid w:val="00F60D7C"/>
    <w:rsid w:val="00F67D1B"/>
    <w:rsid w:val="00F67FB6"/>
    <w:rsid w:val="00F73876"/>
    <w:rsid w:val="00F80167"/>
    <w:rsid w:val="00F80CF5"/>
    <w:rsid w:val="00F91097"/>
    <w:rsid w:val="00F97AF7"/>
    <w:rsid w:val="00FA6F66"/>
    <w:rsid w:val="00FB12C1"/>
    <w:rsid w:val="00FB5121"/>
    <w:rsid w:val="00FD0860"/>
    <w:rsid w:val="00FD13EF"/>
    <w:rsid w:val="00FD4AE6"/>
    <w:rsid w:val="00FE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01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B26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26DA"/>
  </w:style>
  <w:style w:type="paragraph" w:styleId="Header">
    <w:name w:val="header"/>
    <w:basedOn w:val="Normal"/>
    <w:link w:val="HeaderChar"/>
    <w:uiPriority w:val="99"/>
    <w:semiHidden/>
    <w:unhideWhenUsed/>
    <w:rsid w:val="003B26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26DA"/>
  </w:style>
  <w:style w:type="paragraph" w:styleId="ListParagraph">
    <w:name w:val="List Paragraph"/>
    <w:basedOn w:val="Normal"/>
    <w:uiPriority w:val="34"/>
    <w:qFormat/>
    <w:rsid w:val="003B26DA"/>
    <w:pPr>
      <w:ind w:left="720"/>
      <w:contextualSpacing/>
    </w:pPr>
  </w:style>
  <w:style w:type="paragraph" w:styleId="BalloonText">
    <w:name w:val="Balloon Text"/>
    <w:basedOn w:val="Normal"/>
    <w:link w:val="BalloonTextChar"/>
    <w:uiPriority w:val="99"/>
    <w:semiHidden/>
    <w:unhideWhenUsed/>
    <w:rsid w:val="00B3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3D9"/>
    <w:rPr>
      <w:rFonts w:ascii="Segoe UI" w:hAnsi="Segoe UI" w:cs="Segoe UI"/>
      <w:sz w:val="18"/>
      <w:szCs w:val="18"/>
    </w:rPr>
  </w:style>
  <w:style w:type="character" w:styleId="CommentReference">
    <w:name w:val="annotation reference"/>
    <w:basedOn w:val="DefaultParagraphFont"/>
    <w:uiPriority w:val="99"/>
    <w:semiHidden/>
    <w:unhideWhenUsed/>
    <w:rsid w:val="00C904C9"/>
    <w:rPr>
      <w:sz w:val="16"/>
      <w:szCs w:val="16"/>
    </w:rPr>
  </w:style>
  <w:style w:type="paragraph" w:styleId="CommentText">
    <w:name w:val="annotation text"/>
    <w:basedOn w:val="Normal"/>
    <w:link w:val="CommentTextChar"/>
    <w:uiPriority w:val="99"/>
    <w:semiHidden/>
    <w:unhideWhenUsed/>
    <w:rsid w:val="00C904C9"/>
    <w:pPr>
      <w:spacing w:line="240" w:lineRule="auto"/>
    </w:pPr>
    <w:rPr>
      <w:sz w:val="20"/>
      <w:szCs w:val="20"/>
    </w:rPr>
  </w:style>
  <w:style w:type="character" w:customStyle="1" w:styleId="CommentTextChar">
    <w:name w:val="Comment Text Char"/>
    <w:basedOn w:val="DefaultParagraphFont"/>
    <w:link w:val="CommentText"/>
    <w:uiPriority w:val="99"/>
    <w:semiHidden/>
    <w:rsid w:val="00C904C9"/>
    <w:rPr>
      <w:sz w:val="20"/>
      <w:szCs w:val="20"/>
    </w:rPr>
  </w:style>
  <w:style w:type="paragraph" w:styleId="CommentSubject">
    <w:name w:val="annotation subject"/>
    <w:basedOn w:val="CommentText"/>
    <w:next w:val="CommentText"/>
    <w:link w:val="CommentSubjectChar"/>
    <w:uiPriority w:val="99"/>
    <w:semiHidden/>
    <w:unhideWhenUsed/>
    <w:rsid w:val="00C904C9"/>
    <w:rPr>
      <w:b/>
      <w:bCs/>
    </w:rPr>
  </w:style>
  <w:style w:type="character" w:customStyle="1" w:styleId="CommentSubjectChar">
    <w:name w:val="Comment Subject Char"/>
    <w:basedOn w:val="CommentTextChar"/>
    <w:link w:val="CommentSubject"/>
    <w:uiPriority w:val="99"/>
    <w:semiHidden/>
    <w:rsid w:val="00C904C9"/>
    <w:rPr>
      <w:b/>
      <w:bCs/>
      <w:sz w:val="20"/>
      <w:szCs w:val="20"/>
    </w:rPr>
  </w:style>
  <w:style w:type="paragraph" w:styleId="FootnoteText">
    <w:name w:val="footnote text"/>
    <w:basedOn w:val="Normal"/>
    <w:link w:val="FootnoteTextChar"/>
    <w:uiPriority w:val="99"/>
    <w:unhideWhenUsed/>
    <w:rsid w:val="004C13E6"/>
    <w:pPr>
      <w:spacing w:after="0" w:line="280" w:lineRule="exact"/>
      <w:jc w:val="both"/>
    </w:pPr>
    <w:rPr>
      <w:rFonts w:ascii="Arial" w:eastAsia="Calibri" w:hAnsi="Arial" w:cs="Times New Roman"/>
      <w:sz w:val="20"/>
      <w:szCs w:val="20"/>
      <w:lang w:val="en-ZA"/>
    </w:rPr>
  </w:style>
  <w:style w:type="character" w:customStyle="1" w:styleId="FootnoteTextChar">
    <w:name w:val="Footnote Text Char"/>
    <w:basedOn w:val="DefaultParagraphFont"/>
    <w:link w:val="FootnoteText"/>
    <w:uiPriority w:val="99"/>
    <w:rsid w:val="004C13E6"/>
    <w:rPr>
      <w:rFonts w:ascii="Arial" w:eastAsia="Calibri" w:hAnsi="Arial" w:cs="Times New Roman"/>
      <w:sz w:val="20"/>
      <w:szCs w:val="20"/>
      <w:lang w:val="en-ZA"/>
    </w:rPr>
  </w:style>
  <w:style w:type="character" w:styleId="FootnoteReference">
    <w:name w:val="footnote reference"/>
    <w:uiPriority w:val="99"/>
    <w:unhideWhenUsed/>
    <w:rsid w:val="004C13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B26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26DA"/>
  </w:style>
  <w:style w:type="paragraph" w:styleId="Header">
    <w:name w:val="header"/>
    <w:basedOn w:val="Normal"/>
    <w:link w:val="HeaderChar"/>
    <w:uiPriority w:val="99"/>
    <w:semiHidden/>
    <w:unhideWhenUsed/>
    <w:rsid w:val="003B26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26DA"/>
  </w:style>
  <w:style w:type="paragraph" w:styleId="ListParagraph">
    <w:name w:val="List Paragraph"/>
    <w:basedOn w:val="Normal"/>
    <w:uiPriority w:val="34"/>
    <w:qFormat/>
    <w:rsid w:val="003B26DA"/>
    <w:pPr>
      <w:ind w:left="720"/>
      <w:contextualSpacing/>
    </w:pPr>
  </w:style>
  <w:style w:type="paragraph" w:styleId="BalloonText">
    <w:name w:val="Balloon Text"/>
    <w:basedOn w:val="Normal"/>
    <w:link w:val="BalloonTextChar"/>
    <w:uiPriority w:val="99"/>
    <w:semiHidden/>
    <w:unhideWhenUsed/>
    <w:rsid w:val="00B3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3D9"/>
    <w:rPr>
      <w:rFonts w:ascii="Segoe UI" w:hAnsi="Segoe UI" w:cs="Segoe UI"/>
      <w:sz w:val="18"/>
      <w:szCs w:val="18"/>
    </w:rPr>
  </w:style>
  <w:style w:type="character" w:styleId="CommentReference">
    <w:name w:val="annotation reference"/>
    <w:basedOn w:val="DefaultParagraphFont"/>
    <w:uiPriority w:val="99"/>
    <w:semiHidden/>
    <w:unhideWhenUsed/>
    <w:rsid w:val="00C904C9"/>
    <w:rPr>
      <w:sz w:val="16"/>
      <w:szCs w:val="16"/>
    </w:rPr>
  </w:style>
  <w:style w:type="paragraph" w:styleId="CommentText">
    <w:name w:val="annotation text"/>
    <w:basedOn w:val="Normal"/>
    <w:link w:val="CommentTextChar"/>
    <w:uiPriority w:val="99"/>
    <w:semiHidden/>
    <w:unhideWhenUsed/>
    <w:rsid w:val="00C904C9"/>
    <w:pPr>
      <w:spacing w:line="240" w:lineRule="auto"/>
    </w:pPr>
    <w:rPr>
      <w:sz w:val="20"/>
      <w:szCs w:val="20"/>
    </w:rPr>
  </w:style>
  <w:style w:type="character" w:customStyle="1" w:styleId="CommentTextChar">
    <w:name w:val="Comment Text Char"/>
    <w:basedOn w:val="DefaultParagraphFont"/>
    <w:link w:val="CommentText"/>
    <w:uiPriority w:val="99"/>
    <w:semiHidden/>
    <w:rsid w:val="00C904C9"/>
    <w:rPr>
      <w:sz w:val="20"/>
      <w:szCs w:val="20"/>
    </w:rPr>
  </w:style>
  <w:style w:type="paragraph" w:styleId="CommentSubject">
    <w:name w:val="annotation subject"/>
    <w:basedOn w:val="CommentText"/>
    <w:next w:val="CommentText"/>
    <w:link w:val="CommentSubjectChar"/>
    <w:uiPriority w:val="99"/>
    <w:semiHidden/>
    <w:unhideWhenUsed/>
    <w:rsid w:val="00C904C9"/>
    <w:rPr>
      <w:b/>
      <w:bCs/>
    </w:rPr>
  </w:style>
  <w:style w:type="character" w:customStyle="1" w:styleId="CommentSubjectChar">
    <w:name w:val="Comment Subject Char"/>
    <w:basedOn w:val="CommentTextChar"/>
    <w:link w:val="CommentSubject"/>
    <w:uiPriority w:val="99"/>
    <w:semiHidden/>
    <w:rsid w:val="00C904C9"/>
    <w:rPr>
      <w:b/>
      <w:bCs/>
      <w:sz w:val="20"/>
      <w:szCs w:val="20"/>
    </w:rPr>
  </w:style>
  <w:style w:type="paragraph" w:styleId="FootnoteText">
    <w:name w:val="footnote text"/>
    <w:basedOn w:val="Normal"/>
    <w:link w:val="FootnoteTextChar"/>
    <w:uiPriority w:val="99"/>
    <w:unhideWhenUsed/>
    <w:rsid w:val="004C13E6"/>
    <w:pPr>
      <w:spacing w:after="0" w:line="280" w:lineRule="exact"/>
      <w:jc w:val="both"/>
    </w:pPr>
    <w:rPr>
      <w:rFonts w:ascii="Arial" w:eastAsia="Calibri" w:hAnsi="Arial" w:cs="Times New Roman"/>
      <w:sz w:val="20"/>
      <w:szCs w:val="20"/>
      <w:lang w:val="en-ZA"/>
    </w:rPr>
  </w:style>
  <w:style w:type="character" w:customStyle="1" w:styleId="FootnoteTextChar">
    <w:name w:val="Footnote Text Char"/>
    <w:basedOn w:val="DefaultParagraphFont"/>
    <w:link w:val="FootnoteText"/>
    <w:uiPriority w:val="99"/>
    <w:rsid w:val="004C13E6"/>
    <w:rPr>
      <w:rFonts w:ascii="Arial" w:eastAsia="Calibri" w:hAnsi="Arial" w:cs="Times New Roman"/>
      <w:sz w:val="20"/>
      <w:szCs w:val="20"/>
      <w:lang w:val="en-ZA"/>
    </w:rPr>
  </w:style>
  <w:style w:type="character" w:styleId="FootnoteReference">
    <w:name w:val="footnote reference"/>
    <w:uiPriority w:val="99"/>
    <w:unhideWhenUsed/>
    <w:rsid w:val="004C13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4139">
      <w:bodyDiv w:val="1"/>
      <w:marLeft w:val="0"/>
      <w:marRight w:val="0"/>
      <w:marTop w:val="0"/>
      <w:marBottom w:val="0"/>
      <w:divBdr>
        <w:top w:val="none" w:sz="0" w:space="0" w:color="auto"/>
        <w:left w:val="none" w:sz="0" w:space="0" w:color="auto"/>
        <w:bottom w:val="none" w:sz="0" w:space="0" w:color="auto"/>
        <w:right w:val="none" w:sz="0" w:space="0" w:color="auto"/>
      </w:divBdr>
    </w:div>
    <w:div w:id="20784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50F7-F958-4867-958F-D5E1EFB9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4483</Words>
  <Characters>25558</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Asanda</cp:lastModifiedBy>
  <cp:revision>2</cp:revision>
  <cp:lastPrinted>2019-11-19T09:13:00Z</cp:lastPrinted>
  <dcterms:created xsi:type="dcterms:W3CDTF">2019-11-20T08:17:00Z</dcterms:created>
  <dcterms:modified xsi:type="dcterms:W3CDTF">2019-11-20T08:17:00Z</dcterms:modified>
</cp:coreProperties>
</file>