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73" w:rsidRDefault="00600CD3" w:rsidP="00A73C53">
      <w:pPr>
        <w:rPr>
          <w:rFonts w:ascii="Arial" w:hAnsi="Arial" w:cs="Arial"/>
          <w:b/>
        </w:rPr>
      </w:pPr>
      <w:bookmarkStart w:id="0" w:name="_GoBack"/>
      <w:bookmarkEnd w:id="0"/>
      <w:r>
        <w:rPr>
          <w:rFonts w:ascii="Arial" w:hAnsi="Arial" w:cs="Arial"/>
          <w:b/>
          <w:noProof/>
          <w:lang w:val="en-ZA" w:eastAsia="en-ZA"/>
        </w:rPr>
        <w:drawing>
          <wp:anchor distT="0" distB="0" distL="114300" distR="114300" simplePos="0" relativeHeight="251661312" behindDoc="0" locked="0" layoutInCell="1" allowOverlap="1">
            <wp:simplePos x="0" y="0"/>
            <wp:positionH relativeFrom="column">
              <wp:posOffset>4381500</wp:posOffset>
            </wp:positionH>
            <wp:positionV relativeFrom="paragraph">
              <wp:posOffset>-804545</wp:posOffset>
            </wp:positionV>
            <wp:extent cx="2351405" cy="800100"/>
            <wp:effectExtent l="19050" t="0" r="0" b="0"/>
            <wp:wrapNone/>
            <wp:docPr id="4" name="Picture 4"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6" cstate="print"/>
                    <a:srcRect/>
                    <a:stretch>
                      <a:fillRect/>
                    </a:stretch>
                  </pic:blipFill>
                  <pic:spPr bwMode="auto">
                    <a:xfrm>
                      <a:off x="0" y="0"/>
                      <a:ext cx="2351405" cy="800100"/>
                    </a:xfrm>
                    <a:prstGeom prst="rect">
                      <a:avLst/>
                    </a:prstGeom>
                    <a:noFill/>
                  </pic:spPr>
                </pic:pic>
              </a:graphicData>
            </a:graphic>
          </wp:anchor>
        </w:drawing>
      </w:r>
      <w:r w:rsidR="002A3573">
        <w:rPr>
          <w:noProof/>
          <w:lang w:val="en-ZA" w:eastAsia="en-ZA"/>
        </w:rPr>
        <w:drawing>
          <wp:anchor distT="0" distB="0" distL="114300" distR="114300" simplePos="0" relativeHeight="251659264" behindDoc="0" locked="0" layoutInCell="1" allowOverlap="1">
            <wp:simplePos x="0" y="0"/>
            <wp:positionH relativeFrom="column">
              <wp:posOffset>-838200</wp:posOffset>
            </wp:positionH>
            <wp:positionV relativeFrom="paragraph">
              <wp:posOffset>-824230</wp:posOffset>
            </wp:positionV>
            <wp:extent cx="2543810" cy="824230"/>
            <wp:effectExtent l="0" t="0" r="889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p>
    <w:p w:rsidR="00A73C53" w:rsidRPr="004A057E" w:rsidRDefault="00A73C53" w:rsidP="00A73C53">
      <w:pPr>
        <w:rPr>
          <w:rFonts w:ascii="Arial" w:hAnsi="Arial" w:cs="Arial"/>
          <w:b/>
        </w:rPr>
      </w:pPr>
      <w:r w:rsidRPr="004A057E">
        <w:rPr>
          <w:rFonts w:ascii="Arial" w:hAnsi="Arial" w:cs="Arial"/>
          <w:b/>
        </w:rPr>
        <w:t xml:space="preserve">Briefing Note for the 2019/20 Q2 and Responses from management of Parliament  </w:t>
      </w:r>
    </w:p>
    <w:p w:rsidR="00A73C53" w:rsidRDefault="00A73C53" w:rsidP="00A73C53">
      <w:pPr>
        <w:jc w:val="both"/>
        <w:rPr>
          <w:rFonts w:ascii="Arial" w:hAnsi="Arial" w:cs="Arial"/>
          <w:b/>
        </w:rPr>
      </w:pPr>
    </w:p>
    <w:p w:rsidR="00A73C53" w:rsidRPr="004A057E" w:rsidRDefault="00A73C53" w:rsidP="00A73C53">
      <w:pPr>
        <w:pStyle w:val="ListParagraph"/>
        <w:numPr>
          <w:ilvl w:val="0"/>
          <w:numId w:val="1"/>
        </w:numPr>
        <w:jc w:val="both"/>
        <w:rPr>
          <w:rFonts w:ascii="Arial" w:hAnsi="Arial" w:cs="Arial"/>
          <w:b/>
        </w:rPr>
      </w:pPr>
      <w:r w:rsidRPr="004A057E">
        <w:rPr>
          <w:rFonts w:ascii="Arial" w:hAnsi="Arial" w:cs="Arial"/>
          <w:b/>
        </w:rPr>
        <w:t>Purpose</w:t>
      </w:r>
    </w:p>
    <w:p w:rsidR="00A73C53" w:rsidRDefault="00A73C53" w:rsidP="00A73C53">
      <w:pPr>
        <w:jc w:val="both"/>
        <w:rPr>
          <w:rFonts w:ascii="Arial" w:hAnsi="Arial" w:cs="Arial"/>
        </w:rPr>
      </w:pPr>
      <w:r w:rsidRPr="004A057E">
        <w:rPr>
          <w:rFonts w:ascii="Arial" w:hAnsi="Arial" w:cs="Arial"/>
        </w:rPr>
        <w:t>The Purpose of this briefing is to highlight so</w:t>
      </w:r>
      <w:r w:rsidR="00584582" w:rsidRPr="004A057E">
        <w:rPr>
          <w:rFonts w:ascii="Arial" w:hAnsi="Arial" w:cs="Arial"/>
        </w:rPr>
        <w:t>me anomalies emanating from the</w:t>
      </w:r>
      <w:r w:rsidRPr="004A057E">
        <w:rPr>
          <w:rFonts w:ascii="Arial" w:hAnsi="Arial" w:cs="Arial"/>
        </w:rPr>
        <w:t xml:space="preserve"> second quarter performance report for 2019/20 financial year. The rationale is to get a clarity or an explanation from the management of Parliament with regard to the identified anomalies or concerns. As such this brief is packaged as follows: Background and introduction, Brief overview and summary of first quarter performance report (non-financial and financial)</w:t>
      </w:r>
    </w:p>
    <w:p w:rsidR="00A73C53" w:rsidRPr="004A057E" w:rsidRDefault="00A73C53" w:rsidP="00A73C53">
      <w:pPr>
        <w:pStyle w:val="ListParagraph"/>
        <w:numPr>
          <w:ilvl w:val="0"/>
          <w:numId w:val="1"/>
        </w:numPr>
        <w:jc w:val="both"/>
        <w:rPr>
          <w:rFonts w:ascii="Arial" w:hAnsi="Arial" w:cs="Arial"/>
          <w:b/>
        </w:rPr>
      </w:pPr>
      <w:r w:rsidRPr="004A057E">
        <w:rPr>
          <w:rFonts w:ascii="Arial" w:hAnsi="Arial" w:cs="Arial"/>
          <w:b/>
        </w:rPr>
        <w:t>Background and introduction</w:t>
      </w:r>
    </w:p>
    <w:p w:rsidR="00A73C53" w:rsidRDefault="00A73C53" w:rsidP="00A73C53">
      <w:pPr>
        <w:jc w:val="both"/>
        <w:rPr>
          <w:rFonts w:ascii="Arial" w:hAnsi="Arial" w:cs="Arial"/>
        </w:rPr>
      </w:pPr>
      <w:r w:rsidRPr="004A057E">
        <w:rPr>
          <w:rFonts w:ascii="Arial" w:hAnsi="Arial" w:cs="Arial"/>
        </w:rPr>
        <w:t>Financial Management of Parliament and Provincial Legislatures Act (the Act) requires that the Accounting Officer, must within 30 days of the end of each quarter, report to the Executive Authority on Parliament’s performance in implementing the annual performance plan in that quarter.</w:t>
      </w:r>
      <w:r w:rsidRPr="00584582">
        <w:rPr>
          <w:rFonts w:ascii="Arial" w:hAnsi="Arial" w:cs="Arial"/>
        </w:rPr>
        <w:t xml:space="preserve"> Following that, the Executive Authority must table it to Parliament for the referral to the oversight mechanism (Joint Standing Committee on Financial Management of Parliament).</w:t>
      </w:r>
    </w:p>
    <w:p w:rsidR="00A73C53" w:rsidRDefault="00A73C53" w:rsidP="00A73C53">
      <w:pPr>
        <w:jc w:val="both"/>
        <w:rPr>
          <w:rFonts w:ascii="Arial" w:hAnsi="Arial" w:cs="Arial"/>
        </w:rPr>
      </w:pPr>
      <w:r w:rsidRPr="00584582">
        <w:rPr>
          <w:rFonts w:ascii="Arial" w:hAnsi="Arial" w:cs="Arial"/>
        </w:rPr>
        <w:t>In pursuance of the above, on the 1 November</w:t>
      </w:r>
      <w:r w:rsidR="00584582" w:rsidRPr="00584582">
        <w:rPr>
          <w:rFonts w:ascii="Arial" w:hAnsi="Arial" w:cs="Arial"/>
        </w:rPr>
        <w:t xml:space="preserve"> 2019, the Second</w:t>
      </w:r>
      <w:r w:rsidRPr="00584582">
        <w:rPr>
          <w:rFonts w:ascii="Arial" w:hAnsi="Arial" w:cs="Arial"/>
        </w:rPr>
        <w:t xml:space="preserve"> Quarter Performance Report for 2019/20 was tabled to Parliament for the referral to the Joint Standing Committee on Financial Management of Parliament (the Committee).  Thus, the Committee considers it.</w:t>
      </w:r>
    </w:p>
    <w:p w:rsidR="00A73C53" w:rsidRPr="00584582" w:rsidRDefault="00A73C53" w:rsidP="00A73C53">
      <w:pPr>
        <w:pStyle w:val="ListParagraph"/>
        <w:numPr>
          <w:ilvl w:val="0"/>
          <w:numId w:val="1"/>
        </w:numPr>
        <w:jc w:val="both"/>
        <w:rPr>
          <w:rFonts w:ascii="Arial" w:hAnsi="Arial" w:cs="Arial"/>
          <w:b/>
        </w:rPr>
      </w:pPr>
      <w:r w:rsidRPr="00584582">
        <w:rPr>
          <w:rFonts w:ascii="Arial" w:hAnsi="Arial" w:cs="Arial"/>
          <w:b/>
        </w:rPr>
        <w:t xml:space="preserve">Overview and Summary of </w:t>
      </w:r>
      <w:r w:rsidR="005C449C" w:rsidRPr="00584582">
        <w:rPr>
          <w:rFonts w:ascii="Arial" w:hAnsi="Arial" w:cs="Arial"/>
          <w:b/>
        </w:rPr>
        <w:t>Second</w:t>
      </w:r>
      <w:r w:rsidRPr="00584582">
        <w:rPr>
          <w:rFonts w:ascii="Arial" w:hAnsi="Arial" w:cs="Arial"/>
          <w:b/>
        </w:rPr>
        <w:t xml:space="preserve"> Quarter Performance Report</w:t>
      </w:r>
    </w:p>
    <w:p w:rsidR="001A099B" w:rsidRPr="00584582" w:rsidRDefault="00A73C53" w:rsidP="00A73C53">
      <w:pPr>
        <w:pStyle w:val="ListParagraph"/>
        <w:numPr>
          <w:ilvl w:val="1"/>
          <w:numId w:val="1"/>
        </w:numPr>
      </w:pPr>
      <w:r w:rsidRPr="00584582">
        <w:t>No-Financial Performance</w:t>
      </w:r>
    </w:p>
    <w:p w:rsidR="00A73C53" w:rsidRDefault="00A73C53" w:rsidP="002A3573">
      <w:pPr>
        <w:pStyle w:val="ListParagraph"/>
        <w:ind w:left="1080"/>
        <w:jc w:val="both"/>
      </w:pPr>
      <w:r w:rsidRPr="00584582">
        <w:rPr>
          <w:noProof/>
          <w:lang w:val="en-ZA" w:eastAsia="en-ZA"/>
        </w:rPr>
        <w:drawing>
          <wp:inline distT="0" distB="0" distL="0" distR="0">
            <wp:extent cx="5248275" cy="2438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3C53" w:rsidRPr="002A3573" w:rsidRDefault="005C449C" w:rsidP="002A3573">
      <w:pPr>
        <w:jc w:val="both"/>
        <w:rPr>
          <w:rFonts w:ascii="Arial" w:hAnsi="Arial" w:cs="Arial"/>
        </w:rPr>
      </w:pPr>
      <w:r w:rsidRPr="00584582">
        <w:rPr>
          <w:rFonts w:ascii="Arial" w:hAnsi="Arial" w:cs="Arial"/>
        </w:rPr>
        <w:t xml:space="preserve">Figure 1 shows the number of indicators which Parliament set to produce during the 2019/20 financial year. The key performance indicators </w:t>
      </w:r>
      <w:r w:rsidR="00584582" w:rsidRPr="00584582">
        <w:rPr>
          <w:rFonts w:ascii="Arial" w:hAnsi="Arial" w:cs="Arial"/>
        </w:rPr>
        <w:t>are normally</w:t>
      </w:r>
      <w:r w:rsidRPr="00584582">
        <w:rPr>
          <w:rFonts w:ascii="Arial" w:hAnsi="Arial" w:cs="Arial"/>
        </w:rPr>
        <w:t xml:space="preserve"> measured on a quarterly basis to track progress in the implementation of the Annual Performance Plan. For the Parliament, there are other key performance indicators, which are only measured on an annual basis, which makes it difficult to track progress in their implementation, thereby the implementation of Parliament’s A</w:t>
      </w:r>
      <w:r w:rsidR="00584582" w:rsidRPr="00584582">
        <w:rPr>
          <w:rFonts w:ascii="Arial" w:hAnsi="Arial" w:cs="Arial"/>
        </w:rPr>
        <w:t xml:space="preserve">nnual </w:t>
      </w:r>
      <w:r w:rsidRPr="00584582">
        <w:rPr>
          <w:rFonts w:ascii="Arial" w:hAnsi="Arial" w:cs="Arial"/>
        </w:rPr>
        <w:t>P</w:t>
      </w:r>
      <w:r w:rsidR="00584582" w:rsidRPr="00584582">
        <w:rPr>
          <w:rFonts w:ascii="Arial" w:hAnsi="Arial" w:cs="Arial"/>
        </w:rPr>
        <w:t xml:space="preserve">erformance </w:t>
      </w:r>
      <w:r w:rsidRPr="00584582">
        <w:rPr>
          <w:rFonts w:ascii="Arial" w:hAnsi="Arial" w:cs="Arial"/>
        </w:rPr>
        <w:t>P</w:t>
      </w:r>
      <w:r w:rsidR="00584582" w:rsidRPr="00584582">
        <w:rPr>
          <w:rFonts w:ascii="Arial" w:hAnsi="Arial" w:cs="Arial"/>
        </w:rPr>
        <w:t>lan</w:t>
      </w:r>
      <w:r w:rsidR="000A1797" w:rsidRPr="00584582">
        <w:rPr>
          <w:rFonts w:ascii="Arial" w:hAnsi="Arial" w:cs="Arial"/>
        </w:rPr>
        <w:t>. Nonetheless, Figure 1 reveals that</w:t>
      </w:r>
      <w:r w:rsidR="00A73C53" w:rsidRPr="00584582">
        <w:rPr>
          <w:rFonts w:ascii="Arial" w:hAnsi="Arial" w:cs="Arial"/>
        </w:rPr>
        <w:t xml:space="preserve"> the </w:t>
      </w:r>
      <w:r w:rsidRPr="00584582">
        <w:rPr>
          <w:rFonts w:ascii="Arial" w:hAnsi="Arial" w:cs="Arial"/>
        </w:rPr>
        <w:t xml:space="preserve">Parliament has achieved 5 (five) performance targets out of 9(nine) </w:t>
      </w:r>
      <w:r w:rsidR="000A1797" w:rsidRPr="00584582">
        <w:rPr>
          <w:rFonts w:ascii="Arial" w:hAnsi="Arial" w:cs="Arial"/>
        </w:rPr>
        <w:t xml:space="preserve">performance </w:t>
      </w:r>
      <w:r w:rsidR="00584582" w:rsidRPr="00584582">
        <w:rPr>
          <w:rFonts w:ascii="Arial" w:hAnsi="Arial" w:cs="Arial"/>
        </w:rPr>
        <w:t>targets it set</w:t>
      </w:r>
      <w:r w:rsidRPr="00584582">
        <w:rPr>
          <w:rFonts w:ascii="Arial" w:hAnsi="Arial" w:cs="Arial"/>
        </w:rPr>
        <w:t xml:space="preserve"> to achieve. This means that it missed 4(four)</w:t>
      </w:r>
      <w:r w:rsidR="000A1797" w:rsidRPr="00584582">
        <w:rPr>
          <w:rFonts w:ascii="Arial" w:hAnsi="Arial" w:cs="Arial"/>
        </w:rPr>
        <w:t xml:space="preserve"> performance targets</w:t>
      </w:r>
      <w:r w:rsidRPr="00584582">
        <w:rPr>
          <w:rFonts w:ascii="Arial" w:hAnsi="Arial" w:cs="Arial"/>
        </w:rPr>
        <w:t xml:space="preserve">. This performance can be translated into </w:t>
      </w:r>
      <w:r w:rsidRPr="00584582">
        <w:rPr>
          <w:rFonts w:ascii="Arial" w:hAnsi="Arial" w:cs="Arial"/>
        </w:rPr>
        <w:lastRenderedPageBreak/>
        <w:t>55,56 percent recorded by Parliament at the end of Quarter 2. Importantly, this is a</w:t>
      </w:r>
      <w:r w:rsidR="00A256BC" w:rsidRPr="00584582">
        <w:rPr>
          <w:rFonts w:ascii="Arial" w:hAnsi="Arial" w:cs="Arial"/>
        </w:rPr>
        <w:t xml:space="preserve"> 10 </w:t>
      </w:r>
      <w:r w:rsidR="002A3573" w:rsidRPr="00584582">
        <w:rPr>
          <w:rFonts w:ascii="Arial" w:hAnsi="Arial" w:cs="Arial"/>
        </w:rPr>
        <w:t>percent reduction</w:t>
      </w:r>
      <w:r w:rsidR="00A256BC" w:rsidRPr="00584582">
        <w:rPr>
          <w:rFonts w:ascii="Arial" w:hAnsi="Arial" w:cs="Arial"/>
        </w:rPr>
        <w:t xml:space="preserve"> in </w:t>
      </w:r>
      <w:r w:rsidR="002A3573" w:rsidRPr="00584582">
        <w:rPr>
          <w:rFonts w:ascii="Arial" w:hAnsi="Arial" w:cs="Arial"/>
        </w:rPr>
        <w:t>performance,</w:t>
      </w:r>
      <w:r w:rsidRPr="00584582">
        <w:rPr>
          <w:rFonts w:ascii="Arial" w:hAnsi="Arial" w:cs="Arial"/>
        </w:rPr>
        <w:t xml:space="preserve"> compared to 66,67 percent achieved during the Quarter 1 Performance Report.</w:t>
      </w:r>
      <w:r w:rsidRPr="002A3573">
        <w:rPr>
          <w:rFonts w:ascii="Arial" w:hAnsi="Arial" w:cs="Arial"/>
        </w:rPr>
        <w:t xml:space="preserve"> </w:t>
      </w:r>
    </w:p>
    <w:p w:rsidR="000A1797" w:rsidRPr="002A3573" w:rsidRDefault="000A1797" w:rsidP="002A3573">
      <w:pPr>
        <w:jc w:val="both"/>
        <w:rPr>
          <w:rFonts w:ascii="Arial" w:hAnsi="Arial" w:cs="Arial"/>
        </w:rPr>
      </w:pPr>
      <w:r w:rsidRPr="004A057E">
        <w:rPr>
          <w:rFonts w:ascii="Arial" w:hAnsi="Arial" w:cs="Arial"/>
        </w:rPr>
        <w:t xml:space="preserve">In line from above, the four (4) performance targets, which were not met during the end of Quarter 2 Performance, include, the percentage of strategic, procedural, legal advice and support provided within stipulated timeframes, number of </w:t>
      </w:r>
      <w:proofErr w:type="spellStart"/>
      <w:r w:rsidRPr="004A057E">
        <w:rPr>
          <w:rFonts w:ascii="Arial" w:hAnsi="Arial" w:cs="Arial"/>
        </w:rPr>
        <w:t>programmes</w:t>
      </w:r>
      <w:proofErr w:type="spellEnd"/>
      <w:r w:rsidRPr="004A057E">
        <w:rPr>
          <w:rFonts w:ascii="Arial" w:hAnsi="Arial" w:cs="Arial"/>
        </w:rPr>
        <w:t xml:space="preserve"> implemented, and the average number of days to reimburse Members.  It is worth noting that both </w:t>
      </w:r>
      <w:r w:rsidR="00584582" w:rsidRPr="004A057E">
        <w:rPr>
          <w:rFonts w:ascii="Arial" w:hAnsi="Arial" w:cs="Arial"/>
        </w:rPr>
        <w:t xml:space="preserve">the </w:t>
      </w:r>
      <w:r w:rsidRPr="004A057E">
        <w:rPr>
          <w:rFonts w:ascii="Arial" w:hAnsi="Arial" w:cs="Arial"/>
        </w:rPr>
        <w:t>percentage of strategic, procedural, legal advice and support provided with stipulated timeframes and average number of days to reimburse Members were consistently not met through</w:t>
      </w:r>
      <w:r w:rsidR="002C3FCE" w:rsidRPr="004A057E">
        <w:rPr>
          <w:rFonts w:ascii="Arial" w:hAnsi="Arial" w:cs="Arial"/>
        </w:rPr>
        <w:t xml:space="preserve">out the first and second quarter, whilst the </w:t>
      </w:r>
      <w:r w:rsidR="00584582" w:rsidRPr="004A057E">
        <w:rPr>
          <w:rFonts w:ascii="Arial" w:hAnsi="Arial" w:cs="Arial"/>
        </w:rPr>
        <w:t>latter</w:t>
      </w:r>
      <w:r w:rsidR="002C3FCE" w:rsidRPr="004A057E">
        <w:rPr>
          <w:rFonts w:ascii="Arial" w:hAnsi="Arial" w:cs="Arial"/>
        </w:rPr>
        <w:t xml:space="preserve"> was not met during the 2018/19 financial year.</w:t>
      </w:r>
    </w:p>
    <w:p w:rsidR="001137A2" w:rsidRPr="004A057E" w:rsidRDefault="001137A2" w:rsidP="002A3573">
      <w:pPr>
        <w:jc w:val="both"/>
        <w:rPr>
          <w:rFonts w:ascii="Arial" w:hAnsi="Arial" w:cs="Arial"/>
        </w:rPr>
      </w:pPr>
      <w:r w:rsidRPr="004A057E">
        <w:rPr>
          <w:rFonts w:ascii="Arial" w:hAnsi="Arial" w:cs="Arial"/>
        </w:rPr>
        <w:t xml:space="preserve">The Parliament planned to implement one (1) development programme for Members during </w:t>
      </w:r>
      <w:r w:rsidR="004A057E" w:rsidRPr="004A057E">
        <w:rPr>
          <w:rFonts w:ascii="Arial" w:hAnsi="Arial" w:cs="Arial"/>
        </w:rPr>
        <w:t xml:space="preserve">Quarter 2, in fact, </w:t>
      </w:r>
      <w:r w:rsidRPr="004A057E">
        <w:rPr>
          <w:rFonts w:ascii="Arial" w:hAnsi="Arial" w:cs="Arial"/>
        </w:rPr>
        <w:t>this is the only development programme is planned to be achieved during the 2019/</w:t>
      </w:r>
      <w:r w:rsidR="008E438C" w:rsidRPr="004A057E">
        <w:rPr>
          <w:rFonts w:ascii="Arial" w:hAnsi="Arial" w:cs="Arial"/>
        </w:rPr>
        <w:t>20</w:t>
      </w:r>
      <w:r w:rsidR="00584582" w:rsidRPr="004A057E">
        <w:rPr>
          <w:rFonts w:ascii="Arial" w:hAnsi="Arial" w:cs="Arial"/>
        </w:rPr>
        <w:t xml:space="preserve"> financial year</w:t>
      </w:r>
      <w:r w:rsidR="008E438C" w:rsidRPr="004A057E">
        <w:rPr>
          <w:rFonts w:ascii="Arial" w:hAnsi="Arial" w:cs="Arial"/>
        </w:rPr>
        <w:t>,</w:t>
      </w:r>
      <w:r w:rsidRPr="004A057E">
        <w:rPr>
          <w:rFonts w:ascii="Arial" w:hAnsi="Arial" w:cs="Arial"/>
        </w:rPr>
        <w:t xml:space="preserve"> which </w:t>
      </w:r>
      <w:r w:rsidR="00584582" w:rsidRPr="004A057E">
        <w:rPr>
          <w:rFonts w:ascii="Arial" w:hAnsi="Arial" w:cs="Arial"/>
        </w:rPr>
        <w:t xml:space="preserve">also </w:t>
      </w:r>
      <w:r w:rsidRPr="004A057E">
        <w:rPr>
          <w:rFonts w:ascii="Arial" w:hAnsi="Arial" w:cs="Arial"/>
        </w:rPr>
        <w:t>happened to be set during the second q</w:t>
      </w:r>
      <w:r w:rsidR="008E438C" w:rsidRPr="004A057E">
        <w:rPr>
          <w:rFonts w:ascii="Arial" w:hAnsi="Arial" w:cs="Arial"/>
        </w:rPr>
        <w:t xml:space="preserve">uarter, but </w:t>
      </w:r>
      <w:r w:rsidR="00584582" w:rsidRPr="004A057E">
        <w:rPr>
          <w:rFonts w:ascii="Arial" w:hAnsi="Arial" w:cs="Arial"/>
        </w:rPr>
        <w:t>was not achieved and it was</w:t>
      </w:r>
      <w:r w:rsidR="008E438C" w:rsidRPr="004A057E">
        <w:rPr>
          <w:rFonts w:ascii="Arial" w:hAnsi="Arial" w:cs="Arial"/>
        </w:rPr>
        <w:t xml:space="preserve"> deferred to later in the financial year. </w:t>
      </w:r>
    </w:p>
    <w:p w:rsidR="008E438C" w:rsidRPr="004A057E" w:rsidRDefault="008E438C" w:rsidP="002A3573">
      <w:pPr>
        <w:pStyle w:val="ListParagraph"/>
        <w:numPr>
          <w:ilvl w:val="1"/>
          <w:numId w:val="1"/>
        </w:numPr>
        <w:jc w:val="both"/>
        <w:rPr>
          <w:rFonts w:ascii="Arial" w:hAnsi="Arial" w:cs="Arial"/>
        </w:rPr>
      </w:pPr>
      <w:r w:rsidRPr="004A057E">
        <w:rPr>
          <w:rFonts w:ascii="Arial" w:hAnsi="Arial" w:cs="Arial"/>
        </w:rPr>
        <w:t xml:space="preserve">Financial </w:t>
      </w:r>
      <w:r w:rsidR="004A057E" w:rsidRPr="004A057E">
        <w:rPr>
          <w:rFonts w:ascii="Arial" w:hAnsi="Arial" w:cs="Arial"/>
        </w:rPr>
        <w:t>Performance</w:t>
      </w:r>
    </w:p>
    <w:p w:rsidR="008E438C" w:rsidRDefault="008E438C" w:rsidP="002A3573">
      <w:pPr>
        <w:jc w:val="both"/>
      </w:pPr>
      <w:r w:rsidRPr="004A057E">
        <w:rPr>
          <w:noProof/>
          <w:lang w:val="en-ZA" w:eastAsia="en-ZA"/>
        </w:rPr>
        <w:drawing>
          <wp:inline distT="0" distB="0" distL="0" distR="0">
            <wp:extent cx="5943600" cy="2668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2668016"/>
                    </a:xfrm>
                    <a:prstGeom prst="rect">
                      <a:avLst/>
                    </a:prstGeom>
                    <a:noFill/>
                    <a:ln>
                      <a:noFill/>
                    </a:ln>
                  </pic:spPr>
                </pic:pic>
              </a:graphicData>
            </a:graphic>
          </wp:inline>
        </w:drawing>
      </w:r>
    </w:p>
    <w:p w:rsidR="00A73C53" w:rsidRDefault="00A73C53" w:rsidP="002A3573">
      <w:pPr>
        <w:jc w:val="both"/>
      </w:pPr>
    </w:p>
    <w:p w:rsidR="00A73C53" w:rsidRPr="002A3573" w:rsidRDefault="008E438C" w:rsidP="002A3573">
      <w:pPr>
        <w:jc w:val="both"/>
        <w:rPr>
          <w:rFonts w:ascii="Arial" w:hAnsi="Arial" w:cs="Arial"/>
        </w:rPr>
      </w:pPr>
      <w:r w:rsidRPr="004A057E">
        <w:rPr>
          <w:rFonts w:ascii="Arial" w:hAnsi="Arial" w:cs="Arial"/>
        </w:rPr>
        <w:t xml:space="preserve">Table 1 </w:t>
      </w:r>
      <w:r w:rsidR="00A256BC" w:rsidRPr="004A057E">
        <w:rPr>
          <w:rFonts w:ascii="Arial" w:hAnsi="Arial" w:cs="Arial"/>
        </w:rPr>
        <w:t>shows the performance for the second quarter and against the annual budget. It also reveals that for the Quarter 2, the Parliament has</w:t>
      </w:r>
      <w:r w:rsidR="004A057E" w:rsidRPr="004A057E">
        <w:rPr>
          <w:rFonts w:ascii="Arial" w:hAnsi="Arial" w:cs="Arial"/>
        </w:rPr>
        <w:t xml:space="preserve"> o</w:t>
      </w:r>
      <w:r w:rsidR="00A256BC" w:rsidRPr="004A057E">
        <w:rPr>
          <w:rFonts w:ascii="Arial" w:hAnsi="Arial" w:cs="Arial"/>
        </w:rPr>
        <w:t xml:space="preserve">n overall spent (R633 088 million) </w:t>
      </w:r>
      <w:r w:rsidR="00A256BC" w:rsidRPr="004A057E">
        <w:rPr>
          <w:rFonts w:ascii="Arial" w:hAnsi="Arial" w:cs="Arial"/>
          <w:i/>
        </w:rPr>
        <w:t>98 percent</w:t>
      </w:r>
      <w:r w:rsidR="00A256BC" w:rsidRPr="004A057E">
        <w:rPr>
          <w:rFonts w:ascii="Arial" w:hAnsi="Arial" w:cs="Arial"/>
        </w:rPr>
        <w:t xml:space="preserve"> against the Quarter 2 budget of R643 275 million. The actual expenditure (R633 088 million) can be translated into </w:t>
      </w:r>
      <w:r w:rsidR="00A256BC" w:rsidRPr="004A057E">
        <w:rPr>
          <w:rFonts w:ascii="Arial" w:hAnsi="Arial" w:cs="Arial"/>
          <w:i/>
        </w:rPr>
        <w:t>24 percent</w:t>
      </w:r>
      <w:r w:rsidR="00A256BC" w:rsidRPr="004A057E">
        <w:rPr>
          <w:rFonts w:ascii="Arial" w:hAnsi="Arial" w:cs="Arial"/>
        </w:rPr>
        <w:t xml:space="preserve"> spending of annual budget for 20</w:t>
      </w:r>
      <w:r w:rsidR="00455250" w:rsidRPr="004A057E">
        <w:rPr>
          <w:rFonts w:ascii="Arial" w:hAnsi="Arial" w:cs="Arial"/>
        </w:rPr>
        <w:t>1</w:t>
      </w:r>
      <w:r w:rsidR="00A256BC" w:rsidRPr="004A057E">
        <w:rPr>
          <w:rFonts w:ascii="Arial" w:hAnsi="Arial" w:cs="Arial"/>
        </w:rPr>
        <w:t>9/20 financial year</w:t>
      </w:r>
      <w:r w:rsidR="004D35B6" w:rsidRPr="004A057E">
        <w:rPr>
          <w:rFonts w:ascii="Arial" w:hAnsi="Arial" w:cs="Arial"/>
        </w:rPr>
        <w:t>, which is R2 608 878 billion</w:t>
      </w:r>
      <w:r w:rsidR="00A256BC" w:rsidRPr="004A057E">
        <w:rPr>
          <w:rFonts w:ascii="Arial" w:hAnsi="Arial" w:cs="Arial"/>
        </w:rPr>
        <w:t>.</w:t>
      </w:r>
      <w:r w:rsidR="00455250" w:rsidRPr="004A057E">
        <w:rPr>
          <w:rFonts w:ascii="Arial" w:hAnsi="Arial" w:cs="Arial"/>
        </w:rPr>
        <w:t xml:space="preserve"> This </w:t>
      </w:r>
      <w:r w:rsidR="004D35B6" w:rsidRPr="004A057E">
        <w:rPr>
          <w:rFonts w:ascii="Arial" w:hAnsi="Arial" w:cs="Arial"/>
        </w:rPr>
        <w:t xml:space="preserve">further </w:t>
      </w:r>
      <w:r w:rsidR="00455250" w:rsidRPr="004A057E">
        <w:rPr>
          <w:rFonts w:ascii="Arial" w:hAnsi="Arial" w:cs="Arial"/>
        </w:rPr>
        <w:t xml:space="preserve">shows a fairly expenditure, when it is compared to the </w:t>
      </w:r>
      <w:r w:rsidR="004D35B6" w:rsidRPr="004A057E">
        <w:rPr>
          <w:rFonts w:ascii="Arial" w:hAnsi="Arial" w:cs="Arial"/>
        </w:rPr>
        <w:t>overall over</w:t>
      </w:r>
      <w:r w:rsidR="00455250" w:rsidRPr="004A057E">
        <w:rPr>
          <w:rFonts w:ascii="Arial" w:hAnsi="Arial" w:cs="Arial"/>
        </w:rPr>
        <w:t xml:space="preserve">-expenditure </w:t>
      </w:r>
      <w:r w:rsidR="004D35B6" w:rsidRPr="004A057E">
        <w:rPr>
          <w:rFonts w:ascii="Arial" w:hAnsi="Arial" w:cs="Arial"/>
        </w:rPr>
        <w:t xml:space="preserve">of (three) 3 percent </w:t>
      </w:r>
      <w:r w:rsidR="00455250" w:rsidRPr="004A057E">
        <w:rPr>
          <w:rFonts w:ascii="Arial" w:hAnsi="Arial" w:cs="Arial"/>
        </w:rPr>
        <w:t>recorded in Quarter 1 of the Performance Report.</w:t>
      </w:r>
    </w:p>
    <w:p w:rsidR="00455250" w:rsidRPr="002A3573" w:rsidRDefault="00455250" w:rsidP="002A3573">
      <w:pPr>
        <w:jc w:val="both"/>
        <w:rPr>
          <w:rFonts w:ascii="Arial" w:hAnsi="Arial" w:cs="Arial"/>
        </w:rPr>
      </w:pPr>
      <w:r w:rsidRPr="004A057E">
        <w:rPr>
          <w:rFonts w:ascii="Arial" w:hAnsi="Arial" w:cs="Arial"/>
        </w:rPr>
        <w:t xml:space="preserve">Flowing from the above, the R633 088 million (98%) spending recorded in Quarter2, include an overspending of R5 035 million recorded under Programme 5: Associated </w:t>
      </w:r>
      <w:r w:rsidR="004D35B6" w:rsidRPr="004A057E">
        <w:rPr>
          <w:rFonts w:ascii="Arial" w:hAnsi="Arial" w:cs="Arial"/>
        </w:rPr>
        <w:t>services.</w:t>
      </w:r>
      <w:r w:rsidRPr="004A057E">
        <w:rPr>
          <w:rFonts w:ascii="Arial" w:hAnsi="Arial" w:cs="Arial"/>
        </w:rPr>
        <w:t xml:space="preserve"> This recorded </w:t>
      </w:r>
      <w:r w:rsidR="004D35B6" w:rsidRPr="004A057E">
        <w:rPr>
          <w:rFonts w:ascii="Arial" w:hAnsi="Arial" w:cs="Arial"/>
        </w:rPr>
        <w:t>overspending of</w:t>
      </w:r>
      <w:r w:rsidRPr="004A057E">
        <w:rPr>
          <w:rFonts w:ascii="Arial" w:hAnsi="Arial" w:cs="Arial"/>
        </w:rPr>
        <w:t xml:space="preserve"> R5 035 million was due to overspending in </w:t>
      </w:r>
      <w:r w:rsidR="004D35B6" w:rsidRPr="004A057E">
        <w:rPr>
          <w:rFonts w:ascii="Arial" w:hAnsi="Arial" w:cs="Arial"/>
        </w:rPr>
        <w:t>Transfers of political parties (R1 956 million) and Members</w:t>
      </w:r>
      <w:r w:rsidR="00584582" w:rsidRPr="004A057E">
        <w:rPr>
          <w:rFonts w:ascii="Arial" w:hAnsi="Arial" w:cs="Arial"/>
        </w:rPr>
        <w:t>’ facilities (R</w:t>
      </w:r>
      <w:r w:rsidR="004D35B6" w:rsidRPr="004A057E">
        <w:rPr>
          <w:rFonts w:ascii="Arial" w:hAnsi="Arial" w:cs="Arial"/>
        </w:rPr>
        <w:t>3 097 million)</w:t>
      </w:r>
    </w:p>
    <w:p w:rsidR="004D35B6" w:rsidRPr="002A3573" w:rsidRDefault="004D35B6" w:rsidP="002A3573">
      <w:pPr>
        <w:jc w:val="both"/>
        <w:rPr>
          <w:rFonts w:ascii="Arial" w:hAnsi="Arial" w:cs="Arial"/>
        </w:rPr>
      </w:pPr>
    </w:p>
    <w:p w:rsidR="004D35B6" w:rsidRPr="004A057E" w:rsidRDefault="004D35B6" w:rsidP="002A3573">
      <w:pPr>
        <w:pStyle w:val="ListParagraph"/>
        <w:numPr>
          <w:ilvl w:val="0"/>
          <w:numId w:val="1"/>
        </w:numPr>
        <w:jc w:val="both"/>
        <w:rPr>
          <w:rFonts w:ascii="Arial" w:hAnsi="Arial" w:cs="Arial"/>
          <w:b/>
        </w:rPr>
      </w:pPr>
      <w:r w:rsidRPr="004A057E">
        <w:rPr>
          <w:rFonts w:ascii="Arial" w:hAnsi="Arial" w:cs="Arial"/>
          <w:b/>
        </w:rPr>
        <w:lastRenderedPageBreak/>
        <w:t>Issues/concerns raised by this brief</w:t>
      </w:r>
    </w:p>
    <w:p w:rsidR="004D35B6" w:rsidRPr="002A3573" w:rsidRDefault="004D35B6" w:rsidP="002A3573">
      <w:pPr>
        <w:jc w:val="both"/>
        <w:rPr>
          <w:rFonts w:ascii="Arial" w:hAnsi="Arial" w:cs="Arial"/>
        </w:rPr>
      </w:pPr>
      <w:r w:rsidRPr="004A057E">
        <w:rPr>
          <w:rFonts w:ascii="Arial" w:hAnsi="Arial" w:cs="Arial"/>
        </w:rPr>
        <w:t>It is important to note that there is an overlapping of issues between Quarter 2 Performance Report and the Mid-Term Budget and Assessment Report</w:t>
      </w:r>
      <w:r w:rsidR="004A057E" w:rsidRPr="004A057E">
        <w:rPr>
          <w:rFonts w:ascii="Arial" w:hAnsi="Arial" w:cs="Arial"/>
        </w:rPr>
        <w:t>,</w:t>
      </w:r>
      <w:r w:rsidRPr="004A057E">
        <w:rPr>
          <w:rFonts w:ascii="Arial" w:hAnsi="Arial" w:cs="Arial"/>
        </w:rPr>
        <w:t xml:space="preserve"> as such most issues, which also relate to Quarter 2</w:t>
      </w:r>
      <w:r w:rsidR="008107E6" w:rsidRPr="004A057E">
        <w:rPr>
          <w:rFonts w:ascii="Arial" w:hAnsi="Arial" w:cs="Arial"/>
        </w:rPr>
        <w:t xml:space="preserve"> are raised in a brief for the Mid-Term Budget and Assessment Report. Thus, there is only one issue, which is not</w:t>
      </w:r>
      <w:r w:rsidR="004A057E" w:rsidRPr="004A057E">
        <w:rPr>
          <w:rFonts w:ascii="Arial" w:hAnsi="Arial" w:cs="Arial"/>
        </w:rPr>
        <w:t xml:space="preserve"> addressed</w:t>
      </w:r>
      <w:r w:rsidR="008107E6" w:rsidRPr="004A057E">
        <w:rPr>
          <w:rFonts w:ascii="Arial" w:hAnsi="Arial" w:cs="Arial"/>
        </w:rPr>
        <w:t xml:space="preserve"> in the Mid-term Budget and Assessment Report, which explicitly </w:t>
      </w:r>
      <w:r w:rsidR="00584582" w:rsidRPr="004A057E">
        <w:rPr>
          <w:rFonts w:ascii="Arial" w:hAnsi="Arial" w:cs="Arial"/>
        </w:rPr>
        <w:t>direct</w:t>
      </w:r>
      <w:r w:rsidR="008107E6" w:rsidRPr="004A057E">
        <w:rPr>
          <w:rFonts w:ascii="Arial" w:hAnsi="Arial" w:cs="Arial"/>
        </w:rPr>
        <w:t xml:space="preserve"> to Quarter 2 Performance Assessment Report and is as follows:</w:t>
      </w:r>
    </w:p>
    <w:p w:rsidR="008107E6" w:rsidRPr="004A057E" w:rsidRDefault="008107E6" w:rsidP="002A3573">
      <w:pPr>
        <w:pStyle w:val="ListParagraph"/>
        <w:numPr>
          <w:ilvl w:val="1"/>
          <w:numId w:val="1"/>
        </w:numPr>
        <w:jc w:val="both"/>
        <w:rPr>
          <w:rFonts w:ascii="Arial" w:hAnsi="Arial" w:cs="Arial"/>
        </w:rPr>
      </w:pPr>
      <w:r w:rsidRPr="004A057E">
        <w:rPr>
          <w:rFonts w:ascii="Arial" w:hAnsi="Arial" w:cs="Arial"/>
        </w:rPr>
        <w:t>Overspending of sub-programme Internal Audit</w:t>
      </w:r>
    </w:p>
    <w:p w:rsidR="004D35B6" w:rsidRPr="00584582" w:rsidRDefault="002A3573" w:rsidP="002A3573">
      <w:pPr>
        <w:jc w:val="both"/>
        <w:rPr>
          <w:rFonts w:ascii="Arial" w:hAnsi="Arial" w:cs="Arial"/>
          <w:b/>
        </w:rPr>
      </w:pPr>
      <w:r w:rsidRPr="004A057E">
        <w:rPr>
          <w:rFonts w:ascii="Arial" w:hAnsi="Arial" w:cs="Arial"/>
        </w:rPr>
        <w:t xml:space="preserve">It is reported that the Sub-programme: Internal Audit, which falls under Programme 2: Administration, overspent its budget allocation of R5, </w:t>
      </w:r>
      <w:r w:rsidR="00584582" w:rsidRPr="004A057E">
        <w:rPr>
          <w:rFonts w:ascii="Arial" w:hAnsi="Arial" w:cs="Arial"/>
        </w:rPr>
        <w:t>081 million by R659 000 or 13</w:t>
      </w:r>
      <w:r w:rsidRPr="004A057E">
        <w:rPr>
          <w:rFonts w:ascii="Arial" w:hAnsi="Arial" w:cs="Arial"/>
        </w:rPr>
        <w:t xml:space="preserve"> percent during Quarter 2. This Sub-programme spent R5 740 million, which is more than the allocated budget of R5081million. </w:t>
      </w:r>
      <w:r w:rsidRPr="004A057E">
        <w:rPr>
          <w:rFonts w:ascii="Arial" w:hAnsi="Arial" w:cs="Arial"/>
          <w:b/>
        </w:rPr>
        <w:t xml:space="preserve">(see Slide 28: Quarter2: Performance Report). </w:t>
      </w:r>
      <w:r w:rsidRPr="004A057E">
        <w:rPr>
          <w:rFonts w:ascii="Arial" w:hAnsi="Arial" w:cs="Arial"/>
        </w:rPr>
        <w:t xml:space="preserve">No explanation </w:t>
      </w:r>
      <w:r w:rsidR="00584582" w:rsidRPr="004A057E">
        <w:rPr>
          <w:rFonts w:ascii="Arial" w:hAnsi="Arial" w:cs="Arial"/>
        </w:rPr>
        <w:t xml:space="preserve">was </w:t>
      </w:r>
      <w:r w:rsidRPr="004A057E">
        <w:rPr>
          <w:rFonts w:ascii="Arial" w:hAnsi="Arial" w:cs="Arial"/>
        </w:rPr>
        <w:t>given for such overspending, despite that the spending explanation is given for other-</w:t>
      </w:r>
      <w:proofErr w:type="spellStart"/>
      <w:r w:rsidRPr="004A057E">
        <w:rPr>
          <w:rFonts w:ascii="Arial" w:hAnsi="Arial" w:cs="Arial"/>
        </w:rPr>
        <w:t>programmes</w:t>
      </w:r>
      <w:proofErr w:type="spellEnd"/>
      <w:r w:rsidRPr="004A057E">
        <w:rPr>
          <w:rFonts w:ascii="Arial" w:hAnsi="Arial" w:cs="Arial"/>
        </w:rPr>
        <w:t xml:space="preserve"> under this </w:t>
      </w:r>
      <w:proofErr w:type="spellStart"/>
      <w:r w:rsidRPr="004A057E">
        <w:rPr>
          <w:rFonts w:ascii="Arial" w:hAnsi="Arial" w:cs="Arial"/>
        </w:rPr>
        <w:t>Programme</w:t>
      </w:r>
      <w:proofErr w:type="spellEnd"/>
      <w:r w:rsidRPr="004A057E">
        <w:rPr>
          <w:rFonts w:ascii="Arial" w:hAnsi="Arial" w:cs="Arial"/>
        </w:rPr>
        <w:t xml:space="preserve">. </w:t>
      </w:r>
      <w:r w:rsidRPr="004A057E">
        <w:rPr>
          <w:rFonts w:ascii="Arial" w:hAnsi="Arial" w:cs="Arial"/>
          <w:b/>
        </w:rPr>
        <w:t>So, the Committee should ask the Parliament to explain such overspending</w:t>
      </w:r>
      <w:r w:rsidR="00584582" w:rsidRPr="004A057E">
        <w:rPr>
          <w:rFonts w:ascii="Arial" w:hAnsi="Arial" w:cs="Arial"/>
          <w:b/>
        </w:rPr>
        <w:t>.</w:t>
      </w:r>
    </w:p>
    <w:sectPr w:rsidR="004D35B6" w:rsidRPr="00584582" w:rsidSect="003532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2779B"/>
    <w:multiLevelType w:val="hybridMultilevel"/>
    <w:tmpl w:val="C176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23A62"/>
    <w:multiLevelType w:val="multilevel"/>
    <w:tmpl w:val="FBB87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A73C53"/>
    <w:rsid w:val="000A1797"/>
    <w:rsid w:val="001137A2"/>
    <w:rsid w:val="001A099B"/>
    <w:rsid w:val="002A3573"/>
    <w:rsid w:val="002C3FCE"/>
    <w:rsid w:val="003532B4"/>
    <w:rsid w:val="00455250"/>
    <w:rsid w:val="004A057E"/>
    <w:rsid w:val="004D35B6"/>
    <w:rsid w:val="004E4871"/>
    <w:rsid w:val="00584582"/>
    <w:rsid w:val="005C449C"/>
    <w:rsid w:val="00600CD3"/>
    <w:rsid w:val="008107E6"/>
    <w:rsid w:val="008E438C"/>
    <w:rsid w:val="00A256BC"/>
    <w:rsid w:val="00A73C53"/>
    <w:rsid w:val="00D11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C53"/>
    <w:pPr>
      <w:ind w:left="720"/>
      <w:contextualSpacing/>
    </w:pPr>
  </w:style>
  <w:style w:type="paragraph" w:styleId="BalloonText">
    <w:name w:val="Balloon Text"/>
    <w:basedOn w:val="Normal"/>
    <w:link w:val="BalloonTextChar"/>
    <w:uiPriority w:val="99"/>
    <w:semiHidden/>
    <w:unhideWhenUsed/>
    <w:rsid w:val="00D1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C:\Users\xmgxaji\Documents\Joint%20Standing%20Committee%20of%20Finacial%20Mangement%20of%20Parliament\Quarter%202%20Tables.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Figure 1: Perfomance by Strategic Objectives and Indicators for Q2 </a:t>
            </a:r>
          </a:p>
        </c:rich>
      </c:tx>
      <c:layout/>
      <c:spPr>
        <a:noFill/>
        <a:ln>
          <a:noFill/>
        </a:ln>
        <a:effectLst/>
      </c:spPr>
    </c:title>
    <c:plotArea>
      <c:layout>
        <c:manualLayout>
          <c:layoutTarget val="inner"/>
          <c:xMode val="edge"/>
          <c:yMode val="edge"/>
          <c:x val="4.5902320286189277E-2"/>
          <c:y val="0.23121820615796526"/>
          <c:w val="0.91538019635022938"/>
          <c:h val="0.59809843046727595"/>
        </c:manualLayout>
      </c:layout>
      <c:barChart>
        <c:barDir val="col"/>
        <c:grouping val="clustered"/>
        <c:ser>
          <c:idx val="0"/>
          <c:order val="0"/>
          <c:tx>
            <c:strRef>
              <c:f>'[Tables Q1 2019.xlsx]Sheet1'!$H$5</c:f>
              <c:strCache>
                <c:ptCount val="1"/>
                <c:pt idx="0">
                  <c:v>Toatal Indicators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'[Tables Q1 2019.xlsx]Sheet1'!$H$6</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0-6C96-4B5F-9498-5F4B8C31B73F}"/>
            </c:ext>
          </c:extLst>
        </c:ser>
        <c:ser>
          <c:idx val="1"/>
          <c:order val="1"/>
          <c:tx>
            <c:strRef>
              <c:f>'[Tables Q1 2019.xlsx]Sheet1'!$I$5</c:f>
              <c:strCache>
                <c:ptCount val="1"/>
                <c:pt idx="0">
                  <c:v>Achieved</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'[Tables Q1 2019.xlsx]Sheet1'!$I$6</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1-6C96-4B5F-9498-5F4B8C31B73F}"/>
            </c:ext>
          </c:extLst>
        </c:ser>
        <c:ser>
          <c:idx val="2"/>
          <c:order val="2"/>
          <c:tx>
            <c:strRef>
              <c:f>'[Tables Q1 2019.xlsx]Sheet1'!$J$5</c:f>
              <c:strCache>
                <c:ptCount val="1"/>
                <c:pt idx="0">
                  <c:v>Not achieved</c:v>
                </c:pt>
              </c:strCache>
            </c:strRef>
          </c:tx>
          <c:spPr>
            <a:solidFill>
              <a:srgbClr val="C0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'[Tables Q1 2019.xlsx]Sheet1'!$J$6</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2-6C96-4B5F-9498-5F4B8C31B73F}"/>
            </c:ext>
          </c:extLst>
        </c:ser>
        <c:ser>
          <c:idx val="3"/>
          <c:order val="3"/>
          <c:tx>
            <c:strRef>
              <c:f>'[Tables Q1 2019.xlsx]Sheet1'!$K$5</c:f>
              <c:strCache>
                <c:ptCount val="1"/>
                <c:pt idx="0">
                  <c:v>Annual targets</c:v>
                </c:pt>
              </c:strCache>
            </c:strRef>
          </c:tx>
          <c:spPr>
            <a:solidFill>
              <a:schemeClr val="bg1">
                <a:lumMod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'[Tables Q1 2019.xlsx]Sheet1'!$K$6</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3-6C96-4B5F-9498-5F4B8C31B73F}"/>
            </c:ext>
          </c:extLst>
        </c:ser>
        <c:dLbls/>
        <c:gapWidth val="219"/>
        <c:overlap val="-27"/>
        <c:axId val="78339072"/>
        <c:axId val="78377728"/>
        <c:extLst xmlns:c16r2="http://schemas.microsoft.com/office/drawing/2015/06/chart">
          <c:ext xmlns:c15="http://schemas.microsoft.com/office/drawing/2012/chart" uri="{02D57815-91ED-43cb-92C2-25804820EDAC}">
            <c15:filteredBarSeries>
              <c15:ser>
                <c:idx val="4"/>
                <c:order val="4"/>
                <c:tx>
                  <c:strRef>
                    <c:extLst>
                      <c:ext uri="{02D57815-91ED-43cb-92C2-25804820EDAC}">
                        <c15:formulaRef>
                          <c15:sqref>'[Tables Q1 2019.xlsx]Sheet1'!$L$5</c15:sqref>
                        </c15:formulaRef>
                      </c:ext>
                    </c:extLst>
                    <c:strCache>
                      <c:ptCount val="1"/>
                    </c:strCache>
                  </c:strRef>
                </c:tx>
                <c:spPr>
                  <a:solidFill>
                    <a:schemeClr val="accent4">
                      <a:lumMod val="60000"/>
                    </a:schemeClr>
                  </a:solidFill>
                  <a:ln>
                    <a:noFill/>
                  </a:ln>
                  <a:effectLst/>
                </c:spPr>
                <c:invertIfNegative val="0"/>
                <c:val>
                  <c:numRef>
                    <c:extLst>
                      <c:ext uri="{02D57815-91ED-43cb-92C2-25804820EDAC}">
                        <c15:formulaRef>
                          <c15:sqref>'[Tables Q1 2019.xlsx]Sheet1'!$L$6</c15:sqref>
                        </c15:formulaRef>
                      </c:ext>
                    </c:extLst>
                    <c:numCache>
                      <c:formatCode>General</c:formatCode>
                      <c:ptCount val="1"/>
                    </c:numCache>
                  </c:numRef>
                </c:val>
                <c:extLst>
                  <c:ext xmlns:c16="http://schemas.microsoft.com/office/drawing/2014/chart" uri="{C3380CC4-5D6E-409C-BE32-E72D297353CC}">
                    <c16:uniqueId val="{00000004-6C96-4B5F-9498-5F4B8C31B73F}"/>
                  </c:ext>
                </c:extLst>
              </c15:ser>
            </c15:filteredBarSeries>
          </c:ext>
        </c:extLst>
      </c:barChart>
      <c:catAx>
        <c:axId val="78339072"/>
        <c:scaling>
          <c:orientation val="minMax"/>
        </c:scaling>
        <c:delete val="1"/>
        <c:axPos val="b"/>
        <c:numFmt formatCode="General" sourceLinked="1"/>
        <c:majorTickMark val="none"/>
        <c:tickLblPos val="none"/>
        <c:crossAx val="78377728"/>
        <c:crosses val="autoZero"/>
        <c:auto val="1"/>
        <c:lblAlgn val="ctr"/>
        <c:lblOffset val="100"/>
      </c:catAx>
      <c:valAx>
        <c:axId val="783777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907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7D0F-EDDD-43FF-891A-5F75CADA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PUMZA</cp:lastModifiedBy>
  <cp:revision>2</cp:revision>
  <dcterms:created xsi:type="dcterms:W3CDTF">2019-11-18T09:43:00Z</dcterms:created>
  <dcterms:modified xsi:type="dcterms:W3CDTF">2019-11-18T09:43:00Z</dcterms:modified>
</cp:coreProperties>
</file>