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134" w:type="dxa"/>
        <w:tblLook w:val="04A0"/>
      </w:tblPr>
      <w:tblGrid>
        <w:gridCol w:w="5098"/>
        <w:gridCol w:w="567"/>
        <w:gridCol w:w="1734"/>
        <w:gridCol w:w="676"/>
        <w:gridCol w:w="6951"/>
        <w:gridCol w:w="108"/>
      </w:tblGrid>
      <w:tr w:rsidR="00DD00D3" w:rsidRPr="00DD00D3" w:rsidTr="004222CF">
        <w:tc>
          <w:tcPr>
            <w:tcW w:w="15134" w:type="dxa"/>
            <w:gridSpan w:val="6"/>
            <w:shd w:val="clear" w:color="auto" w:fill="00B050"/>
          </w:tcPr>
          <w:p w:rsidR="00A17CA6" w:rsidRPr="00DD00D3" w:rsidRDefault="00A17CA6" w:rsidP="004A60C4">
            <w:pPr>
              <w:spacing w:line="360" w:lineRule="auto"/>
              <w:jc w:val="both"/>
              <w:rPr>
                <w:rFonts w:cs="Arial"/>
                <w:b/>
                <w:color w:val="auto"/>
                <w:sz w:val="24"/>
                <w:szCs w:val="24"/>
              </w:rPr>
            </w:pPr>
            <w:r w:rsidRPr="00DD00D3">
              <w:rPr>
                <w:rFonts w:cs="Arial"/>
                <w:b/>
                <w:color w:val="auto"/>
                <w:sz w:val="24"/>
                <w:szCs w:val="24"/>
              </w:rPr>
              <w:t xml:space="preserve">BRRR  ACTION PLAN </w:t>
            </w:r>
          </w:p>
          <w:p w:rsidR="00A17CA6" w:rsidRPr="00DD00D3" w:rsidRDefault="00A17CA6" w:rsidP="004A60C4">
            <w:pPr>
              <w:spacing w:line="360" w:lineRule="auto"/>
              <w:jc w:val="both"/>
              <w:rPr>
                <w:rFonts w:cs="Arial"/>
                <w:b/>
                <w:color w:val="auto"/>
                <w:sz w:val="24"/>
                <w:szCs w:val="24"/>
              </w:rPr>
            </w:pPr>
          </w:p>
          <w:p w:rsidR="00A17CA6" w:rsidRPr="00DD00D3" w:rsidRDefault="00A17CA6" w:rsidP="004A60C4">
            <w:pPr>
              <w:spacing w:line="360" w:lineRule="auto"/>
              <w:jc w:val="both"/>
              <w:rPr>
                <w:rFonts w:cs="Arial"/>
                <w:b/>
                <w:color w:val="auto"/>
                <w:sz w:val="24"/>
                <w:szCs w:val="24"/>
                <w:lang w:val="en-GB"/>
              </w:rPr>
            </w:pPr>
            <w:r w:rsidRPr="00DD00D3">
              <w:rPr>
                <w:rFonts w:cs="Arial"/>
                <w:b/>
                <w:color w:val="auto"/>
                <w:sz w:val="24"/>
                <w:szCs w:val="24"/>
                <w:lang w:val="en-GB"/>
              </w:rPr>
              <w:t>BUDGETARY REVIEW AND RECOMMENDATION REPORT OF THE PORTFOLIO COMMITTEE ON WOMEN, YOUTH AND PERSONS WITH DISABILITIES, DATED 22 OCTOBER 2019</w:t>
            </w:r>
          </w:p>
          <w:p w:rsidR="00A17CA6" w:rsidRPr="00DD00D3" w:rsidRDefault="00A17CA6" w:rsidP="004A60C4">
            <w:pPr>
              <w:spacing w:line="360" w:lineRule="auto"/>
              <w:jc w:val="both"/>
              <w:rPr>
                <w:rFonts w:cs="Arial"/>
                <w:b/>
                <w:color w:val="auto"/>
                <w:sz w:val="24"/>
                <w:szCs w:val="24"/>
              </w:rPr>
            </w:pPr>
          </w:p>
        </w:tc>
      </w:tr>
      <w:tr w:rsidR="00DD00D3" w:rsidRPr="00DD00D3" w:rsidTr="004222CF">
        <w:tc>
          <w:tcPr>
            <w:tcW w:w="15134" w:type="dxa"/>
            <w:gridSpan w:val="6"/>
            <w:shd w:val="clear" w:color="auto" w:fill="00B050"/>
          </w:tcPr>
          <w:p w:rsidR="00A17CA6" w:rsidRPr="00DD00D3" w:rsidRDefault="00A17CA6" w:rsidP="004A60C4">
            <w:pPr>
              <w:spacing w:line="360" w:lineRule="auto"/>
              <w:jc w:val="both"/>
              <w:rPr>
                <w:rFonts w:cs="Arial"/>
                <w:b/>
                <w:color w:val="auto"/>
                <w:sz w:val="24"/>
                <w:szCs w:val="24"/>
                <w:lang w:val="en-GB"/>
              </w:rPr>
            </w:pPr>
            <w:r w:rsidRPr="00DD00D3">
              <w:rPr>
                <w:rFonts w:cs="Arial"/>
                <w:b/>
                <w:color w:val="auto"/>
                <w:sz w:val="24"/>
                <w:szCs w:val="24"/>
                <w:lang w:val="en-GB"/>
              </w:rPr>
              <w:t>Recommendations: The Minister of Women, Youth and Persons with Disabilities should ensure that the following recommendations are implemented.</w:t>
            </w:r>
          </w:p>
        </w:tc>
      </w:tr>
      <w:tr w:rsidR="00DD00D3" w:rsidRPr="00DD00D3" w:rsidTr="004222CF">
        <w:tc>
          <w:tcPr>
            <w:tcW w:w="5665" w:type="dxa"/>
            <w:gridSpan w:val="2"/>
            <w:shd w:val="clear" w:color="auto" w:fill="00B050"/>
          </w:tcPr>
          <w:p w:rsidR="00A17CA6" w:rsidRPr="00DD00D3" w:rsidRDefault="00A17CA6" w:rsidP="004A60C4">
            <w:pPr>
              <w:spacing w:line="360" w:lineRule="auto"/>
              <w:jc w:val="both"/>
              <w:rPr>
                <w:rFonts w:cs="Arial"/>
                <w:b/>
                <w:color w:val="auto"/>
                <w:sz w:val="24"/>
                <w:szCs w:val="24"/>
                <w:lang w:val="en-GB"/>
              </w:rPr>
            </w:pPr>
            <w:r w:rsidRPr="00DD00D3">
              <w:rPr>
                <w:rFonts w:cs="Arial"/>
                <w:color w:val="auto"/>
                <w:sz w:val="24"/>
                <w:szCs w:val="24"/>
              </w:rPr>
              <w:br w:type="page"/>
            </w:r>
            <w:r w:rsidRPr="00DD00D3">
              <w:rPr>
                <w:rFonts w:cs="Arial"/>
                <w:color w:val="auto"/>
                <w:sz w:val="24"/>
                <w:szCs w:val="24"/>
              </w:rPr>
              <w:br w:type="page"/>
            </w:r>
            <w:r w:rsidRPr="00DD00D3">
              <w:rPr>
                <w:rFonts w:cs="Arial"/>
                <w:b/>
                <w:color w:val="auto"/>
                <w:sz w:val="24"/>
                <w:szCs w:val="24"/>
                <w:lang w:val="en-GB"/>
              </w:rPr>
              <w:t>BRRR RECOMMENDATION</w:t>
            </w:r>
          </w:p>
        </w:tc>
        <w:tc>
          <w:tcPr>
            <w:tcW w:w="2410" w:type="dxa"/>
            <w:gridSpan w:val="2"/>
            <w:shd w:val="clear" w:color="auto" w:fill="00B050"/>
          </w:tcPr>
          <w:p w:rsidR="00A17CA6" w:rsidRPr="00DD00D3" w:rsidRDefault="00A17CA6" w:rsidP="004A60C4">
            <w:pPr>
              <w:spacing w:line="360" w:lineRule="auto"/>
              <w:jc w:val="both"/>
              <w:rPr>
                <w:rFonts w:cs="Arial"/>
                <w:b/>
                <w:color w:val="auto"/>
                <w:sz w:val="24"/>
                <w:szCs w:val="24"/>
              </w:rPr>
            </w:pPr>
            <w:r w:rsidRPr="00DD00D3">
              <w:rPr>
                <w:rFonts w:cs="Arial"/>
                <w:b/>
                <w:color w:val="auto"/>
                <w:sz w:val="24"/>
                <w:szCs w:val="24"/>
              </w:rPr>
              <w:t>RESPONSIBILITY</w:t>
            </w:r>
          </w:p>
        </w:tc>
        <w:tc>
          <w:tcPr>
            <w:tcW w:w="7059" w:type="dxa"/>
            <w:gridSpan w:val="2"/>
            <w:shd w:val="clear" w:color="auto" w:fill="00B050"/>
          </w:tcPr>
          <w:p w:rsidR="00A17CA6" w:rsidRPr="00DD00D3" w:rsidRDefault="00A17CA6" w:rsidP="004A60C4">
            <w:pPr>
              <w:spacing w:line="360" w:lineRule="auto"/>
              <w:jc w:val="both"/>
              <w:rPr>
                <w:rFonts w:cs="Arial"/>
                <w:b/>
                <w:color w:val="auto"/>
                <w:sz w:val="24"/>
                <w:szCs w:val="24"/>
              </w:rPr>
            </w:pPr>
            <w:r w:rsidRPr="00DD00D3">
              <w:rPr>
                <w:rFonts w:cs="Arial"/>
                <w:b/>
                <w:color w:val="auto"/>
                <w:sz w:val="24"/>
                <w:szCs w:val="24"/>
              </w:rPr>
              <w:t xml:space="preserve">STATUS as at end 30 OCTOBER </w:t>
            </w:r>
            <w:r w:rsidRPr="00DD00D3">
              <w:rPr>
                <w:rFonts w:cs="Arial"/>
                <w:b/>
                <w:color w:val="auto"/>
                <w:sz w:val="24"/>
                <w:szCs w:val="24"/>
                <w:lang w:val="en-GB"/>
              </w:rPr>
              <w:t>2019</w:t>
            </w:r>
          </w:p>
        </w:tc>
      </w:tr>
      <w:tr w:rsidR="00DD00D3" w:rsidRPr="00DD00D3" w:rsidTr="004222CF">
        <w:trPr>
          <w:gridAfter w:val="1"/>
          <w:wAfter w:w="108" w:type="dxa"/>
        </w:trPr>
        <w:tc>
          <w:tcPr>
            <w:tcW w:w="5665" w:type="dxa"/>
            <w:gridSpan w:val="2"/>
          </w:tcPr>
          <w:p w:rsidR="00A17CA6" w:rsidRPr="00DD00D3" w:rsidRDefault="00A17CA6" w:rsidP="004A60C4">
            <w:pPr>
              <w:spacing w:line="360" w:lineRule="auto"/>
              <w:jc w:val="both"/>
              <w:rPr>
                <w:rFonts w:cs="Arial"/>
                <w:b/>
                <w:color w:val="auto"/>
                <w:sz w:val="24"/>
                <w:szCs w:val="24"/>
                <w:lang w:val="en-GB"/>
              </w:rPr>
            </w:pPr>
            <w:r w:rsidRPr="00DD00D3">
              <w:rPr>
                <w:rFonts w:cs="Arial"/>
                <w:b/>
                <w:color w:val="auto"/>
                <w:sz w:val="24"/>
                <w:szCs w:val="24"/>
                <w:lang w:val="en-GB"/>
              </w:rPr>
              <w:t>14.1 Mandate of the Department</w:t>
            </w:r>
          </w:p>
        </w:tc>
        <w:tc>
          <w:tcPr>
            <w:tcW w:w="2410" w:type="dxa"/>
            <w:gridSpan w:val="2"/>
          </w:tcPr>
          <w:p w:rsidR="00A17CA6" w:rsidRPr="00DD00D3" w:rsidRDefault="00A17CA6" w:rsidP="004A60C4">
            <w:pPr>
              <w:spacing w:line="360" w:lineRule="auto"/>
              <w:jc w:val="both"/>
              <w:rPr>
                <w:rFonts w:cs="Arial"/>
                <w:b/>
                <w:color w:val="auto"/>
                <w:sz w:val="24"/>
                <w:szCs w:val="24"/>
                <w:lang w:val="en-GB"/>
              </w:rPr>
            </w:pPr>
          </w:p>
        </w:tc>
        <w:tc>
          <w:tcPr>
            <w:tcW w:w="6951" w:type="dxa"/>
          </w:tcPr>
          <w:p w:rsidR="00A17CA6" w:rsidRPr="00DD00D3" w:rsidRDefault="00A17CA6" w:rsidP="004A60C4">
            <w:pPr>
              <w:spacing w:line="360" w:lineRule="auto"/>
              <w:jc w:val="both"/>
              <w:rPr>
                <w:rFonts w:cs="Arial"/>
                <w:b/>
                <w:color w:val="auto"/>
                <w:sz w:val="24"/>
                <w:szCs w:val="24"/>
                <w:lang w:val="en-GB"/>
              </w:rPr>
            </w:pPr>
          </w:p>
        </w:tc>
      </w:tr>
      <w:tr w:rsidR="00DD00D3" w:rsidRPr="00DD00D3" w:rsidTr="004222CF">
        <w:trPr>
          <w:gridAfter w:val="1"/>
          <w:wAfter w:w="108" w:type="dxa"/>
          <w:trHeight w:val="5436"/>
        </w:trPr>
        <w:tc>
          <w:tcPr>
            <w:tcW w:w="5665" w:type="dxa"/>
            <w:gridSpan w:val="2"/>
            <w:tcBorders>
              <w:bottom w:val="single" w:sz="4" w:space="0" w:color="000000"/>
            </w:tcBorders>
          </w:tcPr>
          <w:p w:rsidR="00A17CA6" w:rsidRPr="00DD00D3" w:rsidRDefault="00A17CA6" w:rsidP="004A60C4">
            <w:pPr>
              <w:spacing w:line="360" w:lineRule="auto"/>
              <w:jc w:val="both"/>
              <w:rPr>
                <w:rFonts w:cs="Arial"/>
                <w:color w:val="auto"/>
                <w:sz w:val="24"/>
                <w:szCs w:val="24"/>
                <w:lang w:val="en-GB"/>
              </w:rPr>
            </w:pPr>
            <w:r w:rsidRPr="00DD00D3">
              <w:rPr>
                <w:rFonts w:cs="Arial"/>
                <w:color w:val="auto"/>
                <w:sz w:val="24"/>
                <w:szCs w:val="24"/>
                <w:lang w:val="en-GB"/>
              </w:rPr>
              <w:t>a) The Committee remains concerned about the Department’s ability to give effect to its mandate and therefore urges the Department to engage with all key stakeholders in this regard to look at addressing this matter given the expanded mandate.</w:t>
            </w:r>
          </w:p>
        </w:tc>
        <w:tc>
          <w:tcPr>
            <w:tcW w:w="2410" w:type="dxa"/>
            <w:gridSpan w:val="2"/>
            <w:tcBorders>
              <w:bottom w:val="single" w:sz="4" w:space="0" w:color="000000"/>
            </w:tcBorders>
          </w:tcPr>
          <w:p w:rsidR="00A17CA6" w:rsidRPr="00DD00D3" w:rsidRDefault="005C30CA" w:rsidP="004A60C4">
            <w:pPr>
              <w:spacing w:line="360" w:lineRule="auto"/>
              <w:jc w:val="both"/>
              <w:rPr>
                <w:rFonts w:cs="Arial"/>
                <w:color w:val="auto"/>
                <w:sz w:val="24"/>
                <w:szCs w:val="24"/>
                <w:lang w:val="en-GB"/>
              </w:rPr>
            </w:pPr>
            <w:r w:rsidRPr="00DD00D3">
              <w:rPr>
                <w:rFonts w:cs="Arial"/>
                <w:color w:val="auto"/>
                <w:sz w:val="24"/>
                <w:szCs w:val="24"/>
                <w:lang w:val="en-GB"/>
              </w:rPr>
              <w:t xml:space="preserve">CD: ODG </w:t>
            </w:r>
          </w:p>
        </w:tc>
        <w:tc>
          <w:tcPr>
            <w:tcW w:w="6951" w:type="dxa"/>
            <w:tcBorders>
              <w:bottom w:val="single" w:sz="4" w:space="0" w:color="000000"/>
            </w:tcBorders>
          </w:tcPr>
          <w:p w:rsidR="00867C69" w:rsidRDefault="00873E14" w:rsidP="00867C69">
            <w:pPr>
              <w:spacing w:line="360" w:lineRule="auto"/>
              <w:jc w:val="both"/>
              <w:rPr>
                <w:rFonts w:cs="Arial"/>
                <w:color w:val="auto"/>
                <w:sz w:val="24"/>
                <w:szCs w:val="24"/>
                <w:lang w:val="en-GB"/>
              </w:rPr>
            </w:pPr>
            <w:r w:rsidRPr="00873E14">
              <w:rPr>
                <w:rFonts w:cs="Arial"/>
                <w:color w:val="auto"/>
                <w:sz w:val="24"/>
                <w:szCs w:val="24"/>
                <w:lang w:val="en-GB"/>
              </w:rPr>
              <w:t xml:space="preserve">Positioning the department as </w:t>
            </w:r>
            <w:r w:rsidR="00867C69">
              <w:rPr>
                <w:rFonts w:cs="Arial"/>
                <w:color w:val="auto"/>
                <w:sz w:val="24"/>
                <w:szCs w:val="24"/>
                <w:lang w:val="en-GB"/>
              </w:rPr>
              <w:t xml:space="preserve">an effective institutional mechanism for </w:t>
            </w:r>
            <w:r w:rsidRPr="00873E14">
              <w:rPr>
                <w:rFonts w:cs="Arial"/>
                <w:color w:val="auto"/>
                <w:sz w:val="24"/>
                <w:szCs w:val="24"/>
                <w:lang w:val="en-GB"/>
              </w:rPr>
              <w:t>coordination, advocacy and monitoring requires constant engagement with the public th</w:t>
            </w:r>
            <w:r w:rsidR="004F7048">
              <w:rPr>
                <w:rFonts w:cs="Arial"/>
                <w:color w:val="auto"/>
                <w:sz w:val="24"/>
                <w:szCs w:val="24"/>
                <w:lang w:val="en-GB"/>
              </w:rPr>
              <w:t>r</w:t>
            </w:r>
            <w:r w:rsidRPr="00873E14">
              <w:rPr>
                <w:rFonts w:cs="Arial"/>
                <w:color w:val="auto"/>
                <w:sz w:val="24"/>
                <w:szCs w:val="24"/>
                <w:lang w:val="en-GB"/>
              </w:rPr>
              <w:t xml:space="preserve">ough the media and open platforms like our website and social media. </w:t>
            </w:r>
          </w:p>
          <w:p w:rsidR="00867C69" w:rsidRDefault="00867C69" w:rsidP="00867C69">
            <w:pPr>
              <w:spacing w:line="360" w:lineRule="auto"/>
              <w:jc w:val="both"/>
              <w:rPr>
                <w:rFonts w:cs="Arial"/>
                <w:color w:val="auto"/>
                <w:sz w:val="24"/>
                <w:szCs w:val="24"/>
                <w:lang w:val="en-GB"/>
              </w:rPr>
            </w:pPr>
          </w:p>
          <w:p w:rsidR="00847920" w:rsidRPr="00DD00D3" w:rsidRDefault="00873E14" w:rsidP="004F7048">
            <w:pPr>
              <w:spacing w:line="360" w:lineRule="auto"/>
              <w:jc w:val="both"/>
              <w:rPr>
                <w:rFonts w:cs="Arial"/>
                <w:color w:val="auto"/>
                <w:sz w:val="24"/>
                <w:szCs w:val="24"/>
                <w:lang w:val="en-GB"/>
              </w:rPr>
            </w:pPr>
            <w:r w:rsidRPr="00873E14">
              <w:rPr>
                <w:rFonts w:cs="Arial"/>
                <w:color w:val="auto"/>
                <w:sz w:val="24"/>
                <w:szCs w:val="24"/>
                <w:lang w:val="en-GB"/>
              </w:rPr>
              <w:t xml:space="preserve">The </w:t>
            </w:r>
            <w:r w:rsidR="00867C69">
              <w:rPr>
                <w:rFonts w:cs="Arial"/>
                <w:color w:val="auto"/>
                <w:sz w:val="24"/>
                <w:szCs w:val="24"/>
                <w:lang w:val="en-GB"/>
              </w:rPr>
              <w:t xml:space="preserve">reconfiguration </w:t>
            </w:r>
            <w:r w:rsidRPr="00873E14">
              <w:rPr>
                <w:rFonts w:cs="Arial"/>
                <w:color w:val="auto"/>
                <w:sz w:val="24"/>
                <w:szCs w:val="24"/>
                <w:lang w:val="en-GB"/>
              </w:rPr>
              <w:t xml:space="preserve">process has </w:t>
            </w:r>
            <w:r w:rsidR="00867C69">
              <w:rPr>
                <w:rFonts w:cs="Arial"/>
                <w:color w:val="auto"/>
                <w:sz w:val="24"/>
                <w:szCs w:val="24"/>
                <w:lang w:val="en-GB"/>
              </w:rPr>
              <w:t xml:space="preserve">afforded the department an opportunity </w:t>
            </w:r>
            <w:r w:rsidR="00867C69" w:rsidRPr="00DD00D3">
              <w:rPr>
                <w:rFonts w:cs="Arial"/>
                <w:color w:val="auto"/>
                <w:sz w:val="24"/>
                <w:szCs w:val="24"/>
                <w:lang w:val="en-GB"/>
              </w:rPr>
              <w:t>to engage with key stakeholders</w:t>
            </w:r>
            <w:r w:rsidR="00867C69" w:rsidRPr="00873E14">
              <w:rPr>
                <w:rFonts w:cs="Arial"/>
                <w:color w:val="auto"/>
                <w:sz w:val="24"/>
                <w:szCs w:val="24"/>
                <w:lang w:val="en-GB"/>
              </w:rPr>
              <w:t xml:space="preserve"> </w:t>
            </w:r>
            <w:r w:rsidR="004F7048">
              <w:rPr>
                <w:rFonts w:cs="Arial"/>
                <w:color w:val="auto"/>
                <w:sz w:val="24"/>
                <w:szCs w:val="24"/>
                <w:lang w:val="en-GB"/>
              </w:rPr>
              <w:t xml:space="preserve">on </w:t>
            </w:r>
            <w:r w:rsidR="00CD7A22">
              <w:rPr>
                <w:rFonts w:cs="Arial"/>
                <w:color w:val="auto"/>
                <w:sz w:val="24"/>
                <w:szCs w:val="24"/>
                <w:lang w:val="en-GB"/>
              </w:rPr>
              <w:t xml:space="preserve">its </w:t>
            </w:r>
            <w:r w:rsidRPr="00873E14">
              <w:rPr>
                <w:rFonts w:cs="Arial"/>
                <w:color w:val="auto"/>
                <w:sz w:val="24"/>
                <w:szCs w:val="24"/>
                <w:lang w:val="en-GB"/>
              </w:rPr>
              <w:t xml:space="preserve">extended mandate </w:t>
            </w:r>
            <w:r w:rsidR="00CD7A22">
              <w:rPr>
                <w:rFonts w:cs="Arial"/>
                <w:color w:val="auto"/>
                <w:sz w:val="24"/>
                <w:szCs w:val="24"/>
                <w:lang w:val="en-GB"/>
              </w:rPr>
              <w:t xml:space="preserve">inclusive of youth and </w:t>
            </w:r>
            <w:r w:rsidR="004F7048">
              <w:rPr>
                <w:rFonts w:cs="Arial"/>
                <w:color w:val="auto"/>
                <w:sz w:val="24"/>
                <w:szCs w:val="24"/>
                <w:lang w:val="en-GB"/>
              </w:rPr>
              <w:t xml:space="preserve">persons with </w:t>
            </w:r>
            <w:r w:rsidR="00CD7A22">
              <w:rPr>
                <w:rFonts w:cs="Arial"/>
                <w:color w:val="auto"/>
                <w:sz w:val="24"/>
                <w:szCs w:val="24"/>
                <w:lang w:val="en-GB"/>
              </w:rPr>
              <w:t>disabilit</w:t>
            </w:r>
            <w:r w:rsidR="004F7048">
              <w:rPr>
                <w:rFonts w:cs="Arial"/>
                <w:color w:val="auto"/>
                <w:sz w:val="24"/>
                <w:szCs w:val="24"/>
                <w:lang w:val="en-GB"/>
              </w:rPr>
              <w:t>ies</w:t>
            </w:r>
            <w:r w:rsidR="00CD7A22">
              <w:rPr>
                <w:rFonts w:cs="Arial"/>
                <w:color w:val="auto"/>
                <w:sz w:val="24"/>
                <w:szCs w:val="24"/>
                <w:lang w:val="en-GB"/>
              </w:rPr>
              <w:t>. T</w:t>
            </w:r>
            <w:r w:rsidRPr="00873E14">
              <w:rPr>
                <w:rFonts w:cs="Arial"/>
                <w:color w:val="auto"/>
                <w:sz w:val="24"/>
                <w:szCs w:val="24"/>
                <w:lang w:val="en-GB"/>
              </w:rPr>
              <w:t xml:space="preserve">his </w:t>
            </w:r>
            <w:r w:rsidR="00CD7A22">
              <w:rPr>
                <w:rFonts w:cs="Arial"/>
                <w:color w:val="auto"/>
                <w:sz w:val="24"/>
                <w:szCs w:val="24"/>
                <w:lang w:val="en-GB"/>
              </w:rPr>
              <w:t xml:space="preserve">mandate </w:t>
            </w:r>
            <w:r w:rsidRPr="00873E14">
              <w:rPr>
                <w:rFonts w:cs="Arial"/>
                <w:color w:val="auto"/>
                <w:sz w:val="24"/>
                <w:szCs w:val="24"/>
                <w:lang w:val="en-GB"/>
              </w:rPr>
              <w:t>has to be communicated to the public</w:t>
            </w:r>
            <w:r w:rsidR="00CD7A22">
              <w:rPr>
                <w:rFonts w:cs="Arial"/>
                <w:color w:val="auto"/>
                <w:sz w:val="24"/>
                <w:szCs w:val="24"/>
                <w:lang w:val="en-GB"/>
              </w:rPr>
              <w:t xml:space="preserve"> through various dialogues held and various social media platforms</w:t>
            </w:r>
            <w:r w:rsidR="00847920">
              <w:rPr>
                <w:rFonts w:cs="Arial"/>
                <w:color w:val="auto"/>
                <w:sz w:val="24"/>
                <w:szCs w:val="24"/>
                <w:lang w:val="en-GB"/>
              </w:rPr>
              <w:t>.</w:t>
            </w:r>
          </w:p>
        </w:tc>
      </w:tr>
      <w:tr w:rsidR="0045427B" w:rsidRPr="00DD00D3" w:rsidTr="004222CF">
        <w:trPr>
          <w:gridAfter w:val="1"/>
          <w:wAfter w:w="108" w:type="dxa"/>
        </w:trPr>
        <w:tc>
          <w:tcPr>
            <w:tcW w:w="5098" w:type="dxa"/>
            <w:shd w:val="clear" w:color="auto" w:fill="00B050"/>
          </w:tcPr>
          <w:p w:rsidR="0045427B" w:rsidRPr="00DD00D3" w:rsidRDefault="0045427B" w:rsidP="0045427B">
            <w:pPr>
              <w:spacing w:line="360" w:lineRule="auto"/>
              <w:jc w:val="both"/>
              <w:rPr>
                <w:rFonts w:cs="Arial"/>
                <w:color w:val="auto"/>
                <w:sz w:val="24"/>
                <w:szCs w:val="24"/>
                <w:lang w:val="en-GB"/>
              </w:rPr>
            </w:pPr>
            <w:r w:rsidRPr="00DD00D3">
              <w:rPr>
                <w:rFonts w:cs="Arial"/>
                <w:b/>
                <w:color w:val="auto"/>
                <w:sz w:val="24"/>
                <w:szCs w:val="24"/>
                <w:lang w:val="en-GB"/>
              </w:rPr>
              <w:lastRenderedPageBreak/>
              <w:t>BRRR RECOMMENDATION</w:t>
            </w:r>
          </w:p>
        </w:tc>
        <w:tc>
          <w:tcPr>
            <w:tcW w:w="2301" w:type="dxa"/>
            <w:gridSpan w:val="2"/>
            <w:shd w:val="clear" w:color="auto" w:fill="00B050"/>
          </w:tcPr>
          <w:p w:rsidR="0045427B" w:rsidRPr="00DD00D3" w:rsidRDefault="0045427B" w:rsidP="0045427B">
            <w:pPr>
              <w:spacing w:line="360" w:lineRule="auto"/>
              <w:jc w:val="both"/>
              <w:rPr>
                <w:rFonts w:cs="Arial"/>
                <w:color w:val="auto"/>
                <w:sz w:val="24"/>
                <w:szCs w:val="24"/>
                <w:lang w:val="en-GB"/>
              </w:rPr>
            </w:pPr>
            <w:r w:rsidRPr="00DD00D3">
              <w:rPr>
                <w:rFonts w:cs="Arial"/>
                <w:b/>
                <w:color w:val="auto"/>
                <w:sz w:val="24"/>
                <w:szCs w:val="24"/>
              </w:rPr>
              <w:t>RESPONSIBILITY</w:t>
            </w:r>
          </w:p>
        </w:tc>
        <w:tc>
          <w:tcPr>
            <w:tcW w:w="7627" w:type="dxa"/>
            <w:gridSpan w:val="2"/>
            <w:shd w:val="clear" w:color="auto" w:fill="00B050"/>
          </w:tcPr>
          <w:p w:rsidR="0045427B" w:rsidRPr="00873E14" w:rsidRDefault="0045427B" w:rsidP="0045427B">
            <w:pPr>
              <w:spacing w:line="360" w:lineRule="auto"/>
              <w:jc w:val="both"/>
              <w:rPr>
                <w:rFonts w:cs="Arial"/>
                <w:color w:val="auto"/>
                <w:sz w:val="24"/>
                <w:szCs w:val="24"/>
                <w:lang w:val="en-GB"/>
              </w:rPr>
            </w:pPr>
            <w:r w:rsidRPr="00DD00D3">
              <w:rPr>
                <w:rFonts w:cs="Arial"/>
                <w:b/>
                <w:color w:val="auto"/>
                <w:sz w:val="24"/>
                <w:szCs w:val="24"/>
              </w:rPr>
              <w:t xml:space="preserve">STATUS as at end 30 OCTOBER </w:t>
            </w:r>
            <w:r w:rsidRPr="00DD00D3">
              <w:rPr>
                <w:rFonts w:cs="Arial"/>
                <w:b/>
                <w:color w:val="auto"/>
                <w:sz w:val="24"/>
                <w:szCs w:val="24"/>
                <w:lang w:val="en-GB"/>
              </w:rPr>
              <w:t>2019</w:t>
            </w:r>
          </w:p>
        </w:tc>
      </w:tr>
      <w:tr w:rsidR="00DD00D3" w:rsidRPr="00DD00D3" w:rsidTr="004222CF">
        <w:trPr>
          <w:gridAfter w:val="1"/>
          <w:wAfter w:w="108" w:type="dxa"/>
        </w:trPr>
        <w:tc>
          <w:tcPr>
            <w:tcW w:w="5098" w:type="dxa"/>
          </w:tcPr>
          <w:p w:rsidR="00A17CA6" w:rsidRPr="00DD00D3" w:rsidRDefault="00A17CA6" w:rsidP="004A60C4">
            <w:pPr>
              <w:spacing w:line="360" w:lineRule="auto"/>
              <w:jc w:val="both"/>
              <w:rPr>
                <w:rFonts w:cs="Arial"/>
                <w:color w:val="auto"/>
                <w:sz w:val="24"/>
                <w:szCs w:val="24"/>
                <w:lang w:val="en-GB"/>
              </w:rPr>
            </w:pPr>
            <w:r w:rsidRPr="00DD00D3">
              <w:rPr>
                <w:rFonts w:cs="Arial"/>
                <w:color w:val="auto"/>
                <w:sz w:val="24"/>
                <w:szCs w:val="24"/>
                <w:lang w:val="en-GB"/>
              </w:rPr>
              <w:t>b) The Committee strongly recommends that the Department undertake effective planning to give effect to its mandate and ensure that targets identified in its APP are not changed and are adhered to. In the event changes are brought about the Committee should be informed at quarterly report briefings made to the Committee.</w:t>
            </w:r>
          </w:p>
        </w:tc>
        <w:tc>
          <w:tcPr>
            <w:tcW w:w="2301" w:type="dxa"/>
            <w:gridSpan w:val="2"/>
          </w:tcPr>
          <w:p w:rsidR="00A17CA6" w:rsidRPr="00DD00D3" w:rsidRDefault="005C30CA" w:rsidP="004A60C4">
            <w:pPr>
              <w:spacing w:line="360" w:lineRule="auto"/>
              <w:jc w:val="both"/>
              <w:rPr>
                <w:rFonts w:cs="Arial"/>
                <w:color w:val="auto"/>
                <w:sz w:val="24"/>
                <w:szCs w:val="24"/>
                <w:lang w:val="en-GB"/>
              </w:rPr>
            </w:pPr>
            <w:r w:rsidRPr="00DD00D3">
              <w:rPr>
                <w:rFonts w:cs="Arial"/>
                <w:color w:val="auto"/>
                <w:sz w:val="24"/>
                <w:szCs w:val="24"/>
                <w:lang w:val="en-GB"/>
              </w:rPr>
              <w:t xml:space="preserve">CD: ODG </w:t>
            </w:r>
          </w:p>
        </w:tc>
        <w:tc>
          <w:tcPr>
            <w:tcW w:w="7627" w:type="dxa"/>
            <w:gridSpan w:val="2"/>
          </w:tcPr>
          <w:p w:rsidR="000E24CB" w:rsidRDefault="00D1180F" w:rsidP="005E68ED">
            <w:pPr>
              <w:spacing w:line="360" w:lineRule="auto"/>
              <w:jc w:val="both"/>
              <w:rPr>
                <w:rFonts w:cs="Arial"/>
                <w:color w:val="auto"/>
                <w:sz w:val="24"/>
                <w:szCs w:val="24"/>
                <w:lang w:val="en-GB"/>
              </w:rPr>
            </w:pPr>
            <w:r>
              <w:rPr>
                <w:rFonts w:cs="Arial"/>
                <w:color w:val="auto"/>
                <w:sz w:val="24"/>
                <w:szCs w:val="24"/>
                <w:lang w:val="en-GB"/>
              </w:rPr>
              <w:t xml:space="preserve">The department notes the recommendation of the Committee. </w:t>
            </w:r>
            <w:r w:rsidR="005B0EBD">
              <w:rPr>
                <w:rFonts w:cs="Arial"/>
                <w:color w:val="auto"/>
                <w:sz w:val="24"/>
                <w:szCs w:val="24"/>
                <w:lang w:val="en-GB"/>
              </w:rPr>
              <w:t>A</w:t>
            </w:r>
            <w:r>
              <w:rPr>
                <w:rFonts w:cs="Arial"/>
                <w:color w:val="auto"/>
                <w:sz w:val="24"/>
                <w:szCs w:val="24"/>
                <w:lang w:val="en-GB"/>
              </w:rPr>
              <w:t xml:space="preserve"> strategic planning session </w:t>
            </w:r>
            <w:r w:rsidR="005B0EBD">
              <w:rPr>
                <w:rFonts w:cs="Arial"/>
                <w:color w:val="auto"/>
                <w:sz w:val="24"/>
                <w:szCs w:val="24"/>
                <w:lang w:val="en-GB"/>
              </w:rPr>
              <w:t xml:space="preserve">has been undertaken </w:t>
            </w:r>
            <w:r>
              <w:rPr>
                <w:rFonts w:cs="Arial"/>
                <w:color w:val="auto"/>
                <w:sz w:val="24"/>
                <w:szCs w:val="24"/>
                <w:lang w:val="en-GB"/>
              </w:rPr>
              <w:t xml:space="preserve">that fostered integration of the three special development areas </w:t>
            </w:r>
            <w:r w:rsidR="005B0EBD">
              <w:rPr>
                <w:rFonts w:cs="Arial"/>
                <w:color w:val="auto"/>
                <w:sz w:val="24"/>
                <w:szCs w:val="24"/>
                <w:lang w:val="en-GB"/>
              </w:rPr>
              <w:t xml:space="preserve">that formed part of the reconfiguration </w:t>
            </w:r>
            <w:r>
              <w:rPr>
                <w:rFonts w:cs="Arial"/>
                <w:color w:val="auto"/>
                <w:sz w:val="24"/>
                <w:szCs w:val="24"/>
                <w:lang w:val="en-GB"/>
              </w:rPr>
              <w:t xml:space="preserve">to give effect to its new mandate.  </w:t>
            </w:r>
          </w:p>
          <w:p w:rsidR="00A17CA6" w:rsidRPr="00DD00D3" w:rsidRDefault="005C30CA" w:rsidP="005E68ED">
            <w:pPr>
              <w:spacing w:line="360" w:lineRule="auto"/>
              <w:jc w:val="both"/>
              <w:rPr>
                <w:rFonts w:cs="Arial"/>
                <w:color w:val="auto"/>
                <w:sz w:val="24"/>
                <w:szCs w:val="24"/>
                <w:lang w:val="en-GB"/>
              </w:rPr>
            </w:pPr>
            <w:r w:rsidRPr="00DD00D3">
              <w:rPr>
                <w:rFonts w:cs="Arial"/>
                <w:color w:val="auto"/>
                <w:sz w:val="24"/>
                <w:szCs w:val="24"/>
                <w:lang w:val="en-GB"/>
              </w:rPr>
              <w:t>The 1st draft Annual Performance Plan and Strategic Plan were submitted to DPME to assess compliance with the framework on Strategic Plans and Annual Performance Plan which includes all planning requirements.</w:t>
            </w:r>
          </w:p>
        </w:tc>
      </w:tr>
      <w:tr w:rsidR="00DD00D3" w:rsidRPr="00DD00D3" w:rsidTr="004222CF">
        <w:trPr>
          <w:gridAfter w:val="1"/>
          <w:wAfter w:w="108" w:type="dxa"/>
        </w:trPr>
        <w:tc>
          <w:tcPr>
            <w:tcW w:w="5098" w:type="dxa"/>
          </w:tcPr>
          <w:p w:rsidR="00A17CA6" w:rsidRPr="00DD00D3" w:rsidRDefault="00A17CA6" w:rsidP="004A60C4">
            <w:pPr>
              <w:spacing w:line="360" w:lineRule="auto"/>
              <w:jc w:val="both"/>
              <w:rPr>
                <w:rFonts w:cs="Arial"/>
                <w:color w:val="auto"/>
                <w:sz w:val="24"/>
                <w:szCs w:val="24"/>
                <w:lang w:val="en-GB"/>
              </w:rPr>
            </w:pPr>
            <w:r w:rsidRPr="00DD00D3">
              <w:rPr>
                <w:rFonts w:cs="Arial"/>
                <w:color w:val="auto"/>
                <w:sz w:val="24"/>
                <w:szCs w:val="24"/>
                <w:lang w:val="en-GB"/>
              </w:rPr>
              <w:t>c) The Committee strongly recommends that the Department utilises its budget optimally to give effect to its mandate within the programme allocations.</w:t>
            </w:r>
          </w:p>
        </w:tc>
        <w:tc>
          <w:tcPr>
            <w:tcW w:w="2301" w:type="dxa"/>
            <w:gridSpan w:val="2"/>
          </w:tcPr>
          <w:p w:rsidR="00A17CA6" w:rsidRPr="00DD00D3" w:rsidRDefault="005C30CA" w:rsidP="004A60C4">
            <w:pPr>
              <w:spacing w:line="360" w:lineRule="auto"/>
              <w:jc w:val="both"/>
              <w:rPr>
                <w:rFonts w:cs="Arial"/>
                <w:color w:val="auto"/>
                <w:sz w:val="24"/>
                <w:szCs w:val="24"/>
                <w:lang w:val="en-GB"/>
              </w:rPr>
            </w:pPr>
            <w:r w:rsidRPr="00DD00D3">
              <w:rPr>
                <w:rFonts w:cs="Arial"/>
                <w:color w:val="auto"/>
                <w:sz w:val="24"/>
                <w:szCs w:val="24"/>
                <w:lang w:val="en-GB"/>
              </w:rPr>
              <w:t>CFO</w:t>
            </w:r>
          </w:p>
        </w:tc>
        <w:tc>
          <w:tcPr>
            <w:tcW w:w="7627" w:type="dxa"/>
            <w:gridSpan w:val="2"/>
          </w:tcPr>
          <w:p w:rsidR="00A17CA6" w:rsidRPr="00DD00D3" w:rsidRDefault="00D1180F" w:rsidP="00101613">
            <w:pPr>
              <w:spacing w:line="360" w:lineRule="auto"/>
              <w:jc w:val="both"/>
              <w:rPr>
                <w:rFonts w:cs="Arial"/>
                <w:color w:val="auto"/>
                <w:sz w:val="24"/>
                <w:szCs w:val="24"/>
                <w:lang w:val="en-GB"/>
              </w:rPr>
            </w:pPr>
            <w:r>
              <w:rPr>
                <w:rFonts w:cs="Arial"/>
                <w:color w:val="auto"/>
                <w:sz w:val="24"/>
                <w:szCs w:val="24"/>
                <w:lang w:val="en-GB"/>
              </w:rPr>
              <w:t>The department has put in place systems to ensure that it utilises its budget optimally to</w:t>
            </w:r>
            <w:r w:rsidRPr="00DD00D3">
              <w:rPr>
                <w:rFonts w:cs="Arial"/>
                <w:color w:val="auto"/>
                <w:sz w:val="24"/>
                <w:szCs w:val="24"/>
                <w:lang w:val="en-GB"/>
              </w:rPr>
              <w:t xml:space="preserve"> give effect to its mandate</w:t>
            </w:r>
            <w:r>
              <w:rPr>
                <w:rFonts w:cs="Arial"/>
                <w:color w:val="auto"/>
                <w:sz w:val="24"/>
                <w:szCs w:val="24"/>
                <w:lang w:val="en-GB"/>
              </w:rPr>
              <w:t xml:space="preserve">. </w:t>
            </w:r>
            <w:r w:rsidR="000E24CB">
              <w:rPr>
                <w:rFonts w:cs="Arial"/>
                <w:color w:val="auto"/>
                <w:sz w:val="24"/>
                <w:szCs w:val="24"/>
                <w:lang w:val="en-GB"/>
              </w:rPr>
              <w:t>As such, t</w:t>
            </w:r>
            <w:r>
              <w:rPr>
                <w:rFonts w:cs="Arial"/>
                <w:color w:val="auto"/>
                <w:sz w:val="24"/>
                <w:szCs w:val="24"/>
                <w:lang w:val="en-GB"/>
              </w:rPr>
              <w:t xml:space="preserve">he </w:t>
            </w:r>
            <w:r w:rsidR="00101613">
              <w:rPr>
                <w:rFonts w:cs="Arial"/>
                <w:color w:val="auto"/>
                <w:sz w:val="24"/>
                <w:szCs w:val="24"/>
                <w:lang w:val="en-GB"/>
              </w:rPr>
              <w:t>Office of the CFO</w:t>
            </w:r>
            <w:r>
              <w:rPr>
                <w:rFonts w:cs="Arial"/>
                <w:color w:val="auto"/>
                <w:sz w:val="24"/>
                <w:szCs w:val="24"/>
                <w:lang w:val="en-GB"/>
              </w:rPr>
              <w:t xml:space="preserve"> </w:t>
            </w:r>
            <w:r w:rsidR="00813357">
              <w:rPr>
                <w:rFonts w:cs="Arial"/>
                <w:color w:val="auto"/>
                <w:sz w:val="24"/>
                <w:szCs w:val="24"/>
                <w:lang w:val="en-GB"/>
              </w:rPr>
              <w:t xml:space="preserve">conducts monthly monitoring </w:t>
            </w:r>
            <w:r>
              <w:rPr>
                <w:rFonts w:cs="Arial"/>
                <w:color w:val="auto"/>
                <w:sz w:val="24"/>
                <w:szCs w:val="24"/>
                <w:lang w:val="en-GB"/>
              </w:rPr>
              <w:t xml:space="preserve">activities </w:t>
            </w:r>
            <w:r w:rsidR="00813357">
              <w:rPr>
                <w:rFonts w:cs="Arial"/>
                <w:color w:val="auto"/>
                <w:sz w:val="24"/>
                <w:szCs w:val="24"/>
                <w:lang w:val="en-GB"/>
              </w:rPr>
              <w:t xml:space="preserve">and holds </w:t>
            </w:r>
            <w:r w:rsidR="00101613">
              <w:rPr>
                <w:rFonts w:cs="Arial"/>
                <w:color w:val="auto"/>
                <w:sz w:val="24"/>
                <w:szCs w:val="24"/>
                <w:lang w:val="en-GB"/>
              </w:rPr>
              <w:t>B</w:t>
            </w:r>
            <w:r w:rsidR="00813357">
              <w:rPr>
                <w:rFonts w:cs="Arial"/>
                <w:color w:val="auto"/>
                <w:sz w:val="24"/>
                <w:szCs w:val="24"/>
                <w:lang w:val="en-GB"/>
              </w:rPr>
              <w:t>udget Committee meeting</w:t>
            </w:r>
            <w:r>
              <w:rPr>
                <w:rFonts w:cs="Arial"/>
                <w:color w:val="auto"/>
                <w:sz w:val="24"/>
                <w:szCs w:val="24"/>
                <w:lang w:val="en-GB"/>
              </w:rPr>
              <w:t>s</w:t>
            </w:r>
            <w:r w:rsidR="00813357">
              <w:rPr>
                <w:rFonts w:cs="Arial"/>
                <w:color w:val="auto"/>
                <w:sz w:val="24"/>
                <w:szCs w:val="24"/>
                <w:lang w:val="en-GB"/>
              </w:rPr>
              <w:t xml:space="preserve"> monthly to monitor the utilisation of the budget. </w:t>
            </w:r>
            <w:r>
              <w:rPr>
                <w:rFonts w:cs="Arial"/>
                <w:color w:val="auto"/>
                <w:sz w:val="24"/>
                <w:szCs w:val="24"/>
                <w:lang w:val="en-GB"/>
              </w:rPr>
              <w:t>Budget is aligned to programmatic interventions</w:t>
            </w:r>
            <w:r w:rsidR="000E24CB">
              <w:rPr>
                <w:rFonts w:cs="Arial"/>
                <w:color w:val="auto"/>
                <w:sz w:val="24"/>
                <w:szCs w:val="24"/>
                <w:lang w:val="en-GB"/>
              </w:rPr>
              <w:t>.</w:t>
            </w:r>
            <w:r w:rsidR="00101613">
              <w:rPr>
                <w:rFonts w:cs="Arial"/>
                <w:color w:val="auto"/>
                <w:sz w:val="24"/>
                <w:szCs w:val="24"/>
                <w:lang w:val="en-GB"/>
              </w:rPr>
              <w:t xml:space="preserve"> Managers are also provided with monthly expenditure reports to monitor spending against the budget and activities.</w:t>
            </w:r>
          </w:p>
        </w:tc>
      </w:tr>
      <w:tr w:rsidR="00DD00D3" w:rsidRPr="00DD00D3" w:rsidTr="004222CF">
        <w:trPr>
          <w:gridAfter w:val="1"/>
          <w:wAfter w:w="108" w:type="dxa"/>
        </w:trPr>
        <w:tc>
          <w:tcPr>
            <w:tcW w:w="5098" w:type="dxa"/>
          </w:tcPr>
          <w:p w:rsidR="00A17CA6" w:rsidRPr="00DD00D3" w:rsidRDefault="00A17CA6" w:rsidP="004A60C4">
            <w:pPr>
              <w:spacing w:line="360" w:lineRule="auto"/>
              <w:jc w:val="both"/>
              <w:rPr>
                <w:rFonts w:cs="Arial"/>
                <w:color w:val="auto"/>
                <w:sz w:val="24"/>
                <w:szCs w:val="24"/>
                <w:lang w:val="en-GB"/>
              </w:rPr>
            </w:pPr>
            <w:r w:rsidRPr="00DD00D3">
              <w:rPr>
                <w:rFonts w:cs="Arial"/>
                <w:color w:val="auto"/>
                <w:sz w:val="24"/>
                <w:szCs w:val="24"/>
                <w:lang w:val="en-GB"/>
              </w:rPr>
              <w:t>d) The Committee strongly recommends that the Department ensures that all its targets and programmes are aligned to the NDP and MTSF outcomes.</w:t>
            </w:r>
          </w:p>
        </w:tc>
        <w:tc>
          <w:tcPr>
            <w:tcW w:w="2301" w:type="dxa"/>
            <w:gridSpan w:val="2"/>
          </w:tcPr>
          <w:p w:rsidR="00A17CA6" w:rsidRPr="00DD00D3" w:rsidRDefault="005C30CA" w:rsidP="004A60C4">
            <w:pPr>
              <w:spacing w:line="360" w:lineRule="auto"/>
              <w:jc w:val="both"/>
              <w:rPr>
                <w:rFonts w:cs="Arial"/>
                <w:color w:val="auto"/>
                <w:sz w:val="24"/>
                <w:szCs w:val="24"/>
                <w:lang w:val="en-GB"/>
              </w:rPr>
            </w:pPr>
            <w:r w:rsidRPr="00DD00D3">
              <w:rPr>
                <w:rFonts w:cs="Arial"/>
                <w:color w:val="auto"/>
                <w:sz w:val="24"/>
                <w:szCs w:val="24"/>
                <w:lang w:val="en-GB"/>
              </w:rPr>
              <w:t>CD: ODG</w:t>
            </w:r>
          </w:p>
        </w:tc>
        <w:tc>
          <w:tcPr>
            <w:tcW w:w="7627" w:type="dxa"/>
            <w:gridSpan w:val="2"/>
          </w:tcPr>
          <w:p w:rsidR="00A17CA6" w:rsidRPr="00DD00D3" w:rsidRDefault="005C30CA" w:rsidP="005E68ED">
            <w:pPr>
              <w:spacing w:line="360" w:lineRule="auto"/>
              <w:jc w:val="both"/>
              <w:rPr>
                <w:rFonts w:cs="Arial"/>
                <w:color w:val="auto"/>
                <w:sz w:val="24"/>
                <w:szCs w:val="24"/>
                <w:lang w:val="en-GB"/>
              </w:rPr>
            </w:pPr>
            <w:r w:rsidRPr="00DD00D3">
              <w:rPr>
                <w:rFonts w:cs="Arial"/>
                <w:color w:val="auto"/>
                <w:sz w:val="24"/>
                <w:szCs w:val="24"/>
                <w:lang w:val="en-GB"/>
              </w:rPr>
              <w:t>The 1st draft Annual Performance Plan</w:t>
            </w:r>
            <w:r w:rsidR="006634C4">
              <w:rPr>
                <w:rFonts w:cs="Arial"/>
                <w:color w:val="auto"/>
                <w:sz w:val="24"/>
                <w:szCs w:val="24"/>
                <w:lang w:val="en-GB"/>
              </w:rPr>
              <w:t xml:space="preserve"> and </w:t>
            </w:r>
            <w:r w:rsidRPr="00DD00D3">
              <w:rPr>
                <w:rFonts w:cs="Arial"/>
                <w:color w:val="auto"/>
                <w:sz w:val="24"/>
                <w:szCs w:val="24"/>
                <w:lang w:val="en-GB"/>
              </w:rPr>
              <w:t xml:space="preserve">Strategic Plan </w:t>
            </w:r>
            <w:r w:rsidR="006634C4">
              <w:rPr>
                <w:rFonts w:cs="Arial"/>
                <w:color w:val="auto"/>
                <w:sz w:val="24"/>
                <w:szCs w:val="24"/>
                <w:lang w:val="en-GB"/>
              </w:rPr>
              <w:t xml:space="preserve">have been </w:t>
            </w:r>
            <w:r w:rsidRPr="00DD00D3">
              <w:rPr>
                <w:rFonts w:cs="Arial"/>
                <w:color w:val="auto"/>
                <w:sz w:val="24"/>
                <w:szCs w:val="24"/>
                <w:lang w:val="en-GB"/>
              </w:rPr>
              <w:t>submitted to DPME</w:t>
            </w:r>
            <w:r w:rsidR="006634C4">
              <w:rPr>
                <w:rFonts w:cs="Arial"/>
                <w:color w:val="auto"/>
                <w:sz w:val="24"/>
                <w:szCs w:val="24"/>
                <w:lang w:val="en-GB"/>
              </w:rPr>
              <w:t xml:space="preserve">. The department </w:t>
            </w:r>
            <w:r w:rsidR="000E24CB">
              <w:rPr>
                <w:rFonts w:cs="Arial"/>
                <w:color w:val="auto"/>
                <w:sz w:val="24"/>
                <w:szCs w:val="24"/>
                <w:lang w:val="en-GB"/>
              </w:rPr>
              <w:t>ensur</w:t>
            </w:r>
            <w:r w:rsidR="006634C4">
              <w:rPr>
                <w:rFonts w:cs="Arial"/>
                <w:color w:val="auto"/>
                <w:sz w:val="24"/>
                <w:szCs w:val="24"/>
                <w:lang w:val="en-GB"/>
              </w:rPr>
              <w:t>ed</w:t>
            </w:r>
            <w:r w:rsidR="000E24CB">
              <w:rPr>
                <w:rFonts w:cs="Arial"/>
                <w:color w:val="auto"/>
                <w:sz w:val="24"/>
                <w:szCs w:val="24"/>
                <w:lang w:val="en-GB"/>
              </w:rPr>
              <w:t xml:space="preserve"> that its targets and programmes are aligned to the MTSF and NDP. DPME is</w:t>
            </w:r>
            <w:r w:rsidRPr="00DD00D3">
              <w:rPr>
                <w:rFonts w:cs="Arial"/>
                <w:color w:val="auto"/>
                <w:sz w:val="24"/>
                <w:szCs w:val="24"/>
                <w:lang w:val="en-GB"/>
              </w:rPr>
              <w:t xml:space="preserve"> </w:t>
            </w:r>
            <w:r w:rsidR="000E24CB" w:rsidRPr="00DD00D3">
              <w:rPr>
                <w:rFonts w:cs="Arial"/>
                <w:color w:val="auto"/>
                <w:sz w:val="24"/>
                <w:szCs w:val="24"/>
                <w:lang w:val="en-GB"/>
              </w:rPr>
              <w:t>asse</w:t>
            </w:r>
            <w:r w:rsidR="000E24CB">
              <w:rPr>
                <w:rFonts w:cs="Arial"/>
                <w:color w:val="auto"/>
                <w:sz w:val="24"/>
                <w:szCs w:val="24"/>
                <w:lang w:val="en-GB"/>
              </w:rPr>
              <w:t>ssing</w:t>
            </w:r>
            <w:r w:rsidRPr="00DD00D3">
              <w:rPr>
                <w:rFonts w:cs="Arial"/>
                <w:color w:val="auto"/>
                <w:sz w:val="24"/>
                <w:szCs w:val="24"/>
                <w:lang w:val="en-GB"/>
              </w:rPr>
              <w:t xml:space="preserve"> compliance with the framework on Strategic Plans and Annual Performance Plan which includes all planning requirements.</w:t>
            </w:r>
            <w:r w:rsidR="006634C4">
              <w:rPr>
                <w:rFonts w:cs="Arial"/>
                <w:color w:val="auto"/>
                <w:sz w:val="24"/>
                <w:szCs w:val="24"/>
                <w:lang w:val="en-GB"/>
              </w:rPr>
              <w:t xml:space="preserve"> Feedback will be provided to the department.</w:t>
            </w:r>
          </w:p>
        </w:tc>
      </w:tr>
      <w:tr w:rsidR="006634C4" w:rsidRPr="00DD00D3" w:rsidTr="004222CF">
        <w:trPr>
          <w:gridAfter w:val="1"/>
          <w:wAfter w:w="108" w:type="dxa"/>
        </w:trPr>
        <w:tc>
          <w:tcPr>
            <w:tcW w:w="5665" w:type="dxa"/>
            <w:gridSpan w:val="2"/>
            <w:shd w:val="clear" w:color="auto" w:fill="00B050"/>
          </w:tcPr>
          <w:p w:rsidR="006634C4" w:rsidRPr="00DD00D3" w:rsidRDefault="0045427B" w:rsidP="004222CF">
            <w:pPr>
              <w:spacing w:line="360" w:lineRule="auto"/>
              <w:jc w:val="both"/>
              <w:rPr>
                <w:rFonts w:cs="Arial"/>
                <w:color w:val="auto"/>
                <w:sz w:val="24"/>
                <w:szCs w:val="24"/>
                <w:lang w:val="en-GB"/>
              </w:rPr>
            </w:pPr>
            <w:r>
              <w:lastRenderedPageBreak/>
              <w:br w:type="page"/>
            </w:r>
            <w:r w:rsidR="006634C4" w:rsidRPr="00DD00D3">
              <w:rPr>
                <w:rFonts w:cs="Arial"/>
                <w:color w:val="auto"/>
                <w:sz w:val="24"/>
                <w:szCs w:val="24"/>
              </w:rPr>
              <w:br w:type="page"/>
            </w:r>
            <w:r w:rsidR="006634C4" w:rsidRPr="00DD00D3">
              <w:rPr>
                <w:rFonts w:cs="Arial"/>
                <w:b/>
                <w:color w:val="auto"/>
                <w:sz w:val="24"/>
                <w:szCs w:val="24"/>
                <w:lang w:val="en-GB"/>
              </w:rPr>
              <w:t>BRRR RECOMMENDATION</w:t>
            </w:r>
          </w:p>
        </w:tc>
        <w:tc>
          <w:tcPr>
            <w:tcW w:w="2410" w:type="dxa"/>
            <w:gridSpan w:val="2"/>
            <w:shd w:val="clear" w:color="auto" w:fill="00B050"/>
          </w:tcPr>
          <w:p w:rsidR="006634C4" w:rsidRPr="00DD00D3" w:rsidRDefault="006634C4" w:rsidP="006634C4">
            <w:pPr>
              <w:spacing w:line="360" w:lineRule="auto"/>
              <w:jc w:val="both"/>
              <w:rPr>
                <w:rFonts w:cs="Arial"/>
                <w:color w:val="auto"/>
                <w:sz w:val="24"/>
                <w:szCs w:val="24"/>
                <w:lang w:val="en-GB"/>
              </w:rPr>
            </w:pPr>
            <w:r w:rsidRPr="00DD00D3">
              <w:rPr>
                <w:rFonts w:cs="Arial"/>
                <w:b/>
                <w:color w:val="auto"/>
                <w:sz w:val="24"/>
                <w:szCs w:val="24"/>
              </w:rPr>
              <w:t>RESPONSIBILITY</w:t>
            </w:r>
          </w:p>
        </w:tc>
        <w:tc>
          <w:tcPr>
            <w:tcW w:w="6951" w:type="dxa"/>
            <w:shd w:val="clear" w:color="auto" w:fill="00B050"/>
          </w:tcPr>
          <w:p w:rsidR="006634C4" w:rsidRPr="00DD00D3" w:rsidRDefault="006634C4" w:rsidP="006634C4">
            <w:pPr>
              <w:spacing w:line="360" w:lineRule="auto"/>
              <w:jc w:val="both"/>
              <w:rPr>
                <w:rFonts w:cs="Arial"/>
                <w:color w:val="auto"/>
                <w:sz w:val="24"/>
                <w:szCs w:val="24"/>
                <w:lang w:val="en-GB"/>
              </w:rPr>
            </w:pPr>
            <w:r w:rsidRPr="00DD00D3">
              <w:rPr>
                <w:rFonts w:cs="Arial"/>
                <w:b/>
                <w:color w:val="auto"/>
                <w:sz w:val="24"/>
                <w:szCs w:val="24"/>
              </w:rPr>
              <w:t xml:space="preserve">STATUS as at end 30 OCTOBER </w:t>
            </w:r>
            <w:r w:rsidRPr="00DD00D3">
              <w:rPr>
                <w:rFonts w:cs="Arial"/>
                <w:b/>
                <w:color w:val="auto"/>
                <w:sz w:val="24"/>
                <w:szCs w:val="24"/>
                <w:lang w:val="en-GB"/>
              </w:rPr>
              <w:t>2019</w:t>
            </w:r>
          </w:p>
        </w:tc>
      </w:tr>
      <w:tr w:rsidR="00DD00D3" w:rsidRPr="00DD00D3" w:rsidTr="004222CF">
        <w:trPr>
          <w:gridAfter w:val="1"/>
          <w:wAfter w:w="108" w:type="dxa"/>
        </w:trPr>
        <w:tc>
          <w:tcPr>
            <w:tcW w:w="5665" w:type="dxa"/>
            <w:gridSpan w:val="2"/>
          </w:tcPr>
          <w:p w:rsidR="00A17CA6" w:rsidRPr="00DD00D3" w:rsidRDefault="00A17CA6" w:rsidP="004A60C4">
            <w:pPr>
              <w:spacing w:line="360" w:lineRule="auto"/>
              <w:jc w:val="both"/>
              <w:rPr>
                <w:rFonts w:cs="Arial"/>
                <w:b/>
                <w:color w:val="auto"/>
                <w:sz w:val="24"/>
                <w:szCs w:val="24"/>
                <w:lang w:val="en-GB"/>
              </w:rPr>
            </w:pPr>
            <w:r w:rsidRPr="00DD00D3">
              <w:rPr>
                <w:rFonts w:cs="Arial"/>
                <w:b/>
                <w:color w:val="auto"/>
                <w:sz w:val="24"/>
                <w:szCs w:val="24"/>
                <w:lang w:val="en-GB"/>
              </w:rPr>
              <w:t>14.2 Audit Action Plan</w:t>
            </w:r>
          </w:p>
        </w:tc>
        <w:tc>
          <w:tcPr>
            <w:tcW w:w="2410" w:type="dxa"/>
            <w:gridSpan w:val="2"/>
          </w:tcPr>
          <w:p w:rsidR="00A17CA6" w:rsidRPr="00DD00D3" w:rsidRDefault="00A17CA6" w:rsidP="004A60C4">
            <w:pPr>
              <w:spacing w:line="360" w:lineRule="auto"/>
              <w:jc w:val="both"/>
              <w:rPr>
                <w:rFonts w:cs="Arial"/>
                <w:b/>
                <w:color w:val="auto"/>
                <w:sz w:val="24"/>
                <w:szCs w:val="24"/>
                <w:lang w:val="en-GB"/>
              </w:rPr>
            </w:pPr>
          </w:p>
        </w:tc>
        <w:tc>
          <w:tcPr>
            <w:tcW w:w="6951" w:type="dxa"/>
          </w:tcPr>
          <w:p w:rsidR="00A17CA6" w:rsidRPr="00DD00D3" w:rsidRDefault="00A17CA6" w:rsidP="004A60C4">
            <w:pPr>
              <w:spacing w:line="360" w:lineRule="auto"/>
              <w:jc w:val="both"/>
              <w:rPr>
                <w:rFonts w:cs="Arial"/>
                <w:b/>
                <w:color w:val="auto"/>
                <w:sz w:val="24"/>
                <w:szCs w:val="24"/>
                <w:lang w:val="en-GB"/>
              </w:rPr>
            </w:pPr>
          </w:p>
        </w:tc>
      </w:tr>
      <w:tr w:rsidR="00DD00D3" w:rsidRPr="00DD00D3" w:rsidTr="004222CF">
        <w:trPr>
          <w:gridAfter w:val="1"/>
          <w:wAfter w:w="108" w:type="dxa"/>
        </w:trPr>
        <w:tc>
          <w:tcPr>
            <w:tcW w:w="5665" w:type="dxa"/>
            <w:gridSpan w:val="2"/>
          </w:tcPr>
          <w:p w:rsidR="00A17CA6" w:rsidRPr="00DD00D3" w:rsidRDefault="00A17CA6" w:rsidP="004A60C4">
            <w:pPr>
              <w:numPr>
                <w:ilvl w:val="0"/>
                <w:numId w:val="3"/>
              </w:numPr>
              <w:spacing w:line="360" w:lineRule="auto"/>
              <w:ind w:left="426"/>
              <w:jc w:val="both"/>
              <w:rPr>
                <w:rFonts w:cs="Arial"/>
                <w:color w:val="auto"/>
                <w:sz w:val="24"/>
                <w:szCs w:val="24"/>
                <w:lang w:val="en-GB"/>
              </w:rPr>
            </w:pPr>
            <w:r w:rsidRPr="00DD00D3">
              <w:rPr>
                <w:rFonts w:cs="Arial"/>
                <w:color w:val="auto"/>
                <w:sz w:val="24"/>
                <w:szCs w:val="24"/>
              </w:rPr>
              <w:t>The Committee recommends that t</w:t>
            </w:r>
            <w:r w:rsidRPr="00DD00D3">
              <w:rPr>
                <w:rFonts w:cs="Arial"/>
                <w:color w:val="auto"/>
                <w:sz w:val="24"/>
                <w:szCs w:val="24"/>
                <w:lang w:val="en-GB"/>
              </w:rPr>
              <w:t>he Department develop an audit action plan and implement the recommendations made by the AGSA and improve on the MPAT results. This action plan should address the root cause of the problems, clearly articulate specific actions with key persons responsible at a senior management level and specify time frames. All action plans should be submitted to the Committee with the 2</w:t>
            </w:r>
            <w:r w:rsidRPr="00DD00D3">
              <w:rPr>
                <w:rFonts w:cs="Arial"/>
                <w:color w:val="auto"/>
                <w:sz w:val="24"/>
                <w:szCs w:val="24"/>
                <w:vertAlign w:val="superscript"/>
                <w:lang w:val="en-GB"/>
              </w:rPr>
              <w:t>nd</w:t>
            </w:r>
            <w:r w:rsidRPr="00DD00D3">
              <w:rPr>
                <w:rFonts w:cs="Arial"/>
                <w:color w:val="auto"/>
                <w:sz w:val="24"/>
                <w:szCs w:val="24"/>
                <w:lang w:val="en-GB"/>
              </w:rPr>
              <w:t xml:space="preserve"> Quarterly Report for 2019/2020 before 12 November 2019 briefing.</w:t>
            </w:r>
          </w:p>
        </w:tc>
        <w:tc>
          <w:tcPr>
            <w:tcW w:w="2410" w:type="dxa"/>
            <w:gridSpan w:val="2"/>
          </w:tcPr>
          <w:p w:rsidR="00A17CA6" w:rsidRPr="00DD00D3" w:rsidRDefault="005C30CA" w:rsidP="004A60C4">
            <w:pPr>
              <w:spacing w:line="360" w:lineRule="auto"/>
              <w:jc w:val="both"/>
              <w:rPr>
                <w:rFonts w:cs="Arial"/>
                <w:color w:val="auto"/>
                <w:sz w:val="24"/>
                <w:szCs w:val="24"/>
              </w:rPr>
            </w:pPr>
            <w:r w:rsidRPr="00DD00D3">
              <w:rPr>
                <w:rFonts w:cs="Arial"/>
                <w:color w:val="auto"/>
                <w:sz w:val="24"/>
                <w:szCs w:val="24"/>
              </w:rPr>
              <w:t>CFO</w:t>
            </w:r>
          </w:p>
          <w:p w:rsidR="005C30CA" w:rsidRPr="00DD00D3" w:rsidRDefault="005C30CA" w:rsidP="004A60C4">
            <w:pPr>
              <w:spacing w:line="360" w:lineRule="auto"/>
              <w:jc w:val="both"/>
              <w:rPr>
                <w:rFonts w:cs="Arial"/>
                <w:color w:val="auto"/>
                <w:sz w:val="24"/>
                <w:szCs w:val="24"/>
              </w:rPr>
            </w:pPr>
            <w:r w:rsidRPr="00DD00D3">
              <w:rPr>
                <w:rFonts w:cs="Arial"/>
                <w:color w:val="auto"/>
                <w:sz w:val="24"/>
                <w:szCs w:val="24"/>
              </w:rPr>
              <w:t xml:space="preserve">CD: ODG </w:t>
            </w:r>
          </w:p>
        </w:tc>
        <w:tc>
          <w:tcPr>
            <w:tcW w:w="6951" w:type="dxa"/>
          </w:tcPr>
          <w:p w:rsidR="00101613" w:rsidRDefault="00CD4E04" w:rsidP="00101613">
            <w:pPr>
              <w:spacing w:line="360" w:lineRule="auto"/>
              <w:jc w:val="both"/>
              <w:rPr>
                <w:rFonts w:cs="Arial"/>
                <w:color w:val="auto"/>
                <w:sz w:val="24"/>
                <w:szCs w:val="24"/>
              </w:rPr>
            </w:pPr>
            <w:r w:rsidRPr="00DD00D3">
              <w:rPr>
                <w:rFonts w:cs="Arial"/>
                <w:color w:val="auto"/>
                <w:sz w:val="24"/>
                <w:szCs w:val="24"/>
              </w:rPr>
              <w:t xml:space="preserve">The department has </w:t>
            </w:r>
            <w:r w:rsidR="003F44E4">
              <w:rPr>
                <w:rFonts w:cs="Arial"/>
                <w:color w:val="auto"/>
                <w:sz w:val="24"/>
                <w:szCs w:val="24"/>
              </w:rPr>
              <w:t xml:space="preserve">developed </w:t>
            </w:r>
            <w:r w:rsidRPr="00DD00D3">
              <w:rPr>
                <w:rFonts w:cs="Arial"/>
                <w:color w:val="auto"/>
                <w:sz w:val="24"/>
                <w:szCs w:val="24"/>
              </w:rPr>
              <w:t>an Audit Improvement Action plan that is tracked through the Audit Steering Committee chaired by the CFO on a monthly basis</w:t>
            </w:r>
            <w:r>
              <w:rPr>
                <w:rFonts w:cs="Arial"/>
                <w:color w:val="auto"/>
                <w:sz w:val="24"/>
                <w:szCs w:val="24"/>
              </w:rPr>
              <w:t>.</w:t>
            </w:r>
            <w:r w:rsidR="00101613">
              <w:rPr>
                <w:rFonts w:cs="Arial"/>
                <w:color w:val="auto"/>
                <w:sz w:val="24"/>
                <w:szCs w:val="24"/>
              </w:rPr>
              <w:t xml:space="preserve"> The action plan addresses the root causes identified by Auditor General.</w:t>
            </w:r>
          </w:p>
          <w:p w:rsidR="00101613" w:rsidRDefault="00101613" w:rsidP="004A60C4">
            <w:pPr>
              <w:spacing w:line="360" w:lineRule="auto"/>
              <w:jc w:val="both"/>
              <w:rPr>
                <w:rFonts w:cs="Arial"/>
                <w:color w:val="auto"/>
                <w:sz w:val="24"/>
                <w:szCs w:val="24"/>
              </w:rPr>
            </w:pPr>
          </w:p>
          <w:p w:rsidR="00A17CA6" w:rsidRPr="00DD00D3" w:rsidRDefault="005C30CA" w:rsidP="004A60C4">
            <w:pPr>
              <w:spacing w:line="360" w:lineRule="auto"/>
              <w:jc w:val="both"/>
              <w:rPr>
                <w:rFonts w:cs="Arial"/>
                <w:color w:val="auto"/>
                <w:sz w:val="24"/>
                <w:szCs w:val="24"/>
              </w:rPr>
            </w:pPr>
            <w:r w:rsidRPr="00DD00D3">
              <w:rPr>
                <w:rFonts w:cs="Arial"/>
                <w:color w:val="auto"/>
                <w:sz w:val="24"/>
                <w:szCs w:val="24"/>
              </w:rPr>
              <w:t xml:space="preserve">MPAT will be </w:t>
            </w:r>
            <w:r w:rsidR="00CD4E04" w:rsidRPr="00DD00D3">
              <w:rPr>
                <w:rFonts w:cs="Arial"/>
                <w:color w:val="auto"/>
                <w:sz w:val="24"/>
                <w:szCs w:val="24"/>
              </w:rPr>
              <w:t xml:space="preserve">reported </w:t>
            </w:r>
            <w:r w:rsidR="00CD4E04">
              <w:rPr>
                <w:rFonts w:cs="Arial"/>
                <w:color w:val="auto"/>
                <w:sz w:val="24"/>
                <w:szCs w:val="24"/>
              </w:rPr>
              <w:t>on</w:t>
            </w:r>
            <w:r w:rsidRPr="00DD00D3">
              <w:rPr>
                <w:rFonts w:cs="Arial"/>
                <w:color w:val="auto"/>
                <w:sz w:val="24"/>
                <w:szCs w:val="24"/>
              </w:rPr>
              <w:t xml:space="preserve"> a quarterly basis once opened by DPME following a review that is currently taking place to include core business deliverables. </w:t>
            </w:r>
          </w:p>
          <w:p w:rsidR="00CD4E04" w:rsidRDefault="00CD4E04" w:rsidP="004A60C4">
            <w:pPr>
              <w:spacing w:line="360" w:lineRule="auto"/>
              <w:jc w:val="both"/>
              <w:rPr>
                <w:rFonts w:cs="Arial"/>
                <w:color w:val="auto"/>
                <w:sz w:val="24"/>
                <w:szCs w:val="24"/>
              </w:rPr>
            </w:pPr>
          </w:p>
          <w:p w:rsidR="005C30CA" w:rsidRPr="00DD00D3" w:rsidRDefault="00CD4E04" w:rsidP="005E68ED">
            <w:pPr>
              <w:spacing w:line="360" w:lineRule="auto"/>
              <w:jc w:val="both"/>
              <w:rPr>
                <w:rFonts w:cs="Arial"/>
                <w:color w:val="auto"/>
                <w:sz w:val="24"/>
                <w:szCs w:val="24"/>
              </w:rPr>
            </w:pPr>
            <w:r w:rsidRPr="00DD00D3">
              <w:rPr>
                <w:rFonts w:cs="Arial"/>
                <w:color w:val="auto"/>
                <w:sz w:val="24"/>
                <w:szCs w:val="24"/>
                <w:lang w:val="en-GB"/>
              </w:rPr>
              <w:t xml:space="preserve">All action plans </w:t>
            </w:r>
            <w:r>
              <w:rPr>
                <w:rFonts w:cs="Arial"/>
                <w:color w:val="auto"/>
                <w:sz w:val="24"/>
                <w:szCs w:val="24"/>
                <w:lang w:val="en-GB"/>
              </w:rPr>
              <w:t xml:space="preserve">will </w:t>
            </w:r>
            <w:r w:rsidRPr="00DD00D3">
              <w:rPr>
                <w:rFonts w:cs="Arial"/>
                <w:color w:val="auto"/>
                <w:sz w:val="24"/>
                <w:szCs w:val="24"/>
                <w:lang w:val="en-GB"/>
              </w:rPr>
              <w:t>be submitted to the Committee with the 2</w:t>
            </w:r>
            <w:r w:rsidRPr="00DD00D3">
              <w:rPr>
                <w:rFonts w:cs="Arial"/>
                <w:color w:val="auto"/>
                <w:sz w:val="24"/>
                <w:szCs w:val="24"/>
                <w:vertAlign w:val="superscript"/>
                <w:lang w:val="en-GB"/>
              </w:rPr>
              <w:t>nd</w:t>
            </w:r>
            <w:r w:rsidRPr="00DD00D3">
              <w:rPr>
                <w:rFonts w:cs="Arial"/>
                <w:color w:val="auto"/>
                <w:sz w:val="24"/>
                <w:szCs w:val="24"/>
                <w:lang w:val="en-GB"/>
              </w:rPr>
              <w:t xml:space="preserve"> Quarterly Report for 2019/2020 before 12 November 2019 briefing.</w:t>
            </w:r>
          </w:p>
        </w:tc>
      </w:tr>
      <w:tr w:rsidR="00DD00D3" w:rsidRPr="00DD00D3" w:rsidTr="004222CF">
        <w:trPr>
          <w:gridAfter w:val="1"/>
          <w:wAfter w:w="108" w:type="dxa"/>
        </w:trPr>
        <w:tc>
          <w:tcPr>
            <w:tcW w:w="5665" w:type="dxa"/>
            <w:gridSpan w:val="2"/>
          </w:tcPr>
          <w:p w:rsidR="00A17CA6" w:rsidRPr="00DD00D3" w:rsidRDefault="00A17CA6" w:rsidP="004A60C4">
            <w:pPr>
              <w:numPr>
                <w:ilvl w:val="0"/>
                <w:numId w:val="3"/>
              </w:numPr>
              <w:spacing w:line="360" w:lineRule="auto"/>
              <w:ind w:left="426"/>
              <w:jc w:val="both"/>
              <w:rPr>
                <w:rFonts w:cs="Arial"/>
                <w:color w:val="auto"/>
                <w:sz w:val="24"/>
                <w:szCs w:val="24"/>
                <w:lang w:val="en-GB"/>
              </w:rPr>
            </w:pPr>
            <w:r w:rsidRPr="00DD00D3">
              <w:rPr>
                <w:rFonts w:cs="Arial"/>
                <w:color w:val="auto"/>
                <w:sz w:val="24"/>
                <w:szCs w:val="24"/>
                <w:lang w:val="en-GB"/>
              </w:rPr>
              <w:t xml:space="preserve">The </w:t>
            </w:r>
            <w:r w:rsidRPr="00DD00D3">
              <w:rPr>
                <w:rFonts w:cs="Arial"/>
                <w:color w:val="auto"/>
                <w:sz w:val="24"/>
                <w:szCs w:val="24"/>
              </w:rPr>
              <w:t>Committee recommends that t</w:t>
            </w:r>
            <w:r w:rsidRPr="00DD00D3">
              <w:rPr>
                <w:rFonts w:cs="Arial"/>
                <w:color w:val="auto"/>
                <w:sz w:val="24"/>
                <w:szCs w:val="24"/>
                <w:lang w:val="en-GB"/>
              </w:rPr>
              <w:t>he Department should monitor and evaluate the implementation of action plans and progress reports should be submitted to the Committee on a monthly basis until the end of the 2019/20 financial year.</w:t>
            </w:r>
          </w:p>
        </w:tc>
        <w:tc>
          <w:tcPr>
            <w:tcW w:w="2410" w:type="dxa"/>
            <w:gridSpan w:val="2"/>
          </w:tcPr>
          <w:p w:rsidR="00101613" w:rsidRDefault="00101613" w:rsidP="004A60C4">
            <w:pPr>
              <w:spacing w:line="360" w:lineRule="auto"/>
              <w:jc w:val="both"/>
              <w:rPr>
                <w:rFonts w:cs="Arial"/>
                <w:color w:val="auto"/>
                <w:sz w:val="24"/>
                <w:szCs w:val="24"/>
                <w:lang w:val="en-GB"/>
              </w:rPr>
            </w:pPr>
            <w:r>
              <w:rPr>
                <w:rFonts w:cs="Arial"/>
                <w:color w:val="auto"/>
                <w:sz w:val="24"/>
                <w:szCs w:val="24"/>
                <w:lang w:val="en-GB"/>
              </w:rPr>
              <w:t>CFO</w:t>
            </w:r>
          </w:p>
          <w:p w:rsidR="00A17CA6" w:rsidRPr="00DD00D3" w:rsidRDefault="005C30CA" w:rsidP="004A60C4">
            <w:pPr>
              <w:spacing w:line="360" w:lineRule="auto"/>
              <w:jc w:val="both"/>
              <w:rPr>
                <w:rFonts w:cs="Arial"/>
                <w:color w:val="auto"/>
                <w:sz w:val="24"/>
                <w:szCs w:val="24"/>
                <w:lang w:val="en-GB"/>
              </w:rPr>
            </w:pPr>
            <w:r w:rsidRPr="00DD00D3">
              <w:rPr>
                <w:rFonts w:cs="Arial"/>
                <w:color w:val="auto"/>
                <w:sz w:val="24"/>
                <w:szCs w:val="24"/>
                <w:lang w:val="en-GB"/>
              </w:rPr>
              <w:t>CD: ODG</w:t>
            </w:r>
          </w:p>
        </w:tc>
        <w:tc>
          <w:tcPr>
            <w:tcW w:w="6951" w:type="dxa"/>
          </w:tcPr>
          <w:p w:rsidR="00A17CA6" w:rsidRPr="00DD00D3" w:rsidRDefault="00B03A3E" w:rsidP="005E68ED">
            <w:pPr>
              <w:spacing w:line="360" w:lineRule="auto"/>
              <w:jc w:val="both"/>
              <w:rPr>
                <w:rFonts w:cs="Arial"/>
                <w:color w:val="auto"/>
                <w:sz w:val="24"/>
                <w:szCs w:val="24"/>
                <w:lang w:val="en-GB"/>
              </w:rPr>
            </w:pPr>
            <w:r>
              <w:rPr>
                <w:rFonts w:cs="Arial"/>
                <w:color w:val="auto"/>
                <w:sz w:val="24"/>
                <w:szCs w:val="24"/>
                <w:lang w:val="en-GB"/>
              </w:rPr>
              <w:t>The d</w:t>
            </w:r>
            <w:r w:rsidRPr="00DD00D3">
              <w:rPr>
                <w:rFonts w:cs="Arial"/>
                <w:color w:val="auto"/>
                <w:sz w:val="24"/>
                <w:szCs w:val="24"/>
                <w:lang w:val="en-GB"/>
              </w:rPr>
              <w:t xml:space="preserve">epartment </w:t>
            </w:r>
            <w:r>
              <w:rPr>
                <w:rFonts w:cs="Arial"/>
                <w:color w:val="auto"/>
                <w:sz w:val="24"/>
                <w:szCs w:val="24"/>
                <w:lang w:val="en-GB"/>
              </w:rPr>
              <w:t xml:space="preserve">will </w:t>
            </w:r>
            <w:r w:rsidRPr="00DD00D3">
              <w:rPr>
                <w:rFonts w:cs="Arial"/>
                <w:color w:val="auto"/>
                <w:sz w:val="24"/>
                <w:szCs w:val="24"/>
                <w:lang w:val="en-GB"/>
              </w:rPr>
              <w:t xml:space="preserve">monitor and evaluate the implementation of action plans and progress reports </w:t>
            </w:r>
            <w:r>
              <w:rPr>
                <w:rFonts w:cs="Arial"/>
                <w:color w:val="auto"/>
                <w:sz w:val="24"/>
                <w:szCs w:val="24"/>
                <w:lang w:val="en-GB"/>
              </w:rPr>
              <w:t xml:space="preserve">will </w:t>
            </w:r>
            <w:r w:rsidRPr="00DD00D3">
              <w:rPr>
                <w:rFonts w:cs="Arial"/>
                <w:color w:val="auto"/>
                <w:sz w:val="24"/>
                <w:szCs w:val="24"/>
                <w:lang w:val="en-GB"/>
              </w:rPr>
              <w:t>be submitted to the Committee on a monthly basis until the end of the 2019/20 financial year</w:t>
            </w:r>
            <w:r>
              <w:rPr>
                <w:rFonts w:cs="Arial"/>
                <w:color w:val="auto"/>
                <w:sz w:val="24"/>
                <w:szCs w:val="24"/>
                <w:lang w:val="en-GB"/>
              </w:rPr>
              <w:t xml:space="preserve"> as recommended</w:t>
            </w:r>
            <w:r w:rsidRPr="00DD00D3">
              <w:rPr>
                <w:rFonts w:cs="Arial"/>
                <w:color w:val="auto"/>
                <w:sz w:val="24"/>
                <w:szCs w:val="24"/>
                <w:lang w:val="en-GB"/>
              </w:rPr>
              <w:t>.</w:t>
            </w:r>
            <w:r w:rsidR="00101613">
              <w:rPr>
                <w:rFonts w:cs="Arial"/>
                <w:color w:val="auto"/>
                <w:sz w:val="24"/>
                <w:szCs w:val="24"/>
                <w:lang w:val="en-GB"/>
              </w:rPr>
              <w:t xml:space="preserve"> </w:t>
            </w:r>
          </w:p>
        </w:tc>
      </w:tr>
    </w:tbl>
    <w:p w:rsidR="006634C4" w:rsidRDefault="006634C4">
      <w:r>
        <w:br w:type="page"/>
      </w:r>
    </w:p>
    <w:tbl>
      <w:tblPr>
        <w:tblStyle w:val="TableGrid"/>
        <w:tblW w:w="15134" w:type="dxa"/>
        <w:tblLook w:val="04A0"/>
      </w:tblPr>
      <w:tblGrid>
        <w:gridCol w:w="5665"/>
        <w:gridCol w:w="2410"/>
        <w:gridCol w:w="6951"/>
        <w:gridCol w:w="108"/>
      </w:tblGrid>
      <w:tr w:rsidR="006634C4" w:rsidRPr="00DD00D3" w:rsidTr="005E68ED">
        <w:trPr>
          <w:gridAfter w:val="1"/>
          <w:wAfter w:w="108" w:type="dxa"/>
        </w:trPr>
        <w:tc>
          <w:tcPr>
            <w:tcW w:w="5665" w:type="dxa"/>
            <w:shd w:val="clear" w:color="auto" w:fill="00B050"/>
          </w:tcPr>
          <w:p w:rsidR="006634C4" w:rsidRPr="00DD00D3" w:rsidRDefault="006634C4" w:rsidP="005E68ED">
            <w:pPr>
              <w:spacing w:line="360" w:lineRule="auto"/>
              <w:ind w:left="426"/>
              <w:jc w:val="both"/>
              <w:rPr>
                <w:rFonts w:cs="Arial"/>
                <w:color w:val="auto"/>
                <w:sz w:val="24"/>
                <w:szCs w:val="24"/>
                <w:lang w:val="en-GB"/>
              </w:rPr>
            </w:pPr>
            <w:r w:rsidRPr="00DD00D3">
              <w:rPr>
                <w:rFonts w:cs="Arial"/>
                <w:color w:val="auto"/>
                <w:sz w:val="24"/>
                <w:szCs w:val="24"/>
              </w:rPr>
              <w:lastRenderedPageBreak/>
              <w:br w:type="page"/>
            </w:r>
            <w:r w:rsidRPr="00DD00D3">
              <w:rPr>
                <w:rFonts w:cs="Arial"/>
                <w:color w:val="auto"/>
                <w:sz w:val="24"/>
                <w:szCs w:val="24"/>
              </w:rPr>
              <w:br w:type="page"/>
            </w:r>
            <w:r w:rsidRPr="00DD00D3">
              <w:rPr>
                <w:rFonts w:cs="Arial"/>
                <w:b/>
                <w:color w:val="auto"/>
                <w:sz w:val="24"/>
                <w:szCs w:val="24"/>
                <w:lang w:val="en-GB"/>
              </w:rPr>
              <w:t>BRRR RECOMMENDATION</w:t>
            </w:r>
          </w:p>
        </w:tc>
        <w:tc>
          <w:tcPr>
            <w:tcW w:w="2410" w:type="dxa"/>
            <w:shd w:val="clear" w:color="auto" w:fill="00B050"/>
          </w:tcPr>
          <w:p w:rsidR="006634C4" w:rsidRPr="00DD00D3" w:rsidRDefault="006634C4" w:rsidP="006634C4">
            <w:pPr>
              <w:spacing w:line="360" w:lineRule="auto"/>
              <w:jc w:val="both"/>
              <w:rPr>
                <w:rFonts w:cs="Arial"/>
                <w:color w:val="auto"/>
                <w:sz w:val="24"/>
                <w:szCs w:val="24"/>
                <w:lang w:val="en-GB"/>
              </w:rPr>
            </w:pPr>
            <w:r w:rsidRPr="00DD00D3">
              <w:rPr>
                <w:rFonts w:cs="Arial"/>
                <w:b/>
                <w:color w:val="auto"/>
                <w:sz w:val="24"/>
                <w:szCs w:val="24"/>
              </w:rPr>
              <w:t>RESPONSIBILITY</w:t>
            </w:r>
          </w:p>
        </w:tc>
        <w:tc>
          <w:tcPr>
            <w:tcW w:w="6951" w:type="dxa"/>
            <w:shd w:val="clear" w:color="auto" w:fill="00B050"/>
          </w:tcPr>
          <w:p w:rsidR="006634C4" w:rsidRPr="00DD00D3" w:rsidRDefault="006634C4" w:rsidP="006634C4">
            <w:pPr>
              <w:spacing w:line="360" w:lineRule="auto"/>
              <w:jc w:val="both"/>
              <w:rPr>
                <w:rFonts w:cs="Arial"/>
                <w:color w:val="auto"/>
                <w:sz w:val="24"/>
                <w:szCs w:val="24"/>
                <w:lang w:val="en-GB"/>
              </w:rPr>
            </w:pPr>
            <w:r w:rsidRPr="00DD00D3">
              <w:rPr>
                <w:rFonts w:cs="Arial"/>
                <w:b/>
                <w:color w:val="auto"/>
                <w:sz w:val="24"/>
                <w:szCs w:val="24"/>
              </w:rPr>
              <w:t xml:space="preserve">STATUS as at end 30 OCTOBER </w:t>
            </w:r>
            <w:r w:rsidRPr="00DD00D3">
              <w:rPr>
                <w:rFonts w:cs="Arial"/>
                <w:b/>
                <w:color w:val="auto"/>
                <w:sz w:val="24"/>
                <w:szCs w:val="24"/>
                <w:lang w:val="en-GB"/>
              </w:rPr>
              <w:t>2019</w:t>
            </w:r>
          </w:p>
        </w:tc>
      </w:tr>
      <w:tr w:rsidR="00DD00D3" w:rsidRPr="00DD00D3" w:rsidTr="005E68ED">
        <w:tc>
          <w:tcPr>
            <w:tcW w:w="5665" w:type="dxa"/>
          </w:tcPr>
          <w:p w:rsidR="00A17CA6" w:rsidRPr="00DD00D3" w:rsidRDefault="00A17CA6" w:rsidP="004A60C4">
            <w:pPr>
              <w:numPr>
                <w:ilvl w:val="0"/>
                <w:numId w:val="3"/>
              </w:numPr>
              <w:spacing w:line="360" w:lineRule="auto"/>
              <w:ind w:left="426"/>
              <w:jc w:val="both"/>
              <w:rPr>
                <w:rFonts w:cs="Arial"/>
                <w:color w:val="auto"/>
                <w:sz w:val="24"/>
                <w:szCs w:val="24"/>
                <w:lang w:val="en-GB"/>
              </w:rPr>
            </w:pPr>
            <w:r w:rsidRPr="00DD00D3">
              <w:rPr>
                <w:rFonts w:cs="Arial"/>
                <w:color w:val="auto"/>
                <w:sz w:val="24"/>
                <w:szCs w:val="24"/>
                <w:lang w:val="en-GB"/>
              </w:rPr>
              <w:t xml:space="preserve">The </w:t>
            </w:r>
            <w:r w:rsidRPr="00DD00D3">
              <w:rPr>
                <w:rFonts w:cs="Arial"/>
                <w:color w:val="auto"/>
                <w:sz w:val="24"/>
                <w:szCs w:val="24"/>
              </w:rPr>
              <w:t>Committee recommends that t</w:t>
            </w:r>
            <w:r w:rsidRPr="00DD00D3">
              <w:rPr>
                <w:rFonts w:cs="Arial"/>
                <w:color w:val="auto"/>
                <w:sz w:val="24"/>
                <w:szCs w:val="24"/>
                <w:lang w:val="en-GB"/>
              </w:rPr>
              <w:t>he Department must report monthly to the Committee on progress made with regards to implementing the recommendations made by the AGSA, the Audit and Risk Committee and the DPME via the latest MPAT result. A clear explanation should be provided in instances where recommendations have not been implemented and what the remedial action is. The key person/s responsible for implementing recommendations must be submitted to the Committee.</w:t>
            </w:r>
          </w:p>
        </w:tc>
        <w:tc>
          <w:tcPr>
            <w:tcW w:w="2410" w:type="dxa"/>
          </w:tcPr>
          <w:p w:rsidR="00A17CA6" w:rsidRPr="00DD00D3" w:rsidRDefault="005C30CA" w:rsidP="004A60C4">
            <w:pPr>
              <w:spacing w:line="360" w:lineRule="auto"/>
              <w:jc w:val="both"/>
              <w:rPr>
                <w:rFonts w:cs="Arial"/>
                <w:color w:val="auto"/>
                <w:sz w:val="24"/>
                <w:szCs w:val="24"/>
                <w:lang w:val="en-GB"/>
              </w:rPr>
            </w:pPr>
            <w:r w:rsidRPr="00DD00D3">
              <w:rPr>
                <w:rFonts w:cs="Arial"/>
                <w:color w:val="auto"/>
                <w:sz w:val="24"/>
                <w:szCs w:val="24"/>
                <w:lang w:val="en-GB"/>
              </w:rPr>
              <w:t xml:space="preserve">CD: ODG </w:t>
            </w:r>
          </w:p>
        </w:tc>
        <w:tc>
          <w:tcPr>
            <w:tcW w:w="7059" w:type="dxa"/>
            <w:gridSpan w:val="2"/>
          </w:tcPr>
          <w:p w:rsidR="00A17CA6" w:rsidRPr="00DD00D3" w:rsidRDefault="000C56EA" w:rsidP="004A60C4">
            <w:pPr>
              <w:spacing w:line="360" w:lineRule="auto"/>
              <w:jc w:val="both"/>
              <w:rPr>
                <w:rFonts w:cs="Arial"/>
                <w:color w:val="auto"/>
                <w:sz w:val="24"/>
                <w:szCs w:val="24"/>
                <w:lang w:val="en-GB"/>
              </w:rPr>
            </w:pPr>
            <w:r w:rsidRPr="00DD00D3">
              <w:rPr>
                <w:rFonts w:cs="Arial"/>
                <w:color w:val="auto"/>
                <w:sz w:val="24"/>
                <w:szCs w:val="24"/>
                <w:lang w:val="en-GB"/>
              </w:rPr>
              <w:t>MPAT will be reported on a quarterly basis once opened by DPME following a review that is currently taking place to include core business deliverables.</w:t>
            </w:r>
          </w:p>
          <w:p w:rsidR="000C56EA" w:rsidRDefault="000C56EA" w:rsidP="004A60C4">
            <w:pPr>
              <w:spacing w:line="360" w:lineRule="auto"/>
              <w:jc w:val="both"/>
              <w:rPr>
                <w:rFonts w:cs="Arial"/>
                <w:color w:val="auto"/>
                <w:sz w:val="24"/>
                <w:szCs w:val="24"/>
                <w:lang w:val="en-GB"/>
              </w:rPr>
            </w:pPr>
            <w:r w:rsidRPr="00DD00D3">
              <w:rPr>
                <w:rFonts w:cs="Arial"/>
                <w:color w:val="auto"/>
                <w:sz w:val="24"/>
                <w:szCs w:val="24"/>
                <w:lang w:val="en-GB"/>
              </w:rPr>
              <w:t xml:space="preserve">The Audit Improvement Plan will be presented by the Chair of the ARC as per PC invitation. The department has prepared an updated report which indicates progress made by end of quarter 2. </w:t>
            </w:r>
          </w:p>
          <w:p w:rsidR="00990B0C" w:rsidRPr="00DD00D3" w:rsidRDefault="00990B0C" w:rsidP="003C7C8F">
            <w:pPr>
              <w:spacing w:line="360" w:lineRule="auto"/>
              <w:jc w:val="both"/>
              <w:rPr>
                <w:rFonts w:cs="Arial"/>
                <w:color w:val="auto"/>
                <w:sz w:val="24"/>
                <w:szCs w:val="24"/>
                <w:lang w:val="en-GB"/>
              </w:rPr>
            </w:pPr>
            <w:r w:rsidRPr="00DD00D3">
              <w:rPr>
                <w:rFonts w:cs="Arial"/>
                <w:color w:val="auto"/>
                <w:sz w:val="24"/>
                <w:szCs w:val="24"/>
                <w:lang w:val="en-GB"/>
              </w:rPr>
              <w:t>The key person/s responsible for implementing recommendations</w:t>
            </w:r>
            <w:r>
              <w:rPr>
                <w:rFonts w:cs="Arial"/>
                <w:color w:val="auto"/>
                <w:sz w:val="24"/>
                <w:szCs w:val="24"/>
                <w:lang w:val="en-GB"/>
              </w:rPr>
              <w:t xml:space="preserve"> is Ms W.R. Tshabalala, Ms Val Mathobela, Mr Vusi Shongwe, Ms Desiree Legwale, Mr Mbhazima Shiviti, </w:t>
            </w:r>
            <w:r w:rsidR="003C7C8F">
              <w:rPr>
                <w:rFonts w:cs="Arial"/>
                <w:color w:val="auto"/>
                <w:sz w:val="24"/>
                <w:szCs w:val="24"/>
                <w:lang w:val="en-GB"/>
              </w:rPr>
              <w:t xml:space="preserve">Dr </w:t>
            </w:r>
            <w:r>
              <w:rPr>
                <w:rFonts w:cs="Arial"/>
                <w:color w:val="auto"/>
                <w:sz w:val="24"/>
                <w:szCs w:val="24"/>
                <w:lang w:val="en-GB"/>
              </w:rPr>
              <w:t xml:space="preserve">Annette Griessel, </w:t>
            </w:r>
            <w:r w:rsidR="003C7C8F">
              <w:rPr>
                <w:rFonts w:cs="Arial"/>
                <w:color w:val="auto"/>
                <w:sz w:val="24"/>
                <w:szCs w:val="24"/>
                <w:lang w:val="en-GB"/>
              </w:rPr>
              <w:t>Dr</w:t>
            </w:r>
            <w:r w:rsidR="00847920">
              <w:rPr>
                <w:rFonts w:cs="Arial"/>
                <w:color w:val="auto"/>
                <w:sz w:val="24"/>
                <w:szCs w:val="24"/>
                <w:lang w:val="en-GB"/>
              </w:rPr>
              <w:t xml:space="preserve"> </w:t>
            </w:r>
            <w:r>
              <w:rPr>
                <w:rFonts w:cs="Arial"/>
                <w:color w:val="auto"/>
                <w:sz w:val="24"/>
                <w:szCs w:val="24"/>
                <w:lang w:val="en-GB"/>
              </w:rPr>
              <w:t xml:space="preserve">Ntsiki </w:t>
            </w:r>
            <w:r w:rsidR="003C7C8F">
              <w:rPr>
                <w:rFonts w:cs="Arial"/>
                <w:color w:val="auto"/>
                <w:sz w:val="24"/>
                <w:szCs w:val="24"/>
                <w:lang w:val="en-GB"/>
              </w:rPr>
              <w:t>Manzini-Matebula</w:t>
            </w:r>
          </w:p>
        </w:tc>
      </w:tr>
      <w:tr w:rsidR="00DD00D3" w:rsidRPr="00DD00D3" w:rsidTr="005E68ED">
        <w:tc>
          <w:tcPr>
            <w:tcW w:w="5665" w:type="dxa"/>
          </w:tcPr>
          <w:p w:rsidR="00A17CA6" w:rsidRPr="00DD00D3" w:rsidRDefault="00A17CA6" w:rsidP="004A60C4">
            <w:pPr>
              <w:numPr>
                <w:ilvl w:val="0"/>
                <w:numId w:val="3"/>
              </w:numPr>
              <w:spacing w:line="360" w:lineRule="auto"/>
              <w:ind w:left="426"/>
              <w:jc w:val="both"/>
              <w:rPr>
                <w:rFonts w:cs="Arial"/>
                <w:color w:val="auto"/>
                <w:sz w:val="24"/>
                <w:szCs w:val="24"/>
                <w:lang w:val="en-GB"/>
              </w:rPr>
            </w:pPr>
            <w:r w:rsidRPr="00DD00D3">
              <w:rPr>
                <w:rFonts w:cs="Arial"/>
                <w:color w:val="auto"/>
                <w:sz w:val="24"/>
                <w:szCs w:val="24"/>
                <w:lang w:val="en-GB"/>
              </w:rPr>
              <w:t>The Committee recommends that the Department provides a detailed list of names of officials who have contravened the PFMA, National Treasury Regulations and SCM policies during 2018/19, indicate the nature of the contravention, the cost incurred and the consequence management implemented by the respective manager and whether there have been any repeat offenders.</w:t>
            </w:r>
          </w:p>
        </w:tc>
        <w:tc>
          <w:tcPr>
            <w:tcW w:w="2410" w:type="dxa"/>
          </w:tcPr>
          <w:p w:rsidR="00A17CA6" w:rsidRPr="00DD00D3" w:rsidRDefault="005C30CA" w:rsidP="004A60C4">
            <w:pPr>
              <w:spacing w:line="360" w:lineRule="auto"/>
              <w:ind w:left="66"/>
              <w:jc w:val="both"/>
              <w:rPr>
                <w:rFonts w:cs="Arial"/>
                <w:color w:val="auto"/>
                <w:sz w:val="24"/>
                <w:szCs w:val="24"/>
                <w:lang w:val="en-GB"/>
              </w:rPr>
            </w:pPr>
            <w:r w:rsidRPr="00DD00D3">
              <w:rPr>
                <w:rFonts w:cs="Arial"/>
                <w:color w:val="auto"/>
                <w:sz w:val="24"/>
                <w:szCs w:val="24"/>
                <w:lang w:val="en-GB"/>
              </w:rPr>
              <w:t xml:space="preserve">CD: CM </w:t>
            </w:r>
          </w:p>
        </w:tc>
        <w:tc>
          <w:tcPr>
            <w:tcW w:w="7059" w:type="dxa"/>
            <w:gridSpan w:val="2"/>
          </w:tcPr>
          <w:p w:rsidR="00A17CA6" w:rsidRPr="00DD00D3" w:rsidRDefault="00873E14" w:rsidP="004A60C4">
            <w:pPr>
              <w:spacing w:line="360" w:lineRule="auto"/>
              <w:jc w:val="both"/>
              <w:rPr>
                <w:rFonts w:cs="Arial"/>
                <w:color w:val="auto"/>
                <w:sz w:val="24"/>
                <w:szCs w:val="24"/>
                <w:lang w:val="en-GB"/>
              </w:rPr>
            </w:pPr>
            <w:r w:rsidRPr="00873E14">
              <w:rPr>
                <w:rFonts w:cs="Arial"/>
                <w:color w:val="auto"/>
                <w:sz w:val="24"/>
                <w:szCs w:val="24"/>
                <w:lang w:val="en-GB"/>
              </w:rPr>
              <w:t>Investigation</w:t>
            </w:r>
            <w:r w:rsidR="003C7C8F">
              <w:rPr>
                <w:rFonts w:cs="Arial"/>
                <w:color w:val="auto"/>
                <w:sz w:val="24"/>
                <w:szCs w:val="24"/>
                <w:lang w:val="en-GB"/>
              </w:rPr>
              <w:t>s</w:t>
            </w:r>
            <w:r w:rsidRPr="00873E14">
              <w:rPr>
                <w:rFonts w:cs="Arial"/>
                <w:color w:val="auto"/>
                <w:sz w:val="24"/>
                <w:szCs w:val="24"/>
                <w:lang w:val="en-GB"/>
              </w:rPr>
              <w:t xml:space="preserve"> are being conducted into all unauthorised, irregular and fruitless and wasteful expenditure in the Department. Appropriate action will be taken on the basis of the outcomes thereof.</w:t>
            </w:r>
          </w:p>
        </w:tc>
      </w:tr>
    </w:tbl>
    <w:p w:rsidR="00990B0C" w:rsidRDefault="00990B0C">
      <w:r>
        <w:br w:type="page"/>
      </w:r>
    </w:p>
    <w:tbl>
      <w:tblPr>
        <w:tblStyle w:val="TableGrid"/>
        <w:tblW w:w="15134" w:type="dxa"/>
        <w:tblLook w:val="04A0"/>
      </w:tblPr>
      <w:tblGrid>
        <w:gridCol w:w="5665"/>
        <w:gridCol w:w="2410"/>
        <w:gridCol w:w="7059"/>
      </w:tblGrid>
      <w:tr w:rsidR="00990B0C" w:rsidRPr="00DD00D3" w:rsidTr="005E68ED">
        <w:tc>
          <w:tcPr>
            <w:tcW w:w="5665" w:type="dxa"/>
            <w:shd w:val="clear" w:color="auto" w:fill="00B050"/>
          </w:tcPr>
          <w:p w:rsidR="00990B0C" w:rsidRPr="00DD00D3" w:rsidRDefault="00990B0C" w:rsidP="005E68ED">
            <w:pPr>
              <w:spacing w:line="360" w:lineRule="auto"/>
              <w:ind w:left="426"/>
              <w:jc w:val="both"/>
              <w:rPr>
                <w:rFonts w:cs="Arial"/>
                <w:color w:val="auto"/>
                <w:sz w:val="24"/>
                <w:szCs w:val="24"/>
                <w:lang w:val="en-GB"/>
              </w:rPr>
            </w:pPr>
            <w:r w:rsidRPr="00DD00D3">
              <w:rPr>
                <w:rFonts w:cs="Arial"/>
                <w:color w:val="auto"/>
                <w:sz w:val="24"/>
                <w:szCs w:val="24"/>
              </w:rPr>
              <w:lastRenderedPageBreak/>
              <w:br w:type="page"/>
            </w:r>
            <w:r w:rsidRPr="00DD00D3">
              <w:rPr>
                <w:rFonts w:cs="Arial"/>
                <w:color w:val="auto"/>
                <w:sz w:val="24"/>
                <w:szCs w:val="24"/>
              </w:rPr>
              <w:br w:type="page"/>
            </w:r>
            <w:r w:rsidRPr="00DD00D3">
              <w:rPr>
                <w:rFonts w:cs="Arial"/>
                <w:b/>
                <w:color w:val="auto"/>
                <w:sz w:val="24"/>
                <w:szCs w:val="24"/>
                <w:lang w:val="en-GB"/>
              </w:rPr>
              <w:t>BRRR RECOMMENDATION</w:t>
            </w:r>
          </w:p>
        </w:tc>
        <w:tc>
          <w:tcPr>
            <w:tcW w:w="2410" w:type="dxa"/>
            <w:shd w:val="clear" w:color="auto" w:fill="00B050"/>
          </w:tcPr>
          <w:p w:rsidR="00990B0C" w:rsidRPr="00DD00D3" w:rsidRDefault="00990B0C" w:rsidP="00990B0C">
            <w:pPr>
              <w:spacing w:line="360" w:lineRule="auto"/>
              <w:ind w:left="66"/>
              <w:jc w:val="both"/>
              <w:rPr>
                <w:rFonts w:cs="Arial"/>
                <w:color w:val="auto"/>
                <w:sz w:val="24"/>
                <w:szCs w:val="24"/>
                <w:lang w:val="en-GB"/>
              </w:rPr>
            </w:pPr>
            <w:r w:rsidRPr="00DD00D3">
              <w:rPr>
                <w:rFonts w:cs="Arial"/>
                <w:b/>
                <w:color w:val="auto"/>
                <w:sz w:val="24"/>
                <w:szCs w:val="24"/>
              </w:rPr>
              <w:t>RESPONSIBILITY</w:t>
            </w:r>
          </w:p>
        </w:tc>
        <w:tc>
          <w:tcPr>
            <w:tcW w:w="7059" w:type="dxa"/>
            <w:shd w:val="clear" w:color="auto" w:fill="00B050"/>
          </w:tcPr>
          <w:p w:rsidR="00990B0C" w:rsidRPr="00873E14" w:rsidRDefault="00990B0C" w:rsidP="00990B0C">
            <w:pPr>
              <w:spacing w:line="360" w:lineRule="auto"/>
              <w:jc w:val="both"/>
              <w:rPr>
                <w:rFonts w:cs="Arial"/>
                <w:color w:val="auto"/>
                <w:sz w:val="24"/>
                <w:szCs w:val="24"/>
                <w:lang w:val="en-GB"/>
              </w:rPr>
            </w:pPr>
            <w:r w:rsidRPr="00DD00D3">
              <w:rPr>
                <w:rFonts w:cs="Arial"/>
                <w:b/>
                <w:color w:val="auto"/>
                <w:sz w:val="24"/>
                <w:szCs w:val="24"/>
              </w:rPr>
              <w:t xml:space="preserve">STATUS as at end 30 OCTOBER </w:t>
            </w:r>
            <w:r w:rsidRPr="00DD00D3">
              <w:rPr>
                <w:rFonts w:cs="Arial"/>
                <w:b/>
                <w:color w:val="auto"/>
                <w:sz w:val="24"/>
                <w:szCs w:val="24"/>
                <w:lang w:val="en-GB"/>
              </w:rPr>
              <w:t>2019</w:t>
            </w:r>
          </w:p>
        </w:tc>
      </w:tr>
      <w:tr w:rsidR="00DD00D3" w:rsidRPr="00DD00D3" w:rsidTr="005E68ED">
        <w:tc>
          <w:tcPr>
            <w:tcW w:w="5665" w:type="dxa"/>
          </w:tcPr>
          <w:p w:rsidR="00A17CA6" w:rsidRPr="00DD00D3" w:rsidRDefault="00A17CA6" w:rsidP="004A60C4">
            <w:pPr>
              <w:numPr>
                <w:ilvl w:val="0"/>
                <w:numId w:val="3"/>
              </w:numPr>
              <w:spacing w:line="360" w:lineRule="auto"/>
              <w:ind w:left="426"/>
              <w:jc w:val="both"/>
              <w:rPr>
                <w:rFonts w:cs="Arial"/>
                <w:color w:val="auto"/>
                <w:sz w:val="24"/>
                <w:szCs w:val="24"/>
                <w:lang w:val="en-GB"/>
              </w:rPr>
            </w:pPr>
            <w:r w:rsidRPr="00DD00D3">
              <w:rPr>
                <w:rFonts w:cs="Arial"/>
                <w:color w:val="auto"/>
                <w:sz w:val="24"/>
                <w:szCs w:val="24"/>
              </w:rPr>
              <w:t>The Department must provide quarterly reports on the consequence management it will take to remedy the poor performance of members at the SMS level.</w:t>
            </w:r>
          </w:p>
        </w:tc>
        <w:tc>
          <w:tcPr>
            <w:tcW w:w="2410" w:type="dxa"/>
          </w:tcPr>
          <w:p w:rsidR="00A17CA6" w:rsidRPr="00DD00D3" w:rsidRDefault="005C30CA" w:rsidP="004A60C4">
            <w:pPr>
              <w:spacing w:line="360" w:lineRule="auto"/>
              <w:ind w:left="66"/>
              <w:jc w:val="both"/>
              <w:rPr>
                <w:rFonts w:cs="Arial"/>
                <w:color w:val="auto"/>
                <w:sz w:val="24"/>
                <w:szCs w:val="24"/>
              </w:rPr>
            </w:pPr>
            <w:r w:rsidRPr="00DD00D3">
              <w:rPr>
                <w:rFonts w:cs="Arial"/>
                <w:color w:val="auto"/>
                <w:sz w:val="24"/>
                <w:szCs w:val="24"/>
              </w:rPr>
              <w:t>CD: CM</w:t>
            </w:r>
          </w:p>
        </w:tc>
        <w:tc>
          <w:tcPr>
            <w:tcW w:w="7059" w:type="dxa"/>
          </w:tcPr>
          <w:p w:rsidR="00A17CA6" w:rsidRPr="00DD00D3" w:rsidRDefault="00873E14" w:rsidP="004A60C4">
            <w:pPr>
              <w:spacing w:line="360" w:lineRule="auto"/>
              <w:jc w:val="both"/>
              <w:rPr>
                <w:rFonts w:cs="Arial"/>
                <w:color w:val="auto"/>
                <w:sz w:val="24"/>
                <w:szCs w:val="24"/>
              </w:rPr>
            </w:pPr>
            <w:r w:rsidRPr="00873E14">
              <w:rPr>
                <w:rFonts w:cs="Arial"/>
                <w:color w:val="auto"/>
                <w:sz w:val="24"/>
                <w:szCs w:val="24"/>
              </w:rPr>
              <w:t>Investigation</w:t>
            </w:r>
            <w:r w:rsidR="003C7C8F">
              <w:rPr>
                <w:rFonts w:cs="Arial"/>
                <w:color w:val="auto"/>
                <w:sz w:val="24"/>
                <w:szCs w:val="24"/>
              </w:rPr>
              <w:t>s</w:t>
            </w:r>
            <w:r w:rsidRPr="00873E14">
              <w:rPr>
                <w:rFonts w:cs="Arial"/>
                <w:color w:val="auto"/>
                <w:sz w:val="24"/>
                <w:szCs w:val="24"/>
              </w:rPr>
              <w:t xml:space="preserve"> are being conducted into all unauthorised, irregular and fruitless and wasteful expenditure in the Department. Appropriate action will be taken on the basis of the outcome thereof.</w:t>
            </w:r>
          </w:p>
        </w:tc>
      </w:tr>
      <w:tr w:rsidR="00DD00D3" w:rsidRPr="00DD00D3" w:rsidTr="005E68ED">
        <w:tc>
          <w:tcPr>
            <w:tcW w:w="5665" w:type="dxa"/>
          </w:tcPr>
          <w:p w:rsidR="00A17CA6" w:rsidRPr="00DD00D3" w:rsidRDefault="00A17CA6" w:rsidP="004A60C4">
            <w:pPr>
              <w:spacing w:line="360" w:lineRule="auto"/>
              <w:jc w:val="both"/>
              <w:rPr>
                <w:rFonts w:cs="Arial"/>
                <w:b/>
                <w:color w:val="auto"/>
                <w:sz w:val="24"/>
                <w:szCs w:val="24"/>
                <w:lang w:val="en-GB"/>
              </w:rPr>
            </w:pPr>
            <w:r w:rsidRPr="00DD00D3">
              <w:rPr>
                <w:rFonts w:cs="Arial"/>
                <w:b/>
                <w:color w:val="auto"/>
                <w:sz w:val="24"/>
                <w:szCs w:val="24"/>
                <w:lang w:val="en-GB"/>
              </w:rPr>
              <w:t xml:space="preserve">14.3 Financial performance </w:t>
            </w:r>
          </w:p>
        </w:tc>
        <w:tc>
          <w:tcPr>
            <w:tcW w:w="2410" w:type="dxa"/>
          </w:tcPr>
          <w:p w:rsidR="00A17CA6" w:rsidRPr="00DD00D3" w:rsidRDefault="00A17CA6" w:rsidP="004A60C4">
            <w:pPr>
              <w:spacing w:line="360" w:lineRule="auto"/>
              <w:jc w:val="both"/>
              <w:rPr>
                <w:rFonts w:cs="Arial"/>
                <w:b/>
                <w:color w:val="auto"/>
                <w:sz w:val="24"/>
                <w:szCs w:val="24"/>
                <w:lang w:val="en-GB"/>
              </w:rPr>
            </w:pPr>
          </w:p>
        </w:tc>
        <w:tc>
          <w:tcPr>
            <w:tcW w:w="7059" w:type="dxa"/>
          </w:tcPr>
          <w:p w:rsidR="00A17CA6" w:rsidRPr="00DD00D3" w:rsidRDefault="00A17CA6" w:rsidP="004A60C4">
            <w:pPr>
              <w:spacing w:line="360" w:lineRule="auto"/>
              <w:jc w:val="both"/>
              <w:rPr>
                <w:rFonts w:cs="Arial"/>
                <w:b/>
                <w:color w:val="auto"/>
                <w:sz w:val="24"/>
                <w:szCs w:val="24"/>
                <w:lang w:val="en-GB"/>
              </w:rPr>
            </w:pPr>
          </w:p>
        </w:tc>
      </w:tr>
      <w:tr w:rsidR="00DD00D3" w:rsidRPr="00DD00D3" w:rsidTr="005E68ED">
        <w:tc>
          <w:tcPr>
            <w:tcW w:w="5665" w:type="dxa"/>
          </w:tcPr>
          <w:p w:rsidR="00A17CA6" w:rsidRPr="00DD00D3" w:rsidRDefault="00A17CA6" w:rsidP="004A60C4">
            <w:pPr>
              <w:numPr>
                <w:ilvl w:val="0"/>
                <w:numId w:val="4"/>
              </w:numPr>
              <w:spacing w:line="360" w:lineRule="auto"/>
              <w:ind w:left="426"/>
              <w:jc w:val="both"/>
              <w:rPr>
                <w:rFonts w:cs="Arial"/>
                <w:color w:val="auto"/>
                <w:sz w:val="24"/>
                <w:szCs w:val="24"/>
                <w:lang w:val="en-GB"/>
              </w:rPr>
            </w:pPr>
            <w:r w:rsidRPr="00DD00D3">
              <w:rPr>
                <w:rFonts w:cs="Arial"/>
                <w:color w:val="auto"/>
                <w:sz w:val="24"/>
                <w:szCs w:val="24"/>
                <w:lang w:val="en-GB"/>
              </w:rPr>
              <w:t>In-Year Monitoring Reports: The Department must continue to submit quarterly reports to the Committee in line with National Treasury Regulations.</w:t>
            </w:r>
          </w:p>
        </w:tc>
        <w:tc>
          <w:tcPr>
            <w:tcW w:w="2410" w:type="dxa"/>
          </w:tcPr>
          <w:p w:rsidR="00A17CA6" w:rsidRPr="00DD00D3" w:rsidRDefault="00A17CA6" w:rsidP="004A60C4">
            <w:pPr>
              <w:spacing w:line="360" w:lineRule="auto"/>
              <w:jc w:val="both"/>
              <w:rPr>
                <w:rFonts w:cs="Arial"/>
                <w:color w:val="auto"/>
                <w:sz w:val="24"/>
                <w:szCs w:val="24"/>
                <w:lang w:val="en-GB"/>
              </w:rPr>
            </w:pPr>
            <w:r w:rsidRPr="00DD00D3">
              <w:rPr>
                <w:rFonts w:cs="Arial"/>
                <w:color w:val="auto"/>
                <w:sz w:val="24"/>
                <w:szCs w:val="24"/>
                <w:lang w:val="en-GB"/>
              </w:rPr>
              <w:t>CFO</w:t>
            </w:r>
          </w:p>
        </w:tc>
        <w:tc>
          <w:tcPr>
            <w:tcW w:w="7059" w:type="dxa"/>
          </w:tcPr>
          <w:p w:rsidR="00A17CA6" w:rsidRPr="00DD00D3" w:rsidRDefault="00084C74" w:rsidP="005E68ED">
            <w:pPr>
              <w:spacing w:line="360" w:lineRule="auto"/>
              <w:jc w:val="both"/>
              <w:rPr>
                <w:rFonts w:cs="Arial"/>
                <w:color w:val="auto"/>
                <w:sz w:val="24"/>
                <w:szCs w:val="24"/>
                <w:lang w:val="en-GB"/>
              </w:rPr>
            </w:pPr>
            <w:r w:rsidRPr="00DD00D3">
              <w:rPr>
                <w:rFonts w:cs="Arial"/>
                <w:color w:val="auto"/>
                <w:sz w:val="24"/>
                <w:szCs w:val="24"/>
                <w:lang w:val="en-GB"/>
              </w:rPr>
              <w:t xml:space="preserve">The Department </w:t>
            </w:r>
            <w:r>
              <w:rPr>
                <w:rFonts w:cs="Arial"/>
                <w:color w:val="auto"/>
                <w:sz w:val="24"/>
                <w:szCs w:val="24"/>
                <w:lang w:val="en-GB"/>
              </w:rPr>
              <w:t xml:space="preserve">has submitted its quarterly report and will </w:t>
            </w:r>
            <w:r w:rsidRPr="00DD00D3">
              <w:rPr>
                <w:rFonts w:cs="Arial"/>
                <w:color w:val="auto"/>
                <w:sz w:val="24"/>
                <w:szCs w:val="24"/>
                <w:lang w:val="en-GB"/>
              </w:rPr>
              <w:t>continue to submit quarterly reports to the Committee in line with National Treasury Regulations.</w:t>
            </w:r>
          </w:p>
        </w:tc>
      </w:tr>
      <w:tr w:rsidR="00DD00D3" w:rsidRPr="00DD00D3" w:rsidTr="005E68ED">
        <w:tc>
          <w:tcPr>
            <w:tcW w:w="5665" w:type="dxa"/>
          </w:tcPr>
          <w:p w:rsidR="00A17CA6" w:rsidRPr="00DD00D3" w:rsidRDefault="00A17CA6" w:rsidP="004A60C4">
            <w:pPr>
              <w:numPr>
                <w:ilvl w:val="0"/>
                <w:numId w:val="4"/>
              </w:numPr>
              <w:spacing w:line="360" w:lineRule="auto"/>
              <w:ind w:left="426"/>
              <w:jc w:val="both"/>
              <w:rPr>
                <w:rFonts w:cs="Arial"/>
                <w:color w:val="auto"/>
                <w:sz w:val="24"/>
                <w:szCs w:val="24"/>
                <w:lang w:val="en-GB"/>
              </w:rPr>
            </w:pPr>
            <w:r w:rsidRPr="00DD00D3">
              <w:rPr>
                <w:rFonts w:cs="Arial"/>
                <w:color w:val="auto"/>
                <w:sz w:val="24"/>
                <w:szCs w:val="24"/>
                <w:lang w:val="en-GB"/>
              </w:rPr>
              <w:t xml:space="preserve">Spending Trends: The </w:t>
            </w:r>
            <w:r w:rsidRPr="00DD00D3">
              <w:rPr>
                <w:rFonts w:cs="Arial"/>
                <w:color w:val="auto"/>
                <w:sz w:val="24"/>
                <w:szCs w:val="24"/>
              </w:rPr>
              <w:t>Committee recommends that t</w:t>
            </w:r>
            <w:r w:rsidRPr="00DD00D3">
              <w:rPr>
                <w:rFonts w:cs="Arial"/>
                <w:color w:val="auto"/>
                <w:sz w:val="24"/>
                <w:szCs w:val="24"/>
                <w:lang w:val="en-GB"/>
              </w:rPr>
              <w:t xml:space="preserve">he Department monitor spending patterns and ensure that this is in keeping with what has been outlined in the respective Strategic Plans and Annual Performance Plans. </w:t>
            </w:r>
            <w:r w:rsidRPr="005E68ED">
              <w:rPr>
                <w:rFonts w:cs="Arial"/>
                <w:color w:val="auto"/>
                <w:sz w:val="24"/>
                <w:szCs w:val="24"/>
                <w:lang w:val="en-GB"/>
              </w:rPr>
              <w:t xml:space="preserve">To this end, the Department is to provide the Committee with detailed financial reports for activities on a quarterly basis. </w:t>
            </w:r>
            <w:r w:rsidRPr="00DD00D3">
              <w:rPr>
                <w:rFonts w:cs="Arial"/>
                <w:color w:val="auto"/>
                <w:sz w:val="24"/>
                <w:szCs w:val="24"/>
                <w:lang w:val="en-GB"/>
              </w:rPr>
              <w:t xml:space="preserve">These financial reports should clearly indicate the purpose of the activity as it relates to the objectives outlined in the APP and the expenditure incurred. In instances, where the </w:t>
            </w:r>
            <w:r w:rsidRPr="00DD00D3">
              <w:rPr>
                <w:rFonts w:cs="Arial"/>
                <w:color w:val="auto"/>
                <w:sz w:val="24"/>
                <w:szCs w:val="24"/>
                <w:lang w:val="en-GB"/>
              </w:rPr>
              <w:lastRenderedPageBreak/>
              <w:t>Department incurs expenditure for events nationally and internationally, the size of the delegation must be included and details pertaining to Travel and Subsistence. The Committee urges the Department to utilise the budget allocated to Programme 2 and 3 effectively and plan accordingly in order to do this.</w:t>
            </w:r>
          </w:p>
        </w:tc>
        <w:tc>
          <w:tcPr>
            <w:tcW w:w="2410" w:type="dxa"/>
          </w:tcPr>
          <w:p w:rsidR="00A17CA6" w:rsidRPr="00DD00D3" w:rsidRDefault="00A17CA6" w:rsidP="004A60C4">
            <w:pPr>
              <w:spacing w:line="360" w:lineRule="auto"/>
              <w:jc w:val="both"/>
              <w:rPr>
                <w:rFonts w:cs="Arial"/>
                <w:color w:val="auto"/>
                <w:sz w:val="24"/>
                <w:szCs w:val="24"/>
                <w:lang w:val="en-GB"/>
              </w:rPr>
            </w:pPr>
            <w:r w:rsidRPr="00DD00D3">
              <w:rPr>
                <w:rFonts w:cs="Arial"/>
                <w:color w:val="auto"/>
                <w:sz w:val="24"/>
                <w:szCs w:val="24"/>
                <w:lang w:val="en-GB"/>
              </w:rPr>
              <w:lastRenderedPageBreak/>
              <w:t>CFO</w:t>
            </w:r>
          </w:p>
        </w:tc>
        <w:tc>
          <w:tcPr>
            <w:tcW w:w="7059" w:type="dxa"/>
          </w:tcPr>
          <w:p w:rsidR="00A17CA6" w:rsidRPr="00DD00D3" w:rsidRDefault="00C330CB" w:rsidP="004A60C4">
            <w:pPr>
              <w:spacing w:line="360" w:lineRule="auto"/>
              <w:jc w:val="both"/>
              <w:rPr>
                <w:rFonts w:cs="Arial"/>
                <w:color w:val="auto"/>
                <w:sz w:val="24"/>
                <w:szCs w:val="24"/>
                <w:lang w:val="en-GB"/>
              </w:rPr>
            </w:pPr>
            <w:r w:rsidRPr="00DD00D3">
              <w:rPr>
                <w:rFonts w:cs="Arial"/>
                <w:color w:val="auto"/>
                <w:sz w:val="24"/>
                <w:szCs w:val="24"/>
                <w:lang w:val="en-GB"/>
              </w:rPr>
              <w:t>The department monitors spending patterns through the Budget Committee meetings chaired by the Accounting Officer. The committee meets on a monthly basis and when an urgent need arises.</w:t>
            </w:r>
          </w:p>
          <w:p w:rsidR="00C330CB" w:rsidRPr="00DD00D3" w:rsidRDefault="00C330CB" w:rsidP="004A60C4">
            <w:pPr>
              <w:spacing w:line="360" w:lineRule="auto"/>
              <w:jc w:val="both"/>
              <w:rPr>
                <w:rFonts w:cs="Arial"/>
                <w:color w:val="auto"/>
                <w:sz w:val="24"/>
                <w:szCs w:val="24"/>
                <w:lang w:val="en-GB"/>
              </w:rPr>
            </w:pPr>
          </w:p>
          <w:p w:rsidR="00084C74" w:rsidRDefault="00084C74" w:rsidP="004A60C4">
            <w:pPr>
              <w:spacing w:line="360" w:lineRule="auto"/>
              <w:jc w:val="both"/>
              <w:rPr>
                <w:rFonts w:cs="Arial"/>
                <w:color w:val="auto"/>
                <w:sz w:val="24"/>
                <w:szCs w:val="24"/>
                <w:lang w:val="en-GB"/>
              </w:rPr>
            </w:pPr>
            <w:r>
              <w:rPr>
                <w:rFonts w:cs="Arial"/>
                <w:color w:val="auto"/>
                <w:sz w:val="24"/>
                <w:szCs w:val="24"/>
                <w:lang w:val="en-GB"/>
              </w:rPr>
              <w:t>The department submits a financial performance repo</w:t>
            </w:r>
            <w:r w:rsidR="004222CF">
              <w:rPr>
                <w:rFonts w:cs="Arial"/>
                <w:color w:val="auto"/>
                <w:sz w:val="24"/>
                <w:szCs w:val="24"/>
                <w:lang w:val="en-GB"/>
              </w:rPr>
              <w:t>rt on a quarterly basis to the Portfolio C</w:t>
            </w:r>
            <w:r>
              <w:rPr>
                <w:rFonts w:cs="Arial"/>
                <w:color w:val="auto"/>
                <w:sz w:val="24"/>
                <w:szCs w:val="24"/>
                <w:lang w:val="en-GB"/>
              </w:rPr>
              <w:t xml:space="preserve">ommittee. </w:t>
            </w:r>
          </w:p>
          <w:p w:rsidR="00084C74" w:rsidRDefault="00084C74" w:rsidP="004A60C4">
            <w:pPr>
              <w:spacing w:line="360" w:lineRule="auto"/>
              <w:jc w:val="both"/>
              <w:rPr>
                <w:rFonts w:cs="Arial"/>
                <w:color w:val="auto"/>
                <w:sz w:val="24"/>
                <w:szCs w:val="24"/>
                <w:lang w:val="en-GB"/>
              </w:rPr>
            </w:pPr>
          </w:p>
          <w:p w:rsidR="00C330CB" w:rsidRPr="00DD00D3" w:rsidRDefault="00C330CB" w:rsidP="004A60C4">
            <w:pPr>
              <w:spacing w:line="360" w:lineRule="auto"/>
              <w:jc w:val="both"/>
              <w:rPr>
                <w:rFonts w:cs="Arial"/>
                <w:color w:val="auto"/>
                <w:sz w:val="24"/>
                <w:szCs w:val="24"/>
                <w:lang w:val="en-GB"/>
              </w:rPr>
            </w:pPr>
            <w:r w:rsidRPr="00DD00D3">
              <w:rPr>
                <w:rFonts w:cs="Arial"/>
                <w:color w:val="auto"/>
                <w:sz w:val="24"/>
                <w:szCs w:val="24"/>
                <w:lang w:val="en-GB"/>
              </w:rPr>
              <w:t>The expenditure for national and international events forms part of the quarterly report submitted to the Committee</w:t>
            </w:r>
            <w:r w:rsidR="0032058C" w:rsidRPr="00DD00D3">
              <w:rPr>
                <w:rFonts w:cs="Arial"/>
                <w:color w:val="auto"/>
                <w:sz w:val="24"/>
                <w:szCs w:val="24"/>
                <w:lang w:val="en-GB"/>
              </w:rPr>
              <w:t>.</w:t>
            </w:r>
          </w:p>
          <w:p w:rsidR="00C330CB" w:rsidRPr="00DD00D3" w:rsidRDefault="00C330CB" w:rsidP="004A60C4">
            <w:pPr>
              <w:spacing w:line="360" w:lineRule="auto"/>
              <w:jc w:val="both"/>
              <w:rPr>
                <w:rFonts w:cs="Arial"/>
                <w:color w:val="auto"/>
                <w:sz w:val="24"/>
                <w:szCs w:val="24"/>
                <w:lang w:val="en-GB"/>
              </w:rPr>
            </w:pPr>
          </w:p>
          <w:p w:rsidR="00C330CB" w:rsidRPr="00DD00D3" w:rsidRDefault="00C330CB" w:rsidP="004A60C4">
            <w:pPr>
              <w:spacing w:line="360" w:lineRule="auto"/>
              <w:jc w:val="both"/>
              <w:rPr>
                <w:rFonts w:cs="Arial"/>
                <w:color w:val="auto"/>
                <w:sz w:val="24"/>
                <w:szCs w:val="24"/>
                <w:lang w:val="en-GB"/>
              </w:rPr>
            </w:pPr>
            <w:r w:rsidRPr="00DD00D3">
              <w:rPr>
                <w:rFonts w:cs="Arial"/>
                <w:color w:val="auto"/>
                <w:sz w:val="24"/>
                <w:szCs w:val="24"/>
                <w:lang w:val="en-GB"/>
              </w:rPr>
              <w:t>The department note</w:t>
            </w:r>
            <w:r w:rsidR="00813357">
              <w:rPr>
                <w:rFonts w:cs="Arial"/>
                <w:color w:val="auto"/>
                <w:sz w:val="24"/>
                <w:szCs w:val="24"/>
                <w:lang w:val="en-GB"/>
              </w:rPr>
              <w:t>s</w:t>
            </w:r>
            <w:r w:rsidRPr="00DD00D3">
              <w:rPr>
                <w:rFonts w:cs="Arial"/>
                <w:color w:val="auto"/>
                <w:sz w:val="24"/>
                <w:szCs w:val="24"/>
                <w:lang w:val="en-GB"/>
              </w:rPr>
              <w:t xml:space="preserve"> the committee’s request regarding effective utilisation of the budget allocated </w:t>
            </w:r>
            <w:r w:rsidR="003C7C8F">
              <w:rPr>
                <w:rFonts w:cs="Arial"/>
                <w:color w:val="auto"/>
                <w:sz w:val="24"/>
                <w:szCs w:val="24"/>
                <w:lang w:val="en-GB"/>
              </w:rPr>
              <w:t xml:space="preserve">to </w:t>
            </w:r>
            <w:r w:rsidR="0032058C" w:rsidRPr="00DD00D3">
              <w:rPr>
                <w:rFonts w:cs="Arial"/>
                <w:color w:val="auto"/>
                <w:sz w:val="24"/>
                <w:szCs w:val="24"/>
                <w:lang w:val="en-GB"/>
              </w:rPr>
              <w:t xml:space="preserve">Programme 2 </w:t>
            </w:r>
            <w:r w:rsidR="0032058C" w:rsidRPr="00DD00D3">
              <w:rPr>
                <w:rFonts w:cs="Arial"/>
                <w:color w:val="auto"/>
                <w:sz w:val="24"/>
                <w:szCs w:val="24"/>
                <w:lang w:val="en-GB"/>
              </w:rPr>
              <w:lastRenderedPageBreak/>
              <w:t>and 3.</w:t>
            </w:r>
            <w:r w:rsidRPr="00DD00D3">
              <w:rPr>
                <w:rFonts w:cs="Arial"/>
                <w:color w:val="auto"/>
                <w:sz w:val="24"/>
                <w:szCs w:val="24"/>
                <w:lang w:val="en-GB"/>
              </w:rPr>
              <w:t xml:space="preserve"> </w:t>
            </w:r>
          </w:p>
        </w:tc>
      </w:tr>
      <w:tr w:rsidR="00DD00D3" w:rsidRPr="00DD00D3" w:rsidTr="005E68ED">
        <w:tc>
          <w:tcPr>
            <w:tcW w:w="5665" w:type="dxa"/>
          </w:tcPr>
          <w:p w:rsidR="00A17CA6" w:rsidRPr="00DD00D3" w:rsidRDefault="00A17CA6" w:rsidP="004A60C4">
            <w:pPr>
              <w:numPr>
                <w:ilvl w:val="0"/>
                <w:numId w:val="4"/>
              </w:numPr>
              <w:spacing w:line="360" w:lineRule="auto"/>
              <w:ind w:left="426"/>
              <w:jc w:val="both"/>
              <w:rPr>
                <w:rFonts w:cs="Arial"/>
                <w:color w:val="auto"/>
                <w:sz w:val="24"/>
                <w:szCs w:val="24"/>
                <w:lang w:val="en-GB"/>
              </w:rPr>
            </w:pPr>
            <w:r w:rsidRPr="00DD00D3">
              <w:rPr>
                <w:rFonts w:cs="Arial"/>
                <w:color w:val="auto"/>
                <w:sz w:val="24"/>
                <w:szCs w:val="24"/>
                <w:lang w:val="en-GB"/>
              </w:rPr>
              <w:lastRenderedPageBreak/>
              <w:t>APP: The Department must ensure that its APP is costed appropriately with a clear indication as to how and when it intends undertaking activities with corresponding costs.</w:t>
            </w:r>
          </w:p>
        </w:tc>
        <w:tc>
          <w:tcPr>
            <w:tcW w:w="2410" w:type="dxa"/>
          </w:tcPr>
          <w:p w:rsidR="00A17CA6" w:rsidRPr="00DD00D3" w:rsidRDefault="00A17CA6" w:rsidP="004A60C4">
            <w:pPr>
              <w:spacing w:line="360" w:lineRule="auto"/>
              <w:ind w:left="66"/>
              <w:jc w:val="both"/>
              <w:rPr>
                <w:rFonts w:cs="Arial"/>
                <w:color w:val="auto"/>
                <w:sz w:val="24"/>
                <w:szCs w:val="24"/>
                <w:lang w:val="en-GB"/>
              </w:rPr>
            </w:pPr>
            <w:r w:rsidRPr="00DD00D3">
              <w:rPr>
                <w:rFonts w:cs="Arial"/>
                <w:color w:val="auto"/>
                <w:sz w:val="24"/>
                <w:szCs w:val="24"/>
                <w:lang w:val="en-GB"/>
              </w:rPr>
              <w:t>CFO</w:t>
            </w:r>
          </w:p>
          <w:p w:rsidR="00A17CA6" w:rsidRPr="00DD00D3" w:rsidRDefault="00A17CA6" w:rsidP="004A60C4">
            <w:pPr>
              <w:spacing w:line="360" w:lineRule="auto"/>
              <w:ind w:left="66"/>
              <w:jc w:val="both"/>
              <w:rPr>
                <w:rFonts w:cs="Arial"/>
                <w:color w:val="auto"/>
                <w:sz w:val="24"/>
                <w:szCs w:val="24"/>
                <w:lang w:val="en-GB"/>
              </w:rPr>
            </w:pPr>
            <w:r w:rsidRPr="00DD00D3">
              <w:rPr>
                <w:rFonts w:cs="Arial"/>
                <w:color w:val="auto"/>
                <w:sz w:val="24"/>
                <w:szCs w:val="24"/>
                <w:lang w:val="en-GB"/>
              </w:rPr>
              <w:t>CD:ODG</w:t>
            </w:r>
          </w:p>
          <w:p w:rsidR="00A17CA6" w:rsidRPr="00DD00D3" w:rsidRDefault="00A17CA6" w:rsidP="004A60C4">
            <w:pPr>
              <w:spacing w:line="360" w:lineRule="auto"/>
              <w:ind w:left="66"/>
              <w:jc w:val="both"/>
              <w:rPr>
                <w:rFonts w:cs="Arial"/>
                <w:color w:val="auto"/>
                <w:sz w:val="24"/>
                <w:szCs w:val="24"/>
                <w:lang w:val="en-GB"/>
              </w:rPr>
            </w:pPr>
            <w:r w:rsidRPr="00DD00D3">
              <w:rPr>
                <w:rFonts w:cs="Arial"/>
                <w:color w:val="auto"/>
                <w:sz w:val="24"/>
                <w:szCs w:val="24"/>
                <w:lang w:val="en-GB"/>
              </w:rPr>
              <w:t>DDGs</w:t>
            </w:r>
          </w:p>
        </w:tc>
        <w:tc>
          <w:tcPr>
            <w:tcW w:w="7059" w:type="dxa"/>
          </w:tcPr>
          <w:p w:rsidR="00A17CA6" w:rsidRPr="00DD00D3" w:rsidRDefault="000B1478" w:rsidP="003C7C8F">
            <w:pPr>
              <w:spacing w:line="360" w:lineRule="auto"/>
              <w:jc w:val="both"/>
              <w:rPr>
                <w:rFonts w:cs="Arial"/>
                <w:color w:val="auto"/>
                <w:sz w:val="24"/>
                <w:szCs w:val="24"/>
                <w:lang w:val="en-GB"/>
              </w:rPr>
            </w:pPr>
            <w:r>
              <w:rPr>
                <w:rFonts w:cs="Arial"/>
                <w:color w:val="auto"/>
                <w:sz w:val="24"/>
                <w:szCs w:val="24"/>
                <w:lang w:val="en-GB"/>
              </w:rPr>
              <w:t>The Department’s APP has been</w:t>
            </w:r>
            <w:r w:rsidR="00084C74">
              <w:rPr>
                <w:rFonts w:cs="Arial"/>
                <w:color w:val="auto"/>
                <w:sz w:val="24"/>
                <w:szCs w:val="24"/>
                <w:lang w:val="en-GB"/>
              </w:rPr>
              <w:t xml:space="preserve"> costed</w:t>
            </w:r>
            <w:r>
              <w:rPr>
                <w:rFonts w:cs="Arial"/>
                <w:color w:val="auto"/>
                <w:sz w:val="24"/>
                <w:szCs w:val="24"/>
                <w:lang w:val="en-GB"/>
              </w:rPr>
              <w:t xml:space="preserve">, and clearly </w:t>
            </w:r>
            <w:r w:rsidR="003C7C8F">
              <w:rPr>
                <w:rFonts w:cs="Arial"/>
                <w:color w:val="auto"/>
                <w:sz w:val="24"/>
                <w:szCs w:val="24"/>
                <w:lang w:val="en-GB"/>
              </w:rPr>
              <w:t xml:space="preserve">indicates </w:t>
            </w:r>
            <w:r>
              <w:rPr>
                <w:rFonts w:cs="Arial"/>
                <w:color w:val="auto"/>
                <w:sz w:val="24"/>
                <w:szCs w:val="24"/>
                <w:lang w:val="en-GB"/>
              </w:rPr>
              <w:t>when and how it intends undertaking its activities with corresponding costs</w:t>
            </w:r>
            <w:r w:rsidR="00084C74">
              <w:rPr>
                <w:rFonts w:cs="Arial"/>
                <w:color w:val="auto"/>
                <w:sz w:val="24"/>
                <w:szCs w:val="24"/>
                <w:lang w:val="en-GB"/>
              </w:rPr>
              <w:t xml:space="preserve"> </w:t>
            </w:r>
          </w:p>
        </w:tc>
      </w:tr>
      <w:tr w:rsidR="00DD00D3" w:rsidRPr="00DD00D3" w:rsidTr="005E68ED">
        <w:tc>
          <w:tcPr>
            <w:tcW w:w="5665" w:type="dxa"/>
          </w:tcPr>
          <w:p w:rsidR="00A17CA6" w:rsidRPr="00DD00D3" w:rsidRDefault="00A17CA6" w:rsidP="004A60C4">
            <w:pPr>
              <w:numPr>
                <w:ilvl w:val="0"/>
                <w:numId w:val="4"/>
              </w:numPr>
              <w:spacing w:line="360" w:lineRule="auto"/>
              <w:ind w:left="426"/>
              <w:jc w:val="both"/>
              <w:rPr>
                <w:rFonts w:cs="Arial"/>
                <w:color w:val="auto"/>
                <w:sz w:val="24"/>
                <w:szCs w:val="24"/>
                <w:lang w:val="en-GB"/>
              </w:rPr>
            </w:pPr>
            <w:r w:rsidRPr="00DD00D3">
              <w:rPr>
                <w:rFonts w:cs="Arial"/>
                <w:color w:val="auto"/>
                <w:sz w:val="24"/>
                <w:szCs w:val="24"/>
              </w:rPr>
              <w:t xml:space="preserve">Irregular expenditure, Fruitless and Wasteful Expenditure: The Committee recommends that the Department should provide a comprehensive report on the investigations into irregular expenditure incurred during 2018/19 and fruitless and wasteful expenditure as well as the previous financial year. The report should clearly indicate the sanctions brought against members responsible for irregular expenditure and </w:t>
            </w:r>
            <w:r w:rsidRPr="00DD00D3">
              <w:rPr>
                <w:rFonts w:cs="Arial"/>
                <w:color w:val="auto"/>
                <w:sz w:val="24"/>
                <w:szCs w:val="24"/>
              </w:rPr>
              <w:lastRenderedPageBreak/>
              <w:t>fruitless and wasteful expenditure. The Department should further develop an action plan on steps to prevent irregular expenditure, through a skills audit, training, skills development and consequence management.</w:t>
            </w:r>
          </w:p>
        </w:tc>
        <w:tc>
          <w:tcPr>
            <w:tcW w:w="2410" w:type="dxa"/>
          </w:tcPr>
          <w:p w:rsidR="00A17CA6" w:rsidRPr="00DD00D3" w:rsidRDefault="00A17CA6" w:rsidP="004A60C4">
            <w:pPr>
              <w:spacing w:line="360" w:lineRule="auto"/>
              <w:ind w:left="66"/>
              <w:jc w:val="both"/>
              <w:rPr>
                <w:rFonts w:cs="Arial"/>
                <w:color w:val="auto"/>
                <w:sz w:val="24"/>
                <w:szCs w:val="24"/>
              </w:rPr>
            </w:pPr>
            <w:r w:rsidRPr="00DD00D3">
              <w:rPr>
                <w:rFonts w:cs="Arial"/>
                <w:color w:val="auto"/>
                <w:sz w:val="24"/>
                <w:szCs w:val="24"/>
              </w:rPr>
              <w:lastRenderedPageBreak/>
              <w:t>CFO</w:t>
            </w:r>
          </w:p>
          <w:p w:rsidR="00A3681D" w:rsidRPr="00DD00D3" w:rsidRDefault="00A3681D" w:rsidP="004A60C4">
            <w:pPr>
              <w:spacing w:line="360" w:lineRule="auto"/>
              <w:ind w:left="66"/>
              <w:jc w:val="both"/>
              <w:rPr>
                <w:rFonts w:cs="Arial"/>
                <w:color w:val="auto"/>
                <w:sz w:val="24"/>
                <w:szCs w:val="24"/>
              </w:rPr>
            </w:pPr>
            <w:r w:rsidRPr="00DD00D3">
              <w:rPr>
                <w:rFonts w:cs="Arial"/>
                <w:color w:val="auto"/>
                <w:sz w:val="24"/>
                <w:szCs w:val="24"/>
              </w:rPr>
              <w:t>CEA</w:t>
            </w:r>
          </w:p>
        </w:tc>
        <w:tc>
          <w:tcPr>
            <w:tcW w:w="7059" w:type="dxa"/>
          </w:tcPr>
          <w:p w:rsidR="005D3455" w:rsidRPr="00DD00D3" w:rsidRDefault="005D3455" w:rsidP="005D3455">
            <w:pPr>
              <w:spacing w:line="360" w:lineRule="auto"/>
              <w:jc w:val="both"/>
              <w:rPr>
                <w:rFonts w:cs="Arial"/>
                <w:color w:val="auto"/>
                <w:sz w:val="24"/>
                <w:szCs w:val="24"/>
              </w:rPr>
            </w:pPr>
            <w:r w:rsidRPr="00DD00D3">
              <w:rPr>
                <w:rFonts w:cs="Arial"/>
                <w:color w:val="auto"/>
                <w:sz w:val="24"/>
                <w:szCs w:val="24"/>
              </w:rPr>
              <w:t>The irregular expenditure cases for 20</w:t>
            </w:r>
            <w:r w:rsidR="00B24198">
              <w:rPr>
                <w:rFonts w:cs="Arial"/>
                <w:color w:val="auto"/>
                <w:sz w:val="24"/>
                <w:szCs w:val="24"/>
              </w:rPr>
              <w:t>1</w:t>
            </w:r>
            <w:r w:rsidRPr="00DD00D3">
              <w:rPr>
                <w:rFonts w:cs="Arial"/>
                <w:color w:val="auto"/>
                <w:sz w:val="24"/>
                <w:szCs w:val="24"/>
              </w:rPr>
              <w:t>8/19 are currently in the process of determination in accordance with the National Treasury Irregular Expenditure Framework issued in May 2019. It is anticipated that this process will be finalised by the end of the 3</w:t>
            </w:r>
            <w:r w:rsidRPr="00DD00D3">
              <w:rPr>
                <w:rFonts w:cs="Arial"/>
                <w:color w:val="auto"/>
                <w:sz w:val="24"/>
                <w:szCs w:val="24"/>
                <w:vertAlign w:val="superscript"/>
              </w:rPr>
              <w:t>rd</w:t>
            </w:r>
            <w:r w:rsidRPr="00DD00D3">
              <w:rPr>
                <w:rFonts w:cs="Arial"/>
                <w:color w:val="auto"/>
                <w:sz w:val="24"/>
                <w:szCs w:val="24"/>
              </w:rPr>
              <w:t xml:space="preserve"> quarter.</w:t>
            </w:r>
          </w:p>
          <w:p w:rsidR="00B24198" w:rsidRDefault="00B24198" w:rsidP="004A60C4">
            <w:pPr>
              <w:spacing w:line="360" w:lineRule="auto"/>
              <w:jc w:val="both"/>
              <w:rPr>
                <w:rFonts w:cs="Arial"/>
                <w:color w:val="auto"/>
                <w:sz w:val="24"/>
                <w:szCs w:val="24"/>
              </w:rPr>
            </w:pPr>
          </w:p>
          <w:p w:rsidR="00A3681D" w:rsidRPr="00DD00D3" w:rsidRDefault="00B24198" w:rsidP="004A60C4">
            <w:pPr>
              <w:spacing w:line="360" w:lineRule="auto"/>
              <w:jc w:val="both"/>
              <w:rPr>
                <w:rFonts w:cs="Arial"/>
                <w:color w:val="auto"/>
                <w:sz w:val="24"/>
                <w:szCs w:val="24"/>
              </w:rPr>
            </w:pPr>
            <w:r>
              <w:rPr>
                <w:rFonts w:cs="Arial"/>
                <w:color w:val="auto"/>
                <w:sz w:val="24"/>
                <w:szCs w:val="24"/>
              </w:rPr>
              <w:t>In preventing irregular expenditure t</w:t>
            </w:r>
            <w:r w:rsidR="0032058C" w:rsidRPr="00DD00D3">
              <w:rPr>
                <w:rFonts w:cs="Arial"/>
                <w:color w:val="auto"/>
                <w:sz w:val="24"/>
                <w:szCs w:val="24"/>
              </w:rPr>
              <w:t>he departm</w:t>
            </w:r>
            <w:r w:rsidR="002E56C4" w:rsidRPr="00DD00D3">
              <w:rPr>
                <w:rFonts w:cs="Arial"/>
                <w:color w:val="auto"/>
                <w:sz w:val="24"/>
                <w:szCs w:val="24"/>
              </w:rPr>
              <w:t>ent conducted training for all S</w:t>
            </w:r>
            <w:r w:rsidR="0032058C" w:rsidRPr="00DD00D3">
              <w:rPr>
                <w:rFonts w:cs="Arial"/>
                <w:color w:val="auto"/>
                <w:sz w:val="24"/>
                <w:szCs w:val="24"/>
              </w:rPr>
              <w:t xml:space="preserve">enior </w:t>
            </w:r>
            <w:r w:rsidR="002E56C4" w:rsidRPr="00DD00D3">
              <w:rPr>
                <w:rFonts w:cs="Arial"/>
                <w:color w:val="auto"/>
                <w:sz w:val="24"/>
                <w:szCs w:val="24"/>
              </w:rPr>
              <w:t>M</w:t>
            </w:r>
            <w:r w:rsidR="0032058C" w:rsidRPr="00DD00D3">
              <w:rPr>
                <w:rFonts w:cs="Arial"/>
                <w:color w:val="auto"/>
                <w:sz w:val="24"/>
                <w:szCs w:val="24"/>
              </w:rPr>
              <w:t xml:space="preserve">anagement staff on </w:t>
            </w:r>
            <w:r w:rsidR="002E56C4" w:rsidRPr="00DD00D3">
              <w:rPr>
                <w:rFonts w:cs="Arial"/>
                <w:color w:val="auto"/>
                <w:sz w:val="24"/>
                <w:szCs w:val="24"/>
              </w:rPr>
              <w:t>U</w:t>
            </w:r>
            <w:r w:rsidR="0032058C" w:rsidRPr="00DD00D3">
              <w:rPr>
                <w:rFonts w:cs="Arial"/>
                <w:color w:val="auto"/>
                <w:sz w:val="24"/>
                <w:szCs w:val="24"/>
              </w:rPr>
              <w:t>nauthorised,</w:t>
            </w:r>
            <w:r w:rsidR="002E56C4" w:rsidRPr="00DD00D3">
              <w:rPr>
                <w:rFonts w:cs="Arial"/>
                <w:color w:val="auto"/>
                <w:sz w:val="24"/>
                <w:szCs w:val="24"/>
              </w:rPr>
              <w:t xml:space="preserve"> Irregular, F</w:t>
            </w:r>
            <w:r w:rsidR="0032058C" w:rsidRPr="00DD00D3">
              <w:rPr>
                <w:rFonts w:cs="Arial"/>
                <w:color w:val="auto"/>
                <w:sz w:val="24"/>
                <w:szCs w:val="24"/>
              </w:rPr>
              <w:t>ruitless an</w:t>
            </w:r>
            <w:r w:rsidR="002E56C4" w:rsidRPr="00DD00D3">
              <w:rPr>
                <w:rFonts w:cs="Arial"/>
                <w:color w:val="auto"/>
                <w:sz w:val="24"/>
                <w:szCs w:val="24"/>
              </w:rPr>
              <w:t>d W</w:t>
            </w:r>
            <w:r w:rsidR="0032058C" w:rsidRPr="00DD00D3">
              <w:rPr>
                <w:rFonts w:cs="Arial"/>
                <w:color w:val="auto"/>
                <w:sz w:val="24"/>
                <w:szCs w:val="24"/>
              </w:rPr>
              <w:t>asteful expenditure. The training was conducted by National Treasury</w:t>
            </w:r>
            <w:r w:rsidR="00A3681D" w:rsidRPr="00DD00D3">
              <w:rPr>
                <w:rFonts w:cs="Arial"/>
                <w:color w:val="auto"/>
                <w:sz w:val="24"/>
                <w:szCs w:val="24"/>
              </w:rPr>
              <w:t>.</w:t>
            </w:r>
          </w:p>
          <w:p w:rsidR="00A3681D" w:rsidRPr="00DD00D3" w:rsidRDefault="00A3681D" w:rsidP="004A60C4">
            <w:pPr>
              <w:spacing w:line="360" w:lineRule="auto"/>
              <w:jc w:val="both"/>
              <w:rPr>
                <w:rFonts w:cs="Arial"/>
                <w:color w:val="auto"/>
                <w:sz w:val="24"/>
                <w:szCs w:val="24"/>
              </w:rPr>
            </w:pPr>
          </w:p>
          <w:p w:rsidR="00A17CA6" w:rsidRPr="00DD00D3" w:rsidRDefault="0032058C" w:rsidP="005E68ED">
            <w:pPr>
              <w:spacing w:line="360" w:lineRule="auto"/>
              <w:jc w:val="both"/>
              <w:rPr>
                <w:rFonts w:cs="Arial"/>
                <w:color w:val="auto"/>
                <w:sz w:val="24"/>
                <w:szCs w:val="24"/>
              </w:rPr>
            </w:pPr>
            <w:r w:rsidRPr="00DD00D3">
              <w:rPr>
                <w:rFonts w:cs="Arial"/>
                <w:color w:val="auto"/>
                <w:sz w:val="24"/>
                <w:szCs w:val="24"/>
              </w:rPr>
              <w:t xml:space="preserve"> </w:t>
            </w:r>
            <w:r w:rsidR="00E9695E">
              <w:rPr>
                <w:rFonts w:cs="Arial"/>
                <w:color w:val="auto"/>
                <w:sz w:val="24"/>
                <w:szCs w:val="24"/>
              </w:rPr>
              <w:t>Regarding</w:t>
            </w:r>
            <w:r w:rsidR="00E9695E" w:rsidRPr="00DD00D3">
              <w:rPr>
                <w:rFonts w:cs="Arial"/>
                <w:color w:val="auto"/>
                <w:sz w:val="24"/>
                <w:szCs w:val="24"/>
              </w:rPr>
              <w:t xml:space="preserve"> steps to prevent irregular expenditure</w:t>
            </w:r>
            <w:r w:rsidR="00A008CE">
              <w:rPr>
                <w:rFonts w:cs="Arial"/>
                <w:color w:val="auto"/>
                <w:sz w:val="24"/>
                <w:szCs w:val="24"/>
              </w:rPr>
              <w:t>,</w:t>
            </w:r>
            <w:r w:rsidR="00E9695E" w:rsidRPr="00DD00D3">
              <w:rPr>
                <w:rFonts w:cs="Arial"/>
                <w:color w:val="auto"/>
                <w:sz w:val="24"/>
                <w:szCs w:val="24"/>
              </w:rPr>
              <w:t xml:space="preserve"> </w:t>
            </w:r>
            <w:r w:rsidRPr="00DD00D3">
              <w:rPr>
                <w:rFonts w:cs="Arial"/>
                <w:color w:val="auto"/>
                <w:sz w:val="24"/>
                <w:szCs w:val="24"/>
              </w:rPr>
              <w:t xml:space="preserve">the department developed the Financial Instruction Note 1 of 2019/20 and it was issued to all staff. A workshop on the Instruction Note was conducted for </w:t>
            </w:r>
            <w:r w:rsidR="003C7C8F">
              <w:rPr>
                <w:rFonts w:cs="Arial"/>
                <w:color w:val="auto"/>
                <w:sz w:val="24"/>
                <w:szCs w:val="24"/>
              </w:rPr>
              <w:t xml:space="preserve">the </w:t>
            </w:r>
            <w:r w:rsidRPr="00DD00D3">
              <w:rPr>
                <w:rFonts w:cs="Arial"/>
                <w:color w:val="auto"/>
                <w:sz w:val="24"/>
                <w:szCs w:val="24"/>
              </w:rPr>
              <w:t xml:space="preserve">management team in terms of </w:t>
            </w:r>
            <w:r w:rsidR="002E56C4" w:rsidRPr="00DD00D3">
              <w:rPr>
                <w:rFonts w:cs="Arial"/>
                <w:color w:val="auto"/>
                <w:sz w:val="24"/>
                <w:szCs w:val="24"/>
              </w:rPr>
              <w:t xml:space="preserve">the </w:t>
            </w:r>
            <w:r w:rsidRPr="00DD00D3">
              <w:rPr>
                <w:rFonts w:cs="Arial"/>
                <w:color w:val="auto"/>
                <w:sz w:val="24"/>
                <w:szCs w:val="24"/>
              </w:rPr>
              <w:t>criteria and management of deviations.</w:t>
            </w:r>
          </w:p>
        </w:tc>
      </w:tr>
      <w:tr w:rsidR="00DD00D3" w:rsidRPr="00DD00D3" w:rsidTr="005E68ED">
        <w:tc>
          <w:tcPr>
            <w:tcW w:w="5665" w:type="dxa"/>
          </w:tcPr>
          <w:p w:rsidR="00A17CA6" w:rsidRPr="00DD00D3" w:rsidRDefault="00A17CA6" w:rsidP="004A60C4">
            <w:pPr>
              <w:numPr>
                <w:ilvl w:val="0"/>
                <w:numId w:val="4"/>
              </w:numPr>
              <w:spacing w:line="360" w:lineRule="auto"/>
              <w:ind w:left="426"/>
              <w:jc w:val="both"/>
              <w:rPr>
                <w:rFonts w:cs="Arial"/>
                <w:b/>
                <w:color w:val="auto"/>
                <w:sz w:val="24"/>
                <w:szCs w:val="24"/>
                <w:lang w:val="en-GB"/>
              </w:rPr>
            </w:pPr>
            <w:r w:rsidRPr="00DD00D3">
              <w:rPr>
                <w:rFonts w:cs="Arial"/>
                <w:color w:val="auto"/>
                <w:sz w:val="24"/>
                <w:szCs w:val="24"/>
              </w:rPr>
              <w:lastRenderedPageBreak/>
              <w:t xml:space="preserve">Investigations: </w:t>
            </w:r>
            <w:r w:rsidRPr="00DD00D3">
              <w:rPr>
                <w:rFonts w:cs="Arial"/>
                <w:color w:val="auto"/>
                <w:sz w:val="24"/>
                <w:szCs w:val="24"/>
                <w:lang w:val="en-GB"/>
              </w:rPr>
              <w:t>Committee awaits outcomes and reports in this regard and for a briefing until matters are concluded at every quarterly briefing.</w:t>
            </w:r>
          </w:p>
        </w:tc>
        <w:tc>
          <w:tcPr>
            <w:tcW w:w="2410" w:type="dxa"/>
          </w:tcPr>
          <w:p w:rsidR="00A17CA6" w:rsidRPr="00DD00D3" w:rsidRDefault="00A17CA6" w:rsidP="004A60C4">
            <w:pPr>
              <w:spacing w:line="360" w:lineRule="auto"/>
              <w:jc w:val="both"/>
              <w:rPr>
                <w:rFonts w:cs="Arial"/>
                <w:color w:val="auto"/>
                <w:sz w:val="24"/>
                <w:szCs w:val="24"/>
              </w:rPr>
            </w:pPr>
            <w:r w:rsidRPr="00DD00D3">
              <w:rPr>
                <w:rFonts w:cs="Arial"/>
                <w:color w:val="auto"/>
                <w:sz w:val="24"/>
                <w:szCs w:val="24"/>
              </w:rPr>
              <w:t>CD:</w:t>
            </w:r>
            <w:r w:rsidR="00536892" w:rsidRPr="00DD00D3">
              <w:rPr>
                <w:rFonts w:cs="Arial"/>
                <w:color w:val="auto"/>
                <w:sz w:val="24"/>
                <w:szCs w:val="24"/>
              </w:rPr>
              <w:t>CM</w:t>
            </w:r>
          </w:p>
          <w:p w:rsidR="00536892" w:rsidRPr="00DD00D3" w:rsidRDefault="00536892" w:rsidP="004A60C4">
            <w:pPr>
              <w:spacing w:line="360" w:lineRule="auto"/>
              <w:jc w:val="both"/>
              <w:rPr>
                <w:rFonts w:cs="Arial"/>
                <w:color w:val="auto"/>
                <w:sz w:val="24"/>
                <w:szCs w:val="24"/>
              </w:rPr>
            </w:pPr>
          </w:p>
        </w:tc>
        <w:tc>
          <w:tcPr>
            <w:tcW w:w="7059" w:type="dxa"/>
          </w:tcPr>
          <w:p w:rsidR="00A17CA6" w:rsidRPr="00DD00D3" w:rsidRDefault="00873E14" w:rsidP="004A60C4">
            <w:pPr>
              <w:spacing w:line="360" w:lineRule="auto"/>
              <w:jc w:val="both"/>
              <w:rPr>
                <w:rFonts w:cs="Arial"/>
                <w:color w:val="auto"/>
                <w:sz w:val="24"/>
                <w:szCs w:val="24"/>
              </w:rPr>
            </w:pPr>
            <w:r w:rsidRPr="00873E14">
              <w:rPr>
                <w:rFonts w:cs="Arial"/>
                <w:color w:val="auto"/>
                <w:sz w:val="24"/>
                <w:szCs w:val="24"/>
              </w:rPr>
              <w:t>Investigation</w:t>
            </w:r>
            <w:r w:rsidR="003C7C8F">
              <w:rPr>
                <w:rFonts w:cs="Arial"/>
                <w:color w:val="auto"/>
                <w:sz w:val="24"/>
                <w:szCs w:val="24"/>
              </w:rPr>
              <w:t>s</w:t>
            </w:r>
            <w:r w:rsidRPr="00873E14">
              <w:rPr>
                <w:rFonts w:cs="Arial"/>
                <w:color w:val="auto"/>
                <w:sz w:val="24"/>
                <w:szCs w:val="24"/>
              </w:rPr>
              <w:t xml:space="preserve"> are being conducted into all unauthorised, irregular and fruitless and wasteful expenditure in the Department. Appropriate action will be taken on the basis of the outcomes thereof</w:t>
            </w:r>
            <w:r w:rsidR="00A008CE">
              <w:rPr>
                <w:rFonts w:cs="Arial"/>
                <w:color w:val="auto"/>
                <w:sz w:val="24"/>
                <w:szCs w:val="24"/>
              </w:rPr>
              <w:t xml:space="preserve"> and the committee will be provided with quarterly briefings</w:t>
            </w:r>
            <w:r w:rsidRPr="00873E14">
              <w:rPr>
                <w:rFonts w:cs="Arial"/>
                <w:color w:val="auto"/>
                <w:sz w:val="24"/>
                <w:szCs w:val="24"/>
              </w:rPr>
              <w:t>.</w:t>
            </w:r>
          </w:p>
        </w:tc>
      </w:tr>
      <w:tr w:rsidR="00DD00D3" w:rsidRPr="00DD00D3" w:rsidTr="005E68ED">
        <w:tc>
          <w:tcPr>
            <w:tcW w:w="5665" w:type="dxa"/>
          </w:tcPr>
          <w:p w:rsidR="00A17CA6" w:rsidRPr="00DD00D3" w:rsidRDefault="00A17CA6" w:rsidP="004A60C4">
            <w:pPr>
              <w:numPr>
                <w:ilvl w:val="0"/>
                <w:numId w:val="4"/>
              </w:numPr>
              <w:spacing w:line="360" w:lineRule="auto"/>
              <w:ind w:left="426"/>
              <w:jc w:val="both"/>
              <w:rPr>
                <w:rFonts w:cs="Arial"/>
                <w:b/>
                <w:color w:val="auto"/>
                <w:sz w:val="24"/>
                <w:szCs w:val="24"/>
                <w:lang w:val="en-GB"/>
              </w:rPr>
            </w:pPr>
            <w:r w:rsidRPr="00DD00D3">
              <w:rPr>
                <w:rFonts w:cs="Arial"/>
                <w:color w:val="auto"/>
                <w:sz w:val="24"/>
                <w:szCs w:val="24"/>
              </w:rPr>
              <w:t>Unauthorised expenditure: The Department is urged to follow-up with SCOPA regarding the condonement of historical debt incurred and report back to the Committee accordingly.</w:t>
            </w:r>
          </w:p>
        </w:tc>
        <w:tc>
          <w:tcPr>
            <w:tcW w:w="2410" w:type="dxa"/>
          </w:tcPr>
          <w:p w:rsidR="00A17CA6" w:rsidRPr="00DD00D3" w:rsidRDefault="00536892" w:rsidP="004A60C4">
            <w:pPr>
              <w:spacing w:line="360" w:lineRule="auto"/>
              <w:ind w:left="66"/>
              <w:jc w:val="both"/>
              <w:rPr>
                <w:rFonts w:cs="Arial"/>
                <w:color w:val="auto"/>
                <w:sz w:val="24"/>
                <w:szCs w:val="24"/>
              </w:rPr>
            </w:pPr>
            <w:r w:rsidRPr="00DD00D3">
              <w:rPr>
                <w:rFonts w:cs="Arial"/>
                <w:color w:val="auto"/>
                <w:sz w:val="24"/>
                <w:szCs w:val="24"/>
              </w:rPr>
              <w:t>CFO</w:t>
            </w:r>
          </w:p>
        </w:tc>
        <w:tc>
          <w:tcPr>
            <w:tcW w:w="7059" w:type="dxa"/>
          </w:tcPr>
          <w:p w:rsidR="00A17CA6" w:rsidRPr="00DD00D3" w:rsidRDefault="002E56C4" w:rsidP="004A60C4">
            <w:pPr>
              <w:spacing w:line="360" w:lineRule="auto"/>
              <w:ind w:left="66"/>
              <w:jc w:val="both"/>
              <w:rPr>
                <w:rFonts w:cs="Arial"/>
                <w:color w:val="auto"/>
                <w:sz w:val="24"/>
                <w:szCs w:val="24"/>
              </w:rPr>
            </w:pPr>
            <w:r w:rsidRPr="00DD00D3">
              <w:rPr>
                <w:rFonts w:cs="Arial"/>
                <w:color w:val="auto"/>
                <w:sz w:val="24"/>
                <w:szCs w:val="24"/>
              </w:rPr>
              <w:t xml:space="preserve">The department met with National Treasury on 31 October 2019. During this meeting, National treasury reported that the matter will be referred to SCOPA by the end of November 2019. </w:t>
            </w:r>
            <w:r w:rsidR="003C7C8F">
              <w:rPr>
                <w:rFonts w:cs="Arial"/>
                <w:color w:val="auto"/>
                <w:sz w:val="24"/>
                <w:szCs w:val="24"/>
              </w:rPr>
              <w:t>A p</w:t>
            </w:r>
            <w:r w:rsidRPr="00DD00D3">
              <w:rPr>
                <w:rFonts w:cs="Arial"/>
                <w:color w:val="auto"/>
                <w:sz w:val="24"/>
                <w:szCs w:val="24"/>
              </w:rPr>
              <w:t>rogress report will be submitted to the Committee in this regard.</w:t>
            </w:r>
          </w:p>
        </w:tc>
      </w:tr>
      <w:tr w:rsidR="00DD00D3" w:rsidRPr="00DD00D3" w:rsidTr="005E68ED">
        <w:tc>
          <w:tcPr>
            <w:tcW w:w="5665" w:type="dxa"/>
          </w:tcPr>
          <w:p w:rsidR="00A17CA6" w:rsidRPr="00DD00D3" w:rsidRDefault="00A17CA6" w:rsidP="004A60C4">
            <w:pPr>
              <w:numPr>
                <w:ilvl w:val="0"/>
                <w:numId w:val="4"/>
              </w:numPr>
              <w:spacing w:line="360" w:lineRule="auto"/>
              <w:ind w:left="426"/>
              <w:jc w:val="both"/>
              <w:rPr>
                <w:rFonts w:cs="Arial"/>
                <w:b/>
                <w:color w:val="auto"/>
                <w:sz w:val="24"/>
                <w:szCs w:val="24"/>
                <w:lang w:val="en-GB"/>
              </w:rPr>
            </w:pPr>
            <w:r w:rsidRPr="00DD00D3">
              <w:rPr>
                <w:rFonts w:cs="Arial"/>
                <w:color w:val="auto"/>
                <w:sz w:val="24"/>
                <w:szCs w:val="24"/>
              </w:rPr>
              <w:t>Virements: The Committee urges the Department to avoid virements from the core programme to administration. In the event, that virements have to be done this needs to be brought to the attention of the Committee for discussion during quarterly briefings.</w:t>
            </w:r>
          </w:p>
        </w:tc>
        <w:tc>
          <w:tcPr>
            <w:tcW w:w="2410" w:type="dxa"/>
          </w:tcPr>
          <w:p w:rsidR="00A17CA6" w:rsidRPr="00DD00D3" w:rsidRDefault="00536892" w:rsidP="004A60C4">
            <w:pPr>
              <w:spacing w:line="360" w:lineRule="auto"/>
              <w:ind w:left="66"/>
              <w:jc w:val="both"/>
              <w:rPr>
                <w:rFonts w:cs="Arial"/>
                <w:color w:val="auto"/>
                <w:sz w:val="24"/>
                <w:szCs w:val="24"/>
              </w:rPr>
            </w:pPr>
            <w:r w:rsidRPr="00DD00D3">
              <w:rPr>
                <w:rFonts w:cs="Arial"/>
                <w:color w:val="auto"/>
                <w:sz w:val="24"/>
                <w:szCs w:val="24"/>
              </w:rPr>
              <w:t>CFO</w:t>
            </w:r>
          </w:p>
        </w:tc>
        <w:tc>
          <w:tcPr>
            <w:tcW w:w="7059" w:type="dxa"/>
          </w:tcPr>
          <w:p w:rsidR="00A17CA6" w:rsidRPr="00DD00D3" w:rsidRDefault="00DF1A95" w:rsidP="003C7C8F">
            <w:pPr>
              <w:spacing w:line="360" w:lineRule="auto"/>
              <w:jc w:val="both"/>
              <w:rPr>
                <w:rFonts w:cs="Arial"/>
                <w:color w:val="auto"/>
                <w:sz w:val="24"/>
                <w:szCs w:val="24"/>
              </w:rPr>
            </w:pPr>
            <w:r w:rsidRPr="00DD00D3">
              <w:rPr>
                <w:rFonts w:cs="Arial"/>
                <w:color w:val="auto"/>
                <w:sz w:val="24"/>
                <w:szCs w:val="24"/>
              </w:rPr>
              <w:t xml:space="preserve">Virements are normally informed by spending pressures that exist in the department. </w:t>
            </w:r>
            <w:r w:rsidR="00A3681D" w:rsidRPr="00DD00D3">
              <w:rPr>
                <w:rFonts w:cs="Arial"/>
                <w:color w:val="auto"/>
                <w:sz w:val="24"/>
                <w:szCs w:val="24"/>
              </w:rPr>
              <w:t>The</w:t>
            </w:r>
            <w:r w:rsidRPr="00DD00D3">
              <w:rPr>
                <w:rFonts w:cs="Arial"/>
                <w:color w:val="auto"/>
                <w:sz w:val="24"/>
                <w:szCs w:val="24"/>
              </w:rPr>
              <w:t xml:space="preserve">y are also </w:t>
            </w:r>
            <w:r w:rsidR="00A3681D" w:rsidRPr="00DD00D3">
              <w:rPr>
                <w:rFonts w:cs="Arial"/>
                <w:color w:val="auto"/>
                <w:sz w:val="24"/>
                <w:szCs w:val="24"/>
              </w:rPr>
              <w:t xml:space="preserve">conducted in the department in accordance with Section </w:t>
            </w:r>
            <w:r w:rsidR="002D0738" w:rsidRPr="002D0738">
              <w:rPr>
                <w:rFonts w:cs="Arial"/>
                <w:color w:val="auto"/>
                <w:sz w:val="24"/>
                <w:szCs w:val="24"/>
              </w:rPr>
              <w:t>43 (1)</w:t>
            </w:r>
            <w:r w:rsidR="00A3681D" w:rsidRPr="002D0738">
              <w:rPr>
                <w:rFonts w:cs="Arial"/>
                <w:color w:val="auto"/>
                <w:sz w:val="24"/>
                <w:szCs w:val="24"/>
              </w:rPr>
              <w:t xml:space="preserve"> </w:t>
            </w:r>
            <w:r w:rsidR="00A3681D" w:rsidRPr="00DD00D3">
              <w:rPr>
                <w:rFonts w:cs="Arial"/>
                <w:color w:val="auto"/>
                <w:sz w:val="24"/>
                <w:szCs w:val="24"/>
              </w:rPr>
              <w:t>of the PFMA</w:t>
            </w:r>
            <w:r w:rsidR="002D0738">
              <w:rPr>
                <w:rFonts w:cs="Arial"/>
                <w:color w:val="auto"/>
                <w:sz w:val="24"/>
                <w:szCs w:val="24"/>
              </w:rPr>
              <w:t xml:space="preserve"> 1999</w:t>
            </w:r>
            <w:r w:rsidR="00A3681D" w:rsidRPr="00DD00D3">
              <w:rPr>
                <w:rFonts w:cs="Arial"/>
                <w:color w:val="auto"/>
                <w:sz w:val="24"/>
                <w:szCs w:val="24"/>
              </w:rPr>
              <w:t xml:space="preserve"> and </w:t>
            </w:r>
            <w:r w:rsidR="002D0738">
              <w:rPr>
                <w:rFonts w:cs="Arial"/>
                <w:color w:val="auto"/>
                <w:sz w:val="24"/>
                <w:szCs w:val="24"/>
              </w:rPr>
              <w:t xml:space="preserve">Treasury regulation 6.3 (5) and </w:t>
            </w:r>
            <w:r w:rsidR="00A3681D" w:rsidRPr="00DD00D3">
              <w:rPr>
                <w:rFonts w:cs="Arial"/>
                <w:color w:val="auto"/>
                <w:sz w:val="24"/>
                <w:szCs w:val="24"/>
              </w:rPr>
              <w:t>approval is granted by National Treasury</w:t>
            </w:r>
            <w:r w:rsidRPr="00DD00D3">
              <w:rPr>
                <w:rFonts w:cs="Arial"/>
                <w:color w:val="auto"/>
                <w:sz w:val="24"/>
                <w:szCs w:val="24"/>
              </w:rPr>
              <w:t>.</w:t>
            </w:r>
            <w:r w:rsidR="009F5751" w:rsidRPr="00DD00D3">
              <w:rPr>
                <w:rFonts w:cs="Arial"/>
                <w:color w:val="auto"/>
                <w:sz w:val="24"/>
                <w:szCs w:val="24"/>
              </w:rPr>
              <w:t xml:space="preserve"> </w:t>
            </w:r>
            <w:r w:rsidR="009F5751">
              <w:rPr>
                <w:rFonts w:cs="Arial"/>
                <w:color w:val="auto"/>
                <w:sz w:val="24"/>
                <w:szCs w:val="24"/>
              </w:rPr>
              <w:t>The virements will also be</w:t>
            </w:r>
            <w:r w:rsidR="009F5751" w:rsidRPr="00DD00D3">
              <w:rPr>
                <w:rFonts w:cs="Arial"/>
                <w:color w:val="auto"/>
                <w:sz w:val="24"/>
                <w:szCs w:val="24"/>
              </w:rPr>
              <w:t xml:space="preserve"> brought to the attention of the Committee for discussion during quarterly briefings.</w:t>
            </w:r>
          </w:p>
        </w:tc>
      </w:tr>
    </w:tbl>
    <w:p w:rsidR="000B1478" w:rsidRDefault="000B1478"/>
    <w:tbl>
      <w:tblPr>
        <w:tblStyle w:val="TableGrid"/>
        <w:tblW w:w="15134" w:type="dxa"/>
        <w:tblLook w:val="04A0"/>
      </w:tblPr>
      <w:tblGrid>
        <w:gridCol w:w="5382"/>
        <w:gridCol w:w="2693"/>
        <w:gridCol w:w="7059"/>
      </w:tblGrid>
      <w:tr w:rsidR="003562E8" w:rsidRPr="00DD00D3" w:rsidTr="005E68ED">
        <w:tc>
          <w:tcPr>
            <w:tcW w:w="5382" w:type="dxa"/>
            <w:shd w:val="clear" w:color="auto" w:fill="00B050"/>
          </w:tcPr>
          <w:p w:rsidR="003562E8" w:rsidRPr="00DD00D3" w:rsidRDefault="003562E8" w:rsidP="005E68ED">
            <w:pPr>
              <w:spacing w:line="360" w:lineRule="auto"/>
              <w:ind w:left="426"/>
              <w:jc w:val="both"/>
              <w:rPr>
                <w:rFonts w:cs="Arial"/>
                <w:color w:val="auto"/>
                <w:sz w:val="24"/>
                <w:szCs w:val="24"/>
              </w:rPr>
            </w:pPr>
            <w:r w:rsidRPr="00DD00D3">
              <w:rPr>
                <w:rFonts w:cs="Arial"/>
                <w:color w:val="auto"/>
                <w:sz w:val="24"/>
                <w:szCs w:val="24"/>
              </w:rPr>
              <w:br w:type="page"/>
            </w:r>
            <w:r w:rsidRPr="00DD00D3">
              <w:rPr>
                <w:rFonts w:cs="Arial"/>
                <w:color w:val="auto"/>
                <w:sz w:val="24"/>
                <w:szCs w:val="24"/>
              </w:rPr>
              <w:br w:type="page"/>
            </w:r>
            <w:r w:rsidRPr="00DD00D3">
              <w:rPr>
                <w:rFonts w:cs="Arial"/>
                <w:b/>
                <w:color w:val="auto"/>
                <w:sz w:val="24"/>
                <w:szCs w:val="24"/>
                <w:lang w:val="en-GB"/>
              </w:rPr>
              <w:t>BRRR RECOMMENDATION</w:t>
            </w:r>
          </w:p>
        </w:tc>
        <w:tc>
          <w:tcPr>
            <w:tcW w:w="2693" w:type="dxa"/>
            <w:shd w:val="clear" w:color="auto" w:fill="00B050"/>
          </w:tcPr>
          <w:p w:rsidR="003562E8" w:rsidRPr="00DD00D3" w:rsidRDefault="003562E8" w:rsidP="003562E8">
            <w:pPr>
              <w:spacing w:line="360" w:lineRule="auto"/>
              <w:ind w:left="66"/>
              <w:jc w:val="both"/>
              <w:rPr>
                <w:rFonts w:cs="Arial"/>
                <w:color w:val="auto"/>
                <w:sz w:val="24"/>
                <w:szCs w:val="24"/>
              </w:rPr>
            </w:pPr>
            <w:r w:rsidRPr="00DD00D3">
              <w:rPr>
                <w:rFonts w:cs="Arial"/>
                <w:b/>
                <w:color w:val="auto"/>
                <w:sz w:val="24"/>
                <w:szCs w:val="24"/>
              </w:rPr>
              <w:t>RESPONSIBILITY</w:t>
            </w:r>
          </w:p>
        </w:tc>
        <w:tc>
          <w:tcPr>
            <w:tcW w:w="7059" w:type="dxa"/>
            <w:shd w:val="clear" w:color="auto" w:fill="00B050"/>
          </w:tcPr>
          <w:p w:rsidR="003562E8" w:rsidRPr="00DD00D3" w:rsidRDefault="003562E8" w:rsidP="003562E8">
            <w:pPr>
              <w:spacing w:line="360" w:lineRule="auto"/>
              <w:jc w:val="both"/>
              <w:rPr>
                <w:rFonts w:cs="Arial"/>
                <w:color w:val="auto"/>
                <w:sz w:val="24"/>
                <w:szCs w:val="24"/>
              </w:rPr>
            </w:pPr>
            <w:r w:rsidRPr="00DD00D3">
              <w:rPr>
                <w:rFonts w:cs="Arial"/>
                <w:b/>
                <w:color w:val="auto"/>
                <w:sz w:val="24"/>
                <w:szCs w:val="24"/>
              </w:rPr>
              <w:t xml:space="preserve">STATUS as at end 30 OCTOBER </w:t>
            </w:r>
            <w:r w:rsidRPr="00DD00D3">
              <w:rPr>
                <w:rFonts w:cs="Arial"/>
                <w:b/>
                <w:color w:val="auto"/>
                <w:sz w:val="24"/>
                <w:szCs w:val="24"/>
                <w:lang w:val="en-GB"/>
              </w:rPr>
              <w:t>2019</w:t>
            </w:r>
          </w:p>
        </w:tc>
      </w:tr>
      <w:tr w:rsidR="000B1478" w:rsidRPr="00DD00D3" w:rsidTr="004F7048">
        <w:tc>
          <w:tcPr>
            <w:tcW w:w="15134" w:type="dxa"/>
            <w:gridSpan w:val="3"/>
          </w:tcPr>
          <w:p w:rsidR="000B1478" w:rsidRPr="00DD00D3" w:rsidRDefault="000B1478" w:rsidP="004A60C4">
            <w:pPr>
              <w:spacing w:line="360" w:lineRule="auto"/>
              <w:jc w:val="both"/>
              <w:rPr>
                <w:rFonts w:cs="Arial"/>
                <w:b/>
                <w:color w:val="auto"/>
                <w:sz w:val="24"/>
                <w:szCs w:val="24"/>
                <w:lang w:val="en-GB"/>
              </w:rPr>
            </w:pPr>
            <w:r w:rsidRPr="00DD00D3">
              <w:rPr>
                <w:rFonts w:cs="Arial"/>
                <w:b/>
                <w:color w:val="auto"/>
                <w:sz w:val="24"/>
                <w:szCs w:val="24"/>
                <w:lang w:val="en-GB"/>
              </w:rPr>
              <w:t>14.4 Internal control and risk management</w:t>
            </w:r>
          </w:p>
        </w:tc>
      </w:tr>
      <w:tr w:rsidR="00DD00D3" w:rsidRPr="00DD00D3" w:rsidTr="005E68ED">
        <w:tc>
          <w:tcPr>
            <w:tcW w:w="5382" w:type="dxa"/>
          </w:tcPr>
          <w:p w:rsidR="00A17CA6" w:rsidRPr="00DD00D3" w:rsidRDefault="00A17CA6" w:rsidP="004A60C4">
            <w:pPr>
              <w:numPr>
                <w:ilvl w:val="0"/>
                <w:numId w:val="12"/>
              </w:numPr>
              <w:spacing w:line="360" w:lineRule="auto"/>
              <w:ind w:left="426"/>
              <w:jc w:val="both"/>
              <w:rPr>
                <w:rFonts w:cs="Arial"/>
                <w:color w:val="auto"/>
                <w:sz w:val="24"/>
                <w:szCs w:val="24"/>
              </w:rPr>
            </w:pPr>
            <w:r w:rsidRPr="00DD00D3">
              <w:rPr>
                <w:rFonts w:cs="Arial"/>
                <w:color w:val="auto"/>
                <w:sz w:val="24"/>
                <w:szCs w:val="24"/>
                <w:lang w:val="en-GB"/>
              </w:rPr>
              <w:t xml:space="preserve">The </w:t>
            </w:r>
            <w:r w:rsidRPr="00DD00D3">
              <w:rPr>
                <w:rFonts w:cs="Arial"/>
                <w:color w:val="auto"/>
                <w:sz w:val="24"/>
                <w:szCs w:val="24"/>
              </w:rPr>
              <w:t>Committee recommends that t</w:t>
            </w:r>
            <w:r w:rsidRPr="00DD00D3">
              <w:rPr>
                <w:rFonts w:cs="Arial"/>
                <w:color w:val="auto"/>
                <w:sz w:val="24"/>
                <w:szCs w:val="24"/>
                <w:lang w:val="en-GB"/>
              </w:rPr>
              <w:t>he Department must provide the Committee with a detailed report on the implementation of risk management controls which should include the staffing structure, risk management systems, challenges identified and remedial action.</w:t>
            </w:r>
          </w:p>
        </w:tc>
        <w:tc>
          <w:tcPr>
            <w:tcW w:w="2693" w:type="dxa"/>
          </w:tcPr>
          <w:p w:rsidR="00A17CA6" w:rsidRPr="00DD00D3" w:rsidRDefault="00536892" w:rsidP="004A60C4">
            <w:pPr>
              <w:spacing w:line="360" w:lineRule="auto"/>
              <w:jc w:val="both"/>
              <w:rPr>
                <w:rFonts w:cs="Arial"/>
                <w:color w:val="auto"/>
                <w:sz w:val="24"/>
                <w:szCs w:val="24"/>
                <w:lang w:val="en-GB"/>
              </w:rPr>
            </w:pPr>
            <w:r w:rsidRPr="00DD00D3">
              <w:rPr>
                <w:rFonts w:cs="Arial"/>
                <w:color w:val="auto"/>
                <w:sz w:val="24"/>
                <w:szCs w:val="24"/>
                <w:lang w:val="en-GB"/>
              </w:rPr>
              <w:t>CD:ODG</w:t>
            </w:r>
          </w:p>
        </w:tc>
        <w:tc>
          <w:tcPr>
            <w:tcW w:w="7059" w:type="dxa"/>
          </w:tcPr>
          <w:p w:rsidR="00A17CA6" w:rsidRPr="00DD00D3" w:rsidRDefault="000527E9" w:rsidP="004A60C4">
            <w:pPr>
              <w:spacing w:line="360" w:lineRule="auto"/>
              <w:jc w:val="both"/>
              <w:rPr>
                <w:rFonts w:cs="Arial"/>
                <w:color w:val="auto"/>
                <w:sz w:val="24"/>
                <w:szCs w:val="24"/>
                <w:lang w:val="en-GB"/>
              </w:rPr>
            </w:pPr>
            <w:r w:rsidRPr="00DD00D3">
              <w:rPr>
                <w:rFonts w:cs="Arial"/>
                <w:color w:val="auto"/>
                <w:sz w:val="24"/>
                <w:szCs w:val="24"/>
                <w:lang w:val="en-GB"/>
              </w:rPr>
              <w:t xml:space="preserve">The Risk Mitigation report will be provided to the Portfolio Committee on a quarterly basis. </w:t>
            </w:r>
            <w:r w:rsidR="00813357">
              <w:rPr>
                <w:rFonts w:cs="Arial"/>
                <w:color w:val="auto"/>
                <w:sz w:val="24"/>
                <w:szCs w:val="24"/>
                <w:lang w:val="en-GB"/>
              </w:rPr>
              <w:t xml:space="preserve">It is included as an annexure to the Q2 Performance Information presentation of the department. </w:t>
            </w:r>
          </w:p>
        </w:tc>
      </w:tr>
      <w:tr w:rsidR="00DD00D3" w:rsidRPr="00DD00D3" w:rsidTr="005E68ED">
        <w:tc>
          <w:tcPr>
            <w:tcW w:w="5382" w:type="dxa"/>
          </w:tcPr>
          <w:p w:rsidR="00A17CA6" w:rsidRPr="00DD00D3" w:rsidRDefault="00A17CA6" w:rsidP="004A60C4">
            <w:pPr>
              <w:numPr>
                <w:ilvl w:val="0"/>
                <w:numId w:val="12"/>
              </w:numPr>
              <w:spacing w:line="360" w:lineRule="auto"/>
              <w:ind w:left="426"/>
              <w:jc w:val="both"/>
              <w:rPr>
                <w:rFonts w:cs="Arial"/>
                <w:color w:val="auto"/>
                <w:sz w:val="24"/>
                <w:szCs w:val="24"/>
              </w:rPr>
            </w:pPr>
            <w:r w:rsidRPr="00DD00D3">
              <w:rPr>
                <w:rFonts w:cs="Arial"/>
                <w:color w:val="auto"/>
                <w:sz w:val="24"/>
                <w:szCs w:val="24"/>
                <w:lang w:val="en-GB"/>
              </w:rPr>
              <w:t>The Committee concurs with the recommendation by the ARC on improving internal controls.</w:t>
            </w:r>
          </w:p>
        </w:tc>
        <w:tc>
          <w:tcPr>
            <w:tcW w:w="2693" w:type="dxa"/>
          </w:tcPr>
          <w:p w:rsidR="00A17CA6" w:rsidRPr="00DD00D3" w:rsidRDefault="00536892" w:rsidP="004A60C4">
            <w:pPr>
              <w:spacing w:line="360" w:lineRule="auto"/>
              <w:jc w:val="both"/>
              <w:rPr>
                <w:rFonts w:cs="Arial"/>
                <w:color w:val="auto"/>
                <w:sz w:val="24"/>
                <w:szCs w:val="24"/>
                <w:lang w:val="en-GB"/>
              </w:rPr>
            </w:pPr>
            <w:r w:rsidRPr="00DD00D3">
              <w:rPr>
                <w:rFonts w:cs="Arial"/>
                <w:color w:val="auto"/>
                <w:sz w:val="24"/>
                <w:szCs w:val="24"/>
                <w:lang w:val="en-GB"/>
              </w:rPr>
              <w:t>CD:ODG</w:t>
            </w:r>
          </w:p>
        </w:tc>
        <w:tc>
          <w:tcPr>
            <w:tcW w:w="7059" w:type="dxa"/>
          </w:tcPr>
          <w:p w:rsidR="00A17CA6" w:rsidRPr="00DD00D3" w:rsidRDefault="000527E9" w:rsidP="003C7C8F">
            <w:pPr>
              <w:spacing w:line="360" w:lineRule="auto"/>
              <w:jc w:val="both"/>
              <w:rPr>
                <w:rFonts w:cs="Arial"/>
                <w:color w:val="auto"/>
                <w:sz w:val="24"/>
                <w:szCs w:val="24"/>
                <w:lang w:val="en-GB"/>
              </w:rPr>
            </w:pPr>
            <w:r w:rsidRPr="00DD00D3">
              <w:rPr>
                <w:rFonts w:cs="Arial"/>
                <w:color w:val="auto"/>
                <w:sz w:val="24"/>
                <w:szCs w:val="24"/>
                <w:lang w:val="en-GB"/>
              </w:rPr>
              <w:t xml:space="preserve">The department is convening governance structures to monitor implementation of internal controls in existence and to monitor the areas that require more attention. </w:t>
            </w:r>
          </w:p>
        </w:tc>
      </w:tr>
      <w:tr w:rsidR="00DD00D3" w:rsidRPr="00DD00D3" w:rsidTr="005E68ED">
        <w:tc>
          <w:tcPr>
            <w:tcW w:w="5382" w:type="dxa"/>
          </w:tcPr>
          <w:p w:rsidR="00A17CA6" w:rsidRPr="00DD00D3" w:rsidRDefault="00A17CA6" w:rsidP="004A60C4">
            <w:pPr>
              <w:numPr>
                <w:ilvl w:val="0"/>
                <w:numId w:val="12"/>
              </w:numPr>
              <w:spacing w:line="360" w:lineRule="auto"/>
              <w:ind w:left="426"/>
              <w:jc w:val="both"/>
              <w:rPr>
                <w:rFonts w:cs="Arial"/>
                <w:color w:val="auto"/>
                <w:sz w:val="24"/>
                <w:szCs w:val="24"/>
              </w:rPr>
            </w:pPr>
            <w:r w:rsidRPr="00DD00D3">
              <w:rPr>
                <w:rFonts w:cs="Arial"/>
                <w:color w:val="auto"/>
                <w:sz w:val="24"/>
                <w:szCs w:val="24"/>
              </w:rPr>
              <w:t>The Committee requires the Department’s Audit and Risk Committee to brief the Committee in the 2</w:t>
            </w:r>
            <w:r w:rsidRPr="00DD00D3">
              <w:rPr>
                <w:rFonts w:cs="Arial"/>
                <w:color w:val="auto"/>
                <w:sz w:val="24"/>
                <w:szCs w:val="24"/>
                <w:vertAlign w:val="superscript"/>
              </w:rPr>
              <w:t>nd</w:t>
            </w:r>
            <w:r w:rsidRPr="00DD00D3">
              <w:rPr>
                <w:rFonts w:cs="Arial"/>
                <w:color w:val="auto"/>
                <w:sz w:val="24"/>
                <w:szCs w:val="24"/>
              </w:rPr>
              <w:t xml:space="preserve"> Quarter of 2019/20 (12 November 2019) on the challenges identified and recommendations made.</w:t>
            </w:r>
          </w:p>
        </w:tc>
        <w:tc>
          <w:tcPr>
            <w:tcW w:w="2693" w:type="dxa"/>
          </w:tcPr>
          <w:p w:rsidR="00A17CA6" w:rsidRPr="00DD00D3" w:rsidRDefault="00536892" w:rsidP="004A60C4">
            <w:pPr>
              <w:spacing w:line="360" w:lineRule="auto"/>
              <w:jc w:val="both"/>
              <w:rPr>
                <w:rFonts w:cs="Arial"/>
                <w:color w:val="auto"/>
                <w:sz w:val="24"/>
                <w:szCs w:val="24"/>
              </w:rPr>
            </w:pPr>
            <w:r w:rsidRPr="00DD00D3">
              <w:rPr>
                <w:rFonts w:cs="Arial"/>
                <w:color w:val="auto"/>
                <w:sz w:val="24"/>
                <w:szCs w:val="24"/>
              </w:rPr>
              <w:t>CD:ODG</w:t>
            </w:r>
          </w:p>
        </w:tc>
        <w:tc>
          <w:tcPr>
            <w:tcW w:w="7059" w:type="dxa"/>
          </w:tcPr>
          <w:p w:rsidR="00A17CA6" w:rsidRPr="00DD00D3" w:rsidRDefault="000527E9" w:rsidP="004A60C4">
            <w:pPr>
              <w:spacing w:line="360" w:lineRule="auto"/>
              <w:jc w:val="both"/>
              <w:rPr>
                <w:rFonts w:cs="Arial"/>
                <w:color w:val="auto"/>
                <w:sz w:val="24"/>
                <w:szCs w:val="24"/>
              </w:rPr>
            </w:pPr>
            <w:r w:rsidRPr="00DD00D3">
              <w:rPr>
                <w:rFonts w:cs="Arial"/>
                <w:color w:val="auto"/>
                <w:sz w:val="24"/>
                <w:szCs w:val="24"/>
              </w:rPr>
              <w:t xml:space="preserve">The Chair of the ARC is informed of the request by the Portfolio Committee. </w:t>
            </w:r>
          </w:p>
        </w:tc>
      </w:tr>
      <w:tr w:rsidR="00DD00D3" w:rsidRPr="00DD00D3" w:rsidTr="005E68ED">
        <w:tc>
          <w:tcPr>
            <w:tcW w:w="5382" w:type="dxa"/>
          </w:tcPr>
          <w:p w:rsidR="00A17CA6" w:rsidRPr="00DD00D3" w:rsidRDefault="00A17CA6" w:rsidP="004A60C4">
            <w:pPr>
              <w:numPr>
                <w:ilvl w:val="0"/>
                <w:numId w:val="12"/>
              </w:numPr>
              <w:spacing w:line="360" w:lineRule="auto"/>
              <w:ind w:left="426"/>
              <w:jc w:val="both"/>
              <w:rPr>
                <w:rFonts w:cs="Arial"/>
                <w:color w:val="auto"/>
                <w:sz w:val="24"/>
                <w:szCs w:val="24"/>
              </w:rPr>
            </w:pPr>
            <w:r w:rsidRPr="00DD00D3">
              <w:rPr>
                <w:rFonts w:cs="Arial"/>
                <w:color w:val="auto"/>
                <w:sz w:val="24"/>
                <w:szCs w:val="24"/>
              </w:rPr>
              <w:t>The Committee recommends that t</w:t>
            </w:r>
            <w:r w:rsidRPr="00DD00D3">
              <w:rPr>
                <w:rFonts w:cs="Arial"/>
                <w:color w:val="auto"/>
                <w:sz w:val="24"/>
                <w:szCs w:val="24"/>
                <w:lang w:val="en-GB"/>
              </w:rPr>
              <w:t xml:space="preserve">he </w:t>
            </w:r>
            <w:r w:rsidRPr="00DD00D3">
              <w:rPr>
                <w:rFonts w:cs="Arial"/>
                <w:color w:val="auto"/>
                <w:sz w:val="24"/>
                <w:szCs w:val="24"/>
              </w:rPr>
              <w:t xml:space="preserve">Department must provide the Committee with a detailed outline of the measures in place to strengthen internal control and risk management. </w:t>
            </w:r>
          </w:p>
        </w:tc>
        <w:tc>
          <w:tcPr>
            <w:tcW w:w="2693" w:type="dxa"/>
          </w:tcPr>
          <w:p w:rsidR="00A17CA6" w:rsidRPr="00DD00D3" w:rsidRDefault="00536892" w:rsidP="004A60C4">
            <w:pPr>
              <w:spacing w:line="360" w:lineRule="auto"/>
              <w:jc w:val="both"/>
              <w:rPr>
                <w:rFonts w:cs="Arial"/>
                <w:color w:val="auto"/>
                <w:sz w:val="24"/>
                <w:szCs w:val="24"/>
              </w:rPr>
            </w:pPr>
            <w:r w:rsidRPr="00DD00D3">
              <w:rPr>
                <w:rFonts w:cs="Arial"/>
                <w:color w:val="auto"/>
                <w:sz w:val="24"/>
                <w:szCs w:val="24"/>
              </w:rPr>
              <w:t>CD:ODG</w:t>
            </w:r>
          </w:p>
        </w:tc>
        <w:tc>
          <w:tcPr>
            <w:tcW w:w="7059" w:type="dxa"/>
          </w:tcPr>
          <w:p w:rsidR="002D0738" w:rsidRPr="00DD00D3" w:rsidRDefault="009F5751" w:rsidP="005E68ED">
            <w:pPr>
              <w:spacing w:line="360" w:lineRule="auto"/>
              <w:jc w:val="both"/>
              <w:rPr>
                <w:rFonts w:cs="Arial"/>
                <w:color w:val="auto"/>
                <w:sz w:val="24"/>
                <w:szCs w:val="24"/>
              </w:rPr>
            </w:pPr>
            <w:r>
              <w:rPr>
                <w:rFonts w:cs="Arial"/>
                <w:color w:val="auto"/>
                <w:sz w:val="24"/>
                <w:szCs w:val="24"/>
              </w:rPr>
              <w:t xml:space="preserve">In </w:t>
            </w:r>
            <w:r w:rsidRPr="00DD00D3">
              <w:rPr>
                <w:rFonts w:cs="Arial"/>
                <w:color w:val="auto"/>
                <w:sz w:val="24"/>
                <w:szCs w:val="24"/>
              </w:rPr>
              <w:t>strengthen</w:t>
            </w:r>
            <w:r>
              <w:rPr>
                <w:rFonts w:cs="Arial"/>
                <w:color w:val="auto"/>
                <w:sz w:val="24"/>
                <w:szCs w:val="24"/>
              </w:rPr>
              <w:t>ing</w:t>
            </w:r>
            <w:r w:rsidRPr="00DD00D3">
              <w:rPr>
                <w:rFonts w:cs="Arial"/>
                <w:color w:val="auto"/>
                <w:sz w:val="24"/>
                <w:szCs w:val="24"/>
              </w:rPr>
              <w:t xml:space="preserve"> inter</w:t>
            </w:r>
            <w:r w:rsidR="003562E8">
              <w:rPr>
                <w:rFonts w:cs="Arial"/>
                <w:color w:val="auto"/>
                <w:sz w:val="24"/>
                <w:szCs w:val="24"/>
              </w:rPr>
              <w:t>nal control and risk management,</w:t>
            </w:r>
            <w:r w:rsidRPr="00DD00D3">
              <w:rPr>
                <w:rFonts w:cs="Arial"/>
                <w:color w:val="auto"/>
                <w:sz w:val="24"/>
                <w:szCs w:val="24"/>
              </w:rPr>
              <w:t xml:space="preserve"> </w:t>
            </w:r>
            <w:r w:rsidR="003562E8">
              <w:rPr>
                <w:rFonts w:cs="Arial"/>
                <w:color w:val="auto"/>
                <w:sz w:val="24"/>
                <w:szCs w:val="24"/>
              </w:rPr>
              <w:t>senior m</w:t>
            </w:r>
            <w:r w:rsidR="000527E9" w:rsidRPr="00DD00D3">
              <w:rPr>
                <w:rFonts w:cs="Arial"/>
                <w:color w:val="auto"/>
                <w:sz w:val="24"/>
                <w:szCs w:val="24"/>
              </w:rPr>
              <w:t xml:space="preserve">anagement continues to perform risk mitigation controls and the report is included as an annexure to the presentation on a quarterly basis. </w:t>
            </w:r>
            <w:r w:rsidR="002D0738">
              <w:rPr>
                <w:rFonts w:cs="Arial"/>
                <w:color w:val="auto"/>
                <w:sz w:val="24"/>
                <w:szCs w:val="24"/>
              </w:rPr>
              <w:t xml:space="preserve">The recommendations of the AG audit outcome for the 2018/19 FY are currently being </w:t>
            </w:r>
            <w:r w:rsidR="002D0738">
              <w:rPr>
                <w:rFonts w:cs="Arial"/>
                <w:color w:val="auto"/>
                <w:sz w:val="24"/>
                <w:szCs w:val="24"/>
              </w:rPr>
              <w:lastRenderedPageBreak/>
              <w:t xml:space="preserve">utilised to strengthen policy and procedures in the department. This will avoid repeat findings and improve internal control within the department. </w:t>
            </w:r>
          </w:p>
        </w:tc>
      </w:tr>
      <w:tr w:rsidR="00DD00D3" w:rsidRPr="00DD00D3" w:rsidTr="005E68ED">
        <w:tc>
          <w:tcPr>
            <w:tcW w:w="5382" w:type="dxa"/>
          </w:tcPr>
          <w:p w:rsidR="00A17CA6" w:rsidRPr="00DD00D3" w:rsidRDefault="00A17CA6" w:rsidP="004A60C4">
            <w:pPr>
              <w:numPr>
                <w:ilvl w:val="0"/>
                <w:numId w:val="12"/>
              </w:numPr>
              <w:spacing w:line="360" w:lineRule="auto"/>
              <w:ind w:left="426"/>
              <w:jc w:val="both"/>
              <w:rPr>
                <w:rFonts w:cs="Arial"/>
                <w:color w:val="auto"/>
                <w:sz w:val="24"/>
                <w:szCs w:val="24"/>
              </w:rPr>
            </w:pPr>
            <w:r w:rsidRPr="00DD00D3">
              <w:rPr>
                <w:rFonts w:cs="Arial"/>
                <w:color w:val="auto"/>
                <w:sz w:val="24"/>
                <w:szCs w:val="24"/>
              </w:rPr>
              <w:lastRenderedPageBreak/>
              <w:t>The Committee recommends that t</w:t>
            </w:r>
            <w:r w:rsidRPr="00DD00D3">
              <w:rPr>
                <w:rFonts w:cs="Arial"/>
                <w:color w:val="auto"/>
                <w:sz w:val="24"/>
                <w:szCs w:val="24"/>
                <w:lang w:val="en-GB"/>
              </w:rPr>
              <w:t xml:space="preserve">he </w:t>
            </w:r>
            <w:r w:rsidRPr="00DD00D3">
              <w:rPr>
                <w:rFonts w:cs="Arial"/>
                <w:color w:val="auto"/>
                <w:sz w:val="24"/>
                <w:szCs w:val="24"/>
              </w:rPr>
              <w:t>Department should brief the Committee on risk mitigation measures it has applied to ensure that targets are reached within the core programmes.</w:t>
            </w:r>
          </w:p>
        </w:tc>
        <w:tc>
          <w:tcPr>
            <w:tcW w:w="2693" w:type="dxa"/>
          </w:tcPr>
          <w:p w:rsidR="00A17CA6" w:rsidRPr="00DD00D3" w:rsidRDefault="0073677B" w:rsidP="004A60C4">
            <w:pPr>
              <w:spacing w:line="360" w:lineRule="auto"/>
              <w:jc w:val="both"/>
              <w:rPr>
                <w:rFonts w:cs="Arial"/>
                <w:color w:val="auto"/>
                <w:sz w:val="24"/>
                <w:szCs w:val="24"/>
              </w:rPr>
            </w:pPr>
            <w:r w:rsidRPr="00DD00D3">
              <w:rPr>
                <w:rFonts w:cs="Arial"/>
                <w:color w:val="auto"/>
                <w:sz w:val="24"/>
                <w:szCs w:val="24"/>
              </w:rPr>
              <w:t>CD: ODG</w:t>
            </w:r>
          </w:p>
        </w:tc>
        <w:tc>
          <w:tcPr>
            <w:tcW w:w="7059" w:type="dxa"/>
          </w:tcPr>
          <w:p w:rsidR="00A17CA6" w:rsidRPr="00DD00D3" w:rsidRDefault="003562E8" w:rsidP="003C7C8F">
            <w:pPr>
              <w:spacing w:line="360" w:lineRule="auto"/>
              <w:jc w:val="both"/>
              <w:rPr>
                <w:rFonts w:cs="Arial"/>
                <w:color w:val="auto"/>
                <w:sz w:val="24"/>
                <w:szCs w:val="24"/>
              </w:rPr>
            </w:pPr>
            <w:r>
              <w:rPr>
                <w:rFonts w:cs="Arial"/>
                <w:color w:val="auto"/>
                <w:sz w:val="24"/>
                <w:szCs w:val="24"/>
              </w:rPr>
              <w:t xml:space="preserve">As part of risk mitigation measures in </w:t>
            </w:r>
            <w:r w:rsidRPr="00DD00D3">
              <w:rPr>
                <w:rFonts w:cs="Arial"/>
                <w:color w:val="auto"/>
                <w:sz w:val="24"/>
                <w:szCs w:val="24"/>
              </w:rPr>
              <w:t>ensur</w:t>
            </w:r>
            <w:r>
              <w:rPr>
                <w:rFonts w:cs="Arial"/>
                <w:color w:val="auto"/>
                <w:sz w:val="24"/>
                <w:szCs w:val="24"/>
              </w:rPr>
              <w:t>ing</w:t>
            </w:r>
            <w:r w:rsidRPr="00DD00D3">
              <w:rPr>
                <w:rFonts w:cs="Arial"/>
                <w:color w:val="auto"/>
                <w:sz w:val="24"/>
                <w:szCs w:val="24"/>
              </w:rPr>
              <w:t xml:space="preserve"> that targets are reached within the core programmes</w:t>
            </w:r>
            <w:r w:rsidR="003C7C8F">
              <w:rPr>
                <w:rFonts w:cs="Arial"/>
                <w:color w:val="auto"/>
                <w:sz w:val="24"/>
                <w:szCs w:val="24"/>
              </w:rPr>
              <w:t>,</w:t>
            </w:r>
            <w:r w:rsidRPr="00DD00D3">
              <w:rPr>
                <w:rFonts w:cs="Arial"/>
                <w:color w:val="auto"/>
                <w:sz w:val="24"/>
                <w:szCs w:val="24"/>
              </w:rPr>
              <w:t xml:space="preserve"> </w:t>
            </w:r>
            <w:r>
              <w:rPr>
                <w:rFonts w:cs="Arial"/>
                <w:color w:val="auto"/>
                <w:sz w:val="24"/>
                <w:szCs w:val="24"/>
              </w:rPr>
              <w:t>th</w:t>
            </w:r>
            <w:r w:rsidR="000527E9" w:rsidRPr="00DD00D3">
              <w:rPr>
                <w:rFonts w:cs="Arial"/>
                <w:color w:val="auto"/>
                <w:sz w:val="24"/>
                <w:szCs w:val="24"/>
              </w:rPr>
              <w:t xml:space="preserve">e department </w:t>
            </w:r>
            <w:r>
              <w:rPr>
                <w:rFonts w:cs="Arial"/>
                <w:color w:val="auto"/>
                <w:sz w:val="24"/>
                <w:szCs w:val="24"/>
              </w:rPr>
              <w:t>is reviewing its performance reporting policy</w:t>
            </w:r>
            <w:r w:rsidR="003C7C8F">
              <w:rPr>
                <w:rFonts w:cs="Arial"/>
                <w:color w:val="auto"/>
                <w:sz w:val="24"/>
                <w:szCs w:val="24"/>
              </w:rPr>
              <w:t xml:space="preserve"> and</w:t>
            </w:r>
            <w:r>
              <w:rPr>
                <w:rFonts w:cs="Arial"/>
                <w:color w:val="auto"/>
                <w:sz w:val="24"/>
                <w:szCs w:val="24"/>
              </w:rPr>
              <w:t xml:space="preserve"> its</w:t>
            </w:r>
            <w:r w:rsidR="00847920">
              <w:rPr>
                <w:rFonts w:cs="Arial"/>
                <w:color w:val="auto"/>
                <w:sz w:val="24"/>
                <w:szCs w:val="24"/>
              </w:rPr>
              <w:t xml:space="preserve"> </w:t>
            </w:r>
            <w:r>
              <w:rPr>
                <w:rFonts w:cs="Arial"/>
                <w:color w:val="auto"/>
                <w:sz w:val="24"/>
                <w:szCs w:val="24"/>
              </w:rPr>
              <w:t>standard operating procedures</w:t>
            </w:r>
            <w:r w:rsidR="003C7C8F">
              <w:rPr>
                <w:rFonts w:cs="Arial"/>
                <w:color w:val="auto"/>
                <w:sz w:val="24"/>
                <w:szCs w:val="24"/>
              </w:rPr>
              <w:t xml:space="preserve">. The department </w:t>
            </w:r>
            <w:r>
              <w:rPr>
                <w:rFonts w:cs="Arial"/>
                <w:color w:val="auto"/>
                <w:sz w:val="24"/>
                <w:szCs w:val="24"/>
              </w:rPr>
              <w:t xml:space="preserve">will  </w:t>
            </w:r>
            <w:r w:rsidR="000527E9" w:rsidRPr="00DD00D3">
              <w:rPr>
                <w:rFonts w:cs="Arial"/>
                <w:color w:val="auto"/>
                <w:sz w:val="24"/>
                <w:szCs w:val="24"/>
              </w:rPr>
              <w:t>track achievement</w:t>
            </w:r>
            <w:r w:rsidR="0073677B" w:rsidRPr="00DD00D3">
              <w:rPr>
                <w:rFonts w:cs="Arial"/>
                <w:color w:val="auto"/>
                <w:sz w:val="24"/>
                <w:szCs w:val="24"/>
              </w:rPr>
              <w:t xml:space="preserve"> of targets on a monthly basis.                                                                                                                                                                                                                                                                                                                                                                                                                                                                                                                                                                                                                                                                                                                                                                                 </w:t>
            </w:r>
          </w:p>
        </w:tc>
      </w:tr>
      <w:tr w:rsidR="00DD00D3" w:rsidRPr="00DD00D3" w:rsidTr="005E68ED">
        <w:tc>
          <w:tcPr>
            <w:tcW w:w="5382" w:type="dxa"/>
          </w:tcPr>
          <w:p w:rsidR="00A17CA6" w:rsidRPr="00DD00D3" w:rsidRDefault="00A17CA6" w:rsidP="004A60C4">
            <w:pPr>
              <w:spacing w:line="360" w:lineRule="auto"/>
              <w:jc w:val="both"/>
              <w:rPr>
                <w:rFonts w:cs="Arial"/>
                <w:b/>
                <w:color w:val="auto"/>
                <w:sz w:val="24"/>
                <w:szCs w:val="24"/>
                <w:lang w:val="en-GB"/>
              </w:rPr>
            </w:pPr>
            <w:r w:rsidRPr="00DD00D3">
              <w:rPr>
                <w:rFonts w:cs="Arial"/>
                <w:b/>
                <w:color w:val="auto"/>
                <w:sz w:val="24"/>
                <w:szCs w:val="24"/>
                <w:lang w:val="en-GB"/>
              </w:rPr>
              <w:t>14.5 AGSA &amp; Audit and Risk Committee</w:t>
            </w:r>
          </w:p>
        </w:tc>
        <w:tc>
          <w:tcPr>
            <w:tcW w:w="2693" w:type="dxa"/>
          </w:tcPr>
          <w:p w:rsidR="00A17CA6" w:rsidRPr="00DD00D3" w:rsidRDefault="00A17CA6" w:rsidP="004A60C4">
            <w:pPr>
              <w:spacing w:line="360" w:lineRule="auto"/>
              <w:jc w:val="both"/>
              <w:rPr>
                <w:rFonts w:cs="Arial"/>
                <w:b/>
                <w:color w:val="auto"/>
                <w:sz w:val="24"/>
                <w:szCs w:val="24"/>
                <w:lang w:val="en-GB"/>
              </w:rPr>
            </w:pPr>
          </w:p>
        </w:tc>
        <w:tc>
          <w:tcPr>
            <w:tcW w:w="7059" w:type="dxa"/>
          </w:tcPr>
          <w:p w:rsidR="00A17CA6" w:rsidRPr="00DD00D3" w:rsidRDefault="00A17CA6" w:rsidP="004A60C4">
            <w:pPr>
              <w:spacing w:line="360" w:lineRule="auto"/>
              <w:jc w:val="both"/>
              <w:rPr>
                <w:rFonts w:cs="Arial"/>
                <w:b/>
                <w:color w:val="auto"/>
                <w:sz w:val="24"/>
                <w:szCs w:val="24"/>
                <w:lang w:val="en-GB"/>
              </w:rPr>
            </w:pPr>
          </w:p>
        </w:tc>
      </w:tr>
      <w:tr w:rsidR="00DD00D3" w:rsidRPr="00DD00D3" w:rsidTr="005E68ED">
        <w:tc>
          <w:tcPr>
            <w:tcW w:w="5382" w:type="dxa"/>
          </w:tcPr>
          <w:p w:rsidR="00A17CA6" w:rsidRPr="00DD00D3" w:rsidRDefault="00A17CA6" w:rsidP="004A60C4">
            <w:pPr>
              <w:numPr>
                <w:ilvl w:val="0"/>
                <w:numId w:val="15"/>
              </w:numPr>
              <w:spacing w:line="360" w:lineRule="auto"/>
              <w:ind w:left="426"/>
              <w:jc w:val="both"/>
              <w:rPr>
                <w:rFonts w:cs="Arial"/>
                <w:color w:val="auto"/>
                <w:sz w:val="24"/>
                <w:szCs w:val="24"/>
                <w:lang w:val="en-GB"/>
              </w:rPr>
            </w:pPr>
            <w:r w:rsidRPr="00DD00D3">
              <w:rPr>
                <w:rFonts w:cs="Arial"/>
                <w:color w:val="auto"/>
                <w:sz w:val="24"/>
                <w:szCs w:val="24"/>
                <w:lang w:val="en-GB"/>
              </w:rPr>
              <w:t>The Audit and Risk Committee should continue to monitor the implementation of the AGSA recommendations, intervene when necessary with the senior management of the Department and report to the Committee on a quarterly basis in this regard. The Committee in turn will provide the ARC with feedback on the outcome of meetings held with the Department and what recommendations are expected to be implemented with specific time frames.</w:t>
            </w:r>
          </w:p>
        </w:tc>
        <w:tc>
          <w:tcPr>
            <w:tcW w:w="2693" w:type="dxa"/>
          </w:tcPr>
          <w:p w:rsidR="00A17CA6" w:rsidRPr="00DD00D3" w:rsidRDefault="00536892" w:rsidP="004A60C4">
            <w:pPr>
              <w:spacing w:line="360" w:lineRule="auto"/>
              <w:jc w:val="both"/>
              <w:rPr>
                <w:rFonts w:cs="Arial"/>
                <w:color w:val="auto"/>
                <w:sz w:val="24"/>
                <w:szCs w:val="24"/>
                <w:lang w:val="en-GB"/>
              </w:rPr>
            </w:pPr>
            <w:r w:rsidRPr="00DD00D3">
              <w:rPr>
                <w:rFonts w:cs="Arial"/>
                <w:color w:val="auto"/>
                <w:sz w:val="24"/>
                <w:szCs w:val="24"/>
                <w:lang w:val="en-GB"/>
              </w:rPr>
              <w:t>CD:ODG</w:t>
            </w:r>
          </w:p>
        </w:tc>
        <w:tc>
          <w:tcPr>
            <w:tcW w:w="7059" w:type="dxa"/>
          </w:tcPr>
          <w:p w:rsidR="00A17CA6" w:rsidRPr="00DD00D3" w:rsidRDefault="008A31B3" w:rsidP="004A60C4">
            <w:pPr>
              <w:spacing w:line="360" w:lineRule="auto"/>
              <w:jc w:val="both"/>
              <w:rPr>
                <w:rFonts w:cs="Arial"/>
                <w:color w:val="auto"/>
                <w:sz w:val="24"/>
                <w:szCs w:val="24"/>
                <w:lang w:val="en-GB"/>
              </w:rPr>
            </w:pPr>
            <w:r w:rsidRPr="00DD00D3">
              <w:rPr>
                <w:rFonts w:cs="Arial"/>
                <w:color w:val="auto"/>
                <w:sz w:val="24"/>
                <w:szCs w:val="24"/>
                <w:lang w:val="en-GB"/>
              </w:rPr>
              <w:t xml:space="preserve">The ARC continues to monitor the implementation of recommendations of </w:t>
            </w:r>
            <w:r w:rsidR="003C7C8F">
              <w:rPr>
                <w:rFonts w:cs="Arial"/>
                <w:color w:val="auto"/>
                <w:sz w:val="24"/>
                <w:szCs w:val="24"/>
                <w:lang w:val="en-GB"/>
              </w:rPr>
              <w:t xml:space="preserve">the </w:t>
            </w:r>
            <w:r w:rsidRPr="00DD00D3">
              <w:rPr>
                <w:rFonts w:cs="Arial"/>
                <w:color w:val="auto"/>
                <w:sz w:val="24"/>
                <w:szCs w:val="24"/>
                <w:lang w:val="en-GB"/>
              </w:rPr>
              <w:t xml:space="preserve">AGSA audit outcome of 2018/19 FY, this is a standing item on the ARC agenda. The Department is currently at 42% in resolving the findings. </w:t>
            </w:r>
          </w:p>
        </w:tc>
      </w:tr>
      <w:tr w:rsidR="00DD00D3" w:rsidRPr="00DD00D3" w:rsidTr="005E68ED">
        <w:tc>
          <w:tcPr>
            <w:tcW w:w="5382" w:type="dxa"/>
          </w:tcPr>
          <w:p w:rsidR="00A17CA6" w:rsidRPr="00DD00D3" w:rsidRDefault="00A17CA6" w:rsidP="004A60C4">
            <w:pPr>
              <w:numPr>
                <w:ilvl w:val="0"/>
                <w:numId w:val="15"/>
              </w:numPr>
              <w:spacing w:line="360" w:lineRule="auto"/>
              <w:ind w:left="426"/>
              <w:jc w:val="both"/>
              <w:rPr>
                <w:rFonts w:cs="Arial"/>
                <w:color w:val="auto"/>
                <w:sz w:val="24"/>
                <w:szCs w:val="24"/>
                <w:lang w:val="en-GB"/>
              </w:rPr>
            </w:pPr>
            <w:r w:rsidRPr="00DD00D3">
              <w:rPr>
                <w:rFonts w:cs="Arial"/>
                <w:color w:val="auto"/>
                <w:sz w:val="24"/>
                <w:szCs w:val="24"/>
                <w:lang w:val="en-GB"/>
              </w:rPr>
              <w:t xml:space="preserve">ARC to submit its quarterly reports to the Committee for consideration after every </w:t>
            </w:r>
            <w:r w:rsidRPr="00DD00D3">
              <w:rPr>
                <w:rFonts w:cs="Arial"/>
                <w:color w:val="auto"/>
                <w:sz w:val="24"/>
                <w:szCs w:val="24"/>
                <w:lang w:val="en-GB"/>
              </w:rPr>
              <w:lastRenderedPageBreak/>
              <w:t xml:space="preserve">meeting it has with the Department. </w:t>
            </w:r>
          </w:p>
        </w:tc>
        <w:tc>
          <w:tcPr>
            <w:tcW w:w="2693" w:type="dxa"/>
          </w:tcPr>
          <w:p w:rsidR="00A17CA6" w:rsidRPr="00DD00D3" w:rsidRDefault="00536892" w:rsidP="004A60C4">
            <w:pPr>
              <w:spacing w:line="360" w:lineRule="auto"/>
              <w:jc w:val="both"/>
              <w:rPr>
                <w:rFonts w:cs="Arial"/>
                <w:color w:val="auto"/>
                <w:sz w:val="24"/>
                <w:szCs w:val="24"/>
                <w:lang w:val="en-GB"/>
              </w:rPr>
            </w:pPr>
            <w:r w:rsidRPr="00DD00D3">
              <w:rPr>
                <w:rFonts w:cs="Arial"/>
                <w:color w:val="auto"/>
                <w:sz w:val="24"/>
                <w:szCs w:val="24"/>
                <w:lang w:val="en-GB"/>
              </w:rPr>
              <w:lastRenderedPageBreak/>
              <w:t>CD:ODG</w:t>
            </w:r>
          </w:p>
        </w:tc>
        <w:tc>
          <w:tcPr>
            <w:tcW w:w="7059" w:type="dxa"/>
          </w:tcPr>
          <w:p w:rsidR="00A17CA6" w:rsidRPr="00DD00D3" w:rsidRDefault="00B5646D" w:rsidP="004A60C4">
            <w:pPr>
              <w:spacing w:line="360" w:lineRule="auto"/>
              <w:jc w:val="both"/>
              <w:rPr>
                <w:rFonts w:cs="Arial"/>
                <w:color w:val="auto"/>
                <w:sz w:val="24"/>
                <w:szCs w:val="24"/>
                <w:lang w:val="en-GB"/>
              </w:rPr>
            </w:pPr>
            <w:r>
              <w:rPr>
                <w:rFonts w:cs="Arial"/>
                <w:color w:val="auto"/>
                <w:sz w:val="24"/>
                <w:szCs w:val="24"/>
                <w:lang w:val="en-GB"/>
              </w:rPr>
              <w:t>T</w:t>
            </w:r>
            <w:r w:rsidR="008A31B3" w:rsidRPr="00DD00D3">
              <w:rPr>
                <w:rFonts w:cs="Arial"/>
                <w:color w:val="auto"/>
                <w:sz w:val="24"/>
                <w:szCs w:val="24"/>
                <w:lang w:val="en-GB"/>
              </w:rPr>
              <w:t>he reports of the ARC will be submitted to the PC quarterly</w:t>
            </w:r>
            <w:r>
              <w:rPr>
                <w:rFonts w:cs="Arial"/>
                <w:color w:val="auto"/>
                <w:sz w:val="24"/>
                <w:szCs w:val="24"/>
                <w:lang w:val="en-GB"/>
              </w:rPr>
              <w:t xml:space="preserve"> as recommended</w:t>
            </w:r>
            <w:r w:rsidR="008A31B3" w:rsidRPr="00DD00D3">
              <w:rPr>
                <w:rFonts w:cs="Arial"/>
                <w:color w:val="auto"/>
                <w:sz w:val="24"/>
                <w:szCs w:val="24"/>
                <w:lang w:val="en-GB"/>
              </w:rPr>
              <w:t xml:space="preserve">. </w:t>
            </w:r>
          </w:p>
        </w:tc>
      </w:tr>
      <w:tr w:rsidR="00DD00D3" w:rsidRPr="00DD00D3" w:rsidTr="005E68ED">
        <w:tc>
          <w:tcPr>
            <w:tcW w:w="5382" w:type="dxa"/>
          </w:tcPr>
          <w:p w:rsidR="00A17CA6" w:rsidRPr="00DD00D3" w:rsidRDefault="00A17CA6" w:rsidP="004A60C4">
            <w:pPr>
              <w:spacing w:line="360" w:lineRule="auto"/>
              <w:jc w:val="both"/>
              <w:rPr>
                <w:rFonts w:cs="Arial"/>
                <w:b/>
                <w:color w:val="auto"/>
                <w:sz w:val="24"/>
                <w:szCs w:val="24"/>
                <w:lang w:val="en-GB"/>
              </w:rPr>
            </w:pPr>
          </w:p>
        </w:tc>
        <w:tc>
          <w:tcPr>
            <w:tcW w:w="2693" w:type="dxa"/>
          </w:tcPr>
          <w:p w:rsidR="00A17CA6" w:rsidRPr="00DD00D3" w:rsidRDefault="00A17CA6" w:rsidP="004A60C4">
            <w:pPr>
              <w:spacing w:line="360" w:lineRule="auto"/>
              <w:jc w:val="both"/>
              <w:rPr>
                <w:rFonts w:cs="Arial"/>
                <w:b/>
                <w:color w:val="auto"/>
                <w:sz w:val="24"/>
                <w:szCs w:val="24"/>
                <w:lang w:val="en-GB"/>
              </w:rPr>
            </w:pPr>
          </w:p>
        </w:tc>
        <w:tc>
          <w:tcPr>
            <w:tcW w:w="7059" w:type="dxa"/>
          </w:tcPr>
          <w:p w:rsidR="00A17CA6" w:rsidRPr="00DD00D3" w:rsidRDefault="00A17CA6" w:rsidP="004A60C4">
            <w:pPr>
              <w:spacing w:line="360" w:lineRule="auto"/>
              <w:jc w:val="both"/>
              <w:rPr>
                <w:rFonts w:cs="Arial"/>
                <w:b/>
                <w:color w:val="auto"/>
                <w:sz w:val="24"/>
                <w:szCs w:val="24"/>
                <w:lang w:val="en-GB"/>
              </w:rPr>
            </w:pPr>
          </w:p>
        </w:tc>
      </w:tr>
      <w:tr w:rsidR="00DD00D3" w:rsidRPr="00DD00D3" w:rsidTr="005E68ED">
        <w:tc>
          <w:tcPr>
            <w:tcW w:w="5382" w:type="dxa"/>
          </w:tcPr>
          <w:p w:rsidR="00A17CA6" w:rsidRPr="00DD00D3" w:rsidRDefault="00A17CA6" w:rsidP="004A60C4">
            <w:pPr>
              <w:spacing w:line="360" w:lineRule="auto"/>
              <w:jc w:val="both"/>
              <w:rPr>
                <w:rFonts w:cs="Arial"/>
                <w:b/>
                <w:color w:val="auto"/>
                <w:sz w:val="24"/>
                <w:szCs w:val="24"/>
                <w:lang w:val="en-GB"/>
              </w:rPr>
            </w:pPr>
            <w:r w:rsidRPr="00DD00D3">
              <w:rPr>
                <w:rFonts w:cs="Arial"/>
                <w:b/>
                <w:color w:val="auto"/>
                <w:sz w:val="24"/>
                <w:szCs w:val="24"/>
                <w:lang w:val="en-GB"/>
              </w:rPr>
              <w:t>14.6 Human Resource</w:t>
            </w:r>
          </w:p>
        </w:tc>
        <w:tc>
          <w:tcPr>
            <w:tcW w:w="2693" w:type="dxa"/>
          </w:tcPr>
          <w:p w:rsidR="00A17CA6" w:rsidRPr="00DD00D3" w:rsidRDefault="00A17CA6" w:rsidP="004A60C4">
            <w:pPr>
              <w:spacing w:line="360" w:lineRule="auto"/>
              <w:jc w:val="both"/>
              <w:rPr>
                <w:rFonts w:cs="Arial"/>
                <w:b/>
                <w:color w:val="auto"/>
                <w:sz w:val="24"/>
                <w:szCs w:val="24"/>
                <w:lang w:val="en-GB"/>
              </w:rPr>
            </w:pPr>
          </w:p>
        </w:tc>
        <w:tc>
          <w:tcPr>
            <w:tcW w:w="7059" w:type="dxa"/>
          </w:tcPr>
          <w:p w:rsidR="00A17CA6" w:rsidRPr="00DD00D3" w:rsidRDefault="00A17CA6" w:rsidP="004A60C4">
            <w:pPr>
              <w:spacing w:line="360" w:lineRule="auto"/>
              <w:jc w:val="both"/>
              <w:rPr>
                <w:rFonts w:cs="Arial"/>
                <w:b/>
                <w:color w:val="auto"/>
                <w:sz w:val="24"/>
                <w:szCs w:val="24"/>
                <w:lang w:val="en-GB"/>
              </w:rPr>
            </w:pPr>
          </w:p>
        </w:tc>
      </w:tr>
      <w:tr w:rsidR="00873E14" w:rsidRPr="00DD00D3" w:rsidTr="005E68ED">
        <w:tc>
          <w:tcPr>
            <w:tcW w:w="5382" w:type="dxa"/>
          </w:tcPr>
          <w:p w:rsidR="00873E14" w:rsidRPr="00DD00D3" w:rsidRDefault="00873E14" w:rsidP="004A60C4">
            <w:pPr>
              <w:numPr>
                <w:ilvl w:val="0"/>
                <w:numId w:val="13"/>
              </w:numPr>
              <w:spacing w:line="360" w:lineRule="auto"/>
              <w:ind w:left="426"/>
              <w:jc w:val="both"/>
              <w:rPr>
                <w:rFonts w:cs="Arial"/>
                <w:color w:val="auto"/>
                <w:sz w:val="24"/>
                <w:szCs w:val="24"/>
                <w:lang w:val="en-GB"/>
              </w:rPr>
            </w:pPr>
            <w:r w:rsidRPr="00DD00D3">
              <w:rPr>
                <w:rFonts w:cs="Arial"/>
                <w:color w:val="auto"/>
                <w:sz w:val="24"/>
                <w:szCs w:val="24"/>
                <w:lang w:val="en-GB"/>
              </w:rPr>
              <w:t>Organogram: The Committee requests the Department submit a detailed organogram for the Department which clearly indicates funded, unfunded positions, posts established in addition to the establishment per programme to clearly illustrate what the capacity constraints are.</w:t>
            </w:r>
          </w:p>
        </w:tc>
        <w:tc>
          <w:tcPr>
            <w:tcW w:w="2693"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CD:CM</w:t>
            </w:r>
          </w:p>
        </w:tc>
        <w:tc>
          <w:tcPr>
            <w:tcW w:w="7059" w:type="dxa"/>
          </w:tcPr>
          <w:p w:rsidR="00873E14" w:rsidRPr="00F547B2" w:rsidRDefault="003C7C8F" w:rsidP="004222CF">
            <w:pPr>
              <w:spacing w:line="360" w:lineRule="auto"/>
              <w:jc w:val="both"/>
              <w:rPr>
                <w:rFonts w:cs="Arial"/>
                <w:sz w:val="24"/>
                <w:szCs w:val="24"/>
                <w:lang w:val="en-GB"/>
              </w:rPr>
            </w:pPr>
            <w:r>
              <w:rPr>
                <w:rFonts w:cs="Arial"/>
                <w:sz w:val="24"/>
                <w:szCs w:val="24"/>
                <w:lang w:val="en-GB"/>
              </w:rPr>
              <w:t xml:space="preserve">The </w:t>
            </w:r>
            <w:r w:rsidR="00873E14" w:rsidRPr="00F547B2">
              <w:rPr>
                <w:rFonts w:cs="Arial"/>
                <w:sz w:val="24"/>
                <w:szCs w:val="24"/>
                <w:lang w:val="en-GB"/>
              </w:rPr>
              <w:t xml:space="preserve">Start-Up organisational structure is attached which received concurrence from the MPSA on 04 October 2019, indicating the status of filled and vacant funded posts. </w:t>
            </w:r>
          </w:p>
        </w:tc>
      </w:tr>
      <w:tr w:rsidR="00873E14" w:rsidRPr="00DD00D3" w:rsidTr="005E68ED">
        <w:tc>
          <w:tcPr>
            <w:tcW w:w="5382" w:type="dxa"/>
          </w:tcPr>
          <w:p w:rsidR="00873E14" w:rsidRPr="00DD00D3" w:rsidRDefault="00873E14" w:rsidP="004A60C4">
            <w:pPr>
              <w:numPr>
                <w:ilvl w:val="0"/>
                <w:numId w:val="13"/>
              </w:numPr>
              <w:spacing w:line="360" w:lineRule="auto"/>
              <w:ind w:left="426"/>
              <w:jc w:val="both"/>
              <w:rPr>
                <w:rFonts w:cs="Arial"/>
                <w:b/>
                <w:color w:val="auto"/>
                <w:sz w:val="24"/>
                <w:szCs w:val="24"/>
                <w:lang w:val="en-GB"/>
              </w:rPr>
            </w:pPr>
            <w:r w:rsidRPr="00DD00D3">
              <w:rPr>
                <w:rFonts w:cs="Arial"/>
                <w:color w:val="auto"/>
                <w:sz w:val="24"/>
                <w:szCs w:val="24"/>
                <w:lang w:val="en-GB"/>
              </w:rPr>
              <w:t xml:space="preserve">Vacancies: All key funded vacancies should be filled within the specified time allocation, in instances where this is not complied with, the Department should clearly identify within the quarterly reports to the Committee reasons for failure to comply and remedial action taken. </w:t>
            </w:r>
            <w:r w:rsidRPr="00DD00D3">
              <w:rPr>
                <w:rFonts w:cs="Arial"/>
                <w:color w:val="auto"/>
                <w:sz w:val="24"/>
                <w:szCs w:val="24"/>
              </w:rPr>
              <w:t xml:space="preserve">The Committee recommends that all vacancies, including acting positions, especially those in which the incumbent is on longstanding suspension, should be filled permanently in the next six months – </w:t>
            </w:r>
            <w:r w:rsidRPr="00DD00D3">
              <w:rPr>
                <w:rFonts w:cs="Arial"/>
                <w:color w:val="auto"/>
                <w:sz w:val="24"/>
                <w:szCs w:val="24"/>
              </w:rPr>
              <w:lastRenderedPageBreak/>
              <w:t>positions to be prioritised for the permanent appointment of the DG, Finance, SCM, Internal Audit and ICT as well as the core programmes. The Department should provide quarterly reports on this to the Committee.</w:t>
            </w:r>
          </w:p>
        </w:tc>
        <w:tc>
          <w:tcPr>
            <w:tcW w:w="2693"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lastRenderedPageBreak/>
              <w:t>CD:CM</w:t>
            </w:r>
          </w:p>
        </w:tc>
        <w:tc>
          <w:tcPr>
            <w:tcW w:w="7059" w:type="dxa"/>
          </w:tcPr>
          <w:p w:rsidR="00873E14" w:rsidRPr="00F547B2" w:rsidRDefault="00873E14" w:rsidP="004A60C4">
            <w:pPr>
              <w:spacing w:line="360" w:lineRule="auto"/>
              <w:jc w:val="both"/>
              <w:rPr>
                <w:rFonts w:cs="Arial"/>
                <w:color w:val="auto"/>
                <w:spacing w:val="0"/>
                <w:sz w:val="24"/>
                <w:szCs w:val="24"/>
                <w:lang w:eastAsia="en-US"/>
              </w:rPr>
            </w:pPr>
            <w:r w:rsidRPr="00F547B2">
              <w:rPr>
                <w:rFonts w:cs="Arial"/>
                <w:sz w:val="24"/>
                <w:szCs w:val="24"/>
              </w:rPr>
              <w:t>While a moratorium has been placed on the filling of posts of Director-General and Administration functions in those departments affected by the NMOG process, a lack of available funding does not allow for the filling of other posts in the Department at this stage. The budgetary constraints are attributed to a request to NT being declined for additional funding through the AENE process due to unavoidable and unforeseen circumstances.</w:t>
            </w:r>
          </w:p>
          <w:p w:rsidR="00873E14" w:rsidRPr="00F547B2" w:rsidRDefault="00873E14" w:rsidP="004A60C4">
            <w:pPr>
              <w:spacing w:line="360" w:lineRule="auto"/>
              <w:jc w:val="both"/>
              <w:rPr>
                <w:rFonts w:cs="Arial"/>
                <w:sz w:val="24"/>
                <w:szCs w:val="24"/>
              </w:rPr>
            </w:pPr>
          </w:p>
          <w:p w:rsidR="00873E14" w:rsidRPr="00F547B2" w:rsidRDefault="00873E14" w:rsidP="004A60C4">
            <w:pPr>
              <w:spacing w:line="360" w:lineRule="auto"/>
              <w:jc w:val="both"/>
              <w:rPr>
                <w:rFonts w:cs="Arial"/>
                <w:sz w:val="24"/>
                <w:szCs w:val="24"/>
                <w:lang w:val="en-GB"/>
              </w:rPr>
            </w:pPr>
            <w:r w:rsidRPr="00F547B2">
              <w:rPr>
                <w:rFonts w:cs="Arial"/>
                <w:sz w:val="24"/>
                <w:szCs w:val="24"/>
              </w:rPr>
              <w:t>Continual consideration shall be given to the filling of vacancies based on the availability of funding through the course of the financial year.</w:t>
            </w:r>
          </w:p>
        </w:tc>
      </w:tr>
      <w:tr w:rsidR="00873E14" w:rsidRPr="00DD00D3" w:rsidTr="005E68ED">
        <w:tc>
          <w:tcPr>
            <w:tcW w:w="5382" w:type="dxa"/>
          </w:tcPr>
          <w:p w:rsidR="00873E14" w:rsidRPr="00DD00D3" w:rsidRDefault="00873E14" w:rsidP="004A60C4">
            <w:pPr>
              <w:numPr>
                <w:ilvl w:val="0"/>
                <w:numId w:val="13"/>
              </w:numPr>
              <w:spacing w:line="360" w:lineRule="auto"/>
              <w:ind w:left="426"/>
              <w:jc w:val="both"/>
              <w:rPr>
                <w:rFonts w:cs="Arial"/>
                <w:color w:val="auto"/>
                <w:sz w:val="24"/>
                <w:szCs w:val="24"/>
                <w:lang w:val="en-GB"/>
              </w:rPr>
            </w:pPr>
            <w:r w:rsidRPr="00DD00D3">
              <w:rPr>
                <w:rFonts w:cs="Arial"/>
                <w:color w:val="auto"/>
                <w:sz w:val="24"/>
                <w:szCs w:val="24"/>
                <w:lang w:val="en-GB"/>
              </w:rPr>
              <w:lastRenderedPageBreak/>
              <w:t>Resignations/Dismissals/Termination of contracts: The Committee recommends that the Department provide a written report on the reasons for dismissal of staff, resignations, termination of contracts and its subsequent impact on service delivery. A contingency plan should also be developed to focus on staff retention.</w:t>
            </w:r>
          </w:p>
        </w:tc>
        <w:tc>
          <w:tcPr>
            <w:tcW w:w="2693"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CD:CM</w:t>
            </w:r>
          </w:p>
        </w:tc>
        <w:tc>
          <w:tcPr>
            <w:tcW w:w="7059" w:type="dxa"/>
          </w:tcPr>
          <w:p w:rsidR="00873E14" w:rsidRPr="00F547B2" w:rsidRDefault="00873E14" w:rsidP="004A60C4">
            <w:pPr>
              <w:spacing w:line="360" w:lineRule="auto"/>
              <w:jc w:val="both"/>
              <w:rPr>
                <w:rFonts w:cs="Arial"/>
                <w:color w:val="auto"/>
                <w:sz w:val="24"/>
                <w:szCs w:val="24"/>
                <w:lang w:val="en-GB"/>
              </w:rPr>
            </w:pPr>
            <w:r w:rsidRPr="00F547B2">
              <w:rPr>
                <w:rFonts w:cs="Arial"/>
                <w:color w:val="auto"/>
                <w:sz w:val="24"/>
                <w:szCs w:val="24"/>
                <w:lang w:val="en-GB"/>
              </w:rPr>
              <w:t>For the period 01 April 2019 to 30 September 2019, there have been 09 termination of services-</w:t>
            </w:r>
          </w:p>
          <w:p w:rsidR="00873E14" w:rsidRPr="00F547B2" w:rsidRDefault="00873E14" w:rsidP="004A60C4">
            <w:pPr>
              <w:pStyle w:val="ListParagraph"/>
              <w:numPr>
                <w:ilvl w:val="0"/>
                <w:numId w:val="24"/>
              </w:numPr>
              <w:spacing w:line="360" w:lineRule="auto"/>
              <w:jc w:val="both"/>
              <w:rPr>
                <w:rFonts w:cs="Arial"/>
                <w:color w:val="auto"/>
                <w:sz w:val="24"/>
                <w:szCs w:val="24"/>
                <w:lang w:val="en-GB"/>
              </w:rPr>
            </w:pPr>
            <w:r w:rsidRPr="00F547B2">
              <w:rPr>
                <w:rFonts w:cs="Arial"/>
                <w:color w:val="auto"/>
                <w:sz w:val="24"/>
                <w:szCs w:val="24"/>
                <w:lang w:val="en-GB"/>
              </w:rPr>
              <w:t>1 resignation;</w:t>
            </w:r>
          </w:p>
          <w:p w:rsidR="00873E14" w:rsidRPr="00F547B2" w:rsidRDefault="00873E14" w:rsidP="004A60C4">
            <w:pPr>
              <w:pStyle w:val="ListParagraph"/>
              <w:numPr>
                <w:ilvl w:val="0"/>
                <w:numId w:val="24"/>
              </w:numPr>
              <w:spacing w:line="360" w:lineRule="auto"/>
              <w:jc w:val="both"/>
              <w:rPr>
                <w:rFonts w:cs="Arial"/>
                <w:color w:val="auto"/>
                <w:sz w:val="24"/>
                <w:szCs w:val="24"/>
                <w:lang w:val="en-GB"/>
              </w:rPr>
            </w:pPr>
            <w:r w:rsidRPr="00F547B2">
              <w:rPr>
                <w:rFonts w:cs="Arial"/>
                <w:color w:val="auto"/>
                <w:sz w:val="24"/>
                <w:szCs w:val="24"/>
                <w:lang w:val="en-GB"/>
              </w:rPr>
              <w:t>8 expiry of fixed-term contracts.</w:t>
            </w:r>
          </w:p>
          <w:p w:rsidR="00873E14" w:rsidRPr="00F547B2" w:rsidRDefault="00873E14" w:rsidP="004A60C4">
            <w:pPr>
              <w:spacing w:line="360" w:lineRule="auto"/>
              <w:jc w:val="both"/>
              <w:rPr>
                <w:rFonts w:cs="Arial"/>
                <w:color w:val="auto"/>
                <w:sz w:val="24"/>
                <w:szCs w:val="24"/>
                <w:lang w:val="en-GB"/>
              </w:rPr>
            </w:pPr>
          </w:p>
          <w:p w:rsidR="00873E14" w:rsidRPr="00F547B2" w:rsidRDefault="00873E14" w:rsidP="004A60C4">
            <w:pPr>
              <w:spacing w:line="360" w:lineRule="auto"/>
              <w:jc w:val="both"/>
              <w:rPr>
                <w:rFonts w:cs="Arial"/>
                <w:sz w:val="24"/>
                <w:szCs w:val="24"/>
                <w:lang w:val="en-GB"/>
              </w:rPr>
            </w:pPr>
            <w:r w:rsidRPr="00F547B2">
              <w:rPr>
                <w:rFonts w:cs="Arial"/>
                <w:color w:val="auto"/>
                <w:sz w:val="24"/>
                <w:szCs w:val="24"/>
                <w:lang w:val="en-GB"/>
              </w:rPr>
              <w:t>None of the terminations had a material adverse impact on service delivery.</w:t>
            </w:r>
          </w:p>
        </w:tc>
      </w:tr>
      <w:tr w:rsidR="00873E14" w:rsidRPr="00DD00D3" w:rsidTr="005E68ED">
        <w:tc>
          <w:tcPr>
            <w:tcW w:w="5382" w:type="dxa"/>
          </w:tcPr>
          <w:p w:rsidR="00873E14" w:rsidRPr="00DD00D3" w:rsidRDefault="00873E14" w:rsidP="004A60C4">
            <w:pPr>
              <w:numPr>
                <w:ilvl w:val="0"/>
                <w:numId w:val="13"/>
              </w:numPr>
              <w:spacing w:line="360" w:lineRule="auto"/>
              <w:ind w:left="426"/>
              <w:jc w:val="both"/>
              <w:rPr>
                <w:rFonts w:cs="Arial"/>
                <w:color w:val="auto"/>
                <w:sz w:val="24"/>
                <w:szCs w:val="24"/>
                <w:lang w:val="en-GB"/>
              </w:rPr>
            </w:pPr>
            <w:r w:rsidRPr="00DD00D3">
              <w:rPr>
                <w:rFonts w:cs="Arial"/>
                <w:color w:val="auto"/>
                <w:sz w:val="24"/>
                <w:szCs w:val="24"/>
                <w:lang w:val="en-GB"/>
              </w:rPr>
              <w:t xml:space="preserve">Performance management: The Committee recommends that the heads of Programme 2 and 3 provide quarterly reports of consequence management for the non-delivery of targets with a clear indication of the remedial action implemented. Each programme and sub-programme will be required to present </w:t>
            </w:r>
            <w:r w:rsidRPr="00DD00D3">
              <w:rPr>
                <w:rFonts w:cs="Arial"/>
                <w:color w:val="auto"/>
                <w:sz w:val="24"/>
                <w:szCs w:val="24"/>
                <w:lang w:val="en-GB"/>
              </w:rPr>
              <w:lastRenderedPageBreak/>
              <w:t>progress to the Committee on a quarterly basis.</w:t>
            </w:r>
          </w:p>
        </w:tc>
        <w:tc>
          <w:tcPr>
            <w:tcW w:w="2693"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lastRenderedPageBreak/>
              <w:t>CD:CM</w:t>
            </w:r>
          </w:p>
        </w:tc>
        <w:tc>
          <w:tcPr>
            <w:tcW w:w="7059" w:type="dxa"/>
          </w:tcPr>
          <w:p w:rsidR="00873E14" w:rsidRPr="00F547B2" w:rsidRDefault="00873E14" w:rsidP="004A60C4">
            <w:pPr>
              <w:spacing w:line="360" w:lineRule="auto"/>
              <w:jc w:val="both"/>
              <w:rPr>
                <w:rFonts w:cs="Arial"/>
                <w:sz w:val="24"/>
                <w:szCs w:val="24"/>
                <w:lang w:val="en-GB"/>
              </w:rPr>
            </w:pPr>
            <w:r w:rsidRPr="00F547B2">
              <w:rPr>
                <w:rFonts w:cs="Arial"/>
                <w:color w:val="auto"/>
                <w:sz w:val="24"/>
                <w:szCs w:val="24"/>
              </w:rPr>
              <w:t xml:space="preserve">Reports on SMS members’ possible poor performance </w:t>
            </w:r>
            <w:r w:rsidR="00CF73DF">
              <w:rPr>
                <w:rFonts w:cs="Arial"/>
                <w:color w:val="auto"/>
                <w:sz w:val="24"/>
                <w:szCs w:val="24"/>
              </w:rPr>
              <w:t xml:space="preserve">is </w:t>
            </w:r>
            <w:r w:rsidRPr="00F547B2">
              <w:rPr>
                <w:rFonts w:cs="Arial"/>
                <w:color w:val="auto"/>
                <w:sz w:val="24"/>
                <w:szCs w:val="24"/>
              </w:rPr>
              <w:t>not yet available. Moderations for the 2018/19 performance assessments are still to be undertaken (annual performance assessments due November 2019).</w:t>
            </w:r>
          </w:p>
        </w:tc>
      </w:tr>
      <w:tr w:rsidR="00873E14" w:rsidRPr="00DD00D3" w:rsidTr="005E68ED">
        <w:tc>
          <w:tcPr>
            <w:tcW w:w="5382" w:type="dxa"/>
          </w:tcPr>
          <w:p w:rsidR="00873E14" w:rsidRPr="00DD00D3" w:rsidRDefault="00873E14" w:rsidP="004A60C4">
            <w:pPr>
              <w:numPr>
                <w:ilvl w:val="0"/>
                <w:numId w:val="13"/>
              </w:numPr>
              <w:spacing w:line="360" w:lineRule="auto"/>
              <w:ind w:left="426"/>
              <w:jc w:val="both"/>
              <w:rPr>
                <w:rFonts w:cs="Arial"/>
                <w:color w:val="auto"/>
                <w:sz w:val="24"/>
                <w:szCs w:val="24"/>
                <w:lang w:val="en-GB"/>
              </w:rPr>
            </w:pPr>
            <w:r w:rsidRPr="00DD00D3">
              <w:rPr>
                <w:rFonts w:cs="Arial"/>
                <w:color w:val="auto"/>
                <w:sz w:val="24"/>
                <w:szCs w:val="24"/>
                <w:lang w:val="en-GB"/>
              </w:rPr>
              <w:lastRenderedPageBreak/>
              <w:t xml:space="preserve">Longstanding suspensions: </w:t>
            </w:r>
            <w:r w:rsidRPr="00DD00D3">
              <w:rPr>
                <w:rFonts w:cs="Arial"/>
                <w:color w:val="auto"/>
                <w:sz w:val="24"/>
                <w:szCs w:val="24"/>
              </w:rPr>
              <w:t>The Committee recommends that all vacancies, especially those in which the incumbent is on longstanding suspension, should be filled permanently in the next six months. The suspension should be dealt with expeditiously and reported on every month until resolved.</w:t>
            </w:r>
          </w:p>
        </w:tc>
        <w:tc>
          <w:tcPr>
            <w:tcW w:w="2693"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CD:CM</w:t>
            </w:r>
          </w:p>
        </w:tc>
        <w:tc>
          <w:tcPr>
            <w:tcW w:w="7059" w:type="dxa"/>
          </w:tcPr>
          <w:p w:rsidR="00873E14" w:rsidRPr="00F547B2" w:rsidRDefault="00873E14" w:rsidP="004A60C4">
            <w:pPr>
              <w:tabs>
                <w:tab w:val="num" w:pos="720"/>
              </w:tabs>
              <w:spacing w:line="360" w:lineRule="auto"/>
              <w:jc w:val="both"/>
              <w:rPr>
                <w:rFonts w:cs="Arial"/>
                <w:color w:val="auto"/>
                <w:sz w:val="24"/>
                <w:szCs w:val="24"/>
              </w:rPr>
            </w:pPr>
            <w:r w:rsidRPr="00F547B2">
              <w:rPr>
                <w:rFonts w:cs="Arial"/>
                <w:color w:val="auto"/>
                <w:sz w:val="24"/>
                <w:szCs w:val="24"/>
                <w:lang w:val="en-US"/>
              </w:rPr>
              <w:t>No employees are on special leave. One (1) employee on precautionary suspension - found guilty in Q1 of 2019/20 on 3 of 6 charges – the Department intends to make an application for review to set aside the ruling of the chairperson; still consulting on the prospects of success.</w:t>
            </w:r>
          </w:p>
        </w:tc>
      </w:tr>
    </w:tbl>
    <w:p w:rsidR="000B1478" w:rsidRDefault="000B1478">
      <w:r>
        <w:br w:type="page"/>
      </w:r>
    </w:p>
    <w:tbl>
      <w:tblPr>
        <w:tblStyle w:val="TableGrid"/>
        <w:tblW w:w="15134" w:type="dxa"/>
        <w:tblLook w:val="04A0"/>
      </w:tblPr>
      <w:tblGrid>
        <w:gridCol w:w="5665"/>
        <w:gridCol w:w="2410"/>
        <w:gridCol w:w="7059"/>
      </w:tblGrid>
      <w:tr w:rsidR="000B1478" w:rsidRPr="00DD00D3" w:rsidTr="006634C4">
        <w:tc>
          <w:tcPr>
            <w:tcW w:w="5665" w:type="dxa"/>
          </w:tcPr>
          <w:p w:rsidR="000B1478" w:rsidRPr="00DD00D3" w:rsidRDefault="000B1478" w:rsidP="005E68ED">
            <w:pPr>
              <w:spacing w:line="360" w:lineRule="auto"/>
              <w:ind w:left="426"/>
              <w:jc w:val="both"/>
              <w:rPr>
                <w:rFonts w:cs="Arial"/>
                <w:color w:val="auto"/>
                <w:sz w:val="24"/>
                <w:szCs w:val="24"/>
                <w:lang w:val="en-GB"/>
              </w:rPr>
            </w:pPr>
          </w:p>
        </w:tc>
        <w:tc>
          <w:tcPr>
            <w:tcW w:w="2410" w:type="dxa"/>
          </w:tcPr>
          <w:p w:rsidR="000B1478" w:rsidRPr="00DD00D3" w:rsidRDefault="000B1478" w:rsidP="004A60C4">
            <w:pPr>
              <w:spacing w:line="360" w:lineRule="auto"/>
              <w:jc w:val="both"/>
              <w:rPr>
                <w:rFonts w:cs="Arial"/>
                <w:color w:val="auto"/>
                <w:sz w:val="24"/>
                <w:szCs w:val="24"/>
                <w:lang w:val="en-GB"/>
              </w:rPr>
            </w:pPr>
          </w:p>
        </w:tc>
        <w:tc>
          <w:tcPr>
            <w:tcW w:w="7059" w:type="dxa"/>
          </w:tcPr>
          <w:p w:rsidR="000B1478" w:rsidRPr="00F547B2" w:rsidRDefault="000B1478" w:rsidP="004A60C4">
            <w:pPr>
              <w:tabs>
                <w:tab w:val="num" w:pos="720"/>
              </w:tabs>
              <w:spacing w:line="360" w:lineRule="auto"/>
              <w:jc w:val="both"/>
              <w:rPr>
                <w:rFonts w:cs="Arial"/>
                <w:color w:val="auto"/>
                <w:sz w:val="24"/>
                <w:szCs w:val="24"/>
                <w:lang w:val="en-US"/>
              </w:rPr>
            </w:pPr>
          </w:p>
        </w:tc>
      </w:tr>
      <w:tr w:rsidR="00873E14" w:rsidRPr="00DD00D3" w:rsidTr="005E68ED">
        <w:tc>
          <w:tcPr>
            <w:tcW w:w="5665" w:type="dxa"/>
          </w:tcPr>
          <w:p w:rsidR="00873E14" w:rsidRPr="00DD00D3" w:rsidRDefault="00873E14" w:rsidP="004A60C4">
            <w:pPr>
              <w:numPr>
                <w:ilvl w:val="0"/>
                <w:numId w:val="13"/>
              </w:numPr>
              <w:spacing w:line="360" w:lineRule="auto"/>
              <w:ind w:left="426"/>
              <w:jc w:val="both"/>
              <w:rPr>
                <w:rFonts w:cs="Arial"/>
                <w:color w:val="auto"/>
                <w:sz w:val="24"/>
                <w:szCs w:val="24"/>
              </w:rPr>
            </w:pPr>
            <w:r w:rsidRPr="00DD00D3">
              <w:rPr>
                <w:rFonts w:cs="Arial"/>
                <w:color w:val="auto"/>
                <w:sz w:val="24"/>
                <w:szCs w:val="24"/>
              </w:rPr>
              <w:t>Use of consultants: The Committee requests the Department to indicate what measures the Department would implement to avoid the use of consultants in future in a bid to contain costs. Furthermore, the Committee recommends that skills transfer must occur when using consultants so as to capacitate staff within the Department.</w:t>
            </w:r>
          </w:p>
          <w:p w:rsidR="00873E14" w:rsidRPr="00DD00D3" w:rsidRDefault="00873E14" w:rsidP="004A60C4">
            <w:pPr>
              <w:spacing w:line="360" w:lineRule="auto"/>
              <w:jc w:val="both"/>
              <w:rPr>
                <w:rFonts w:cs="Arial"/>
                <w:color w:val="auto"/>
                <w:sz w:val="24"/>
                <w:szCs w:val="24"/>
              </w:rPr>
            </w:pPr>
          </w:p>
          <w:p w:rsidR="00873E14" w:rsidRPr="00DD00D3" w:rsidRDefault="00873E14" w:rsidP="004A60C4">
            <w:pPr>
              <w:spacing w:line="360" w:lineRule="auto"/>
              <w:jc w:val="both"/>
              <w:rPr>
                <w:rFonts w:cs="Arial"/>
                <w:color w:val="auto"/>
                <w:sz w:val="24"/>
                <w:szCs w:val="24"/>
              </w:rPr>
            </w:pPr>
          </w:p>
        </w:tc>
        <w:tc>
          <w:tcPr>
            <w:tcW w:w="2410" w:type="dxa"/>
          </w:tcPr>
          <w:p w:rsidR="00873E14" w:rsidRPr="00DD00D3" w:rsidRDefault="00873E14" w:rsidP="004A60C4">
            <w:pPr>
              <w:spacing w:line="360" w:lineRule="auto"/>
              <w:jc w:val="both"/>
              <w:rPr>
                <w:rFonts w:cs="Arial"/>
                <w:color w:val="auto"/>
                <w:sz w:val="24"/>
                <w:szCs w:val="24"/>
              </w:rPr>
            </w:pPr>
            <w:r w:rsidRPr="00DD00D3">
              <w:rPr>
                <w:rFonts w:cs="Arial"/>
                <w:color w:val="auto"/>
                <w:sz w:val="24"/>
                <w:szCs w:val="24"/>
              </w:rPr>
              <w:t>DDG:STEE</w:t>
            </w:r>
          </w:p>
          <w:p w:rsidR="00873E14" w:rsidRPr="00DD00D3" w:rsidRDefault="00873E14" w:rsidP="004A60C4">
            <w:pPr>
              <w:spacing w:line="360" w:lineRule="auto"/>
              <w:jc w:val="both"/>
              <w:rPr>
                <w:rFonts w:cs="Arial"/>
                <w:color w:val="auto"/>
                <w:sz w:val="24"/>
                <w:szCs w:val="24"/>
              </w:rPr>
            </w:pPr>
            <w:r w:rsidRPr="00DD00D3">
              <w:rPr>
                <w:rFonts w:cs="Arial"/>
                <w:color w:val="auto"/>
                <w:sz w:val="24"/>
                <w:szCs w:val="24"/>
              </w:rPr>
              <w:t>DDG:PSCKM</w:t>
            </w:r>
          </w:p>
        </w:tc>
        <w:tc>
          <w:tcPr>
            <w:tcW w:w="7059" w:type="dxa"/>
          </w:tcPr>
          <w:p w:rsidR="00847920" w:rsidRDefault="00847920" w:rsidP="00847920">
            <w:pPr>
              <w:spacing w:line="360" w:lineRule="auto"/>
              <w:jc w:val="both"/>
              <w:rPr>
                <w:rFonts w:cs="Arial"/>
                <w:color w:val="auto"/>
                <w:sz w:val="24"/>
                <w:szCs w:val="24"/>
              </w:rPr>
            </w:pPr>
            <w:r w:rsidRPr="00847920">
              <w:rPr>
                <w:rFonts w:cs="Arial"/>
                <w:color w:val="auto"/>
                <w:sz w:val="24"/>
                <w:szCs w:val="24"/>
              </w:rPr>
              <w:t xml:space="preserve">Report </w:t>
            </w:r>
            <w:r>
              <w:rPr>
                <w:rFonts w:cs="Arial"/>
                <w:color w:val="auto"/>
                <w:sz w:val="24"/>
                <w:szCs w:val="24"/>
              </w:rPr>
              <w:t xml:space="preserve">on use of consultants is </w:t>
            </w:r>
            <w:r w:rsidRPr="00847920">
              <w:rPr>
                <w:rFonts w:cs="Arial"/>
                <w:color w:val="auto"/>
                <w:sz w:val="24"/>
                <w:szCs w:val="24"/>
              </w:rPr>
              <w:t xml:space="preserve">provided to the Committee as part of Q2 briefing. </w:t>
            </w:r>
          </w:p>
          <w:p w:rsidR="00847920" w:rsidRPr="00847920" w:rsidRDefault="00847920" w:rsidP="00847920">
            <w:pPr>
              <w:spacing w:line="360" w:lineRule="auto"/>
              <w:jc w:val="both"/>
              <w:rPr>
                <w:rFonts w:cs="Arial"/>
                <w:color w:val="auto"/>
                <w:sz w:val="24"/>
                <w:szCs w:val="24"/>
              </w:rPr>
            </w:pPr>
          </w:p>
          <w:p w:rsidR="00873E14" w:rsidRPr="00F547B2" w:rsidRDefault="00847920" w:rsidP="005E68ED">
            <w:pPr>
              <w:spacing w:line="360" w:lineRule="auto"/>
              <w:jc w:val="both"/>
              <w:rPr>
                <w:rFonts w:cs="Arial"/>
                <w:color w:val="auto"/>
                <w:sz w:val="24"/>
                <w:szCs w:val="24"/>
              </w:rPr>
            </w:pPr>
            <w:r w:rsidRPr="00847920">
              <w:rPr>
                <w:rFonts w:cs="Arial"/>
                <w:color w:val="auto"/>
                <w:sz w:val="24"/>
                <w:szCs w:val="24"/>
              </w:rPr>
              <w:t xml:space="preserve">It should be noted that the scope of certain projects require the use of independent expert service providers. Further, the scale and scope of major once-off projects also require additional external capacity. Given the lack of capacity in the Department, fixed-term contract appointments were made (as opposed to the appointment of consultants) and financed from savings accrued due to unfilled vacancies. </w:t>
            </w:r>
          </w:p>
        </w:tc>
      </w:tr>
      <w:tr w:rsidR="00873E14" w:rsidRPr="00DD00D3" w:rsidTr="005E68ED">
        <w:tc>
          <w:tcPr>
            <w:tcW w:w="5665" w:type="dxa"/>
          </w:tcPr>
          <w:p w:rsidR="00873E14" w:rsidRPr="00DD00D3" w:rsidRDefault="00873E14" w:rsidP="004A60C4">
            <w:pPr>
              <w:numPr>
                <w:ilvl w:val="0"/>
                <w:numId w:val="13"/>
              </w:numPr>
              <w:spacing w:line="360" w:lineRule="auto"/>
              <w:ind w:left="426"/>
              <w:jc w:val="both"/>
              <w:rPr>
                <w:rFonts w:cs="Arial"/>
                <w:color w:val="auto"/>
                <w:sz w:val="24"/>
                <w:szCs w:val="24"/>
              </w:rPr>
            </w:pPr>
            <w:r w:rsidRPr="00DD00D3">
              <w:rPr>
                <w:rFonts w:cs="Arial"/>
                <w:color w:val="auto"/>
                <w:sz w:val="24"/>
                <w:szCs w:val="24"/>
              </w:rPr>
              <w:t xml:space="preserve">Top-heavy structure: The Committee recommends that the Department indicates how it intends utilising its top-heavy structure more optimally to ensure that targets are met, rather than using consultants. The Committee also recommends that programmes 2 and 3 which encompass the core delivery mandate of the Department be capacitated. The Committee welcomes an opportunity to engage with the Department on its strategic plan and organogram/structure going </w:t>
            </w:r>
            <w:r w:rsidRPr="00DD00D3">
              <w:rPr>
                <w:rFonts w:cs="Arial"/>
                <w:color w:val="auto"/>
                <w:sz w:val="24"/>
                <w:szCs w:val="24"/>
              </w:rPr>
              <w:lastRenderedPageBreak/>
              <w:t>forward.</w:t>
            </w:r>
          </w:p>
        </w:tc>
        <w:tc>
          <w:tcPr>
            <w:tcW w:w="2410" w:type="dxa"/>
          </w:tcPr>
          <w:p w:rsidR="00873E14" w:rsidRPr="00DD00D3" w:rsidRDefault="00873E14" w:rsidP="004A60C4">
            <w:pPr>
              <w:spacing w:line="360" w:lineRule="auto"/>
              <w:jc w:val="both"/>
              <w:rPr>
                <w:rFonts w:cs="Arial"/>
                <w:color w:val="auto"/>
                <w:sz w:val="24"/>
                <w:szCs w:val="24"/>
              </w:rPr>
            </w:pPr>
            <w:r w:rsidRPr="00DD00D3">
              <w:rPr>
                <w:rFonts w:cs="Arial"/>
                <w:color w:val="auto"/>
                <w:sz w:val="24"/>
                <w:szCs w:val="24"/>
              </w:rPr>
              <w:lastRenderedPageBreak/>
              <w:t>CD:CM</w:t>
            </w:r>
          </w:p>
        </w:tc>
        <w:tc>
          <w:tcPr>
            <w:tcW w:w="7059" w:type="dxa"/>
          </w:tcPr>
          <w:p w:rsidR="00873E14" w:rsidRPr="00F547B2" w:rsidRDefault="00873E14" w:rsidP="00943700">
            <w:pPr>
              <w:spacing w:line="360" w:lineRule="auto"/>
              <w:jc w:val="both"/>
              <w:rPr>
                <w:rFonts w:cs="Arial"/>
                <w:color w:val="auto"/>
                <w:sz w:val="24"/>
                <w:szCs w:val="24"/>
              </w:rPr>
            </w:pPr>
            <w:r w:rsidRPr="00F547B2">
              <w:rPr>
                <w:rFonts w:cs="Arial"/>
                <w:sz w:val="24"/>
                <w:szCs w:val="24"/>
              </w:rPr>
              <w:t>When concurring with the start-up organisational structure of the DWYPD, the MPSA directed that a redesigned organisational structure must be developed within 12 months based on new strategic priorities of the DWYPD. During that process</w:t>
            </w:r>
            <w:r w:rsidRPr="00F547B2">
              <w:rPr>
                <w:rFonts w:cs="Arial"/>
                <w:color w:val="auto"/>
                <w:sz w:val="24"/>
                <w:szCs w:val="24"/>
              </w:rPr>
              <w:t xml:space="preserve"> the optimal utilisation of available resources shall be assessed.</w:t>
            </w:r>
            <w:r w:rsidR="00354DD4">
              <w:rPr>
                <w:rFonts w:cs="Arial"/>
                <w:color w:val="auto"/>
                <w:sz w:val="24"/>
                <w:szCs w:val="24"/>
              </w:rPr>
              <w:t xml:space="preserve"> The top-heavy structure is an anomaly in comparison to other departments that have Chief Directorates, Directorates and sub-directorates, which the department does not have.</w:t>
            </w:r>
          </w:p>
        </w:tc>
      </w:tr>
      <w:tr w:rsidR="00873E14" w:rsidRPr="00DD00D3" w:rsidTr="005E68ED">
        <w:tc>
          <w:tcPr>
            <w:tcW w:w="5665" w:type="dxa"/>
          </w:tcPr>
          <w:p w:rsidR="00873E14" w:rsidRPr="00DD00D3" w:rsidRDefault="00873E14" w:rsidP="004A60C4">
            <w:pPr>
              <w:spacing w:line="360" w:lineRule="auto"/>
              <w:jc w:val="both"/>
              <w:rPr>
                <w:rFonts w:cs="Arial"/>
                <w:b/>
                <w:color w:val="auto"/>
                <w:sz w:val="24"/>
                <w:szCs w:val="24"/>
                <w:lang w:val="en-GB"/>
              </w:rPr>
            </w:pPr>
            <w:r w:rsidRPr="00DD00D3">
              <w:rPr>
                <w:rFonts w:cs="Arial"/>
                <w:b/>
                <w:color w:val="auto"/>
                <w:sz w:val="24"/>
                <w:szCs w:val="24"/>
                <w:lang w:val="en-GB"/>
              </w:rPr>
              <w:lastRenderedPageBreak/>
              <w:t xml:space="preserve"> 14.7 Governance</w:t>
            </w:r>
          </w:p>
        </w:tc>
        <w:tc>
          <w:tcPr>
            <w:tcW w:w="2410" w:type="dxa"/>
          </w:tcPr>
          <w:p w:rsidR="00873E14" w:rsidRPr="00DD00D3" w:rsidRDefault="00873E14" w:rsidP="004A60C4">
            <w:pPr>
              <w:spacing w:line="360" w:lineRule="auto"/>
              <w:jc w:val="both"/>
              <w:rPr>
                <w:rFonts w:cs="Arial"/>
                <w:b/>
                <w:color w:val="auto"/>
                <w:sz w:val="24"/>
                <w:szCs w:val="24"/>
                <w:lang w:val="en-GB"/>
              </w:rPr>
            </w:pPr>
          </w:p>
        </w:tc>
        <w:tc>
          <w:tcPr>
            <w:tcW w:w="7059" w:type="dxa"/>
          </w:tcPr>
          <w:p w:rsidR="00873E14" w:rsidRPr="00DD00D3" w:rsidRDefault="00873E14" w:rsidP="004A60C4">
            <w:pPr>
              <w:spacing w:line="360" w:lineRule="auto"/>
              <w:jc w:val="both"/>
              <w:rPr>
                <w:rFonts w:cs="Arial"/>
                <w:b/>
                <w:color w:val="auto"/>
                <w:sz w:val="24"/>
                <w:szCs w:val="24"/>
                <w:lang w:val="en-GB"/>
              </w:rPr>
            </w:pPr>
          </w:p>
        </w:tc>
      </w:tr>
      <w:tr w:rsidR="00873E14" w:rsidRPr="00DD00D3" w:rsidTr="005E68ED">
        <w:tc>
          <w:tcPr>
            <w:tcW w:w="5665" w:type="dxa"/>
          </w:tcPr>
          <w:p w:rsidR="00873E14" w:rsidRPr="00DD00D3" w:rsidRDefault="00873E14" w:rsidP="004A60C4">
            <w:pPr>
              <w:numPr>
                <w:ilvl w:val="0"/>
                <w:numId w:val="5"/>
              </w:numPr>
              <w:spacing w:line="360" w:lineRule="auto"/>
              <w:ind w:left="426"/>
              <w:jc w:val="both"/>
              <w:rPr>
                <w:rFonts w:cs="Arial"/>
                <w:color w:val="auto"/>
                <w:sz w:val="24"/>
                <w:szCs w:val="24"/>
                <w:lang w:val="en-GB"/>
              </w:rPr>
            </w:pPr>
            <w:r w:rsidRPr="00DD00D3">
              <w:rPr>
                <w:rFonts w:cs="Arial"/>
                <w:color w:val="auto"/>
                <w:sz w:val="24"/>
                <w:szCs w:val="24"/>
                <w:lang w:val="en-GB"/>
              </w:rPr>
              <w:t xml:space="preserve">The Committee reiterated the importance of compliance with the Public Finance Management Act and National Treasury Regulations by the Department and that failure of officials in this regard must be dealt with expeditiously. To this end, the </w:t>
            </w:r>
            <w:r w:rsidRPr="00DD00D3">
              <w:rPr>
                <w:rFonts w:cs="Arial"/>
                <w:color w:val="auto"/>
                <w:sz w:val="24"/>
                <w:szCs w:val="24"/>
              </w:rPr>
              <w:t>Committee recommends that t</w:t>
            </w:r>
            <w:r w:rsidRPr="00DD00D3">
              <w:rPr>
                <w:rFonts w:cs="Arial"/>
                <w:color w:val="auto"/>
                <w:sz w:val="24"/>
                <w:szCs w:val="24"/>
                <w:lang w:val="en-GB"/>
              </w:rPr>
              <w:t xml:space="preserve">he Department reports on how it deals with transgressors and what remedial action is taken. This should be presented in the quarterly reports. </w:t>
            </w:r>
          </w:p>
        </w:tc>
        <w:tc>
          <w:tcPr>
            <w:tcW w:w="2410" w:type="dxa"/>
          </w:tcPr>
          <w:p w:rsidR="00873E14" w:rsidRPr="00DD00D3" w:rsidRDefault="00873E14" w:rsidP="004A60C4">
            <w:pPr>
              <w:spacing w:line="360" w:lineRule="auto"/>
              <w:jc w:val="both"/>
              <w:rPr>
                <w:rFonts w:cs="Arial"/>
                <w:color w:val="auto"/>
                <w:sz w:val="24"/>
                <w:szCs w:val="24"/>
                <w:lang w:val="en-GB"/>
              </w:rPr>
            </w:pPr>
            <w:r>
              <w:rPr>
                <w:rFonts w:cs="Arial"/>
                <w:color w:val="auto"/>
                <w:sz w:val="24"/>
                <w:szCs w:val="24"/>
                <w:lang w:val="en-GB"/>
              </w:rPr>
              <w:t xml:space="preserve">CD: CM </w:t>
            </w:r>
          </w:p>
        </w:tc>
        <w:tc>
          <w:tcPr>
            <w:tcW w:w="7059" w:type="dxa"/>
          </w:tcPr>
          <w:p w:rsidR="00873E14" w:rsidRPr="00DD00D3" w:rsidRDefault="003F0A64" w:rsidP="005E68ED">
            <w:pPr>
              <w:spacing w:line="360" w:lineRule="auto"/>
              <w:jc w:val="both"/>
              <w:rPr>
                <w:rFonts w:cs="Arial"/>
                <w:color w:val="auto"/>
                <w:sz w:val="24"/>
                <w:szCs w:val="24"/>
                <w:lang w:val="en-GB"/>
              </w:rPr>
            </w:pPr>
            <w:r>
              <w:rPr>
                <w:rFonts w:cs="Arial"/>
                <w:color w:val="auto"/>
                <w:sz w:val="24"/>
                <w:szCs w:val="24"/>
                <w:lang w:val="en-GB"/>
              </w:rPr>
              <w:t>T</w:t>
            </w:r>
            <w:r w:rsidR="00873E14">
              <w:rPr>
                <w:rFonts w:cs="Arial"/>
                <w:color w:val="auto"/>
                <w:sz w:val="24"/>
                <w:szCs w:val="24"/>
                <w:lang w:val="en-GB"/>
              </w:rPr>
              <w:t xml:space="preserve">he </w:t>
            </w:r>
            <w:r>
              <w:rPr>
                <w:rFonts w:cs="Arial"/>
                <w:color w:val="auto"/>
                <w:sz w:val="24"/>
                <w:szCs w:val="24"/>
                <w:lang w:val="en-GB"/>
              </w:rPr>
              <w:t xml:space="preserve">information has been </w:t>
            </w:r>
            <w:r w:rsidR="00873E14">
              <w:rPr>
                <w:rFonts w:cs="Arial"/>
                <w:color w:val="auto"/>
                <w:sz w:val="24"/>
                <w:szCs w:val="24"/>
                <w:lang w:val="en-GB"/>
              </w:rPr>
              <w:t>included under Human Resource Management</w:t>
            </w:r>
            <w:r>
              <w:rPr>
                <w:rFonts w:cs="Arial"/>
                <w:color w:val="auto"/>
                <w:sz w:val="24"/>
                <w:szCs w:val="24"/>
                <w:lang w:val="en-GB"/>
              </w:rPr>
              <w:t xml:space="preserve"> report</w:t>
            </w:r>
            <w:r w:rsidR="00873E14">
              <w:rPr>
                <w:rFonts w:cs="Arial"/>
                <w:color w:val="auto"/>
                <w:sz w:val="24"/>
                <w:szCs w:val="24"/>
                <w:lang w:val="en-GB"/>
              </w:rPr>
              <w:t xml:space="preserve">. </w:t>
            </w:r>
          </w:p>
        </w:tc>
      </w:tr>
      <w:tr w:rsidR="00873E14" w:rsidRPr="00DD00D3" w:rsidTr="005E68ED">
        <w:tc>
          <w:tcPr>
            <w:tcW w:w="5665" w:type="dxa"/>
          </w:tcPr>
          <w:p w:rsidR="00873E14" w:rsidRPr="00DD00D3" w:rsidRDefault="00873E14" w:rsidP="004A60C4">
            <w:pPr>
              <w:numPr>
                <w:ilvl w:val="0"/>
                <w:numId w:val="5"/>
              </w:numPr>
              <w:spacing w:line="360" w:lineRule="auto"/>
              <w:ind w:left="426"/>
              <w:jc w:val="both"/>
              <w:rPr>
                <w:rFonts w:cs="Arial"/>
                <w:color w:val="auto"/>
                <w:sz w:val="24"/>
                <w:szCs w:val="24"/>
                <w:lang w:val="en-GB"/>
              </w:rPr>
            </w:pPr>
            <w:r w:rsidRPr="00DD00D3">
              <w:rPr>
                <w:rFonts w:cs="Arial"/>
                <w:color w:val="auto"/>
                <w:sz w:val="24"/>
                <w:szCs w:val="24"/>
                <w:lang w:val="en-GB"/>
              </w:rPr>
              <w:t>For the year under review, the Committee recommends that the Department submits a report clearly outlining the officials that contravened the PFMA by authorising transactions that should have been done by the accounting officer.</w:t>
            </w:r>
          </w:p>
        </w:tc>
        <w:tc>
          <w:tcPr>
            <w:tcW w:w="2410"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CD:CM</w:t>
            </w:r>
          </w:p>
        </w:tc>
        <w:tc>
          <w:tcPr>
            <w:tcW w:w="7059" w:type="dxa"/>
          </w:tcPr>
          <w:p w:rsidR="00873E14" w:rsidRPr="00DD00D3" w:rsidRDefault="00873E14" w:rsidP="004A60C4">
            <w:pPr>
              <w:spacing w:line="360" w:lineRule="auto"/>
              <w:jc w:val="both"/>
              <w:rPr>
                <w:rFonts w:cs="Arial"/>
                <w:color w:val="auto"/>
                <w:sz w:val="24"/>
                <w:szCs w:val="24"/>
                <w:lang w:val="en-GB"/>
              </w:rPr>
            </w:pPr>
            <w:r w:rsidRPr="00873E14">
              <w:rPr>
                <w:rFonts w:cs="Arial"/>
                <w:color w:val="auto"/>
                <w:sz w:val="24"/>
                <w:szCs w:val="24"/>
                <w:lang w:val="en-GB"/>
              </w:rPr>
              <w:t>The department is currently investigating the irregular expenditure and the outcome of the investigation will be made available through the Executive Authority</w:t>
            </w:r>
            <w:r w:rsidR="00963E76">
              <w:rPr>
                <w:rFonts w:cs="Arial"/>
                <w:color w:val="auto"/>
                <w:sz w:val="24"/>
                <w:szCs w:val="24"/>
                <w:lang w:val="en-GB"/>
              </w:rPr>
              <w:t xml:space="preserve"> once it has been concluded</w:t>
            </w:r>
            <w:r w:rsidRPr="00873E14">
              <w:rPr>
                <w:rFonts w:cs="Arial"/>
                <w:color w:val="auto"/>
                <w:sz w:val="24"/>
                <w:szCs w:val="24"/>
                <w:lang w:val="en-GB"/>
              </w:rPr>
              <w:t>.</w:t>
            </w:r>
          </w:p>
        </w:tc>
      </w:tr>
      <w:tr w:rsidR="00873E14" w:rsidRPr="00DD00D3" w:rsidTr="005E68ED">
        <w:tc>
          <w:tcPr>
            <w:tcW w:w="5665" w:type="dxa"/>
          </w:tcPr>
          <w:p w:rsidR="00873E14" w:rsidRPr="00DD00D3" w:rsidRDefault="00873E14" w:rsidP="004A60C4">
            <w:pPr>
              <w:numPr>
                <w:ilvl w:val="0"/>
                <w:numId w:val="5"/>
              </w:numPr>
              <w:spacing w:line="360" w:lineRule="auto"/>
              <w:ind w:left="426"/>
              <w:jc w:val="both"/>
              <w:rPr>
                <w:rFonts w:cs="Arial"/>
                <w:color w:val="auto"/>
                <w:sz w:val="24"/>
                <w:szCs w:val="24"/>
                <w:lang w:val="en-GB"/>
              </w:rPr>
            </w:pPr>
            <w:r w:rsidRPr="00DD00D3">
              <w:rPr>
                <w:rFonts w:cs="Arial"/>
                <w:color w:val="auto"/>
                <w:sz w:val="24"/>
                <w:szCs w:val="24"/>
                <w:lang w:val="en-GB"/>
              </w:rPr>
              <w:t xml:space="preserve">The Committee remains concerned about the non-compliance and adherence to laws and prescripts by officials within the Department. The Department should </w:t>
            </w:r>
            <w:r w:rsidRPr="00DD00D3">
              <w:rPr>
                <w:rFonts w:cs="Arial"/>
                <w:color w:val="auto"/>
                <w:sz w:val="24"/>
                <w:szCs w:val="24"/>
                <w:lang w:val="en-GB"/>
              </w:rPr>
              <w:lastRenderedPageBreak/>
              <w:t>consider including a specific key performance indicator and targets that addresses compliance to laws and prescripts.</w:t>
            </w:r>
          </w:p>
        </w:tc>
        <w:tc>
          <w:tcPr>
            <w:tcW w:w="2410" w:type="dxa"/>
          </w:tcPr>
          <w:p w:rsidR="00873E14" w:rsidRPr="00DD00D3" w:rsidRDefault="00873E14" w:rsidP="004A60C4">
            <w:pPr>
              <w:spacing w:line="360" w:lineRule="auto"/>
              <w:ind w:left="66"/>
              <w:jc w:val="both"/>
              <w:rPr>
                <w:rFonts w:cs="Arial"/>
                <w:color w:val="auto"/>
                <w:sz w:val="24"/>
                <w:szCs w:val="24"/>
                <w:lang w:val="en-GB"/>
              </w:rPr>
            </w:pPr>
            <w:r w:rsidRPr="00DD00D3">
              <w:rPr>
                <w:rFonts w:cs="Arial"/>
                <w:color w:val="auto"/>
                <w:sz w:val="24"/>
                <w:szCs w:val="24"/>
                <w:lang w:val="en-GB"/>
              </w:rPr>
              <w:lastRenderedPageBreak/>
              <w:t>CD: ODG</w:t>
            </w:r>
          </w:p>
        </w:tc>
        <w:tc>
          <w:tcPr>
            <w:tcW w:w="7059"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 xml:space="preserve">The Performance Agreements of the CFO, CD: CM and CD: ODG includes a KPA </w:t>
            </w:r>
            <w:r w:rsidR="00943700">
              <w:rPr>
                <w:rFonts w:cs="Arial"/>
                <w:color w:val="auto"/>
                <w:sz w:val="24"/>
                <w:szCs w:val="24"/>
                <w:lang w:val="en-GB"/>
              </w:rPr>
              <w:t>o</w:t>
            </w:r>
            <w:r w:rsidRPr="00DD00D3">
              <w:rPr>
                <w:rFonts w:cs="Arial"/>
                <w:color w:val="auto"/>
                <w:sz w:val="24"/>
                <w:szCs w:val="24"/>
                <w:lang w:val="en-GB"/>
              </w:rPr>
              <w:t xml:space="preserve">n compliance with law as and prescripts of government. This will be recommended by Corporate Management to the ADG for inclusion in all </w:t>
            </w:r>
            <w:r w:rsidRPr="00DD00D3">
              <w:rPr>
                <w:rFonts w:cs="Arial"/>
                <w:color w:val="auto"/>
                <w:sz w:val="24"/>
                <w:szCs w:val="24"/>
                <w:lang w:val="en-GB"/>
              </w:rPr>
              <w:lastRenderedPageBreak/>
              <w:t>performance agreements of all members of SMS.</w:t>
            </w:r>
          </w:p>
        </w:tc>
      </w:tr>
      <w:tr w:rsidR="00873E14" w:rsidRPr="00DD00D3" w:rsidTr="005E68ED">
        <w:tc>
          <w:tcPr>
            <w:tcW w:w="5665" w:type="dxa"/>
          </w:tcPr>
          <w:p w:rsidR="00873E14" w:rsidRPr="00DD00D3" w:rsidRDefault="00873E14" w:rsidP="004A60C4">
            <w:pPr>
              <w:numPr>
                <w:ilvl w:val="0"/>
                <w:numId w:val="5"/>
              </w:numPr>
              <w:spacing w:line="360" w:lineRule="auto"/>
              <w:ind w:left="426"/>
              <w:jc w:val="both"/>
              <w:rPr>
                <w:rFonts w:cs="Arial"/>
                <w:color w:val="auto"/>
                <w:sz w:val="24"/>
                <w:szCs w:val="24"/>
                <w:lang w:val="en-GB"/>
              </w:rPr>
            </w:pPr>
            <w:r w:rsidRPr="00DD00D3">
              <w:rPr>
                <w:rFonts w:cs="Arial"/>
                <w:color w:val="auto"/>
                <w:sz w:val="24"/>
                <w:szCs w:val="24"/>
              </w:rPr>
              <w:lastRenderedPageBreak/>
              <w:t>The Committee recommends that t</w:t>
            </w:r>
            <w:r w:rsidRPr="00DD00D3">
              <w:rPr>
                <w:rFonts w:cs="Arial"/>
                <w:color w:val="auto"/>
                <w:sz w:val="24"/>
                <w:szCs w:val="24"/>
                <w:lang w:val="en-GB"/>
              </w:rPr>
              <w:t>he Department report on the forensic investigation/s referred to by the AGSA to be submitted to the Committee on completion and Committee to be briefed on progress with regards to new investigations underway.</w:t>
            </w:r>
          </w:p>
        </w:tc>
        <w:tc>
          <w:tcPr>
            <w:tcW w:w="2410" w:type="dxa"/>
          </w:tcPr>
          <w:p w:rsidR="00873E14" w:rsidRPr="00DD00D3" w:rsidRDefault="00873E14" w:rsidP="004A60C4">
            <w:pPr>
              <w:spacing w:line="360" w:lineRule="auto"/>
              <w:jc w:val="both"/>
              <w:rPr>
                <w:rFonts w:cs="Arial"/>
                <w:color w:val="auto"/>
                <w:sz w:val="24"/>
                <w:szCs w:val="24"/>
              </w:rPr>
            </w:pPr>
            <w:r w:rsidRPr="00DD00D3">
              <w:rPr>
                <w:rFonts w:cs="Arial"/>
                <w:color w:val="auto"/>
                <w:sz w:val="24"/>
                <w:szCs w:val="24"/>
              </w:rPr>
              <w:t>CD:ODG</w:t>
            </w:r>
          </w:p>
        </w:tc>
        <w:tc>
          <w:tcPr>
            <w:tcW w:w="7059" w:type="dxa"/>
          </w:tcPr>
          <w:p w:rsidR="00873E14" w:rsidRPr="00DD00D3" w:rsidRDefault="00873E14" w:rsidP="005E68ED">
            <w:pPr>
              <w:spacing w:line="360" w:lineRule="auto"/>
              <w:jc w:val="both"/>
              <w:rPr>
                <w:rFonts w:cs="Arial"/>
                <w:color w:val="auto"/>
                <w:sz w:val="24"/>
                <w:szCs w:val="24"/>
              </w:rPr>
            </w:pPr>
            <w:r w:rsidRPr="00DD00D3">
              <w:rPr>
                <w:rFonts w:cs="Arial"/>
                <w:color w:val="auto"/>
                <w:sz w:val="24"/>
                <w:szCs w:val="24"/>
              </w:rPr>
              <w:t>The department is currently investigating the irregular expenditure and the outcome of the investigation will be made available through the Executive Authority.</w:t>
            </w:r>
            <w:r w:rsidR="00B12F14">
              <w:rPr>
                <w:rFonts w:cs="Arial"/>
                <w:color w:val="auto"/>
                <w:sz w:val="24"/>
                <w:szCs w:val="24"/>
              </w:rPr>
              <w:t xml:space="preserve"> The c</w:t>
            </w:r>
            <w:r w:rsidR="00B12F14" w:rsidRPr="00DD00D3">
              <w:rPr>
                <w:rFonts w:cs="Arial"/>
                <w:color w:val="auto"/>
                <w:sz w:val="24"/>
                <w:szCs w:val="24"/>
                <w:lang w:val="en-GB"/>
              </w:rPr>
              <w:t xml:space="preserve">committee </w:t>
            </w:r>
            <w:r w:rsidR="00B12F14">
              <w:rPr>
                <w:rFonts w:cs="Arial"/>
                <w:color w:val="auto"/>
                <w:sz w:val="24"/>
                <w:szCs w:val="24"/>
                <w:lang w:val="en-GB"/>
              </w:rPr>
              <w:t xml:space="preserve">will </w:t>
            </w:r>
            <w:r w:rsidR="00B12F14" w:rsidRPr="00DD00D3">
              <w:rPr>
                <w:rFonts w:cs="Arial"/>
                <w:color w:val="auto"/>
                <w:sz w:val="24"/>
                <w:szCs w:val="24"/>
                <w:lang w:val="en-GB"/>
              </w:rPr>
              <w:t>be briefed on progress with regards to new investigations underway</w:t>
            </w:r>
          </w:p>
        </w:tc>
      </w:tr>
      <w:tr w:rsidR="00873E14" w:rsidRPr="00DD00D3" w:rsidTr="005E68ED">
        <w:tc>
          <w:tcPr>
            <w:tcW w:w="5665" w:type="dxa"/>
          </w:tcPr>
          <w:p w:rsidR="00873E14" w:rsidRPr="00DD00D3" w:rsidRDefault="00873E14" w:rsidP="004A60C4">
            <w:pPr>
              <w:numPr>
                <w:ilvl w:val="0"/>
                <w:numId w:val="5"/>
              </w:numPr>
              <w:spacing w:line="360" w:lineRule="auto"/>
              <w:ind w:left="426"/>
              <w:jc w:val="both"/>
              <w:rPr>
                <w:rFonts w:cs="Arial"/>
                <w:color w:val="auto"/>
                <w:sz w:val="24"/>
                <w:szCs w:val="24"/>
                <w:lang w:val="en-GB"/>
              </w:rPr>
            </w:pPr>
            <w:r w:rsidRPr="00DD00D3">
              <w:rPr>
                <w:rFonts w:cs="Arial"/>
                <w:color w:val="auto"/>
                <w:sz w:val="24"/>
                <w:szCs w:val="24"/>
              </w:rPr>
              <w:t xml:space="preserve">Supply Chain Management (SCM): The Committee recommends that the Department provides a monthly report on the Supply Chain Management (SCM) deviations and transgressions and what action steps were taken against officials who fails to comply with SCM policies. Where deviations were allowed, the motivation hereto should be clearly stipulated. The Department should consider identifying a specific key performance indicator with targets pertaining to SCM in its APP for </w:t>
            </w:r>
            <w:r w:rsidRPr="00DD00D3">
              <w:rPr>
                <w:rFonts w:cs="Arial"/>
                <w:color w:val="auto"/>
                <w:sz w:val="24"/>
                <w:szCs w:val="24"/>
              </w:rPr>
              <w:lastRenderedPageBreak/>
              <w:t>2020/21.</w:t>
            </w:r>
          </w:p>
        </w:tc>
        <w:tc>
          <w:tcPr>
            <w:tcW w:w="2410" w:type="dxa"/>
          </w:tcPr>
          <w:p w:rsidR="00873E14" w:rsidRDefault="00873E14" w:rsidP="004A60C4">
            <w:pPr>
              <w:spacing w:line="360" w:lineRule="auto"/>
              <w:jc w:val="both"/>
              <w:rPr>
                <w:rFonts w:cs="Arial"/>
                <w:color w:val="auto"/>
                <w:sz w:val="24"/>
                <w:szCs w:val="24"/>
              </w:rPr>
            </w:pPr>
            <w:r w:rsidRPr="00DD00D3">
              <w:rPr>
                <w:rFonts w:cs="Arial"/>
                <w:color w:val="auto"/>
                <w:sz w:val="24"/>
                <w:szCs w:val="24"/>
              </w:rPr>
              <w:lastRenderedPageBreak/>
              <w:t>CFO</w:t>
            </w:r>
          </w:p>
          <w:p w:rsidR="004A60C4" w:rsidRPr="00DD00D3" w:rsidRDefault="004A60C4" w:rsidP="004A60C4">
            <w:pPr>
              <w:spacing w:line="360" w:lineRule="auto"/>
              <w:jc w:val="both"/>
              <w:rPr>
                <w:rFonts w:cs="Arial"/>
                <w:color w:val="auto"/>
                <w:sz w:val="24"/>
                <w:szCs w:val="24"/>
              </w:rPr>
            </w:pPr>
            <w:r>
              <w:rPr>
                <w:rFonts w:cs="Arial"/>
                <w:color w:val="auto"/>
                <w:sz w:val="24"/>
                <w:szCs w:val="24"/>
              </w:rPr>
              <w:t xml:space="preserve">CD: ODG </w:t>
            </w:r>
          </w:p>
        </w:tc>
        <w:tc>
          <w:tcPr>
            <w:tcW w:w="7059" w:type="dxa"/>
          </w:tcPr>
          <w:p w:rsidR="00873E14" w:rsidRDefault="00873E14" w:rsidP="004A60C4">
            <w:pPr>
              <w:spacing w:line="360" w:lineRule="auto"/>
              <w:jc w:val="both"/>
              <w:rPr>
                <w:rFonts w:cs="Arial"/>
                <w:color w:val="auto"/>
                <w:sz w:val="24"/>
                <w:szCs w:val="24"/>
              </w:rPr>
            </w:pPr>
            <w:r>
              <w:rPr>
                <w:rFonts w:cs="Arial"/>
                <w:color w:val="auto"/>
                <w:sz w:val="24"/>
                <w:szCs w:val="24"/>
              </w:rPr>
              <w:t>The report on Financial</w:t>
            </w:r>
            <w:r w:rsidR="004A60C4">
              <w:rPr>
                <w:rFonts w:cs="Arial"/>
                <w:color w:val="auto"/>
                <w:sz w:val="24"/>
                <w:szCs w:val="24"/>
              </w:rPr>
              <w:t xml:space="preserve"> In</w:t>
            </w:r>
            <w:r w:rsidR="007026D0">
              <w:rPr>
                <w:rFonts w:cs="Arial"/>
                <w:color w:val="auto"/>
                <w:sz w:val="24"/>
                <w:szCs w:val="24"/>
              </w:rPr>
              <w:t>-</w:t>
            </w:r>
            <w:r w:rsidR="004A60C4">
              <w:rPr>
                <w:rFonts w:cs="Arial"/>
                <w:color w:val="auto"/>
                <w:sz w:val="24"/>
                <w:szCs w:val="24"/>
              </w:rPr>
              <w:t xml:space="preserve">Year Monitoring </w:t>
            </w:r>
            <w:r>
              <w:rPr>
                <w:rFonts w:cs="Arial"/>
                <w:color w:val="auto"/>
                <w:sz w:val="24"/>
                <w:szCs w:val="24"/>
              </w:rPr>
              <w:t>includes SCM deviations</w:t>
            </w:r>
            <w:r w:rsidR="004A60C4">
              <w:rPr>
                <w:rFonts w:cs="Arial"/>
                <w:color w:val="auto"/>
                <w:sz w:val="24"/>
                <w:szCs w:val="24"/>
              </w:rPr>
              <w:t xml:space="preserve"> on a quarterly basis and there is an improvement in this current </w:t>
            </w:r>
            <w:r w:rsidR="007026D0">
              <w:rPr>
                <w:rFonts w:cs="Arial"/>
                <w:color w:val="auto"/>
                <w:sz w:val="24"/>
                <w:szCs w:val="24"/>
              </w:rPr>
              <w:t>financial year</w:t>
            </w:r>
            <w:r w:rsidR="004A60C4">
              <w:rPr>
                <w:rFonts w:cs="Arial"/>
                <w:color w:val="auto"/>
                <w:sz w:val="24"/>
                <w:szCs w:val="24"/>
              </w:rPr>
              <w:t xml:space="preserve">. </w:t>
            </w:r>
            <w:r w:rsidR="001942A8">
              <w:rPr>
                <w:rFonts w:cs="Arial"/>
                <w:color w:val="auto"/>
                <w:sz w:val="24"/>
                <w:szCs w:val="24"/>
              </w:rPr>
              <w:t>The department prioritised the investigations on irregular expenditure</w:t>
            </w:r>
            <w:r w:rsidR="004A60C4">
              <w:rPr>
                <w:rFonts w:cs="Arial"/>
                <w:color w:val="auto"/>
                <w:sz w:val="24"/>
                <w:szCs w:val="24"/>
              </w:rPr>
              <w:t xml:space="preserve"> </w:t>
            </w:r>
            <w:r w:rsidR="001942A8">
              <w:rPr>
                <w:rFonts w:cs="Arial"/>
                <w:color w:val="auto"/>
                <w:sz w:val="24"/>
                <w:szCs w:val="24"/>
              </w:rPr>
              <w:t xml:space="preserve">due to internal human resource capacity constraints. The investigations on the deviation will be attended to subsequent to conclusion of the investigation on </w:t>
            </w:r>
            <w:r w:rsidR="00F55A49" w:rsidRPr="00F55A49">
              <w:rPr>
                <w:rFonts w:cs="Arial"/>
                <w:color w:val="auto"/>
                <w:sz w:val="24"/>
                <w:szCs w:val="24"/>
              </w:rPr>
              <w:t>irregular expenditure</w:t>
            </w:r>
            <w:r w:rsidR="001942A8">
              <w:rPr>
                <w:rFonts w:cs="Arial"/>
                <w:color w:val="auto"/>
                <w:sz w:val="24"/>
                <w:szCs w:val="24"/>
              </w:rPr>
              <w:t>.</w:t>
            </w:r>
            <w:r>
              <w:rPr>
                <w:rFonts w:cs="Arial"/>
                <w:color w:val="auto"/>
                <w:sz w:val="24"/>
                <w:szCs w:val="24"/>
              </w:rPr>
              <w:t xml:space="preserve"> </w:t>
            </w:r>
          </w:p>
          <w:p w:rsidR="007026D0" w:rsidRDefault="007026D0" w:rsidP="004A60C4">
            <w:pPr>
              <w:spacing w:line="360" w:lineRule="auto"/>
              <w:jc w:val="both"/>
              <w:rPr>
                <w:rFonts w:cs="Arial"/>
                <w:color w:val="auto"/>
                <w:sz w:val="24"/>
                <w:szCs w:val="24"/>
              </w:rPr>
            </w:pPr>
          </w:p>
          <w:p w:rsidR="007026D0" w:rsidRPr="00DD00D3" w:rsidRDefault="007026D0" w:rsidP="004A60C4">
            <w:pPr>
              <w:spacing w:line="360" w:lineRule="auto"/>
              <w:jc w:val="both"/>
              <w:rPr>
                <w:rFonts w:cs="Arial"/>
                <w:color w:val="auto"/>
                <w:sz w:val="24"/>
                <w:szCs w:val="24"/>
              </w:rPr>
            </w:pPr>
          </w:p>
        </w:tc>
      </w:tr>
      <w:tr w:rsidR="00873E14" w:rsidRPr="00DD00D3" w:rsidTr="005E68ED">
        <w:tc>
          <w:tcPr>
            <w:tcW w:w="5665" w:type="dxa"/>
          </w:tcPr>
          <w:p w:rsidR="00873E14" w:rsidRPr="00DD00D3" w:rsidRDefault="00873E14" w:rsidP="004A60C4">
            <w:pPr>
              <w:numPr>
                <w:ilvl w:val="0"/>
                <w:numId w:val="5"/>
              </w:numPr>
              <w:spacing w:line="360" w:lineRule="auto"/>
              <w:ind w:left="426"/>
              <w:jc w:val="both"/>
              <w:rPr>
                <w:rFonts w:cs="Arial"/>
                <w:color w:val="auto"/>
                <w:sz w:val="24"/>
                <w:szCs w:val="24"/>
                <w:lang w:val="en-GB"/>
              </w:rPr>
            </w:pPr>
            <w:r w:rsidRPr="00DD00D3">
              <w:rPr>
                <w:rFonts w:cs="Arial"/>
                <w:color w:val="auto"/>
                <w:sz w:val="24"/>
                <w:szCs w:val="24"/>
              </w:rPr>
              <w:lastRenderedPageBreak/>
              <w:t>Investigations: The Committee recommends that the Department briefs it (at Quarter 2 briefing for 2019/20) on the outcome of investigations that have been completed for 2017/18 and indicate what progress has been made in terms of implementing recommendations and consequence management. Furthermore, the Department is expected to brief the Committee on progress with regards to investigations currently underway.</w:t>
            </w:r>
          </w:p>
        </w:tc>
        <w:tc>
          <w:tcPr>
            <w:tcW w:w="2410" w:type="dxa"/>
          </w:tcPr>
          <w:p w:rsidR="00873E14" w:rsidRPr="00847920" w:rsidRDefault="001942A8" w:rsidP="004A60C4">
            <w:pPr>
              <w:spacing w:line="360" w:lineRule="auto"/>
              <w:ind w:left="66"/>
              <w:jc w:val="both"/>
              <w:rPr>
                <w:rFonts w:cs="Arial"/>
                <w:color w:val="auto"/>
                <w:sz w:val="24"/>
                <w:szCs w:val="24"/>
              </w:rPr>
            </w:pPr>
            <w:r w:rsidRPr="00847920">
              <w:rPr>
                <w:rFonts w:cs="Arial"/>
                <w:color w:val="auto"/>
                <w:sz w:val="24"/>
                <w:szCs w:val="24"/>
              </w:rPr>
              <w:t>ODG</w:t>
            </w:r>
          </w:p>
        </w:tc>
        <w:tc>
          <w:tcPr>
            <w:tcW w:w="7059" w:type="dxa"/>
          </w:tcPr>
          <w:p w:rsidR="00873E14" w:rsidRPr="00DD00D3" w:rsidRDefault="004A60C4" w:rsidP="004A60C4">
            <w:pPr>
              <w:spacing w:line="360" w:lineRule="auto"/>
              <w:jc w:val="both"/>
              <w:rPr>
                <w:rFonts w:cs="Arial"/>
                <w:color w:val="auto"/>
                <w:sz w:val="24"/>
                <w:szCs w:val="24"/>
              </w:rPr>
            </w:pPr>
            <w:r w:rsidRPr="004A60C4">
              <w:rPr>
                <w:rFonts w:cs="Arial"/>
                <w:color w:val="auto"/>
                <w:sz w:val="24"/>
                <w:szCs w:val="24"/>
              </w:rPr>
              <w:t xml:space="preserve">The department is currently investigating the irregular expenditure </w:t>
            </w:r>
            <w:r>
              <w:rPr>
                <w:rFonts w:cs="Arial"/>
                <w:color w:val="auto"/>
                <w:sz w:val="24"/>
                <w:szCs w:val="24"/>
              </w:rPr>
              <w:t xml:space="preserve">for the period 2017/18 – 2018/19 FY </w:t>
            </w:r>
            <w:r w:rsidRPr="004A60C4">
              <w:rPr>
                <w:rFonts w:cs="Arial"/>
                <w:color w:val="auto"/>
                <w:sz w:val="24"/>
                <w:szCs w:val="24"/>
              </w:rPr>
              <w:t>and the outcome of the investigation will be made available</w:t>
            </w:r>
            <w:r w:rsidR="001942A8">
              <w:rPr>
                <w:rFonts w:cs="Arial"/>
                <w:color w:val="auto"/>
                <w:sz w:val="24"/>
                <w:szCs w:val="24"/>
              </w:rPr>
              <w:t xml:space="preserve"> to the Committee</w:t>
            </w:r>
            <w:r w:rsidRPr="004A60C4">
              <w:rPr>
                <w:rFonts w:cs="Arial"/>
                <w:color w:val="auto"/>
                <w:sz w:val="24"/>
                <w:szCs w:val="24"/>
              </w:rPr>
              <w:t xml:space="preserve"> through the Executive Authority.</w:t>
            </w:r>
          </w:p>
        </w:tc>
      </w:tr>
      <w:tr w:rsidR="00873E14" w:rsidRPr="00DD00D3" w:rsidTr="005E68ED">
        <w:tc>
          <w:tcPr>
            <w:tcW w:w="5665" w:type="dxa"/>
          </w:tcPr>
          <w:p w:rsidR="00873E14" w:rsidRPr="00DD00D3" w:rsidRDefault="00873E14" w:rsidP="004A60C4">
            <w:pPr>
              <w:pStyle w:val="ListParagraph"/>
              <w:numPr>
                <w:ilvl w:val="1"/>
                <w:numId w:val="16"/>
              </w:numPr>
              <w:spacing w:line="360" w:lineRule="auto"/>
              <w:jc w:val="both"/>
              <w:rPr>
                <w:rFonts w:cs="Arial"/>
                <w:b/>
                <w:color w:val="auto"/>
                <w:sz w:val="24"/>
                <w:szCs w:val="24"/>
                <w:lang w:val="en-GB"/>
              </w:rPr>
            </w:pPr>
            <w:r w:rsidRPr="00DD00D3">
              <w:rPr>
                <w:rFonts w:cs="Arial"/>
                <w:b/>
                <w:color w:val="auto"/>
                <w:sz w:val="24"/>
                <w:szCs w:val="24"/>
                <w:lang w:val="en-GB"/>
              </w:rPr>
              <w:t xml:space="preserve"> Performance related recommendations</w:t>
            </w:r>
          </w:p>
        </w:tc>
        <w:tc>
          <w:tcPr>
            <w:tcW w:w="2410" w:type="dxa"/>
          </w:tcPr>
          <w:p w:rsidR="00873E14" w:rsidRPr="00DD00D3" w:rsidRDefault="00873E14" w:rsidP="004A60C4">
            <w:pPr>
              <w:spacing w:line="360" w:lineRule="auto"/>
              <w:jc w:val="both"/>
              <w:rPr>
                <w:rFonts w:cs="Arial"/>
                <w:b/>
                <w:color w:val="auto"/>
                <w:sz w:val="24"/>
                <w:szCs w:val="24"/>
                <w:lang w:val="en-GB"/>
              </w:rPr>
            </w:pPr>
          </w:p>
        </w:tc>
        <w:tc>
          <w:tcPr>
            <w:tcW w:w="7059" w:type="dxa"/>
          </w:tcPr>
          <w:p w:rsidR="00873E14" w:rsidRPr="00DD00D3" w:rsidRDefault="00873E14" w:rsidP="004A60C4">
            <w:pPr>
              <w:spacing w:line="360" w:lineRule="auto"/>
              <w:jc w:val="both"/>
              <w:rPr>
                <w:rFonts w:cs="Arial"/>
                <w:b/>
                <w:color w:val="auto"/>
                <w:sz w:val="24"/>
                <w:szCs w:val="24"/>
                <w:lang w:val="en-GB"/>
              </w:rPr>
            </w:pPr>
          </w:p>
        </w:tc>
      </w:tr>
      <w:tr w:rsidR="00873E14" w:rsidRPr="00DD00D3" w:rsidTr="005E68ED">
        <w:tc>
          <w:tcPr>
            <w:tcW w:w="5665" w:type="dxa"/>
          </w:tcPr>
          <w:p w:rsidR="00873E14" w:rsidRPr="00DD00D3" w:rsidRDefault="00873E14" w:rsidP="004A60C4">
            <w:pPr>
              <w:spacing w:line="360" w:lineRule="auto"/>
              <w:jc w:val="both"/>
              <w:rPr>
                <w:rFonts w:cs="Arial"/>
                <w:b/>
                <w:color w:val="auto"/>
                <w:sz w:val="24"/>
                <w:szCs w:val="24"/>
                <w:lang w:val="en-GB"/>
              </w:rPr>
            </w:pPr>
            <w:r w:rsidRPr="00DD00D3">
              <w:rPr>
                <w:rFonts w:cs="Arial"/>
                <w:b/>
                <w:color w:val="auto"/>
                <w:sz w:val="24"/>
                <w:szCs w:val="24"/>
                <w:lang w:val="en-GB"/>
              </w:rPr>
              <w:t>14.8.1 SMART principle</w:t>
            </w:r>
          </w:p>
        </w:tc>
        <w:tc>
          <w:tcPr>
            <w:tcW w:w="2410" w:type="dxa"/>
          </w:tcPr>
          <w:p w:rsidR="00873E14" w:rsidRPr="00DD00D3" w:rsidRDefault="00873E14" w:rsidP="004A60C4">
            <w:pPr>
              <w:spacing w:line="360" w:lineRule="auto"/>
              <w:jc w:val="both"/>
              <w:rPr>
                <w:rFonts w:cs="Arial"/>
                <w:b/>
                <w:color w:val="auto"/>
                <w:sz w:val="24"/>
                <w:szCs w:val="24"/>
                <w:lang w:val="en-GB"/>
              </w:rPr>
            </w:pPr>
          </w:p>
        </w:tc>
        <w:tc>
          <w:tcPr>
            <w:tcW w:w="7059" w:type="dxa"/>
          </w:tcPr>
          <w:p w:rsidR="00873E14" w:rsidRPr="00DD00D3" w:rsidRDefault="00873E14" w:rsidP="004A60C4">
            <w:pPr>
              <w:spacing w:line="360" w:lineRule="auto"/>
              <w:jc w:val="both"/>
              <w:rPr>
                <w:rFonts w:cs="Arial"/>
                <w:b/>
                <w:color w:val="auto"/>
                <w:sz w:val="24"/>
                <w:szCs w:val="24"/>
                <w:lang w:val="en-GB"/>
              </w:rPr>
            </w:pPr>
          </w:p>
        </w:tc>
      </w:tr>
      <w:tr w:rsidR="00873E14" w:rsidRPr="00DD00D3" w:rsidTr="005E68ED">
        <w:tc>
          <w:tcPr>
            <w:tcW w:w="5665" w:type="dxa"/>
          </w:tcPr>
          <w:p w:rsidR="00873E14" w:rsidRPr="00DD00D3" w:rsidRDefault="00873E14" w:rsidP="004A60C4">
            <w:pPr>
              <w:numPr>
                <w:ilvl w:val="0"/>
                <w:numId w:val="2"/>
              </w:numPr>
              <w:spacing w:line="360" w:lineRule="auto"/>
              <w:ind w:left="426"/>
              <w:jc w:val="both"/>
              <w:rPr>
                <w:rFonts w:cs="Arial"/>
                <w:color w:val="auto"/>
                <w:sz w:val="24"/>
                <w:szCs w:val="24"/>
                <w:lang w:val="en-GB"/>
              </w:rPr>
            </w:pPr>
            <w:r w:rsidRPr="00DD00D3">
              <w:rPr>
                <w:rFonts w:cs="Arial"/>
                <w:color w:val="auto"/>
                <w:sz w:val="24"/>
                <w:szCs w:val="24"/>
                <w:lang w:val="en-GB"/>
              </w:rPr>
              <w:t xml:space="preserve">The </w:t>
            </w:r>
            <w:r w:rsidRPr="00DD00D3">
              <w:rPr>
                <w:rFonts w:cs="Arial"/>
                <w:color w:val="auto"/>
                <w:sz w:val="24"/>
                <w:szCs w:val="24"/>
              </w:rPr>
              <w:t>Committee recommends that t</w:t>
            </w:r>
            <w:r w:rsidRPr="00DD00D3">
              <w:rPr>
                <w:rFonts w:cs="Arial"/>
                <w:color w:val="auto"/>
                <w:sz w:val="24"/>
                <w:szCs w:val="24"/>
                <w:lang w:val="en-GB"/>
              </w:rPr>
              <w:t xml:space="preserve">he Department must ensure the alignment between the Strategic Plan and its Annual Performance Plan which includes objectives and targets that are SMART and costed accordingly. Any changes to the APP must be brought to the attention of the Committee as soon as these are done with a clear </w:t>
            </w:r>
            <w:r w:rsidRPr="00DD00D3">
              <w:rPr>
                <w:rFonts w:cs="Arial"/>
                <w:color w:val="auto"/>
                <w:sz w:val="24"/>
                <w:szCs w:val="24"/>
                <w:lang w:val="en-GB"/>
              </w:rPr>
              <w:lastRenderedPageBreak/>
              <w:t>indication of the HR impact and financial implications. The Department must update the Committee on the status of targets on a quarterly basis.</w:t>
            </w:r>
          </w:p>
        </w:tc>
        <w:tc>
          <w:tcPr>
            <w:tcW w:w="2410"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lastRenderedPageBreak/>
              <w:t>CD:ODG</w:t>
            </w:r>
          </w:p>
        </w:tc>
        <w:tc>
          <w:tcPr>
            <w:tcW w:w="7059" w:type="dxa"/>
          </w:tcPr>
          <w:p w:rsidR="003B40C1" w:rsidRDefault="003B40C1" w:rsidP="004A60C4">
            <w:pPr>
              <w:spacing w:line="360" w:lineRule="auto"/>
              <w:jc w:val="both"/>
              <w:rPr>
                <w:rFonts w:cs="Arial"/>
                <w:color w:val="auto"/>
                <w:sz w:val="24"/>
                <w:szCs w:val="24"/>
                <w:lang w:val="en-GB"/>
              </w:rPr>
            </w:pPr>
            <w:r>
              <w:rPr>
                <w:rFonts w:cs="Arial"/>
                <w:color w:val="auto"/>
                <w:sz w:val="24"/>
                <w:szCs w:val="24"/>
                <w:lang w:val="en-GB"/>
              </w:rPr>
              <w:t xml:space="preserve">The department </w:t>
            </w:r>
            <w:r w:rsidRPr="00DD00D3">
              <w:rPr>
                <w:rFonts w:cs="Arial"/>
                <w:color w:val="auto"/>
                <w:sz w:val="24"/>
                <w:szCs w:val="24"/>
                <w:lang w:val="en-GB"/>
              </w:rPr>
              <w:t>ensure</w:t>
            </w:r>
            <w:r>
              <w:rPr>
                <w:rFonts w:cs="Arial"/>
                <w:color w:val="auto"/>
                <w:sz w:val="24"/>
                <w:szCs w:val="24"/>
                <w:lang w:val="en-GB"/>
              </w:rPr>
              <w:t>d</w:t>
            </w:r>
            <w:r w:rsidRPr="00DD00D3">
              <w:rPr>
                <w:rFonts w:cs="Arial"/>
                <w:color w:val="auto"/>
                <w:sz w:val="24"/>
                <w:szCs w:val="24"/>
                <w:lang w:val="en-GB"/>
              </w:rPr>
              <w:t xml:space="preserve"> the alignment between the Strategic Plan and its Annual Performance Plan which includes objectives and targets that are SMART and costed accordingly.</w:t>
            </w:r>
            <w:r>
              <w:rPr>
                <w:rFonts w:cs="Arial"/>
                <w:color w:val="auto"/>
                <w:sz w:val="24"/>
                <w:szCs w:val="24"/>
                <w:lang w:val="en-GB"/>
              </w:rPr>
              <w:t xml:space="preserve"> </w:t>
            </w:r>
          </w:p>
          <w:p w:rsidR="00873E14" w:rsidRDefault="00873E14" w:rsidP="004A60C4">
            <w:pPr>
              <w:spacing w:line="360" w:lineRule="auto"/>
              <w:jc w:val="both"/>
              <w:rPr>
                <w:rFonts w:cs="Arial"/>
                <w:color w:val="auto"/>
                <w:sz w:val="24"/>
                <w:szCs w:val="24"/>
                <w:lang w:val="en-GB"/>
              </w:rPr>
            </w:pPr>
            <w:r w:rsidRPr="00DD00D3">
              <w:rPr>
                <w:rFonts w:cs="Arial"/>
                <w:color w:val="auto"/>
                <w:sz w:val="24"/>
                <w:szCs w:val="24"/>
                <w:lang w:val="en-GB"/>
              </w:rPr>
              <w:t>The 1</w:t>
            </w:r>
            <w:r w:rsidRPr="00DD00D3">
              <w:rPr>
                <w:rFonts w:cs="Arial"/>
                <w:color w:val="auto"/>
                <w:sz w:val="24"/>
                <w:szCs w:val="24"/>
                <w:vertAlign w:val="superscript"/>
                <w:lang w:val="en-GB"/>
              </w:rPr>
              <w:t>st</w:t>
            </w:r>
            <w:r w:rsidRPr="00DD00D3">
              <w:rPr>
                <w:rFonts w:cs="Arial"/>
                <w:color w:val="auto"/>
                <w:sz w:val="24"/>
                <w:szCs w:val="24"/>
                <w:lang w:val="en-GB"/>
              </w:rPr>
              <w:t xml:space="preserve"> draft Annual Performance Plan and Strategic Plan were submitted to DPME to assess compliance with the framework on Strategic Plans and Annual Performance Plan which includes all planning requirements.</w:t>
            </w:r>
          </w:p>
          <w:p w:rsidR="003B40C1" w:rsidRDefault="003B40C1" w:rsidP="005E68ED">
            <w:pPr>
              <w:spacing w:line="360" w:lineRule="auto"/>
              <w:jc w:val="both"/>
              <w:rPr>
                <w:rFonts w:cs="Arial"/>
                <w:color w:val="auto"/>
                <w:sz w:val="24"/>
                <w:szCs w:val="24"/>
                <w:lang w:val="en-GB"/>
              </w:rPr>
            </w:pPr>
          </w:p>
          <w:p w:rsidR="003B40C1" w:rsidRPr="00DD00D3" w:rsidRDefault="003B40C1" w:rsidP="005E68ED">
            <w:pPr>
              <w:spacing w:line="360" w:lineRule="auto"/>
              <w:jc w:val="both"/>
              <w:rPr>
                <w:rFonts w:cs="Arial"/>
                <w:color w:val="auto"/>
                <w:sz w:val="24"/>
                <w:szCs w:val="24"/>
                <w:lang w:val="en-GB"/>
              </w:rPr>
            </w:pPr>
            <w:r w:rsidRPr="00DD00D3">
              <w:rPr>
                <w:rFonts w:cs="Arial"/>
                <w:color w:val="auto"/>
                <w:sz w:val="24"/>
                <w:szCs w:val="24"/>
                <w:lang w:val="en-GB"/>
              </w:rPr>
              <w:t xml:space="preserve">The Department </w:t>
            </w:r>
            <w:r>
              <w:rPr>
                <w:rFonts w:cs="Arial"/>
                <w:color w:val="auto"/>
                <w:sz w:val="24"/>
                <w:szCs w:val="24"/>
                <w:lang w:val="en-GB"/>
              </w:rPr>
              <w:t xml:space="preserve">will </w:t>
            </w:r>
            <w:r w:rsidRPr="00DD00D3">
              <w:rPr>
                <w:rFonts w:cs="Arial"/>
                <w:color w:val="auto"/>
                <w:sz w:val="24"/>
                <w:szCs w:val="24"/>
                <w:lang w:val="en-GB"/>
              </w:rPr>
              <w:t>update the Committee on the status of targets on a quarterly basis</w:t>
            </w:r>
            <w:r>
              <w:rPr>
                <w:rFonts w:cs="Arial"/>
                <w:color w:val="auto"/>
                <w:sz w:val="24"/>
                <w:szCs w:val="24"/>
                <w:lang w:val="en-GB"/>
              </w:rPr>
              <w:t>.</w:t>
            </w:r>
          </w:p>
        </w:tc>
      </w:tr>
      <w:tr w:rsidR="00873E14" w:rsidRPr="00DD00D3" w:rsidTr="005E68ED">
        <w:tc>
          <w:tcPr>
            <w:tcW w:w="5665" w:type="dxa"/>
          </w:tcPr>
          <w:p w:rsidR="00873E14" w:rsidRPr="00DD00D3" w:rsidRDefault="00873E14" w:rsidP="004A60C4">
            <w:pPr>
              <w:numPr>
                <w:ilvl w:val="0"/>
                <w:numId w:val="2"/>
              </w:numPr>
              <w:spacing w:line="360" w:lineRule="auto"/>
              <w:ind w:left="426"/>
              <w:jc w:val="both"/>
              <w:rPr>
                <w:rFonts w:cs="Arial"/>
                <w:color w:val="auto"/>
                <w:sz w:val="24"/>
                <w:szCs w:val="24"/>
                <w:lang w:val="en-GB"/>
              </w:rPr>
            </w:pPr>
            <w:r w:rsidRPr="00DD00D3">
              <w:rPr>
                <w:rFonts w:cs="Arial"/>
                <w:color w:val="auto"/>
                <w:sz w:val="24"/>
                <w:szCs w:val="24"/>
                <w:lang w:val="en-GB"/>
              </w:rPr>
              <w:lastRenderedPageBreak/>
              <w:t>The Committee urges the Department to desist from embarking on activities that do not fall within its mandate and are more service delivery orientated.</w:t>
            </w:r>
          </w:p>
        </w:tc>
        <w:tc>
          <w:tcPr>
            <w:tcW w:w="2410"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CD:ODG</w:t>
            </w:r>
          </w:p>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 STEE</w:t>
            </w:r>
          </w:p>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 PSCKM</w:t>
            </w:r>
          </w:p>
        </w:tc>
        <w:tc>
          <w:tcPr>
            <w:tcW w:w="7059" w:type="dxa"/>
          </w:tcPr>
          <w:p w:rsidR="00873E14" w:rsidRPr="00DD00D3" w:rsidRDefault="00282DA9" w:rsidP="00943700">
            <w:pPr>
              <w:spacing w:line="360" w:lineRule="auto"/>
              <w:jc w:val="both"/>
              <w:rPr>
                <w:rFonts w:cs="Arial"/>
                <w:color w:val="auto"/>
                <w:sz w:val="24"/>
                <w:szCs w:val="24"/>
                <w:lang w:val="en-GB"/>
              </w:rPr>
            </w:pPr>
            <w:r>
              <w:rPr>
                <w:rFonts w:cs="Arial"/>
                <w:color w:val="auto"/>
                <w:sz w:val="24"/>
                <w:szCs w:val="24"/>
                <w:lang w:val="en-GB"/>
              </w:rPr>
              <w:t>The d</w:t>
            </w:r>
            <w:r w:rsidRPr="00DD00D3">
              <w:rPr>
                <w:rFonts w:cs="Arial"/>
                <w:color w:val="auto"/>
                <w:sz w:val="24"/>
                <w:szCs w:val="24"/>
                <w:lang w:val="en-GB"/>
              </w:rPr>
              <w:t xml:space="preserve">epartment </w:t>
            </w:r>
            <w:r>
              <w:rPr>
                <w:rFonts w:cs="Arial"/>
                <w:color w:val="auto"/>
                <w:sz w:val="24"/>
                <w:szCs w:val="24"/>
                <w:lang w:val="en-GB"/>
              </w:rPr>
              <w:t>will embark</w:t>
            </w:r>
            <w:r w:rsidRPr="00DD00D3">
              <w:rPr>
                <w:rFonts w:cs="Arial"/>
                <w:color w:val="auto"/>
                <w:sz w:val="24"/>
                <w:szCs w:val="24"/>
                <w:lang w:val="en-GB"/>
              </w:rPr>
              <w:t xml:space="preserve"> on activities that fall within its mandate and are more service delivery orientated</w:t>
            </w:r>
            <w:r w:rsidR="006C1CAD">
              <w:rPr>
                <w:rFonts w:cs="Arial"/>
                <w:color w:val="auto"/>
                <w:sz w:val="24"/>
                <w:szCs w:val="24"/>
                <w:lang w:val="en-GB"/>
              </w:rPr>
              <w:t xml:space="preserve"> in line with its APP</w:t>
            </w:r>
            <w:r w:rsidRPr="00DD00D3">
              <w:rPr>
                <w:rFonts w:cs="Arial"/>
                <w:color w:val="auto"/>
                <w:sz w:val="24"/>
                <w:szCs w:val="24"/>
                <w:lang w:val="en-GB"/>
              </w:rPr>
              <w:t>.</w:t>
            </w:r>
          </w:p>
        </w:tc>
      </w:tr>
      <w:tr w:rsidR="00873E14" w:rsidRPr="00DD00D3" w:rsidTr="005E68ED">
        <w:tc>
          <w:tcPr>
            <w:tcW w:w="5665" w:type="dxa"/>
          </w:tcPr>
          <w:p w:rsidR="00873E14" w:rsidRPr="00DD00D3" w:rsidRDefault="00873E14" w:rsidP="004A60C4">
            <w:pPr>
              <w:spacing w:line="360" w:lineRule="auto"/>
              <w:jc w:val="both"/>
              <w:rPr>
                <w:rFonts w:cs="Arial"/>
                <w:b/>
                <w:color w:val="auto"/>
                <w:sz w:val="24"/>
                <w:szCs w:val="24"/>
                <w:lang w:val="en-GB"/>
              </w:rPr>
            </w:pPr>
            <w:r w:rsidRPr="00DD00D3">
              <w:rPr>
                <w:rFonts w:cs="Arial"/>
                <w:b/>
                <w:color w:val="auto"/>
                <w:sz w:val="24"/>
                <w:szCs w:val="24"/>
                <w:lang w:val="en-GB"/>
              </w:rPr>
              <w:t>14.8.2 Collaboration</w:t>
            </w:r>
          </w:p>
        </w:tc>
        <w:tc>
          <w:tcPr>
            <w:tcW w:w="2410" w:type="dxa"/>
          </w:tcPr>
          <w:p w:rsidR="00873E14" w:rsidRPr="00DD00D3" w:rsidRDefault="00873E14" w:rsidP="004A60C4">
            <w:pPr>
              <w:spacing w:line="360" w:lineRule="auto"/>
              <w:jc w:val="both"/>
              <w:rPr>
                <w:rFonts w:cs="Arial"/>
                <w:b/>
                <w:color w:val="auto"/>
                <w:sz w:val="24"/>
                <w:szCs w:val="24"/>
                <w:lang w:val="en-GB"/>
              </w:rPr>
            </w:pPr>
          </w:p>
        </w:tc>
        <w:tc>
          <w:tcPr>
            <w:tcW w:w="7059" w:type="dxa"/>
          </w:tcPr>
          <w:p w:rsidR="00873E14" w:rsidRPr="00DD00D3" w:rsidRDefault="00873E14" w:rsidP="004A60C4">
            <w:pPr>
              <w:spacing w:line="360" w:lineRule="auto"/>
              <w:jc w:val="both"/>
              <w:rPr>
                <w:rFonts w:cs="Arial"/>
                <w:b/>
                <w:color w:val="auto"/>
                <w:sz w:val="24"/>
                <w:szCs w:val="24"/>
                <w:lang w:val="en-GB"/>
              </w:rPr>
            </w:pPr>
          </w:p>
        </w:tc>
      </w:tr>
      <w:tr w:rsidR="00873E14" w:rsidRPr="004A60C4" w:rsidTr="005E68ED">
        <w:tc>
          <w:tcPr>
            <w:tcW w:w="5665" w:type="dxa"/>
          </w:tcPr>
          <w:p w:rsidR="004A60C4" w:rsidRPr="004A60C4" w:rsidRDefault="00873E14" w:rsidP="004A60C4">
            <w:pPr>
              <w:numPr>
                <w:ilvl w:val="0"/>
                <w:numId w:val="1"/>
              </w:numPr>
              <w:spacing w:line="360" w:lineRule="auto"/>
              <w:ind w:left="426"/>
              <w:jc w:val="both"/>
              <w:rPr>
                <w:rFonts w:cs="Arial"/>
                <w:color w:val="auto"/>
                <w:sz w:val="24"/>
                <w:szCs w:val="24"/>
                <w:lang w:val="en-GB"/>
              </w:rPr>
            </w:pPr>
            <w:r w:rsidRPr="004A60C4">
              <w:rPr>
                <w:rFonts w:cs="Arial"/>
                <w:color w:val="auto"/>
                <w:sz w:val="24"/>
                <w:szCs w:val="24"/>
                <w:lang w:val="en-GB"/>
              </w:rPr>
              <w:t xml:space="preserve">The </w:t>
            </w:r>
            <w:r w:rsidRPr="004A60C4">
              <w:rPr>
                <w:rFonts w:cs="Arial"/>
                <w:color w:val="auto"/>
                <w:sz w:val="24"/>
                <w:szCs w:val="24"/>
              </w:rPr>
              <w:t>Committee recommends that t</w:t>
            </w:r>
            <w:r w:rsidRPr="004A60C4">
              <w:rPr>
                <w:rFonts w:cs="Arial"/>
                <w:color w:val="auto"/>
                <w:sz w:val="24"/>
                <w:szCs w:val="24"/>
                <w:lang w:val="en-GB"/>
              </w:rPr>
              <w:t>he Department should ensure improved collaboration with the CGE and all other relevant organs of State as well as civil society. The Department should explore how its proposed national dialogues can be linked with the CGE’s legal clinics as a cost saving measure and to avoid duplication.</w:t>
            </w:r>
          </w:p>
          <w:p w:rsidR="004A60C4" w:rsidRPr="004A60C4" w:rsidRDefault="004A60C4" w:rsidP="004A60C4">
            <w:pPr>
              <w:spacing w:line="360" w:lineRule="auto"/>
              <w:jc w:val="both"/>
              <w:rPr>
                <w:rFonts w:cs="Arial"/>
                <w:sz w:val="24"/>
                <w:szCs w:val="24"/>
                <w:lang w:val="en-GB"/>
              </w:rPr>
            </w:pPr>
          </w:p>
          <w:p w:rsidR="004A60C4" w:rsidRPr="004A60C4" w:rsidRDefault="004A60C4" w:rsidP="004A60C4">
            <w:pPr>
              <w:spacing w:line="360" w:lineRule="auto"/>
              <w:jc w:val="both"/>
              <w:rPr>
                <w:rFonts w:cs="Arial"/>
                <w:sz w:val="24"/>
                <w:szCs w:val="24"/>
                <w:lang w:val="en-GB"/>
              </w:rPr>
            </w:pPr>
          </w:p>
          <w:p w:rsidR="004A60C4" w:rsidRPr="004A60C4" w:rsidRDefault="004A60C4" w:rsidP="004A60C4">
            <w:pPr>
              <w:spacing w:line="360" w:lineRule="auto"/>
              <w:jc w:val="both"/>
              <w:rPr>
                <w:rFonts w:cs="Arial"/>
                <w:sz w:val="24"/>
                <w:szCs w:val="24"/>
                <w:lang w:val="en-GB"/>
              </w:rPr>
            </w:pPr>
          </w:p>
          <w:p w:rsidR="004A60C4" w:rsidRPr="004A60C4" w:rsidRDefault="004A60C4" w:rsidP="004A60C4">
            <w:pPr>
              <w:spacing w:line="360" w:lineRule="auto"/>
              <w:jc w:val="both"/>
              <w:rPr>
                <w:rFonts w:cs="Arial"/>
                <w:sz w:val="24"/>
                <w:szCs w:val="24"/>
                <w:lang w:val="en-GB"/>
              </w:rPr>
            </w:pPr>
          </w:p>
          <w:p w:rsidR="00873E14" w:rsidRPr="004A60C4" w:rsidRDefault="004A60C4" w:rsidP="004A60C4">
            <w:pPr>
              <w:tabs>
                <w:tab w:val="left" w:pos="1766"/>
              </w:tabs>
              <w:spacing w:line="360" w:lineRule="auto"/>
              <w:jc w:val="both"/>
              <w:rPr>
                <w:rFonts w:cs="Arial"/>
                <w:sz w:val="24"/>
                <w:szCs w:val="24"/>
                <w:lang w:val="en-GB"/>
              </w:rPr>
            </w:pPr>
            <w:r w:rsidRPr="004A60C4">
              <w:rPr>
                <w:rFonts w:cs="Arial"/>
                <w:sz w:val="24"/>
                <w:szCs w:val="24"/>
                <w:lang w:val="en-GB"/>
              </w:rPr>
              <w:tab/>
            </w:r>
          </w:p>
        </w:tc>
        <w:tc>
          <w:tcPr>
            <w:tcW w:w="2410" w:type="dxa"/>
          </w:tcPr>
          <w:p w:rsidR="00873E14" w:rsidRPr="004A60C4" w:rsidRDefault="00873E14" w:rsidP="004A60C4">
            <w:pPr>
              <w:spacing w:line="360" w:lineRule="auto"/>
              <w:ind w:left="66"/>
              <w:jc w:val="both"/>
              <w:rPr>
                <w:rFonts w:cs="Arial"/>
                <w:color w:val="auto"/>
                <w:sz w:val="24"/>
                <w:szCs w:val="24"/>
                <w:lang w:val="en-GB"/>
              </w:rPr>
            </w:pPr>
            <w:r w:rsidRPr="004A60C4">
              <w:rPr>
                <w:rFonts w:cs="Arial"/>
                <w:color w:val="auto"/>
                <w:sz w:val="24"/>
                <w:szCs w:val="24"/>
                <w:lang w:val="en-GB"/>
              </w:rPr>
              <w:t>DDG:PSCKM</w:t>
            </w:r>
          </w:p>
        </w:tc>
        <w:tc>
          <w:tcPr>
            <w:tcW w:w="7059" w:type="dxa"/>
          </w:tcPr>
          <w:p w:rsidR="00873E14" w:rsidRPr="004A60C4" w:rsidRDefault="00873E14" w:rsidP="004A60C4">
            <w:pPr>
              <w:spacing w:line="360" w:lineRule="auto"/>
              <w:jc w:val="both"/>
              <w:rPr>
                <w:rFonts w:cs="Arial"/>
                <w:color w:val="auto"/>
                <w:sz w:val="24"/>
                <w:szCs w:val="24"/>
                <w:lang w:val="en-GB"/>
              </w:rPr>
            </w:pPr>
            <w:r w:rsidRPr="004A60C4">
              <w:rPr>
                <w:rFonts w:cs="Arial"/>
                <w:color w:val="auto"/>
                <w:sz w:val="24"/>
                <w:szCs w:val="24"/>
                <w:lang w:val="en-GB"/>
              </w:rPr>
              <w:t xml:space="preserve">The CGE has been directly involved in the National Dialogues. The National Dialogues have been characterised by extensive collaboration across the spheres of government, civil society organisations, NGOs and with local community-based bodies. </w:t>
            </w:r>
          </w:p>
          <w:p w:rsidR="00873E14" w:rsidRPr="004A60C4" w:rsidRDefault="00873E14" w:rsidP="004A60C4">
            <w:pPr>
              <w:spacing w:line="360" w:lineRule="auto"/>
              <w:jc w:val="both"/>
              <w:rPr>
                <w:rFonts w:cs="Arial"/>
                <w:color w:val="auto"/>
                <w:sz w:val="24"/>
                <w:szCs w:val="24"/>
                <w:lang w:val="en-GB"/>
              </w:rPr>
            </w:pPr>
          </w:p>
          <w:p w:rsidR="00873E14" w:rsidRPr="004A60C4" w:rsidRDefault="00873E14" w:rsidP="004A60C4">
            <w:pPr>
              <w:spacing w:line="360" w:lineRule="auto"/>
              <w:jc w:val="both"/>
              <w:rPr>
                <w:rFonts w:ascii="Arial Narrow" w:hAnsi="Arial Narrow"/>
                <w:color w:val="auto"/>
                <w:sz w:val="24"/>
                <w:szCs w:val="24"/>
                <w:lang w:val="en-GB"/>
              </w:rPr>
            </w:pPr>
            <w:r w:rsidRPr="004A60C4">
              <w:rPr>
                <w:rFonts w:cs="Arial"/>
                <w:color w:val="auto"/>
                <w:sz w:val="24"/>
                <w:szCs w:val="24"/>
                <w:lang w:val="en-GB"/>
              </w:rPr>
              <w:t xml:space="preserve">The CGE has been a key partner and participant in initiatives such as (i) Gender-Responsive Planning, Budgeting, Monitoring and Evaluation; (ii) Development of a Country Gender Indicator Framework; (iii) Gender-responsive data collection on the SDGs, specifically SDG 5; (iv) preparation for international engagements such as the Commission on the Status of Women; (v) stakeholder engagements; </w:t>
            </w:r>
          </w:p>
        </w:tc>
      </w:tr>
      <w:tr w:rsidR="00873E14" w:rsidRPr="00DD00D3" w:rsidTr="005E68ED">
        <w:tc>
          <w:tcPr>
            <w:tcW w:w="5665" w:type="dxa"/>
          </w:tcPr>
          <w:p w:rsidR="00873E14" w:rsidRPr="00DD00D3" w:rsidRDefault="00873E14" w:rsidP="004A60C4">
            <w:pPr>
              <w:numPr>
                <w:ilvl w:val="0"/>
                <w:numId w:val="1"/>
              </w:numPr>
              <w:spacing w:line="360" w:lineRule="auto"/>
              <w:ind w:left="426"/>
              <w:jc w:val="both"/>
              <w:rPr>
                <w:rFonts w:cs="Arial"/>
                <w:color w:val="auto"/>
                <w:sz w:val="24"/>
                <w:szCs w:val="24"/>
                <w:lang w:val="en-GB"/>
              </w:rPr>
            </w:pPr>
            <w:r w:rsidRPr="00DD00D3">
              <w:rPr>
                <w:rFonts w:cs="Arial"/>
                <w:color w:val="auto"/>
                <w:sz w:val="24"/>
                <w:szCs w:val="24"/>
                <w:lang w:val="en-GB"/>
              </w:rPr>
              <w:t xml:space="preserve">The Committee requests a plan that outlines </w:t>
            </w:r>
            <w:r w:rsidRPr="00DD00D3">
              <w:rPr>
                <w:rFonts w:cs="Arial"/>
                <w:color w:val="auto"/>
                <w:sz w:val="24"/>
                <w:szCs w:val="24"/>
                <w:lang w:val="en-GB"/>
              </w:rPr>
              <w:lastRenderedPageBreak/>
              <w:t xml:space="preserve">how the Department collaborates with key stakeholders </w:t>
            </w:r>
            <w:r w:rsidR="006C1CAD">
              <w:rPr>
                <w:rFonts w:cs="Arial"/>
                <w:color w:val="auto"/>
                <w:sz w:val="24"/>
                <w:szCs w:val="24"/>
                <w:lang w:val="en-GB"/>
              </w:rPr>
              <w:t>with regard to</w:t>
            </w:r>
            <w:r w:rsidRPr="00DD00D3">
              <w:rPr>
                <w:rFonts w:cs="Arial"/>
                <w:color w:val="auto"/>
                <w:sz w:val="24"/>
                <w:szCs w:val="24"/>
                <w:lang w:val="en-GB"/>
              </w:rPr>
              <w:t xml:space="preserve"> gender-mainstreaming with a specific emphasis on GBVF.</w:t>
            </w:r>
          </w:p>
        </w:tc>
        <w:tc>
          <w:tcPr>
            <w:tcW w:w="2410"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lastRenderedPageBreak/>
              <w:t>DDG: STEE</w:t>
            </w:r>
          </w:p>
        </w:tc>
        <w:tc>
          <w:tcPr>
            <w:tcW w:w="7059"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The development of a National Strategic Plan on Gender-</w:t>
            </w:r>
            <w:r w:rsidRPr="00DD00D3">
              <w:rPr>
                <w:rFonts w:cs="Arial"/>
                <w:color w:val="auto"/>
                <w:sz w:val="24"/>
                <w:szCs w:val="24"/>
                <w:lang w:val="en-GB"/>
              </w:rPr>
              <w:lastRenderedPageBreak/>
              <w:t>based Violence and Femicide (NSP) is currently underw</w:t>
            </w:r>
            <w:r w:rsidR="002D0738">
              <w:rPr>
                <w:rFonts w:cs="Arial"/>
                <w:color w:val="auto"/>
                <w:sz w:val="24"/>
                <w:szCs w:val="24"/>
                <w:lang w:val="en-GB"/>
              </w:rPr>
              <w:t>ay and the focus of extensive, M</w:t>
            </w:r>
            <w:r w:rsidRPr="00DD00D3">
              <w:rPr>
                <w:rFonts w:cs="Arial"/>
                <w:color w:val="auto"/>
                <w:sz w:val="24"/>
                <w:szCs w:val="24"/>
                <w:lang w:val="en-GB"/>
              </w:rPr>
              <w:t>ulti-</w:t>
            </w:r>
            <w:r w:rsidR="002D0738" w:rsidRPr="00DD00D3">
              <w:rPr>
                <w:rFonts w:cs="Arial"/>
                <w:color w:val="auto"/>
                <w:sz w:val="24"/>
                <w:szCs w:val="24"/>
                <w:lang w:val="en-GB"/>
              </w:rPr>
              <w:t>Sectoral</w:t>
            </w:r>
            <w:r w:rsidRPr="00DD00D3">
              <w:rPr>
                <w:rFonts w:cs="Arial"/>
                <w:color w:val="auto"/>
                <w:sz w:val="24"/>
                <w:szCs w:val="24"/>
                <w:lang w:val="en-GB"/>
              </w:rPr>
              <w:t xml:space="preserve"> consultation.  </w:t>
            </w:r>
          </w:p>
          <w:p w:rsidR="00873E14" w:rsidRPr="00DD00D3" w:rsidRDefault="00873E14" w:rsidP="004A60C4">
            <w:pPr>
              <w:spacing w:line="360" w:lineRule="auto"/>
              <w:jc w:val="both"/>
              <w:rPr>
                <w:rFonts w:cs="Arial"/>
                <w:color w:val="auto"/>
                <w:sz w:val="24"/>
                <w:szCs w:val="24"/>
                <w:lang w:val="en-GB"/>
              </w:rPr>
            </w:pPr>
          </w:p>
          <w:p w:rsidR="00873E14" w:rsidRDefault="00873E14" w:rsidP="004A60C4">
            <w:pPr>
              <w:spacing w:line="360" w:lineRule="auto"/>
              <w:jc w:val="both"/>
              <w:rPr>
                <w:rFonts w:cs="Arial"/>
                <w:color w:val="auto"/>
                <w:sz w:val="24"/>
                <w:szCs w:val="24"/>
                <w:lang w:val="en-GB"/>
              </w:rPr>
            </w:pPr>
            <w:r w:rsidRPr="00DD00D3">
              <w:rPr>
                <w:rFonts w:cs="Arial"/>
                <w:color w:val="auto"/>
                <w:sz w:val="24"/>
                <w:szCs w:val="24"/>
                <w:lang w:val="en-GB"/>
              </w:rPr>
              <w:t>An Interim Gender-Based Violence and Femicide Steering Committee (IGBVF-ISC) has been established to develop an action plan and assemble a permanent Multi-Sectoral Coordinating (MSC) body to implement actions outlined in</w:t>
            </w:r>
            <w:r w:rsidR="002D0738">
              <w:rPr>
                <w:rFonts w:cs="Arial"/>
                <w:color w:val="auto"/>
                <w:sz w:val="24"/>
                <w:szCs w:val="24"/>
                <w:lang w:val="en-GB"/>
              </w:rPr>
              <w:t xml:space="preserve"> the Declaration. The proposed Multi-S</w:t>
            </w:r>
            <w:r w:rsidRPr="00DD00D3">
              <w:rPr>
                <w:rFonts w:cs="Arial"/>
                <w:color w:val="auto"/>
                <w:sz w:val="24"/>
                <w:szCs w:val="24"/>
                <w:lang w:val="en-GB"/>
              </w:rPr>
              <w:t>ectoral coordinating body recognises the need for strong political leadership and the meaningful participation of all sectors in the national response to GBVF. The ISC is established to respond to the GBVF crisis facing the count and provide a strategic and operational holding space to the planned National Council on Gender based Violence (NCGBV). The NCGBV will be established to amplify the national response to GBVF/VAWG across response, care and support and prevention to facilitate a strengthened, survivor-focused, resourced and coordinated strategic response that optimally harnesses the knowledge, experiences and roles of respective stakeholders towards a common agenda of eliminating GBVF in South Africa, building the agency of vulnerable groups, holding perpetrators accountable and healing our country.</w:t>
            </w:r>
          </w:p>
          <w:p w:rsidR="00847920" w:rsidRPr="00DD00D3" w:rsidRDefault="00847920" w:rsidP="004A60C4">
            <w:pPr>
              <w:spacing w:line="360" w:lineRule="auto"/>
              <w:jc w:val="both"/>
              <w:rPr>
                <w:rFonts w:cs="Arial"/>
                <w:color w:val="auto"/>
                <w:sz w:val="24"/>
                <w:szCs w:val="24"/>
                <w:lang w:val="en-GB"/>
              </w:rPr>
            </w:pPr>
          </w:p>
        </w:tc>
      </w:tr>
      <w:tr w:rsidR="00873E14" w:rsidRPr="00DD00D3" w:rsidTr="005E68ED">
        <w:tc>
          <w:tcPr>
            <w:tcW w:w="5665" w:type="dxa"/>
          </w:tcPr>
          <w:p w:rsidR="00873E14" w:rsidRPr="00DD00D3" w:rsidRDefault="00873E14" w:rsidP="004A60C4">
            <w:pPr>
              <w:numPr>
                <w:ilvl w:val="0"/>
                <w:numId w:val="1"/>
              </w:numPr>
              <w:spacing w:line="360" w:lineRule="auto"/>
              <w:ind w:left="426"/>
              <w:jc w:val="both"/>
              <w:rPr>
                <w:rFonts w:cs="Arial"/>
                <w:color w:val="auto"/>
                <w:sz w:val="24"/>
                <w:szCs w:val="24"/>
                <w:lang w:val="en-GB"/>
              </w:rPr>
            </w:pPr>
            <w:r w:rsidRPr="00DD00D3">
              <w:rPr>
                <w:rFonts w:cs="Arial"/>
                <w:color w:val="auto"/>
                <w:sz w:val="24"/>
                <w:szCs w:val="24"/>
                <w:lang w:val="en-GB"/>
              </w:rPr>
              <w:lastRenderedPageBreak/>
              <w:t>The Committee recommends that specific emphasis should be placed on developing relationships with GFPs within government departments, Premiers Offices, Mayor’s offices and municipalities.</w:t>
            </w:r>
          </w:p>
        </w:tc>
        <w:tc>
          <w:tcPr>
            <w:tcW w:w="2410"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DDG:STEE</w:t>
            </w:r>
          </w:p>
        </w:tc>
        <w:tc>
          <w:tcPr>
            <w:tcW w:w="7059"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All Government departments according to this policy are expected to have dedicated Gender Focal Points and Units responsible for coordinating gender mainstreaming, women empowerment programmes and projects that are adequately resourced. The Director Generals (National) and  Heads of Departments (Provincial) as Accounting Officers are the ultimate responsible officials in ensuring the integration of gender across the three spheres of government (i.e. National, Provincial and Local) and this relationship can be further enhanced through the Gender Interdepartmental and intergovernmental forums that drive gender agenda across government and have proven useful in setting the relevant gender mainstreaming agenda, as well as in monitoring and evaluation.</w:t>
            </w:r>
          </w:p>
          <w:p w:rsidR="00873E14" w:rsidRPr="00DD00D3" w:rsidRDefault="00873E14" w:rsidP="004A60C4">
            <w:pPr>
              <w:spacing w:line="360" w:lineRule="auto"/>
              <w:jc w:val="both"/>
              <w:rPr>
                <w:rFonts w:cs="Arial"/>
                <w:color w:val="auto"/>
                <w:sz w:val="24"/>
                <w:szCs w:val="24"/>
                <w:lang w:val="en-GB"/>
              </w:rPr>
            </w:pPr>
          </w:p>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 xml:space="preserve">Furthermore, the NGM Forum is currently under resuscitation to respond more effectively to the Constitutional aspirations for the advancement of women’s empowerment and the vision of gender equality. The primary purpose of the NGM Forum is to broaden sectoral participation in the National Gender Programme by engaging all stakeholders and structures of the NGM. In this regard the NGM forum is re-established to promote </w:t>
            </w:r>
            <w:r w:rsidRPr="00DD00D3">
              <w:rPr>
                <w:rFonts w:cs="Arial"/>
                <w:color w:val="auto"/>
                <w:sz w:val="24"/>
                <w:szCs w:val="24"/>
                <w:lang w:val="en-GB"/>
              </w:rPr>
              <w:lastRenderedPageBreak/>
              <w:t xml:space="preserve">interdependence between arms of state, by amongst others: </w:t>
            </w:r>
          </w:p>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 Facilitating and providing for the formulation of gender-specific action priorities at national, provincial and local government levels;</w:t>
            </w:r>
          </w:p>
          <w:p w:rsidR="00873E14" w:rsidRPr="00DD00D3" w:rsidRDefault="00873E14" w:rsidP="004A60C4">
            <w:pPr>
              <w:spacing w:line="360" w:lineRule="auto"/>
              <w:jc w:val="both"/>
              <w:rPr>
                <w:rFonts w:cs="Arial"/>
                <w:color w:val="auto"/>
                <w:sz w:val="24"/>
                <w:szCs w:val="24"/>
                <w:lang w:val="en-GB"/>
              </w:rPr>
            </w:pPr>
          </w:p>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 xml:space="preserve">Presentation prepared and attached </w:t>
            </w:r>
          </w:p>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 xml:space="preserve">The Department completed various research, monitoring and evaluation reports in 2018/19.  Copies of these reports have been submitted to the Committee as requested.  Key documents include the following: </w:t>
            </w:r>
          </w:p>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 Country Gender Indicator Framework</w:t>
            </w:r>
          </w:p>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 Evaluation of the Always Keeping a Girl Child in School Programme</w:t>
            </w:r>
          </w:p>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 xml:space="preserve">• Sanitary Dignity Monitoring and Evaluation Framework </w:t>
            </w:r>
          </w:p>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 Gender analysis of DTI incentive schemes</w:t>
            </w:r>
          </w:p>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 25-year review of women’s empowerment and gender equality</w:t>
            </w:r>
          </w:p>
        </w:tc>
      </w:tr>
      <w:tr w:rsidR="00873E14" w:rsidRPr="00DD00D3" w:rsidTr="005E68ED">
        <w:tc>
          <w:tcPr>
            <w:tcW w:w="5665" w:type="dxa"/>
          </w:tcPr>
          <w:p w:rsidR="00873E14" w:rsidRPr="00DD00D3" w:rsidRDefault="00873E14" w:rsidP="004A60C4">
            <w:pPr>
              <w:pStyle w:val="ListParagraph"/>
              <w:numPr>
                <w:ilvl w:val="2"/>
                <w:numId w:val="17"/>
              </w:numPr>
              <w:spacing w:line="360" w:lineRule="auto"/>
              <w:jc w:val="both"/>
              <w:rPr>
                <w:rFonts w:cs="Arial"/>
                <w:b/>
                <w:color w:val="auto"/>
                <w:sz w:val="24"/>
                <w:szCs w:val="24"/>
                <w:lang w:val="en-GB"/>
              </w:rPr>
            </w:pPr>
            <w:r w:rsidRPr="00DD00D3">
              <w:rPr>
                <w:rFonts w:cs="Arial"/>
                <w:b/>
                <w:color w:val="auto"/>
                <w:sz w:val="24"/>
                <w:szCs w:val="24"/>
                <w:lang w:val="en-GB"/>
              </w:rPr>
              <w:lastRenderedPageBreak/>
              <w:t xml:space="preserve">Country Gender Indicator Framework </w:t>
            </w:r>
          </w:p>
        </w:tc>
        <w:tc>
          <w:tcPr>
            <w:tcW w:w="2410" w:type="dxa"/>
          </w:tcPr>
          <w:p w:rsidR="00873E14" w:rsidRPr="00DD00D3" w:rsidRDefault="00873E14" w:rsidP="004A60C4">
            <w:pPr>
              <w:spacing w:line="360" w:lineRule="auto"/>
              <w:jc w:val="both"/>
              <w:rPr>
                <w:rFonts w:cs="Arial"/>
                <w:b/>
                <w:color w:val="auto"/>
                <w:sz w:val="24"/>
                <w:szCs w:val="24"/>
                <w:lang w:val="en-GB"/>
              </w:rPr>
            </w:pPr>
          </w:p>
        </w:tc>
        <w:tc>
          <w:tcPr>
            <w:tcW w:w="7059" w:type="dxa"/>
          </w:tcPr>
          <w:p w:rsidR="00873E14" w:rsidRPr="00DD00D3" w:rsidRDefault="00873E14" w:rsidP="004A60C4">
            <w:pPr>
              <w:spacing w:line="360" w:lineRule="auto"/>
              <w:jc w:val="both"/>
              <w:rPr>
                <w:rFonts w:cs="Arial"/>
                <w:b/>
                <w:color w:val="auto"/>
                <w:sz w:val="24"/>
                <w:szCs w:val="24"/>
                <w:lang w:val="en-GB"/>
              </w:rPr>
            </w:pPr>
          </w:p>
        </w:tc>
      </w:tr>
      <w:tr w:rsidR="00873E14" w:rsidRPr="00DD00D3" w:rsidTr="005E68ED">
        <w:tc>
          <w:tcPr>
            <w:tcW w:w="5665" w:type="dxa"/>
          </w:tcPr>
          <w:p w:rsidR="00873E14" w:rsidRPr="00DD00D3" w:rsidRDefault="00873E14" w:rsidP="004A60C4">
            <w:pPr>
              <w:numPr>
                <w:ilvl w:val="0"/>
                <w:numId w:val="6"/>
              </w:numPr>
              <w:spacing w:line="360" w:lineRule="auto"/>
              <w:ind w:left="426"/>
              <w:jc w:val="both"/>
              <w:rPr>
                <w:rFonts w:cs="Arial"/>
                <w:color w:val="auto"/>
                <w:sz w:val="24"/>
                <w:szCs w:val="24"/>
                <w:lang w:val="en-GB"/>
              </w:rPr>
            </w:pPr>
            <w:r w:rsidRPr="00DD00D3">
              <w:rPr>
                <w:rFonts w:cs="Arial"/>
                <w:color w:val="auto"/>
                <w:sz w:val="24"/>
                <w:szCs w:val="24"/>
                <w:lang w:val="en-GB"/>
              </w:rPr>
              <w:t xml:space="preserve">The </w:t>
            </w:r>
            <w:r w:rsidRPr="00DD00D3">
              <w:rPr>
                <w:rFonts w:cs="Arial"/>
                <w:color w:val="auto"/>
                <w:sz w:val="24"/>
                <w:szCs w:val="24"/>
              </w:rPr>
              <w:t>Committee recommends that t</w:t>
            </w:r>
            <w:r w:rsidRPr="00DD00D3">
              <w:rPr>
                <w:rFonts w:cs="Arial"/>
                <w:color w:val="auto"/>
                <w:sz w:val="24"/>
                <w:szCs w:val="24"/>
                <w:lang w:val="en-GB"/>
              </w:rPr>
              <w:t>he Department should present the CGE framework to the Committee along with the 65 indicators identified.</w:t>
            </w:r>
          </w:p>
        </w:tc>
        <w:tc>
          <w:tcPr>
            <w:tcW w:w="2410"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DDG:PSCKM</w:t>
            </w:r>
          </w:p>
        </w:tc>
        <w:tc>
          <w:tcPr>
            <w:tcW w:w="7059" w:type="dxa"/>
          </w:tcPr>
          <w:p w:rsidR="00873E14" w:rsidRPr="00DD00D3" w:rsidRDefault="007E66F2">
            <w:pPr>
              <w:spacing w:line="360" w:lineRule="auto"/>
              <w:jc w:val="both"/>
              <w:rPr>
                <w:rFonts w:cs="Arial"/>
                <w:color w:val="auto"/>
                <w:sz w:val="24"/>
                <w:szCs w:val="24"/>
                <w:lang w:val="en-GB"/>
              </w:rPr>
            </w:pPr>
            <w:r>
              <w:rPr>
                <w:rFonts w:cs="Arial"/>
                <w:color w:val="auto"/>
                <w:sz w:val="24"/>
                <w:szCs w:val="24"/>
                <w:lang w:val="en-GB"/>
              </w:rPr>
              <w:t xml:space="preserve">The department </w:t>
            </w:r>
            <w:r w:rsidR="006C1CAD">
              <w:rPr>
                <w:rFonts w:cs="Arial"/>
                <w:color w:val="auto"/>
                <w:sz w:val="24"/>
                <w:szCs w:val="24"/>
                <w:lang w:val="en-GB"/>
              </w:rPr>
              <w:t>will share this recommendation with CGE</w:t>
            </w:r>
            <w:r w:rsidR="002A179E">
              <w:rPr>
                <w:rFonts w:cs="Arial"/>
                <w:color w:val="auto"/>
                <w:sz w:val="24"/>
                <w:szCs w:val="24"/>
                <w:lang w:val="en-GB"/>
              </w:rPr>
              <w:t xml:space="preserve">. The department will request a further discussion on the recommendation with the Portfolio Committee during the quarter 2 performance presentation to ensure that the matter is properly addressed. </w:t>
            </w:r>
          </w:p>
        </w:tc>
      </w:tr>
      <w:tr w:rsidR="00873E14" w:rsidRPr="00DD00D3" w:rsidTr="005E68ED">
        <w:tc>
          <w:tcPr>
            <w:tcW w:w="5665" w:type="dxa"/>
          </w:tcPr>
          <w:p w:rsidR="00873E14" w:rsidRPr="00DD00D3" w:rsidRDefault="00873E14" w:rsidP="004A60C4">
            <w:pPr>
              <w:numPr>
                <w:ilvl w:val="0"/>
                <w:numId w:val="6"/>
              </w:numPr>
              <w:spacing w:line="360" w:lineRule="auto"/>
              <w:ind w:left="426"/>
              <w:jc w:val="both"/>
              <w:rPr>
                <w:rFonts w:cs="Arial"/>
                <w:color w:val="auto"/>
                <w:sz w:val="24"/>
                <w:szCs w:val="24"/>
                <w:lang w:val="en-GB"/>
              </w:rPr>
            </w:pPr>
            <w:r w:rsidRPr="00DD00D3">
              <w:rPr>
                <w:rFonts w:cs="Arial"/>
                <w:color w:val="auto"/>
                <w:sz w:val="24"/>
                <w:szCs w:val="24"/>
                <w:lang w:val="en-GB"/>
              </w:rPr>
              <w:lastRenderedPageBreak/>
              <w:t>The Department should be requested to present its findings on all analysis, monitoring and evaluations undertaken. To this end, reports compiled should be referred to the Committee for consideration.</w:t>
            </w:r>
          </w:p>
        </w:tc>
        <w:tc>
          <w:tcPr>
            <w:tcW w:w="2410"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DDG:PSCKM</w:t>
            </w:r>
          </w:p>
        </w:tc>
        <w:tc>
          <w:tcPr>
            <w:tcW w:w="7059"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 xml:space="preserve">The Department completed various research, monitoring and evaluation reports in 2018/19.  Copies of these reports have been submitted to the Committee as requested.  Key documents include the following: </w:t>
            </w:r>
          </w:p>
          <w:p w:rsidR="00873E14" w:rsidRPr="00DD00D3" w:rsidRDefault="00873E14" w:rsidP="004A60C4">
            <w:pPr>
              <w:pStyle w:val="ListParagraph"/>
              <w:numPr>
                <w:ilvl w:val="0"/>
                <w:numId w:val="19"/>
              </w:numPr>
              <w:spacing w:line="360" w:lineRule="auto"/>
              <w:jc w:val="both"/>
              <w:rPr>
                <w:rFonts w:cs="Arial"/>
                <w:color w:val="auto"/>
                <w:sz w:val="24"/>
                <w:szCs w:val="24"/>
                <w:lang w:val="en-GB"/>
              </w:rPr>
            </w:pPr>
            <w:r w:rsidRPr="00DD00D3">
              <w:rPr>
                <w:rFonts w:cs="Arial"/>
                <w:color w:val="auto"/>
                <w:sz w:val="24"/>
                <w:szCs w:val="24"/>
                <w:lang w:val="en-GB"/>
              </w:rPr>
              <w:t>Country Gender Indicator Framework</w:t>
            </w:r>
          </w:p>
          <w:p w:rsidR="00873E14" w:rsidRPr="00DD00D3" w:rsidRDefault="00873E14" w:rsidP="004A60C4">
            <w:pPr>
              <w:pStyle w:val="ListParagraph"/>
              <w:numPr>
                <w:ilvl w:val="0"/>
                <w:numId w:val="19"/>
              </w:numPr>
              <w:spacing w:line="360" w:lineRule="auto"/>
              <w:jc w:val="both"/>
              <w:rPr>
                <w:rFonts w:cs="Arial"/>
                <w:color w:val="auto"/>
                <w:sz w:val="24"/>
                <w:szCs w:val="24"/>
                <w:lang w:val="en-GB"/>
              </w:rPr>
            </w:pPr>
            <w:r w:rsidRPr="00DD00D3">
              <w:rPr>
                <w:rFonts w:cs="Arial"/>
                <w:color w:val="auto"/>
                <w:sz w:val="24"/>
                <w:szCs w:val="24"/>
                <w:lang w:val="en-GB"/>
              </w:rPr>
              <w:t>Evaluation of the Always Keeping a Girl Child in School Programme</w:t>
            </w:r>
          </w:p>
          <w:p w:rsidR="00873E14" w:rsidRPr="00DD00D3" w:rsidRDefault="00873E14" w:rsidP="004A60C4">
            <w:pPr>
              <w:pStyle w:val="ListParagraph"/>
              <w:numPr>
                <w:ilvl w:val="0"/>
                <w:numId w:val="19"/>
              </w:numPr>
              <w:spacing w:line="360" w:lineRule="auto"/>
              <w:jc w:val="both"/>
              <w:rPr>
                <w:rFonts w:cs="Arial"/>
                <w:color w:val="auto"/>
                <w:sz w:val="24"/>
                <w:szCs w:val="24"/>
                <w:lang w:val="en-GB"/>
              </w:rPr>
            </w:pPr>
            <w:r w:rsidRPr="00DD00D3">
              <w:rPr>
                <w:rFonts w:cs="Arial"/>
                <w:color w:val="auto"/>
                <w:sz w:val="24"/>
                <w:szCs w:val="24"/>
                <w:lang w:val="en-GB"/>
              </w:rPr>
              <w:t xml:space="preserve">Sanitary Dignity Monitoring and Evaluation Framework </w:t>
            </w:r>
          </w:p>
          <w:p w:rsidR="00873E14" w:rsidRPr="00DD00D3" w:rsidRDefault="00873E14" w:rsidP="004A60C4">
            <w:pPr>
              <w:pStyle w:val="ListParagraph"/>
              <w:numPr>
                <w:ilvl w:val="0"/>
                <w:numId w:val="19"/>
              </w:numPr>
              <w:spacing w:line="360" w:lineRule="auto"/>
              <w:jc w:val="both"/>
              <w:rPr>
                <w:rFonts w:cs="Arial"/>
                <w:color w:val="auto"/>
                <w:sz w:val="24"/>
                <w:szCs w:val="24"/>
                <w:lang w:val="en-GB"/>
              </w:rPr>
            </w:pPr>
            <w:r w:rsidRPr="00DD00D3">
              <w:rPr>
                <w:rFonts w:cs="Arial"/>
                <w:color w:val="auto"/>
                <w:sz w:val="24"/>
                <w:szCs w:val="24"/>
                <w:lang w:val="en-GB"/>
              </w:rPr>
              <w:t>Gender analysis of DTI incentive schemes</w:t>
            </w:r>
          </w:p>
          <w:p w:rsidR="00873E14" w:rsidRPr="00DD00D3" w:rsidRDefault="00873E14" w:rsidP="004A60C4">
            <w:pPr>
              <w:pStyle w:val="ListParagraph"/>
              <w:numPr>
                <w:ilvl w:val="0"/>
                <w:numId w:val="19"/>
              </w:numPr>
              <w:spacing w:line="360" w:lineRule="auto"/>
              <w:jc w:val="both"/>
              <w:rPr>
                <w:rFonts w:cs="Arial"/>
                <w:color w:val="auto"/>
                <w:sz w:val="24"/>
                <w:szCs w:val="24"/>
                <w:lang w:val="en-GB"/>
              </w:rPr>
            </w:pPr>
            <w:r w:rsidRPr="00DD00D3">
              <w:rPr>
                <w:rFonts w:cs="Arial"/>
                <w:color w:val="auto"/>
                <w:sz w:val="24"/>
                <w:szCs w:val="24"/>
                <w:lang w:val="en-GB"/>
              </w:rPr>
              <w:t>25-year review of women’s empowerment and gender equality</w:t>
            </w:r>
          </w:p>
        </w:tc>
      </w:tr>
      <w:tr w:rsidR="00873E14" w:rsidRPr="00DD00D3" w:rsidTr="005E68ED">
        <w:tc>
          <w:tcPr>
            <w:tcW w:w="5665" w:type="dxa"/>
          </w:tcPr>
          <w:p w:rsidR="00873E14" w:rsidRPr="00DD00D3" w:rsidRDefault="00873E14" w:rsidP="004A60C4">
            <w:pPr>
              <w:pStyle w:val="ListParagraph"/>
              <w:numPr>
                <w:ilvl w:val="2"/>
                <w:numId w:val="17"/>
              </w:numPr>
              <w:spacing w:line="360" w:lineRule="auto"/>
              <w:jc w:val="both"/>
              <w:rPr>
                <w:rFonts w:cs="Arial"/>
                <w:b/>
                <w:color w:val="auto"/>
                <w:sz w:val="24"/>
                <w:szCs w:val="24"/>
                <w:lang w:val="en-GB"/>
              </w:rPr>
            </w:pPr>
            <w:r w:rsidRPr="00DD00D3">
              <w:rPr>
                <w:rFonts w:cs="Arial"/>
                <w:b/>
                <w:color w:val="auto"/>
                <w:sz w:val="24"/>
                <w:szCs w:val="24"/>
                <w:lang w:val="en-GB"/>
              </w:rPr>
              <w:t>Events/Campaigns/Conferences</w:t>
            </w:r>
          </w:p>
        </w:tc>
        <w:tc>
          <w:tcPr>
            <w:tcW w:w="2410" w:type="dxa"/>
          </w:tcPr>
          <w:p w:rsidR="00873E14" w:rsidRPr="00DD00D3" w:rsidRDefault="00873E14" w:rsidP="004A60C4">
            <w:pPr>
              <w:spacing w:line="360" w:lineRule="auto"/>
              <w:jc w:val="both"/>
              <w:rPr>
                <w:rFonts w:cs="Arial"/>
                <w:b/>
                <w:color w:val="auto"/>
                <w:sz w:val="24"/>
                <w:szCs w:val="24"/>
                <w:lang w:val="en-GB"/>
              </w:rPr>
            </w:pPr>
          </w:p>
        </w:tc>
        <w:tc>
          <w:tcPr>
            <w:tcW w:w="7059" w:type="dxa"/>
          </w:tcPr>
          <w:p w:rsidR="00873E14" w:rsidRPr="00DD00D3" w:rsidRDefault="00873E14" w:rsidP="004A60C4">
            <w:pPr>
              <w:spacing w:line="360" w:lineRule="auto"/>
              <w:jc w:val="both"/>
              <w:rPr>
                <w:rFonts w:cs="Arial"/>
                <w:b/>
                <w:color w:val="auto"/>
                <w:sz w:val="24"/>
                <w:szCs w:val="24"/>
                <w:lang w:val="en-GB"/>
              </w:rPr>
            </w:pPr>
          </w:p>
        </w:tc>
      </w:tr>
      <w:tr w:rsidR="00873E14" w:rsidRPr="00DD00D3" w:rsidTr="005E68ED">
        <w:tc>
          <w:tcPr>
            <w:tcW w:w="5665" w:type="dxa"/>
          </w:tcPr>
          <w:p w:rsidR="00873E14" w:rsidRPr="00DD00D3" w:rsidRDefault="00873E14" w:rsidP="004A60C4">
            <w:pPr>
              <w:numPr>
                <w:ilvl w:val="0"/>
                <w:numId w:val="7"/>
              </w:numPr>
              <w:spacing w:line="360" w:lineRule="auto"/>
              <w:ind w:left="426"/>
              <w:jc w:val="both"/>
              <w:rPr>
                <w:rFonts w:cs="Arial"/>
                <w:color w:val="auto"/>
                <w:sz w:val="24"/>
                <w:szCs w:val="24"/>
                <w:lang w:val="en-GB"/>
              </w:rPr>
            </w:pPr>
            <w:r w:rsidRPr="00DD00D3">
              <w:rPr>
                <w:rFonts w:cs="Arial"/>
                <w:color w:val="auto"/>
                <w:sz w:val="24"/>
                <w:szCs w:val="24"/>
                <w:lang w:val="en-GB"/>
              </w:rPr>
              <w:t xml:space="preserve">The </w:t>
            </w:r>
            <w:r w:rsidRPr="00DD00D3">
              <w:rPr>
                <w:rFonts w:cs="Arial"/>
                <w:color w:val="auto"/>
                <w:sz w:val="24"/>
                <w:szCs w:val="24"/>
              </w:rPr>
              <w:t>Committee recommends that t</w:t>
            </w:r>
            <w:r w:rsidRPr="00DD00D3">
              <w:rPr>
                <w:rFonts w:cs="Arial"/>
                <w:color w:val="auto"/>
                <w:sz w:val="24"/>
                <w:szCs w:val="24"/>
                <w:lang w:val="en-GB"/>
              </w:rPr>
              <w:t xml:space="preserve">he Department should inform the Committee in advance of all initiatives it intends undertaking in order for Portfolio Committee Members to attend where possible. </w:t>
            </w:r>
          </w:p>
        </w:tc>
        <w:tc>
          <w:tcPr>
            <w:tcW w:w="2410"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DDG:STEE</w:t>
            </w:r>
          </w:p>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 PSCKM</w:t>
            </w:r>
          </w:p>
        </w:tc>
        <w:tc>
          <w:tcPr>
            <w:tcW w:w="7059" w:type="dxa"/>
          </w:tcPr>
          <w:p w:rsidR="00873E14" w:rsidRPr="00DD00D3" w:rsidRDefault="00873E14" w:rsidP="005E68ED">
            <w:pPr>
              <w:spacing w:line="360" w:lineRule="auto"/>
              <w:jc w:val="both"/>
              <w:rPr>
                <w:rFonts w:cs="Arial"/>
                <w:color w:val="auto"/>
                <w:sz w:val="24"/>
                <w:szCs w:val="24"/>
                <w:lang w:val="en-GB"/>
              </w:rPr>
            </w:pPr>
            <w:r w:rsidRPr="00DD00D3">
              <w:rPr>
                <w:rFonts w:cs="Arial"/>
                <w:color w:val="auto"/>
                <w:sz w:val="24"/>
                <w:szCs w:val="24"/>
                <w:lang w:val="en-GB"/>
              </w:rPr>
              <w:t>Invitations to the Committee have been issued for all major events in 2018/19</w:t>
            </w:r>
            <w:r w:rsidR="00A808C9">
              <w:rPr>
                <w:rFonts w:cs="Arial"/>
                <w:color w:val="auto"/>
                <w:sz w:val="24"/>
                <w:szCs w:val="24"/>
                <w:lang w:val="en-GB"/>
              </w:rPr>
              <w:t xml:space="preserve"> and will </w:t>
            </w:r>
            <w:r w:rsidR="00A808C9" w:rsidRPr="00DD00D3">
              <w:rPr>
                <w:rFonts w:cs="Arial"/>
                <w:color w:val="auto"/>
                <w:sz w:val="24"/>
                <w:szCs w:val="24"/>
                <w:lang w:val="en-GB"/>
              </w:rPr>
              <w:t>inform the Committee in advance of all initiatives it intends undertaking in order for Portfolio Committee Members to attend where possible.</w:t>
            </w:r>
          </w:p>
        </w:tc>
      </w:tr>
      <w:tr w:rsidR="00873E14" w:rsidRPr="00DD00D3" w:rsidTr="005E68ED">
        <w:tc>
          <w:tcPr>
            <w:tcW w:w="5665" w:type="dxa"/>
          </w:tcPr>
          <w:p w:rsidR="00873E14" w:rsidRPr="00DD00D3" w:rsidRDefault="00873E14" w:rsidP="004A60C4">
            <w:pPr>
              <w:numPr>
                <w:ilvl w:val="0"/>
                <w:numId w:val="7"/>
              </w:numPr>
              <w:spacing w:line="360" w:lineRule="auto"/>
              <w:ind w:left="426"/>
              <w:jc w:val="both"/>
              <w:rPr>
                <w:rFonts w:cs="Arial"/>
                <w:color w:val="auto"/>
                <w:sz w:val="24"/>
                <w:szCs w:val="24"/>
                <w:lang w:val="en-GB"/>
              </w:rPr>
            </w:pPr>
            <w:r w:rsidRPr="00DD00D3">
              <w:rPr>
                <w:rFonts w:cs="Arial"/>
                <w:color w:val="auto"/>
                <w:sz w:val="24"/>
                <w:szCs w:val="24"/>
                <w:lang w:val="en-GB"/>
              </w:rPr>
              <w:t xml:space="preserve">The </w:t>
            </w:r>
            <w:r w:rsidRPr="00DD00D3">
              <w:rPr>
                <w:rFonts w:cs="Arial"/>
                <w:color w:val="auto"/>
                <w:sz w:val="24"/>
                <w:szCs w:val="24"/>
              </w:rPr>
              <w:t>Committee recommends that t</w:t>
            </w:r>
            <w:r w:rsidRPr="00DD00D3">
              <w:rPr>
                <w:rFonts w:cs="Arial"/>
                <w:color w:val="auto"/>
                <w:sz w:val="24"/>
                <w:szCs w:val="24"/>
                <w:lang w:val="en-GB"/>
              </w:rPr>
              <w:t xml:space="preserve">he Department should provide the Committee with reports of all initiatives undertaken by outlining the cost incurred (as per the recommendation on spending trends), the </w:t>
            </w:r>
            <w:r w:rsidRPr="00DD00D3">
              <w:rPr>
                <w:rFonts w:cs="Arial"/>
                <w:color w:val="auto"/>
                <w:sz w:val="24"/>
                <w:szCs w:val="24"/>
                <w:lang w:val="en-GB"/>
              </w:rPr>
              <w:lastRenderedPageBreak/>
              <w:t>purpose of initiatives and its relation to the APP, the outcomes of the initiative, number of intended beneficiaries and an action plan as to how resolutions/outcomes will be implemented.</w:t>
            </w:r>
          </w:p>
        </w:tc>
        <w:tc>
          <w:tcPr>
            <w:tcW w:w="2410"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lastRenderedPageBreak/>
              <w:t>DDG:STEE</w:t>
            </w:r>
          </w:p>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 PSCKM</w:t>
            </w:r>
          </w:p>
        </w:tc>
        <w:tc>
          <w:tcPr>
            <w:tcW w:w="7059"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Please see Annexure A, which provides an update on previous submission in this regard</w:t>
            </w:r>
          </w:p>
        </w:tc>
      </w:tr>
      <w:tr w:rsidR="00873E14" w:rsidRPr="00DD00D3" w:rsidTr="005E68ED">
        <w:tc>
          <w:tcPr>
            <w:tcW w:w="5665" w:type="dxa"/>
          </w:tcPr>
          <w:p w:rsidR="00873E14" w:rsidRPr="00DD00D3" w:rsidRDefault="00873E14" w:rsidP="004A60C4">
            <w:pPr>
              <w:numPr>
                <w:ilvl w:val="0"/>
                <w:numId w:val="7"/>
              </w:numPr>
              <w:spacing w:line="360" w:lineRule="auto"/>
              <w:ind w:left="426"/>
              <w:jc w:val="both"/>
              <w:rPr>
                <w:rFonts w:cs="Arial"/>
                <w:color w:val="auto"/>
                <w:sz w:val="24"/>
                <w:szCs w:val="24"/>
                <w:lang w:val="en-GB"/>
              </w:rPr>
            </w:pPr>
            <w:r w:rsidRPr="00DD00D3">
              <w:rPr>
                <w:rFonts w:cs="Arial"/>
                <w:color w:val="auto"/>
                <w:sz w:val="24"/>
                <w:szCs w:val="24"/>
                <w:lang w:val="en-GB"/>
              </w:rPr>
              <w:lastRenderedPageBreak/>
              <w:t>The Committee recommends that a year plan be submitted of all key events with forecasted costs.</w:t>
            </w:r>
          </w:p>
        </w:tc>
        <w:tc>
          <w:tcPr>
            <w:tcW w:w="2410"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DDG:STEE</w:t>
            </w:r>
          </w:p>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 PSCKM</w:t>
            </w:r>
          </w:p>
        </w:tc>
        <w:tc>
          <w:tcPr>
            <w:tcW w:w="7059"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The year plan will be submitted once approved internally</w:t>
            </w:r>
          </w:p>
        </w:tc>
      </w:tr>
      <w:tr w:rsidR="00873E14" w:rsidRPr="00DD00D3" w:rsidTr="005E68ED">
        <w:tc>
          <w:tcPr>
            <w:tcW w:w="5665" w:type="dxa"/>
          </w:tcPr>
          <w:p w:rsidR="00873E14" w:rsidRPr="00DD00D3" w:rsidRDefault="00873E14" w:rsidP="004A60C4">
            <w:pPr>
              <w:spacing w:line="360" w:lineRule="auto"/>
              <w:jc w:val="both"/>
              <w:rPr>
                <w:rFonts w:cs="Arial"/>
                <w:color w:val="auto"/>
                <w:sz w:val="24"/>
                <w:szCs w:val="24"/>
                <w:lang w:val="en-GB"/>
              </w:rPr>
            </w:pPr>
          </w:p>
        </w:tc>
        <w:tc>
          <w:tcPr>
            <w:tcW w:w="2410" w:type="dxa"/>
          </w:tcPr>
          <w:p w:rsidR="00873E14" w:rsidRPr="00DD00D3" w:rsidRDefault="00873E14" w:rsidP="004A60C4">
            <w:pPr>
              <w:spacing w:line="360" w:lineRule="auto"/>
              <w:jc w:val="both"/>
              <w:rPr>
                <w:rFonts w:cs="Arial"/>
                <w:color w:val="auto"/>
                <w:sz w:val="24"/>
                <w:szCs w:val="24"/>
                <w:lang w:val="en-GB"/>
              </w:rPr>
            </w:pPr>
          </w:p>
        </w:tc>
        <w:tc>
          <w:tcPr>
            <w:tcW w:w="7059" w:type="dxa"/>
          </w:tcPr>
          <w:p w:rsidR="00873E14" w:rsidRPr="00DD00D3" w:rsidRDefault="00873E14" w:rsidP="004A60C4">
            <w:pPr>
              <w:spacing w:line="360" w:lineRule="auto"/>
              <w:jc w:val="both"/>
              <w:rPr>
                <w:rFonts w:cs="Arial"/>
                <w:color w:val="auto"/>
                <w:sz w:val="24"/>
                <w:szCs w:val="24"/>
                <w:lang w:val="en-GB"/>
              </w:rPr>
            </w:pPr>
          </w:p>
        </w:tc>
      </w:tr>
      <w:tr w:rsidR="00873E14" w:rsidRPr="00DD00D3" w:rsidTr="005E68ED">
        <w:tc>
          <w:tcPr>
            <w:tcW w:w="5665" w:type="dxa"/>
          </w:tcPr>
          <w:p w:rsidR="00873E14" w:rsidRPr="00DD00D3" w:rsidRDefault="00873E14" w:rsidP="004A60C4">
            <w:pPr>
              <w:numPr>
                <w:ilvl w:val="2"/>
                <w:numId w:val="17"/>
              </w:numPr>
              <w:spacing w:line="360" w:lineRule="auto"/>
              <w:jc w:val="both"/>
              <w:rPr>
                <w:rFonts w:cs="Arial"/>
                <w:b/>
                <w:color w:val="auto"/>
                <w:sz w:val="24"/>
                <w:szCs w:val="24"/>
                <w:lang w:val="en-GB"/>
              </w:rPr>
            </w:pPr>
            <w:r w:rsidRPr="00DD00D3">
              <w:rPr>
                <w:rFonts w:cs="Arial"/>
                <w:b/>
                <w:color w:val="auto"/>
                <w:sz w:val="24"/>
                <w:szCs w:val="24"/>
                <w:lang w:val="en-GB"/>
              </w:rPr>
              <w:t>Gender-responsive planning budgeting monitoring evaluation and auditing</w:t>
            </w:r>
          </w:p>
        </w:tc>
        <w:tc>
          <w:tcPr>
            <w:tcW w:w="2410" w:type="dxa"/>
          </w:tcPr>
          <w:p w:rsidR="00873E14" w:rsidRPr="00DD00D3" w:rsidRDefault="00873E14" w:rsidP="004A60C4">
            <w:pPr>
              <w:spacing w:line="360" w:lineRule="auto"/>
              <w:jc w:val="both"/>
              <w:rPr>
                <w:rFonts w:cs="Arial"/>
                <w:b/>
                <w:color w:val="auto"/>
                <w:sz w:val="24"/>
                <w:szCs w:val="24"/>
                <w:lang w:val="en-GB"/>
              </w:rPr>
            </w:pPr>
          </w:p>
        </w:tc>
        <w:tc>
          <w:tcPr>
            <w:tcW w:w="7059" w:type="dxa"/>
          </w:tcPr>
          <w:p w:rsidR="00873E14" w:rsidRPr="00DD00D3" w:rsidRDefault="00873E14" w:rsidP="004A60C4">
            <w:pPr>
              <w:spacing w:line="360" w:lineRule="auto"/>
              <w:jc w:val="both"/>
              <w:rPr>
                <w:rFonts w:cs="Arial"/>
                <w:b/>
                <w:color w:val="auto"/>
                <w:sz w:val="24"/>
                <w:szCs w:val="24"/>
                <w:lang w:val="en-GB"/>
              </w:rPr>
            </w:pPr>
          </w:p>
        </w:tc>
      </w:tr>
      <w:tr w:rsidR="00873E14" w:rsidRPr="00DD00D3" w:rsidTr="005E68ED">
        <w:tc>
          <w:tcPr>
            <w:tcW w:w="5665" w:type="dxa"/>
          </w:tcPr>
          <w:p w:rsidR="00873E14" w:rsidRPr="00DD00D3" w:rsidRDefault="00873E14" w:rsidP="004A60C4">
            <w:pPr>
              <w:numPr>
                <w:ilvl w:val="0"/>
                <w:numId w:val="8"/>
              </w:numPr>
              <w:spacing w:line="360" w:lineRule="auto"/>
              <w:ind w:left="426"/>
              <w:jc w:val="both"/>
              <w:rPr>
                <w:rFonts w:cs="Arial"/>
                <w:b/>
                <w:color w:val="auto"/>
                <w:sz w:val="24"/>
                <w:szCs w:val="24"/>
                <w:lang w:val="en-GB"/>
              </w:rPr>
            </w:pPr>
            <w:r w:rsidRPr="00DD00D3">
              <w:rPr>
                <w:rFonts w:cs="Arial"/>
                <w:color w:val="auto"/>
                <w:sz w:val="24"/>
                <w:szCs w:val="24"/>
                <w:lang w:val="en-GB"/>
              </w:rPr>
              <w:t xml:space="preserve">The </w:t>
            </w:r>
            <w:r w:rsidRPr="00DD00D3">
              <w:rPr>
                <w:rFonts w:cs="Arial"/>
                <w:color w:val="auto"/>
                <w:sz w:val="24"/>
                <w:szCs w:val="24"/>
              </w:rPr>
              <w:t>Committee recommends that t</w:t>
            </w:r>
            <w:r w:rsidRPr="00DD00D3">
              <w:rPr>
                <w:rFonts w:cs="Arial"/>
                <w:color w:val="auto"/>
                <w:sz w:val="24"/>
                <w:szCs w:val="24"/>
                <w:lang w:val="en-GB"/>
              </w:rPr>
              <w:t>he Department should brief the Committee on the GRPBMEA framework.</w:t>
            </w:r>
          </w:p>
        </w:tc>
        <w:tc>
          <w:tcPr>
            <w:tcW w:w="2410" w:type="dxa"/>
          </w:tcPr>
          <w:p w:rsidR="00873E14" w:rsidRPr="00DD00D3" w:rsidRDefault="00873E14" w:rsidP="004A60C4">
            <w:pPr>
              <w:spacing w:line="360" w:lineRule="auto"/>
              <w:ind w:left="66"/>
              <w:jc w:val="both"/>
              <w:rPr>
                <w:rFonts w:cs="Arial"/>
                <w:color w:val="auto"/>
                <w:sz w:val="24"/>
                <w:szCs w:val="24"/>
                <w:lang w:val="en-GB"/>
              </w:rPr>
            </w:pPr>
            <w:r w:rsidRPr="00DD00D3">
              <w:rPr>
                <w:rFonts w:cs="Arial"/>
                <w:color w:val="auto"/>
                <w:sz w:val="24"/>
                <w:szCs w:val="24"/>
                <w:lang w:val="en-GB"/>
              </w:rPr>
              <w:t>DDG: PSCKM</w:t>
            </w:r>
          </w:p>
        </w:tc>
        <w:tc>
          <w:tcPr>
            <w:tcW w:w="7059"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The Department would welcome an opportunity to present the GRPBMEA framework to the Committee</w:t>
            </w:r>
            <w:r w:rsidR="00DE6667">
              <w:rPr>
                <w:rFonts w:cs="Arial"/>
                <w:color w:val="auto"/>
                <w:sz w:val="24"/>
                <w:szCs w:val="24"/>
                <w:lang w:val="en-GB"/>
              </w:rPr>
              <w:t xml:space="preserve"> and will respond positively to such an invitation</w:t>
            </w:r>
          </w:p>
        </w:tc>
      </w:tr>
      <w:tr w:rsidR="00873E14" w:rsidRPr="00DD00D3" w:rsidTr="005E68ED">
        <w:tc>
          <w:tcPr>
            <w:tcW w:w="5665" w:type="dxa"/>
          </w:tcPr>
          <w:p w:rsidR="00873E14" w:rsidRPr="00DD00D3" w:rsidRDefault="00873E14" w:rsidP="004A60C4">
            <w:pPr>
              <w:numPr>
                <w:ilvl w:val="0"/>
                <w:numId w:val="8"/>
              </w:numPr>
              <w:spacing w:line="360" w:lineRule="auto"/>
              <w:ind w:left="426"/>
              <w:jc w:val="both"/>
              <w:rPr>
                <w:rFonts w:cs="Arial"/>
                <w:b/>
                <w:color w:val="auto"/>
                <w:sz w:val="24"/>
                <w:szCs w:val="24"/>
                <w:lang w:val="en-GB"/>
              </w:rPr>
            </w:pPr>
            <w:r w:rsidRPr="00DD00D3">
              <w:rPr>
                <w:rFonts w:cs="Arial"/>
                <w:color w:val="auto"/>
                <w:sz w:val="24"/>
                <w:szCs w:val="24"/>
                <w:lang w:val="en-GB"/>
              </w:rPr>
              <w:t xml:space="preserve">The </w:t>
            </w:r>
            <w:r w:rsidRPr="00DD00D3">
              <w:rPr>
                <w:rFonts w:cs="Arial"/>
                <w:color w:val="auto"/>
                <w:sz w:val="24"/>
                <w:szCs w:val="24"/>
              </w:rPr>
              <w:t>Committee recommends that t</w:t>
            </w:r>
            <w:r w:rsidRPr="00DD00D3">
              <w:rPr>
                <w:rFonts w:cs="Arial"/>
                <w:color w:val="auto"/>
                <w:sz w:val="24"/>
                <w:szCs w:val="24"/>
                <w:lang w:val="en-GB"/>
              </w:rPr>
              <w:t>he Department should brief the Committee on what progress has been made by departments in implementing this framework.</w:t>
            </w:r>
          </w:p>
        </w:tc>
        <w:tc>
          <w:tcPr>
            <w:tcW w:w="2410" w:type="dxa"/>
          </w:tcPr>
          <w:p w:rsidR="00873E14" w:rsidRPr="00DD00D3" w:rsidRDefault="00873E14" w:rsidP="004A60C4">
            <w:pPr>
              <w:spacing w:line="360" w:lineRule="auto"/>
              <w:ind w:left="66"/>
              <w:jc w:val="both"/>
              <w:rPr>
                <w:rFonts w:cs="Arial"/>
                <w:color w:val="auto"/>
                <w:sz w:val="24"/>
                <w:szCs w:val="24"/>
                <w:lang w:val="en-GB"/>
              </w:rPr>
            </w:pPr>
            <w:r w:rsidRPr="00DD00D3">
              <w:rPr>
                <w:rFonts w:cs="Arial"/>
                <w:color w:val="auto"/>
                <w:sz w:val="24"/>
                <w:szCs w:val="24"/>
                <w:lang w:val="en-GB"/>
              </w:rPr>
              <w:t>DDG: PSCKM</w:t>
            </w:r>
          </w:p>
        </w:tc>
        <w:tc>
          <w:tcPr>
            <w:tcW w:w="7059" w:type="dxa"/>
          </w:tcPr>
          <w:p w:rsidR="00873E14" w:rsidRPr="00DD00D3" w:rsidRDefault="00873E14" w:rsidP="004A60C4">
            <w:pPr>
              <w:spacing w:line="360" w:lineRule="auto"/>
              <w:ind w:right="-46"/>
              <w:jc w:val="both"/>
              <w:rPr>
                <w:rFonts w:cs="Arial"/>
                <w:color w:val="auto"/>
                <w:kern w:val="22"/>
                <w:sz w:val="24"/>
                <w:szCs w:val="24"/>
              </w:rPr>
            </w:pPr>
            <w:r w:rsidRPr="00DD00D3">
              <w:rPr>
                <w:rFonts w:cs="Arial"/>
                <w:color w:val="auto"/>
                <w:kern w:val="22"/>
                <w:sz w:val="24"/>
                <w:szCs w:val="24"/>
              </w:rPr>
              <w:t xml:space="preserve">Following its approval by cabinet in March 2018/19, the GRPBMEA framework has been implemented through multiple activities and channels in line with the GRPBMEA implementation plan.  A summary of key interventions is outlined below.  </w:t>
            </w:r>
          </w:p>
          <w:p w:rsidR="00873E14" w:rsidRPr="00DD00D3" w:rsidRDefault="00873E14" w:rsidP="004A60C4">
            <w:pPr>
              <w:spacing w:line="360" w:lineRule="auto"/>
              <w:ind w:right="-46"/>
              <w:jc w:val="both"/>
              <w:rPr>
                <w:rFonts w:cs="Arial"/>
                <w:color w:val="auto"/>
                <w:kern w:val="22"/>
                <w:sz w:val="24"/>
                <w:szCs w:val="24"/>
              </w:rPr>
            </w:pPr>
          </w:p>
          <w:p w:rsidR="00873E14" w:rsidRPr="004A60C4" w:rsidRDefault="00873E14" w:rsidP="004A60C4">
            <w:pPr>
              <w:pStyle w:val="Heading1"/>
              <w:keepLines/>
              <w:numPr>
                <w:ilvl w:val="0"/>
                <w:numId w:val="20"/>
              </w:numPr>
              <w:spacing w:after="200" w:line="360" w:lineRule="auto"/>
              <w:jc w:val="both"/>
              <w:rPr>
                <w:color w:val="auto"/>
                <w:sz w:val="24"/>
                <w:szCs w:val="24"/>
              </w:rPr>
            </w:pPr>
            <w:r w:rsidRPr="004A60C4">
              <w:rPr>
                <w:color w:val="auto"/>
                <w:sz w:val="24"/>
                <w:szCs w:val="24"/>
              </w:rPr>
              <w:t xml:space="preserve">Planning, budgeting and evaluation </w:t>
            </w:r>
          </w:p>
          <w:p w:rsidR="00873E14" w:rsidRPr="004A60C4" w:rsidRDefault="00873E14" w:rsidP="004A60C4">
            <w:pPr>
              <w:pStyle w:val="ListParagraph"/>
              <w:widowControl w:val="0"/>
              <w:numPr>
                <w:ilvl w:val="0"/>
                <w:numId w:val="21"/>
              </w:numPr>
              <w:autoSpaceDE w:val="0"/>
              <w:autoSpaceDN w:val="0"/>
              <w:adjustRightInd w:val="0"/>
              <w:spacing w:line="360" w:lineRule="auto"/>
              <w:contextualSpacing w:val="0"/>
              <w:jc w:val="both"/>
              <w:rPr>
                <w:rFonts w:cs="Arial"/>
                <w:color w:val="auto"/>
                <w:sz w:val="24"/>
                <w:szCs w:val="24"/>
              </w:rPr>
            </w:pPr>
            <w:r w:rsidRPr="004A60C4">
              <w:rPr>
                <w:rFonts w:cs="Arial"/>
                <w:color w:val="auto"/>
                <w:sz w:val="24"/>
                <w:szCs w:val="24"/>
              </w:rPr>
              <w:t xml:space="preserve">Based on identified gender priorities, inputs were made to </w:t>
            </w:r>
            <w:r w:rsidRPr="004A60C4">
              <w:rPr>
                <w:rFonts w:cs="Arial"/>
                <w:color w:val="auto"/>
                <w:sz w:val="24"/>
                <w:szCs w:val="24"/>
              </w:rPr>
              <w:lastRenderedPageBreak/>
              <w:t xml:space="preserve">ensure that gender deliverables are included in each of the seven priority areas of the 2019-2024 Medium Term Strategic Framework.  These priorities were drawn from various sources, including the electoral mandate, State of the Nation Address, Minister’s Budget Vote address etc.  </w:t>
            </w:r>
          </w:p>
          <w:p w:rsidR="00873E14" w:rsidRPr="004A60C4" w:rsidRDefault="00873E14" w:rsidP="004A60C4">
            <w:pPr>
              <w:pStyle w:val="ListParagraph"/>
              <w:widowControl w:val="0"/>
              <w:numPr>
                <w:ilvl w:val="0"/>
                <w:numId w:val="21"/>
              </w:numPr>
              <w:autoSpaceDE w:val="0"/>
              <w:autoSpaceDN w:val="0"/>
              <w:adjustRightInd w:val="0"/>
              <w:spacing w:line="360" w:lineRule="auto"/>
              <w:contextualSpacing w:val="0"/>
              <w:jc w:val="both"/>
              <w:rPr>
                <w:rFonts w:cs="Arial"/>
                <w:color w:val="auto"/>
                <w:sz w:val="24"/>
                <w:szCs w:val="24"/>
              </w:rPr>
            </w:pPr>
            <w:r w:rsidRPr="004A60C4">
              <w:rPr>
                <w:rFonts w:cs="Arial"/>
                <w:color w:val="auto"/>
                <w:sz w:val="24"/>
                <w:szCs w:val="24"/>
              </w:rPr>
              <w:t xml:space="preserve">Inputs were made to engender the Revised Framework for Strategic Plans and Annual Performance Plans, coordinated by DPME.   </w:t>
            </w:r>
          </w:p>
          <w:p w:rsidR="00873E14" w:rsidRPr="004A60C4" w:rsidRDefault="00873E14" w:rsidP="004A60C4">
            <w:pPr>
              <w:pStyle w:val="ListParagraph"/>
              <w:widowControl w:val="0"/>
              <w:numPr>
                <w:ilvl w:val="0"/>
                <w:numId w:val="21"/>
              </w:numPr>
              <w:autoSpaceDE w:val="0"/>
              <w:autoSpaceDN w:val="0"/>
              <w:adjustRightInd w:val="0"/>
              <w:spacing w:line="360" w:lineRule="auto"/>
              <w:contextualSpacing w:val="0"/>
              <w:jc w:val="both"/>
              <w:rPr>
                <w:rFonts w:cs="Arial"/>
                <w:color w:val="auto"/>
                <w:sz w:val="24"/>
                <w:szCs w:val="24"/>
              </w:rPr>
            </w:pPr>
            <w:r w:rsidRPr="004A60C4">
              <w:rPr>
                <w:rFonts w:cs="Arial"/>
                <w:color w:val="auto"/>
                <w:sz w:val="24"/>
                <w:szCs w:val="24"/>
              </w:rPr>
              <w:t>Guidelines on the implementation of the framework have been developed.</w:t>
            </w:r>
          </w:p>
          <w:p w:rsidR="00873E14" w:rsidRPr="004A60C4" w:rsidRDefault="00873E14" w:rsidP="004A60C4">
            <w:pPr>
              <w:pStyle w:val="ListParagraph"/>
              <w:widowControl w:val="0"/>
              <w:numPr>
                <w:ilvl w:val="0"/>
                <w:numId w:val="21"/>
              </w:numPr>
              <w:autoSpaceDE w:val="0"/>
              <w:autoSpaceDN w:val="0"/>
              <w:adjustRightInd w:val="0"/>
              <w:spacing w:line="360" w:lineRule="auto"/>
              <w:contextualSpacing w:val="0"/>
              <w:jc w:val="both"/>
              <w:rPr>
                <w:rFonts w:cs="Arial"/>
                <w:color w:val="auto"/>
                <w:sz w:val="24"/>
                <w:szCs w:val="24"/>
              </w:rPr>
            </w:pPr>
            <w:r w:rsidRPr="004A60C4">
              <w:rPr>
                <w:rFonts w:cs="Arial"/>
                <w:color w:val="auto"/>
                <w:sz w:val="24"/>
                <w:szCs w:val="24"/>
              </w:rPr>
              <w:t xml:space="preserve">Guidelines and framework for analysis of gender-responsiveness of the Medium Term Expenditure Framework were developed.  </w:t>
            </w:r>
          </w:p>
          <w:p w:rsidR="00873E14" w:rsidRPr="004A60C4" w:rsidRDefault="00873E14" w:rsidP="004A60C4">
            <w:pPr>
              <w:pStyle w:val="ListParagraph"/>
              <w:widowControl w:val="0"/>
              <w:numPr>
                <w:ilvl w:val="0"/>
                <w:numId w:val="21"/>
              </w:numPr>
              <w:autoSpaceDE w:val="0"/>
              <w:autoSpaceDN w:val="0"/>
              <w:adjustRightInd w:val="0"/>
              <w:spacing w:line="360" w:lineRule="auto"/>
              <w:contextualSpacing w:val="0"/>
              <w:jc w:val="both"/>
              <w:rPr>
                <w:rFonts w:cs="Arial"/>
                <w:color w:val="auto"/>
                <w:sz w:val="24"/>
                <w:szCs w:val="24"/>
              </w:rPr>
            </w:pPr>
            <w:r w:rsidRPr="004A60C4">
              <w:rPr>
                <w:rFonts w:cs="Arial"/>
                <w:color w:val="auto"/>
                <w:sz w:val="24"/>
                <w:szCs w:val="24"/>
              </w:rPr>
              <w:t xml:space="preserve">A National Action Plan has been developed to further elaborate on the Implementation Plan.  </w:t>
            </w:r>
          </w:p>
          <w:p w:rsidR="00873E14" w:rsidRPr="004A60C4" w:rsidRDefault="00873E14" w:rsidP="004A60C4">
            <w:pPr>
              <w:pStyle w:val="ListParagraph"/>
              <w:widowControl w:val="0"/>
              <w:numPr>
                <w:ilvl w:val="0"/>
                <w:numId w:val="21"/>
              </w:numPr>
              <w:autoSpaceDE w:val="0"/>
              <w:autoSpaceDN w:val="0"/>
              <w:adjustRightInd w:val="0"/>
              <w:spacing w:line="360" w:lineRule="auto"/>
              <w:contextualSpacing w:val="0"/>
              <w:jc w:val="both"/>
              <w:rPr>
                <w:rFonts w:cs="Arial"/>
                <w:color w:val="auto"/>
                <w:sz w:val="24"/>
                <w:szCs w:val="24"/>
              </w:rPr>
            </w:pPr>
            <w:r w:rsidRPr="004A60C4">
              <w:rPr>
                <w:rFonts w:eastAsia="Batang" w:cs="Arial"/>
                <w:color w:val="auto"/>
                <w:sz w:val="24"/>
                <w:szCs w:val="24"/>
                <w:lang w:val="en-GB"/>
              </w:rPr>
              <w:t>A Country Gender Indicator Framework (CGIF) was developed during 2018/2019. The framework is being realigned to the 6</w:t>
            </w:r>
            <w:r w:rsidRPr="004A60C4">
              <w:rPr>
                <w:rFonts w:eastAsia="Batang" w:cs="Arial"/>
                <w:color w:val="auto"/>
                <w:sz w:val="24"/>
                <w:szCs w:val="24"/>
                <w:vertAlign w:val="superscript"/>
                <w:lang w:val="en-GB"/>
              </w:rPr>
              <w:t>th</w:t>
            </w:r>
            <w:r w:rsidRPr="004A60C4">
              <w:rPr>
                <w:rFonts w:eastAsia="Batang" w:cs="Arial"/>
                <w:color w:val="auto"/>
                <w:sz w:val="24"/>
                <w:szCs w:val="24"/>
                <w:lang w:val="en-GB"/>
              </w:rPr>
              <w:t xml:space="preserve"> administration seven priorities and MTSF. </w:t>
            </w:r>
          </w:p>
          <w:p w:rsidR="00873E14" w:rsidRPr="004A60C4" w:rsidRDefault="00873E14" w:rsidP="004A60C4">
            <w:pPr>
              <w:pStyle w:val="ListParagraph"/>
              <w:widowControl w:val="0"/>
              <w:numPr>
                <w:ilvl w:val="0"/>
                <w:numId w:val="21"/>
              </w:numPr>
              <w:autoSpaceDE w:val="0"/>
              <w:autoSpaceDN w:val="0"/>
              <w:adjustRightInd w:val="0"/>
              <w:spacing w:line="360" w:lineRule="auto"/>
              <w:contextualSpacing w:val="0"/>
              <w:jc w:val="both"/>
              <w:rPr>
                <w:rFonts w:cs="Arial"/>
                <w:color w:val="auto"/>
                <w:sz w:val="24"/>
                <w:szCs w:val="24"/>
              </w:rPr>
            </w:pPr>
            <w:r w:rsidRPr="004A60C4">
              <w:rPr>
                <w:rFonts w:eastAsia="Batang" w:cs="Arial"/>
                <w:color w:val="auto"/>
                <w:sz w:val="24"/>
                <w:szCs w:val="24"/>
                <w:lang w:val="en-GB"/>
              </w:rPr>
              <w:t xml:space="preserve">A formative evaluation of the GRPBMEA has been initiated to inter alia provide baseline information.  </w:t>
            </w:r>
          </w:p>
          <w:p w:rsidR="00873E14" w:rsidRPr="004A60C4" w:rsidRDefault="00873E14" w:rsidP="004A60C4">
            <w:pPr>
              <w:pStyle w:val="ListParagraph"/>
              <w:spacing w:line="360" w:lineRule="auto"/>
              <w:ind w:left="360"/>
              <w:jc w:val="both"/>
              <w:rPr>
                <w:rFonts w:cs="Arial"/>
                <w:color w:val="auto"/>
                <w:sz w:val="24"/>
                <w:szCs w:val="24"/>
              </w:rPr>
            </w:pPr>
          </w:p>
          <w:p w:rsidR="00873E14" w:rsidRPr="004A60C4" w:rsidRDefault="00873E14" w:rsidP="004A60C4">
            <w:pPr>
              <w:pStyle w:val="Heading1"/>
              <w:keepLines/>
              <w:numPr>
                <w:ilvl w:val="0"/>
                <w:numId w:val="20"/>
              </w:numPr>
              <w:spacing w:after="200" w:line="360" w:lineRule="auto"/>
              <w:jc w:val="both"/>
              <w:rPr>
                <w:color w:val="auto"/>
                <w:sz w:val="24"/>
                <w:szCs w:val="24"/>
              </w:rPr>
            </w:pPr>
            <w:r w:rsidRPr="004A60C4">
              <w:rPr>
                <w:color w:val="auto"/>
                <w:sz w:val="24"/>
                <w:szCs w:val="24"/>
              </w:rPr>
              <w:lastRenderedPageBreak/>
              <w:t xml:space="preserve">Communication, information, education and advocacy </w:t>
            </w:r>
          </w:p>
          <w:p w:rsidR="00873E14" w:rsidRPr="004A60C4" w:rsidRDefault="00873E14" w:rsidP="004A60C4">
            <w:pPr>
              <w:spacing w:line="360" w:lineRule="auto"/>
              <w:jc w:val="both"/>
              <w:rPr>
                <w:rFonts w:cs="Arial"/>
                <w:color w:val="auto"/>
                <w:sz w:val="24"/>
                <w:szCs w:val="24"/>
              </w:rPr>
            </w:pPr>
            <w:r w:rsidRPr="004A60C4">
              <w:rPr>
                <w:rFonts w:cs="Arial"/>
                <w:color w:val="auto"/>
                <w:sz w:val="24"/>
                <w:szCs w:val="24"/>
              </w:rPr>
              <w:t xml:space="preserve">The successful implementation of the framework requires awareness across the state machinery.  The following progress has been made in this regard: </w:t>
            </w:r>
          </w:p>
          <w:p w:rsidR="00873E14" w:rsidRPr="004A60C4" w:rsidRDefault="00873E14" w:rsidP="004A60C4">
            <w:pPr>
              <w:pStyle w:val="ListParagraph"/>
              <w:widowControl w:val="0"/>
              <w:numPr>
                <w:ilvl w:val="0"/>
                <w:numId w:val="22"/>
              </w:numPr>
              <w:autoSpaceDE w:val="0"/>
              <w:autoSpaceDN w:val="0"/>
              <w:adjustRightInd w:val="0"/>
              <w:spacing w:line="360" w:lineRule="auto"/>
              <w:contextualSpacing w:val="0"/>
              <w:jc w:val="both"/>
              <w:rPr>
                <w:rFonts w:cs="Arial"/>
                <w:color w:val="auto"/>
                <w:sz w:val="24"/>
                <w:szCs w:val="24"/>
              </w:rPr>
            </w:pPr>
            <w:r w:rsidRPr="004A60C4">
              <w:rPr>
                <w:rFonts w:cs="Arial"/>
                <w:color w:val="auto"/>
                <w:sz w:val="24"/>
                <w:szCs w:val="24"/>
              </w:rPr>
              <w:t xml:space="preserve">Following its approval by cabinet, the GRPBMEA framework was presented to the FOSAD Manco and received strong support from Directors General. </w:t>
            </w:r>
          </w:p>
          <w:p w:rsidR="00873E14" w:rsidRPr="004A60C4" w:rsidRDefault="00873E14" w:rsidP="004A60C4">
            <w:pPr>
              <w:pStyle w:val="ListParagraph"/>
              <w:widowControl w:val="0"/>
              <w:numPr>
                <w:ilvl w:val="0"/>
                <w:numId w:val="22"/>
              </w:numPr>
              <w:autoSpaceDE w:val="0"/>
              <w:autoSpaceDN w:val="0"/>
              <w:adjustRightInd w:val="0"/>
              <w:spacing w:line="360" w:lineRule="auto"/>
              <w:contextualSpacing w:val="0"/>
              <w:jc w:val="both"/>
              <w:rPr>
                <w:rFonts w:cs="Arial"/>
                <w:color w:val="auto"/>
                <w:sz w:val="24"/>
                <w:szCs w:val="24"/>
              </w:rPr>
            </w:pPr>
            <w:r w:rsidRPr="004A60C4">
              <w:rPr>
                <w:rFonts w:cs="Arial"/>
                <w:color w:val="auto"/>
                <w:sz w:val="24"/>
                <w:szCs w:val="24"/>
              </w:rPr>
              <w:t xml:space="preserve">All DG’s were informed of the adoption of the framework, provided with copies, and requested to volunteer to pilot its implementation. </w:t>
            </w:r>
          </w:p>
          <w:p w:rsidR="00873E14" w:rsidRPr="004A60C4" w:rsidRDefault="00873E14" w:rsidP="004A60C4">
            <w:pPr>
              <w:pStyle w:val="ListParagraph"/>
              <w:widowControl w:val="0"/>
              <w:numPr>
                <w:ilvl w:val="0"/>
                <w:numId w:val="22"/>
              </w:numPr>
              <w:autoSpaceDE w:val="0"/>
              <w:autoSpaceDN w:val="0"/>
              <w:adjustRightInd w:val="0"/>
              <w:spacing w:line="360" w:lineRule="auto"/>
              <w:contextualSpacing w:val="0"/>
              <w:jc w:val="both"/>
              <w:rPr>
                <w:rFonts w:cs="Arial"/>
                <w:color w:val="auto"/>
                <w:sz w:val="24"/>
                <w:szCs w:val="24"/>
              </w:rPr>
            </w:pPr>
            <w:r w:rsidRPr="004A60C4">
              <w:rPr>
                <w:rFonts w:cs="Arial"/>
                <w:color w:val="auto"/>
                <w:sz w:val="24"/>
                <w:szCs w:val="24"/>
              </w:rPr>
              <w:t xml:space="preserve">Correspondence from the Minister for Women, Youth and Persons with Disabilities requested other Ministers and Premiers to lead the implementation of the framework.   </w:t>
            </w:r>
          </w:p>
          <w:p w:rsidR="00873E14" w:rsidRPr="004A60C4" w:rsidRDefault="00873E14" w:rsidP="004A60C4">
            <w:pPr>
              <w:pStyle w:val="ListParagraph"/>
              <w:widowControl w:val="0"/>
              <w:numPr>
                <w:ilvl w:val="0"/>
                <w:numId w:val="22"/>
              </w:numPr>
              <w:autoSpaceDE w:val="0"/>
              <w:autoSpaceDN w:val="0"/>
              <w:adjustRightInd w:val="0"/>
              <w:spacing w:line="360" w:lineRule="auto"/>
              <w:contextualSpacing w:val="0"/>
              <w:jc w:val="both"/>
              <w:rPr>
                <w:rFonts w:cs="Arial"/>
                <w:color w:val="auto"/>
                <w:sz w:val="24"/>
                <w:szCs w:val="24"/>
              </w:rPr>
            </w:pPr>
            <w:r w:rsidRPr="004A60C4">
              <w:rPr>
                <w:rFonts w:cs="Arial"/>
                <w:color w:val="auto"/>
                <w:sz w:val="24"/>
                <w:szCs w:val="24"/>
              </w:rPr>
              <w:t xml:space="preserve">The framework was posted on the DWYPD and DPME websites.  </w:t>
            </w:r>
          </w:p>
          <w:p w:rsidR="00873E14" w:rsidRPr="004A60C4" w:rsidRDefault="00873E14" w:rsidP="004A60C4">
            <w:pPr>
              <w:pStyle w:val="ListParagraph"/>
              <w:widowControl w:val="0"/>
              <w:numPr>
                <w:ilvl w:val="0"/>
                <w:numId w:val="22"/>
              </w:numPr>
              <w:autoSpaceDE w:val="0"/>
              <w:autoSpaceDN w:val="0"/>
              <w:adjustRightInd w:val="0"/>
              <w:spacing w:line="360" w:lineRule="auto"/>
              <w:contextualSpacing w:val="0"/>
              <w:jc w:val="both"/>
              <w:rPr>
                <w:rFonts w:cs="Arial"/>
                <w:color w:val="auto"/>
                <w:sz w:val="24"/>
                <w:szCs w:val="24"/>
              </w:rPr>
            </w:pPr>
            <w:r w:rsidRPr="004A60C4">
              <w:rPr>
                <w:rFonts w:cs="Arial"/>
                <w:color w:val="auto"/>
                <w:sz w:val="24"/>
                <w:szCs w:val="24"/>
              </w:rPr>
              <w:t>The framework was updated to reflect the context of the 6</w:t>
            </w:r>
            <w:r w:rsidRPr="004A60C4">
              <w:rPr>
                <w:rFonts w:cs="Arial"/>
                <w:color w:val="auto"/>
                <w:sz w:val="24"/>
                <w:szCs w:val="24"/>
                <w:vertAlign w:val="superscript"/>
              </w:rPr>
              <w:t>th</w:t>
            </w:r>
            <w:r w:rsidRPr="004A60C4">
              <w:rPr>
                <w:rFonts w:cs="Arial"/>
                <w:color w:val="auto"/>
                <w:sz w:val="24"/>
                <w:szCs w:val="24"/>
              </w:rPr>
              <w:t xml:space="preserve"> administration and processed for printing as a booklet. </w:t>
            </w:r>
          </w:p>
          <w:p w:rsidR="00873E14" w:rsidRPr="004A60C4" w:rsidRDefault="00873E14" w:rsidP="004A60C4">
            <w:pPr>
              <w:pStyle w:val="ListParagraph"/>
              <w:widowControl w:val="0"/>
              <w:numPr>
                <w:ilvl w:val="0"/>
                <w:numId w:val="22"/>
              </w:numPr>
              <w:autoSpaceDE w:val="0"/>
              <w:autoSpaceDN w:val="0"/>
              <w:adjustRightInd w:val="0"/>
              <w:spacing w:line="360" w:lineRule="auto"/>
              <w:contextualSpacing w:val="0"/>
              <w:jc w:val="both"/>
              <w:rPr>
                <w:rFonts w:cs="Arial"/>
                <w:color w:val="auto"/>
                <w:sz w:val="24"/>
                <w:szCs w:val="24"/>
              </w:rPr>
            </w:pPr>
            <w:r w:rsidRPr="004A60C4">
              <w:rPr>
                <w:rFonts w:cs="Arial"/>
                <w:color w:val="auto"/>
                <w:sz w:val="24"/>
                <w:szCs w:val="24"/>
              </w:rPr>
              <w:t xml:space="preserve">A provincial roadshow has been initiated and the framework has been presented to provincial governments in Gauteng and Limpopo for implementation.  In Gauteng, a presentation was made at the provincial Budget </w:t>
            </w:r>
            <w:r w:rsidRPr="004A60C4">
              <w:rPr>
                <w:rFonts w:cs="Arial"/>
                <w:color w:val="auto"/>
                <w:sz w:val="24"/>
                <w:szCs w:val="24"/>
              </w:rPr>
              <w:lastRenderedPageBreak/>
              <w:t xml:space="preserve">Lekgotla attended by the Premier and MECs.   </w:t>
            </w:r>
          </w:p>
          <w:p w:rsidR="00873E14" w:rsidRPr="004A60C4" w:rsidRDefault="00873E14" w:rsidP="004A60C4">
            <w:pPr>
              <w:pStyle w:val="ListParagraph"/>
              <w:widowControl w:val="0"/>
              <w:numPr>
                <w:ilvl w:val="0"/>
                <w:numId w:val="22"/>
              </w:numPr>
              <w:autoSpaceDE w:val="0"/>
              <w:autoSpaceDN w:val="0"/>
              <w:adjustRightInd w:val="0"/>
              <w:spacing w:line="360" w:lineRule="auto"/>
              <w:contextualSpacing w:val="0"/>
              <w:jc w:val="both"/>
              <w:rPr>
                <w:rFonts w:cs="Arial"/>
                <w:color w:val="auto"/>
                <w:sz w:val="24"/>
                <w:szCs w:val="24"/>
              </w:rPr>
            </w:pPr>
            <w:r w:rsidRPr="004A60C4">
              <w:rPr>
                <w:rFonts w:cs="Arial"/>
                <w:color w:val="auto"/>
                <w:sz w:val="24"/>
                <w:szCs w:val="24"/>
              </w:rPr>
              <w:t xml:space="preserve">The GRPBMEA framework was presented to the Interim Steering Committee on GBVF. </w:t>
            </w:r>
          </w:p>
          <w:p w:rsidR="00873E14" w:rsidRPr="004A60C4" w:rsidRDefault="00873E14" w:rsidP="004A60C4">
            <w:pPr>
              <w:pStyle w:val="ListParagraph"/>
              <w:widowControl w:val="0"/>
              <w:numPr>
                <w:ilvl w:val="0"/>
                <w:numId w:val="22"/>
              </w:numPr>
              <w:autoSpaceDE w:val="0"/>
              <w:autoSpaceDN w:val="0"/>
              <w:adjustRightInd w:val="0"/>
              <w:spacing w:line="360" w:lineRule="auto"/>
              <w:contextualSpacing w:val="0"/>
              <w:jc w:val="both"/>
              <w:rPr>
                <w:rFonts w:cs="Arial"/>
                <w:color w:val="auto"/>
                <w:sz w:val="24"/>
                <w:szCs w:val="24"/>
              </w:rPr>
            </w:pPr>
            <w:r w:rsidRPr="004A60C4">
              <w:rPr>
                <w:rFonts w:cs="Arial"/>
                <w:color w:val="auto"/>
                <w:sz w:val="24"/>
                <w:szCs w:val="24"/>
              </w:rPr>
              <w:t xml:space="preserve">The Department made extensive inputs towards the development of a training module on GRPB through the National School of Government.  The module is aimed at capacity building for programme managers, heads of strategic planning, CFOs and other officials in the public sector.  </w:t>
            </w:r>
          </w:p>
          <w:p w:rsidR="00873E14" w:rsidRPr="004A60C4" w:rsidRDefault="00873E14" w:rsidP="004A60C4">
            <w:pPr>
              <w:spacing w:line="360" w:lineRule="auto"/>
              <w:jc w:val="both"/>
              <w:rPr>
                <w:rFonts w:cs="Arial"/>
                <w:color w:val="auto"/>
                <w:sz w:val="24"/>
                <w:szCs w:val="24"/>
              </w:rPr>
            </w:pPr>
          </w:p>
          <w:p w:rsidR="00873E14" w:rsidRPr="004A60C4" w:rsidRDefault="00873E14" w:rsidP="004A60C4">
            <w:pPr>
              <w:pStyle w:val="Heading1"/>
              <w:keepLines/>
              <w:numPr>
                <w:ilvl w:val="0"/>
                <w:numId w:val="20"/>
              </w:numPr>
              <w:spacing w:after="200" w:line="360" w:lineRule="auto"/>
              <w:jc w:val="both"/>
              <w:rPr>
                <w:color w:val="auto"/>
                <w:sz w:val="24"/>
                <w:szCs w:val="24"/>
              </w:rPr>
            </w:pPr>
            <w:r w:rsidRPr="004A60C4">
              <w:rPr>
                <w:color w:val="auto"/>
                <w:sz w:val="24"/>
                <w:szCs w:val="24"/>
              </w:rPr>
              <w:t xml:space="preserve">Coordination and institutionalisation </w:t>
            </w:r>
          </w:p>
          <w:p w:rsidR="00873E14" w:rsidRPr="004A60C4" w:rsidRDefault="00873E14" w:rsidP="004A60C4">
            <w:pPr>
              <w:pStyle w:val="ListParagraph"/>
              <w:widowControl w:val="0"/>
              <w:numPr>
                <w:ilvl w:val="0"/>
                <w:numId w:val="23"/>
              </w:numPr>
              <w:autoSpaceDE w:val="0"/>
              <w:autoSpaceDN w:val="0"/>
              <w:adjustRightInd w:val="0"/>
              <w:spacing w:line="360" w:lineRule="auto"/>
              <w:contextualSpacing w:val="0"/>
              <w:jc w:val="both"/>
              <w:rPr>
                <w:rFonts w:cs="Arial"/>
                <w:color w:val="auto"/>
                <w:sz w:val="24"/>
                <w:szCs w:val="24"/>
              </w:rPr>
            </w:pPr>
            <w:r w:rsidRPr="004A60C4">
              <w:rPr>
                <w:rFonts w:cs="Arial"/>
                <w:color w:val="auto"/>
                <w:sz w:val="24"/>
                <w:szCs w:val="24"/>
              </w:rPr>
              <w:t xml:space="preserve">An inter-departmental Steering Committee was established to coordinate the implementation of the GRPBMEA Framework.  This includes departments which have agreed to pilot implementation (including DPME, DSD, National Treasury, DSI, DALRRD, DHET, SRSA, DPSA, DTIC and DSBD) as well as other key departments, the Commission for Gender Equality and local government representatives. </w:t>
            </w:r>
          </w:p>
          <w:p w:rsidR="00873E14" w:rsidRPr="004A60C4" w:rsidRDefault="00873E14" w:rsidP="004A60C4">
            <w:pPr>
              <w:pStyle w:val="ListParagraph"/>
              <w:widowControl w:val="0"/>
              <w:numPr>
                <w:ilvl w:val="0"/>
                <w:numId w:val="23"/>
              </w:numPr>
              <w:autoSpaceDE w:val="0"/>
              <w:autoSpaceDN w:val="0"/>
              <w:adjustRightInd w:val="0"/>
              <w:spacing w:line="360" w:lineRule="auto"/>
              <w:contextualSpacing w:val="0"/>
              <w:jc w:val="both"/>
              <w:rPr>
                <w:rFonts w:cs="Arial"/>
                <w:color w:val="auto"/>
                <w:sz w:val="24"/>
                <w:szCs w:val="24"/>
              </w:rPr>
            </w:pPr>
            <w:r w:rsidRPr="004A60C4">
              <w:rPr>
                <w:rFonts w:cs="Arial"/>
                <w:color w:val="auto"/>
                <w:sz w:val="24"/>
                <w:szCs w:val="24"/>
              </w:rPr>
              <w:t xml:space="preserve">The Limpopo, Free State and Gauteng provincial governments are piloting the implementation of the framework.  </w:t>
            </w:r>
          </w:p>
          <w:p w:rsidR="00873E14" w:rsidRPr="004A60C4" w:rsidRDefault="00873E14" w:rsidP="004A60C4">
            <w:pPr>
              <w:spacing w:line="360" w:lineRule="auto"/>
              <w:jc w:val="both"/>
              <w:rPr>
                <w:rFonts w:cs="Arial"/>
                <w:color w:val="auto"/>
                <w:sz w:val="24"/>
                <w:szCs w:val="24"/>
              </w:rPr>
            </w:pPr>
          </w:p>
          <w:p w:rsidR="00873E14" w:rsidRPr="00DD00D3" w:rsidRDefault="00873E14" w:rsidP="004A60C4">
            <w:pPr>
              <w:spacing w:line="360" w:lineRule="auto"/>
              <w:jc w:val="both"/>
              <w:rPr>
                <w:rFonts w:cs="Arial"/>
                <w:color w:val="auto"/>
                <w:kern w:val="22"/>
                <w:sz w:val="24"/>
                <w:szCs w:val="24"/>
              </w:rPr>
            </w:pPr>
            <w:r w:rsidRPr="004A60C4">
              <w:rPr>
                <w:rFonts w:cs="Arial"/>
                <w:color w:val="auto"/>
                <w:sz w:val="24"/>
                <w:szCs w:val="24"/>
              </w:rPr>
              <w:t xml:space="preserve">The purpose of consultations has been to convey </w:t>
            </w:r>
            <w:r w:rsidRPr="004A60C4">
              <w:rPr>
                <w:rFonts w:cs="Arial"/>
                <w:color w:val="auto"/>
                <w:kern w:val="22"/>
                <w:sz w:val="24"/>
                <w:szCs w:val="24"/>
              </w:rPr>
              <w:t>knowledge to government and other stakeholders on the contents of the Framework and to provide guidance on its implementation using the guidelines developed. Consultations also provided the opportunity for the departments and related stakeholders to pilot the implementation of the Framework. A report on consultations was produced.</w:t>
            </w:r>
            <w:r w:rsidRPr="00DD00D3">
              <w:rPr>
                <w:rFonts w:cs="Arial"/>
                <w:color w:val="auto"/>
                <w:kern w:val="22"/>
                <w:sz w:val="22"/>
                <w:szCs w:val="22"/>
              </w:rPr>
              <w:t xml:space="preserve"> </w:t>
            </w:r>
          </w:p>
        </w:tc>
      </w:tr>
      <w:tr w:rsidR="00873E14" w:rsidRPr="00DD00D3" w:rsidTr="005E68ED">
        <w:tc>
          <w:tcPr>
            <w:tcW w:w="5665" w:type="dxa"/>
          </w:tcPr>
          <w:p w:rsidR="00873E14" w:rsidRPr="00DD00D3" w:rsidRDefault="00873E14" w:rsidP="004A60C4">
            <w:pPr>
              <w:numPr>
                <w:ilvl w:val="0"/>
                <w:numId w:val="8"/>
              </w:numPr>
              <w:spacing w:line="360" w:lineRule="auto"/>
              <w:ind w:left="426"/>
              <w:jc w:val="both"/>
              <w:rPr>
                <w:rFonts w:cs="Arial"/>
                <w:b/>
                <w:color w:val="auto"/>
                <w:sz w:val="24"/>
                <w:szCs w:val="24"/>
                <w:lang w:val="en-GB"/>
              </w:rPr>
            </w:pPr>
            <w:r w:rsidRPr="00DD00D3">
              <w:rPr>
                <w:rFonts w:cs="Arial"/>
                <w:color w:val="auto"/>
                <w:sz w:val="24"/>
                <w:szCs w:val="24"/>
                <w:lang w:val="en-GB"/>
              </w:rPr>
              <w:lastRenderedPageBreak/>
              <w:t xml:space="preserve">The </w:t>
            </w:r>
            <w:r w:rsidRPr="00DD00D3">
              <w:rPr>
                <w:rFonts w:cs="Arial"/>
                <w:color w:val="auto"/>
                <w:sz w:val="24"/>
                <w:szCs w:val="24"/>
              </w:rPr>
              <w:t>Committee recommends that t</w:t>
            </w:r>
            <w:r w:rsidRPr="00DD00D3">
              <w:rPr>
                <w:rFonts w:cs="Arial"/>
                <w:color w:val="auto"/>
                <w:sz w:val="24"/>
                <w:szCs w:val="24"/>
                <w:lang w:val="en-GB"/>
              </w:rPr>
              <w:t xml:space="preserve">he Department submits the guidelines for consideration to the Committee. </w:t>
            </w:r>
          </w:p>
        </w:tc>
        <w:tc>
          <w:tcPr>
            <w:tcW w:w="2410" w:type="dxa"/>
          </w:tcPr>
          <w:p w:rsidR="00873E14" w:rsidRPr="00DD00D3" w:rsidRDefault="00873E14" w:rsidP="004A60C4">
            <w:pPr>
              <w:spacing w:line="360" w:lineRule="auto"/>
              <w:ind w:left="66"/>
              <w:jc w:val="both"/>
              <w:rPr>
                <w:rFonts w:cs="Arial"/>
                <w:color w:val="auto"/>
                <w:sz w:val="24"/>
                <w:szCs w:val="24"/>
                <w:lang w:val="en-GB"/>
              </w:rPr>
            </w:pPr>
            <w:r w:rsidRPr="00DD00D3">
              <w:rPr>
                <w:rFonts w:cs="Arial"/>
                <w:color w:val="auto"/>
                <w:sz w:val="24"/>
                <w:szCs w:val="24"/>
                <w:lang w:val="en-GB"/>
              </w:rPr>
              <w:t>DDG: PSCKM</w:t>
            </w:r>
          </w:p>
        </w:tc>
        <w:tc>
          <w:tcPr>
            <w:tcW w:w="7059"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 xml:space="preserve">Draft GRPBMEA guidelines attached  </w:t>
            </w:r>
          </w:p>
        </w:tc>
      </w:tr>
      <w:tr w:rsidR="00873E14" w:rsidRPr="00DD00D3" w:rsidTr="005E68ED">
        <w:tc>
          <w:tcPr>
            <w:tcW w:w="5665" w:type="dxa"/>
          </w:tcPr>
          <w:p w:rsidR="00873E14" w:rsidRPr="00DD00D3" w:rsidRDefault="00873E14" w:rsidP="004A60C4">
            <w:pPr>
              <w:numPr>
                <w:ilvl w:val="2"/>
                <w:numId w:val="17"/>
              </w:numPr>
              <w:spacing w:line="360" w:lineRule="auto"/>
              <w:jc w:val="both"/>
              <w:rPr>
                <w:rFonts w:cs="Arial"/>
                <w:b/>
                <w:color w:val="auto"/>
                <w:sz w:val="24"/>
                <w:szCs w:val="24"/>
                <w:lang w:val="en-GB"/>
              </w:rPr>
            </w:pPr>
            <w:r w:rsidRPr="00DD00D3">
              <w:rPr>
                <w:rFonts w:cs="Arial"/>
                <w:b/>
                <w:color w:val="auto"/>
                <w:sz w:val="24"/>
                <w:szCs w:val="24"/>
                <w:lang w:val="en-GB"/>
              </w:rPr>
              <w:t>Gender Focal Points</w:t>
            </w:r>
          </w:p>
        </w:tc>
        <w:tc>
          <w:tcPr>
            <w:tcW w:w="2410" w:type="dxa"/>
          </w:tcPr>
          <w:p w:rsidR="00873E14" w:rsidRPr="00DD00D3" w:rsidRDefault="00873E14" w:rsidP="004A60C4">
            <w:pPr>
              <w:spacing w:line="360" w:lineRule="auto"/>
              <w:jc w:val="both"/>
              <w:rPr>
                <w:rFonts w:cs="Arial"/>
                <w:b/>
                <w:color w:val="auto"/>
                <w:sz w:val="24"/>
                <w:szCs w:val="24"/>
                <w:lang w:val="en-GB"/>
              </w:rPr>
            </w:pPr>
          </w:p>
        </w:tc>
        <w:tc>
          <w:tcPr>
            <w:tcW w:w="7059" w:type="dxa"/>
          </w:tcPr>
          <w:p w:rsidR="00873E14" w:rsidRPr="00DD00D3" w:rsidRDefault="00873E14" w:rsidP="004A60C4">
            <w:pPr>
              <w:spacing w:line="360" w:lineRule="auto"/>
              <w:jc w:val="both"/>
              <w:rPr>
                <w:rFonts w:cs="Arial"/>
                <w:b/>
                <w:color w:val="auto"/>
                <w:sz w:val="24"/>
                <w:szCs w:val="24"/>
                <w:lang w:val="en-GB"/>
              </w:rPr>
            </w:pPr>
          </w:p>
        </w:tc>
      </w:tr>
      <w:tr w:rsidR="00873E14" w:rsidRPr="00DD00D3" w:rsidTr="005E68ED">
        <w:tc>
          <w:tcPr>
            <w:tcW w:w="5665" w:type="dxa"/>
          </w:tcPr>
          <w:p w:rsidR="00873E14" w:rsidRPr="00DD00D3" w:rsidRDefault="00873E14" w:rsidP="004A60C4">
            <w:pPr>
              <w:numPr>
                <w:ilvl w:val="0"/>
                <w:numId w:val="9"/>
              </w:numPr>
              <w:spacing w:line="360" w:lineRule="auto"/>
              <w:ind w:left="426"/>
              <w:jc w:val="both"/>
              <w:rPr>
                <w:rFonts w:cs="Arial"/>
                <w:color w:val="auto"/>
                <w:sz w:val="24"/>
                <w:szCs w:val="24"/>
                <w:lang w:val="en-GB"/>
              </w:rPr>
            </w:pPr>
            <w:r w:rsidRPr="00DD00D3">
              <w:rPr>
                <w:rFonts w:cs="Arial"/>
                <w:color w:val="auto"/>
                <w:sz w:val="24"/>
                <w:szCs w:val="24"/>
                <w:lang w:val="en-GB"/>
              </w:rPr>
              <w:t xml:space="preserve">The </w:t>
            </w:r>
            <w:r w:rsidRPr="00DD00D3">
              <w:rPr>
                <w:rFonts w:cs="Arial"/>
                <w:color w:val="auto"/>
                <w:sz w:val="24"/>
                <w:szCs w:val="24"/>
              </w:rPr>
              <w:t>Committee recommends that t</w:t>
            </w:r>
            <w:r w:rsidRPr="00DD00D3">
              <w:rPr>
                <w:rFonts w:cs="Arial"/>
                <w:color w:val="auto"/>
                <w:sz w:val="24"/>
                <w:szCs w:val="24"/>
                <w:lang w:val="en-GB"/>
              </w:rPr>
              <w:t xml:space="preserve">he Department should update the Committee on the progress with the Department of Public Services and Administration insofar as gender focal points are concerned. </w:t>
            </w:r>
          </w:p>
        </w:tc>
        <w:tc>
          <w:tcPr>
            <w:tcW w:w="2410"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DDG:STEE</w:t>
            </w:r>
          </w:p>
          <w:p w:rsidR="00873E14" w:rsidRPr="00DD00D3" w:rsidRDefault="00873E14" w:rsidP="004A60C4">
            <w:pPr>
              <w:spacing w:line="360" w:lineRule="auto"/>
              <w:jc w:val="both"/>
              <w:rPr>
                <w:rFonts w:cs="Arial"/>
                <w:strike/>
                <w:color w:val="auto"/>
                <w:sz w:val="24"/>
                <w:szCs w:val="24"/>
                <w:lang w:val="en-GB"/>
              </w:rPr>
            </w:pPr>
          </w:p>
          <w:p w:rsidR="00873E14" w:rsidRPr="00DD00D3" w:rsidRDefault="00873E14" w:rsidP="004A60C4">
            <w:pPr>
              <w:spacing w:line="360" w:lineRule="auto"/>
              <w:ind w:left="66"/>
              <w:jc w:val="both"/>
              <w:rPr>
                <w:rFonts w:cs="Arial"/>
                <w:color w:val="auto"/>
                <w:sz w:val="24"/>
                <w:szCs w:val="24"/>
                <w:lang w:val="en-GB"/>
              </w:rPr>
            </w:pPr>
          </w:p>
        </w:tc>
        <w:tc>
          <w:tcPr>
            <w:tcW w:w="7059"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This matter will be addressed in tandem with strengthening and revitalisation of the NGM</w:t>
            </w:r>
            <w:r w:rsidR="002712E1">
              <w:rPr>
                <w:rFonts w:cs="Arial"/>
                <w:color w:val="auto"/>
                <w:sz w:val="24"/>
                <w:szCs w:val="24"/>
                <w:lang w:val="en-GB"/>
              </w:rPr>
              <w:t>, a process which is currently underway</w:t>
            </w:r>
            <w:r w:rsidRPr="00DD00D3">
              <w:rPr>
                <w:rFonts w:cs="Arial"/>
                <w:color w:val="auto"/>
                <w:sz w:val="24"/>
                <w:szCs w:val="24"/>
                <w:lang w:val="en-GB"/>
              </w:rPr>
              <w:t>.  It has been kept on the agenda for the NGM forum and will remain until it is resolved. The revision of the National Gender Policy Framework will also assist in resolving issues related to the GFPs.</w:t>
            </w:r>
          </w:p>
        </w:tc>
      </w:tr>
      <w:tr w:rsidR="00873E14" w:rsidRPr="00DD00D3" w:rsidTr="005E68ED">
        <w:tc>
          <w:tcPr>
            <w:tcW w:w="5665" w:type="dxa"/>
          </w:tcPr>
          <w:p w:rsidR="00873E14" w:rsidRPr="00DD00D3" w:rsidRDefault="00873E14" w:rsidP="004A60C4">
            <w:pPr>
              <w:numPr>
                <w:ilvl w:val="0"/>
                <w:numId w:val="9"/>
              </w:numPr>
              <w:spacing w:line="360" w:lineRule="auto"/>
              <w:ind w:left="426"/>
              <w:jc w:val="both"/>
              <w:rPr>
                <w:rFonts w:cs="Arial"/>
                <w:b/>
                <w:color w:val="auto"/>
                <w:sz w:val="24"/>
                <w:szCs w:val="24"/>
                <w:lang w:val="en-GB"/>
              </w:rPr>
            </w:pPr>
            <w:r w:rsidRPr="00DD00D3">
              <w:rPr>
                <w:rFonts w:cs="Arial"/>
                <w:color w:val="auto"/>
                <w:sz w:val="24"/>
                <w:szCs w:val="24"/>
                <w:lang w:val="en-GB"/>
              </w:rPr>
              <w:t xml:space="preserve">The </w:t>
            </w:r>
            <w:r w:rsidRPr="00DD00D3">
              <w:rPr>
                <w:rFonts w:cs="Arial"/>
                <w:color w:val="auto"/>
                <w:sz w:val="24"/>
                <w:szCs w:val="24"/>
              </w:rPr>
              <w:t>Committee recommends that t</w:t>
            </w:r>
            <w:r w:rsidRPr="00DD00D3">
              <w:rPr>
                <w:rFonts w:cs="Arial"/>
                <w:color w:val="auto"/>
                <w:sz w:val="24"/>
                <w:szCs w:val="24"/>
                <w:lang w:val="en-GB"/>
              </w:rPr>
              <w:t>he Department brief the Committee on a regular basis on its work and relationship with Gender Focal Points within departments and local government at every quarter.</w:t>
            </w:r>
          </w:p>
        </w:tc>
        <w:tc>
          <w:tcPr>
            <w:tcW w:w="2410"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DDG:STEE</w:t>
            </w:r>
          </w:p>
          <w:p w:rsidR="00873E14" w:rsidRPr="00DD00D3" w:rsidRDefault="00873E14" w:rsidP="004A60C4">
            <w:pPr>
              <w:spacing w:line="360" w:lineRule="auto"/>
              <w:jc w:val="both"/>
              <w:rPr>
                <w:rFonts w:cs="Arial"/>
                <w:color w:val="auto"/>
                <w:sz w:val="24"/>
                <w:szCs w:val="24"/>
                <w:lang w:val="en-GB"/>
              </w:rPr>
            </w:pPr>
          </w:p>
        </w:tc>
        <w:tc>
          <w:tcPr>
            <w:tcW w:w="7059"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DWYPD will brief the committee regularly. See response above. As members of the NGM, reporting to the Committee will also be done through NGM Forum processes.</w:t>
            </w:r>
          </w:p>
        </w:tc>
      </w:tr>
      <w:tr w:rsidR="00873E14" w:rsidRPr="00DD00D3" w:rsidTr="005E68ED">
        <w:tc>
          <w:tcPr>
            <w:tcW w:w="5665" w:type="dxa"/>
          </w:tcPr>
          <w:p w:rsidR="00873E14" w:rsidRPr="00DD00D3" w:rsidRDefault="00873E14" w:rsidP="004A60C4">
            <w:pPr>
              <w:numPr>
                <w:ilvl w:val="2"/>
                <w:numId w:val="17"/>
              </w:numPr>
              <w:spacing w:line="360" w:lineRule="auto"/>
              <w:jc w:val="both"/>
              <w:rPr>
                <w:rFonts w:cs="Arial"/>
                <w:b/>
                <w:color w:val="auto"/>
                <w:sz w:val="24"/>
                <w:szCs w:val="24"/>
                <w:lang w:val="en-GB"/>
              </w:rPr>
            </w:pPr>
            <w:r w:rsidRPr="00DD00D3">
              <w:rPr>
                <w:rFonts w:cs="Arial"/>
                <w:b/>
                <w:color w:val="auto"/>
                <w:sz w:val="24"/>
                <w:szCs w:val="24"/>
                <w:lang w:val="en-GB"/>
              </w:rPr>
              <w:lastRenderedPageBreak/>
              <w:t>Treaty compliance framework and timeframes</w:t>
            </w:r>
          </w:p>
        </w:tc>
        <w:tc>
          <w:tcPr>
            <w:tcW w:w="2410" w:type="dxa"/>
          </w:tcPr>
          <w:p w:rsidR="00873E14" w:rsidRPr="00DD00D3" w:rsidRDefault="00873E14" w:rsidP="004A60C4">
            <w:pPr>
              <w:spacing w:line="360" w:lineRule="auto"/>
              <w:jc w:val="both"/>
              <w:rPr>
                <w:rFonts w:cs="Arial"/>
                <w:b/>
                <w:color w:val="auto"/>
                <w:sz w:val="24"/>
                <w:szCs w:val="24"/>
                <w:lang w:val="en-GB"/>
              </w:rPr>
            </w:pPr>
          </w:p>
        </w:tc>
        <w:tc>
          <w:tcPr>
            <w:tcW w:w="7059" w:type="dxa"/>
          </w:tcPr>
          <w:p w:rsidR="00873E14" w:rsidRPr="00DD00D3" w:rsidRDefault="00873E14" w:rsidP="004A60C4">
            <w:pPr>
              <w:spacing w:line="360" w:lineRule="auto"/>
              <w:jc w:val="both"/>
              <w:rPr>
                <w:rFonts w:cs="Arial"/>
                <w:b/>
                <w:color w:val="auto"/>
                <w:sz w:val="24"/>
                <w:szCs w:val="24"/>
                <w:lang w:val="en-GB"/>
              </w:rPr>
            </w:pPr>
          </w:p>
        </w:tc>
      </w:tr>
      <w:tr w:rsidR="00873E14" w:rsidRPr="00DD00D3" w:rsidTr="005E68ED">
        <w:tc>
          <w:tcPr>
            <w:tcW w:w="5665" w:type="dxa"/>
          </w:tcPr>
          <w:p w:rsidR="00873E14" w:rsidRPr="00DD00D3" w:rsidRDefault="00873E14" w:rsidP="004A60C4">
            <w:pPr>
              <w:numPr>
                <w:ilvl w:val="0"/>
                <w:numId w:val="10"/>
              </w:numPr>
              <w:spacing w:line="360" w:lineRule="auto"/>
              <w:ind w:left="426"/>
              <w:jc w:val="both"/>
              <w:rPr>
                <w:rFonts w:cs="Arial"/>
                <w:b/>
                <w:color w:val="auto"/>
                <w:sz w:val="24"/>
                <w:szCs w:val="24"/>
                <w:lang w:val="en-GB"/>
              </w:rPr>
            </w:pPr>
            <w:r w:rsidRPr="00DD00D3">
              <w:rPr>
                <w:rFonts w:cs="Arial"/>
                <w:color w:val="auto"/>
                <w:sz w:val="24"/>
                <w:szCs w:val="24"/>
                <w:lang w:val="en-GB"/>
              </w:rPr>
              <w:t xml:space="preserve">The </w:t>
            </w:r>
            <w:r w:rsidRPr="00DD00D3">
              <w:rPr>
                <w:rFonts w:cs="Arial"/>
                <w:color w:val="auto"/>
                <w:sz w:val="24"/>
                <w:szCs w:val="24"/>
              </w:rPr>
              <w:t>Committee recommends that t</w:t>
            </w:r>
            <w:r w:rsidRPr="00DD00D3">
              <w:rPr>
                <w:rFonts w:cs="Arial"/>
                <w:color w:val="auto"/>
                <w:sz w:val="24"/>
                <w:szCs w:val="24"/>
                <w:lang w:val="en-GB"/>
              </w:rPr>
              <w:t>he Department should ensure that country reports are submitted within the specified timeframes as required by the relevant reporting bodies</w:t>
            </w:r>
            <w:r w:rsidRPr="00DD00D3">
              <w:rPr>
                <w:rFonts w:cs="Arial"/>
                <w:b/>
                <w:color w:val="auto"/>
                <w:sz w:val="24"/>
                <w:szCs w:val="24"/>
                <w:lang w:val="en-GB"/>
              </w:rPr>
              <w:t>.</w:t>
            </w:r>
          </w:p>
        </w:tc>
        <w:tc>
          <w:tcPr>
            <w:tcW w:w="2410"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 PSCKM</w:t>
            </w:r>
          </w:p>
        </w:tc>
        <w:tc>
          <w:tcPr>
            <w:tcW w:w="7059"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 xml:space="preserve">In view of the fact that the Department has insufficient human resource capacity to prepare country reports and submit within the specified timeframes, support for preparation of international reports is being provided for by the RPAKM unit in the department. </w:t>
            </w:r>
          </w:p>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 xml:space="preserve">The Country has developed its Beijing +25 Report which was consulted on, including with the Parliamentary Portfolio Committee in August 2019.  </w:t>
            </w:r>
          </w:p>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To date the following reports are overdue:</w:t>
            </w:r>
          </w:p>
          <w:p w:rsidR="00873E14" w:rsidRPr="00DD00D3" w:rsidRDefault="00873E14" w:rsidP="004A60C4">
            <w:pPr>
              <w:pStyle w:val="ListParagraph"/>
              <w:numPr>
                <w:ilvl w:val="0"/>
                <w:numId w:val="18"/>
              </w:numPr>
              <w:spacing w:line="360" w:lineRule="auto"/>
              <w:ind w:left="459" w:hanging="284"/>
              <w:jc w:val="both"/>
              <w:rPr>
                <w:rFonts w:cs="Arial"/>
                <w:color w:val="auto"/>
                <w:sz w:val="24"/>
                <w:szCs w:val="24"/>
                <w:lang w:val="en-GB"/>
              </w:rPr>
            </w:pPr>
            <w:r w:rsidRPr="00DD00D3">
              <w:rPr>
                <w:rFonts w:cs="Arial"/>
                <w:color w:val="auto"/>
                <w:sz w:val="24"/>
                <w:szCs w:val="24"/>
                <w:lang w:val="en-GB"/>
              </w:rPr>
              <w:t xml:space="preserve">Solemn Declaration (2016-2018) </w:t>
            </w:r>
          </w:p>
          <w:p w:rsidR="00873E14" w:rsidRPr="00DD00D3" w:rsidRDefault="00873E14" w:rsidP="004A60C4">
            <w:pPr>
              <w:pStyle w:val="ListParagraph"/>
              <w:numPr>
                <w:ilvl w:val="0"/>
                <w:numId w:val="18"/>
              </w:numPr>
              <w:spacing w:line="360" w:lineRule="auto"/>
              <w:ind w:left="459" w:hanging="284"/>
              <w:jc w:val="both"/>
              <w:rPr>
                <w:rFonts w:cs="Arial"/>
                <w:color w:val="auto"/>
                <w:sz w:val="24"/>
                <w:szCs w:val="24"/>
                <w:lang w:val="en-GB"/>
              </w:rPr>
            </w:pPr>
            <w:r w:rsidRPr="00DD00D3">
              <w:rPr>
                <w:rFonts w:cs="Arial"/>
                <w:color w:val="auto"/>
                <w:sz w:val="24"/>
                <w:szCs w:val="24"/>
                <w:lang w:val="en-GB"/>
              </w:rPr>
              <w:t>AU Women’s Protocol 2</w:t>
            </w:r>
            <w:r w:rsidRPr="00DD00D3">
              <w:rPr>
                <w:rFonts w:cs="Arial"/>
                <w:color w:val="auto"/>
                <w:sz w:val="24"/>
                <w:szCs w:val="24"/>
                <w:vertAlign w:val="superscript"/>
                <w:lang w:val="en-GB"/>
              </w:rPr>
              <w:t>nd</w:t>
            </w:r>
            <w:r w:rsidRPr="00DD00D3">
              <w:rPr>
                <w:rFonts w:cs="Arial"/>
                <w:color w:val="auto"/>
                <w:sz w:val="24"/>
                <w:szCs w:val="24"/>
                <w:lang w:val="en-GB"/>
              </w:rPr>
              <w:t xml:space="preserve"> Periodic Report (2014-2018))  which forms Part B of the Country’s 4</w:t>
            </w:r>
            <w:r w:rsidRPr="00DD00D3">
              <w:rPr>
                <w:rFonts w:cs="Arial"/>
                <w:color w:val="auto"/>
                <w:sz w:val="24"/>
                <w:szCs w:val="24"/>
                <w:vertAlign w:val="superscript"/>
                <w:lang w:val="en-GB"/>
              </w:rPr>
              <w:t xml:space="preserve">th </w:t>
            </w:r>
            <w:r w:rsidRPr="00DD00D3">
              <w:rPr>
                <w:rFonts w:cs="Arial"/>
                <w:color w:val="auto"/>
                <w:sz w:val="24"/>
                <w:szCs w:val="24"/>
                <w:lang w:val="en-GB"/>
              </w:rPr>
              <w:t>Periodic Report on the African Charter for Human and People’s Rights</w:t>
            </w:r>
          </w:p>
          <w:p w:rsidR="00873E14" w:rsidRPr="00DD00D3" w:rsidRDefault="00873E14" w:rsidP="004A60C4">
            <w:pPr>
              <w:pStyle w:val="ListParagraph"/>
              <w:numPr>
                <w:ilvl w:val="0"/>
                <w:numId w:val="18"/>
              </w:numPr>
              <w:spacing w:line="360" w:lineRule="auto"/>
              <w:ind w:left="459" w:hanging="284"/>
              <w:jc w:val="both"/>
              <w:rPr>
                <w:rFonts w:cs="Arial"/>
                <w:color w:val="auto"/>
                <w:sz w:val="24"/>
                <w:szCs w:val="24"/>
                <w:lang w:val="en-GB"/>
              </w:rPr>
            </w:pPr>
            <w:r w:rsidRPr="00DD00D3">
              <w:rPr>
                <w:rFonts w:cs="Arial"/>
                <w:color w:val="auto"/>
                <w:sz w:val="24"/>
                <w:szCs w:val="24"/>
                <w:lang w:val="en-GB"/>
              </w:rPr>
              <w:t>CEDAW 6</w:t>
            </w:r>
            <w:r w:rsidRPr="00DD00D3">
              <w:rPr>
                <w:rFonts w:cs="Arial"/>
                <w:color w:val="auto"/>
                <w:sz w:val="24"/>
                <w:szCs w:val="24"/>
                <w:vertAlign w:val="superscript"/>
                <w:lang w:val="en-GB"/>
              </w:rPr>
              <w:t>th</w:t>
            </w:r>
            <w:r w:rsidRPr="00DD00D3">
              <w:rPr>
                <w:rFonts w:cs="Arial"/>
                <w:color w:val="auto"/>
                <w:sz w:val="24"/>
                <w:szCs w:val="24"/>
                <w:lang w:val="en-GB"/>
              </w:rPr>
              <w:t xml:space="preserve"> Periodic Report</w:t>
            </w:r>
          </w:p>
          <w:p w:rsidR="00873E14" w:rsidRPr="00DD00D3" w:rsidRDefault="00873E14" w:rsidP="004A60C4">
            <w:pPr>
              <w:pStyle w:val="ListParagraph"/>
              <w:numPr>
                <w:ilvl w:val="0"/>
                <w:numId w:val="18"/>
              </w:numPr>
              <w:spacing w:line="360" w:lineRule="auto"/>
              <w:ind w:left="459" w:hanging="284"/>
              <w:jc w:val="both"/>
              <w:rPr>
                <w:rFonts w:ascii="Arial Narrow" w:hAnsi="Arial Narrow"/>
                <w:color w:val="auto"/>
                <w:sz w:val="24"/>
                <w:szCs w:val="24"/>
                <w:lang w:val="en-GB"/>
              </w:rPr>
            </w:pPr>
            <w:r w:rsidRPr="00DD00D3">
              <w:rPr>
                <w:rFonts w:cs="Arial"/>
                <w:color w:val="auto"/>
                <w:sz w:val="24"/>
                <w:szCs w:val="24"/>
                <w:lang w:val="en-GB"/>
              </w:rPr>
              <w:t xml:space="preserve">SADC report under the new Monitoring, Evaluation and Reporting Framework for the SADC Protocol on Gender and Development focusing on specific indicators relating to Women’s Economic Empowerment and Gender Responsive Budgeting as outlined in Part Five (5): Productive Resources and Employment – Article 15: Economic Policies and Decision-Making; Article 16: </w:t>
            </w:r>
            <w:r w:rsidRPr="00DD00D3">
              <w:rPr>
                <w:rFonts w:cs="Arial"/>
                <w:color w:val="auto"/>
                <w:sz w:val="24"/>
                <w:szCs w:val="24"/>
                <w:lang w:val="en-GB"/>
              </w:rPr>
              <w:lastRenderedPageBreak/>
              <w:t>Multiple Roles of Women; Article 17: Economic Empowerment; Article 18: Access to Property and Resources; Article 19: Equal Access to Employment and Benefits and, Part Eleven (11): Financial Provisions – Article 33: Financial Provisions.</w:t>
            </w:r>
          </w:p>
        </w:tc>
      </w:tr>
      <w:tr w:rsidR="00873E14" w:rsidRPr="00DD00D3" w:rsidTr="005E68ED">
        <w:tc>
          <w:tcPr>
            <w:tcW w:w="5665" w:type="dxa"/>
          </w:tcPr>
          <w:p w:rsidR="00873E14" w:rsidRPr="00DD00D3" w:rsidRDefault="00873E14" w:rsidP="004A60C4">
            <w:pPr>
              <w:numPr>
                <w:ilvl w:val="0"/>
                <w:numId w:val="10"/>
              </w:numPr>
              <w:spacing w:line="360" w:lineRule="auto"/>
              <w:ind w:left="426"/>
              <w:jc w:val="both"/>
              <w:rPr>
                <w:rFonts w:cs="Arial"/>
                <w:b/>
                <w:color w:val="auto"/>
                <w:sz w:val="24"/>
                <w:szCs w:val="24"/>
                <w:lang w:val="en-GB"/>
              </w:rPr>
            </w:pPr>
            <w:r w:rsidRPr="00DD00D3">
              <w:rPr>
                <w:rFonts w:cs="Arial"/>
                <w:color w:val="auto"/>
                <w:sz w:val="24"/>
                <w:szCs w:val="24"/>
                <w:lang w:val="en-GB"/>
              </w:rPr>
              <w:lastRenderedPageBreak/>
              <w:t xml:space="preserve">The </w:t>
            </w:r>
            <w:r w:rsidRPr="00DD00D3">
              <w:rPr>
                <w:rFonts w:cs="Arial"/>
                <w:color w:val="auto"/>
                <w:sz w:val="24"/>
                <w:szCs w:val="24"/>
              </w:rPr>
              <w:t>Committee recommends that t</w:t>
            </w:r>
            <w:r w:rsidRPr="00DD00D3">
              <w:rPr>
                <w:rFonts w:cs="Arial"/>
                <w:color w:val="auto"/>
                <w:sz w:val="24"/>
                <w:szCs w:val="24"/>
                <w:lang w:val="en-GB"/>
              </w:rPr>
              <w:t>he Department should report back to Parliament on feedback received on country reports, action plans developed in this regard as well as progress in terms of implementing recommendations.</w:t>
            </w:r>
          </w:p>
        </w:tc>
        <w:tc>
          <w:tcPr>
            <w:tcW w:w="2410"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 PSCKM</w:t>
            </w:r>
          </w:p>
        </w:tc>
        <w:tc>
          <w:tcPr>
            <w:tcW w:w="7059"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The recommendation is noted and will be implemented going forward. However, the department is currently working on the implementation of the following: Harmonisation of the age of marriage to the SADC Protocol (a meeting was held with the Ministers of Home Affairs and the Minister of Justice and Constitutional Development to discuss the implementation of the SADC protocol at national level.</w:t>
            </w:r>
          </w:p>
          <w:p w:rsidR="00873E14" w:rsidRPr="00DD00D3" w:rsidRDefault="00873E14" w:rsidP="004A60C4">
            <w:pPr>
              <w:pStyle w:val="ListParagraph"/>
              <w:numPr>
                <w:ilvl w:val="0"/>
                <w:numId w:val="18"/>
              </w:numPr>
              <w:spacing w:line="360" w:lineRule="auto"/>
              <w:jc w:val="both"/>
              <w:rPr>
                <w:rFonts w:cs="Arial"/>
                <w:color w:val="auto"/>
                <w:sz w:val="24"/>
                <w:szCs w:val="24"/>
                <w:lang w:val="en-GB"/>
              </w:rPr>
            </w:pPr>
            <w:r w:rsidRPr="00DD00D3">
              <w:rPr>
                <w:rFonts w:cs="Arial"/>
                <w:color w:val="auto"/>
                <w:sz w:val="24"/>
                <w:szCs w:val="24"/>
                <w:lang w:val="en-GB"/>
              </w:rPr>
              <w:t>The Department is also implementing the global and continental mandate for mainstream or integrate gender into government planning and budgeting through the implementation of the GRBPMEA framework.</w:t>
            </w:r>
          </w:p>
          <w:p w:rsidR="00873E14" w:rsidRPr="00DD00D3" w:rsidRDefault="00873E14" w:rsidP="004A60C4">
            <w:pPr>
              <w:pStyle w:val="ListParagraph"/>
              <w:numPr>
                <w:ilvl w:val="0"/>
                <w:numId w:val="18"/>
              </w:numPr>
              <w:spacing w:line="360" w:lineRule="auto"/>
              <w:jc w:val="both"/>
              <w:rPr>
                <w:rFonts w:cs="Arial"/>
                <w:color w:val="auto"/>
                <w:sz w:val="24"/>
                <w:szCs w:val="24"/>
                <w:lang w:val="en-GB"/>
              </w:rPr>
            </w:pPr>
            <w:r w:rsidRPr="00DD00D3">
              <w:rPr>
                <w:rFonts w:cs="Arial"/>
                <w:color w:val="auto"/>
                <w:sz w:val="24"/>
                <w:szCs w:val="24"/>
                <w:lang w:val="en-GB"/>
              </w:rPr>
              <w:t>The Department is also working on the upliftment of the reservations placed in Maputo Protocol</w:t>
            </w:r>
          </w:p>
          <w:p w:rsidR="00873E14" w:rsidRPr="00DD00D3" w:rsidRDefault="00873E14" w:rsidP="004A60C4">
            <w:pPr>
              <w:pStyle w:val="ListParagraph"/>
              <w:numPr>
                <w:ilvl w:val="0"/>
                <w:numId w:val="18"/>
              </w:numPr>
              <w:spacing w:line="360" w:lineRule="auto"/>
              <w:jc w:val="both"/>
              <w:rPr>
                <w:rFonts w:cs="Arial"/>
                <w:color w:val="auto"/>
                <w:sz w:val="24"/>
                <w:szCs w:val="24"/>
                <w:lang w:val="en-GB"/>
              </w:rPr>
            </w:pPr>
            <w:r w:rsidRPr="00DD00D3">
              <w:rPr>
                <w:rFonts w:cs="Arial"/>
                <w:color w:val="auto"/>
                <w:sz w:val="24"/>
                <w:szCs w:val="24"/>
                <w:lang w:val="en-GB"/>
              </w:rPr>
              <w:t>Under the 4</w:t>
            </w:r>
            <w:r w:rsidRPr="00DD00D3">
              <w:rPr>
                <w:rFonts w:cs="Arial"/>
                <w:color w:val="auto"/>
                <w:sz w:val="24"/>
                <w:szCs w:val="24"/>
                <w:vertAlign w:val="superscript"/>
                <w:lang w:val="en-GB"/>
              </w:rPr>
              <w:t xml:space="preserve">th </w:t>
            </w:r>
            <w:r w:rsidRPr="00DD00D3">
              <w:rPr>
                <w:rFonts w:cs="Arial"/>
                <w:color w:val="auto"/>
                <w:sz w:val="24"/>
                <w:szCs w:val="24"/>
                <w:lang w:val="en-GB"/>
              </w:rPr>
              <w:t xml:space="preserve">Periodic Report on the African Charter for Human and People’s Rights, the Department will clarify issues raised (concluding observation and recommendations) by the Committee arising from the </w:t>
            </w:r>
            <w:r w:rsidRPr="00DD00D3">
              <w:rPr>
                <w:rFonts w:cs="Arial"/>
                <w:color w:val="auto"/>
                <w:sz w:val="24"/>
                <w:szCs w:val="24"/>
                <w:lang w:val="en-GB"/>
              </w:rPr>
              <w:lastRenderedPageBreak/>
              <w:t xml:space="preserve">report submitted in 2016.  </w:t>
            </w:r>
          </w:p>
        </w:tc>
      </w:tr>
      <w:tr w:rsidR="00873E14" w:rsidRPr="00DD00D3" w:rsidTr="005E68ED">
        <w:tc>
          <w:tcPr>
            <w:tcW w:w="5665" w:type="dxa"/>
          </w:tcPr>
          <w:p w:rsidR="00873E14" w:rsidRPr="00DD00D3" w:rsidRDefault="00873E14" w:rsidP="004A60C4">
            <w:pPr>
              <w:numPr>
                <w:ilvl w:val="0"/>
                <w:numId w:val="10"/>
              </w:numPr>
              <w:spacing w:line="360" w:lineRule="auto"/>
              <w:ind w:left="426"/>
              <w:jc w:val="both"/>
              <w:rPr>
                <w:rFonts w:cs="Arial"/>
                <w:b/>
                <w:color w:val="auto"/>
                <w:sz w:val="24"/>
                <w:szCs w:val="24"/>
                <w:lang w:val="en-GB"/>
              </w:rPr>
            </w:pPr>
            <w:r w:rsidRPr="00DD00D3">
              <w:rPr>
                <w:rFonts w:cs="Arial"/>
                <w:color w:val="auto"/>
                <w:sz w:val="24"/>
                <w:szCs w:val="24"/>
                <w:lang w:val="en-GB"/>
              </w:rPr>
              <w:lastRenderedPageBreak/>
              <w:t xml:space="preserve">The </w:t>
            </w:r>
            <w:r w:rsidRPr="00DD00D3">
              <w:rPr>
                <w:rFonts w:cs="Arial"/>
                <w:color w:val="auto"/>
                <w:sz w:val="24"/>
                <w:szCs w:val="24"/>
              </w:rPr>
              <w:t>Committee recommends that t</w:t>
            </w:r>
            <w:r w:rsidRPr="00DD00D3">
              <w:rPr>
                <w:rFonts w:cs="Arial"/>
                <w:color w:val="auto"/>
                <w:sz w:val="24"/>
                <w:szCs w:val="24"/>
                <w:lang w:val="en-GB"/>
              </w:rPr>
              <w:t>he Department must present all reports to be presented at an international level to the Committee at least one month before it undertakes the international trip.</w:t>
            </w:r>
          </w:p>
        </w:tc>
        <w:tc>
          <w:tcPr>
            <w:tcW w:w="2410"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 PSCKM</w:t>
            </w:r>
          </w:p>
        </w:tc>
        <w:tc>
          <w:tcPr>
            <w:tcW w:w="7059"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 xml:space="preserve">Not all meetings require country reports. Where reports are required, the reports will be submitted to the Committee. </w:t>
            </w:r>
          </w:p>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 xml:space="preserve">The Beijing +25 country report was presented to the Portfolio Committee. </w:t>
            </w:r>
          </w:p>
        </w:tc>
      </w:tr>
      <w:tr w:rsidR="00873E14" w:rsidRPr="00DD00D3" w:rsidTr="005E68ED">
        <w:tc>
          <w:tcPr>
            <w:tcW w:w="5665" w:type="dxa"/>
          </w:tcPr>
          <w:p w:rsidR="00873E14" w:rsidRPr="00DD00D3" w:rsidRDefault="00873E14" w:rsidP="004A60C4">
            <w:pPr>
              <w:spacing w:line="360" w:lineRule="auto"/>
              <w:jc w:val="both"/>
              <w:rPr>
                <w:rFonts w:cs="Arial"/>
                <w:b/>
                <w:color w:val="auto"/>
                <w:sz w:val="24"/>
                <w:szCs w:val="24"/>
                <w:lang w:val="en-GB"/>
              </w:rPr>
            </w:pPr>
            <w:r w:rsidRPr="00DD00D3">
              <w:rPr>
                <w:rFonts w:cs="Arial"/>
                <w:b/>
                <w:color w:val="auto"/>
                <w:sz w:val="24"/>
                <w:szCs w:val="24"/>
                <w:lang w:val="en-GB"/>
              </w:rPr>
              <w:t>14.8 Legislative and Policy Reform</w:t>
            </w:r>
          </w:p>
        </w:tc>
        <w:tc>
          <w:tcPr>
            <w:tcW w:w="2410" w:type="dxa"/>
          </w:tcPr>
          <w:p w:rsidR="00873E14" w:rsidRPr="00DD00D3" w:rsidRDefault="00873E14" w:rsidP="004A60C4">
            <w:pPr>
              <w:spacing w:line="360" w:lineRule="auto"/>
              <w:jc w:val="both"/>
              <w:rPr>
                <w:rFonts w:cs="Arial"/>
                <w:b/>
                <w:color w:val="auto"/>
                <w:sz w:val="24"/>
                <w:szCs w:val="24"/>
                <w:lang w:val="en-GB"/>
              </w:rPr>
            </w:pPr>
          </w:p>
        </w:tc>
        <w:tc>
          <w:tcPr>
            <w:tcW w:w="7059" w:type="dxa"/>
          </w:tcPr>
          <w:p w:rsidR="00873E14" w:rsidRPr="00DD00D3" w:rsidRDefault="00873E14" w:rsidP="004A60C4">
            <w:pPr>
              <w:spacing w:line="360" w:lineRule="auto"/>
              <w:jc w:val="both"/>
              <w:rPr>
                <w:rFonts w:cs="Arial"/>
                <w:b/>
                <w:color w:val="auto"/>
                <w:sz w:val="24"/>
                <w:szCs w:val="24"/>
                <w:lang w:val="en-GB"/>
              </w:rPr>
            </w:pPr>
          </w:p>
        </w:tc>
      </w:tr>
      <w:tr w:rsidR="00873E14" w:rsidRPr="00DD00D3" w:rsidTr="005E68ED">
        <w:tc>
          <w:tcPr>
            <w:tcW w:w="5665" w:type="dxa"/>
          </w:tcPr>
          <w:p w:rsidR="00873E14" w:rsidRPr="00DD00D3" w:rsidRDefault="00873E14" w:rsidP="004A60C4">
            <w:pPr>
              <w:numPr>
                <w:ilvl w:val="0"/>
                <w:numId w:val="11"/>
              </w:numPr>
              <w:spacing w:line="360" w:lineRule="auto"/>
              <w:ind w:left="426"/>
              <w:jc w:val="both"/>
              <w:rPr>
                <w:rFonts w:cs="Arial"/>
                <w:color w:val="auto"/>
                <w:sz w:val="24"/>
                <w:szCs w:val="24"/>
                <w:lang w:val="en-GB"/>
              </w:rPr>
            </w:pPr>
            <w:r w:rsidRPr="00DD00D3">
              <w:rPr>
                <w:rFonts w:cs="Arial"/>
                <w:color w:val="auto"/>
                <w:sz w:val="24"/>
                <w:szCs w:val="24"/>
                <w:lang w:val="en-GB"/>
              </w:rPr>
              <w:t xml:space="preserve">The </w:t>
            </w:r>
            <w:r w:rsidRPr="00DD00D3">
              <w:rPr>
                <w:rFonts w:cs="Arial"/>
                <w:color w:val="auto"/>
                <w:sz w:val="24"/>
                <w:szCs w:val="24"/>
              </w:rPr>
              <w:t>Committee recommends that t</w:t>
            </w:r>
            <w:r w:rsidRPr="00DD00D3">
              <w:rPr>
                <w:rFonts w:cs="Arial"/>
                <w:color w:val="auto"/>
                <w:sz w:val="24"/>
                <w:szCs w:val="24"/>
                <w:lang w:val="en-GB"/>
              </w:rPr>
              <w:t>he Department should brief the Committee on gaps identified within policies and laws on a regular basis.</w:t>
            </w:r>
          </w:p>
        </w:tc>
        <w:tc>
          <w:tcPr>
            <w:tcW w:w="2410"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 PSCKM</w:t>
            </w:r>
          </w:p>
          <w:p w:rsidR="00873E14" w:rsidRPr="00DD00D3" w:rsidRDefault="00873E14" w:rsidP="004A60C4">
            <w:pPr>
              <w:spacing w:line="360" w:lineRule="auto"/>
              <w:jc w:val="both"/>
              <w:rPr>
                <w:rFonts w:cs="Arial"/>
                <w:color w:val="auto"/>
                <w:sz w:val="24"/>
                <w:szCs w:val="24"/>
                <w:lang w:val="en-GB"/>
              </w:rPr>
            </w:pPr>
          </w:p>
        </w:tc>
        <w:tc>
          <w:tcPr>
            <w:tcW w:w="7059"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 xml:space="preserve">The 25-year review of women’s empowerment and gender equality identified policy and implementation gaps. </w:t>
            </w:r>
          </w:p>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 xml:space="preserve">The Department is further working on a document which outlines gender policy priorities which should be integrated within Departmental plans in the period 2019-2024. </w:t>
            </w:r>
          </w:p>
        </w:tc>
      </w:tr>
      <w:tr w:rsidR="00873E14" w:rsidRPr="00DD00D3" w:rsidTr="005E68ED">
        <w:tc>
          <w:tcPr>
            <w:tcW w:w="5665" w:type="dxa"/>
          </w:tcPr>
          <w:p w:rsidR="00873E14" w:rsidRPr="00DD00D3" w:rsidRDefault="00873E14" w:rsidP="004A60C4">
            <w:pPr>
              <w:numPr>
                <w:ilvl w:val="0"/>
                <w:numId w:val="11"/>
              </w:numPr>
              <w:spacing w:line="360" w:lineRule="auto"/>
              <w:ind w:left="426"/>
              <w:jc w:val="both"/>
              <w:rPr>
                <w:rFonts w:cs="Arial"/>
                <w:color w:val="auto"/>
                <w:sz w:val="24"/>
                <w:szCs w:val="24"/>
                <w:lang w:val="en-GB"/>
              </w:rPr>
            </w:pPr>
            <w:r w:rsidRPr="00DD00D3">
              <w:rPr>
                <w:rFonts w:cs="Arial"/>
                <w:color w:val="auto"/>
                <w:sz w:val="24"/>
                <w:szCs w:val="24"/>
                <w:lang w:val="en-GB"/>
              </w:rPr>
              <w:t xml:space="preserve">The </w:t>
            </w:r>
            <w:r w:rsidRPr="00DD00D3">
              <w:rPr>
                <w:rFonts w:cs="Arial"/>
                <w:color w:val="auto"/>
                <w:sz w:val="24"/>
                <w:szCs w:val="24"/>
              </w:rPr>
              <w:t>Committee recommends that t</w:t>
            </w:r>
            <w:r w:rsidRPr="00DD00D3">
              <w:rPr>
                <w:rFonts w:cs="Arial"/>
                <w:color w:val="auto"/>
                <w:sz w:val="24"/>
                <w:szCs w:val="24"/>
                <w:lang w:val="en-GB"/>
              </w:rPr>
              <w:t>he Department should table all reports developed upon completion on a quarterly basis for the Committee to consider.</w:t>
            </w:r>
          </w:p>
        </w:tc>
        <w:tc>
          <w:tcPr>
            <w:tcW w:w="2410"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DDG:STEE</w:t>
            </w:r>
          </w:p>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 PSCKM</w:t>
            </w:r>
          </w:p>
          <w:p w:rsidR="00873E14" w:rsidRPr="00DD00D3" w:rsidRDefault="00873E14" w:rsidP="004A60C4">
            <w:pPr>
              <w:spacing w:line="360" w:lineRule="auto"/>
              <w:jc w:val="both"/>
              <w:rPr>
                <w:rFonts w:cs="Arial"/>
                <w:color w:val="auto"/>
                <w:sz w:val="24"/>
                <w:szCs w:val="24"/>
                <w:lang w:val="en-GB"/>
              </w:rPr>
            </w:pPr>
          </w:p>
        </w:tc>
        <w:tc>
          <w:tcPr>
            <w:tcW w:w="7059" w:type="dxa"/>
          </w:tcPr>
          <w:p w:rsidR="00873E14" w:rsidRPr="00DD00D3" w:rsidRDefault="002712E1" w:rsidP="005E68ED">
            <w:pPr>
              <w:spacing w:line="360" w:lineRule="auto"/>
              <w:jc w:val="both"/>
              <w:rPr>
                <w:rFonts w:cs="Arial"/>
                <w:color w:val="auto"/>
                <w:sz w:val="24"/>
                <w:szCs w:val="24"/>
                <w:lang w:val="en-GB"/>
              </w:rPr>
            </w:pPr>
            <w:r>
              <w:rPr>
                <w:rFonts w:cs="Arial"/>
                <w:color w:val="auto"/>
                <w:sz w:val="24"/>
                <w:szCs w:val="24"/>
              </w:rPr>
              <w:t>T</w:t>
            </w:r>
            <w:r w:rsidRPr="00DD00D3">
              <w:rPr>
                <w:rFonts w:cs="Arial"/>
                <w:color w:val="auto"/>
                <w:sz w:val="24"/>
                <w:szCs w:val="24"/>
                <w:lang w:val="en-GB"/>
              </w:rPr>
              <w:t xml:space="preserve">he Department </w:t>
            </w:r>
            <w:r>
              <w:rPr>
                <w:rFonts w:cs="Arial"/>
                <w:color w:val="auto"/>
                <w:sz w:val="24"/>
                <w:szCs w:val="24"/>
                <w:lang w:val="en-GB"/>
              </w:rPr>
              <w:t xml:space="preserve">will </w:t>
            </w:r>
            <w:r w:rsidRPr="00DD00D3">
              <w:rPr>
                <w:rFonts w:cs="Arial"/>
                <w:color w:val="auto"/>
                <w:sz w:val="24"/>
                <w:szCs w:val="24"/>
                <w:lang w:val="en-GB"/>
              </w:rPr>
              <w:t>table all reports developed upon completion on a quarterly basis for the Committee to consider.</w:t>
            </w:r>
          </w:p>
        </w:tc>
      </w:tr>
      <w:tr w:rsidR="00873E14" w:rsidRPr="00DD00D3" w:rsidTr="005E68ED">
        <w:tc>
          <w:tcPr>
            <w:tcW w:w="5665" w:type="dxa"/>
          </w:tcPr>
          <w:p w:rsidR="00873E14" w:rsidRPr="00DD00D3" w:rsidRDefault="00873E14" w:rsidP="004A60C4">
            <w:pPr>
              <w:numPr>
                <w:ilvl w:val="0"/>
                <w:numId w:val="11"/>
              </w:numPr>
              <w:spacing w:line="360" w:lineRule="auto"/>
              <w:ind w:left="426"/>
              <w:jc w:val="both"/>
              <w:rPr>
                <w:rFonts w:cs="Arial"/>
                <w:color w:val="auto"/>
                <w:sz w:val="24"/>
                <w:szCs w:val="24"/>
                <w:lang w:val="en-GB"/>
              </w:rPr>
            </w:pPr>
            <w:r w:rsidRPr="00DD00D3">
              <w:rPr>
                <w:rFonts w:cs="Arial"/>
                <w:color w:val="auto"/>
                <w:sz w:val="24"/>
                <w:szCs w:val="24"/>
                <w:lang w:val="en-GB"/>
              </w:rPr>
              <w:t xml:space="preserve">The </w:t>
            </w:r>
            <w:r w:rsidRPr="00DD00D3">
              <w:rPr>
                <w:rFonts w:cs="Arial"/>
                <w:color w:val="auto"/>
                <w:sz w:val="24"/>
                <w:szCs w:val="24"/>
              </w:rPr>
              <w:t>Committee recommends that t</w:t>
            </w:r>
            <w:r w:rsidRPr="00DD00D3">
              <w:rPr>
                <w:rFonts w:cs="Arial"/>
                <w:color w:val="auto"/>
                <w:sz w:val="24"/>
                <w:szCs w:val="24"/>
                <w:lang w:val="en-GB"/>
              </w:rPr>
              <w:t>he Department should brief the Committee on its policy position with regards to gender mainstreaming and clearly indicate what, if any, changes are required to the existing National Policy Framework for Women’s Empowerment and Gender.</w:t>
            </w:r>
          </w:p>
        </w:tc>
        <w:tc>
          <w:tcPr>
            <w:tcW w:w="2410"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DDG:STEE</w:t>
            </w:r>
          </w:p>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 PSCKM</w:t>
            </w:r>
          </w:p>
          <w:p w:rsidR="00873E14" w:rsidRPr="00DD00D3" w:rsidRDefault="00873E14" w:rsidP="004A60C4">
            <w:pPr>
              <w:spacing w:line="360" w:lineRule="auto"/>
              <w:jc w:val="both"/>
              <w:rPr>
                <w:rFonts w:cs="Arial"/>
                <w:color w:val="auto"/>
                <w:sz w:val="24"/>
                <w:szCs w:val="24"/>
                <w:lang w:val="en-GB"/>
              </w:rPr>
            </w:pPr>
          </w:p>
        </w:tc>
        <w:tc>
          <w:tcPr>
            <w:tcW w:w="7059"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 xml:space="preserve">The Department intends to undertake a review of the National Policy Framework for Women’s Empowerment and Gender Equality and develop a revised framework.  </w:t>
            </w:r>
          </w:p>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 xml:space="preserve">The Department further intends to revise and reintroduce the WEGE Bill by the end of the term of office in 2024. </w:t>
            </w:r>
          </w:p>
        </w:tc>
      </w:tr>
      <w:tr w:rsidR="00873E14" w:rsidRPr="00DD00D3" w:rsidTr="005E68ED">
        <w:tc>
          <w:tcPr>
            <w:tcW w:w="5665" w:type="dxa"/>
          </w:tcPr>
          <w:p w:rsidR="00873E14" w:rsidRPr="00DD00D3" w:rsidRDefault="00873E14" w:rsidP="004A60C4">
            <w:pPr>
              <w:spacing w:line="360" w:lineRule="auto"/>
              <w:jc w:val="both"/>
              <w:rPr>
                <w:rFonts w:cs="Arial"/>
                <w:b/>
                <w:color w:val="auto"/>
                <w:sz w:val="24"/>
                <w:szCs w:val="24"/>
                <w:lang w:val="en-GB"/>
              </w:rPr>
            </w:pPr>
            <w:r w:rsidRPr="00DD00D3">
              <w:rPr>
                <w:rFonts w:cs="Arial"/>
                <w:b/>
                <w:color w:val="auto"/>
                <w:sz w:val="24"/>
                <w:szCs w:val="24"/>
                <w:lang w:val="en-GB"/>
              </w:rPr>
              <w:lastRenderedPageBreak/>
              <w:t>14.9 Outstanding responses and reports</w:t>
            </w:r>
          </w:p>
        </w:tc>
        <w:tc>
          <w:tcPr>
            <w:tcW w:w="2410" w:type="dxa"/>
          </w:tcPr>
          <w:p w:rsidR="00873E14" w:rsidRPr="00DD00D3" w:rsidRDefault="00873E14" w:rsidP="004A60C4">
            <w:pPr>
              <w:spacing w:line="360" w:lineRule="auto"/>
              <w:jc w:val="both"/>
              <w:rPr>
                <w:rFonts w:cs="Arial"/>
                <w:b/>
                <w:color w:val="auto"/>
                <w:sz w:val="24"/>
                <w:szCs w:val="24"/>
                <w:lang w:val="en-GB"/>
              </w:rPr>
            </w:pPr>
          </w:p>
        </w:tc>
        <w:tc>
          <w:tcPr>
            <w:tcW w:w="7059" w:type="dxa"/>
          </w:tcPr>
          <w:p w:rsidR="00873E14" w:rsidRPr="00DD00D3" w:rsidRDefault="00873E14" w:rsidP="004A60C4">
            <w:pPr>
              <w:spacing w:line="360" w:lineRule="auto"/>
              <w:jc w:val="both"/>
              <w:rPr>
                <w:rFonts w:cs="Arial"/>
                <w:b/>
                <w:color w:val="auto"/>
                <w:sz w:val="24"/>
                <w:szCs w:val="24"/>
                <w:lang w:val="en-GB"/>
              </w:rPr>
            </w:pPr>
          </w:p>
        </w:tc>
      </w:tr>
      <w:tr w:rsidR="00873E14" w:rsidRPr="00DD00D3" w:rsidTr="005E68ED">
        <w:tc>
          <w:tcPr>
            <w:tcW w:w="5665" w:type="dxa"/>
          </w:tcPr>
          <w:p w:rsidR="00873E14" w:rsidRPr="00DD00D3" w:rsidRDefault="00873E14" w:rsidP="004A60C4">
            <w:pPr>
              <w:numPr>
                <w:ilvl w:val="0"/>
                <w:numId w:val="14"/>
              </w:numPr>
              <w:spacing w:line="360" w:lineRule="auto"/>
              <w:ind w:left="426"/>
              <w:jc w:val="both"/>
              <w:rPr>
                <w:rFonts w:cs="Arial"/>
                <w:color w:val="auto"/>
                <w:sz w:val="24"/>
                <w:szCs w:val="24"/>
                <w:lang w:val="en-GB"/>
              </w:rPr>
            </w:pPr>
            <w:r w:rsidRPr="00DD00D3">
              <w:rPr>
                <w:rFonts w:cs="Arial"/>
                <w:color w:val="auto"/>
                <w:sz w:val="24"/>
                <w:szCs w:val="24"/>
                <w:lang w:val="en-GB"/>
              </w:rPr>
              <w:t>The Committee requests that the Department briefs it on all outstanding responses to questions posed in relation to the Annual Report for 2018/19 as well as reports submitted.</w:t>
            </w:r>
          </w:p>
        </w:tc>
        <w:tc>
          <w:tcPr>
            <w:tcW w:w="2410"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DDG:STEE</w:t>
            </w:r>
          </w:p>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 PSCKM</w:t>
            </w:r>
          </w:p>
          <w:p w:rsidR="00873E14" w:rsidRPr="00DD00D3" w:rsidRDefault="00873E14" w:rsidP="004A60C4">
            <w:pPr>
              <w:spacing w:line="360" w:lineRule="auto"/>
              <w:jc w:val="both"/>
              <w:rPr>
                <w:rFonts w:cs="Arial"/>
                <w:color w:val="auto"/>
                <w:sz w:val="24"/>
                <w:szCs w:val="24"/>
                <w:lang w:val="en-GB"/>
              </w:rPr>
            </w:pPr>
          </w:p>
        </w:tc>
        <w:tc>
          <w:tcPr>
            <w:tcW w:w="7059" w:type="dxa"/>
          </w:tcPr>
          <w:p w:rsidR="00873E14" w:rsidRPr="00DD00D3" w:rsidRDefault="00873E14" w:rsidP="005E68ED">
            <w:pPr>
              <w:spacing w:line="360" w:lineRule="auto"/>
              <w:jc w:val="both"/>
              <w:rPr>
                <w:rFonts w:cs="Arial"/>
                <w:color w:val="auto"/>
                <w:sz w:val="24"/>
                <w:szCs w:val="24"/>
                <w:lang w:val="en-GB"/>
              </w:rPr>
            </w:pPr>
            <w:r>
              <w:rPr>
                <w:rFonts w:cs="Arial"/>
                <w:color w:val="auto"/>
                <w:sz w:val="24"/>
                <w:szCs w:val="24"/>
                <w:lang w:val="en-GB"/>
              </w:rPr>
              <w:t xml:space="preserve">The responses </w:t>
            </w:r>
            <w:r w:rsidR="00D7144E">
              <w:rPr>
                <w:rFonts w:cs="Arial"/>
                <w:color w:val="auto"/>
                <w:sz w:val="24"/>
                <w:szCs w:val="24"/>
                <w:lang w:val="en-GB"/>
              </w:rPr>
              <w:t xml:space="preserve">were </w:t>
            </w:r>
            <w:r>
              <w:rPr>
                <w:rFonts w:cs="Arial"/>
                <w:color w:val="auto"/>
                <w:sz w:val="24"/>
                <w:szCs w:val="24"/>
                <w:lang w:val="en-GB"/>
              </w:rPr>
              <w:t>finalised</w:t>
            </w:r>
            <w:r w:rsidR="00D7144E">
              <w:rPr>
                <w:rFonts w:cs="Arial"/>
                <w:color w:val="auto"/>
                <w:sz w:val="24"/>
                <w:szCs w:val="24"/>
                <w:lang w:val="en-GB"/>
              </w:rPr>
              <w:t xml:space="preserve"> and the department briefed the PC</w:t>
            </w:r>
            <w:r w:rsidR="00D7144E" w:rsidRPr="00DD00D3">
              <w:rPr>
                <w:rFonts w:cs="Arial"/>
                <w:color w:val="auto"/>
                <w:sz w:val="24"/>
                <w:szCs w:val="24"/>
                <w:lang w:val="en-GB"/>
              </w:rPr>
              <w:t xml:space="preserve"> on all outstanding responses to questions posed in relation to the Annual Report for 2018/19</w:t>
            </w:r>
            <w:r>
              <w:rPr>
                <w:rFonts w:cs="Arial"/>
                <w:color w:val="auto"/>
                <w:sz w:val="24"/>
                <w:szCs w:val="24"/>
                <w:lang w:val="en-GB"/>
              </w:rPr>
              <w:t>.</w:t>
            </w:r>
          </w:p>
        </w:tc>
      </w:tr>
      <w:tr w:rsidR="00873E14" w:rsidRPr="00DD00D3" w:rsidTr="005E68ED">
        <w:tc>
          <w:tcPr>
            <w:tcW w:w="5665" w:type="dxa"/>
          </w:tcPr>
          <w:p w:rsidR="00873E14" w:rsidRPr="00DD00D3" w:rsidRDefault="00873E14" w:rsidP="004A60C4">
            <w:pPr>
              <w:numPr>
                <w:ilvl w:val="0"/>
                <w:numId w:val="14"/>
              </w:numPr>
              <w:spacing w:line="360" w:lineRule="auto"/>
              <w:ind w:left="426"/>
              <w:jc w:val="both"/>
              <w:rPr>
                <w:rFonts w:cs="Arial"/>
                <w:color w:val="auto"/>
                <w:sz w:val="24"/>
                <w:szCs w:val="24"/>
                <w:lang w:val="en-GB"/>
              </w:rPr>
            </w:pPr>
            <w:r w:rsidRPr="00DD00D3">
              <w:rPr>
                <w:rFonts w:cs="Arial"/>
                <w:color w:val="auto"/>
                <w:sz w:val="24"/>
                <w:szCs w:val="24"/>
                <w:lang w:val="en-GB"/>
              </w:rPr>
              <w:t xml:space="preserve">The Committee recommends that the Department must submit all reports within 30 days of completion for consideration. </w:t>
            </w:r>
          </w:p>
        </w:tc>
        <w:tc>
          <w:tcPr>
            <w:tcW w:w="2410"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DDG:STEE</w:t>
            </w:r>
          </w:p>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 PSCKM</w:t>
            </w:r>
          </w:p>
          <w:p w:rsidR="00873E14" w:rsidRPr="00DD00D3" w:rsidRDefault="00873E14" w:rsidP="004A60C4">
            <w:pPr>
              <w:spacing w:line="360" w:lineRule="auto"/>
              <w:jc w:val="both"/>
              <w:rPr>
                <w:rFonts w:cs="Arial"/>
                <w:color w:val="auto"/>
                <w:sz w:val="24"/>
                <w:szCs w:val="24"/>
                <w:lang w:val="en-GB"/>
              </w:rPr>
            </w:pPr>
          </w:p>
        </w:tc>
        <w:tc>
          <w:tcPr>
            <w:tcW w:w="7059" w:type="dxa"/>
          </w:tcPr>
          <w:p w:rsidR="00873E14" w:rsidRPr="00DD00D3" w:rsidRDefault="00873E14" w:rsidP="005E68ED">
            <w:pPr>
              <w:spacing w:line="360" w:lineRule="auto"/>
              <w:jc w:val="both"/>
              <w:rPr>
                <w:rFonts w:cs="Arial"/>
                <w:color w:val="auto"/>
                <w:sz w:val="24"/>
                <w:szCs w:val="24"/>
                <w:lang w:val="en-GB"/>
              </w:rPr>
            </w:pPr>
            <w:r w:rsidRPr="00DD00D3">
              <w:rPr>
                <w:rFonts w:cs="Arial"/>
                <w:color w:val="auto"/>
                <w:sz w:val="24"/>
                <w:szCs w:val="24"/>
                <w:lang w:val="en-GB"/>
              </w:rPr>
              <w:t xml:space="preserve">Reports </w:t>
            </w:r>
            <w:r w:rsidR="00D7144E">
              <w:rPr>
                <w:rFonts w:cs="Arial"/>
                <w:color w:val="auto"/>
                <w:sz w:val="24"/>
                <w:szCs w:val="24"/>
                <w:lang w:val="en-GB"/>
              </w:rPr>
              <w:t xml:space="preserve">will </w:t>
            </w:r>
            <w:r w:rsidRPr="00DD00D3">
              <w:rPr>
                <w:rFonts w:cs="Arial"/>
                <w:color w:val="auto"/>
                <w:sz w:val="24"/>
                <w:szCs w:val="24"/>
                <w:lang w:val="en-GB"/>
              </w:rPr>
              <w:t xml:space="preserve">be submitted to the Committee once they have been approved internally. </w:t>
            </w:r>
          </w:p>
        </w:tc>
      </w:tr>
      <w:tr w:rsidR="00873E14" w:rsidRPr="00DD00D3" w:rsidTr="005E68ED">
        <w:tc>
          <w:tcPr>
            <w:tcW w:w="5665" w:type="dxa"/>
          </w:tcPr>
          <w:p w:rsidR="00873E14" w:rsidRPr="00DD00D3" w:rsidRDefault="00873E14" w:rsidP="004A60C4">
            <w:pPr>
              <w:numPr>
                <w:ilvl w:val="0"/>
                <w:numId w:val="14"/>
              </w:numPr>
              <w:spacing w:line="360" w:lineRule="auto"/>
              <w:ind w:left="426"/>
              <w:jc w:val="both"/>
              <w:rPr>
                <w:rFonts w:cs="Arial"/>
                <w:color w:val="auto"/>
                <w:sz w:val="24"/>
                <w:szCs w:val="24"/>
                <w:lang w:val="en-GB"/>
              </w:rPr>
            </w:pPr>
            <w:r w:rsidRPr="00DD00D3">
              <w:rPr>
                <w:rFonts w:cs="Arial"/>
                <w:color w:val="auto"/>
                <w:sz w:val="24"/>
                <w:szCs w:val="24"/>
                <w:lang w:val="en-GB"/>
              </w:rPr>
              <w:t>The Committee recommends that the Department submit all documentation for a meeting at least 7 working days in advance. Failure to do so – the Committee should be informed in writing as to the reasons.</w:t>
            </w:r>
          </w:p>
        </w:tc>
        <w:tc>
          <w:tcPr>
            <w:tcW w:w="2410"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CD:ODG</w:t>
            </w:r>
          </w:p>
        </w:tc>
        <w:tc>
          <w:tcPr>
            <w:tcW w:w="7059" w:type="dxa"/>
          </w:tcPr>
          <w:p w:rsidR="00873E14" w:rsidRPr="00DD00D3" w:rsidRDefault="00D7144E" w:rsidP="00943700">
            <w:pPr>
              <w:spacing w:line="360" w:lineRule="auto"/>
              <w:jc w:val="both"/>
              <w:rPr>
                <w:rFonts w:cs="Arial"/>
                <w:color w:val="auto"/>
                <w:sz w:val="24"/>
                <w:szCs w:val="24"/>
                <w:lang w:val="en-GB"/>
              </w:rPr>
            </w:pPr>
            <w:r>
              <w:rPr>
                <w:rFonts w:cs="Arial"/>
                <w:color w:val="auto"/>
                <w:sz w:val="24"/>
                <w:szCs w:val="24"/>
                <w:lang w:val="en-GB"/>
              </w:rPr>
              <w:t>T</w:t>
            </w:r>
            <w:r w:rsidRPr="00DD00D3">
              <w:rPr>
                <w:rFonts w:cs="Arial"/>
                <w:color w:val="auto"/>
                <w:sz w:val="24"/>
                <w:szCs w:val="24"/>
                <w:lang w:val="en-GB"/>
              </w:rPr>
              <w:t xml:space="preserve">he Department </w:t>
            </w:r>
            <w:r w:rsidR="00943700">
              <w:rPr>
                <w:rFonts w:cs="Arial"/>
                <w:color w:val="auto"/>
                <w:sz w:val="24"/>
                <w:szCs w:val="24"/>
                <w:lang w:val="en-GB"/>
              </w:rPr>
              <w:t xml:space="preserve">is required to </w:t>
            </w:r>
            <w:r w:rsidRPr="00DD00D3">
              <w:rPr>
                <w:rFonts w:cs="Arial"/>
                <w:color w:val="auto"/>
                <w:sz w:val="24"/>
                <w:szCs w:val="24"/>
                <w:lang w:val="en-GB"/>
              </w:rPr>
              <w:t>submit all documentation for a meeting at least 7 working days in advance</w:t>
            </w:r>
            <w:r w:rsidR="00943700">
              <w:rPr>
                <w:rFonts w:cs="Arial"/>
                <w:color w:val="auto"/>
                <w:sz w:val="24"/>
                <w:szCs w:val="24"/>
                <w:lang w:val="en-GB"/>
              </w:rPr>
              <w:t>. I</w:t>
            </w:r>
            <w:r>
              <w:rPr>
                <w:rFonts w:cs="Arial"/>
                <w:color w:val="auto"/>
                <w:sz w:val="24"/>
                <w:szCs w:val="24"/>
                <w:lang w:val="en-GB"/>
              </w:rPr>
              <w:t xml:space="preserve">t is appealed that such requests be </w:t>
            </w:r>
            <w:r w:rsidR="00943700">
              <w:rPr>
                <w:rFonts w:cs="Arial"/>
                <w:color w:val="auto"/>
                <w:sz w:val="24"/>
                <w:szCs w:val="24"/>
                <w:lang w:val="en-GB"/>
              </w:rPr>
              <w:t xml:space="preserve">communicated </w:t>
            </w:r>
            <w:r>
              <w:rPr>
                <w:rFonts w:cs="Arial"/>
                <w:color w:val="auto"/>
                <w:sz w:val="24"/>
                <w:szCs w:val="24"/>
                <w:lang w:val="en-GB"/>
              </w:rPr>
              <w:t>in advance to the department in order</w:t>
            </w:r>
            <w:r w:rsidR="004222CF">
              <w:rPr>
                <w:rFonts w:cs="Arial"/>
                <w:color w:val="auto"/>
                <w:sz w:val="24"/>
                <w:szCs w:val="24"/>
                <w:lang w:val="en-GB"/>
              </w:rPr>
              <w:t xml:space="preserve"> to meet the 7 days working day</w:t>
            </w:r>
            <w:bookmarkStart w:id="0" w:name="_GoBack"/>
            <w:bookmarkEnd w:id="0"/>
            <w:r>
              <w:rPr>
                <w:rFonts w:cs="Arial"/>
                <w:color w:val="auto"/>
                <w:sz w:val="24"/>
                <w:szCs w:val="24"/>
                <w:lang w:val="en-GB"/>
              </w:rPr>
              <w:t xml:space="preserve"> timeline</w:t>
            </w:r>
            <w:r w:rsidRPr="00DD00D3">
              <w:rPr>
                <w:rFonts w:cs="Arial"/>
                <w:color w:val="auto"/>
                <w:sz w:val="24"/>
                <w:szCs w:val="24"/>
                <w:lang w:val="en-GB"/>
              </w:rPr>
              <w:t xml:space="preserve">. </w:t>
            </w:r>
          </w:p>
        </w:tc>
      </w:tr>
      <w:tr w:rsidR="00873E14" w:rsidRPr="00DD00D3" w:rsidTr="005E68ED">
        <w:tc>
          <w:tcPr>
            <w:tcW w:w="5665" w:type="dxa"/>
          </w:tcPr>
          <w:p w:rsidR="00873E14" w:rsidRPr="00DD00D3" w:rsidRDefault="00873E14" w:rsidP="004A60C4">
            <w:pPr>
              <w:spacing w:line="360" w:lineRule="auto"/>
              <w:jc w:val="both"/>
              <w:rPr>
                <w:rFonts w:cs="Arial"/>
                <w:b/>
                <w:color w:val="auto"/>
                <w:sz w:val="24"/>
                <w:szCs w:val="24"/>
                <w:lang w:val="en-GB"/>
              </w:rPr>
            </w:pPr>
            <w:r w:rsidRPr="00DD00D3">
              <w:rPr>
                <w:rFonts w:cs="Arial"/>
                <w:b/>
                <w:color w:val="auto"/>
                <w:sz w:val="24"/>
                <w:szCs w:val="24"/>
                <w:lang w:val="en-GB"/>
              </w:rPr>
              <w:t>14.10 GBVF</w:t>
            </w:r>
          </w:p>
        </w:tc>
        <w:tc>
          <w:tcPr>
            <w:tcW w:w="2410" w:type="dxa"/>
          </w:tcPr>
          <w:p w:rsidR="00873E14" w:rsidRPr="00DD00D3" w:rsidRDefault="00873E14" w:rsidP="004A60C4">
            <w:pPr>
              <w:spacing w:line="360" w:lineRule="auto"/>
              <w:jc w:val="both"/>
              <w:rPr>
                <w:rFonts w:cs="Arial"/>
                <w:b/>
                <w:color w:val="auto"/>
                <w:sz w:val="24"/>
                <w:szCs w:val="24"/>
                <w:lang w:val="en-GB"/>
              </w:rPr>
            </w:pPr>
          </w:p>
        </w:tc>
        <w:tc>
          <w:tcPr>
            <w:tcW w:w="7059" w:type="dxa"/>
          </w:tcPr>
          <w:p w:rsidR="00873E14" w:rsidRPr="00DD00D3" w:rsidRDefault="00873E14" w:rsidP="004A60C4">
            <w:pPr>
              <w:spacing w:line="360" w:lineRule="auto"/>
              <w:jc w:val="both"/>
              <w:rPr>
                <w:rFonts w:cs="Arial"/>
                <w:b/>
                <w:color w:val="auto"/>
                <w:sz w:val="24"/>
                <w:szCs w:val="24"/>
                <w:lang w:val="en-GB"/>
              </w:rPr>
            </w:pPr>
          </w:p>
        </w:tc>
      </w:tr>
      <w:tr w:rsidR="00873E14" w:rsidRPr="00DD00D3" w:rsidTr="005E68ED">
        <w:tc>
          <w:tcPr>
            <w:tcW w:w="5665"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a) The Committee requests the Department to brief it on the relationship between the Interim Steering Committee and the Department insofar as the development of the NSP is concerned as well as the proposed National Council on Gender-Based Violence.</w:t>
            </w:r>
          </w:p>
        </w:tc>
        <w:tc>
          <w:tcPr>
            <w:tcW w:w="2410"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DDG:STEE</w:t>
            </w:r>
          </w:p>
          <w:p w:rsidR="00873E14" w:rsidRPr="00DD00D3" w:rsidRDefault="00873E14" w:rsidP="004A60C4">
            <w:pPr>
              <w:spacing w:line="360" w:lineRule="auto"/>
              <w:jc w:val="both"/>
              <w:rPr>
                <w:rFonts w:cs="Arial"/>
                <w:color w:val="auto"/>
                <w:sz w:val="24"/>
                <w:szCs w:val="24"/>
                <w:lang w:val="en-GB"/>
              </w:rPr>
            </w:pPr>
          </w:p>
        </w:tc>
        <w:tc>
          <w:tcPr>
            <w:tcW w:w="7059"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 xml:space="preserve">The ISC established to respond to the GBVF crisis facing the country is providing a strategic and operational holding space to the planned National Council on Gender based Violence (NCGBV). </w:t>
            </w:r>
          </w:p>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 xml:space="preserve">The DWYPD is the member of the ISC and provides the strategic guidance and support for development of the NSP. The department is also a member of the ISC NSP drafting team and was tasked with facilitating consultations on the </w:t>
            </w:r>
            <w:r w:rsidRPr="00DD00D3">
              <w:rPr>
                <w:rFonts w:cs="Arial"/>
                <w:color w:val="auto"/>
                <w:sz w:val="24"/>
                <w:szCs w:val="24"/>
                <w:lang w:val="en-GB"/>
              </w:rPr>
              <w:lastRenderedPageBreak/>
              <w:t>NSP in Kwa-zulu-Natal and the Western Cape.</w:t>
            </w:r>
          </w:p>
          <w:p w:rsidR="00873E14" w:rsidRPr="00DD00D3" w:rsidRDefault="00873E14" w:rsidP="004A60C4">
            <w:pPr>
              <w:spacing w:line="360" w:lineRule="auto"/>
              <w:jc w:val="both"/>
              <w:rPr>
                <w:rFonts w:cs="Arial"/>
                <w:color w:val="auto"/>
                <w:sz w:val="24"/>
                <w:szCs w:val="24"/>
                <w:lang w:val="en-GB"/>
              </w:rPr>
            </w:pPr>
          </w:p>
          <w:p w:rsidR="00873E14" w:rsidRPr="00DD00D3" w:rsidRDefault="00873E14" w:rsidP="004A60C4">
            <w:pPr>
              <w:autoSpaceDE w:val="0"/>
              <w:autoSpaceDN w:val="0"/>
              <w:adjustRightInd w:val="0"/>
              <w:spacing w:line="360" w:lineRule="auto"/>
              <w:jc w:val="both"/>
              <w:rPr>
                <w:rFonts w:cs="Arial"/>
                <w:color w:val="auto"/>
                <w:sz w:val="24"/>
                <w:szCs w:val="24"/>
              </w:rPr>
            </w:pPr>
            <w:r w:rsidRPr="00DD00D3">
              <w:rPr>
                <w:rFonts w:eastAsiaTheme="minorHAnsi" w:cs="Arial"/>
                <w:color w:val="auto"/>
                <w:sz w:val="24"/>
                <w:szCs w:val="24"/>
              </w:rPr>
              <w:t xml:space="preserve">In addition it is tasked by the IGBVF-SC to lead the task team responsible for the conceptualisation, design and establishment of the GBVF Council.  </w:t>
            </w:r>
          </w:p>
          <w:p w:rsidR="00873E14" w:rsidRPr="00DD00D3" w:rsidRDefault="00873E14" w:rsidP="004A60C4">
            <w:pPr>
              <w:spacing w:line="360" w:lineRule="auto"/>
              <w:jc w:val="both"/>
              <w:rPr>
                <w:rFonts w:cs="Arial"/>
                <w:color w:val="auto"/>
                <w:sz w:val="24"/>
                <w:szCs w:val="24"/>
                <w:highlight w:val="yellow"/>
                <w:lang w:val="en-GB"/>
              </w:rPr>
            </w:pPr>
          </w:p>
        </w:tc>
      </w:tr>
      <w:tr w:rsidR="00873E14" w:rsidRPr="00DD00D3" w:rsidTr="005E68ED">
        <w:tc>
          <w:tcPr>
            <w:tcW w:w="5665"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lastRenderedPageBreak/>
              <w:t xml:space="preserve">b) The Committee requests the Department to submit a list of names of all those represented in the Interim Steering Committee. </w:t>
            </w:r>
          </w:p>
        </w:tc>
        <w:tc>
          <w:tcPr>
            <w:tcW w:w="2410"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DDG:STEE</w:t>
            </w:r>
          </w:p>
          <w:p w:rsidR="00873E14" w:rsidRPr="00DD00D3" w:rsidRDefault="00873E14" w:rsidP="004A60C4">
            <w:pPr>
              <w:spacing w:line="360" w:lineRule="auto"/>
              <w:jc w:val="both"/>
              <w:rPr>
                <w:rFonts w:cs="Arial"/>
                <w:color w:val="auto"/>
                <w:sz w:val="24"/>
                <w:szCs w:val="24"/>
                <w:lang w:val="en-GB"/>
              </w:rPr>
            </w:pPr>
          </w:p>
        </w:tc>
        <w:tc>
          <w:tcPr>
            <w:tcW w:w="7059"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 xml:space="preserve">List attached </w:t>
            </w:r>
          </w:p>
        </w:tc>
      </w:tr>
      <w:tr w:rsidR="00873E14" w:rsidRPr="00DD00D3" w:rsidTr="005E68ED">
        <w:tc>
          <w:tcPr>
            <w:tcW w:w="5665"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c) The Committee requests the Department to submit the draft NSP for consideration and for the Interim Steering Committee to present the outcomes of the input from civil society.</w:t>
            </w:r>
          </w:p>
        </w:tc>
        <w:tc>
          <w:tcPr>
            <w:tcW w:w="2410"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DDG:STEE</w:t>
            </w:r>
          </w:p>
          <w:p w:rsidR="00873E14" w:rsidRPr="00DD00D3" w:rsidRDefault="00873E14" w:rsidP="004A60C4">
            <w:pPr>
              <w:spacing w:line="360" w:lineRule="auto"/>
              <w:jc w:val="both"/>
              <w:rPr>
                <w:rFonts w:cs="Arial"/>
                <w:color w:val="auto"/>
                <w:sz w:val="24"/>
                <w:szCs w:val="24"/>
                <w:lang w:val="en-GB"/>
              </w:rPr>
            </w:pPr>
          </w:p>
        </w:tc>
        <w:tc>
          <w:tcPr>
            <w:tcW w:w="7059"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 xml:space="preserve">Draft NSP is attached </w:t>
            </w:r>
          </w:p>
        </w:tc>
      </w:tr>
      <w:tr w:rsidR="00873E14" w:rsidRPr="00DD00D3" w:rsidTr="005E68ED">
        <w:tc>
          <w:tcPr>
            <w:tcW w:w="5665"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 The Committee requests the Department to provide an update on progress with regards to the establishment of the National Council on GBV.</w:t>
            </w:r>
          </w:p>
        </w:tc>
        <w:tc>
          <w:tcPr>
            <w:tcW w:w="2410"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DDG:STEE</w:t>
            </w:r>
          </w:p>
          <w:p w:rsidR="00873E14" w:rsidRPr="00DD00D3" w:rsidRDefault="00873E14" w:rsidP="004A60C4">
            <w:pPr>
              <w:spacing w:line="360" w:lineRule="auto"/>
              <w:jc w:val="both"/>
              <w:rPr>
                <w:rFonts w:cs="Arial"/>
                <w:color w:val="auto"/>
                <w:sz w:val="24"/>
                <w:szCs w:val="24"/>
                <w:lang w:val="en-GB"/>
              </w:rPr>
            </w:pPr>
          </w:p>
        </w:tc>
        <w:tc>
          <w:tcPr>
            <w:tcW w:w="7059"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 xml:space="preserve">The ISC established to respond to the GBVF crisis facing the country is providing a strategic and operational holding space to the planned National Council on Gender based Violence (NCGBV). </w:t>
            </w:r>
          </w:p>
          <w:p w:rsidR="00873E14" w:rsidRPr="00DD00D3" w:rsidRDefault="00873E14" w:rsidP="004A60C4">
            <w:pPr>
              <w:spacing w:line="360" w:lineRule="auto"/>
              <w:jc w:val="both"/>
              <w:rPr>
                <w:rFonts w:cs="Arial"/>
                <w:color w:val="auto"/>
                <w:sz w:val="24"/>
                <w:szCs w:val="24"/>
                <w:lang w:val="en-GB"/>
              </w:rPr>
            </w:pPr>
          </w:p>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 xml:space="preserve">The NCGBV will be established once the proposed structure is approved by Cabinet. A concept paper on the proposed Council is currently </w:t>
            </w:r>
            <w:r w:rsidR="0038460F">
              <w:rPr>
                <w:rFonts w:cs="Arial"/>
                <w:color w:val="auto"/>
                <w:sz w:val="24"/>
                <w:szCs w:val="24"/>
                <w:lang w:val="en-GB"/>
              </w:rPr>
              <w:t xml:space="preserve">being </w:t>
            </w:r>
            <w:r w:rsidRPr="00DD00D3">
              <w:rPr>
                <w:rFonts w:cs="Arial"/>
                <w:color w:val="auto"/>
                <w:sz w:val="24"/>
                <w:szCs w:val="24"/>
                <w:lang w:val="en-GB"/>
              </w:rPr>
              <w:t>processed through the cluster system together with the NSP; and will be presented to Cabinet thereafter for approval.</w:t>
            </w:r>
          </w:p>
        </w:tc>
      </w:tr>
      <w:tr w:rsidR="00873E14" w:rsidRPr="00DD00D3" w:rsidTr="005E68ED">
        <w:tc>
          <w:tcPr>
            <w:tcW w:w="5665"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lastRenderedPageBreak/>
              <w:t>e) The Committee requests the Department to provide a costing for the implementation of the NSP and the National Council on GBV.</w:t>
            </w:r>
          </w:p>
        </w:tc>
        <w:tc>
          <w:tcPr>
            <w:tcW w:w="2410"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DDG:STEE</w:t>
            </w:r>
          </w:p>
          <w:p w:rsidR="00873E14" w:rsidRPr="00DD00D3" w:rsidRDefault="00873E14" w:rsidP="004A60C4">
            <w:pPr>
              <w:spacing w:line="360" w:lineRule="auto"/>
              <w:jc w:val="both"/>
              <w:rPr>
                <w:rFonts w:cs="Arial"/>
                <w:color w:val="auto"/>
                <w:sz w:val="24"/>
                <w:szCs w:val="24"/>
                <w:lang w:val="en-GB"/>
              </w:rPr>
            </w:pPr>
          </w:p>
        </w:tc>
        <w:tc>
          <w:tcPr>
            <w:tcW w:w="7059"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Costing of the NSP and NCGBV is currently underway and will be presented to the Committee once the process is concluded.</w:t>
            </w:r>
          </w:p>
        </w:tc>
      </w:tr>
      <w:tr w:rsidR="00873E14" w:rsidRPr="00DD00D3" w:rsidTr="005E68ED">
        <w:tc>
          <w:tcPr>
            <w:tcW w:w="5665" w:type="dxa"/>
          </w:tcPr>
          <w:p w:rsidR="00873E14" w:rsidRPr="00DD00D3" w:rsidRDefault="00873E14" w:rsidP="004A60C4">
            <w:pPr>
              <w:spacing w:line="360" w:lineRule="auto"/>
              <w:jc w:val="both"/>
              <w:rPr>
                <w:rFonts w:cs="Arial"/>
                <w:b/>
                <w:color w:val="auto"/>
                <w:sz w:val="24"/>
                <w:szCs w:val="24"/>
                <w:lang w:val="en-GB"/>
              </w:rPr>
            </w:pPr>
            <w:r w:rsidRPr="00DD00D3">
              <w:rPr>
                <w:rFonts w:cs="Arial"/>
                <w:b/>
                <w:color w:val="auto"/>
                <w:sz w:val="24"/>
                <w:szCs w:val="24"/>
                <w:lang w:val="en-GB"/>
              </w:rPr>
              <w:t>14.11 Sanitary Dignity</w:t>
            </w:r>
          </w:p>
        </w:tc>
        <w:tc>
          <w:tcPr>
            <w:tcW w:w="2410" w:type="dxa"/>
          </w:tcPr>
          <w:p w:rsidR="00873E14" w:rsidRPr="00DD00D3" w:rsidRDefault="00873E14" w:rsidP="004A60C4">
            <w:pPr>
              <w:spacing w:line="360" w:lineRule="auto"/>
              <w:jc w:val="both"/>
              <w:rPr>
                <w:rFonts w:cs="Arial"/>
                <w:b/>
                <w:color w:val="auto"/>
                <w:sz w:val="24"/>
                <w:szCs w:val="24"/>
                <w:lang w:val="en-GB"/>
              </w:rPr>
            </w:pPr>
          </w:p>
        </w:tc>
        <w:tc>
          <w:tcPr>
            <w:tcW w:w="7059" w:type="dxa"/>
          </w:tcPr>
          <w:p w:rsidR="00873E14" w:rsidRPr="00DD00D3" w:rsidRDefault="00873E14" w:rsidP="004A60C4">
            <w:pPr>
              <w:spacing w:line="360" w:lineRule="auto"/>
              <w:jc w:val="both"/>
              <w:rPr>
                <w:rFonts w:cs="Arial"/>
                <w:b/>
                <w:color w:val="auto"/>
                <w:sz w:val="24"/>
                <w:szCs w:val="24"/>
                <w:lang w:val="en-GB"/>
              </w:rPr>
            </w:pPr>
          </w:p>
        </w:tc>
      </w:tr>
      <w:tr w:rsidR="00873E14" w:rsidRPr="00DD00D3" w:rsidTr="005E68ED">
        <w:tc>
          <w:tcPr>
            <w:tcW w:w="5665"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a) The Committee recommends that the Department ensure that women and persons with disabilities benefit from the whole value chain.</w:t>
            </w:r>
          </w:p>
        </w:tc>
        <w:tc>
          <w:tcPr>
            <w:tcW w:w="2410"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DDG:STEE</w:t>
            </w:r>
          </w:p>
          <w:p w:rsidR="00873E14" w:rsidRPr="00DD00D3" w:rsidRDefault="00873E14" w:rsidP="004A60C4">
            <w:pPr>
              <w:spacing w:line="360" w:lineRule="auto"/>
              <w:jc w:val="both"/>
              <w:rPr>
                <w:rFonts w:cs="Arial"/>
                <w:color w:val="auto"/>
                <w:sz w:val="24"/>
                <w:szCs w:val="24"/>
                <w:lang w:val="en-GB"/>
              </w:rPr>
            </w:pPr>
          </w:p>
        </w:tc>
        <w:tc>
          <w:tcPr>
            <w:tcW w:w="7059"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 xml:space="preserve">Provinces have been advised to include Women, Youth and Persons with disabilities in the BID documents. Some provinces however have not adhered to </w:t>
            </w:r>
            <w:r w:rsidR="0038460F">
              <w:rPr>
                <w:rFonts w:cs="Arial"/>
                <w:color w:val="auto"/>
                <w:sz w:val="24"/>
                <w:szCs w:val="24"/>
                <w:lang w:val="en-GB"/>
              </w:rPr>
              <w:t xml:space="preserve">the </w:t>
            </w:r>
            <w:r w:rsidRPr="00DD00D3">
              <w:rPr>
                <w:rFonts w:cs="Arial"/>
                <w:color w:val="auto"/>
                <w:sz w:val="24"/>
                <w:szCs w:val="24"/>
                <w:lang w:val="en-GB"/>
              </w:rPr>
              <w:t xml:space="preserve">Sanitary Dignity Implementation Framework. Other provinces have only shared their BID documents when the Department could no longer intervene as these were closed. </w:t>
            </w:r>
          </w:p>
        </w:tc>
      </w:tr>
      <w:tr w:rsidR="00873E14" w:rsidRPr="00DD00D3" w:rsidTr="005E68ED">
        <w:tc>
          <w:tcPr>
            <w:tcW w:w="5665"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b) The Committee requests that the Department briefs Members on the Sanitary Dignity Framework and its M&amp;E Framework.</w:t>
            </w:r>
          </w:p>
        </w:tc>
        <w:tc>
          <w:tcPr>
            <w:tcW w:w="2410"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DDG:STEE</w:t>
            </w:r>
          </w:p>
          <w:p w:rsidR="00873E14" w:rsidRPr="00DD00D3" w:rsidRDefault="00873E14" w:rsidP="004A60C4">
            <w:pPr>
              <w:spacing w:line="360" w:lineRule="auto"/>
              <w:jc w:val="both"/>
              <w:rPr>
                <w:rFonts w:cs="Arial"/>
                <w:color w:val="auto"/>
                <w:sz w:val="24"/>
                <w:szCs w:val="24"/>
                <w:lang w:val="en-GB"/>
              </w:rPr>
            </w:pPr>
          </w:p>
        </w:tc>
        <w:tc>
          <w:tcPr>
            <w:tcW w:w="7059" w:type="dxa"/>
          </w:tcPr>
          <w:p w:rsidR="00873E14" w:rsidRPr="00DD00D3" w:rsidRDefault="00D7144E" w:rsidP="005E68ED">
            <w:pPr>
              <w:spacing w:line="360" w:lineRule="auto"/>
              <w:jc w:val="both"/>
              <w:rPr>
                <w:rFonts w:cs="Arial"/>
                <w:color w:val="auto"/>
                <w:sz w:val="24"/>
                <w:szCs w:val="24"/>
                <w:lang w:val="en-GB"/>
              </w:rPr>
            </w:pPr>
            <w:r>
              <w:rPr>
                <w:rFonts w:cs="Arial"/>
                <w:color w:val="auto"/>
                <w:sz w:val="24"/>
                <w:szCs w:val="24"/>
                <w:lang w:val="en-GB"/>
              </w:rPr>
              <w:t xml:space="preserve">On invitation the department </w:t>
            </w:r>
            <w:r w:rsidRPr="00DD00D3">
              <w:rPr>
                <w:rFonts w:cs="Arial"/>
                <w:color w:val="auto"/>
                <w:sz w:val="24"/>
                <w:szCs w:val="24"/>
                <w:lang w:val="en-GB"/>
              </w:rPr>
              <w:t xml:space="preserve">the </w:t>
            </w:r>
            <w:r>
              <w:rPr>
                <w:rFonts w:cs="Arial"/>
                <w:color w:val="auto"/>
                <w:sz w:val="24"/>
                <w:szCs w:val="24"/>
                <w:lang w:val="en-GB"/>
              </w:rPr>
              <w:t>will</w:t>
            </w:r>
            <w:r w:rsidRPr="00DD00D3">
              <w:rPr>
                <w:rFonts w:cs="Arial"/>
                <w:color w:val="auto"/>
                <w:sz w:val="24"/>
                <w:szCs w:val="24"/>
                <w:lang w:val="en-GB"/>
              </w:rPr>
              <w:t xml:space="preserve"> brief Members on the Sanitary Dignity </w:t>
            </w:r>
            <w:r w:rsidR="0038460F">
              <w:rPr>
                <w:rFonts w:cs="Arial"/>
                <w:color w:val="auto"/>
                <w:sz w:val="24"/>
                <w:szCs w:val="24"/>
                <w:lang w:val="en-GB"/>
              </w:rPr>
              <w:t xml:space="preserve">Implementation </w:t>
            </w:r>
            <w:r w:rsidRPr="00DD00D3">
              <w:rPr>
                <w:rFonts w:cs="Arial"/>
                <w:color w:val="auto"/>
                <w:sz w:val="24"/>
                <w:szCs w:val="24"/>
                <w:lang w:val="en-GB"/>
              </w:rPr>
              <w:t>Framework and its M&amp;E Framework.</w:t>
            </w:r>
          </w:p>
        </w:tc>
      </w:tr>
      <w:tr w:rsidR="00873E14" w:rsidRPr="00DD00D3" w:rsidTr="005E68ED">
        <w:tc>
          <w:tcPr>
            <w:tcW w:w="5665"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 xml:space="preserve">c) The Committee recommends that the Department reports back on its monitoring and evaluation of the roll out of the sanitary dignity programme in provinces and its budgetary allocations.  </w:t>
            </w:r>
          </w:p>
        </w:tc>
        <w:tc>
          <w:tcPr>
            <w:tcW w:w="2410" w:type="dxa"/>
          </w:tcPr>
          <w:p w:rsidR="00873E14" w:rsidRPr="00DD00D3" w:rsidRDefault="00873E14" w:rsidP="004A60C4">
            <w:pPr>
              <w:spacing w:line="360" w:lineRule="auto"/>
              <w:jc w:val="both"/>
              <w:rPr>
                <w:rFonts w:cs="Arial"/>
                <w:color w:val="auto"/>
                <w:sz w:val="24"/>
                <w:szCs w:val="24"/>
                <w:lang w:val="en-GB"/>
              </w:rPr>
            </w:pPr>
            <w:r w:rsidRPr="00DD00D3">
              <w:rPr>
                <w:rFonts w:cs="Arial"/>
                <w:color w:val="auto"/>
                <w:sz w:val="24"/>
                <w:szCs w:val="24"/>
                <w:lang w:val="en-GB"/>
              </w:rPr>
              <w:t>DDG:STEE</w:t>
            </w:r>
          </w:p>
          <w:p w:rsidR="00873E14" w:rsidRPr="00DD00D3" w:rsidRDefault="00873E14" w:rsidP="004A60C4">
            <w:pPr>
              <w:spacing w:line="360" w:lineRule="auto"/>
              <w:jc w:val="both"/>
              <w:rPr>
                <w:rFonts w:cs="Arial"/>
                <w:color w:val="auto"/>
                <w:sz w:val="24"/>
                <w:szCs w:val="24"/>
                <w:lang w:val="en-GB"/>
              </w:rPr>
            </w:pPr>
          </w:p>
        </w:tc>
        <w:tc>
          <w:tcPr>
            <w:tcW w:w="7059" w:type="dxa"/>
          </w:tcPr>
          <w:p w:rsidR="00873E14" w:rsidRPr="00DD00D3" w:rsidRDefault="00873E14" w:rsidP="005E68ED">
            <w:pPr>
              <w:spacing w:line="360" w:lineRule="auto"/>
              <w:jc w:val="both"/>
              <w:rPr>
                <w:rFonts w:cs="Arial"/>
                <w:color w:val="auto"/>
                <w:sz w:val="24"/>
                <w:szCs w:val="24"/>
                <w:lang w:val="en-GB"/>
              </w:rPr>
            </w:pPr>
            <w:r w:rsidRPr="00DD00D3">
              <w:rPr>
                <w:rFonts w:cs="Arial"/>
                <w:color w:val="auto"/>
                <w:sz w:val="24"/>
                <w:szCs w:val="24"/>
                <w:lang w:val="en-GB"/>
              </w:rPr>
              <w:t xml:space="preserve">Quarter 1 and Quarter 2 reports attached as annexures to the PC presentation. </w:t>
            </w:r>
          </w:p>
        </w:tc>
      </w:tr>
    </w:tbl>
    <w:p w:rsidR="00974D60" w:rsidRPr="00DD00D3" w:rsidRDefault="00974D60" w:rsidP="004A60C4">
      <w:pPr>
        <w:spacing w:line="360" w:lineRule="auto"/>
        <w:jc w:val="both"/>
        <w:rPr>
          <w:rFonts w:ascii="Times New Roman" w:hAnsi="Times New Roman"/>
          <w:color w:val="auto"/>
          <w:sz w:val="22"/>
          <w:szCs w:val="22"/>
          <w:lang w:val="en-GB"/>
        </w:rPr>
      </w:pPr>
    </w:p>
    <w:sectPr w:rsidR="00974D60" w:rsidRPr="00DD00D3" w:rsidSect="00A17CA6">
      <w:footerReference w:type="default" r:id="rId8"/>
      <w:pgSz w:w="16838" w:h="11906" w:orient="landscape" w:code="9"/>
      <w:pgMar w:top="1134" w:right="2336" w:bottom="1134" w:left="1191"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3F4" w:rsidRDefault="00BC53F4">
      <w:r>
        <w:separator/>
      </w:r>
    </w:p>
  </w:endnote>
  <w:endnote w:type="continuationSeparator" w:id="0">
    <w:p w:rsidR="00BC53F4" w:rsidRDefault="00BC5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IOOB O+ T T 13 F 46o 00">
    <w:altName w:val="T T 13 F 46o"/>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500627"/>
      <w:docPartObj>
        <w:docPartGallery w:val="Page Numbers (Bottom of Page)"/>
        <w:docPartUnique/>
      </w:docPartObj>
    </w:sdtPr>
    <w:sdtEndPr>
      <w:rPr>
        <w:rFonts w:ascii="Times New Roman" w:hAnsi="Times New Roman"/>
        <w:noProof/>
        <w:sz w:val="20"/>
        <w:szCs w:val="20"/>
      </w:rPr>
    </w:sdtEndPr>
    <w:sdtContent>
      <w:p w:rsidR="004F7048" w:rsidRPr="00B244FB" w:rsidRDefault="00671147">
        <w:pPr>
          <w:pStyle w:val="Footer"/>
          <w:jc w:val="right"/>
          <w:rPr>
            <w:rFonts w:ascii="Times New Roman" w:hAnsi="Times New Roman"/>
            <w:sz w:val="20"/>
            <w:szCs w:val="20"/>
          </w:rPr>
        </w:pPr>
        <w:r w:rsidRPr="00B244FB">
          <w:rPr>
            <w:rFonts w:ascii="Times New Roman" w:hAnsi="Times New Roman"/>
            <w:sz w:val="20"/>
            <w:szCs w:val="20"/>
          </w:rPr>
          <w:fldChar w:fldCharType="begin"/>
        </w:r>
        <w:r w:rsidR="004F7048" w:rsidRPr="00B244FB">
          <w:rPr>
            <w:rFonts w:ascii="Times New Roman" w:hAnsi="Times New Roman"/>
            <w:sz w:val="20"/>
            <w:szCs w:val="20"/>
          </w:rPr>
          <w:instrText xml:space="preserve"> PAGE   \* MERGEFORMAT </w:instrText>
        </w:r>
        <w:r w:rsidRPr="00B244FB">
          <w:rPr>
            <w:rFonts w:ascii="Times New Roman" w:hAnsi="Times New Roman"/>
            <w:sz w:val="20"/>
            <w:szCs w:val="20"/>
          </w:rPr>
          <w:fldChar w:fldCharType="separate"/>
        </w:r>
        <w:r w:rsidR="005C2755">
          <w:rPr>
            <w:rFonts w:ascii="Times New Roman" w:hAnsi="Times New Roman"/>
            <w:noProof/>
            <w:sz w:val="20"/>
            <w:szCs w:val="20"/>
          </w:rPr>
          <w:t>32</w:t>
        </w:r>
        <w:r w:rsidRPr="00B244FB">
          <w:rPr>
            <w:rFonts w:ascii="Times New Roman" w:hAnsi="Times New Roman"/>
            <w:noProof/>
            <w:sz w:val="20"/>
            <w:szCs w:val="20"/>
          </w:rPr>
          <w:fldChar w:fldCharType="end"/>
        </w:r>
      </w:p>
    </w:sdtContent>
  </w:sdt>
  <w:p w:rsidR="004F7048" w:rsidRDefault="004F70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3F4" w:rsidRDefault="00BC53F4">
      <w:r>
        <w:separator/>
      </w:r>
    </w:p>
  </w:footnote>
  <w:footnote w:type="continuationSeparator" w:id="0">
    <w:p w:rsidR="00BC53F4" w:rsidRDefault="00BC53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BE3"/>
    <w:multiLevelType w:val="hybridMultilevel"/>
    <w:tmpl w:val="1E342D2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5D03A5"/>
    <w:multiLevelType w:val="hybridMultilevel"/>
    <w:tmpl w:val="F84E5962"/>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91289F"/>
    <w:multiLevelType w:val="multilevel"/>
    <w:tmpl w:val="1CB8168E"/>
    <w:lvl w:ilvl="0">
      <w:start w:val="14"/>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F2067B"/>
    <w:multiLevelType w:val="hybridMultilevel"/>
    <w:tmpl w:val="23E0CE8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C1950A9"/>
    <w:multiLevelType w:val="hybridMultilevel"/>
    <w:tmpl w:val="505E9D1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E156352"/>
    <w:multiLevelType w:val="multilevel"/>
    <w:tmpl w:val="1C9287FC"/>
    <w:lvl w:ilvl="0">
      <w:start w:val="14"/>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D33E34"/>
    <w:multiLevelType w:val="hybridMultilevel"/>
    <w:tmpl w:val="34727820"/>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nsid w:val="14DF5314"/>
    <w:multiLevelType w:val="hybridMultilevel"/>
    <w:tmpl w:val="F3905C3A"/>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EEB54C5"/>
    <w:multiLevelType w:val="hybridMultilevel"/>
    <w:tmpl w:val="3D16DC28"/>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3198430A"/>
    <w:multiLevelType w:val="hybridMultilevel"/>
    <w:tmpl w:val="1FC88448"/>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3563590F"/>
    <w:multiLevelType w:val="hybridMultilevel"/>
    <w:tmpl w:val="99468A0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3C9D23B3"/>
    <w:multiLevelType w:val="hybridMultilevel"/>
    <w:tmpl w:val="67FEF6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DA4070A"/>
    <w:multiLevelType w:val="hybridMultilevel"/>
    <w:tmpl w:val="970C17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3DFC23ED"/>
    <w:multiLevelType w:val="hybridMultilevel"/>
    <w:tmpl w:val="EF067A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EA20DB2"/>
    <w:multiLevelType w:val="hybridMultilevel"/>
    <w:tmpl w:val="F4B68826"/>
    <w:lvl w:ilvl="0" w:tplc="7AD81EB0">
      <w:start w:val="1"/>
      <w:numFmt w:val="lowerLetter"/>
      <w:lvlText w:val="%1)"/>
      <w:lvlJc w:val="left"/>
      <w:pPr>
        <w:ind w:left="1080" w:hanging="360"/>
      </w:pPr>
      <w:rPr>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23D4D85"/>
    <w:multiLevelType w:val="hybridMultilevel"/>
    <w:tmpl w:val="94064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6F205BD"/>
    <w:multiLevelType w:val="hybridMultilevel"/>
    <w:tmpl w:val="A95245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D236E4B"/>
    <w:multiLevelType w:val="hybridMultilevel"/>
    <w:tmpl w:val="6C72C304"/>
    <w:lvl w:ilvl="0" w:tplc="0798CB68">
      <w:start w:val="1"/>
      <w:numFmt w:val="lowerLetter"/>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5966A96"/>
    <w:multiLevelType w:val="hybridMultilevel"/>
    <w:tmpl w:val="9CD4116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6C01AC5"/>
    <w:multiLevelType w:val="hybridMultilevel"/>
    <w:tmpl w:val="3E86E5CA"/>
    <w:lvl w:ilvl="0" w:tplc="1C090017">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8781FA7"/>
    <w:multiLevelType w:val="hybridMultilevel"/>
    <w:tmpl w:val="6C2EA0EA"/>
    <w:lvl w:ilvl="0" w:tplc="B592511E">
      <w:start w:val="1"/>
      <w:numFmt w:val="lowerLetter"/>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23658CE"/>
    <w:multiLevelType w:val="hybridMultilevel"/>
    <w:tmpl w:val="EC749EB0"/>
    <w:lvl w:ilvl="0" w:tplc="7D780280">
      <w:start w:val="1"/>
      <w:numFmt w:val="bullet"/>
      <w:lvlText w:val="-"/>
      <w:lvlJc w:val="left"/>
      <w:pPr>
        <w:ind w:left="720" w:hanging="360"/>
      </w:pPr>
      <w:rPr>
        <w:rFonts w:ascii="Arial Narrow" w:eastAsia="Times New Roman"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95E6F23"/>
    <w:multiLevelType w:val="hybridMultilevel"/>
    <w:tmpl w:val="8C7A8F10"/>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F095E3B"/>
    <w:multiLevelType w:val="hybridMultilevel"/>
    <w:tmpl w:val="8AC888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2"/>
  </w:num>
  <w:num w:numId="2">
    <w:abstractNumId w:val="8"/>
  </w:num>
  <w:num w:numId="3">
    <w:abstractNumId w:val="6"/>
  </w:num>
  <w:num w:numId="4">
    <w:abstractNumId w:val="0"/>
  </w:num>
  <w:num w:numId="5">
    <w:abstractNumId w:val="9"/>
  </w:num>
  <w:num w:numId="6">
    <w:abstractNumId w:val="4"/>
  </w:num>
  <w:num w:numId="7">
    <w:abstractNumId w:val="23"/>
  </w:num>
  <w:num w:numId="8">
    <w:abstractNumId w:val="19"/>
  </w:num>
  <w:num w:numId="9">
    <w:abstractNumId w:val="20"/>
  </w:num>
  <w:num w:numId="10">
    <w:abstractNumId w:val="17"/>
  </w:num>
  <w:num w:numId="11">
    <w:abstractNumId w:val="1"/>
  </w:num>
  <w:num w:numId="12">
    <w:abstractNumId w:val="7"/>
  </w:num>
  <w:num w:numId="13">
    <w:abstractNumId w:val="10"/>
  </w:num>
  <w:num w:numId="14">
    <w:abstractNumId w:val="18"/>
  </w:num>
  <w:num w:numId="15">
    <w:abstractNumId w:val="14"/>
  </w:num>
  <w:num w:numId="16">
    <w:abstractNumId w:val="2"/>
  </w:num>
  <w:num w:numId="17">
    <w:abstractNumId w:val="5"/>
  </w:num>
  <w:num w:numId="18">
    <w:abstractNumId w:val="21"/>
  </w:num>
  <w:num w:numId="19">
    <w:abstractNumId w:val="11"/>
  </w:num>
  <w:num w:numId="20">
    <w:abstractNumId w:val="3"/>
  </w:num>
  <w:num w:numId="21">
    <w:abstractNumId w:val="12"/>
  </w:num>
  <w:num w:numId="22">
    <w:abstractNumId w:val="16"/>
  </w:num>
  <w:num w:numId="23">
    <w:abstractNumId w:val="13"/>
  </w:num>
  <w:num w:numId="24">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93"/>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D5AB0"/>
    <w:rsid w:val="00011980"/>
    <w:rsid w:val="00017FCE"/>
    <w:rsid w:val="000211EB"/>
    <w:rsid w:val="00023005"/>
    <w:rsid w:val="000302CA"/>
    <w:rsid w:val="00031BB4"/>
    <w:rsid w:val="00035406"/>
    <w:rsid w:val="00037430"/>
    <w:rsid w:val="000374B1"/>
    <w:rsid w:val="00050559"/>
    <w:rsid w:val="000527E9"/>
    <w:rsid w:val="00057510"/>
    <w:rsid w:val="00057CC1"/>
    <w:rsid w:val="00060140"/>
    <w:rsid w:val="00070681"/>
    <w:rsid w:val="000834DE"/>
    <w:rsid w:val="00084C74"/>
    <w:rsid w:val="00087173"/>
    <w:rsid w:val="0009219D"/>
    <w:rsid w:val="000A1DFA"/>
    <w:rsid w:val="000A3604"/>
    <w:rsid w:val="000B123E"/>
    <w:rsid w:val="000B1478"/>
    <w:rsid w:val="000C118A"/>
    <w:rsid w:val="000C1FB8"/>
    <w:rsid w:val="000C4600"/>
    <w:rsid w:val="000C56EA"/>
    <w:rsid w:val="000D086C"/>
    <w:rsid w:val="000D2B69"/>
    <w:rsid w:val="000E24CB"/>
    <w:rsid w:val="000E2646"/>
    <w:rsid w:val="000E4C1E"/>
    <w:rsid w:val="001014C3"/>
    <w:rsid w:val="00101613"/>
    <w:rsid w:val="00102A41"/>
    <w:rsid w:val="0010437F"/>
    <w:rsid w:val="00106821"/>
    <w:rsid w:val="001144E8"/>
    <w:rsid w:val="00116E97"/>
    <w:rsid w:val="00117C42"/>
    <w:rsid w:val="0012140E"/>
    <w:rsid w:val="00121A65"/>
    <w:rsid w:val="0012484D"/>
    <w:rsid w:val="001260B1"/>
    <w:rsid w:val="0013239E"/>
    <w:rsid w:val="00153911"/>
    <w:rsid w:val="0015752E"/>
    <w:rsid w:val="00163377"/>
    <w:rsid w:val="00163C1C"/>
    <w:rsid w:val="00166D40"/>
    <w:rsid w:val="001677C9"/>
    <w:rsid w:val="00167D94"/>
    <w:rsid w:val="00170810"/>
    <w:rsid w:val="00170BD2"/>
    <w:rsid w:val="0017561A"/>
    <w:rsid w:val="00177C62"/>
    <w:rsid w:val="001837FC"/>
    <w:rsid w:val="001860DB"/>
    <w:rsid w:val="001942A8"/>
    <w:rsid w:val="001A253E"/>
    <w:rsid w:val="001A2D28"/>
    <w:rsid w:val="001A4C72"/>
    <w:rsid w:val="001A552B"/>
    <w:rsid w:val="001A5E45"/>
    <w:rsid w:val="001A7DB4"/>
    <w:rsid w:val="001B0522"/>
    <w:rsid w:val="001B1A33"/>
    <w:rsid w:val="001B4786"/>
    <w:rsid w:val="001B4B60"/>
    <w:rsid w:val="001B6936"/>
    <w:rsid w:val="001B7EAA"/>
    <w:rsid w:val="001C35FC"/>
    <w:rsid w:val="001C37F2"/>
    <w:rsid w:val="001D7378"/>
    <w:rsid w:val="001D7BD0"/>
    <w:rsid w:val="001E017F"/>
    <w:rsid w:val="001E1838"/>
    <w:rsid w:val="001E712D"/>
    <w:rsid w:val="001E7848"/>
    <w:rsid w:val="001F1284"/>
    <w:rsid w:val="001F2450"/>
    <w:rsid w:val="001F2E01"/>
    <w:rsid w:val="001F4D4B"/>
    <w:rsid w:val="001F7067"/>
    <w:rsid w:val="001F7262"/>
    <w:rsid w:val="002037AD"/>
    <w:rsid w:val="00207446"/>
    <w:rsid w:val="0021355A"/>
    <w:rsid w:val="00216A76"/>
    <w:rsid w:val="00220CC3"/>
    <w:rsid w:val="0022284A"/>
    <w:rsid w:val="00223786"/>
    <w:rsid w:val="00225F27"/>
    <w:rsid w:val="00227242"/>
    <w:rsid w:val="0023751B"/>
    <w:rsid w:val="00243661"/>
    <w:rsid w:val="002561CB"/>
    <w:rsid w:val="002568A2"/>
    <w:rsid w:val="00267DFD"/>
    <w:rsid w:val="002712E1"/>
    <w:rsid w:val="0027172A"/>
    <w:rsid w:val="00277E7B"/>
    <w:rsid w:val="002802C8"/>
    <w:rsid w:val="002820EE"/>
    <w:rsid w:val="00282DA9"/>
    <w:rsid w:val="00282DFB"/>
    <w:rsid w:val="00284E50"/>
    <w:rsid w:val="002864AD"/>
    <w:rsid w:val="00286789"/>
    <w:rsid w:val="0028744F"/>
    <w:rsid w:val="00294469"/>
    <w:rsid w:val="00296E2F"/>
    <w:rsid w:val="00297AD4"/>
    <w:rsid w:val="002A0D95"/>
    <w:rsid w:val="002A179E"/>
    <w:rsid w:val="002A1D18"/>
    <w:rsid w:val="002A2223"/>
    <w:rsid w:val="002A6C87"/>
    <w:rsid w:val="002B202E"/>
    <w:rsid w:val="002B6E16"/>
    <w:rsid w:val="002C0E78"/>
    <w:rsid w:val="002D0738"/>
    <w:rsid w:val="002D0A80"/>
    <w:rsid w:val="002D45BA"/>
    <w:rsid w:val="002D6668"/>
    <w:rsid w:val="002D682F"/>
    <w:rsid w:val="002E3236"/>
    <w:rsid w:val="002E50E5"/>
    <w:rsid w:val="002E56C4"/>
    <w:rsid w:val="002E70FC"/>
    <w:rsid w:val="002E738F"/>
    <w:rsid w:val="002F06EA"/>
    <w:rsid w:val="002F1052"/>
    <w:rsid w:val="002F363A"/>
    <w:rsid w:val="002F5754"/>
    <w:rsid w:val="00313833"/>
    <w:rsid w:val="0032058C"/>
    <w:rsid w:val="00323D01"/>
    <w:rsid w:val="00323D40"/>
    <w:rsid w:val="00330579"/>
    <w:rsid w:val="00331208"/>
    <w:rsid w:val="0033228B"/>
    <w:rsid w:val="00332D4B"/>
    <w:rsid w:val="0033300F"/>
    <w:rsid w:val="003352CF"/>
    <w:rsid w:val="00342281"/>
    <w:rsid w:val="00353B22"/>
    <w:rsid w:val="00354DD4"/>
    <w:rsid w:val="003557C9"/>
    <w:rsid w:val="003562E8"/>
    <w:rsid w:val="00357178"/>
    <w:rsid w:val="0036056A"/>
    <w:rsid w:val="00361018"/>
    <w:rsid w:val="00363A5B"/>
    <w:rsid w:val="00367315"/>
    <w:rsid w:val="00371C89"/>
    <w:rsid w:val="0037395A"/>
    <w:rsid w:val="003748AD"/>
    <w:rsid w:val="003751E7"/>
    <w:rsid w:val="00380AE8"/>
    <w:rsid w:val="0038460F"/>
    <w:rsid w:val="00385507"/>
    <w:rsid w:val="00385DDE"/>
    <w:rsid w:val="003869A6"/>
    <w:rsid w:val="0039409B"/>
    <w:rsid w:val="0039599D"/>
    <w:rsid w:val="00395ACC"/>
    <w:rsid w:val="003970DE"/>
    <w:rsid w:val="003977E5"/>
    <w:rsid w:val="003A5263"/>
    <w:rsid w:val="003A6B5D"/>
    <w:rsid w:val="003A787F"/>
    <w:rsid w:val="003B2012"/>
    <w:rsid w:val="003B3571"/>
    <w:rsid w:val="003B3ECD"/>
    <w:rsid w:val="003B40C1"/>
    <w:rsid w:val="003C4ED0"/>
    <w:rsid w:val="003C7C8F"/>
    <w:rsid w:val="003D003E"/>
    <w:rsid w:val="003D1E04"/>
    <w:rsid w:val="003D5F92"/>
    <w:rsid w:val="003D6B27"/>
    <w:rsid w:val="003D728A"/>
    <w:rsid w:val="003E35B1"/>
    <w:rsid w:val="003E481D"/>
    <w:rsid w:val="003F0A64"/>
    <w:rsid w:val="003F35B5"/>
    <w:rsid w:val="003F3B4B"/>
    <w:rsid w:val="003F44E4"/>
    <w:rsid w:val="0040509D"/>
    <w:rsid w:val="0040535C"/>
    <w:rsid w:val="0040712E"/>
    <w:rsid w:val="004071C5"/>
    <w:rsid w:val="00410C19"/>
    <w:rsid w:val="00412E23"/>
    <w:rsid w:val="00416B50"/>
    <w:rsid w:val="004218EE"/>
    <w:rsid w:val="004222CF"/>
    <w:rsid w:val="004239AB"/>
    <w:rsid w:val="00443DCD"/>
    <w:rsid w:val="0045427B"/>
    <w:rsid w:val="00454D22"/>
    <w:rsid w:val="004570E4"/>
    <w:rsid w:val="00464FB9"/>
    <w:rsid w:val="00466535"/>
    <w:rsid w:val="004673EC"/>
    <w:rsid w:val="00470CF3"/>
    <w:rsid w:val="00475C57"/>
    <w:rsid w:val="00476A14"/>
    <w:rsid w:val="00484FE3"/>
    <w:rsid w:val="00486731"/>
    <w:rsid w:val="004876D8"/>
    <w:rsid w:val="00493F8E"/>
    <w:rsid w:val="00497CD6"/>
    <w:rsid w:val="004A2393"/>
    <w:rsid w:val="004A25D4"/>
    <w:rsid w:val="004A51D1"/>
    <w:rsid w:val="004A60C4"/>
    <w:rsid w:val="004A7188"/>
    <w:rsid w:val="004B0A7B"/>
    <w:rsid w:val="004B251E"/>
    <w:rsid w:val="004C272D"/>
    <w:rsid w:val="004D45C7"/>
    <w:rsid w:val="004D5554"/>
    <w:rsid w:val="004E43AE"/>
    <w:rsid w:val="004E65BA"/>
    <w:rsid w:val="004E75D2"/>
    <w:rsid w:val="004F053C"/>
    <w:rsid w:val="004F417F"/>
    <w:rsid w:val="004F4338"/>
    <w:rsid w:val="004F4795"/>
    <w:rsid w:val="004F56EF"/>
    <w:rsid w:val="004F7048"/>
    <w:rsid w:val="005024EA"/>
    <w:rsid w:val="00502CFD"/>
    <w:rsid w:val="005133FA"/>
    <w:rsid w:val="00517082"/>
    <w:rsid w:val="00517BD7"/>
    <w:rsid w:val="00522FC8"/>
    <w:rsid w:val="00530EEE"/>
    <w:rsid w:val="00531BC6"/>
    <w:rsid w:val="005322E6"/>
    <w:rsid w:val="0053650D"/>
    <w:rsid w:val="00536892"/>
    <w:rsid w:val="00543DFE"/>
    <w:rsid w:val="00546157"/>
    <w:rsid w:val="0054641B"/>
    <w:rsid w:val="00547AF9"/>
    <w:rsid w:val="00550057"/>
    <w:rsid w:val="00556F4E"/>
    <w:rsid w:val="00560A46"/>
    <w:rsid w:val="00566683"/>
    <w:rsid w:val="005700DE"/>
    <w:rsid w:val="00570D39"/>
    <w:rsid w:val="00571CB1"/>
    <w:rsid w:val="0057508C"/>
    <w:rsid w:val="0058465B"/>
    <w:rsid w:val="005A2837"/>
    <w:rsid w:val="005A3E37"/>
    <w:rsid w:val="005B0EBD"/>
    <w:rsid w:val="005B2A7C"/>
    <w:rsid w:val="005B4CF4"/>
    <w:rsid w:val="005C2640"/>
    <w:rsid w:val="005C2755"/>
    <w:rsid w:val="005C30CA"/>
    <w:rsid w:val="005C467B"/>
    <w:rsid w:val="005C7FC7"/>
    <w:rsid w:val="005D0739"/>
    <w:rsid w:val="005D23B1"/>
    <w:rsid w:val="005D3455"/>
    <w:rsid w:val="005D356C"/>
    <w:rsid w:val="005D384A"/>
    <w:rsid w:val="005D385E"/>
    <w:rsid w:val="005D5775"/>
    <w:rsid w:val="005E20E4"/>
    <w:rsid w:val="005E68ED"/>
    <w:rsid w:val="00602E1A"/>
    <w:rsid w:val="0060367D"/>
    <w:rsid w:val="00605301"/>
    <w:rsid w:val="00607B37"/>
    <w:rsid w:val="00610A9E"/>
    <w:rsid w:val="006148C4"/>
    <w:rsid w:val="0061490F"/>
    <w:rsid w:val="0061519D"/>
    <w:rsid w:val="00632FAE"/>
    <w:rsid w:val="00635839"/>
    <w:rsid w:val="00636318"/>
    <w:rsid w:val="006371A8"/>
    <w:rsid w:val="00641A52"/>
    <w:rsid w:val="00642BCE"/>
    <w:rsid w:val="00643190"/>
    <w:rsid w:val="00645E6A"/>
    <w:rsid w:val="00647C91"/>
    <w:rsid w:val="00651D6E"/>
    <w:rsid w:val="00654183"/>
    <w:rsid w:val="00657BA3"/>
    <w:rsid w:val="00660342"/>
    <w:rsid w:val="00660646"/>
    <w:rsid w:val="006634C4"/>
    <w:rsid w:val="00664B4C"/>
    <w:rsid w:val="00671147"/>
    <w:rsid w:val="0067332A"/>
    <w:rsid w:val="00676739"/>
    <w:rsid w:val="006808E1"/>
    <w:rsid w:val="00686B61"/>
    <w:rsid w:val="006952AB"/>
    <w:rsid w:val="006968FB"/>
    <w:rsid w:val="006971B4"/>
    <w:rsid w:val="00697BDC"/>
    <w:rsid w:val="006A0062"/>
    <w:rsid w:val="006A01D0"/>
    <w:rsid w:val="006C02A6"/>
    <w:rsid w:val="006C0B10"/>
    <w:rsid w:val="006C1B71"/>
    <w:rsid w:val="006C1CAD"/>
    <w:rsid w:val="006C435D"/>
    <w:rsid w:val="006D0D7A"/>
    <w:rsid w:val="006D309F"/>
    <w:rsid w:val="006D4A96"/>
    <w:rsid w:val="006D52D7"/>
    <w:rsid w:val="006E0D05"/>
    <w:rsid w:val="006E1512"/>
    <w:rsid w:val="006E1805"/>
    <w:rsid w:val="006E1F38"/>
    <w:rsid w:val="006E4517"/>
    <w:rsid w:val="006E4EC7"/>
    <w:rsid w:val="006F661F"/>
    <w:rsid w:val="006F6D11"/>
    <w:rsid w:val="0070063C"/>
    <w:rsid w:val="007026D0"/>
    <w:rsid w:val="00715424"/>
    <w:rsid w:val="00716CF6"/>
    <w:rsid w:val="00735046"/>
    <w:rsid w:val="0073677B"/>
    <w:rsid w:val="00750A99"/>
    <w:rsid w:val="00752AE4"/>
    <w:rsid w:val="00756648"/>
    <w:rsid w:val="00756AC5"/>
    <w:rsid w:val="00757B88"/>
    <w:rsid w:val="00757D03"/>
    <w:rsid w:val="00763B27"/>
    <w:rsid w:val="00765B6F"/>
    <w:rsid w:val="0076634B"/>
    <w:rsid w:val="00766FEC"/>
    <w:rsid w:val="00767C91"/>
    <w:rsid w:val="00772630"/>
    <w:rsid w:val="00777D5B"/>
    <w:rsid w:val="0078078F"/>
    <w:rsid w:val="00783159"/>
    <w:rsid w:val="0079154F"/>
    <w:rsid w:val="00792EE4"/>
    <w:rsid w:val="00797775"/>
    <w:rsid w:val="007A6BBB"/>
    <w:rsid w:val="007A7653"/>
    <w:rsid w:val="007B10A5"/>
    <w:rsid w:val="007B40CF"/>
    <w:rsid w:val="007B4213"/>
    <w:rsid w:val="007B6CF6"/>
    <w:rsid w:val="007C22DA"/>
    <w:rsid w:val="007C2FBD"/>
    <w:rsid w:val="007C553F"/>
    <w:rsid w:val="007C6539"/>
    <w:rsid w:val="007D4C5C"/>
    <w:rsid w:val="007D5E72"/>
    <w:rsid w:val="007D67BB"/>
    <w:rsid w:val="007E2963"/>
    <w:rsid w:val="007E66F2"/>
    <w:rsid w:val="007F3708"/>
    <w:rsid w:val="007F6500"/>
    <w:rsid w:val="007F6BB3"/>
    <w:rsid w:val="00802F69"/>
    <w:rsid w:val="0080782B"/>
    <w:rsid w:val="00810934"/>
    <w:rsid w:val="00812018"/>
    <w:rsid w:val="00812B66"/>
    <w:rsid w:val="00813357"/>
    <w:rsid w:val="00813442"/>
    <w:rsid w:val="00816AA8"/>
    <w:rsid w:val="00816D25"/>
    <w:rsid w:val="00817CD6"/>
    <w:rsid w:val="00820E7D"/>
    <w:rsid w:val="00821152"/>
    <w:rsid w:val="0084236F"/>
    <w:rsid w:val="008456A2"/>
    <w:rsid w:val="00845A76"/>
    <w:rsid w:val="00846FBB"/>
    <w:rsid w:val="00847920"/>
    <w:rsid w:val="00853939"/>
    <w:rsid w:val="0085684D"/>
    <w:rsid w:val="00862EF8"/>
    <w:rsid w:val="00864439"/>
    <w:rsid w:val="00866AFD"/>
    <w:rsid w:val="00867C69"/>
    <w:rsid w:val="00870883"/>
    <w:rsid w:val="00873E14"/>
    <w:rsid w:val="00874381"/>
    <w:rsid w:val="00875D6E"/>
    <w:rsid w:val="0088053B"/>
    <w:rsid w:val="00886A1E"/>
    <w:rsid w:val="0088728E"/>
    <w:rsid w:val="00895B66"/>
    <w:rsid w:val="00896ACC"/>
    <w:rsid w:val="008A31B3"/>
    <w:rsid w:val="008A738D"/>
    <w:rsid w:val="008B27F5"/>
    <w:rsid w:val="008C0C5D"/>
    <w:rsid w:val="008D25F0"/>
    <w:rsid w:val="008D31A4"/>
    <w:rsid w:val="008D42BE"/>
    <w:rsid w:val="008D4ACE"/>
    <w:rsid w:val="008E38D4"/>
    <w:rsid w:val="008E4E07"/>
    <w:rsid w:val="008E4EE5"/>
    <w:rsid w:val="008E7AA6"/>
    <w:rsid w:val="008E7BCC"/>
    <w:rsid w:val="009010AA"/>
    <w:rsid w:val="009022F1"/>
    <w:rsid w:val="00907EB4"/>
    <w:rsid w:val="00912946"/>
    <w:rsid w:val="00912C45"/>
    <w:rsid w:val="0091498A"/>
    <w:rsid w:val="00915EF5"/>
    <w:rsid w:val="0092403B"/>
    <w:rsid w:val="00925F48"/>
    <w:rsid w:val="009306A4"/>
    <w:rsid w:val="00934C56"/>
    <w:rsid w:val="00937E6B"/>
    <w:rsid w:val="00943700"/>
    <w:rsid w:val="00944166"/>
    <w:rsid w:val="0095029E"/>
    <w:rsid w:val="009513DB"/>
    <w:rsid w:val="00954052"/>
    <w:rsid w:val="00954E5D"/>
    <w:rsid w:val="009566C4"/>
    <w:rsid w:val="00962B0F"/>
    <w:rsid w:val="0096307F"/>
    <w:rsid w:val="00963E76"/>
    <w:rsid w:val="00973B7B"/>
    <w:rsid w:val="00974D60"/>
    <w:rsid w:val="009823A4"/>
    <w:rsid w:val="009851C7"/>
    <w:rsid w:val="00987438"/>
    <w:rsid w:val="00987570"/>
    <w:rsid w:val="0099042B"/>
    <w:rsid w:val="00990B0C"/>
    <w:rsid w:val="0099411A"/>
    <w:rsid w:val="009946FA"/>
    <w:rsid w:val="00996079"/>
    <w:rsid w:val="009A3F47"/>
    <w:rsid w:val="009A487C"/>
    <w:rsid w:val="009A7810"/>
    <w:rsid w:val="009B0A71"/>
    <w:rsid w:val="009B1321"/>
    <w:rsid w:val="009B3468"/>
    <w:rsid w:val="009C7DD4"/>
    <w:rsid w:val="009D0C68"/>
    <w:rsid w:val="009D1D55"/>
    <w:rsid w:val="009D329F"/>
    <w:rsid w:val="009D4B55"/>
    <w:rsid w:val="009D7C35"/>
    <w:rsid w:val="009F36CE"/>
    <w:rsid w:val="009F50AF"/>
    <w:rsid w:val="009F5751"/>
    <w:rsid w:val="009F7EBD"/>
    <w:rsid w:val="00A008CE"/>
    <w:rsid w:val="00A0518E"/>
    <w:rsid w:val="00A1272B"/>
    <w:rsid w:val="00A17CA6"/>
    <w:rsid w:val="00A25B2A"/>
    <w:rsid w:val="00A30DD4"/>
    <w:rsid w:val="00A32EE8"/>
    <w:rsid w:val="00A3681D"/>
    <w:rsid w:val="00A40FDE"/>
    <w:rsid w:val="00A46774"/>
    <w:rsid w:val="00A47D82"/>
    <w:rsid w:val="00A508CB"/>
    <w:rsid w:val="00A51CAF"/>
    <w:rsid w:val="00A578C3"/>
    <w:rsid w:val="00A62513"/>
    <w:rsid w:val="00A63948"/>
    <w:rsid w:val="00A66831"/>
    <w:rsid w:val="00A712F9"/>
    <w:rsid w:val="00A74C75"/>
    <w:rsid w:val="00A74CC2"/>
    <w:rsid w:val="00A772D9"/>
    <w:rsid w:val="00A808C9"/>
    <w:rsid w:val="00A80B2F"/>
    <w:rsid w:val="00A8258A"/>
    <w:rsid w:val="00A826C5"/>
    <w:rsid w:val="00A838BE"/>
    <w:rsid w:val="00A86CFB"/>
    <w:rsid w:val="00A8739C"/>
    <w:rsid w:val="00A90035"/>
    <w:rsid w:val="00A91879"/>
    <w:rsid w:val="00A94F92"/>
    <w:rsid w:val="00A95CF7"/>
    <w:rsid w:val="00A96E75"/>
    <w:rsid w:val="00A978DB"/>
    <w:rsid w:val="00AA0896"/>
    <w:rsid w:val="00AA1B5D"/>
    <w:rsid w:val="00AA3525"/>
    <w:rsid w:val="00AB28EC"/>
    <w:rsid w:val="00AB6982"/>
    <w:rsid w:val="00AC0210"/>
    <w:rsid w:val="00AC7AAB"/>
    <w:rsid w:val="00AE544E"/>
    <w:rsid w:val="00AE6414"/>
    <w:rsid w:val="00AE6D7D"/>
    <w:rsid w:val="00AE71D4"/>
    <w:rsid w:val="00AF062A"/>
    <w:rsid w:val="00AF08CC"/>
    <w:rsid w:val="00AF198E"/>
    <w:rsid w:val="00AF1D49"/>
    <w:rsid w:val="00AF6208"/>
    <w:rsid w:val="00B02470"/>
    <w:rsid w:val="00B03256"/>
    <w:rsid w:val="00B03A3E"/>
    <w:rsid w:val="00B0623C"/>
    <w:rsid w:val="00B1275C"/>
    <w:rsid w:val="00B12F14"/>
    <w:rsid w:val="00B134DB"/>
    <w:rsid w:val="00B15CEB"/>
    <w:rsid w:val="00B17834"/>
    <w:rsid w:val="00B21417"/>
    <w:rsid w:val="00B23022"/>
    <w:rsid w:val="00B24198"/>
    <w:rsid w:val="00B244FB"/>
    <w:rsid w:val="00B26E9A"/>
    <w:rsid w:val="00B3655A"/>
    <w:rsid w:val="00B3697B"/>
    <w:rsid w:val="00B40F53"/>
    <w:rsid w:val="00B412BF"/>
    <w:rsid w:val="00B45B27"/>
    <w:rsid w:val="00B47626"/>
    <w:rsid w:val="00B521BC"/>
    <w:rsid w:val="00B5646D"/>
    <w:rsid w:val="00B6489D"/>
    <w:rsid w:val="00B65E80"/>
    <w:rsid w:val="00B7027B"/>
    <w:rsid w:val="00B70C2C"/>
    <w:rsid w:val="00B72A9B"/>
    <w:rsid w:val="00B757D5"/>
    <w:rsid w:val="00B75941"/>
    <w:rsid w:val="00B82ABE"/>
    <w:rsid w:val="00B940CD"/>
    <w:rsid w:val="00B94421"/>
    <w:rsid w:val="00B9779B"/>
    <w:rsid w:val="00BA28CD"/>
    <w:rsid w:val="00BA4034"/>
    <w:rsid w:val="00BA5B5A"/>
    <w:rsid w:val="00BA6370"/>
    <w:rsid w:val="00BB6731"/>
    <w:rsid w:val="00BB6744"/>
    <w:rsid w:val="00BC0343"/>
    <w:rsid w:val="00BC0553"/>
    <w:rsid w:val="00BC53F4"/>
    <w:rsid w:val="00BC653B"/>
    <w:rsid w:val="00BD32CD"/>
    <w:rsid w:val="00BD5AB0"/>
    <w:rsid w:val="00BD62D0"/>
    <w:rsid w:val="00BE458B"/>
    <w:rsid w:val="00BF3C1E"/>
    <w:rsid w:val="00BF4B68"/>
    <w:rsid w:val="00BF4E50"/>
    <w:rsid w:val="00C01204"/>
    <w:rsid w:val="00C05523"/>
    <w:rsid w:val="00C05583"/>
    <w:rsid w:val="00C05734"/>
    <w:rsid w:val="00C077F8"/>
    <w:rsid w:val="00C10A9A"/>
    <w:rsid w:val="00C11CF8"/>
    <w:rsid w:val="00C202ED"/>
    <w:rsid w:val="00C22CC8"/>
    <w:rsid w:val="00C23667"/>
    <w:rsid w:val="00C330CB"/>
    <w:rsid w:val="00C362E4"/>
    <w:rsid w:val="00C43A9C"/>
    <w:rsid w:val="00C44C8E"/>
    <w:rsid w:val="00C4706B"/>
    <w:rsid w:val="00C477C6"/>
    <w:rsid w:val="00C47E54"/>
    <w:rsid w:val="00C50058"/>
    <w:rsid w:val="00C52244"/>
    <w:rsid w:val="00C53E94"/>
    <w:rsid w:val="00C561EA"/>
    <w:rsid w:val="00C57326"/>
    <w:rsid w:val="00C6621B"/>
    <w:rsid w:val="00C749CA"/>
    <w:rsid w:val="00C76266"/>
    <w:rsid w:val="00C85FB7"/>
    <w:rsid w:val="00C915AC"/>
    <w:rsid w:val="00CA1D7E"/>
    <w:rsid w:val="00CA4F61"/>
    <w:rsid w:val="00CB59D4"/>
    <w:rsid w:val="00CB6D96"/>
    <w:rsid w:val="00CC1935"/>
    <w:rsid w:val="00CC3165"/>
    <w:rsid w:val="00CC4826"/>
    <w:rsid w:val="00CD2102"/>
    <w:rsid w:val="00CD3CD1"/>
    <w:rsid w:val="00CD401E"/>
    <w:rsid w:val="00CD4E04"/>
    <w:rsid w:val="00CD65CE"/>
    <w:rsid w:val="00CD6A52"/>
    <w:rsid w:val="00CD6BE7"/>
    <w:rsid w:val="00CD7844"/>
    <w:rsid w:val="00CD7A22"/>
    <w:rsid w:val="00CE0AF8"/>
    <w:rsid w:val="00CE39AC"/>
    <w:rsid w:val="00CE50EF"/>
    <w:rsid w:val="00CE536A"/>
    <w:rsid w:val="00CE53EB"/>
    <w:rsid w:val="00CE5A27"/>
    <w:rsid w:val="00CF1BC0"/>
    <w:rsid w:val="00CF42B7"/>
    <w:rsid w:val="00CF4720"/>
    <w:rsid w:val="00CF6BDF"/>
    <w:rsid w:val="00CF6FAD"/>
    <w:rsid w:val="00CF73DF"/>
    <w:rsid w:val="00D03340"/>
    <w:rsid w:val="00D041D0"/>
    <w:rsid w:val="00D06A4D"/>
    <w:rsid w:val="00D1180F"/>
    <w:rsid w:val="00D13C10"/>
    <w:rsid w:val="00D1447D"/>
    <w:rsid w:val="00D17254"/>
    <w:rsid w:val="00D20D48"/>
    <w:rsid w:val="00D21C9D"/>
    <w:rsid w:val="00D224A4"/>
    <w:rsid w:val="00D23F91"/>
    <w:rsid w:val="00D262A4"/>
    <w:rsid w:val="00D30532"/>
    <w:rsid w:val="00D348BB"/>
    <w:rsid w:val="00D37C04"/>
    <w:rsid w:val="00D41474"/>
    <w:rsid w:val="00D4209D"/>
    <w:rsid w:val="00D43DE7"/>
    <w:rsid w:val="00D53C82"/>
    <w:rsid w:val="00D5505A"/>
    <w:rsid w:val="00D57DC9"/>
    <w:rsid w:val="00D63E77"/>
    <w:rsid w:val="00D64AB5"/>
    <w:rsid w:val="00D7144E"/>
    <w:rsid w:val="00D81758"/>
    <w:rsid w:val="00D81976"/>
    <w:rsid w:val="00D8380C"/>
    <w:rsid w:val="00D90276"/>
    <w:rsid w:val="00DA26F1"/>
    <w:rsid w:val="00DA4699"/>
    <w:rsid w:val="00DA671B"/>
    <w:rsid w:val="00DA6E28"/>
    <w:rsid w:val="00DA7189"/>
    <w:rsid w:val="00DA7A16"/>
    <w:rsid w:val="00DB7E06"/>
    <w:rsid w:val="00DD00D3"/>
    <w:rsid w:val="00DD10C7"/>
    <w:rsid w:val="00DD2779"/>
    <w:rsid w:val="00DD378D"/>
    <w:rsid w:val="00DD51A4"/>
    <w:rsid w:val="00DE6667"/>
    <w:rsid w:val="00DF0FE7"/>
    <w:rsid w:val="00DF1A95"/>
    <w:rsid w:val="00DF20A8"/>
    <w:rsid w:val="00E00CA8"/>
    <w:rsid w:val="00E01893"/>
    <w:rsid w:val="00E0456E"/>
    <w:rsid w:val="00E04F77"/>
    <w:rsid w:val="00E22025"/>
    <w:rsid w:val="00E308CB"/>
    <w:rsid w:val="00E33C22"/>
    <w:rsid w:val="00E34564"/>
    <w:rsid w:val="00E35123"/>
    <w:rsid w:val="00E37936"/>
    <w:rsid w:val="00E45F4A"/>
    <w:rsid w:val="00E478B3"/>
    <w:rsid w:val="00E52DA8"/>
    <w:rsid w:val="00E54177"/>
    <w:rsid w:val="00E5724C"/>
    <w:rsid w:val="00E57A97"/>
    <w:rsid w:val="00E61B7D"/>
    <w:rsid w:val="00E64ACB"/>
    <w:rsid w:val="00E6528C"/>
    <w:rsid w:val="00E712EC"/>
    <w:rsid w:val="00E7238D"/>
    <w:rsid w:val="00E7334D"/>
    <w:rsid w:val="00E824C4"/>
    <w:rsid w:val="00E9695E"/>
    <w:rsid w:val="00EA03C3"/>
    <w:rsid w:val="00EA3A27"/>
    <w:rsid w:val="00EA6710"/>
    <w:rsid w:val="00EB3C03"/>
    <w:rsid w:val="00EC18C6"/>
    <w:rsid w:val="00EC56C2"/>
    <w:rsid w:val="00EC5964"/>
    <w:rsid w:val="00EE0417"/>
    <w:rsid w:val="00EE492E"/>
    <w:rsid w:val="00EE7FDC"/>
    <w:rsid w:val="00EF7624"/>
    <w:rsid w:val="00F00343"/>
    <w:rsid w:val="00F012C5"/>
    <w:rsid w:val="00F024AC"/>
    <w:rsid w:val="00F104E5"/>
    <w:rsid w:val="00F10D24"/>
    <w:rsid w:val="00F12A63"/>
    <w:rsid w:val="00F15714"/>
    <w:rsid w:val="00F21DD8"/>
    <w:rsid w:val="00F26365"/>
    <w:rsid w:val="00F26EF9"/>
    <w:rsid w:val="00F2753D"/>
    <w:rsid w:val="00F307E3"/>
    <w:rsid w:val="00F347B9"/>
    <w:rsid w:val="00F36F02"/>
    <w:rsid w:val="00F40A29"/>
    <w:rsid w:val="00F47732"/>
    <w:rsid w:val="00F53C1A"/>
    <w:rsid w:val="00F55A49"/>
    <w:rsid w:val="00F57B7D"/>
    <w:rsid w:val="00F71E0E"/>
    <w:rsid w:val="00F727FC"/>
    <w:rsid w:val="00F74830"/>
    <w:rsid w:val="00F7742C"/>
    <w:rsid w:val="00F776A7"/>
    <w:rsid w:val="00F815E3"/>
    <w:rsid w:val="00F82355"/>
    <w:rsid w:val="00F86ECE"/>
    <w:rsid w:val="00F87467"/>
    <w:rsid w:val="00F932CC"/>
    <w:rsid w:val="00F94944"/>
    <w:rsid w:val="00FA4707"/>
    <w:rsid w:val="00FB5D9A"/>
    <w:rsid w:val="00FB62DB"/>
    <w:rsid w:val="00FC0401"/>
    <w:rsid w:val="00FC09EF"/>
    <w:rsid w:val="00FC5664"/>
    <w:rsid w:val="00FC63FF"/>
    <w:rsid w:val="00FD1380"/>
    <w:rsid w:val="00FD489E"/>
    <w:rsid w:val="00FD6853"/>
    <w:rsid w:val="00FD7A6C"/>
    <w:rsid w:val="00FE2123"/>
  </w:rsids>
  <m:mathPr>
    <m:mathFont m:val="Cambria Math"/>
    <m:brkBin m:val="before"/>
    <m:brkBinSub m:val="--"/>
    <m:smallFrac m:val="off"/>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EB"/>
    <w:rPr>
      <w:rFonts w:ascii="Arial" w:hAnsi="Arial"/>
      <w:color w:val="001F00"/>
      <w:spacing w:val="6"/>
      <w:sz w:val="18"/>
      <w:szCs w:val="18"/>
      <w:lang w:eastAsia="en-GB"/>
    </w:rPr>
  </w:style>
  <w:style w:type="paragraph" w:styleId="Heading1">
    <w:name w:val="heading 1"/>
    <w:basedOn w:val="Normal"/>
    <w:next w:val="Normal"/>
    <w:link w:val="Heading1Char"/>
    <w:uiPriority w:val="99"/>
    <w:qFormat/>
    <w:rsid w:val="001F2E01"/>
    <w:pPr>
      <w:keepNext/>
      <w:outlineLvl w:val="0"/>
    </w:pPr>
    <w:rPr>
      <w:rFonts w:cs="Arial"/>
      <w:b/>
      <w:bCs/>
      <w:kern w:val="32"/>
      <w:sz w:val="20"/>
      <w:szCs w:val="20"/>
    </w:rPr>
  </w:style>
  <w:style w:type="paragraph" w:styleId="Heading2">
    <w:name w:val="heading 2"/>
    <w:basedOn w:val="Normal"/>
    <w:next w:val="Normal"/>
    <w:link w:val="Heading2Char"/>
    <w:uiPriority w:val="99"/>
    <w:qFormat/>
    <w:rsid w:val="004071C5"/>
    <w:pPr>
      <w:keepNext/>
      <w:outlineLvl w:val="1"/>
    </w:pPr>
    <w:rPr>
      <w:rFonts w:cs="Arial"/>
      <w:b/>
      <w:bCs/>
      <w:iCs/>
    </w:rPr>
  </w:style>
  <w:style w:type="paragraph" w:styleId="Heading3">
    <w:name w:val="heading 3"/>
    <w:basedOn w:val="Normal"/>
    <w:next w:val="Normal"/>
    <w:link w:val="Heading3Char"/>
    <w:uiPriority w:val="99"/>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uiPriority w:val="99"/>
    <w:rsid w:val="004071C5"/>
    <w:rPr>
      <w:caps/>
    </w:rPr>
  </w:style>
  <w:style w:type="paragraph" w:customStyle="1" w:styleId="Normalbold">
    <w:name w:val="Normal bold"/>
    <w:basedOn w:val="Normal"/>
    <w:uiPriority w:val="99"/>
    <w:rsid w:val="001F2E01"/>
    <w:rPr>
      <w:b/>
    </w:rPr>
  </w:style>
  <w:style w:type="paragraph" w:customStyle="1" w:styleId="NormalUpperbold">
    <w:name w:val="Normal Upper bold"/>
    <w:basedOn w:val="Normal"/>
    <w:uiPriority w:val="99"/>
    <w:rsid w:val="001F2E01"/>
    <w:rPr>
      <w:b/>
      <w:caps/>
    </w:rPr>
  </w:style>
  <w:style w:type="paragraph" w:styleId="Footer">
    <w:name w:val="footer"/>
    <w:basedOn w:val="Normal"/>
    <w:link w:val="FooterChar"/>
    <w:uiPriority w:val="99"/>
    <w:rsid w:val="001014C3"/>
    <w:rPr>
      <w:color w:val="auto"/>
      <w:sz w:val="14"/>
      <w:szCs w:val="14"/>
    </w:rPr>
  </w:style>
  <w:style w:type="paragraph" w:customStyle="1" w:styleId="Footerbold">
    <w:name w:val="Footer bold"/>
    <w:basedOn w:val="Footer"/>
    <w:link w:val="FooterboldChar"/>
    <w:uiPriority w:val="99"/>
    <w:rsid w:val="001014C3"/>
    <w:rPr>
      <w:b/>
    </w:rPr>
  </w:style>
  <w:style w:type="paragraph" w:styleId="Header">
    <w:name w:val="header"/>
    <w:basedOn w:val="Normal"/>
    <w:link w:val="HeaderChar"/>
    <w:uiPriority w:val="99"/>
    <w:rsid w:val="004C272D"/>
    <w:pPr>
      <w:tabs>
        <w:tab w:val="center" w:pos="4153"/>
        <w:tab w:val="right" w:pos="8306"/>
      </w:tabs>
    </w:pPr>
  </w:style>
  <w:style w:type="character" w:customStyle="1" w:styleId="FooterChar">
    <w:name w:val="Footer Char"/>
    <w:link w:val="Footer"/>
    <w:uiPriority w:val="99"/>
    <w:rsid w:val="001014C3"/>
    <w:rPr>
      <w:rFonts w:ascii="Arial" w:hAnsi="Arial"/>
      <w:sz w:val="14"/>
      <w:szCs w:val="14"/>
      <w:lang w:val="en-GB" w:eastAsia="en-GB" w:bidi="ar-SA"/>
    </w:rPr>
  </w:style>
  <w:style w:type="character" w:customStyle="1" w:styleId="FooterboldChar">
    <w:name w:val="Footer bold Char"/>
    <w:link w:val="Footerbold"/>
    <w:uiPriority w:val="99"/>
    <w:rsid w:val="001014C3"/>
    <w:rPr>
      <w:rFonts w:ascii="Arial" w:hAnsi="Arial"/>
      <w:b/>
      <w:sz w:val="14"/>
      <w:szCs w:val="14"/>
      <w:lang w:val="en-GB" w:eastAsia="en-GB" w:bidi="ar-SA"/>
    </w:rPr>
  </w:style>
  <w:style w:type="character" w:styleId="PageNumber">
    <w:name w:val="page number"/>
    <w:basedOn w:val="DefaultParagraphFont"/>
    <w:uiPriority w:val="99"/>
    <w:rsid w:val="001014C3"/>
  </w:style>
  <w:style w:type="table" w:styleId="TableGrid">
    <w:name w:val="Table Grid"/>
    <w:basedOn w:val="TableNormal"/>
    <w:uiPriority w:val="59"/>
    <w:rsid w:val="00E7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ight">
    <w:name w:val="Normal Right"/>
    <w:basedOn w:val="Normal"/>
    <w:uiPriority w:val="99"/>
    <w:rsid w:val="00C202ED"/>
    <w:pPr>
      <w:jc w:val="right"/>
    </w:pPr>
  </w:style>
  <w:style w:type="paragraph" w:customStyle="1" w:styleId="NormalCenter">
    <w:name w:val="Normal Center"/>
    <w:basedOn w:val="Normal"/>
    <w:uiPriority w:val="99"/>
    <w:rsid w:val="00C47E54"/>
    <w:pPr>
      <w:jc w:val="center"/>
    </w:pPr>
  </w:style>
  <w:style w:type="paragraph" w:customStyle="1" w:styleId="NormalBoldCenter">
    <w:name w:val="Normal Bold Center"/>
    <w:basedOn w:val="NormalCenter"/>
    <w:uiPriority w:val="99"/>
    <w:rsid w:val="00C47E54"/>
    <w:rPr>
      <w:b/>
    </w:rPr>
  </w:style>
  <w:style w:type="paragraph" w:customStyle="1" w:styleId="Spacer">
    <w:name w:val="Spacer"/>
    <w:basedOn w:val="Normal"/>
    <w:uiPriority w:val="99"/>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3D1E04"/>
    <w:rPr>
      <w:rFonts w:ascii="Tahoma" w:hAnsi="Tahoma" w:cs="Tahoma"/>
      <w:sz w:val="16"/>
      <w:szCs w:val="16"/>
    </w:rPr>
  </w:style>
  <w:style w:type="character" w:styleId="Hyperlink">
    <w:name w:val="Hyperlink"/>
    <w:uiPriority w:val="99"/>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aliases w:val="List Paragraph 1,Indent Paragraph,Numbered,List Paragraph1,Ha,Citation List,Text Box annotations,Lvl 1 Bullet,Johan bulletList Paragraph,Heading 2_sj,Dot pt,Numbered Para 1,No Spacing1,List Paragraph Char Char Char,Indicator Text"/>
    <w:basedOn w:val="Normal"/>
    <w:link w:val="ListParagraphChar"/>
    <w:uiPriority w:val="34"/>
    <w:qFormat/>
    <w:rsid w:val="00A46774"/>
    <w:pPr>
      <w:ind w:left="720"/>
      <w:contextualSpacing/>
    </w:pPr>
  </w:style>
  <w:style w:type="paragraph" w:customStyle="1" w:styleId="Default">
    <w:name w:val="Default"/>
    <w:rsid w:val="00476A14"/>
    <w:pPr>
      <w:autoSpaceDE w:val="0"/>
      <w:autoSpaceDN w:val="0"/>
      <w:adjustRightInd w:val="0"/>
    </w:pPr>
    <w:rPr>
      <w:rFonts w:ascii="Calibri" w:hAnsi="Calibri" w:cs="Calibri"/>
      <w:color w:val="000000"/>
      <w:sz w:val="24"/>
      <w:szCs w:val="24"/>
    </w:rPr>
  </w:style>
  <w:style w:type="paragraph" w:styleId="FootnoteText">
    <w:name w:val="footnote text"/>
    <w:aliases w:val="Footnote Text Char1,Footnote Text Char Char,fn Char,ft"/>
    <w:basedOn w:val="Normal"/>
    <w:link w:val="FootnoteTextChar"/>
    <w:uiPriority w:val="99"/>
    <w:rsid w:val="00476A14"/>
    <w:rPr>
      <w:sz w:val="20"/>
      <w:szCs w:val="20"/>
    </w:rPr>
  </w:style>
  <w:style w:type="character" w:customStyle="1" w:styleId="FootnoteTextChar">
    <w:name w:val="Footnote Text Char"/>
    <w:aliases w:val="Footnote Text Char1 Char,Footnote Text Char Char Char,fn Char Char,ft Char"/>
    <w:basedOn w:val="DefaultParagraphFont"/>
    <w:link w:val="FootnoteText"/>
    <w:uiPriority w:val="99"/>
    <w:rsid w:val="00476A14"/>
    <w:rPr>
      <w:rFonts w:ascii="Arial" w:hAnsi="Arial"/>
      <w:color w:val="001F00"/>
      <w:spacing w:val="6"/>
      <w:lang w:eastAsia="en-GB"/>
    </w:rPr>
  </w:style>
  <w:style w:type="character" w:styleId="FootnoteReference">
    <w:name w:val="footnote reference"/>
    <w:aliases w:val="ftref"/>
    <w:basedOn w:val="DefaultParagraphFont"/>
    <w:uiPriority w:val="99"/>
    <w:rsid w:val="00476A14"/>
    <w:rPr>
      <w:vertAlign w:val="superscript"/>
    </w:rPr>
  </w:style>
  <w:style w:type="paragraph" w:styleId="NormalWeb">
    <w:name w:val="Normal (Web)"/>
    <w:basedOn w:val="Normal"/>
    <w:uiPriority w:val="99"/>
    <w:rsid w:val="001B4786"/>
    <w:pPr>
      <w:spacing w:before="100" w:beforeAutospacing="1" w:after="100" w:afterAutospacing="1"/>
    </w:pPr>
    <w:rPr>
      <w:rFonts w:cs="Arial"/>
      <w:color w:val="auto"/>
      <w:spacing w:val="0"/>
      <w:sz w:val="20"/>
      <w:szCs w:val="20"/>
      <w:lang w:val="en-GB"/>
    </w:rPr>
  </w:style>
  <w:style w:type="character" w:styleId="Strong">
    <w:name w:val="Strong"/>
    <w:basedOn w:val="DefaultParagraphFont"/>
    <w:uiPriority w:val="22"/>
    <w:qFormat/>
    <w:rsid w:val="00CD401E"/>
    <w:rPr>
      <w:b/>
      <w:bCs/>
    </w:rPr>
  </w:style>
  <w:style w:type="paragraph" w:styleId="NoSpacing">
    <w:name w:val="No Spacing"/>
    <w:uiPriority w:val="1"/>
    <w:qFormat/>
    <w:rsid w:val="002C0E78"/>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9"/>
    <w:rsid w:val="00170BD2"/>
    <w:rPr>
      <w:rFonts w:ascii="Arial" w:hAnsi="Arial" w:cs="Arial"/>
      <w:b/>
      <w:bCs/>
      <w:color w:val="001F00"/>
      <w:spacing w:val="6"/>
      <w:kern w:val="32"/>
      <w:lang w:eastAsia="en-GB"/>
    </w:rPr>
  </w:style>
  <w:style w:type="character" w:customStyle="1" w:styleId="Heading2Char">
    <w:name w:val="Heading 2 Char"/>
    <w:basedOn w:val="DefaultParagraphFont"/>
    <w:link w:val="Heading2"/>
    <w:uiPriority w:val="99"/>
    <w:rsid w:val="00170BD2"/>
    <w:rPr>
      <w:rFonts w:ascii="Arial" w:hAnsi="Arial" w:cs="Arial"/>
      <w:b/>
      <w:bCs/>
      <w:iCs/>
      <w:color w:val="001F00"/>
      <w:spacing w:val="6"/>
      <w:sz w:val="18"/>
      <w:szCs w:val="18"/>
      <w:lang w:eastAsia="en-GB"/>
    </w:rPr>
  </w:style>
  <w:style w:type="character" w:customStyle="1" w:styleId="Heading3Char">
    <w:name w:val="Heading 3 Char"/>
    <w:basedOn w:val="DefaultParagraphFont"/>
    <w:link w:val="Heading3"/>
    <w:uiPriority w:val="99"/>
    <w:rsid w:val="00170BD2"/>
    <w:rPr>
      <w:rFonts w:ascii="Arial" w:hAnsi="Arial" w:cs="Arial"/>
      <w:b/>
      <w:bCs/>
      <w:color w:val="001F00"/>
      <w:spacing w:val="6"/>
      <w:sz w:val="26"/>
      <w:szCs w:val="26"/>
      <w:lang w:eastAsia="en-GB"/>
    </w:rPr>
  </w:style>
  <w:style w:type="character" w:customStyle="1" w:styleId="HeaderChar">
    <w:name w:val="Header Char"/>
    <w:basedOn w:val="DefaultParagraphFont"/>
    <w:link w:val="Header"/>
    <w:uiPriority w:val="99"/>
    <w:rsid w:val="00170BD2"/>
    <w:rPr>
      <w:rFonts w:ascii="Arial" w:hAnsi="Arial"/>
      <w:color w:val="001F00"/>
      <w:spacing w:val="6"/>
      <w:sz w:val="18"/>
      <w:szCs w:val="18"/>
      <w:lang w:eastAsia="en-GB"/>
    </w:rPr>
  </w:style>
  <w:style w:type="paragraph" w:styleId="BodyText2">
    <w:name w:val="Body Text 2"/>
    <w:basedOn w:val="Normal"/>
    <w:link w:val="BodyText2Char"/>
    <w:uiPriority w:val="99"/>
    <w:rsid w:val="00170BD2"/>
    <w:pPr>
      <w:jc w:val="both"/>
    </w:pPr>
    <w:rPr>
      <w:rFonts w:cs="Arial"/>
      <w:color w:val="auto"/>
      <w:spacing w:val="0"/>
      <w:sz w:val="24"/>
      <w:szCs w:val="24"/>
      <w:lang w:val="en-US" w:eastAsia="en-US"/>
    </w:rPr>
  </w:style>
  <w:style w:type="character" w:customStyle="1" w:styleId="BodyText2Char">
    <w:name w:val="Body Text 2 Char"/>
    <w:basedOn w:val="DefaultParagraphFont"/>
    <w:link w:val="BodyText2"/>
    <w:uiPriority w:val="99"/>
    <w:rsid w:val="00170BD2"/>
    <w:rPr>
      <w:rFonts w:ascii="Arial" w:hAnsi="Arial" w:cs="Arial"/>
      <w:sz w:val="24"/>
      <w:szCs w:val="24"/>
      <w:lang w:val="en-US" w:eastAsia="en-US"/>
    </w:rPr>
  </w:style>
  <w:style w:type="character" w:customStyle="1" w:styleId="BalloonTextChar">
    <w:name w:val="Balloon Text Char"/>
    <w:basedOn w:val="DefaultParagraphFont"/>
    <w:link w:val="BalloonText"/>
    <w:uiPriority w:val="99"/>
    <w:semiHidden/>
    <w:rsid w:val="00170BD2"/>
    <w:rPr>
      <w:rFonts w:ascii="Tahoma" w:hAnsi="Tahoma" w:cs="Tahoma"/>
      <w:color w:val="001F00"/>
      <w:spacing w:val="6"/>
      <w:sz w:val="16"/>
      <w:szCs w:val="16"/>
      <w:lang w:eastAsia="en-GB"/>
    </w:rPr>
  </w:style>
  <w:style w:type="paragraph" w:customStyle="1" w:styleId="CharCharCharCharCharChar">
    <w:name w:val="Char Char Char Char Char Char"/>
    <w:basedOn w:val="Normal"/>
    <w:uiPriority w:val="99"/>
    <w:semiHidden/>
    <w:rsid w:val="00170BD2"/>
    <w:pPr>
      <w:spacing w:after="240" w:line="24" w:lineRule="atLeast"/>
      <w:jc w:val="both"/>
    </w:pPr>
    <w:rPr>
      <w:bCs/>
      <w:color w:val="auto"/>
      <w:spacing w:val="0"/>
      <w:sz w:val="22"/>
      <w:szCs w:val="24"/>
      <w:lang w:val="en-US" w:eastAsia="en-US"/>
    </w:rPr>
  </w:style>
  <w:style w:type="paragraph" w:customStyle="1" w:styleId="bodytext">
    <w:name w:val="bodytext"/>
    <w:basedOn w:val="Normal"/>
    <w:uiPriority w:val="99"/>
    <w:rsid w:val="00170BD2"/>
    <w:pPr>
      <w:spacing w:before="100" w:beforeAutospacing="1" w:after="100" w:afterAutospacing="1"/>
    </w:pPr>
    <w:rPr>
      <w:rFonts w:cs="Arial"/>
      <w:color w:val="auto"/>
      <w:spacing w:val="0"/>
      <w:lang w:val="en-GB"/>
    </w:rPr>
  </w:style>
  <w:style w:type="paragraph" w:styleId="EndnoteText">
    <w:name w:val="endnote text"/>
    <w:basedOn w:val="Normal"/>
    <w:link w:val="EndnoteTextChar"/>
    <w:uiPriority w:val="99"/>
    <w:semiHidden/>
    <w:rsid w:val="00170BD2"/>
    <w:rPr>
      <w:sz w:val="20"/>
      <w:szCs w:val="20"/>
      <w:lang w:val="en-GB"/>
    </w:rPr>
  </w:style>
  <w:style w:type="character" w:customStyle="1" w:styleId="EndnoteTextChar">
    <w:name w:val="Endnote Text Char"/>
    <w:basedOn w:val="DefaultParagraphFont"/>
    <w:link w:val="EndnoteText"/>
    <w:uiPriority w:val="99"/>
    <w:semiHidden/>
    <w:rsid w:val="00170BD2"/>
    <w:rPr>
      <w:rFonts w:ascii="Arial" w:hAnsi="Arial"/>
      <w:color w:val="001F00"/>
      <w:spacing w:val="6"/>
      <w:lang w:val="en-GB" w:eastAsia="en-GB"/>
    </w:rPr>
  </w:style>
  <w:style w:type="character" w:styleId="EndnoteReference">
    <w:name w:val="endnote reference"/>
    <w:basedOn w:val="DefaultParagraphFont"/>
    <w:uiPriority w:val="99"/>
    <w:semiHidden/>
    <w:rsid w:val="00170BD2"/>
    <w:rPr>
      <w:rFonts w:cs="Times New Roman"/>
      <w:vertAlign w:val="superscript"/>
    </w:rPr>
  </w:style>
  <w:style w:type="paragraph" w:customStyle="1" w:styleId="CM5">
    <w:name w:val="CM5"/>
    <w:basedOn w:val="Normal"/>
    <w:next w:val="Normal"/>
    <w:uiPriority w:val="99"/>
    <w:rsid w:val="00170BD2"/>
    <w:pPr>
      <w:autoSpaceDE w:val="0"/>
      <w:autoSpaceDN w:val="0"/>
      <w:adjustRightInd w:val="0"/>
    </w:pPr>
    <w:rPr>
      <w:rFonts w:ascii="DIOOB O+ T T 13 F 46o 00" w:hAnsi="DIOOB O+ T T 13 F 46o 00"/>
      <w:color w:val="auto"/>
      <w:spacing w:val="0"/>
      <w:sz w:val="24"/>
      <w:szCs w:val="24"/>
      <w:lang w:val="en-GB"/>
    </w:rPr>
  </w:style>
  <w:style w:type="character" w:customStyle="1" w:styleId="FootnoteTextChar2">
    <w:name w:val="Footnote Text Char2"/>
    <w:aliases w:val="Footnote Text Char1 Char1,Footnote Text Char Char Char1,fn Char Char1,ft Char1"/>
    <w:basedOn w:val="DefaultParagraphFont"/>
    <w:uiPriority w:val="99"/>
    <w:locked/>
    <w:rsid w:val="00170BD2"/>
    <w:rPr>
      <w:rFonts w:cs="Times New Roman"/>
      <w:sz w:val="20"/>
      <w:szCs w:val="20"/>
    </w:rPr>
  </w:style>
  <w:style w:type="character" w:customStyle="1" w:styleId="ListParagraphChar">
    <w:name w:val="List Paragraph Char"/>
    <w:aliases w:val="List Paragraph 1 Char,Indent Paragraph Char,Numbered Char,List Paragraph1 Char,Ha Char,Citation List Char,Text Box annotations Char,Lvl 1 Bullet Char,Johan bulletList Paragraph Char,Heading 2_sj Char,Dot pt Char,Numbered Para 1 Char"/>
    <w:link w:val="ListParagraph"/>
    <w:uiPriority w:val="34"/>
    <w:qFormat/>
    <w:locked/>
    <w:rsid w:val="00170BD2"/>
    <w:rPr>
      <w:rFonts w:ascii="Arial" w:hAnsi="Arial"/>
      <w:color w:val="001F00"/>
      <w:spacing w:val="6"/>
      <w:sz w:val="18"/>
      <w:szCs w:val="18"/>
      <w:lang w:eastAsia="en-GB"/>
    </w:rPr>
  </w:style>
  <w:style w:type="character" w:styleId="Emphasis">
    <w:name w:val="Emphasis"/>
    <w:basedOn w:val="DefaultParagraphFont"/>
    <w:uiPriority w:val="20"/>
    <w:qFormat/>
    <w:rsid w:val="00170BD2"/>
    <w:rPr>
      <w:rFonts w:cs="Times New Roman"/>
      <w:i/>
      <w:iCs/>
    </w:rPr>
  </w:style>
  <w:style w:type="character" w:styleId="CommentReference">
    <w:name w:val="annotation reference"/>
    <w:basedOn w:val="DefaultParagraphFont"/>
    <w:uiPriority w:val="99"/>
    <w:semiHidden/>
    <w:rsid w:val="00170BD2"/>
    <w:rPr>
      <w:rFonts w:cs="Times New Roman"/>
      <w:sz w:val="16"/>
      <w:szCs w:val="16"/>
    </w:rPr>
  </w:style>
  <w:style w:type="paragraph" w:styleId="CommentText">
    <w:name w:val="annotation text"/>
    <w:basedOn w:val="Normal"/>
    <w:link w:val="CommentTextChar"/>
    <w:uiPriority w:val="99"/>
    <w:semiHidden/>
    <w:rsid w:val="00170BD2"/>
    <w:rPr>
      <w:sz w:val="20"/>
      <w:szCs w:val="20"/>
      <w:lang w:val="en-GB"/>
    </w:rPr>
  </w:style>
  <w:style w:type="character" w:customStyle="1" w:styleId="CommentTextChar">
    <w:name w:val="Comment Text Char"/>
    <w:basedOn w:val="DefaultParagraphFont"/>
    <w:link w:val="CommentText"/>
    <w:uiPriority w:val="99"/>
    <w:semiHidden/>
    <w:rsid w:val="00170BD2"/>
    <w:rPr>
      <w:rFonts w:ascii="Arial" w:hAnsi="Arial"/>
      <w:color w:val="001F00"/>
      <w:spacing w:val="6"/>
      <w:lang w:val="en-GB" w:eastAsia="en-GB"/>
    </w:rPr>
  </w:style>
  <w:style w:type="paragraph" w:styleId="CommentSubject">
    <w:name w:val="annotation subject"/>
    <w:basedOn w:val="CommentText"/>
    <w:next w:val="CommentText"/>
    <w:link w:val="CommentSubjectChar"/>
    <w:uiPriority w:val="99"/>
    <w:semiHidden/>
    <w:rsid w:val="00170BD2"/>
    <w:rPr>
      <w:b/>
      <w:bCs/>
    </w:rPr>
  </w:style>
  <w:style w:type="character" w:customStyle="1" w:styleId="CommentSubjectChar">
    <w:name w:val="Comment Subject Char"/>
    <w:basedOn w:val="CommentTextChar"/>
    <w:link w:val="CommentSubject"/>
    <w:uiPriority w:val="99"/>
    <w:semiHidden/>
    <w:rsid w:val="00170BD2"/>
    <w:rPr>
      <w:rFonts w:ascii="Arial" w:hAnsi="Arial"/>
      <w:b/>
      <w:bCs/>
      <w:color w:val="001F00"/>
      <w:spacing w:val="6"/>
      <w:lang w:val="en-GB" w:eastAsia="en-GB"/>
    </w:rPr>
  </w:style>
  <w:style w:type="paragraph" w:styleId="Revision">
    <w:name w:val="Revision"/>
    <w:hidden/>
    <w:uiPriority w:val="99"/>
    <w:semiHidden/>
    <w:rsid w:val="00170BD2"/>
    <w:rPr>
      <w:rFonts w:ascii="Arial" w:hAnsi="Arial"/>
      <w:color w:val="001F00"/>
      <w:spacing w:val="6"/>
      <w:sz w:val="18"/>
      <w:szCs w:val="18"/>
      <w:lang w:val="en-GB" w:eastAsia="en-GB"/>
    </w:rPr>
  </w:style>
  <w:style w:type="character" w:customStyle="1" w:styleId="A20">
    <w:name w:val="A20"/>
    <w:uiPriority w:val="99"/>
    <w:rsid w:val="00170BD2"/>
    <w:rPr>
      <w:rFonts w:cs="Century Gothic"/>
      <w:color w:val="000000"/>
      <w:sz w:val="20"/>
      <w:szCs w:val="20"/>
    </w:rPr>
  </w:style>
</w:styles>
</file>

<file path=word/webSettings.xml><?xml version="1.0" encoding="utf-8"?>
<w:webSettings xmlns:r="http://schemas.openxmlformats.org/officeDocument/2006/relationships" xmlns:w="http://schemas.openxmlformats.org/wordprocessingml/2006/main">
  <w:divs>
    <w:div w:id="56902323">
      <w:bodyDiv w:val="1"/>
      <w:marLeft w:val="0"/>
      <w:marRight w:val="0"/>
      <w:marTop w:val="0"/>
      <w:marBottom w:val="0"/>
      <w:divBdr>
        <w:top w:val="none" w:sz="0" w:space="0" w:color="auto"/>
        <w:left w:val="none" w:sz="0" w:space="0" w:color="auto"/>
        <w:bottom w:val="none" w:sz="0" w:space="0" w:color="auto"/>
        <w:right w:val="none" w:sz="0" w:space="0" w:color="auto"/>
      </w:divBdr>
      <w:divsChild>
        <w:div w:id="396321025">
          <w:marLeft w:val="0"/>
          <w:marRight w:val="0"/>
          <w:marTop w:val="0"/>
          <w:marBottom w:val="0"/>
          <w:divBdr>
            <w:top w:val="none" w:sz="0" w:space="0" w:color="auto"/>
            <w:left w:val="none" w:sz="0" w:space="0" w:color="auto"/>
            <w:bottom w:val="none" w:sz="0" w:space="0" w:color="auto"/>
            <w:right w:val="none" w:sz="0" w:space="0" w:color="auto"/>
          </w:divBdr>
          <w:divsChild>
            <w:div w:id="1843350193">
              <w:marLeft w:val="0"/>
              <w:marRight w:val="0"/>
              <w:marTop w:val="0"/>
              <w:marBottom w:val="0"/>
              <w:divBdr>
                <w:top w:val="none" w:sz="0" w:space="0" w:color="auto"/>
                <w:left w:val="none" w:sz="0" w:space="0" w:color="auto"/>
                <w:bottom w:val="none" w:sz="0" w:space="0" w:color="auto"/>
                <w:right w:val="none" w:sz="0" w:space="0" w:color="auto"/>
              </w:divBdr>
              <w:divsChild>
                <w:div w:id="1100611804">
                  <w:marLeft w:val="0"/>
                  <w:marRight w:val="0"/>
                  <w:marTop w:val="0"/>
                  <w:marBottom w:val="0"/>
                  <w:divBdr>
                    <w:top w:val="none" w:sz="0" w:space="0" w:color="auto"/>
                    <w:left w:val="none" w:sz="0" w:space="0" w:color="auto"/>
                    <w:bottom w:val="none" w:sz="0" w:space="0" w:color="auto"/>
                    <w:right w:val="none" w:sz="0" w:space="0" w:color="auto"/>
                  </w:divBdr>
                  <w:divsChild>
                    <w:div w:id="1869905370">
                      <w:marLeft w:val="0"/>
                      <w:marRight w:val="0"/>
                      <w:marTop w:val="0"/>
                      <w:marBottom w:val="0"/>
                      <w:divBdr>
                        <w:top w:val="none" w:sz="0" w:space="0" w:color="auto"/>
                        <w:left w:val="none" w:sz="0" w:space="0" w:color="auto"/>
                        <w:bottom w:val="none" w:sz="0" w:space="0" w:color="auto"/>
                        <w:right w:val="none" w:sz="0" w:space="0" w:color="auto"/>
                      </w:divBdr>
                      <w:divsChild>
                        <w:div w:id="918565337">
                          <w:marLeft w:val="0"/>
                          <w:marRight w:val="0"/>
                          <w:marTop w:val="0"/>
                          <w:marBottom w:val="0"/>
                          <w:divBdr>
                            <w:top w:val="none" w:sz="0" w:space="0" w:color="auto"/>
                            <w:left w:val="none" w:sz="0" w:space="0" w:color="auto"/>
                            <w:bottom w:val="none" w:sz="0" w:space="0" w:color="auto"/>
                            <w:right w:val="none" w:sz="0" w:space="0" w:color="auto"/>
                          </w:divBdr>
                          <w:divsChild>
                            <w:div w:id="1730374972">
                              <w:marLeft w:val="0"/>
                              <w:marRight w:val="0"/>
                              <w:marTop w:val="0"/>
                              <w:marBottom w:val="0"/>
                              <w:divBdr>
                                <w:top w:val="none" w:sz="0" w:space="0" w:color="auto"/>
                                <w:left w:val="none" w:sz="0" w:space="0" w:color="auto"/>
                                <w:bottom w:val="none" w:sz="0" w:space="0" w:color="auto"/>
                                <w:right w:val="none" w:sz="0" w:space="0" w:color="auto"/>
                              </w:divBdr>
                              <w:divsChild>
                                <w:div w:id="1782987412">
                                  <w:marLeft w:val="0"/>
                                  <w:marRight w:val="0"/>
                                  <w:marTop w:val="0"/>
                                  <w:marBottom w:val="0"/>
                                  <w:divBdr>
                                    <w:top w:val="none" w:sz="0" w:space="0" w:color="auto"/>
                                    <w:left w:val="none" w:sz="0" w:space="0" w:color="auto"/>
                                    <w:bottom w:val="none" w:sz="0" w:space="0" w:color="auto"/>
                                    <w:right w:val="none" w:sz="0" w:space="0" w:color="auto"/>
                                  </w:divBdr>
                                  <w:divsChild>
                                    <w:div w:id="316610281">
                                      <w:marLeft w:val="0"/>
                                      <w:marRight w:val="0"/>
                                      <w:marTop w:val="0"/>
                                      <w:marBottom w:val="0"/>
                                      <w:divBdr>
                                        <w:top w:val="none" w:sz="0" w:space="0" w:color="auto"/>
                                        <w:left w:val="none" w:sz="0" w:space="0" w:color="auto"/>
                                        <w:bottom w:val="none" w:sz="0" w:space="0" w:color="auto"/>
                                        <w:right w:val="none" w:sz="0" w:space="0" w:color="auto"/>
                                      </w:divBdr>
                                      <w:divsChild>
                                        <w:div w:id="641470005">
                                          <w:marLeft w:val="0"/>
                                          <w:marRight w:val="0"/>
                                          <w:marTop w:val="0"/>
                                          <w:marBottom w:val="0"/>
                                          <w:divBdr>
                                            <w:top w:val="none" w:sz="0" w:space="0" w:color="auto"/>
                                            <w:left w:val="none" w:sz="0" w:space="0" w:color="auto"/>
                                            <w:bottom w:val="none" w:sz="0" w:space="0" w:color="auto"/>
                                            <w:right w:val="none" w:sz="0" w:space="0" w:color="auto"/>
                                          </w:divBdr>
                                          <w:divsChild>
                                            <w:div w:id="311914558">
                                              <w:marLeft w:val="0"/>
                                              <w:marRight w:val="0"/>
                                              <w:marTop w:val="0"/>
                                              <w:marBottom w:val="0"/>
                                              <w:divBdr>
                                                <w:top w:val="none" w:sz="0" w:space="0" w:color="auto"/>
                                                <w:left w:val="none" w:sz="0" w:space="0" w:color="auto"/>
                                                <w:bottom w:val="none" w:sz="0" w:space="0" w:color="auto"/>
                                                <w:right w:val="none" w:sz="0" w:space="0" w:color="auto"/>
                                              </w:divBdr>
                                              <w:divsChild>
                                                <w:div w:id="1549605603">
                                                  <w:marLeft w:val="0"/>
                                                  <w:marRight w:val="0"/>
                                                  <w:marTop w:val="0"/>
                                                  <w:marBottom w:val="0"/>
                                                  <w:divBdr>
                                                    <w:top w:val="none" w:sz="0" w:space="0" w:color="auto"/>
                                                    <w:left w:val="none" w:sz="0" w:space="0" w:color="auto"/>
                                                    <w:bottom w:val="none" w:sz="0" w:space="0" w:color="auto"/>
                                                    <w:right w:val="none" w:sz="0" w:space="0" w:color="auto"/>
                                                  </w:divBdr>
                                                  <w:divsChild>
                                                    <w:div w:id="70320991">
                                                      <w:marLeft w:val="0"/>
                                                      <w:marRight w:val="0"/>
                                                      <w:marTop w:val="0"/>
                                                      <w:marBottom w:val="0"/>
                                                      <w:divBdr>
                                                        <w:top w:val="none" w:sz="0" w:space="0" w:color="auto"/>
                                                        <w:left w:val="none" w:sz="0" w:space="0" w:color="auto"/>
                                                        <w:bottom w:val="none" w:sz="0" w:space="0" w:color="auto"/>
                                                        <w:right w:val="none" w:sz="0" w:space="0" w:color="auto"/>
                                                      </w:divBdr>
                                                      <w:divsChild>
                                                        <w:div w:id="1015183535">
                                                          <w:marLeft w:val="0"/>
                                                          <w:marRight w:val="0"/>
                                                          <w:marTop w:val="0"/>
                                                          <w:marBottom w:val="0"/>
                                                          <w:divBdr>
                                                            <w:top w:val="none" w:sz="0" w:space="0" w:color="auto"/>
                                                            <w:left w:val="none" w:sz="0" w:space="0" w:color="auto"/>
                                                            <w:bottom w:val="none" w:sz="0" w:space="0" w:color="auto"/>
                                                            <w:right w:val="none" w:sz="0" w:space="0" w:color="auto"/>
                                                          </w:divBdr>
                                                          <w:divsChild>
                                                            <w:div w:id="911699714">
                                                              <w:marLeft w:val="0"/>
                                                              <w:marRight w:val="0"/>
                                                              <w:marTop w:val="0"/>
                                                              <w:marBottom w:val="0"/>
                                                              <w:divBdr>
                                                                <w:top w:val="none" w:sz="0" w:space="0" w:color="auto"/>
                                                                <w:left w:val="none" w:sz="0" w:space="0" w:color="auto"/>
                                                                <w:bottom w:val="none" w:sz="0" w:space="0" w:color="auto"/>
                                                                <w:right w:val="none" w:sz="0" w:space="0" w:color="auto"/>
                                                              </w:divBdr>
                                                              <w:divsChild>
                                                                <w:div w:id="1791590370">
                                                                  <w:marLeft w:val="0"/>
                                                                  <w:marRight w:val="0"/>
                                                                  <w:marTop w:val="0"/>
                                                                  <w:marBottom w:val="0"/>
                                                                  <w:divBdr>
                                                                    <w:top w:val="none" w:sz="0" w:space="0" w:color="auto"/>
                                                                    <w:left w:val="none" w:sz="0" w:space="0" w:color="auto"/>
                                                                    <w:bottom w:val="none" w:sz="0" w:space="0" w:color="auto"/>
                                                                    <w:right w:val="none" w:sz="0" w:space="0" w:color="auto"/>
                                                                  </w:divBdr>
                                                                  <w:divsChild>
                                                                    <w:div w:id="818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7619392">
      <w:bodyDiv w:val="1"/>
      <w:marLeft w:val="0"/>
      <w:marRight w:val="0"/>
      <w:marTop w:val="0"/>
      <w:marBottom w:val="0"/>
      <w:divBdr>
        <w:top w:val="none" w:sz="0" w:space="0" w:color="auto"/>
        <w:left w:val="none" w:sz="0" w:space="0" w:color="auto"/>
        <w:bottom w:val="none" w:sz="0" w:space="0" w:color="auto"/>
        <w:right w:val="none" w:sz="0" w:space="0" w:color="auto"/>
      </w:divBdr>
      <w:divsChild>
        <w:div w:id="1358507454">
          <w:marLeft w:val="360"/>
          <w:marRight w:val="0"/>
          <w:marTop w:val="0"/>
          <w:marBottom w:val="0"/>
          <w:divBdr>
            <w:top w:val="none" w:sz="0" w:space="0" w:color="auto"/>
            <w:left w:val="none" w:sz="0" w:space="0" w:color="auto"/>
            <w:bottom w:val="none" w:sz="0" w:space="0" w:color="auto"/>
            <w:right w:val="none" w:sz="0" w:space="0" w:color="auto"/>
          </w:divBdr>
        </w:div>
        <w:div w:id="1331712125">
          <w:marLeft w:val="360"/>
          <w:marRight w:val="0"/>
          <w:marTop w:val="0"/>
          <w:marBottom w:val="0"/>
          <w:divBdr>
            <w:top w:val="none" w:sz="0" w:space="0" w:color="auto"/>
            <w:left w:val="none" w:sz="0" w:space="0" w:color="auto"/>
            <w:bottom w:val="none" w:sz="0" w:space="0" w:color="auto"/>
            <w:right w:val="none" w:sz="0" w:space="0" w:color="auto"/>
          </w:divBdr>
        </w:div>
        <w:div w:id="1685588199">
          <w:marLeft w:val="360"/>
          <w:marRight w:val="0"/>
          <w:marTop w:val="0"/>
          <w:marBottom w:val="0"/>
          <w:divBdr>
            <w:top w:val="none" w:sz="0" w:space="0" w:color="auto"/>
            <w:left w:val="none" w:sz="0" w:space="0" w:color="auto"/>
            <w:bottom w:val="none" w:sz="0" w:space="0" w:color="auto"/>
            <w:right w:val="none" w:sz="0" w:space="0" w:color="auto"/>
          </w:divBdr>
        </w:div>
      </w:divsChild>
    </w:div>
    <w:div w:id="568266637">
      <w:bodyDiv w:val="1"/>
      <w:marLeft w:val="0"/>
      <w:marRight w:val="0"/>
      <w:marTop w:val="0"/>
      <w:marBottom w:val="0"/>
      <w:divBdr>
        <w:top w:val="none" w:sz="0" w:space="0" w:color="auto"/>
        <w:left w:val="none" w:sz="0" w:space="0" w:color="auto"/>
        <w:bottom w:val="none" w:sz="0" w:space="0" w:color="auto"/>
        <w:right w:val="none" w:sz="0" w:space="0" w:color="auto"/>
      </w:divBdr>
    </w:div>
    <w:div w:id="642546218">
      <w:bodyDiv w:val="1"/>
      <w:marLeft w:val="0"/>
      <w:marRight w:val="0"/>
      <w:marTop w:val="0"/>
      <w:marBottom w:val="0"/>
      <w:divBdr>
        <w:top w:val="none" w:sz="0" w:space="0" w:color="auto"/>
        <w:left w:val="none" w:sz="0" w:space="0" w:color="auto"/>
        <w:bottom w:val="none" w:sz="0" w:space="0" w:color="auto"/>
        <w:right w:val="none" w:sz="0" w:space="0" w:color="auto"/>
      </w:divBdr>
      <w:divsChild>
        <w:div w:id="1899781239">
          <w:marLeft w:val="360"/>
          <w:marRight w:val="0"/>
          <w:marTop w:val="0"/>
          <w:marBottom w:val="0"/>
          <w:divBdr>
            <w:top w:val="none" w:sz="0" w:space="0" w:color="auto"/>
            <w:left w:val="none" w:sz="0" w:space="0" w:color="auto"/>
            <w:bottom w:val="none" w:sz="0" w:space="0" w:color="auto"/>
            <w:right w:val="none" w:sz="0" w:space="0" w:color="auto"/>
          </w:divBdr>
        </w:div>
        <w:div w:id="843857670">
          <w:marLeft w:val="360"/>
          <w:marRight w:val="0"/>
          <w:marTop w:val="0"/>
          <w:marBottom w:val="0"/>
          <w:divBdr>
            <w:top w:val="none" w:sz="0" w:space="0" w:color="auto"/>
            <w:left w:val="none" w:sz="0" w:space="0" w:color="auto"/>
            <w:bottom w:val="none" w:sz="0" w:space="0" w:color="auto"/>
            <w:right w:val="none" w:sz="0" w:space="0" w:color="auto"/>
          </w:divBdr>
        </w:div>
        <w:div w:id="1855731016">
          <w:marLeft w:val="360"/>
          <w:marRight w:val="0"/>
          <w:marTop w:val="0"/>
          <w:marBottom w:val="0"/>
          <w:divBdr>
            <w:top w:val="none" w:sz="0" w:space="0" w:color="auto"/>
            <w:left w:val="none" w:sz="0" w:space="0" w:color="auto"/>
            <w:bottom w:val="none" w:sz="0" w:space="0" w:color="auto"/>
            <w:right w:val="none" w:sz="0" w:space="0" w:color="auto"/>
          </w:divBdr>
        </w:div>
        <w:div w:id="954363465">
          <w:marLeft w:val="360"/>
          <w:marRight w:val="0"/>
          <w:marTop w:val="0"/>
          <w:marBottom w:val="0"/>
          <w:divBdr>
            <w:top w:val="none" w:sz="0" w:space="0" w:color="auto"/>
            <w:left w:val="none" w:sz="0" w:space="0" w:color="auto"/>
            <w:bottom w:val="none" w:sz="0" w:space="0" w:color="auto"/>
            <w:right w:val="none" w:sz="0" w:space="0" w:color="auto"/>
          </w:divBdr>
        </w:div>
        <w:div w:id="1333264695">
          <w:marLeft w:val="360"/>
          <w:marRight w:val="0"/>
          <w:marTop w:val="0"/>
          <w:marBottom w:val="0"/>
          <w:divBdr>
            <w:top w:val="none" w:sz="0" w:space="0" w:color="auto"/>
            <w:left w:val="none" w:sz="0" w:space="0" w:color="auto"/>
            <w:bottom w:val="none" w:sz="0" w:space="0" w:color="auto"/>
            <w:right w:val="none" w:sz="0" w:space="0" w:color="auto"/>
          </w:divBdr>
        </w:div>
      </w:divsChild>
    </w:div>
    <w:div w:id="745030054">
      <w:bodyDiv w:val="1"/>
      <w:marLeft w:val="0"/>
      <w:marRight w:val="0"/>
      <w:marTop w:val="0"/>
      <w:marBottom w:val="0"/>
      <w:divBdr>
        <w:top w:val="none" w:sz="0" w:space="0" w:color="auto"/>
        <w:left w:val="none" w:sz="0" w:space="0" w:color="auto"/>
        <w:bottom w:val="none" w:sz="0" w:space="0" w:color="auto"/>
        <w:right w:val="none" w:sz="0" w:space="0" w:color="auto"/>
      </w:divBdr>
    </w:div>
    <w:div w:id="1333605315">
      <w:bodyDiv w:val="1"/>
      <w:marLeft w:val="0"/>
      <w:marRight w:val="0"/>
      <w:marTop w:val="0"/>
      <w:marBottom w:val="0"/>
      <w:divBdr>
        <w:top w:val="none" w:sz="0" w:space="0" w:color="auto"/>
        <w:left w:val="none" w:sz="0" w:space="0" w:color="auto"/>
        <w:bottom w:val="none" w:sz="0" w:space="0" w:color="auto"/>
        <w:right w:val="none" w:sz="0" w:space="0" w:color="auto"/>
      </w:divBdr>
      <w:divsChild>
        <w:div w:id="1110973880">
          <w:marLeft w:val="0"/>
          <w:marRight w:val="0"/>
          <w:marTop w:val="0"/>
          <w:marBottom w:val="0"/>
          <w:divBdr>
            <w:top w:val="none" w:sz="0" w:space="0" w:color="auto"/>
            <w:left w:val="none" w:sz="0" w:space="0" w:color="auto"/>
            <w:bottom w:val="none" w:sz="0" w:space="0" w:color="auto"/>
            <w:right w:val="none" w:sz="0" w:space="0" w:color="auto"/>
          </w:divBdr>
        </w:div>
        <w:div w:id="1065448030">
          <w:marLeft w:val="0"/>
          <w:marRight w:val="0"/>
          <w:marTop w:val="0"/>
          <w:marBottom w:val="0"/>
          <w:divBdr>
            <w:top w:val="none" w:sz="0" w:space="0" w:color="auto"/>
            <w:left w:val="none" w:sz="0" w:space="0" w:color="auto"/>
            <w:bottom w:val="none" w:sz="0" w:space="0" w:color="auto"/>
            <w:right w:val="none" w:sz="0" w:space="0" w:color="auto"/>
          </w:divBdr>
        </w:div>
        <w:div w:id="1005936571">
          <w:marLeft w:val="0"/>
          <w:marRight w:val="0"/>
          <w:marTop w:val="0"/>
          <w:marBottom w:val="0"/>
          <w:divBdr>
            <w:top w:val="none" w:sz="0" w:space="0" w:color="auto"/>
            <w:left w:val="none" w:sz="0" w:space="0" w:color="auto"/>
            <w:bottom w:val="none" w:sz="0" w:space="0" w:color="auto"/>
            <w:right w:val="none" w:sz="0" w:space="0" w:color="auto"/>
          </w:divBdr>
        </w:div>
        <w:div w:id="948849600">
          <w:marLeft w:val="0"/>
          <w:marRight w:val="0"/>
          <w:marTop w:val="0"/>
          <w:marBottom w:val="0"/>
          <w:divBdr>
            <w:top w:val="none" w:sz="0" w:space="0" w:color="auto"/>
            <w:left w:val="none" w:sz="0" w:space="0" w:color="auto"/>
            <w:bottom w:val="none" w:sz="0" w:space="0" w:color="auto"/>
            <w:right w:val="none" w:sz="0" w:space="0" w:color="auto"/>
          </w:divBdr>
        </w:div>
        <w:div w:id="775833300">
          <w:marLeft w:val="0"/>
          <w:marRight w:val="0"/>
          <w:marTop w:val="0"/>
          <w:marBottom w:val="0"/>
          <w:divBdr>
            <w:top w:val="none" w:sz="0" w:space="0" w:color="auto"/>
            <w:left w:val="none" w:sz="0" w:space="0" w:color="auto"/>
            <w:bottom w:val="none" w:sz="0" w:space="0" w:color="auto"/>
            <w:right w:val="none" w:sz="0" w:space="0" w:color="auto"/>
          </w:divBdr>
        </w:div>
      </w:divsChild>
    </w:div>
    <w:div w:id="1725593743">
      <w:bodyDiv w:val="1"/>
      <w:marLeft w:val="0"/>
      <w:marRight w:val="0"/>
      <w:marTop w:val="0"/>
      <w:marBottom w:val="0"/>
      <w:divBdr>
        <w:top w:val="none" w:sz="0" w:space="0" w:color="auto"/>
        <w:left w:val="none" w:sz="0" w:space="0" w:color="auto"/>
        <w:bottom w:val="none" w:sz="0" w:space="0" w:color="auto"/>
        <w:right w:val="none" w:sz="0" w:space="0" w:color="auto"/>
      </w:divBdr>
      <w:divsChild>
        <w:div w:id="144010864">
          <w:marLeft w:val="0"/>
          <w:marRight w:val="0"/>
          <w:marTop w:val="0"/>
          <w:marBottom w:val="0"/>
          <w:divBdr>
            <w:top w:val="none" w:sz="0" w:space="0" w:color="auto"/>
            <w:left w:val="none" w:sz="0" w:space="0" w:color="auto"/>
            <w:bottom w:val="none" w:sz="0" w:space="0" w:color="auto"/>
            <w:right w:val="none" w:sz="0" w:space="0" w:color="auto"/>
          </w:divBdr>
          <w:divsChild>
            <w:div w:id="1631546272">
              <w:marLeft w:val="0"/>
              <w:marRight w:val="0"/>
              <w:marTop w:val="0"/>
              <w:marBottom w:val="0"/>
              <w:divBdr>
                <w:top w:val="none" w:sz="0" w:space="0" w:color="auto"/>
                <w:left w:val="none" w:sz="0" w:space="0" w:color="auto"/>
                <w:bottom w:val="none" w:sz="0" w:space="0" w:color="auto"/>
                <w:right w:val="none" w:sz="0" w:space="0" w:color="auto"/>
              </w:divBdr>
              <w:divsChild>
                <w:div w:id="1632860057">
                  <w:marLeft w:val="0"/>
                  <w:marRight w:val="0"/>
                  <w:marTop w:val="0"/>
                  <w:marBottom w:val="0"/>
                  <w:divBdr>
                    <w:top w:val="none" w:sz="0" w:space="0" w:color="auto"/>
                    <w:left w:val="none" w:sz="0" w:space="0" w:color="auto"/>
                    <w:bottom w:val="none" w:sz="0" w:space="0" w:color="auto"/>
                    <w:right w:val="none" w:sz="0" w:space="0" w:color="auto"/>
                  </w:divBdr>
                  <w:divsChild>
                    <w:div w:id="1986003901">
                      <w:marLeft w:val="0"/>
                      <w:marRight w:val="0"/>
                      <w:marTop w:val="0"/>
                      <w:marBottom w:val="0"/>
                      <w:divBdr>
                        <w:top w:val="none" w:sz="0" w:space="0" w:color="auto"/>
                        <w:left w:val="none" w:sz="0" w:space="0" w:color="auto"/>
                        <w:bottom w:val="none" w:sz="0" w:space="0" w:color="auto"/>
                        <w:right w:val="none" w:sz="0" w:space="0" w:color="auto"/>
                      </w:divBdr>
                      <w:divsChild>
                        <w:div w:id="596065284">
                          <w:marLeft w:val="0"/>
                          <w:marRight w:val="0"/>
                          <w:marTop w:val="0"/>
                          <w:marBottom w:val="0"/>
                          <w:divBdr>
                            <w:top w:val="none" w:sz="0" w:space="0" w:color="auto"/>
                            <w:left w:val="none" w:sz="0" w:space="0" w:color="auto"/>
                            <w:bottom w:val="none" w:sz="0" w:space="0" w:color="auto"/>
                            <w:right w:val="none" w:sz="0" w:space="0" w:color="auto"/>
                          </w:divBdr>
                          <w:divsChild>
                            <w:div w:id="1935167955">
                              <w:marLeft w:val="0"/>
                              <w:marRight w:val="0"/>
                              <w:marTop w:val="0"/>
                              <w:marBottom w:val="0"/>
                              <w:divBdr>
                                <w:top w:val="none" w:sz="0" w:space="0" w:color="auto"/>
                                <w:left w:val="none" w:sz="0" w:space="0" w:color="auto"/>
                                <w:bottom w:val="none" w:sz="0" w:space="0" w:color="auto"/>
                                <w:right w:val="none" w:sz="0" w:space="0" w:color="auto"/>
                              </w:divBdr>
                              <w:divsChild>
                                <w:div w:id="1083452185">
                                  <w:marLeft w:val="0"/>
                                  <w:marRight w:val="0"/>
                                  <w:marTop w:val="0"/>
                                  <w:marBottom w:val="0"/>
                                  <w:divBdr>
                                    <w:top w:val="none" w:sz="0" w:space="0" w:color="auto"/>
                                    <w:left w:val="none" w:sz="0" w:space="0" w:color="auto"/>
                                    <w:bottom w:val="none" w:sz="0" w:space="0" w:color="auto"/>
                                    <w:right w:val="none" w:sz="0" w:space="0" w:color="auto"/>
                                  </w:divBdr>
                                  <w:divsChild>
                                    <w:div w:id="1816339176">
                                      <w:marLeft w:val="0"/>
                                      <w:marRight w:val="0"/>
                                      <w:marTop w:val="0"/>
                                      <w:marBottom w:val="0"/>
                                      <w:divBdr>
                                        <w:top w:val="none" w:sz="0" w:space="0" w:color="auto"/>
                                        <w:left w:val="none" w:sz="0" w:space="0" w:color="auto"/>
                                        <w:bottom w:val="none" w:sz="0" w:space="0" w:color="auto"/>
                                        <w:right w:val="none" w:sz="0" w:space="0" w:color="auto"/>
                                      </w:divBdr>
                                      <w:divsChild>
                                        <w:div w:id="1411191495">
                                          <w:marLeft w:val="0"/>
                                          <w:marRight w:val="0"/>
                                          <w:marTop w:val="0"/>
                                          <w:marBottom w:val="0"/>
                                          <w:divBdr>
                                            <w:top w:val="none" w:sz="0" w:space="0" w:color="auto"/>
                                            <w:left w:val="none" w:sz="0" w:space="0" w:color="auto"/>
                                            <w:bottom w:val="none" w:sz="0" w:space="0" w:color="auto"/>
                                            <w:right w:val="none" w:sz="0" w:space="0" w:color="auto"/>
                                          </w:divBdr>
                                          <w:divsChild>
                                            <w:div w:id="1493597035">
                                              <w:marLeft w:val="0"/>
                                              <w:marRight w:val="0"/>
                                              <w:marTop w:val="0"/>
                                              <w:marBottom w:val="0"/>
                                              <w:divBdr>
                                                <w:top w:val="none" w:sz="0" w:space="0" w:color="auto"/>
                                                <w:left w:val="none" w:sz="0" w:space="0" w:color="auto"/>
                                                <w:bottom w:val="none" w:sz="0" w:space="0" w:color="auto"/>
                                                <w:right w:val="none" w:sz="0" w:space="0" w:color="auto"/>
                                              </w:divBdr>
                                              <w:divsChild>
                                                <w:div w:id="567304755">
                                                  <w:marLeft w:val="0"/>
                                                  <w:marRight w:val="0"/>
                                                  <w:marTop w:val="0"/>
                                                  <w:marBottom w:val="0"/>
                                                  <w:divBdr>
                                                    <w:top w:val="none" w:sz="0" w:space="0" w:color="auto"/>
                                                    <w:left w:val="none" w:sz="0" w:space="0" w:color="auto"/>
                                                    <w:bottom w:val="none" w:sz="0" w:space="0" w:color="auto"/>
                                                    <w:right w:val="none" w:sz="0" w:space="0" w:color="auto"/>
                                                  </w:divBdr>
                                                  <w:divsChild>
                                                    <w:div w:id="1043092393">
                                                      <w:marLeft w:val="0"/>
                                                      <w:marRight w:val="0"/>
                                                      <w:marTop w:val="0"/>
                                                      <w:marBottom w:val="0"/>
                                                      <w:divBdr>
                                                        <w:top w:val="none" w:sz="0" w:space="0" w:color="auto"/>
                                                        <w:left w:val="none" w:sz="0" w:space="0" w:color="auto"/>
                                                        <w:bottom w:val="none" w:sz="0" w:space="0" w:color="auto"/>
                                                        <w:right w:val="none" w:sz="0" w:space="0" w:color="auto"/>
                                                      </w:divBdr>
                                                      <w:divsChild>
                                                        <w:div w:id="1576167219">
                                                          <w:marLeft w:val="0"/>
                                                          <w:marRight w:val="0"/>
                                                          <w:marTop w:val="0"/>
                                                          <w:marBottom w:val="0"/>
                                                          <w:divBdr>
                                                            <w:top w:val="none" w:sz="0" w:space="0" w:color="auto"/>
                                                            <w:left w:val="none" w:sz="0" w:space="0" w:color="auto"/>
                                                            <w:bottom w:val="none" w:sz="0" w:space="0" w:color="auto"/>
                                                            <w:right w:val="none" w:sz="0" w:space="0" w:color="auto"/>
                                                          </w:divBdr>
                                                          <w:divsChild>
                                                            <w:div w:id="1387290393">
                                                              <w:marLeft w:val="0"/>
                                                              <w:marRight w:val="0"/>
                                                              <w:marTop w:val="0"/>
                                                              <w:marBottom w:val="0"/>
                                                              <w:divBdr>
                                                                <w:top w:val="none" w:sz="0" w:space="0" w:color="auto"/>
                                                                <w:left w:val="none" w:sz="0" w:space="0" w:color="auto"/>
                                                                <w:bottom w:val="none" w:sz="0" w:space="0" w:color="auto"/>
                                                                <w:right w:val="none" w:sz="0" w:space="0" w:color="auto"/>
                                                              </w:divBdr>
                                                              <w:divsChild>
                                                                <w:div w:id="1974671851">
                                                                  <w:marLeft w:val="0"/>
                                                                  <w:marRight w:val="0"/>
                                                                  <w:marTop w:val="0"/>
                                                                  <w:marBottom w:val="0"/>
                                                                  <w:divBdr>
                                                                    <w:top w:val="none" w:sz="0" w:space="0" w:color="auto"/>
                                                                    <w:left w:val="none" w:sz="0" w:space="0" w:color="auto"/>
                                                                    <w:bottom w:val="none" w:sz="0" w:space="0" w:color="auto"/>
                                                                    <w:right w:val="none" w:sz="0" w:space="0" w:color="auto"/>
                                                                  </w:divBdr>
                                                                  <w:divsChild>
                                                                    <w:div w:id="10704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7121210">
      <w:bodyDiv w:val="1"/>
      <w:marLeft w:val="0"/>
      <w:marRight w:val="0"/>
      <w:marTop w:val="0"/>
      <w:marBottom w:val="0"/>
      <w:divBdr>
        <w:top w:val="none" w:sz="0" w:space="0" w:color="auto"/>
        <w:left w:val="none" w:sz="0" w:space="0" w:color="auto"/>
        <w:bottom w:val="none" w:sz="0" w:space="0" w:color="auto"/>
        <w:right w:val="none" w:sz="0" w:space="0" w:color="auto"/>
      </w:divBdr>
      <w:divsChild>
        <w:div w:id="1633098129">
          <w:marLeft w:val="1080"/>
          <w:marRight w:val="0"/>
          <w:marTop w:val="100"/>
          <w:marBottom w:val="0"/>
          <w:divBdr>
            <w:top w:val="none" w:sz="0" w:space="0" w:color="auto"/>
            <w:left w:val="none" w:sz="0" w:space="0" w:color="auto"/>
            <w:bottom w:val="none" w:sz="0" w:space="0" w:color="auto"/>
            <w:right w:val="none" w:sz="0" w:space="0" w:color="auto"/>
          </w:divBdr>
        </w:div>
        <w:div w:id="761027867">
          <w:marLeft w:val="1080"/>
          <w:marRight w:val="0"/>
          <w:marTop w:val="100"/>
          <w:marBottom w:val="0"/>
          <w:divBdr>
            <w:top w:val="none" w:sz="0" w:space="0" w:color="auto"/>
            <w:left w:val="none" w:sz="0" w:space="0" w:color="auto"/>
            <w:bottom w:val="none" w:sz="0" w:space="0" w:color="auto"/>
            <w:right w:val="none" w:sz="0" w:space="0" w:color="auto"/>
          </w:divBdr>
        </w:div>
      </w:divsChild>
    </w:div>
    <w:div w:id="1953246341">
      <w:bodyDiv w:val="1"/>
      <w:marLeft w:val="0"/>
      <w:marRight w:val="0"/>
      <w:marTop w:val="0"/>
      <w:marBottom w:val="0"/>
      <w:divBdr>
        <w:top w:val="none" w:sz="0" w:space="0" w:color="auto"/>
        <w:left w:val="none" w:sz="0" w:space="0" w:color="auto"/>
        <w:bottom w:val="none" w:sz="0" w:space="0" w:color="auto"/>
        <w:right w:val="none" w:sz="0" w:space="0" w:color="auto"/>
      </w:divBdr>
      <w:divsChild>
        <w:div w:id="1484856942">
          <w:marLeft w:val="0"/>
          <w:marRight w:val="0"/>
          <w:marTop w:val="0"/>
          <w:marBottom w:val="0"/>
          <w:divBdr>
            <w:top w:val="none" w:sz="0" w:space="0" w:color="auto"/>
            <w:left w:val="none" w:sz="0" w:space="0" w:color="auto"/>
            <w:bottom w:val="none" w:sz="0" w:space="0" w:color="auto"/>
            <w:right w:val="none" w:sz="0" w:space="0" w:color="auto"/>
          </w:divBdr>
        </w:div>
        <w:div w:id="2137603551">
          <w:marLeft w:val="0"/>
          <w:marRight w:val="0"/>
          <w:marTop w:val="0"/>
          <w:marBottom w:val="0"/>
          <w:divBdr>
            <w:top w:val="none" w:sz="0" w:space="0" w:color="auto"/>
            <w:left w:val="none" w:sz="0" w:space="0" w:color="auto"/>
            <w:bottom w:val="none" w:sz="0" w:space="0" w:color="auto"/>
            <w:right w:val="none" w:sz="0" w:space="0" w:color="auto"/>
          </w:divBdr>
        </w:div>
        <w:div w:id="584916629">
          <w:marLeft w:val="0"/>
          <w:marRight w:val="0"/>
          <w:marTop w:val="0"/>
          <w:marBottom w:val="0"/>
          <w:divBdr>
            <w:top w:val="none" w:sz="0" w:space="0" w:color="auto"/>
            <w:left w:val="none" w:sz="0" w:space="0" w:color="auto"/>
            <w:bottom w:val="none" w:sz="0" w:space="0" w:color="auto"/>
            <w:right w:val="none" w:sz="0" w:space="0" w:color="auto"/>
          </w:divBdr>
        </w:div>
        <w:div w:id="1358459731">
          <w:marLeft w:val="0"/>
          <w:marRight w:val="0"/>
          <w:marTop w:val="0"/>
          <w:marBottom w:val="0"/>
          <w:divBdr>
            <w:top w:val="none" w:sz="0" w:space="0" w:color="auto"/>
            <w:left w:val="none" w:sz="0" w:space="0" w:color="auto"/>
            <w:bottom w:val="none" w:sz="0" w:space="0" w:color="auto"/>
            <w:right w:val="none" w:sz="0" w:space="0" w:color="auto"/>
          </w:divBdr>
        </w:div>
        <w:div w:id="1461458765">
          <w:marLeft w:val="0"/>
          <w:marRight w:val="0"/>
          <w:marTop w:val="0"/>
          <w:marBottom w:val="0"/>
          <w:divBdr>
            <w:top w:val="none" w:sz="0" w:space="0" w:color="auto"/>
            <w:left w:val="none" w:sz="0" w:space="0" w:color="auto"/>
            <w:bottom w:val="none" w:sz="0" w:space="0" w:color="auto"/>
            <w:right w:val="none" w:sz="0" w:space="0" w:color="auto"/>
          </w:divBdr>
        </w:div>
        <w:div w:id="1919359996">
          <w:marLeft w:val="0"/>
          <w:marRight w:val="0"/>
          <w:marTop w:val="0"/>
          <w:marBottom w:val="0"/>
          <w:divBdr>
            <w:top w:val="none" w:sz="0" w:space="0" w:color="auto"/>
            <w:left w:val="none" w:sz="0" w:space="0" w:color="auto"/>
            <w:bottom w:val="none" w:sz="0" w:space="0" w:color="auto"/>
            <w:right w:val="none" w:sz="0" w:space="0" w:color="auto"/>
          </w:divBdr>
        </w:div>
        <w:div w:id="446893894">
          <w:marLeft w:val="0"/>
          <w:marRight w:val="0"/>
          <w:marTop w:val="0"/>
          <w:marBottom w:val="0"/>
          <w:divBdr>
            <w:top w:val="none" w:sz="0" w:space="0" w:color="auto"/>
            <w:left w:val="none" w:sz="0" w:space="0" w:color="auto"/>
            <w:bottom w:val="none" w:sz="0" w:space="0" w:color="auto"/>
            <w:right w:val="none" w:sz="0" w:space="0" w:color="auto"/>
          </w:divBdr>
        </w:div>
      </w:divsChild>
    </w:div>
    <w:div w:id="1957827391">
      <w:bodyDiv w:val="1"/>
      <w:marLeft w:val="0"/>
      <w:marRight w:val="0"/>
      <w:marTop w:val="0"/>
      <w:marBottom w:val="0"/>
      <w:divBdr>
        <w:top w:val="none" w:sz="0" w:space="0" w:color="auto"/>
        <w:left w:val="none" w:sz="0" w:space="0" w:color="auto"/>
        <w:bottom w:val="none" w:sz="0" w:space="0" w:color="auto"/>
        <w:right w:val="none" w:sz="0" w:space="0" w:color="auto"/>
      </w:divBdr>
      <w:divsChild>
        <w:div w:id="44959464">
          <w:marLeft w:val="360"/>
          <w:marRight w:val="0"/>
          <w:marTop w:val="0"/>
          <w:marBottom w:val="0"/>
          <w:divBdr>
            <w:top w:val="none" w:sz="0" w:space="0" w:color="auto"/>
            <w:left w:val="none" w:sz="0" w:space="0" w:color="auto"/>
            <w:bottom w:val="none" w:sz="0" w:space="0" w:color="auto"/>
            <w:right w:val="none" w:sz="0" w:space="0" w:color="auto"/>
          </w:divBdr>
        </w:div>
        <w:div w:id="1654411256">
          <w:marLeft w:val="360"/>
          <w:marRight w:val="0"/>
          <w:marTop w:val="0"/>
          <w:marBottom w:val="0"/>
          <w:divBdr>
            <w:top w:val="none" w:sz="0" w:space="0" w:color="auto"/>
            <w:left w:val="none" w:sz="0" w:space="0" w:color="auto"/>
            <w:bottom w:val="none" w:sz="0" w:space="0" w:color="auto"/>
            <w:right w:val="none" w:sz="0" w:space="0" w:color="auto"/>
          </w:divBdr>
        </w:div>
        <w:div w:id="1139684237">
          <w:marLeft w:val="360"/>
          <w:marRight w:val="0"/>
          <w:marTop w:val="0"/>
          <w:marBottom w:val="0"/>
          <w:divBdr>
            <w:top w:val="none" w:sz="0" w:space="0" w:color="auto"/>
            <w:left w:val="none" w:sz="0" w:space="0" w:color="auto"/>
            <w:bottom w:val="none" w:sz="0" w:space="0" w:color="auto"/>
            <w:right w:val="none" w:sz="0" w:space="0" w:color="auto"/>
          </w:divBdr>
        </w:div>
        <w:div w:id="223493251">
          <w:marLeft w:val="360"/>
          <w:marRight w:val="0"/>
          <w:marTop w:val="0"/>
          <w:marBottom w:val="0"/>
          <w:divBdr>
            <w:top w:val="none" w:sz="0" w:space="0" w:color="auto"/>
            <w:left w:val="none" w:sz="0" w:space="0" w:color="auto"/>
            <w:bottom w:val="none" w:sz="0" w:space="0" w:color="auto"/>
            <w:right w:val="none" w:sz="0" w:space="0" w:color="auto"/>
          </w:divBdr>
        </w:div>
        <w:div w:id="1511678849">
          <w:marLeft w:val="360"/>
          <w:marRight w:val="0"/>
          <w:marTop w:val="0"/>
          <w:marBottom w:val="0"/>
          <w:divBdr>
            <w:top w:val="none" w:sz="0" w:space="0" w:color="auto"/>
            <w:left w:val="none" w:sz="0" w:space="0" w:color="auto"/>
            <w:bottom w:val="none" w:sz="0" w:space="0" w:color="auto"/>
            <w:right w:val="none" w:sz="0" w:space="0" w:color="auto"/>
          </w:divBdr>
        </w:div>
      </w:divsChild>
    </w:div>
    <w:div w:id="1964076147">
      <w:bodyDiv w:val="1"/>
      <w:marLeft w:val="0"/>
      <w:marRight w:val="0"/>
      <w:marTop w:val="0"/>
      <w:marBottom w:val="375"/>
      <w:divBdr>
        <w:top w:val="none" w:sz="0" w:space="0" w:color="auto"/>
        <w:left w:val="none" w:sz="0" w:space="0" w:color="auto"/>
        <w:bottom w:val="none" w:sz="0" w:space="0" w:color="auto"/>
        <w:right w:val="none" w:sz="0" w:space="0" w:color="auto"/>
      </w:divBdr>
      <w:divsChild>
        <w:div w:id="923875582">
          <w:marLeft w:val="0"/>
          <w:marRight w:val="0"/>
          <w:marTop w:val="0"/>
          <w:marBottom w:val="0"/>
          <w:divBdr>
            <w:top w:val="none" w:sz="0" w:space="0" w:color="auto"/>
            <w:left w:val="none" w:sz="0" w:space="0" w:color="auto"/>
            <w:bottom w:val="none" w:sz="0" w:space="0" w:color="auto"/>
            <w:right w:val="none" w:sz="0" w:space="0" w:color="auto"/>
          </w:divBdr>
          <w:divsChild>
            <w:div w:id="1838768490">
              <w:marLeft w:val="0"/>
              <w:marRight w:val="450"/>
              <w:marTop w:val="0"/>
              <w:marBottom w:val="0"/>
              <w:divBdr>
                <w:top w:val="none" w:sz="0" w:space="0" w:color="333333"/>
                <w:left w:val="none" w:sz="0" w:space="0" w:color="333333"/>
                <w:bottom w:val="none" w:sz="0" w:space="0" w:color="333333"/>
                <w:right w:val="none" w:sz="0" w:space="0" w:color="333333"/>
              </w:divBdr>
            </w:div>
          </w:divsChild>
        </w:div>
      </w:divsChild>
    </w:div>
    <w:div w:id="2008899959">
      <w:bodyDiv w:val="1"/>
      <w:marLeft w:val="0"/>
      <w:marRight w:val="0"/>
      <w:marTop w:val="0"/>
      <w:marBottom w:val="0"/>
      <w:divBdr>
        <w:top w:val="none" w:sz="0" w:space="0" w:color="auto"/>
        <w:left w:val="none" w:sz="0" w:space="0" w:color="auto"/>
        <w:bottom w:val="none" w:sz="0" w:space="0" w:color="auto"/>
        <w:right w:val="none" w:sz="0" w:space="0" w:color="auto"/>
      </w:divBdr>
      <w:divsChild>
        <w:div w:id="933628302">
          <w:marLeft w:val="0"/>
          <w:marRight w:val="0"/>
          <w:marTop w:val="0"/>
          <w:marBottom w:val="0"/>
          <w:divBdr>
            <w:top w:val="none" w:sz="0" w:space="0" w:color="auto"/>
            <w:left w:val="none" w:sz="0" w:space="0" w:color="auto"/>
            <w:bottom w:val="none" w:sz="0" w:space="0" w:color="auto"/>
            <w:right w:val="none" w:sz="0" w:space="0" w:color="auto"/>
          </w:divBdr>
        </w:div>
        <w:div w:id="487675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98614-A375-49A7-B8C7-7826EFC7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6826</Words>
  <Characters>39263</Characters>
  <Application>Microsoft Office Word</Application>
  <DocSecurity>0</DocSecurity>
  <Lines>327</Lines>
  <Paragraphs>91</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45998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PUMZA</cp:lastModifiedBy>
  <cp:revision>2</cp:revision>
  <cp:lastPrinted>2019-10-23T09:36:00Z</cp:lastPrinted>
  <dcterms:created xsi:type="dcterms:W3CDTF">2019-11-13T08:10:00Z</dcterms:created>
  <dcterms:modified xsi:type="dcterms:W3CDTF">2019-11-13T08:10:00Z</dcterms:modified>
</cp:coreProperties>
</file>