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B" w:rsidRPr="00B24089" w:rsidRDefault="00EB447D" w:rsidP="00B24089">
      <w:pPr>
        <w:spacing w:line="280" w:lineRule="exact"/>
        <w:jc w:val="right"/>
        <w:rPr>
          <w:rFonts w:ascii="Arial" w:hAnsi="Arial" w:cs="Arial"/>
          <w:b/>
          <w:sz w:val="22"/>
          <w:szCs w:val="22"/>
          <w:lang w:val="en-ZA"/>
        </w:rPr>
      </w:pPr>
      <w:bookmarkStart w:id="0" w:name="_GoBack"/>
      <w:bookmarkEnd w:id="0"/>
      <w:r>
        <w:rPr>
          <w:rFonts w:ascii="Arial" w:hAnsi="Arial" w:cs="Arial"/>
          <w:b/>
          <w:noProof/>
          <w:sz w:val="22"/>
          <w:szCs w:val="22"/>
          <w:lang w:val="en-ZA" w:eastAsia="en-ZA"/>
        </w:rPr>
        <w:drawing>
          <wp:anchor distT="0" distB="0" distL="114300" distR="114300" simplePos="0" relativeHeight="251657216" behindDoc="0" locked="0" layoutInCell="1" allowOverlap="1">
            <wp:simplePos x="0" y="0"/>
            <wp:positionH relativeFrom="column">
              <wp:posOffset>-422910</wp:posOffset>
            </wp:positionH>
            <wp:positionV relativeFrom="paragraph">
              <wp:posOffset>-194310</wp:posOffset>
            </wp:positionV>
            <wp:extent cx="2543810" cy="824230"/>
            <wp:effectExtent l="0" t="0" r="0" b="0"/>
            <wp:wrapNone/>
            <wp:docPr id="2" name="Picture 2"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p>
    <w:p w:rsidR="001F344B" w:rsidRPr="00B24089" w:rsidRDefault="001F344B" w:rsidP="00B24089">
      <w:pPr>
        <w:spacing w:line="280" w:lineRule="exact"/>
        <w:jc w:val="center"/>
        <w:rPr>
          <w:rFonts w:ascii="Arial" w:hAnsi="Arial" w:cs="Arial"/>
          <w:b/>
          <w:sz w:val="22"/>
          <w:szCs w:val="22"/>
          <w:lang w:val="en-ZA"/>
        </w:rPr>
      </w:pPr>
    </w:p>
    <w:p w:rsidR="001F344B" w:rsidRPr="00B24089" w:rsidRDefault="001F344B" w:rsidP="00B24089">
      <w:pPr>
        <w:spacing w:line="280" w:lineRule="exact"/>
        <w:jc w:val="center"/>
        <w:rPr>
          <w:rFonts w:ascii="Arial" w:hAnsi="Arial" w:cs="Arial"/>
          <w:b/>
          <w:sz w:val="22"/>
          <w:szCs w:val="22"/>
          <w:lang w:val="en-ZA"/>
        </w:rPr>
      </w:pPr>
    </w:p>
    <w:p w:rsidR="001F344B" w:rsidRDefault="001F344B" w:rsidP="00B24089">
      <w:pPr>
        <w:spacing w:line="280" w:lineRule="exact"/>
        <w:jc w:val="center"/>
        <w:rPr>
          <w:rFonts w:ascii="Arial" w:hAnsi="Arial" w:cs="Arial"/>
          <w:b/>
          <w:sz w:val="22"/>
          <w:szCs w:val="22"/>
          <w:lang w:val="en-ZA"/>
        </w:rPr>
      </w:pPr>
    </w:p>
    <w:p w:rsidR="00D93D46" w:rsidRDefault="00D93D46" w:rsidP="00D93D46">
      <w:pPr>
        <w:jc w:val="center"/>
        <w:rPr>
          <w:b/>
        </w:rPr>
      </w:pPr>
    </w:p>
    <w:p w:rsidR="00D93D46" w:rsidRPr="00F64070" w:rsidRDefault="00D93D46" w:rsidP="00E53879">
      <w:pPr>
        <w:spacing w:line="360" w:lineRule="auto"/>
        <w:jc w:val="center"/>
        <w:rPr>
          <w:rFonts w:ascii="Arial" w:hAnsi="Arial" w:cs="Arial"/>
          <w:b/>
        </w:rPr>
      </w:pPr>
      <w:r w:rsidRPr="00F64070">
        <w:rPr>
          <w:rFonts w:ascii="Arial" w:hAnsi="Arial" w:cs="Arial"/>
          <w:b/>
        </w:rPr>
        <w:t>I</w:t>
      </w:r>
      <w:r w:rsidR="007F746D" w:rsidRPr="00F64070">
        <w:rPr>
          <w:rFonts w:ascii="Arial" w:hAnsi="Arial" w:cs="Arial"/>
          <w:b/>
        </w:rPr>
        <w:t xml:space="preserve">NDEPENDENT POLICE INVESTIGATIVE DIRECTORATE </w:t>
      </w:r>
      <w:r w:rsidR="003D0C5B">
        <w:rPr>
          <w:rFonts w:ascii="Arial" w:hAnsi="Arial" w:cs="Arial"/>
          <w:b/>
        </w:rPr>
        <w:t xml:space="preserve">AMENDMENT </w:t>
      </w:r>
      <w:r w:rsidR="007F746D" w:rsidRPr="00F64070">
        <w:rPr>
          <w:rFonts w:ascii="Arial" w:hAnsi="Arial" w:cs="Arial"/>
          <w:b/>
        </w:rPr>
        <w:t xml:space="preserve">BILL (IPID) </w:t>
      </w:r>
      <w:r w:rsidRPr="00F64070">
        <w:rPr>
          <w:rFonts w:ascii="Arial" w:hAnsi="Arial" w:cs="Arial"/>
          <w:b/>
        </w:rPr>
        <w:t>SUBM</w:t>
      </w:r>
      <w:r w:rsidR="00E53879" w:rsidRPr="00F64070">
        <w:rPr>
          <w:rFonts w:ascii="Arial" w:hAnsi="Arial" w:cs="Arial"/>
          <w:b/>
        </w:rPr>
        <w:t>I</w:t>
      </w:r>
      <w:r w:rsidRPr="00F64070">
        <w:rPr>
          <w:rFonts w:ascii="Arial" w:hAnsi="Arial" w:cs="Arial"/>
          <w:b/>
        </w:rPr>
        <w:t>SSIONS</w:t>
      </w:r>
    </w:p>
    <w:p w:rsidR="00D93D46" w:rsidRPr="00F64070" w:rsidRDefault="00D93D46" w:rsidP="00E53879">
      <w:pPr>
        <w:spacing w:line="360" w:lineRule="auto"/>
        <w:jc w:val="center"/>
        <w:rPr>
          <w:rFonts w:ascii="Arial" w:hAnsi="Arial" w:cs="Arial"/>
          <w:b/>
        </w:rPr>
      </w:pPr>
      <w:r w:rsidRPr="00F64070">
        <w:rPr>
          <w:rFonts w:ascii="Arial" w:hAnsi="Arial" w:cs="Arial"/>
          <w:b/>
        </w:rPr>
        <w:t>SELECT COMMITTEE ON SECURITY AND JUSTICE</w:t>
      </w:r>
    </w:p>
    <w:p w:rsidR="00D93D46" w:rsidRPr="00F64070" w:rsidRDefault="001B34C5" w:rsidP="00E53879">
      <w:pPr>
        <w:pBdr>
          <w:bottom w:val="single" w:sz="6" w:space="1" w:color="auto"/>
        </w:pBdr>
        <w:spacing w:line="360" w:lineRule="auto"/>
        <w:jc w:val="center"/>
        <w:rPr>
          <w:rFonts w:ascii="Arial" w:hAnsi="Arial" w:cs="Arial"/>
          <w:b/>
        </w:rPr>
      </w:pPr>
      <w:r>
        <w:rPr>
          <w:rFonts w:ascii="Arial" w:hAnsi="Arial" w:cs="Arial"/>
          <w:b/>
        </w:rPr>
        <w:t xml:space="preserve">6 </w:t>
      </w:r>
      <w:r w:rsidR="00F64070" w:rsidRPr="00F64070">
        <w:rPr>
          <w:rFonts w:ascii="Arial" w:hAnsi="Arial" w:cs="Arial"/>
          <w:b/>
        </w:rPr>
        <w:t xml:space="preserve">NOVEMBER </w:t>
      </w:r>
      <w:r w:rsidR="00D93D46" w:rsidRPr="00F64070">
        <w:rPr>
          <w:rFonts w:ascii="Arial" w:hAnsi="Arial" w:cs="Arial"/>
          <w:b/>
        </w:rPr>
        <w:t>2019</w:t>
      </w:r>
    </w:p>
    <w:p w:rsidR="00F64070" w:rsidRPr="00F64070" w:rsidRDefault="00F64070" w:rsidP="00E53879">
      <w:pPr>
        <w:pBdr>
          <w:bottom w:val="single" w:sz="6" w:space="1" w:color="auto"/>
        </w:pBdr>
        <w:spacing w:line="360" w:lineRule="auto"/>
        <w:jc w:val="center"/>
        <w:rPr>
          <w:rFonts w:ascii="Arial" w:hAnsi="Arial" w:cs="Arial"/>
          <w:b/>
        </w:rPr>
      </w:pPr>
      <w:r w:rsidRPr="00F64070">
        <w:rPr>
          <w:rFonts w:ascii="Arial" w:hAnsi="Arial" w:cs="Arial"/>
          <w:b/>
        </w:rPr>
        <w:t>(RESPONSES FROM LEGAL SERVICES)</w:t>
      </w:r>
    </w:p>
    <w:p w:rsidR="00D93D46" w:rsidRPr="00F64070" w:rsidRDefault="00D93D46" w:rsidP="00D93D46">
      <w:pPr>
        <w:rPr>
          <w:rFonts w:ascii="Arial" w:hAnsi="Arial" w:cs="Arial"/>
          <w:b/>
        </w:rPr>
      </w:pPr>
    </w:p>
    <w:p w:rsidR="00D93D46" w:rsidRPr="00F64070" w:rsidRDefault="00D93D46" w:rsidP="00D93D46">
      <w:pPr>
        <w:spacing w:after="160" w:line="259" w:lineRule="auto"/>
        <w:rPr>
          <w:rFonts w:ascii="Arial" w:hAnsi="Arial" w:cs="Arial"/>
        </w:rPr>
      </w:pPr>
    </w:p>
    <w:tbl>
      <w:tblPr>
        <w:tblStyle w:val="TableGrid"/>
        <w:tblW w:w="14493" w:type="dxa"/>
        <w:tblInd w:w="-545" w:type="dxa"/>
        <w:tblLook w:val="04A0"/>
      </w:tblPr>
      <w:tblGrid>
        <w:gridCol w:w="1080"/>
        <w:gridCol w:w="1928"/>
        <w:gridCol w:w="4590"/>
        <w:gridCol w:w="2721"/>
        <w:gridCol w:w="2430"/>
        <w:gridCol w:w="1744"/>
      </w:tblGrid>
      <w:tr w:rsidR="00DB7B5F" w:rsidRPr="00F64070" w:rsidTr="00132B98">
        <w:tc>
          <w:tcPr>
            <w:tcW w:w="1107" w:type="dxa"/>
            <w:shd w:val="clear" w:color="auto" w:fill="D9D9D9" w:themeFill="background1" w:themeFillShade="D9"/>
          </w:tcPr>
          <w:p w:rsidR="00DB7B5F" w:rsidRPr="00F64070" w:rsidRDefault="00DB7B5F" w:rsidP="00C315DA">
            <w:pPr>
              <w:rPr>
                <w:rFonts w:ascii="Arial" w:hAnsi="Arial" w:cs="Arial"/>
              </w:rPr>
            </w:pPr>
          </w:p>
        </w:tc>
        <w:tc>
          <w:tcPr>
            <w:tcW w:w="1864" w:type="dxa"/>
            <w:shd w:val="clear" w:color="auto" w:fill="D9D9D9" w:themeFill="background1" w:themeFillShade="D9"/>
          </w:tcPr>
          <w:p w:rsidR="00DB7B5F" w:rsidRPr="00F64070" w:rsidRDefault="00DB7B5F" w:rsidP="00C315DA">
            <w:pPr>
              <w:rPr>
                <w:rFonts w:ascii="Arial" w:hAnsi="Arial" w:cs="Arial"/>
                <w:b/>
              </w:rPr>
            </w:pPr>
            <w:r w:rsidRPr="00F64070">
              <w:rPr>
                <w:rFonts w:ascii="Arial" w:hAnsi="Arial" w:cs="Arial"/>
              </w:rPr>
              <w:br w:type="page"/>
            </w:r>
            <w:r w:rsidRPr="00F64070">
              <w:rPr>
                <w:rFonts w:ascii="Arial" w:hAnsi="Arial" w:cs="Arial"/>
                <w:b/>
              </w:rPr>
              <w:br w:type="page"/>
              <w:t>ORGANISATION</w:t>
            </w:r>
          </w:p>
        </w:tc>
        <w:tc>
          <w:tcPr>
            <w:tcW w:w="4680" w:type="dxa"/>
            <w:shd w:val="clear" w:color="auto" w:fill="D9D9D9" w:themeFill="background1" w:themeFillShade="D9"/>
          </w:tcPr>
          <w:p w:rsidR="00DB7B5F" w:rsidRPr="00F64070" w:rsidRDefault="00DB7B5F" w:rsidP="00C315DA">
            <w:pPr>
              <w:rPr>
                <w:rFonts w:ascii="Arial" w:hAnsi="Arial" w:cs="Arial"/>
                <w:b/>
              </w:rPr>
            </w:pPr>
            <w:r w:rsidRPr="00F64070">
              <w:rPr>
                <w:rFonts w:ascii="Arial" w:hAnsi="Arial" w:cs="Arial"/>
                <w:b/>
              </w:rPr>
              <w:t>SUBMISSION</w:t>
            </w:r>
          </w:p>
          <w:p w:rsidR="00DB7B5F" w:rsidRPr="00F64070" w:rsidRDefault="00DB7B5F" w:rsidP="00C315DA">
            <w:pPr>
              <w:rPr>
                <w:rFonts w:ascii="Arial" w:hAnsi="Arial" w:cs="Arial"/>
                <w:b/>
              </w:rPr>
            </w:pPr>
          </w:p>
        </w:tc>
        <w:tc>
          <w:tcPr>
            <w:tcW w:w="2751" w:type="dxa"/>
            <w:shd w:val="clear" w:color="auto" w:fill="D9D9D9" w:themeFill="background1" w:themeFillShade="D9"/>
          </w:tcPr>
          <w:p w:rsidR="00DB7B5F" w:rsidRPr="00F64070" w:rsidRDefault="00DB7B5F" w:rsidP="00C315DA">
            <w:pPr>
              <w:rPr>
                <w:rFonts w:ascii="Arial" w:hAnsi="Arial" w:cs="Arial"/>
                <w:b/>
              </w:rPr>
            </w:pPr>
            <w:r w:rsidRPr="00F64070">
              <w:rPr>
                <w:rFonts w:ascii="Arial" w:hAnsi="Arial" w:cs="Arial"/>
                <w:b/>
              </w:rPr>
              <w:t>COMMENTS</w:t>
            </w:r>
          </w:p>
        </w:tc>
        <w:tc>
          <w:tcPr>
            <w:tcW w:w="2452" w:type="dxa"/>
            <w:shd w:val="clear" w:color="auto" w:fill="D9D9D9" w:themeFill="background1" w:themeFillShade="D9"/>
          </w:tcPr>
          <w:p w:rsidR="00DB7B5F" w:rsidRPr="00F64070" w:rsidRDefault="00DB7B5F" w:rsidP="00C315DA">
            <w:pPr>
              <w:rPr>
                <w:rFonts w:ascii="Arial" w:hAnsi="Arial" w:cs="Arial"/>
                <w:b/>
              </w:rPr>
            </w:pPr>
            <w:r w:rsidRPr="00F64070">
              <w:rPr>
                <w:rFonts w:ascii="Arial" w:hAnsi="Arial" w:cs="Arial"/>
                <w:b/>
              </w:rPr>
              <w:t>RESPONSES FROM LEGAL</w:t>
            </w:r>
          </w:p>
        </w:tc>
        <w:tc>
          <w:tcPr>
            <w:tcW w:w="1639" w:type="dxa"/>
            <w:shd w:val="clear" w:color="auto" w:fill="D9D9D9" w:themeFill="background1" w:themeFillShade="D9"/>
          </w:tcPr>
          <w:p w:rsidR="00DB7B5F" w:rsidRPr="00F64070" w:rsidRDefault="00DB7B5F" w:rsidP="00C315DA">
            <w:pPr>
              <w:rPr>
                <w:rFonts w:ascii="Arial" w:hAnsi="Arial" w:cs="Arial"/>
                <w:b/>
              </w:rPr>
            </w:pPr>
            <w:r w:rsidRPr="00F64070">
              <w:rPr>
                <w:rFonts w:ascii="Arial" w:hAnsi="Arial" w:cs="Arial"/>
                <w:b/>
              </w:rPr>
              <w:t>COMMITTEE’S DECISION</w:t>
            </w:r>
          </w:p>
        </w:tc>
      </w:tr>
      <w:tr w:rsidR="00DB7B5F" w:rsidRPr="00F64070" w:rsidTr="00132B98">
        <w:tc>
          <w:tcPr>
            <w:tcW w:w="1107" w:type="dxa"/>
          </w:tcPr>
          <w:p w:rsidR="00F64070" w:rsidRDefault="00F64070" w:rsidP="00C315DA">
            <w:pPr>
              <w:jc w:val="both"/>
              <w:rPr>
                <w:rFonts w:ascii="Arial" w:hAnsi="Arial" w:cs="Arial"/>
                <w:b/>
              </w:rPr>
            </w:pPr>
          </w:p>
          <w:p w:rsidR="00DB7B5F" w:rsidRPr="00F64070" w:rsidRDefault="00F64070" w:rsidP="00C315DA">
            <w:pPr>
              <w:jc w:val="both"/>
              <w:rPr>
                <w:rFonts w:ascii="Arial" w:hAnsi="Arial" w:cs="Arial"/>
                <w:b/>
              </w:rPr>
            </w:pPr>
            <w:r w:rsidRPr="00F64070">
              <w:rPr>
                <w:rFonts w:ascii="Arial" w:hAnsi="Arial" w:cs="Arial"/>
                <w:b/>
              </w:rPr>
              <w:t>1</w:t>
            </w:r>
            <w:r w:rsidR="00DB7B5F" w:rsidRPr="00F64070">
              <w:rPr>
                <w:rFonts w:ascii="Arial" w:hAnsi="Arial" w:cs="Arial"/>
                <w:b/>
              </w:rPr>
              <w:t>.</w:t>
            </w:r>
          </w:p>
        </w:tc>
        <w:tc>
          <w:tcPr>
            <w:tcW w:w="1864" w:type="dxa"/>
          </w:tcPr>
          <w:p w:rsidR="00F64070" w:rsidRDefault="00F64070" w:rsidP="00C315DA">
            <w:pPr>
              <w:jc w:val="both"/>
              <w:rPr>
                <w:rFonts w:ascii="Arial" w:hAnsi="Arial" w:cs="Arial"/>
                <w:b/>
              </w:rPr>
            </w:pPr>
          </w:p>
          <w:p w:rsidR="00DB7B5F" w:rsidRPr="00F64070" w:rsidRDefault="00DB7B5F" w:rsidP="00C315DA">
            <w:pPr>
              <w:jc w:val="both"/>
              <w:rPr>
                <w:rFonts w:ascii="Arial" w:hAnsi="Arial" w:cs="Arial"/>
                <w:b/>
              </w:rPr>
            </w:pPr>
            <w:r w:rsidRPr="00F64070">
              <w:rPr>
                <w:rFonts w:ascii="Arial" w:hAnsi="Arial" w:cs="Arial"/>
                <w:b/>
              </w:rPr>
              <w:t xml:space="preserve">Helen </w:t>
            </w:r>
            <w:proofErr w:type="spellStart"/>
            <w:r w:rsidRPr="00F64070">
              <w:rPr>
                <w:rFonts w:ascii="Arial" w:hAnsi="Arial" w:cs="Arial"/>
                <w:b/>
              </w:rPr>
              <w:t>Suzman</w:t>
            </w:r>
            <w:proofErr w:type="spellEnd"/>
            <w:r w:rsidRPr="00F64070">
              <w:rPr>
                <w:rFonts w:ascii="Arial" w:hAnsi="Arial" w:cs="Arial"/>
                <w:b/>
              </w:rPr>
              <w:t xml:space="preserve"> Foundation</w:t>
            </w:r>
          </w:p>
        </w:tc>
        <w:tc>
          <w:tcPr>
            <w:tcW w:w="4680" w:type="dxa"/>
          </w:tcPr>
          <w:p w:rsidR="00F64070" w:rsidRDefault="00F64070" w:rsidP="00F64070">
            <w:pPr>
              <w:autoSpaceDE w:val="0"/>
              <w:autoSpaceDN w:val="0"/>
              <w:adjustRightInd w:val="0"/>
              <w:rPr>
                <w:rFonts w:ascii="Arial" w:hAnsi="Arial" w:cs="Arial"/>
                <w:b/>
                <w:bCs/>
                <w:color w:val="000000"/>
              </w:rPr>
            </w:pPr>
          </w:p>
          <w:p w:rsidR="00DB7B5F" w:rsidRPr="00F64070" w:rsidRDefault="008F2964" w:rsidP="00F64070">
            <w:pPr>
              <w:autoSpaceDE w:val="0"/>
              <w:autoSpaceDN w:val="0"/>
              <w:adjustRightInd w:val="0"/>
              <w:rPr>
                <w:rFonts w:ascii="Arial" w:hAnsi="Arial" w:cs="Arial"/>
                <w:b/>
                <w:bCs/>
                <w:color w:val="000000"/>
              </w:rPr>
            </w:pPr>
            <w:r w:rsidRPr="00F64070">
              <w:rPr>
                <w:rFonts w:ascii="Arial" w:hAnsi="Arial" w:cs="Arial"/>
                <w:b/>
                <w:bCs/>
                <w:color w:val="000000"/>
              </w:rPr>
              <w:t xml:space="preserve">The </w:t>
            </w:r>
            <w:r w:rsidR="00DB7B5F" w:rsidRPr="00F64070">
              <w:rPr>
                <w:rFonts w:ascii="Arial" w:hAnsi="Arial" w:cs="Arial"/>
                <w:b/>
                <w:bCs/>
                <w:color w:val="000000"/>
              </w:rPr>
              <w:t>proposed section 6A (1)</w:t>
            </w:r>
          </w:p>
          <w:p w:rsidR="00DB7B5F" w:rsidRPr="00F64070" w:rsidRDefault="00DB7B5F" w:rsidP="00F64070">
            <w:pPr>
              <w:autoSpaceDE w:val="0"/>
              <w:autoSpaceDN w:val="0"/>
              <w:adjustRightInd w:val="0"/>
              <w:rPr>
                <w:rFonts w:ascii="Arial" w:hAnsi="Arial" w:cs="Arial"/>
                <w:b/>
                <w:bCs/>
                <w:color w:val="000000"/>
              </w:rPr>
            </w:pPr>
          </w:p>
          <w:p w:rsidR="00DB7B5F" w:rsidRPr="00F64070" w:rsidRDefault="00DB7B5F" w:rsidP="00F64070">
            <w:pPr>
              <w:autoSpaceDE w:val="0"/>
              <w:autoSpaceDN w:val="0"/>
              <w:adjustRightInd w:val="0"/>
              <w:rPr>
                <w:rFonts w:ascii="Arial" w:hAnsi="Arial" w:cs="Arial"/>
                <w:color w:val="000000"/>
              </w:rPr>
            </w:pPr>
            <w:r w:rsidRPr="00F64070">
              <w:rPr>
                <w:rFonts w:ascii="Arial" w:hAnsi="Arial" w:cs="Arial"/>
                <w:color w:val="000000"/>
              </w:rPr>
              <w:t>The proposed subsection 1 of the new Section 6A of the Bill makes reference to “a Committee of the National Assembly”. This wording is drawn directly from Section 17DA (3) of the SAPS Act. The use of the words “a Committee” is ambiguous for the following reasons:</w:t>
            </w:r>
          </w:p>
          <w:p w:rsidR="00DB7B5F" w:rsidRPr="00F64070" w:rsidRDefault="00DB7B5F" w:rsidP="00F64070">
            <w:pPr>
              <w:autoSpaceDE w:val="0"/>
              <w:autoSpaceDN w:val="0"/>
              <w:adjustRightInd w:val="0"/>
              <w:rPr>
                <w:rFonts w:ascii="Arial" w:hAnsi="Arial" w:cs="Arial"/>
                <w:color w:val="000000"/>
              </w:rPr>
            </w:pPr>
          </w:p>
          <w:p w:rsidR="00DB7B5F" w:rsidRPr="00F64070" w:rsidRDefault="00DB7B5F" w:rsidP="00F64070">
            <w:pPr>
              <w:numPr>
                <w:ilvl w:val="0"/>
                <w:numId w:val="13"/>
              </w:numPr>
              <w:autoSpaceDE w:val="0"/>
              <w:autoSpaceDN w:val="0"/>
              <w:adjustRightInd w:val="0"/>
              <w:rPr>
                <w:rFonts w:ascii="Arial" w:hAnsi="Arial" w:cs="Arial"/>
                <w:color w:val="000000"/>
              </w:rPr>
            </w:pPr>
            <w:r w:rsidRPr="00F64070">
              <w:rPr>
                <w:rFonts w:ascii="Arial" w:hAnsi="Arial" w:cs="Arial"/>
                <w:color w:val="000000"/>
              </w:rPr>
              <w:t xml:space="preserve">a) Section 1 of the SAPS Act makes reference to “the Standing Committees of the National Assembly and the Senate </w:t>
            </w:r>
            <w:r w:rsidRPr="00F64070">
              <w:rPr>
                <w:rFonts w:ascii="Arial" w:hAnsi="Arial" w:cs="Arial"/>
                <w:i/>
                <w:iCs/>
                <w:color w:val="000000"/>
              </w:rPr>
              <w:t xml:space="preserve">[sic] </w:t>
            </w:r>
            <w:r w:rsidRPr="00F64070">
              <w:rPr>
                <w:rFonts w:ascii="Arial" w:hAnsi="Arial" w:cs="Arial"/>
                <w:color w:val="000000"/>
              </w:rPr>
              <w:t>responsible for safety and security issues”;</w:t>
            </w:r>
          </w:p>
          <w:p w:rsidR="00DB7B5F" w:rsidRPr="00F64070" w:rsidRDefault="00DB7B5F" w:rsidP="00F64070">
            <w:pPr>
              <w:autoSpaceDE w:val="0"/>
              <w:autoSpaceDN w:val="0"/>
              <w:adjustRightInd w:val="0"/>
              <w:rPr>
                <w:rFonts w:ascii="Arial" w:hAnsi="Arial" w:cs="Arial"/>
                <w:color w:val="000000"/>
              </w:rPr>
            </w:pPr>
          </w:p>
          <w:p w:rsidR="00DB7B5F" w:rsidRPr="00F64070" w:rsidRDefault="00DB7B5F" w:rsidP="00F64070">
            <w:pPr>
              <w:numPr>
                <w:ilvl w:val="0"/>
                <w:numId w:val="14"/>
              </w:numPr>
              <w:autoSpaceDE w:val="0"/>
              <w:autoSpaceDN w:val="0"/>
              <w:adjustRightInd w:val="0"/>
              <w:rPr>
                <w:rFonts w:ascii="Arial" w:hAnsi="Arial" w:cs="Arial"/>
                <w:color w:val="000000"/>
              </w:rPr>
            </w:pPr>
            <w:r w:rsidRPr="00F64070">
              <w:rPr>
                <w:rFonts w:ascii="Arial" w:hAnsi="Arial" w:cs="Arial"/>
                <w:color w:val="000000"/>
              </w:rPr>
              <w:t>b) “Committee” is defined in the IPID Act as follows: ““</w:t>
            </w:r>
            <w:r w:rsidRPr="00F64070">
              <w:rPr>
                <w:rFonts w:ascii="Arial" w:hAnsi="Arial" w:cs="Arial"/>
                <w:b/>
                <w:bCs/>
                <w:color w:val="000000"/>
              </w:rPr>
              <w:t>Committee</w:t>
            </w:r>
            <w:r w:rsidRPr="00F64070">
              <w:rPr>
                <w:rFonts w:ascii="Arial" w:hAnsi="Arial" w:cs="Arial"/>
                <w:color w:val="000000"/>
              </w:rPr>
              <w:t xml:space="preserve">” means the Management Committee established under section 11”; </w:t>
            </w:r>
          </w:p>
          <w:p w:rsidR="00DB7B5F" w:rsidRPr="00F64070" w:rsidRDefault="00DB7B5F" w:rsidP="00F64070">
            <w:pPr>
              <w:pageBreakBefore/>
              <w:autoSpaceDE w:val="0"/>
              <w:autoSpaceDN w:val="0"/>
              <w:adjustRightInd w:val="0"/>
              <w:rPr>
                <w:rFonts w:ascii="Arial" w:hAnsi="Arial" w:cs="Arial"/>
              </w:rPr>
            </w:pPr>
          </w:p>
          <w:p w:rsidR="00DB7B5F" w:rsidRPr="00F64070" w:rsidRDefault="00DB7B5F" w:rsidP="00F64070">
            <w:pPr>
              <w:numPr>
                <w:ilvl w:val="0"/>
                <w:numId w:val="15"/>
              </w:numPr>
              <w:autoSpaceDE w:val="0"/>
              <w:autoSpaceDN w:val="0"/>
              <w:adjustRightInd w:val="0"/>
              <w:rPr>
                <w:rFonts w:ascii="Arial" w:hAnsi="Arial" w:cs="Arial"/>
              </w:rPr>
            </w:pPr>
            <w:r w:rsidRPr="00F64070">
              <w:rPr>
                <w:rFonts w:ascii="Arial" w:hAnsi="Arial" w:cs="Arial"/>
              </w:rPr>
              <w:t xml:space="preserve">c) Section 6(2) of the existing IPID Act states, “The relevant Parliamentary Committee must, within a period of 30 parliamentary working days of the nomination in terms of subsection (1), confirm or reject such nomination.” </w:t>
            </w:r>
          </w:p>
          <w:p w:rsidR="00DB7B5F" w:rsidRPr="00F64070" w:rsidRDefault="00DB7B5F" w:rsidP="00F64070">
            <w:pPr>
              <w:autoSpaceDE w:val="0"/>
              <w:autoSpaceDN w:val="0"/>
              <w:adjustRightInd w:val="0"/>
              <w:rPr>
                <w:rFonts w:ascii="Arial" w:hAnsi="Arial" w:cs="Arial"/>
              </w:rPr>
            </w:pPr>
          </w:p>
          <w:p w:rsidR="00DB7B5F" w:rsidRPr="00F64070" w:rsidRDefault="00DB7B5F" w:rsidP="00F64070">
            <w:pPr>
              <w:autoSpaceDE w:val="0"/>
              <w:autoSpaceDN w:val="0"/>
              <w:adjustRightInd w:val="0"/>
              <w:rPr>
                <w:rFonts w:ascii="Arial" w:hAnsi="Arial" w:cs="Arial"/>
              </w:rPr>
            </w:pPr>
            <w:r w:rsidRPr="00F64070">
              <w:rPr>
                <w:rFonts w:ascii="Arial" w:hAnsi="Arial" w:cs="Arial"/>
              </w:rPr>
              <w:t xml:space="preserve">This Section makes clear reference to a Committee distinct from the Management Committee, through use of the words “relevant Parliamentary”. This anomaly must be addressed. </w:t>
            </w:r>
          </w:p>
          <w:p w:rsidR="00DB7B5F" w:rsidRPr="00F64070" w:rsidRDefault="00DB7B5F" w:rsidP="00F64070">
            <w:pPr>
              <w:autoSpaceDE w:val="0"/>
              <w:autoSpaceDN w:val="0"/>
              <w:adjustRightInd w:val="0"/>
              <w:rPr>
                <w:rFonts w:ascii="Arial" w:hAnsi="Arial" w:cs="Arial"/>
              </w:rPr>
            </w:pPr>
            <w:r w:rsidRPr="00F64070">
              <w:rPr>
                <w:rFonts w:ascii="Arial" w:hAnsi="Arial" w:cs="Arial"/>
                <w:b/>
                <w:bCs/>
              </w:rPr>
              <w:t xml:space="preserve"> Proposed section 6A(3)(a) </w:t>
            </w:r>
          </w:p>
          <w:p w:rsidR="00DB7B5F" w:rsidRPr="00F64070" w:rsidRDefault="00DB7B5F" w:rsidP="00F64070">
            <w:pPr>
              <w:autoSpaceDE w:val="0"/>
              <w:autoSpaceDN w:val="0"/>
              <w:adjustRightInd w:val="0"/>
              <w:rPr>
                <w:rFonts w:ascii="Arial" w:hAnsi="Arial" w:cs="Arial"/>
              </w:rPr>
            </w:pPr>
          </w:p>
          <w:p w:rsidR="00DB7B5F" w:rsidRPr="00F64070" w:rsidRDefault="00DB7B5F" w:rsidP="00F64070">
            <w:pPr>
              <w:autoSpaceDE w:val="0"/>
              <w:autoSpaceDN w:val="0"/>
              <w:adjustRightInd w:val="0"/>
              <w:rPr>
                <w:rFonts w:ascii="Arial" w:hAnsi="Arial" w:cs="Arial"/>
              </w:rPr>
            </w:pPr>
            <w:r w:rsidRPr="00F64070">
              <w:rPr>
                <w:rFonts w:ascii="Arial" w:hAnsi="Arial" w:cs="Arial"/>
              </w:rPr>
              <w:t>The proposed wording of this clause is drawn from Section 17DA (5) of the SAPS Act. The use of the word “Committee” is ambiguous for the same reasons set out above.</w:t>
            </w:r>
          </w:p>
          <w:p w:rsidR="00534AFB" w:rsidRPr="00F64070" w:rsidRDefault="00534AFB" w:rsidP="00F64070">
            <w:pPr>
              <w:autoSpaceDE w:val="0"/>
              <w:autoSpaceDN w:val="0"/>
              <w:adjustRightInd w:val="0"/>
              <w:rPr>
                <w:rFonts w:ascii="Arial" w:hAnsi="Arial" w:cs="Arial"/>
                <w:b/>
                <w:bCs/>
              </w:rPr>
            </w:pPr>
          </w:p>
          <w:p w:rsidR="00DB7B5F" w:rsidRPr="00F64070" w:rsidRDefault="00DB7B5F" w:rsidP="00F64070">
            <w:pPr>
              <w:autoSpaceDE w:val="0"/>
              <w:autoSpaceDN w:val="0"/>
              <w:adjustRightInd w:val="0"/>
              <w:rPr>
                <w:rFonts w:ascii="Arial" w:hAnsi="Arial" w:cs="Arial"/>
              </w:rPr>
            </w:pPr>
            <w:r w:rsidRPr="00F64070">
              <w:rPr>
                <w:rFonts w:ascii="Arial" w:hAnsi="Arial" w:cs="Arial"/>
                <w:b/>
                <w:bCs/>
              </w:rPr>
              <w:t xml:space="preserve">Recommendations </w:t>
            </w:r>
          </w:p>
          <w:p w:rsidR="00DB7B5F" w:rsidRPr="00F64070" w:rsidRDefault="00DB7B5F" w:rsidP="00F64070">
            <w:pPr>
              <w:numPr>
                <w:ilvl w:val="0"/>
                <w:numId w:val="16"/>
              </w:numPr>
              <w:autoSpaceDE w:val="0"/>
              <w:autoSpaceDN w:val="0"/>
              <w:adjustRightInd w:val="0"/>
              <w:spacing w:after="157"/>
              <w:rPr>
                <w:rFonts w:ascii="Arial" w:hAnsi="Arial" w:cs="Arial"/>
              </w:rPr>
            </w:pPr>
            <w:r w:rsidRPr="00F64070">
              <w:rPr>
                <w:rFonts w:ascii="Arial" w:hAnsi="Arial" w:cs="Arial"/>
              </w:rPr>
              <w:t xml:space="preserve">a) Insertion of the words “relevant Parliamentary” before the word “Committee” in the proposed Section 6A 1(a) to bring the clause in line with the wording in Section 6(2) of the IPID Act. </w:t>
            </w:r>
          </w:p>
          <w:p w:rsidR="00DB7B5F" w:rsidRPr="00F64070" w:rsidRDefault="00DB7B5F" w:rsidP="00F64070">
            <w:pPr>
              <w:autoSpaceDE w:val="0"/>
              <w:autoSpaceDN w:val="0"/>
              <w:adjustRightInd w:val="0"/>
              <w:rPr>
                <w:rFonts w:ascii="Arial" w:hAnsi="Arial" w:cs="Arial"/>
                <w:b/>
              </w:rPr>
            </w:pPr>
          </w:p>
          <w:p w:rsidR="00DB7B5F" w:rsidRPr="00F64070" w:rsidRDefault="00DB7B5F" w:rsidP="00F64070">
            <w:pPr>
              <w:autoSpaceDE w:val="0"/>
              <w:autoSpaceDN w:val="0"/>
              <w:adjustRightInd w:val="0"/>
              <w:rPr>
                <w:rFonts w:ascii="Arial" w:hAnsi="Arial" w:cs="Arial"/>
              </w:rPr>
            </w:pPr>
          </w:p>
        </w:tc>
        <w:tc>
          <w:tcPr>
            <w:tcW w:w="2751" w:type="dxa"/>
          </w:tcPr>
          <w:p w:rsidR="00F64070" w:rsidRDefault="00F64070" w:rsidP="00F64070">
            <w:pPr>
              <w:rPr>
                <w:rFonts w:ascii="Arial" w:hAnsi="Arial" w:cs="Arial"/>
              </w:rPr>
            </w:pPr>
          </w:p>
          <w:p w:rsidR="00DB7B5F" w:rsidRPr="00F64070" w:rsidRDefault="00DB7B5F" w:rsidP="00F64070">
            <w:pPr>
              <w:rPr>
                <w:rFonts w:ascii="Arial" w:hAnsi="Arial" w:cs="Arial"/>
              </w:rPr>
            </w:pPr>
            <w:r w:rsidRPr="00F64070">
              <w:rPr>
                <w:rFonts w:ascii="Arial" w:hAnsi="Arial" w:cs="Arial"/>
              </w:rPr>
              <w:t>T</w:t>
            </w:r>
            <w:r w:rsidR="00B75494" w:rsidRPr="00F64070">
              <w:rPr>
                <w:rFonts w:ascii="Arial" w:hAnsi="Arial" w:cs="Arial"/>
              </w:rPr>
              <w:t xml:space="preserve">he </w:t>
            </w:r>
            <w:r w:rsidRPr="00F64070">
              <w:rPr>
                <w:rFonts w:ascii="Arial" w:hAnsi="Arial" w:cs="Arial"/>
              </w:rPr>
              <w:t>Foundation recommends specific changes to the IPID Act broadly as has been raised by the other organisations supporting such a broad review of the Act. These recommendations fall outside of the ambit of the current amendments before the Committee.</w:t>
            </w: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p>
          <w:p w:rsidR="00DB7B5F" w:rsidRPr="00F64070" w:rsidRDefault="00DB7B5F" w:rsidP="00F64070">
            <w:pPr>
              <w:rPr>
                <w:rFonts w:ascii="Arial" w:hAnsi="Arial" w:cs="Arial"/>
              </w:rPr>
            </w:pPr>
            <w:r w:rsidRPr="00F64070">
              <w:rPr>
                <w:rFonts w:ascii="Arial" w:hAnsi="Arial" w:cs="Arial"/>
              </w:rPr>
              <w:t>Substantive Comments for consideration by the Committee during its deliberations on the Bill.</w:t>
            </w:r>
          </w:p>
        </w:tc>
        <w:tc>
          <w:tcPr>
            <w:tcW w:w="2452" w:type="dxa"/>
          </w:tcPr>
          <w:p w:rsidR="00F64070" w:rsidRDefault="00F64070" w:rsidP="00F64070">
            <w:pPr>
              <w:rPr>
                <w:rFonts w:ascii="Arial" w:hAnsi="Arial" w:cs="Arial"/>
              </w:rPr>
            </w:pPr>
          </w:p>
          <w:p w:rsidR="008F2964" w:rsidRPr="00F64070" w:rsidRDefault="008F2964" w:rsidP="00F64070">
            <w:pPr>
              <w:rPr>
                <w:rFonts w:ascii="Arial" w:hAnsi="Arial" w:cs="Arial"/>
              </w:rPr>
            </w:pPr>
            <w:r w:rsidRPr="00F64070">
              <w:rPr>
                <w:rFonts w:ascii="Arial" w:hAnsi="Arial" w:cs="Arial"/>
              </w:rPr>
              <w:t xml:space="preserve">The wording is clear. It will not be confused with the </w:t>
            </w:r>
            <w:r w:rsidR="00F64070">
              <w:rPr>
                <w:rFonts w:ascii="Arial" w:hAnsi="Arial" w:cs="Arial"/>
              </w:rPr>
              <w:t xml:space="preserve">term </w:t>
            </w:r>
            <w:r w:rsidRPr="00F64070">
              <w:rPr>
                <w:rFonts w:ascii="Arial" w:hAnsi="Arial" w:cs="Arial"/>
              </w:rPr>
              <w:t>“committee” as defined in</w:t>
            </w:r>
            <w:r w:rsidR="00F64070">
              <w:rPr>
                <w:rFonts w:ascii="Arial" w:hAnsi="Arial" w:cs="Arial"/>
              </w:rPr>
              <w:t xml:space="preserve"> the principal Act, as the term</w:t>
            </w:r>
            <w:r w:rsidRPr="00F64070">
              <w:rPr>
                <w:rFonts w:ascii="Arial" w:hAnsi="Arial" w:cs="Arial"/>
              </w:rPr>
              <w:t xml:space="preserve"> “committee” in the proposed clause is qualified with the words “of the National Assembly”.</w:t>
            </w:r>
          </w:p>
          <w:p w:rsidR="00F64070" w:rsidRDefault="00F64070" w:rsidP="00F64070">
            <w:pPr>
              <w:rPr>
                <w:rFonts w:ascii="Arial" w:hAnsi="Arial" w:cs="Arial"/>
              </w:rPr>
            </w:pPr>
          </w:p>
          <w:p w:rsidR="008F2964" w:rsidRPr="00F64070" w:rsidRDefault="008F2964" w:rsidP="00F64070">
            <w:pPr>
              <w:rPr>
                <w:rFonts w:ascii="Arial" w:hAnsi="Arial" w:cs="Arial"/>
              </w:rPr>
            </w:pPr>
            <w:r w:rsidRPr="00F64070">
              <w:rPr>
                <w:rFonts w:ascii="Arial" w:hAnsi="Arial" w:cs="Arial"/>
              </w:rPr>
              <w:t xml:space="preserve">However, should the </w:t>
            </w:r>
            <w:r w:rsidR="00F64070">
              <w:rPr>
                <w:rFonts w:ascii="Arial" w:hAnsi="Arial" w:cs="Arial"/>
              </w:rPr>
              <w:t>Select C</w:t>
            </w:r>
            <w:r w:rsidRPr="00F64070">
              <w:rPr>
                <w:rFonts w:ascii="Arial" w:hAnsi="Arial" w:cs="Arial"/>
              </w:rPr>
              <w:t xml:space="preserve">ommittee </w:t>
            </w:r>
            <w:r w:rsidRPr="00F64070">
              <w:rPr>
                <w:rFonts w:ascii="Arial" w:hAnsi="Arial" w:cs="Arial"/>
              </w:rPr>
              <w:lastRenderedPageBreak/>
              <w:t>agree on further amendments, I would support the proposal of inserting the words “relevant Parliamentary”</w:t>
            </w:r>
            <w:proofErr w:type="gramStart"/>
            <w:r w:rsidRPr="00F64070">
              <w:rPr>
                <w:rFonts w:ascii="Arial" w:hAnsi="Arial" w:cs="Arial"/>
              </w:rPr>
              <w:t>.</w:t>
            </w:r>
            <w:proofErr w:type="gramEnd"/>
          </w:p>
        </w:tc>
        <w:tc>
          <w:tcPr>
            <w:tcW w:w="1639" w:type="dxa"/>
          </w:tcPr>
          <w:p w:rsidR="00DB7B5F" w:rsidRPr="00F64070" w:rsidRDefault="00DB7B5F" w:rsidP="00F64070">
            <w:pPr>
              <w:rPr>
                <w:rFonts w:ascii="Arial" w:hAnsi="Arial" w:cs="Arial"/>
              </w:rPr>
            </w:pPr>
          </w:p>
        </w:tc>
      </w:tr>
      <w:tr w:rsidR="00132B98" w:rsidRPr="00F64070" w:rsidTr="00132B98">
        <w:tc>
          <w:tcPr>
            <w:tcW w:w="1107" w:type="dxa"/>
          </w:tcPr>
          <w:p w:rsidR="00F64070" w:rsidRDefault="00F64070" w:rsidP="00132B98">
            <w:pPr>
              <w:jc w:val="both"/>
              <w:rPr>
                <w:rFonts w:ascii="Arial" w:hAnsi="Arial" w:cs="Arial"/>
                <w:b/>
              </w:rPr>
            </w:pPr>
          </w:p>
          <w:p w:rsidR="00132B98" w:rsidRPr="00F64070" w:rsidRDefault="00F64070" w:rsidP="00132B98">
            <w:pPr>
              <w:jc w:val="both"/>
              <w:rPr>
                <w:rFonts w:ascii="Arial" w:hAnsi="Arial" w:cs="Arial"/>
                <w:b/>
              </w:rPr>
            </w:pPr>
            <w:r w:rsidRPr="00F64070">
              <w:rPr>
                <w:rFonts w:ascii="Arial" w:hAnsi="Arial" w:cs="Arial"/>
                <w:b/>
              </w:rPr>
              <w:t>2</w:t>
            </w:r>
            <w:r w:rsidR="00132B98" w:rsidRPr="00F64070">
              <w:rPr>
                <w:rFonts w:ascii="Arial" w:hAnsi="Arial" w:cs="Arial"/>
                <w:b/>
              </w:rPr>
              <w:t>.</w:t>
            </w:r>
          </w:p>
        </w:tc>
        <w:tc>
          <w:tcPr>
            <w:tcW w:w="1864" w:type="dxa"/>
          </w:tcPr>
          <w:p w:rsidR="00F64070" w:rsidRDefault="00F64070" w:rsidP="00132B98">
            <w:pPr>
              <w:jc w:val="both"/>
              <w:rPr>
                <w:rFonts w:ascii="Arial" w:hAnsi="Arial" w:cs="Arial"/>
                <w:b/>
              </w:rPr>
            </w:pPr>
          </w:p>
          <w:p w:rsidR="00132B98" w:rsidRPr="00F64070" w:rsidRDefault="00132B98" w:rsidP="00132B98">
            <w:pPr>
              <w:jc w:val="both"/>
              <w:rPr>
                <w:rFonts w:ascii="Arial" w:hAnsi="Arial" w:cs="Arial"/>
                <w:b/>
              </w:rPr>
            </w:pPr>
            <w:r w:rsidRPr="00F64070">
              <w:rPr>
                <w:rFonts w:ascii="Arial" w:hAnsi="Arial" w:cs="Arial"/>
                <w:b/>
              </w:rPr>
              <w:t>IPID</w:t>
            </w:r>
          </w:p>
        </w:tc>
        <w:tc>
          <w:tcPr>
            <w:tcW w:w="4680" w:type="dxa"/>
          </w:tcPr>
          <w:p w:rsidR="00F64070" w:rsidRDefault="00F64070" w:rsidP="00F64070">
            <w:pPr>
              <w:pStyle w:val="ListParagraph"/>
              <w:rPr>
                <w:rFonts w:ascii="Arial" w:hAnsi="Arial" w:cs="Arial"/>
                <w:sz w:val="24"/>
                <w:szCs w:val="24"/>
              </w:rPr>
            </w:pP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 xml:space="preserve">The committee bill in its current form will not pass Constitutional muster and may be declared inconsistent with the Constitution. </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IPID proposes a review of the IPID Act as a whole in terms of a draft bill which they attach to their submission marked Annexure E.</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The Committee Bill does not provide for the appointment of the Executive Director</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The Bill should include provisions about the remuneration and conditions of service of the Executive Director</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A new Section 6 A should be included in the Bill which deals with remuneration and conditions of service of the Executive Director</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 xml:space="preserve">Section 6 B should be inserted to </w:t>
            </w:r>
            <w:r w:rsidRPr="00F64070">
              <w:rPr>
                <w:rFonts w:ascii="Arial" w:hAnsi="Arial" w:cs="Arial"/>
                <w:sz w:val="24"/>
                <w:szCs w:val="24"/>
              </w:rPr>
              <w:lastRenderedPageBreak/>
              <w:t xml:space="preserve">align it with the </w:t>
            </w:r>
            <w:r w:rsidRPr="00A55F58">
              <w:rPr>
                <w:rFonts w:ascii="Arial" w:hAnsi="Arial" w:cs="Arial"/>
                <w:i/>
                <w:sz w:val="24"/>
                <w:szCs w:val="24"/>
              </w:rPr>
              <w:t>Mcbride</w:t>
            </w:r>
            <w:r w:rsidRPr="00F64070">
              <w:rPr>
                <w:rFonts w:ascii="Arial" w:hAnsi="Arial" w:cs="Arial"/>
                <w:sz w:val="24"/>
                <w:szCs w:val="24"/>
              </w:rPr>
              <w:t xml:space="preserve"> Judgement to ensure parliamentary oversight of the suspensions and removal of the Executive Director as set out in par.4.13.2 of the Submission.</w:t>
            </w:r>
          </w:p>
          <w:p w:rsidR="00132B98" w:rsidRPr="00F64070" w:rsidRDefault="00132B98" w:rsidP="00F64070">
            <w:pPr>
              <w:pStyle w:val="ListParagraph"/>
              <w:numPr>
                <w:ilvl w:val="0"/>
                <w:numId w:val="24"/>
              </w:numPr>
              <w:rPr>
                <w:rFonts w:ascii="Arial" w:hAnsi="Arial" w:cs="Arial"/>
                <w:sz w:val="24"/>
                <w:szCs w:val="24"/>
              </w:rPr>
            </w:pPr>
            <w:r w:rsidRPr="00F64070">
              <w:rPr>
                <w:rFonts w:ascii="Arial" w:hAnsi="Arial" w:cs="Arial"/>
                <w:sz w:val="24"/>
                <w:szCs w:val="24"/>
              </w:rPr>
              <w:t>Section 6 A of the Committee Bill – the decision whether or not to suspend the Executive Director should be made by the Committee and not by the Minister.</w:t>
            </w:r>
          </w:p>
        </w:tc>
        <w:tc>
          <w:tcPr>
            <w:tcW w:w="2751" w:type="dxa"/>
          </w:tcPr>
          <w:p w:rsidR="00F64070" w:rsidRDefault="00F64070" w:rsidP="00F64070">
            <w:pPr>
              <w:rPr>
                <w:rFonts w:ascii="Arial" w:hAnsi="Arial" w:cs="Arial"/>
              </w:rPr>
            </w:pPr>
          </w:p>
          <w:p w:rsidR="00132B98" w:rsidRPr="00F64070" w:rsidRDefault="00132B98" w:rsidP="00F64070">
            <w:pPr>
              <w:rPr>
                <w:rFonts w:ascii="Arial" w:hAnsi="Arial" w:cs="Arial"/>
              </w:rPr>
            </w:pPr>
            <w:r w:rsidRPr="00F64070">
              <w:rPr>
                <w:rFonts w:ascii="Arial" w:hAnsi="Arial" w:cs="Arial"/>
              </w:rPr>
              <w:t>The submission largely contains recommendations pertaining to the review of the IPID Act as a whole which falls outside the ambit of the current amendments before the Committee.</w:t>
            </w: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r w:rsidRPr="00F64070">
              <w:rPr>
                <w:rFonts w:ascii="Arial" w:hAnsi="Arial" w:cs="Arial"/>
              </w:rPr>
              <w:t>Substantive Comments in relation to Section 6 of the amendment bill for consideration by the Committee during its deliberations on the Bill.</w:t>
            </w:r>
          </w:p>
        </w:tc>
        <w:tc>
          <w:tcPr>
            <w:tcW w:w="2452" w:type="dxa"/>
            <w:shd w:val="clear" w:color="auto" w:fill="auto"/>
          </w:tcPr>
          <w:p w:rsidR="00132B98" w:rsidRPr="00A55F58" w:rsidRDefault="00132B98" w:rsidP="00F64070">
            <w:pPr>
              <w:spacing w:before="240" w:after="240" w:line="276" w:lineRule="auto"/>
              <w:rPr>
                <w:rFonts w:ascii="Arial" w:hAnsi="Arial" w:cs="Arial"/>
                <w:b/>
                <w:u w:val="single"/>
              </w:rPr>
            </w:pPr>
            <w:r w:rsidRPr="00A55F58">
              <w:rPr>
                <w:rFonts w:ascii="Arial" w:hAnsi="Arial" w:cs="Arial"/>
              </w:rPr>
              <w:t xml:space="preserve">The Court found that the section 6(3)(a) (which deals with the PSA being applicable to the ED), certain sections in the PSA Act and the IPID Regulations (which applied the disciplinary code to the removal of the ED) were unconstitutional </w:t>
            </w:r>
            <w:r w:rsidRPr="00A55F58">
              <w:rPr>
                <w:rFonts w:ascii="Arial" w:hAnsi="Arial" w:cs="Arial"/>
                <w:b/>
                <w:u w:val="single"/>
              </w:rPr>
              <w:t>in so far as they were being applied to the removal of the ED.</w:t>
            </w:r>
          </w:p>
          <w:p w:rsidR="00132B98" w:rsidRPr="00A55F58" w:rsidRDefault="00132B98" w:rsidP="00F64070">
            <w:pPr>
              <w:spacing w:before="240" w:after="240" w:line="276" w:lineRule="auto"/>
              <w:rPr>
                <w:rFonts w:ascii="Arial" w:hAnsi="Arial" w:cs="Arial"/>
              </w:rPr>
            </w:pPr>
            <w:r w:rsidRPr="00A55F58">
              <w:rPr>
                <w:rFonts w:ascii="Arial" w:hAnsi="Arial" w:cs="Arial"/>
              </w:rPr>
              <w:t>The Committee, could, however, proposes further amendments to the Bill to also deal with the appointment of the Executive Director.</w:t>
            </w:r>
          </w:p>
          <w:p w:rsidR="00132B98" w:rsidRPr="00A55F58" w:rsidRDefault="00132B98" w:rsidP="00F64070">
            <w:pPr>
              <w:spacing w:before="240" w:after="240" w:line="276" w:lineRule="auto"/>
              <w:rPr>
                <w:rFonts w:ascii="Arial" w:hAnsi="Arial" w:cs="Arial"/>
              </w:rPr>
            </w:pPr>
            <w:r w:rsidRPr="00A55F58">
              <w:rPr>
                <w:rFonts w:ascii="Arial" w:hAnsi="Arial" w:cs="Arial"/>
              </w:rPr>
              <w:t xml:space="preserve">Any proposed </w:t>
            </w:r>
            <w:r w:rsidRPr="00A55F58">
              <w:rPr>
                <w:rFonts w:ascii="Arial" w:hAnsi="Arial" w:cs="Arial"/>
              </w:rPr>
              <w:lastRenderedPageBreak/>
              <w:t>amendments from this Committee would be referred back to the National Assembly for reconsideration. We submit that in such an instance the Portfolio Committee would have to approach the National Assembly afresh to request permission to extent the original mandate given to that Committee to draft legislation within a specific framework.</w:t>
            </w:r>
          </w:p>
          <w:p w:rsidR="00132B98" w:rsidRPr="00A55F58" w:rsidRDefault="00132B98" w:rsidP="00F64070">
            <w:pPr>
              <w:spacing w:before="240" w:after="240" w:line="276" w:lineRule="auto"/>
              <w:rPr>
                <w:rFonts w:ascii="Arial" w:hAnsi="Arial" w:cs="Arial"/>
              </w:rPr>
            </w:pPr>
            <w:r w:rsidRPr="00A55F58">
              <w:rPr>
                <w:rFonts w:ascii="Arial" w:hAnsi="Arial" w:cs="Arial"/>
              </w:rPr>
              <w:t>Furthermore, Parliament would have to subject any further substantial amendments to public participation involvement as provided for in section 59 of the Constitution.</w:t>
            </w:r>
          </w:p>
        </w:tc>
        <w:tc>
          <w:tcPr>
            <w:tcW w:w="1639" w:type="dxa"/>
          </w:tcPr>
          <w:p w:rsidR="00132B98" w:rsidRPr="00F64070" w:rsidRDefault="00132B98" w:rsidP="00F64070">
            <w:pPr>
              <w:rPr>
                <w:rFonts w:ascii="Arial" w:hAnsi="Arial" w:cs="Arial"/>
              </w:rPr>
            </w:pPr>
          </w:p>
        </w:tc>
      </w:tr>
      <w:tr w:rsidR="00132B98" w:rsidRPr="00F64070" w:rsidTr="00132B98">
        <w:tc>
          <w:tcPr>
            <w:tcW w:w="1107" w:type="dxa"/>
          </w:tcPr>
          <w:p w:rsidR="00132B98" w:rsidRPr="00F64070" w:rsidRDefault="00F64070" w:rsidP="00132B98">
            <w:pPr>
              <w:jc w:val="both"/>
              <w:rPr>
                <w:rFonts w:ascii="Arial" w:hAnsi="Arial" w:cs="Arial"/>
                <w:b/>
              </w:rPr>
            </w:pPr>
            <w:r w:rsidRPr="00F64070">
              <w:rPr>
                <w:rFonts w:ascii="Arial" w:hAnsi="Arial" w:cs="Arial"/>
                <w:b/>
              </w:rPr>
              <w:lastRenderedPageBreak/>
              <w:t>3</w:t>
            </w:r>
            <w:r w:rsidR="00132B98" w:rsidRPr="00F64070">
              <w:rPr>
                <w:rFonts w:ascii="Arial" w:hAnsi="Arial" w:cs="Arial"/>
                <w:b/>
              </w:rPr>
              <w:t>.</w:t>
            </w:r>
          </w:p>
        </w:tc>
        <w:tc>
          <w:tcPr>
            <w:tcW w:w="1864" w:type="dxa"/>
          </w:tcPr>
          <w:p w:rsidR="00132B98" w:rsidRPr="00F64070" w:rsidRDefault="00132B98" w:rsidP="00132B98">
            <w:pPr>
              <w:jc w:val="both"/>
              <w:rPr>
                <w:rFonts w:ascii="Arial" w:hAnsi="Arial" w:cs="Arial"/>
                <w:b/>
              </w:rPr>
            </w:pPr>
            <w:r w:rsidRPr="00F64070">
              <w:rPr>
                <w:rFonts w:ascii="Arial" w:hAnsi="Arial" w:cs="Arial"/>
                <w:b/>
              </w:rPr>
              <w:t>Western Cape Government:</w:t>
            </w:r>
          </w:p>
          <w:p w:rsidR="00132B98" w:rsidRPr="00F64070" w:rsidRDefault="00132B98" w:rsidP="00132B98">
            <w:pPr>
              <w:jc w:val="both"/>
              <w:rPr>
                <w:rFonts w:ascii="Arial" w:hAnsi="Arial" w:cs="Arial"/>
              </w:rPr>
            </w:pPr>
            <w:r w:rsidRPr="00F64070">
              <w:rPr>
                <w:rFonts w:ascii="Arial" w:hAnsi="Arial" w:cs="Arial"/>
                <w:b/>
              </w:rPr>
              <w:t>Community Safety</w:t>
            </w:r>
          </w:p>
        </w:tc>
        <w:tc>
          <w:tcPr>
            <w:tcW w:w="4680" w:type="dxa"/>
          </w:tcPr>
          <w:p w:rsidR="00132B98" w:rsidRPr="00F64070" w:rsidRDefault="00132B98" w:rsidP="00A55F58">
            <w:pPr>
              <w:pStyle w:val="ListParagraph"/>
              <w:numPr>
                <w:ilvl w:val="0"/>
                <w:numId w:val="24"/>
              </w:numPr>
              <w:ind w:left="304" w:hanging="304"/>
              <w:rPr>
                <w:rFonts w:ascii="Arial" w:hAnsi="Arial" w:cs="Arial"/>
                <w:sz w:val="24"/>
                <w:szCs w:val="24"/>
              </w:rPr>
            </w:pPr>
            <w:r w:rsidRPr="00F64070">
              <w:rPr>
                <w:rFonts w:ascii="Arial" w:hAnsi="Arial" w:cs="Arial"/>
                <w:sz w:val="24"/>
                <w:szCs w:val="24"/>
              </w:rPr>
              <w:t>Broadly the submission refers to amendments to the entire Act and reflects the sentiments of most of the other submissions made that the Act requires amendments of various sections to comply with the Constitutional Court’s findings.</w:t>
            </w:r>
          </w:p>
          <w:p w:rsidR="00132B98" w:rsidRPr="00F64070" w:rsidRDefault="00132B98" w:rsidP="00F64070">
            <w:pPr>
              <w:rPr>
                <w:rFonts w:ascii="Arial" w:hAnsi="Arial" w:cs="Arial"/>
              </w:rPr>
            </w:pPr>
            <w:r w:rsidRPr="00F64070">
              <w:rPr>
                <w:rFonts w:ascii="Arial" w:hAnsi="Arial" w:cs="Arial"/>
              </w:rPr>
              <w:t>Specific recommendations to the Bill before the Committee is limited to the following:</w:t>
            </w:r>
          </w:p>
          <w:p w:rsidR="00132B98" w:rsidRPr="00F64070" w:rsidRDefault="00132B98" w:rsidP="00F64070">
            <w:pPr>
              <w:rPr>
                <w:rFonts w:ascii="Arial" w:hAnsi="Arial" w:cs="Arial"/>
              </w:rPr>
            </w:pPr>
          </w:p>
          <w:p w:rsidR="00132B98" w:rsidRPr="00F64070" w:rsidRDefault="00132B98" w:rsidP="00A55F58">
            <w:pPr>
              <w:pStyle w:val="ListParagraph"/>
              <w:numPr>
                <w:ilvl w:val="0"/>
                <w:numId w:val="24"/>
              </w:numPr>
              <w:spacing w:line="240" w:lineRule="auto"/>
              <w:ind w:left="304" w:hanging="283"/>
              <w:rPr>
                <w:rFonts w:ascii="Arial" w:hAnsi="Arial" w:cs="Arial"/>
                <w:sz w:val="24"/>
                <w:szCs w:val="24"/>
              </w:rPr>
            </w:pPr>
            <w:r w:rsidRPr="00F64070">
              <w:rPr>
                <w:rFonts w:ascii="Arial" w:hAnsi="Arial" w:cs="Arial"/>
                <w:sz w:val="24"/>
                <w:szCs w:val="24"/>
              </w:rPr>
              <w:t>Section 6A(3)(b), the reference to “a resolution calling for the removal of the Executive Director’s removal” should be “</w:t>
            </w:r>
            <w:r w:rsidRPr="00F64070">
              <w:rPr>
                <w:rFonts w:ascii="Arial" w:hAnsi="Arial" w:cs="Arial"/>
                <w:sz w:val="24"/>
                <w:szCs w:val="24"/>
                <w:u w:val="single"/>
              </w:rPr>
              <w:t xml:space="preserve">the </w:t>
            </w:r>
            <w:r w:rsidRPr="00F64070">
              <w:rPr>
                <w:rFonts w:ascii="Arial" w:hAnsi="Arial" w:cs="Arial"/>
                <w:sz w:val="24"/>
                <w:szCs w:val="24"/>
              </w:rPr>
              <w:t>resolution” so that it refers to the resolution of the NA referred to in sections 6A(1)(b) and 6A(2) which precedes section 6A(3)(b)</w:t>
            </w:r>
          </w:p>
          <w:p w:rsidR="00132B98" w:rsidRPr="00A55F58" w:rsidRDefault="00132B98" w:rsidP="00F64070">
            <w:pPr>
              <w:rPr>
                <w:rFonts w:ascii="Arial" w:hAnsi="Arial" w:cs="Arial"/>
              </w:rPr>
            </w:pPr>
          </w:p>
          <w:p w:rsidR="00132B98" w:rsidRPr="00A55F58" w:rsidRDefault="00132B98" w:rsidP="00A55F58">
            <w:pPr>
              <w:pStyle w:val="ListParagraph"/>
              <w:numPr>
                <w:ilvl w:val="0"/>
                <w:numId w:val="26"/>
              </w:numPr>
              <w:rPr>
                <w:rFonts w:ascii="Arial" w:hAnsi="Arial" w:cs="Arial"/>
                <w:sz w:val="24"/>
                <w:szCs w:val="24"/>
              </w:rPr>
            </w:pPr>
            <w:r w:rsidRPr="00A55F58">
              <w:rPr>
                <w:rFonts w:ascii="Arial" w:hAnsi="Arial" w:cs="Arial"/>
                <w:sz w:val="24"/>
                <w:szCs w:val="24"/>
              </w:rPr>
              <w:t>Therefore, the recommendation is to delete “a” in “a resolution” and replace with “the”.</w:t>
            </w:r>
          </w:p>
          <w:p w:rsidR="00A55F58" w:rsidRDefault="00A55F58" w:rsidP="00A55F58">
            <w:pPr>
              <w:pStyle w:val="ListParagraph"/>
              <w:ind w:left="655"/>
              <w:rPr>
                <w:rFonts w:ascii="Arial" w:hAnsi="Arial" w:cs="Arial"/>
              </w:rPr>
            </w:pPr>
          </w:p>
          <w:p w:rsidR="00132B98" w:rsidRPr="00F64070" w:rsidRDefault="00132B98" w:rsidP="00A55F58">
            <w:pPr>
              <w:pStyle w:val="ListParagraph"/>
              <w:numPr>
                <w:ilvl w:val="0"/>
                <w:numId w:val="26"/>
              </w:numPr>
              <w:rPr>
                <w:rFonts w:ascii="Arial" w:hAnsi="Arial" w:cs="Arial"/>
                <w:sz w:val="24"/>
                <w:szCs w:val="24"/>
              </w:rPr>
            </w:pPr>
            <w:r w:rsidRPr="00F64070">
              <w:rPr>
                <w:rFonts w:ascii="Arial" w:hAnsi="Arial" w:cs="Arial"/>
                <w:sz w:val="24"/>
                <w:szCs w:val="24"/>
              </w:rPr>
              <w:t xml:space="preserve">Delete the comma in line 2 of the proposed Section </w:t>
            </w:r>
            <w:proofErr w:type="gramStart"/>
            <w:r w:rsidRPr="00F64070">
              <w:rPr>
                <w:rFonts w:ascii="Arial" w:hAnsi="Arial" w:cs="Arial"/>
                <w:sz w:val="24"/>
                <w:szCs w:val="24"/>
              </w:rPr>
              <w:t>6A(</w:t>
            </w:r>
            <w:proofErr w:type="gramEnd"/>
            <w:r w:rsidRPr="00F64070">
              <w:rPr>
                <w:rFonts w:ascii="Arial" w:hAnsi="Arial" w:cs="Arial"/>
                <w:sz w:val="24"/>
                <w:szCs w:val="24"/>
              </w:rPr>
              <w:t>5).</w:t>
            </w:r>
          </w:p>
        </w:tc>
        <w:tc>
          <w:tcPr>
            <w:tcW w:w="2751" w:type="dxa"/>
          </w:tcPr>
          <w:p w:rsidR="00132B98" w:rsidRPr="00F64070" w:rsidRDefault="00132B98" w:rsidP="00F64070">
            <w:pPr>
              <w:rPr>
                <w:rFonts w:ascii="Arial" w:hAnsi="Arial" w:cs="Arial"/>
              </w:rPr>
            </w:pPr>
            <w:r w:rsidRPr="00F64070">
              <w:rPr>
                <w:rFonts w:ascii="Arial" w:hAnsi="Arial" w:cs="Arial"/>
              </w:rPr>
              <w:t>The recommendations are technical in nature.</w:t>
            </w:r>
          </w:p>
        </w:tc>
        <w:tc>
          <w:tcPr>
            <w:tcW w:w="2452" w:type="dxa"/>
          </w:tcPr>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Pr="00F64070" w:rsidRDefault="00132B98" w:rsidP="00F64070">
            <w:pPr>
              <w:rPr>
                <w:rFonts w:ascii="Arial" w:hAnsi="Arial" w:cs="Arial"/>
              </w:rPr>
            </w:pPr>
          </w:p>
          <w:p w:rsidR="00132B98" w:rsidRDefault="00132B98" w:rsidP="00F64070">
            <w:pPr>
              <w:rPr>
                <w:rFonts w:ascii="Arial" w:hAnsi="Arial" w:cs="Arial"/>
              </w:rPr>
            </w:pPr>
          </w:p>
          <w:p w:rsidR="00A55F58" w:rsidRDefault="00A55F58" w:rsidP="00F64070">
            <w:pPr>
              <w:rPr>
                <w:rFonts w:ascii="Arial" w:hAnsi="Arial" w:cs="Arial"/>
              </w:rPr>
            </w:pPr>
          </w:p>
          <w:p w:rsidR="00A55F58" w:rsidRDefault="00A55F58" w:rsidP="00F64070">
            <w:pPr>
              <w:rPr>
                <w:rFonts w:ascii="Arial" w:hAnsi="Arial" w:cs="Arial"/>
              </w:rPr>
            </w:pPr>
          </w:p>
          <w:p w:rsidR="00A55F58" w:rsidRPr="00F64070" w:rsidRDefault="00A55F58" w:rsidP="00F64070">
            <w:pPr>
              <w:rPr>
                <w:rFonts w:ascii="Arial" w:hAnsi="Arial" w:cs="Arial"/>
              </w:rPr>
            </w:pPr>
          </w:p>
          <w:p w:rsidR="00DC7368" w:rsidRPr="00F64070" w:rsidRDefault="00DC7368" w:rsidP="00F64070">
            <w:pPr>
              <w:numPr>
                <w:ilvl w:val="0"/>
                <w:numId w:val="25"/>
              </w:numPr>
              <w:spacing w:before="240" w:after="240" w:line="276" w:lineRule="auto"/>
              <w:rPr>
                <w:rFonts w:ascii="Arial" w:hAnsi="Arial" w:cs="Arial"/>
              </w:rPr>
            </w:pPr>
            <w:r w:rsidRPr="00F64070">
              <w:rPr>
                <w:rFonts w:ascii="Arial" w:hAnsi="Arial" w:cs="Arial"/>
              </w:rPr>
              <w:t>Agree</w:t>
            </w:r>
          </w:p>
          <w:p w:rsidR="00DC7368" w:rsidRPr="00F64070" w:rsidRDefault="00DC7368" w:rsidP="00F64070">
            <w:pPr>
              <w:spacing w:before="240" w:after="240" w:line="276" w:lineRule="auto"/>
              <w:ind w:left="720"/>
              <w:rPr>
                <w:rFonts w:ascii="Arial" w:hAnsi="Arial" w:cs="Arial"/>
              </w:rPr>
            </w:pPr>
          </w:p>
          <w:p w:rsidR="00DC7368" w:rsidRPr="00F64070" w:rsidRDefault="00DC7368" w:rsidP="00F64070">
            <w:pPr>
              <w:numPr>
                <w:ilvl w:val="0"/>
                <w:numId w:val="25"/>
              </w:numPr>
              <w:spacing w:before="240" w:after="240" w:line="276" w:lineRule="auto"/>
              <w:rPr>
                <w:rFonts w:ascii="Arial" w:hAnsi="Arial" w:cs="Arial"/>
              </w:rPr>
            </w:pPr>
            <w:r w:rsidRPr="00F64070">
              <w:rPr>
                <w:rFonts w:ascii="Arial" w:hAnsi="Arial" w:cs="Arial"/>
              </w:rPr>
              <w:t>Agree</w:t>
            </w:r>
          </w:p>
          <w:p w:rsidR="00132B98" w:rsidRPr="00F64070" w:rsidRDefault="00E45E6B" w:rsidP="00F64070">
            <w:pPr>
              <w:rPr>
                <w:rFonts w:ascii="Arial" w:hAnsi="Arial" w:cs="Arial"/>
              </w:rPr>
            </w:pPr>
            <w:proofErr w:type="gramStart"/>
            <w:r w:rsidRPr="00F64070">
              <w:rPr>
                <w:rFonts w:ascii="Arial" w:hAnsi="Arial" w:cs="Arial"/>
              </w:rPr>
              <w:t xml:space="preserve">These </w:t>
            </w:r>
            <w:r w:rsidR="00132B98" w:rsidRPr="00F64070">
              <w:rPr>
                <w:rFonts w:ascii="Arial" w:hAnsi="Arial" w:cs="Arial"/>
              </w:rPr>
              <w:t xml:space="preserve">proposed </w:t>
            </w:r>
            <w:r w:rsidR="00132B98" w:rsidRPr="00F64070">
              <w:rPr>
                <w:rFonts w:ascii="Arial" w:hAnsi="Arial" w:cs="Arial"/>
              </w:rPr>
              <w:lastRenderedPageBreak/>
              <w:t>amendment</w:t>
            </w:r>
            <w:proofErr w:type="gramEnd"/>
            <w:r w:rsidR="00132B98" w:rsidRPr="00F64070">
              <w:rPr>
                <w:rFonts w:ascii="Arial" w:hAnsi="Arial" w:cs="Arial"/>
              </w:rPr>
              <w:t xml:space="preserve"> would make </w:t>
            </w:r>
            <w:r w:rsidR="00A55F58">
              <w:rPr>
                <w:rFonts w:ascii="Arial" w:hAnsi="Arial" w:cs="Arial"/>
              </w:rPr>
              <w:t>the draft</w:t>
            </w:r>
            <w:r w:rsidR="00132B98" w:rsidRPr="00F64070">
              <w:rPr>
                <w:rFonts w:ascii="Arial" w:hAnsi="Arial" w:cs="Arial"/>
              </w:rPr>
              <w:t xml:space="preserve"> clear</w:t>
            </w:r>
            <w:r w:rsidR="00A55F58">
              <w:rPr>
                <w:rFonts w:ascii="Arial" w:hAnsi="Arial" w:cs="Arial"/>
              </w:rPr>
              <w:t>er.</w:t>
            </w:r>
          </w:p>
          <w:p w:rsidR="00132B98" w:rsidRPr="00F64070" w:rsidRDefault="00132B98" w:rsidP="00F64070">
            <w:pPr>
              <w:rPr>
                <w:rFonts w:ascii="Arial" w:hAnsi="Arial" w:cs="Arial"/>
              </w:rPr>
            </w:pPr>
          </w:p>
          <w:p w:rsidR="00132B98" w:rsidRPr="00F64070" w:rsidRDefault="00132B98" w:rsidP="00F64070">
            <w:pPr>
              <w:rPr>
                <w:rFonts w:ascii="Arial" w:hAnsi="Arial" w:cs="Arial"/>
              </w:rPr>
            </w:pPr>
            <w:r w:rsidRPr="00F64070">
              <w:rPr>
                <w:rFonts w:ascii="Arial" w:hAnsi="Arial" w:cs="Arial"/>
              </w:rPr>
              <w:t xml:space="preserve">Very technical amendment. </w:t>
            </w:r>
          </w:p>
        </w:tc>
        <w:tc>
          <w:tcPr>
            <w:tcW w:w="1639" w:type="dxa"/>
          </w:tcPr>
          <w:p w:rsidR="00132B98" w:rsidRPr="00F64070" w:rsidRDefault="00132B98" w:rsidP="00F64070">
            <w:pPr>
              <w:rPr>
                <w:rFonts w:ascii="Arial" w:hAnsi="Arial" w:cs="Arial"/>
              </w:rPr>
            </w:pPr>
          </w:p>
        </w:tc>
      </w:tr>
    </w:tbl>
    <w:p w:rsidR="00D93D46" w:rsidRPr="00F64070" w:rsidRDefault="00D93D46" w:rsidP="00A55F58">
      <w:pPr>
        <w:spacing w:line="280" w:lineRule="exact"/>
        <w:jc w:val="center"/>
        <w:rPr>
          <w:rFonts w:ascii="Arial" w:hAnsi="Arial" w:cs="Arial"/>
          <w:b/>
          <w:lang w:val="en-ZA"/>
        </w:rPr>
      </w:pPr>
    </w:p>
    <w:sectPr w:rsidR="00D93D46" w:rsidRPr="00F64070" w:rsidSect="00EB447D">
      <w:footerReference w:type="even"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81" w:rsidRDefault="00242081">
      <w:r>
        <w:separator/>
      </w:r>
    </w:p>
  </w:endnote>
  <w:endnote w:type="continuationSeparator" w:id="0">
    <w:p w:rsidR="00242081" w:rsidRDefault="00242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D" w:rsidRDefault="00C162C8" w:rsidP="00783AE5">
    <w:pPr>
      <w:pStyle w:val="Footer"/>
      <w:framePr w:wrap="around" w:vAnchor="text" w:hAnchor="margin" w:xAlign="right" w:y="1"/>
      <w:rPr>
        <w:rStyle w:val="PageNumber"/>
      </w:rPr>
    </w:pPr>
    <w:r>
      <w:rPr>
        <w:rStyle w:val="PageNumber"/>
      </w:rPr>
      <w:fldChar w:fldCharType="begin"/>
    </w:r>
    <w:r w:rsidR="00E5376D">
      <w:rPr>
        <w:rStyle w:val="PageNumber"/>
      </w:rPr>
      <w:instrText xml:space="preserve">PAGE  </w:instrText>
    </w:r>
    <w:r>
      <w:rPr>
        <w:rStyle w:val="PageNumber"/>
      </w:rPr>
      <w:fldChar w:fldCharType="end"/>
    </w:r>
  </w:p>
  <w:p w:rsidR="00E5376D" w:rsidRDefault="00E5376D" w:rsidP="00713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3" w:rsidRPr="000E6F4D" w:rsidRDefault="00B967B3" w:rsidP="000E6F4D">
    <w:pPr>
      <w:pStyle w:val="Footer"/>
      <w:pBdr>
        <w:top w:val="thinThickSmallGap" w:sz="24" w:space="1" w:color="622423"/>
      </w:pBdr>
      <w:tabs>
        <w:tab w:val="clear" w:pos="4153"/>
      </w:tabs>
      <w:rPr>
        <w:rFonts w:ascii="Cambria" w:hAnsi="Cambria"/>
      </w:rPr>
    </w:pPr>
    <w:r w:rsidRPr="000E6F4D">
      <w:rPr>
        <w:rFonts w:ascii="Cambria" w:hAnsi="Cambria"/>
      </w:rPr>
      <w:t xml:space="preserve">Page </w:t>
    </w:r>
    <w:r w:rsidR="00C162C8" w:rsidRPr="00C162C8">
      <w:fldChar w:fldCharType="begin"/>
    </w:r>
    <w:r w:rsidR="000E6F4D">
      <w:instrText xml:space="preserve"> PAGE   \* MERGEFORMAT </w:instrText>
    </w:r>
    <w:r w:rsidR="00C162C8" w:rsidRPr="00C162C8">
      <w:fldChar w:fldCharType="separate"/>
    </w:r>
    <w:r w:rsidR="003E1931" w:rsidRPr="003E1931">
      <w:rPr>
        <w:rFonts w:ascii="Cambria" w:hAnsi="Cambria"/>
        <w:noProof/>
      </w:rPr>
      <w:t>1</w:t>
    </w:r>
    <w:r w:rsidR="00C162C8" w:rsidRPr="000E6F4D">
      <w:rPr>
        <w:rFonts w:ascii="Cambria" w:hAnsi="Cambria"/>
        <w:noProof/>
      </w:rPr>
      <w:fldChar w:fldCharType="end"/>
    </w:r>
  </w:p>
  <w:p w:rsidR="00E5376D" w:rsidRDefault="00E5376D" w:rsidP="004D12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81" w:rsidRDefault="00242081">
      <w:r>
        <w:separator/>
      </w:r>
    </w:p>
  </w:footnote>
  <w:footnote w:type="continuationSeparator" w:id="0">
    <w:p w:rsidR="00242081" w:rsidRDefault="00242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EA56F0"/>
    <w:multiLevelType w:val="hybridMultilevel"/>
    <w:tmpl w:val="5B2CFF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258E017"/>
    <w:multiLevelType w:val="hybridMultilevel"/>
    <w:tmpl w:val="59218F5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4D372"/>
    <w:multiLevelType w:val="hybridMultilevel"/>
    <w:tmpl w:val="40B0C4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0B6EA5"/>
    <w:multiLevelType w:val="hybridMultilevel"/>
    <w:tmpl w:val="E71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AF0D8"/>
    <w:multiLevelType w:val="hybridMultilevel"/>
    <w:tmpl w:val="B2ABBF6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905EBC"/>
    <w:multiLevelType w:val="hybridMultilevel"/>
    <w:tmpl w:val="1B6C6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D81607"/>
    <w:multiLevelType w:val="hybridMultilevel"/>
    <w:tmpl w:val="FF5CFC0A"/>
    <w:lvl w:ilvl="0" w:tplc="B296D7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273185"/>
    <w:multiLevelType w:val="hybridMultilevel"/>
    <w:tmpl w:val="ED4E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348E9"/>
    <w:multiLevelType w:val="hybridMultilevel"/>
    <w:tmpl w:val="B0343D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62475ED"/>
    <w:multiLevelType w:val="hybridMultilevel"/>
    <w:tmpl w:val="75BE5AF8"/>
    <w:lvl w:ilvl="0" w:tplc="76DAE4E6">
      <w:start w:val="1"/>
      <w:numFmt w:val="lowerLetter"/>
      <w:lvlText w:val="(%1)"/>
      <w:lvlJc w:val="left"/>
      <w:pPr>
        <w:ind w:left="655" w:hanging="360"/>
      </w:pPr>
      <w:rPr>
        <w:rFonts w:hint="default"/>
        <w:sz w:val="24"/>
        <w:szCs w:val="24"/>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10">
    <w:nsid w:val="2D097897"/>
    <w:multiLevelType w:val="hybridMultilevel"/>
    <w:tmpl w:val="BE62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CD946"/>
    <w:multiLevelType w:val="hybridMultilevel"/>
    <w:tmpl w:val="6CF7B1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D51DDA"/>
    <w:multiLevelType w:val="hybridMultilevel"/>
    <w:tmpl w:val="EE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E05F8"/>
    <w:multiLevelType w:val="hybridMultilevel"/>
    <w:tmpl w:val="AE6BB5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835871"/>
    <w:multiLevelType w:val="multilevel"/>
    <w:tmpl w:val="6B2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66BEF"/>
    <w:multiLevelType w:val="hybridMultilevel"/>
    <w:tmpl w:val="C358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463A0"/>
    <w:multiLevelType w:val="hybridMultilevel"/>
    <w:tmpl w:val="6F5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409D0"/>
    <w:multiLevelType w:val="hybridMultilevel"/>
    <w:tmpl w:val="24AA1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8848E9"/>
    <w:multiLevelType w:val="hybridMultilevel"/>
    <w:tmpl w:val="889EB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575357"/>
    <w:multiLevelType w:val="hybridMultilevel"/>
    <w:tmpl w:val="1C3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65D36"/>
    <w:multiLevelType w:val="hybridMultilevel"/>
    <w:tmpl w:val="0C78CB78"/>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1">
    <w:nsid w:val="52BA5D9A"/>
    <w:multiLevelType w:val="hybridMultilevel"/>
    <w:tmpl w:val="FE9677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A54F8D"/>
    <w:multiLevelType w:val="hybridMultilevel"/>
    <w:tmpl w:val="3F3E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40C55"/>
    <w:multiLevelType w:val="hybridMultilevel"/>
    <w:tmpl w:val="54662F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8A75E8"/>
    <w:multiLevelType w:val="hybridMultilevel"/>
    <w:tmpl w:val="2446E5F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DC94A37"/>
    <w:multiLevelType w:val="hybridMultilevel"/>
    <w:tmpl w:val="59826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5"/>
  </w:num>
  <w:num w:numId="5">
    <w:abstractNumId w:val="24"/>
  </w:num>
  <w:num w:numId="6">
    <w:abstractNumId w:val="18"/>
  </w:num>
  <w:num w:numId="7">
    <w:abstractNumId w:val="21"/>
  </w:num>
  <w:num w:numId="8">
    <w:abstractNumId w:val="25"/>
  </w:num>
  <w:num w:numId="9">
    <w:abstractNumId w:val="7"/>
  </w:num>
  <w:num w:numId="10">
    <w:abstractNumId w:val="3"/>
  </w:num>
  <w:num w:numId="11">
    <w:abstractNumId w:val="11"/>
  </w:num>
  <w:num w:numId="12">
    <w:abstractNumId w:val="1"/>
  </w:num>
  <w:num w:numId="13">
    <w:abstractNumId w:val="0"/>
  </w:num>
  <w:num w:numId="14">
    <w:abstractNumId w:val="2"/>
  </w:num>
  <w:num w:numId="15">
    <w:abstractNumId w:val="13"/>
  </w:num>
  <w:num w:numId="16">
    <w:abstractNumId w:val="4"/>
  </w:num>
  <w:num w:numId="17">
    <w:abstractNumId w:val="8"/>
  </w:num>
  <w:num w:numId="18">
    <w:abstractNumId w:val="10"/>
  </w:num>
  <w:num w:numId="19">
    <w:abstractNumId w:val="12"/>
  </w:num>
  <w:num w:numId="20">
    <w:abstractNumId w:val="22"/>
  </w:num>
  <w:num w:numId="21">
    <w:abstractNumId w:val="16"/>
  </w:num>
  <w:num w:numId="22">
    <w:abstractNumId w:val="19"/>
  </w:num>
  <w:num w:numId="23">
    <w:abstractNumId w:val="15"/>
  </w:num>
  <w:num w:numId="24">
    <w:abstractNumId w:val="20"/>
  </w:num>
  <w:num w:numId="25">
    <w:abstractNumId w:val="6"/>
  </w:num>
  <w:num w:numId="2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665C7"/>
    <w:rsid w:val="00000139"/>
    <w:rsid w:val="000002C8"/>
    <w:rsid w:val="000058DB"/>
    <w:rsid w:val="00006093"/>
    <w:rsid w:val="00006CC0"/>
    <w:rsid w:val="00010612"/>
    <w:rsid w:val="00013D7D"/>
    <w:rsid w:val="00013E50"/>
    <w:rsid w:val="0002144D"/>
    <w:rsid w:val="00024F89"/>
    <w:rsid w:val="00025F73"/>
    <w:rsid w:val="00026C95"/>
    <w:rsid w:val="000279D4"/>
    <w:rsid w:val="00031D6F"/>
    <w:rsid w:val="000362A8"/>
    <w:rsid w:val="00043114"/>
    <w:rsid w:val="000631CD"/>
    <w:rsid w:val="00063E40"/>
    <w:rsid w:val="00064C8C"/>
    <w:rsid w:val="00065C70"/>
    <w:rsid w:val="00066061"/>
    <w:rsid w:val="00070061"/>
    <w:rsid w:val="00077BB2"/>
    <w:rsid w:val="000829CC"/>
    <w:rsid w:val="000878E9"/>
    <w:rsid w:val="000907C7"/>
    <w:rsid w:val="00090E64"/>
    <w:rsid w:val="000921D8"/>
    <w:rsid w:val="0009479B"/>
    <w:rsid w:val="000A05F0"/>
    <w:rsid w:val="000A0FFF"/>
    <w:rsid w:val="000A43D0"/>
    <w:rsid w:val="000A4AEA"/>
    <w:rsid w:val="000A4B8A"/>
    <w:rsid w:val="000A4E16"/>
    <w:rsid w:val="000A6E79"/>
    <w:rsid w:val="000A7000"/>
    <w:rsid w:val="000A7DED"/>
    <w:rsid w:val="000B20BA"/>
    <w:rsid w:val="000B4319"/>
    <w:rsid w:val="000B553B"/>
    <w:rsid w:val="000B5805"/>
    <w:rsid w:val="000C2723"/>
    <w:rsid w:val="000C2B43"/>
    <w:rsid w:val="000D4DC1"/>
    <w:rsid w:val="000D6E1D"/>
    <w:rsid w:val="000E5203"/>
    <w:rsid w:val="000E6F4D"/>
    <w:rsid w:val="000E78E0"/>
    <w:rsid w:val="000F18D1"/>
    <w:rsid w:val="000F5960"/>
    <w:rsid w:val="0010073E"/>
    <w:rsid w:val="00101541"/>
    <w:rsid w:val="001020DD"/>
    <w:rsid w:val="001046D7"/>
    <w:rsid w:val="00106D04"/>
    <w:rsid w:val="001146ED"/>
    <w:rsid w:val="00132B98"/>
    <w:rsid w:val="001333F8"/>
    <w:rsid w:val="00135B00"/>
    <w:rsid w:val="00137626"/>
    <w:rsid w:val="00141BA4"/>
    <w:rsid w:val="00146F4C"/>
    <w:rsid w:val="00150F41"/>
    <w:rsid w:val="00154A4D"/>
    <w:rsid w:val="00155852"/>
    <w:rsid w:val="00155923"/>
    <w:rsid w:val="00157965"/>
    <w:rsid w:val="00160E3A"/>
    <w:rsid w:val="00165BE5"/>
    <w:rsid w:val="00166740"/>
    <w:rsid w:val="00166C26"/>
    <w:rsid w:val="00167F38"/>
    <w:rsid w:val="0017796F"/>
    <w:rsid w:val="00181F98"/>
    <w:rsid w:val="00182211"/>
    <w:rsid w:val="00186180"/>
    <w:rsid w:val="001932E2"/>
    <w:rsid w:val="00193CF6"/>
    <w:rsid w:val="00196E3F"/>
    <w:rsid w:val="001A06D0"/>
    <w:rsid w:val="001A317B"/>
    <w:rsid w:val="001B183F"/>
    <w:rsid w:val="001B34C5"/>
    <w:rsid w:val="001B3BAC"/>
    <w:rsid w:val="001B764F"/>
    <w:rsid w:val="001C649C"/>
    <w:rsid w:val="001D5160"/>
    <w:rsid w:val="001E1E4D"/>
    <w:rsid w:val="001E466F"/>
    <w:rsid w:val="001E614A"/>
    <w:rsid w:val="001E6903"/>
    <w:rsid w:val="001E7D2F"/>
    <w:rsid w:val="001F271A"/>
    <w:rsid w:val="001F344B"/>
    <w:rsid w:val="002040C3"/>
    <w:rsid w:val="00204A51"/>
    <w:rsid w:val="002055F7"/>
    <w:rsid w:val="00210DD2"/>
    <w:rsid w:val="00211370"/>
    <w:rsid w:val="00222DEB"/>
    <w:rsid w:val="002238A0"/>
    <w:rsid w:val="00225049"/>
    <w:rsid w:val="00232EB1"/>
    <w:rsid w:val="00236127"/>
    <w:rsid w:val="00241B7B"/>
    <w:rsid w:val="00242081"/>
    <w:rsid w:val="00242A72"/>
    <w:rsid w:val="00243F72"/>
    <w:rsid w:val="00245069"/>
    <w:rsid w:val="00245D75"/>
    <w:rsid w:val="00267D02"/>
    <w:rsid w:val="00271AA2"/>
    <w:rsid w:val="00274A85"/>
    <w:rsid w:val="0027626D"/>
    <w:rsid w:val="00282747"/>
    <w:rsid w:val="002839CC"/>
    <w:rsid w:val="002871FC"/>
    <w:rsid w:val="0029405F"/>
    <w:rsid w:val="00295150"/>
    <w:rsid w:val="00295C35"/>
    <w:rsid w:val="00296673"/>
    <w:rsid w:val="002A614E"/>
    <w:rsid w:val="002B04C5"/>
    <w:rsid w:val="002B1AA3"/>
    <w:rsid w:val="002B22F0"/>
    <w:rsid w:val="002B6AF6"/>
    <w:rsid w:val="002C020E"/>
    <w:rsid w:val="002D0B82"/>
    <w:rsid w:val="002D27F0"/>
    <w:rsid w:val="002D4C11"/>
    <w:rsid w:val="002E3450"/>
    <w:rsid w:val="002E3F1C"/>
    <w:rsid w:val="002E5602"/>
    <w:rsid w:val="002F0E8F"/>
    <w:rsid w:val="002F1531"/>
    <w:rsid w:val="002F4A10"/>
    <w:rsid w:val="00300866"/>
    <w:rsid w:val="003018FF"/>
    <w:rsid w:val="003133FB"/>
    <w:rsid w:val="00317115"/>
    <w:rsid w:val="00325555"/>
    <w:rsid w:val="00330230"/>
    <w:rsid w:val="00331DCE"/>
    <w:rsid w:val="00332E1A"/>
    <w:rsid w:val="00332F90"/>
    <w:rsid w:val="003421E7"/>
    <w:rsid w:val="00342FB0"/>
    <w:rsid w:val="003505CE"/>
    <w:rsid w:val="00350D1D"/>
    <w:rsid w:val="0035515D"/>
    <w:rsid w:val="00355681"/>
    <w:rsid w:val="003557E0"/>
    <w:rsid w:val="00355D0E"/>
    <w:rsid w:val="00363CE9"/>
    <w:rsid w:val="00364A51"/>
    <w:rsid w:val="003665C7"/>
    <w:rsid w:val="00366DB7"/>
    <w:rsid w:val="00367C75"/>
    <w:rsid w:val="0037697A"/>
    <w:rsid w:val="00380282"/>
    <w:rsid w:val="003832C4"/>
    <w:rsid w:val="0038560A"/>
    <w:rsid w:val="0038738E"/>
    <w:rsid w:val="00394B9C"/>
    <w:rsid w:val="003952D5"/>
    <w:rsid w:val="00395FD4"/>
    <w:rsid w:val="00397E0A"/>
    <w:rsid w:val="003A0602"/>
    <w:rsid w:val="003A5DEE"/>
    <w:rsid w:val="003A678B"/>
    <w:rsid w:val="003B0FA8"/>
    <w:rsid w:val="003B20BC"/>
    <w:rsid w:val="003B24A3"/>
    <w:rsid w:val="003B6B07"/>
    <w:rsid w:val="003C0328"/>
    <w:rsid w:val="003C208B"/>
    <w:rsid w:val="003C5910"/>
    <w:rsid w:val="003C6FDA"/>
    <w:rsid w:val="003D098F"/>
    <w:rsid w:val="003D0C5B"/>
    <w:rsid w:val="003D3B74"/>
    <w:rsid w:val="003D4C08"/>
    <w:rsid w:val="003E1931"/>
    <w:rsid w:val="003E7133"/>
    <w:rsid w:val="003E7C4F"/>
    <w:rsid w:val="00404FC7"/>
    <w:rsid w:val="0040699F"/>
    <w:rsid w:val="00406D22"/>
    <w:rsid w:val="00411B5B"/>
    <w:rsid w:val="004145A0"/>
    <w:rsid w:val="00417E13"/>
    <w:rsid w:val="00422645"/>
    <w:rsid w:val="00425F92"/>
    <w:rsid w:val="004263E9"/>
    <w:rsid w:val="00443891"/>
    <w:rsid w:val="004477B0"/>
    <w:rsid w:val="0045153B"/>
    <w:rsid w:val="00452647"/>
    <w:rsid w:val="00454413"/>
    <w:rsid w:val="004578ED"/>
    <w:rsid w:val="00457BE6"/>
    <w:rsid w:val="0046028D"/>
    <w:rsid w:val="00461090"/>
    <w:rsid w:val="00461D16"/>
    <w:rsid w:val="004661B2"/>
    <w:rsid w:val="00466E3D"/>
    <w:rsid w:val="004744C3"/>
    <w:rsid w:val="00474E0C"/>
    <w:rsid w:val="00477E21"/>
    <w:rsid w:val="00481D25"/>
    <w:rsid w:val="00483031"/>
    <w:rsid w:val="00494E8F"/>
    <w:rsid w:val="00494E9E"/>
    <w:rsid w:val="0049732F"/>
    <w:rsid w:val="004A07AC"/>
    <w:rsid w:val="004A3752"/>
    <w:rsid w:val="004A395B"/>
    <w:rsid w:val="004A4128"/>
    <w:rsid w:val="004A456A"/>
    <w:rsid w:val="004C1466"/>
    <w:rsid w:val="004D1223"/>
    <w:rsid w:val="004D550A"/>
    <w:rsid w:val="004E037A"/>
    <w:rsid w:val="004E61ED"/>
    <w:rsid w:val="004E62D6"/>
    <w:rsid w:val="0051037B"/>
    <w:rsid w:val="0051273E"/>
    <w:rsid w:val="0051368F"/>
    <w:rsid w:val="005176C3"/>
    <w:rsid w:val="00523AFA"/>
    <w:rsid w:val="005308BF"/>
    <w:rsid w:val="00534047"/>
    <w:rsid w:val="00534AFB"/>
    <w:rsid w:val="00534E19"/>
    <w:rsid w:val="00537D63"/>
    <w:rsid w:val="00540205"/>
    <w:rsid w:val="00540BEE"/>
    <w:rsid w:val="00540D1A"/>
    <w:rsid w:val="00540FB5"/>
    <w:rsid w:val="005426F5"/>
    <w:rsid w:val="005474CD"/>
    <w:rsid w:val="005502BF"/>
    <w:rsid w:val="00551412"/>
    <w:rsid w:val="00556A35"/>
    <w:rsid w:val="0056398B"/>
    <w:rsid w:val="00564048"/>
    <w:rsid w:val="005725A5"/>
    <w:rsid w:val="005735A4"/>
    <w:rsid w:val="00573797"/>
    <w:rsid w:val="005743C0"/>
    <w:rsid w:val="00584C82"/>
    <w:rsid w:val="00591135"/>
    <w:rsid w:val="00591D78"/>
    <w:rsid w:val="0059417A"/>
    <w:rsid w:val="00594802"/>
    <w:rsid w:val="005A6129"/>
    <w:rsid w:val="005A6971"/>
    <w:rsid w:val="005B0976"/>
    <w:rsid w:val="005B4164"/>
    <w:rsid w:val="005B78F4"/>
    <w:rsid w:val="005C3270"/>
    <w:rsid w:val="005C3587"/>
    <w:rsid w:val="005C6ADF"/>
    <w:rsid w:val="005D098C"/>
    <w:rsid w:val="005D1972"/>
    <w:rsid w:val="005D2177"/>
    <w:rsid w:val="005D2A59"/>
    <w:rsid w:val="005D31C3"/>
    <w:rsid w:val="005D547A"/>
    <w:rsid w:val="005D60F1"/>
    <w:rsid w:val="005E5694"/>
    <w:rsid w:val="005E63ED"/>
    <w:rsid w:val="005F1287"/>
    <w:rsid w:val="005F3AAE"/>
    <w:rsid w:val="005F3E9B"/>
    <w:rsid w:val="005F7AE0"/>
    <w:rsid w:val="00600E34"/>
    <w:rsid w:val="00621A78"/>
    <w:rsid w:val="00623C5A"/>
    <w:rsid w:val="00626557"/>
    <w:rsid w:val="006266E4"/>
    <w:rsid w:val="00627012"/>
    <w:rsid w:val="006322C9"/>
    <w:rsid w:val="006406A5"/>
    <w:rsid w:val="00643355"/>
    <w:rsid w:val="00647D72"/>
    <w:rsid w:val="00661B2A"/>
    <w:rsid w:val="006657B9"/>
    <w:rsid w:val="00671BA5"/>
    <w:rsid w:val="00673CDF"/>
    <w:rsid w:val="006843C9"/>
    <w:rsid w:val="00684809"/>
    <w:rsid w:val="00684957"/>
    <w:rsid w:val="00684BBD"/>
    <w:rsid w:val="00690D87"/>
    <w:rsid w:val="00692EFD"/>
    <w:rsid w:val="00694833"/>
    <w:rsid w:val="006978D4"/>
    <w:rsid w:val="006A1307"/>
    <w:rsid w:val="006B0D12"/>
    <w:rsid w:val="006B0F6C"/>
    <w:rsid w:val="006B1D70"/>
    <w:rsid w:val="006B4D03"/>
    <w:rsid w:val="006B5A05"/>
    <w:rsid w:val="006C0717"/>
    <w:rsid w:val="006C71B0"/>
    <w:rsid w:val="006C7484"/>
    <w:rsid w:val="006C7C4E"/>
    <w:rsid w:val="006D6B18"/>
    <w:rsid w:val="006E417E"/>
    <w:rsid w:val="006E650C"/>
    <w:rsid w:val="006F0EEE"/>
    <w:rsid w:val="006F1981"/>
    <w:rsid w:val="006F272E"/>
    <w:rsid w:val="007136AF"/>
    <w:rsid w:val="00713CF6"/>
    <w:rsid w:val="007164FD"/>
    <w:rsid w:val="00720E15"/>
    <w:rsid w:val="00721450"/>
    <w:rsid w:val="00723345"/>
    <w:rsid w:val="00727FBF"/>
    <w:rsid w:val="00731AC1"/>
    <w:rsid w:val="00732D12"/>
    <w:rsid w:val="00734226"/>
    <w:rsid w:val="00734362"/>
    <w:rsid w:val="0074612F"/>
    <w:rsid w:val="0074692A"/>
    <w:rsid w:val="0075238C"/>
    <w:rsid w:val="0076227A"/>
    <w:rsid w:val="00763322"/>
    <w:rsid w:val="0076350A"/>
    <w:rsid w:val="00764045"/>
    <w:rsid w:val="00771E27"/>
    <w:rsid w:val="00772D3B"/>
    <w:rsid w:val="007767A2"/>
    <w:rsid w:val="00782428"/>
    <w:rsid w:val="0078259F"/>
    <w:rsid w:val="00783AE5"/>
    <w:rsid w:val="007865CF"/>
    <w:rsid w:val="00786925"/>
    <w:rsid w:val="00791F2F"/>
    <w:rsid w:val="00794899"/>
    <w:rsid w:val="00795F7D"/>
    <w:rsid w:val="0079717D"/>
    <w:rsid w:val="007A661E"/>
    <w:rsid w:val="007A7735"/>
    <w:rsid w:val="007B120D"/>
    <w:rsid w:val="007C09A6"/>
    <w:rsid w:val="007C30F9"/>
    <w:rsid w:val="007C4D11"/>
    <w:rsid w:val="007C5918"/>
    <w:rsid w:val="007C65A4"/>
    <w:rsid w:val="007C6DB3"/>
    <w:rsid w:val="007D6E19"/>
    <w:rsid w:val="007E1A5C"/>
    <w:rsid w:val="007E621E"/>
    <w:rsid w:val="007E69BA"/>
    <w:rsid w:val="007F0104"/>
    <w:rsid w:val="007F2CE0"/>
    <w:rsid w:val="007F7333"/>
    <w:rsid w:val="007F746D"/>
    <w:rsid w:val="00802365"/>
    <w:rsid w:val="00806872"/>
    <w:rsid w:val="008112A6"/>
    <w:rsid w:val="008221D3"/>
    <w:rsid w:val="008311CB"/>
    <w:rsid w:val="0083124C"/>
    <w:rsid w:val="008320BF"/>
    <w:rsid w:val="00835687"/>
    <w:rsid w:val="008443C1"/>
    <w:rsid w:val="00846610"/>
    <w:rsid w:val="008507F8"/>
    <w:rsid w:val="00851CD2"/>
    <w:rsid w:val="008569B6"/>
    <w:rsid w:val="0086510F"/>
    <w:rsid w:val="00867625"/>
    <w:rsid w:val="00875422"/>
    <w:rsid w:val="00884108"/>
    <w:rsid w:val="0088790D"/>
    <w:rsid w:val="0089209A"/>
    <w:rsid w:val="008961DD"/>
    <w:rsid w:val="008A1673"/>
    <w:rsid w:val="008A1C7F"/>
    <w:rsid w:val="008A773B"/>
    <w:rsid w:val="008B1016"/>
    <w:rsid w:val="008B1271"/>
    <w:rsid w:val="008B49E8"/>
    <w:rsid w:val="008B5007"/>
    <w:rsid w:val="008B65BA"/>
    <w:rsid w:val="008C07DC"/>
    <w:rsid w:val="008C1174"/>
    <w:rsid w:val="008C129C"/>
    <w:rsid w:val="008C2D50"/>
    <w:rsid w:val="008C6D65"/>
    <w:rsid w:val="008D3811"/>
    <w:rsid w:val="008D5D7B"/>
    <w:rsid w:val="008D720E"/>
    <w:rsid w:val="008E2062"/>
    <w:rsid w:val="008F1D30"/>
    <w:rsid w:val="008F2964"/>
    <w:rsid w:val="008F6EFA"/>
    <w:rsid w:val="00901306"/>
    <w:rsid w:val="00907A1B"/>
    <w:rsid w:val="00910E95"/>
    <w:rsid w:val="009110F9"/>
    <w:rsid w:val="00915510"/>
    <w:rsid w:val="009214A2"/>
    <w:rsid w:val="00922518"/>
    <w:rsid w:val="0092303A"/>
    <w:rsid w:val="00924EB5"/>
    <w:rsid w:val="00925EE6"/>
    <w:rsid w:val="00926400"/>
    <w:rsid w:val="00931811"/>
    <w:rsid w:val="00940B2B"/>
    <w:rsid w:val="00950CA1"/>
    <w:rsid w:val="00953AC1"/>
    <w:rsid w:val="0095792F"/>
    <w:rsid w:val="009619C4"/>
    <w:rsid w:val="0096519A"/>
    <w:rsid w:val="00965649"/>
    <w:rsid w:val="00967D52"/>
    <w:rsid w:val="00971497"/>
    <w:rsid w:val="009720F5"/>
    <w:rsid w:val="0097290F"/>
    <w:rsid w:val="009734FE"/>
    <w:rsid w:val="0098145B"/>
    <w:rsid w:val="00982589"/>
    <w:rsid w:val="0098678B"/>
    <w:rsid w:val="00986D4B"/>
    <w:rsid w:val="00996816"/>
    <w:rsid w:val="009A14F7"/>
    <w:rsid w:val="009A75BF"/>
    <w:rsid w:val="009B02C1"/>
    <w:rsid w:val="009B0711"/>
    <w:rsid w:val="009C0D05"/>
    <w:rsid w:val="009C11EF"/>
    <w:rsid w:val="009C24F9"/>
    <w:rsid w:val="009C30EA"/>
    <w:rsid w:val="009D1DFD"/>
    <w:rsid w:val="009D5546"/>
    <w:rsid w:val="009E0D42"/>
    <w:rsid w:val="009E25DA"/>
    <w:rsid w:val="009E2ADC"/>
    <w:rsid w:val="009E64F2"/>
    <w:rsid w:val="009F4482"/>
    <w:rsid w:val="00A0467F"/>
    <w:rsid w:val="00A053EF"/>
    <w:rsid w:val="00A057DC"/>
    <w:rsid w:val="00A05EA5"/>
    <w:rsid w:val="00A066DA"/>
    <w:rsid w:val="00A13B78"/>
    <w:rsid w:val="00A177A3"/>
    <w:rsid w:val="00A241E3"/>
    <w:rsid w:val="00A25E3E"/>
    <w:rsid w:val="00A27BC2"/>
    <w:rsid w:val="00A3078A"/>
    <w:rsid w:val="00A31A45"/>
    <w:rsid w:val="00A36758"/>
    <w:rsid w:val="00A36AD3"/>
    <w:rsid w:val="00A51F26"/>
    <w:rsid w:val="00A52CDC"/>
    <w:rsid w:val="00A55C1B"/>
    <w:rsid w:val="00A55F58"/>
    <w:rsid w:val="00A732DE"/>
    <w:rsid w:val="00A82C15"/>
    <w:rsid w:val="00A868B3"/>
    <w:rsid w:val="00AA3628"/>
    <w:rsid w:val="00AB4873"/>
    <w:rsid w:val="00AB64E8"/>
    <w:rsid w:val="00AB77F8"/>
    <w:rsid w:val="00AC10AF"/>
    <w:rsid w:val="00AC7D2C"/>
    <w:rsid w:val="00AE18BD"/>
    <w:rsid w:val="00AE1A50"/>
    <w:rsid w:val="00AE2E19"/>
    <w:rsid w:val="00AF2974"/>
    <w:rsid w:val="00AF2C8C"/>
    <w:rsid w:val="00AF4DFB"/>
    <w:rsid w:val="00B01B54"/>
    <w:rsid w:val="00B0306D"/>
    <w:rsid w:val="00B132D6"/>
    <w:rsid w:val="00B141C7"/>
    <w:rsid w:val="00B145EF"/>
    <w:rsid w:val="00B168A2"/>
    <w:rsid w:val="00B17CDF"/>
    <w:rsid w:val="00B22C78"/>
    <w:rsid w:val="00B22C8B"/>
    <w:rsid w:val="00B2303F"/>
    <w:rsid w:val="00B235A6"/>
    <w:rsid w:val="00B24089"/>
    <w:rsid w:val="00B24B74"/>
    <w:rsid w:val="00B24CA2"/>
    <w:rsid w:val="00B27B5E"/>
    <w:rsid w:val="00B3021E"/>
    <w:rsid w:val="00B32205"/>
    <w:rsid w:val="00B32AFC"/>
    <w:rsid w:val="00B33938"/>
    <w:rsid w:val="00B35B3E"/>
    <w:rsid w:val="00B43083"/>
    <w:rsid w:val="00B471A5"/>
    <w:rsid w:val="00B47B9E"/>
    <w:rsid w:val="00B52D75"/>
    <w:rsid w:val="00B63952"/>
    <w:rsid w:val="00B63A47"/>
    <w:rsid w:val="00B70C13"/>
    <w:rsid w:val="00B71685"/>
    <w:rsid w:val="00B7246F"/>
    <w:rsid w:val="00B727BE"/>
    <w:rsid w:val="00B73AAA"/>
    <w:rsid w:val="00B75494"/>
    <w:rsid w:val="00B8150A"/>
    <w:rsid w:val="00B84126"/>
    <w:rsid w:val="00B85302"/>
    <w:rsid w:val="00B9057D"/>
    <w:rsid w:val="00B967B3"/>
    <w:rsid w:val="00B97443"/>
    <w:rsid w:val="00BA2005"/>
    <w:rsid w:val="00BA26D1"/>
    <w:rsid w:val="00BA57AE"/>
    <w:rsid w:val="00BA688D"/>
    <w:rsid w:val="00BB32B5"/>
    <w:rsid w:val="00BC0FB4"/>
    <w:rsid w:val="00BC1241"/>
    <w:rsid w:val="00BC7C03"/>
    <w:rsid w:val="00BD0207"/>
    <w:rsid w:val="00BD4528"/>
    <w:rsid w:val="00BD4D46"/>
    <w:rsid w:val="00BD6956"/>
    <w:rsid w:val="00BD77B1"/>
    <w:rsid w:val="00BE1B43"/>
    <w:rsid w:val="00BE2B65"/>
    <w:rsid w:val="00BE315C"/>
    <w:rsid w:val="00BE5812"/>
    <w:rsid w:val="00BE6EF7"/>
    <w:rsid w:val="00BF04A4"/>
    <w:rsid w:val="00BF0DD1"/>
    <w:rsid w:val="00BF105A"/>
    <w:rsid w:val="00BF22AE"/>
    <w:rsid w:val="00BF2F0A"/>
    <w:rsid w:val="00BF6398"/>
    <w:rsid w:val="00BF6C68"/>
    <w:rsid w:val="00C05AE1"/>
    <w:rsid w:val="00C10119"/>
    <w:rsid w:val="00C1372E"/>
    <w:rsid w:val="00C13FB0"/>
    <w:rsid w:val="00C162C8"/>
    <w:rsid w:val="00C16A4D"/>
    <w:rsid w:val="00C20ADD"/>
    <w:rsid w:val="00C27119"/>
    <w:rsid w:val="00C27FF6"/>
    <w:rsid w:val="00C3520D"/>
    <w:rsid w:val="00C36B8B"/>
    <w:rsid w:val="00C4708F"/>
    <w:rsid w:val="00C565D9"/>
    <w:rsid w:val="00C60E1B"/>
    <w:rsid w:val="00C61D44"/>
    <w:rsid w:val="00C64471"/>
    <w:rsid w:val="00C71F46"/>
    <w:rsid w:val="00C7286A"/>
    <w:rsid w:val="00C76EB5"/>
    <w:rsid w:val="00C82115"/>
    <w:rsid w:val="00C83BD5"/>
    <w:rsid w:val="00C83EBB"/>
    <w:rsid w:val="00C929AA"/>
    <w:rsid w:val="00C95666"/>
    <w:rsid w:val="00C96374"/>
    <w:rsid w:val="00C977AB"/>
    <w:rsid w:val="00CA0F98"/>
    <w:rsid w:val="00CA2F98"/>
    <w:rsid w:val="00CA3B99"/>
    <w:rsid w:val="00CA467D"/>
    <w:rsid w:val="00CA6A56"/>
    <w:rsid w:val="00CA79ED"/>
    <w:rsid w:val="00CB294D"/>
    <w:rsid w:val="00CB3050"/>
    <w:rsid w:val="00CC121E"/>
    <w:rsid w:val="00CC6417"/>
    <w:rsid w:val="00CC6A71"/>
    <w:rsid w:val="00CD227F"/>
    <w:rsid w:val="00CD597B"/>
    <w:rsid w:val="00CD62C2"/>
    <w:rsid w:val="00CD6F6A"/>
    <w:rsid w:val="00CE229C"/>
    <w:rsid w:val="00CF221A"/>
    <w:rsid w:val="00CF3F00"/>
    <w:rsid w:val="00CF458B"/>
    <w:rsid w:val="00CF575B"/>
    <w:rsid w:val="00D022DE"/>
    <w:rsid w:val="00D035A2"/>
    <w:rsid w:val="00D039B0"/>
    <w:rsid w:val="00D04E7D"/>
    <w:rsid w:val="00D051BA"/>
    <w:rsid w:val="00D10510"/>
    <w:rsid w:val="00D1364B"/>
    <w:rsid w:val="00D145FC"/>
    <w:rsid w:val="00D14AED"/>
    <w:rsid w:val="00D160BB"/>
    <w:rsid w:val="00D223F5"/>
    <w:rsid w:val="00D24FB4"/>
    <w:rsid w:val="00D35AB6"/>
    <w:rsid w:val="00D36458"/>
    <w:rsid w:val="00D40EA6"/>
    <w:rsid w:val="00D4285E"/>
    <w:rsid w:val="00D43635"/>
    <w:rsid w:val="00D43CAD"/>
    <w:rsid w:val="00D461D6"/>
    <w:rsid w:val="00D46B43"/>
    <w:rsid w:val="00D51B7A"/>
    <w:rsid w:val="00D53879"/>
    <w:rsid w:val="00D53D6E"/>
    <w:rsid w:val="00D54425"/>
    <w:rsid w:val="00D54A52"/>
    <w:rsid w:val="00D5557F"/>
    <w:rsid w:val="00D56570"/>
    <w:rsid w:val="00D620DF"/>
    <w:rsid w:val="00D62887"/>
    <w:rsid w:val="00D62E63"/>
    <w:rsid w:val="00D65F33"/>
    <w:rsid w:val="00D665A7"/>
    <w:rsid w:val="00D7015A"/>
    <w:rsid w:val="00D77F71"/>
    <w:rsid w:val="00D83372"/>
    <w:rsid w:val="00D8409F"/>
    <w:rsid w:val="00D84707"/>
    <w:rsid w:val="00D85137"/>
    <w:rsid w:val="00D86374"/>
    <w:rsid w:val="00D900D4"/>
    <w:rsid w:val="00D93453"/>
    <w:rsid w:val="00D93D46"/>
    <w:rsid w:val="00D951A9"/>
    <w:rsid w:val="00DA09B3"/>
    <w:rsid w:val="00DA3807"/>
    <w:rsid w:val="00DA3EED"/>
    <w:rsid w:val="00DA6C14"/>
    <w:rsid w:val="00DB7135"/>
    <w:rsid w:val="00DB7B5F"/>
    <w:rsid w:val="00DC7368"/>
    <w:rsid w:val="00DC7CA7"/>
    <w:rsid w:val="00DD1502"/>
    <w:rsid w:val="00DD3628"/>
    <w:rsid w:val="00DE0E9B"/>
    <w:rsid w:val="00DE1584"/>
    <w:rsid w:val="00E026A5"/>
    <w:rsid w:val="00E04D41"/>
    <w:rsid w:val="00E0603A"/>
    <w:rsid w:val="00E070D5"/>
    <w:rsid w:val="00E1733F"/>
    <w:rsid w:val="00E20D2F"/>
    <w:rsid w:val="00E20ED3"/>
    <w:rsid w:val="00E2314A"/>
    <w:rsid w:val="00E23F48"/>
    <w:rsid w:val="00E26020"/>
    <w:rsid w:val="00E351CB"/>
    <w:rsid w:val="00E4284A"/>
    <w:rsid w:val="00E42A3B"/>
    <w:rsid w:val="00E45094"/>
    <w:rsid w:val="00E451A2"/>
    <w:rsid w:val="00E45E6B"/>
    <w:rsid w:val="00E513F1"/>
    <w:rsid w:val="00E51499"/>
    <w:rsid w:val="00E52D8C"/>
    <w:rsid w:val="00E5376D"/>
    <w:rsid w:val="00E53879"/>
    <w:rsid w:val="00E62D20"/>
    <w:rsid w:val="00E63F62"/>
    <w:rsid w:val="00E6623C"/>
    <w:rsid w:val="00E67D5C"/>
    <w:rsid w:val="00E70D67"/>
    <w:rsid w:val="00E749D1"/>
    <w:rsid w:val="00E755F5"/>
    <w:rsid w:val="00E81088"/>
    <w:rsid w:val="00E86769"/>
    <w:rsid w:val="00E90FC0"/>
    <w:rsid w:val="00E932E6"/>
    <w:rsid w:val="00E9574B"/>
    <w:rsid w:val="00E97219"/>
    <w:rsid w:val="00EA03DB"/>
    <w:rsid w:val="00EA0510"/>
    <w:rsid w:val="00EA1153"/>
    <w:rsid w:val="00EA4565"/>
    <w:rsid w:val="00EA48C1"/>
    <w:rsid w:val="00EB0591"/>
    <w:rsid w:val="00EB0C63"/>
    <w:rsid w:val="00EB447D"/>
    <w:rsid w:val="00EB4E0D"/>
    <w:rsid w:val="00EB64AF"/>
    <w:rsid w:val="00EB7502"/>
    <w:rsid w:val="00EC2FB4"/>
    <w:rsid w:val="00EC3C37"/>
    <w:rsid w:val="00EC6D2A"/>
    <w:rsid w:val="00EC7A9C"/>
    <w:rsid w:val="00EE6214"/>
    <w:rsid w:val="00EE7EFD"/>
    <w:rsid w:val="00EF04F3"/>
    <w:rsid w:val="00EF0DD5"/>
    <w:rsid w:val="00EF106E"/>
    <w:rsid w:val="00EF1AFD"/>
    <w:rsid w:val="00EF1BB6"/>
    <w:rsid w:val="00EF39E4"/>
    <w:rsid w:val="00EF3EDF"/>
    <w:rsid w:val="00F017D2"/>
    <w:rsid w:val="00F040EB"/>
    <w:rsid w:val="00F04786"/>
    <w:rsid w:val="00F05675"/>
    <w:rsid w:val="00F071A3"/>
    <w:rsid w:val="00F2014E"/>
    <w:rsid w:val="00F202DA"/>
    <w:rsid w:val="00F21EBF"/>
    <w:rsid w:val="00F22C63"/>
    <w:rsid w:val="00F23E9F"/>
    <w:rsid w:val="00F266AC"/>
    <w:rsid w:val="00F3199A"/>
    <w:rsid w:val="00F47403"/>
    <w:rsid w:val="00F527F9"/>
    <w:rsid w:val="00F53660"/>
    <w:rsid w:val="00F55892"/>
    <w:rsid w:val="00F616CB"/>
    <w:rsid w:val="00F63667"/>
    <w:rsid w:val="00F63818"/>
    <w:rsid w:val="00F64070"/>
    <w:rsid w:val="00F66378"/>
    <w:rsid w:val="00F77607"/>
    <w:rsid w:val="00F83AB8"/>
    <w:rsid w:val="00F92FD1"/>
    <w:rsid w:val="00FA2033"/>
    <w:rsid w:val="00FA3187"/>
    <w:rsid w:val="00FA5B1E"/>
    <w:rsid w:val="00FA7AF2"/>
    <w:rsid w:val="00FA7F94"/>
    <w:rsid w:val="00FB75A9"/>
    <w:rsid w:val="00FC1D52"/>
    <w:rsid w:val="00FC3A48"/>
    <w:rsid w:val="00FC3EA5"/>
    <w:rsid w:val="00FC5DA6"/>
    <w:rsid w:val="00FD03A8"/>
    <w:rsid w:val="00FD6F2D"/>
    <w:rsid w:val="00FE15B8"/>
    <w:rsid w:val="00FF0B2E"/>
    <w:rsid w:val="00FF0DFE"/>
    <w:rsid w:val="00FF17F1"/>
    <w:rsid w:val="00FF6B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CF6"/>
    <w:pPr>
      <w:tabs>
        <w:tab w:val="center" w:pos="4153"/>
        <w:tab w:val="right" w:pos="8306"/>
      </w:tabs>
    </w:pPr>
  </w:style>
  <w:style w:type="character" w:styleId="PageNumber">
    <w:name w:val="page number"/>
    <w:basedOn w:val="DefaultParagraphFont"/>
    <w:rsid w:val="00713CF6"/>
  </w:style>
  <w:style w:type="paragraph" w:styleId="Header">
    <w:name w:val="header"/>
    <w:basedOn w:val="Normal"/>
    <w:rsid w:val="00713CF6"/>
    <w:pPr>
      <w:tabs>
        <w:tab w:val="center" w:pos="4153"/>
        <w:tab w:val="right" w:pos="8306"/>
      </w:tabs>
    </w:pPr>
  </w:style>
  <w:style w:type="character" w:customStyle="1" w:styleId="FooterChar">
    <w:name w:val="Footer Char"/>
    <w:link w:val="Footer"/>
    <w:uiPriority w:val="99"/>
    <w:rsid w:val="001F344B"/>
    <w:rPr>
      <w:sz w:val="24"/>
      <w:szCs w:val="24"/>
      <w:lang w:val="en-GB" w:eastAsia="en-GB" w:bidi="ar-SA"/>
    </w:rPr>
  </w:style>
  <w:style w:type="character" w:styleId="Hyperlink">
    <w:name w:val="Hyperlink"/>
    <w:rsid w:val="001F344B"/>
    <w:rPr>
      <w:rFonts w:cs="Times New Roman"/>
      <w:color w:val="0000FF"/>
      <w:u w:val="single"/>
    </w:rPr>
  </w:style>
  <w:style w:type="character" w:styleId="FollowedHyperlink">
    <w:name w:val="FollowedHyperlink"/>
    <w:rsid w:val="00B24089"/>
    <w:rPr>
      <w:color w:val="800080"/>
      <w:u w:val="single"/>
    </w:rPr>
  </w:style>
  <w:style w:type="paragraph" w:customStyle="1" w:styleId="Default">
    <w:name w:val="Default"/>
    <w:rsid w:val="008443C1"/>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443C1"/>
    <w:rPr>
      <w:b/>
      <w:bCs/>
    </w:rPr>
  </w:style>
  <w:style w:type="character" w:styleId="Emphasis">
    <w:name w:val="Emphasis"/>
    <w:uiPriority w:val="20"/>
    <w:qFormat/>
    <w:rsid w:val="008443C1"/>
    <w:rPr>
      <w:i/>
      <w:iCs/>
    </w:rPr>
  </w:style>
  <w:style w:type="character" w:customStyle="1" w:styleId="ms-rtecustom-cityarticletext1">
    <w:name w:val="ms-rtecustom-cityarticletext1"/>
    <w:rsid w:val="008443C1"/>
    <w:rPr>
      <w:rFonts w:ascii="Verdana" w:hAnsi="Verdana" w:hint="default"/>
      <w:b w:val="0"/>
      <w:bCs w:val="0"/>
      <w:color w:val="000000"/>
      <w:sz w:val="17"/>
      <w:szCs w:val="17"/>
    </w:rPr>
  </w:style>
  <w:style w:type="paragraph" w:styleId="ListParagraph">
    <w:name w:val="List Paragraph"/>
    <w:basedOn w:val="Normal"/>
    <w:uiPriority w:val="34"/>
    <w:qFormat/>
    <w:rsid w:val="008443C1"/>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rsid w:val="0049732F"/>
    <w:rPr>
      <w:sz w:val="20"/>
      <w:szCs w:val="20"/>
    </w:rPr>
  </w:style>
  <w:style w:type="character" w:customStyle="1" w:styleId="FootnoteTextChar">
    <w:name w:val="Footnote Text Char"/>
    <w:link w:val="FootnoteText"/>
    <w:uiPriority w:val="99"/>
    <w:rsid w:val="0049732F"/>
    <w:rPr>
      <w:lang w:val="en-GB" w:eastAsia="en-GB"/>
    </w:rPr>
  </w:style>
  <w:style w:type="character" w:styleId="FootnoteReference">
    <w:name w:val="footnote reference"/>
    <w:uiPriority w:val="99"/>
    <w:rsid w:val="0049732F"/>
    <w:rPr>
      <w:vertAlign w:val="superscript"/>
    </w:rPr>
  </w:style>
  <w:style w:type="paragraph" w:styleId="BalloonText">
    <w:name w:val="Balloon Text"/>
    <w:basedOn w:val="Normal"/>
    <w:link w:val="BalloonTextChar"/>
    <w:rsid w:val="003B20BC"/>
    <w:rPr>
      <w:rFonts w:ascii="Tahoma" w:hAnsi="Tahoma" w:cs="Tahoma"/>
      <w:sz w:val="16"/>
      <w:szCs w:val="16"/>
    </w:rPr>
  </w:style>
  <w:style w:type="character" w:customStyle="1" w:styleId="BalloonTextChar">
    <w:name w:val="Balloon Text Char"/>
    <w:link w:val="BalloonText"/>
    <w:rsid w:val="003B20BC"/>
    <w:rPr>
      <w:rFonts w:ascii="Tahoma" w:hAnsi="Tahoma" w:cs="Tahoma"/>
      <w:sz w:val="16"/>
      <w:szCs w:val="16"/>
      <w:lang w:val="en-GB" w:eastAsia="en-GB"/>
    </w:rPr>
  </w:style>
  <w:style w:type="paragraph" w:styleId="NormalWeb">
    <w:name w:val="Normal (Web)"/>
    <w:basedOn w:val="Normal"/>
    <w:uiPriority w:val="99"/>
    <w:unhideWhenUsed/>
    <w:rsid w:val="009F4482"/>
    <w:pPr>
      <w:spacing w:before="100" w:beforeAutospacing="1" w:after="96"/>
    </w:pPr>
    <w:rPr>
      <w:sz w:val="29"/>
      <w:szCs w:val="29"/>
      <w:lang w:val="en-ZA" w:eastAsia="en-ZA"/>
    </w:rPr>
  </w:style>
  <w:style w:type="table" w:styleId="TableGrid">
    <w:name w:val="Table Grid"/>
    <w:basedOn w:val="TableNormal"/>
    <w:uiPriority w:val="39"/>
    <w:rsid w:val="0037697A"/>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081446">
      <w:bodyDiv w:val="1"/>
      <w:marLeft w:val="0"/>
      <w:marRight w:val="0"/>
      <w:marTop w:val="0"/>
      <w:marBottom w:val="0"/>
      <w:divBdr>
        <w:top w:val="none" w:sz="0" w:space="0" w:color="auto"/>
        <w:left w:val="none" w:sz="0" w:space="0" w:color="auto"/>
        <w:bottom w:val="none" w:sz="0" w:space="0" w:color="auto"/>
        <w:right w:val="none" w:sz="0" w:space="0" w:color="auto"/>
      </w:divBdr>
      <w:divsChild>
        <w:div w:id="706180015">
          <w:marLeft w:val="0"/>
          <w:marRight w:val="0"/>
          <w:marTop w:val="100"/>
          <w:marBottom w:val="100"/>
          <w:divBdr>
            <w:top w:val="none" w:sz="0" w:space="0" w:color="auto"/>
            <w:left w:val="none" w:sz="0" w:space="0" w:color="auto"/>
            <w:bottom w:val="none" w:sz="0" w:space="0" w:color="auto"/>
            <w:right w:val="none" w:sz="0" w:space="0" w:color="auto"/>
          </w:divBdr>
          <w:divsChild>
            <w:div w:id="2093550444">
              <w:marLeft w:val="0"/>
              <w:marRight w:val="0"/>
              <w:marTop w:val="0"/>
              <w:marBottom w:val="0"/>
              <w:divBdr>
                <w:top w:val="none" w:sz="0" w:space="0" w:color="auto"/>
                <w:left w:val="none" w:sz="0" w:space="0" w:color="auto"/>
                <w:bottom w:val="none" w:sz="0" w:space="0" w:color="auto"/>
                <w:right w:val="none" w:sz="0" w:space="0" w:color="auto"/>
              </w:divBdr>
              <w:divsChild>
                <w:div w:id="1524974887">
                  <w:marLeft w:val="0"/>
                  <w:marRight w:val="75"/>
                  <w:marTop w:val="0"/>
                  <w:marBottom w:val="0"/>
                  <w:divBdr>
                    <w:top w:val="none" w:sz="0" w:space="0" w:color="auto"/>
                    <w:left w:val="none" w:sz="0" w:space="0" w:color="auto"/>
                    <w:bottom w:val="none" w:sz="0" w:space="0" w:color="auto"/>
                    <w:right w:val="none" w:sz="0" w:space="0" w:color="auto"/>
                  </w:divBdr>
                  <w:divsChild>
                    <w:div w:id="1327593169">
                      <w:marLeft w:val="0"/>
                      <w:marRight w:val="0"/>
                      <w:marTop w:val="0"/>
                      <w:marBottom w:val="360"/>
                      <w:divBdr>
                        <w:top w:val="none" w:sz="0" w:space="0" w:color="auto"/>
                        <w:left w:val="none" w:sz="0" w:space="0" w:color="auto"/>
                        <w:bottom w:val="none" w:sz="0" w:space="0" w:color="auto"/>
                        <w:right w:val="none" w:sz="0" w:space="0" w:color="auto"/>
                      </w:divBdr>
                      <w:divsChild>
                        <w:div w:id="147333521">
                          <w:marLeft w:val="0"/>
                          <w:marRight w:val="0"/>
                          <w:marTop w:val="0"/>
                          <w:marBottom w:val="15"/>
                          <w:divBdr>
                            <w:top w:val="dotted" w:sz="12" w:space="0" w:color="DDEFF5"/>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sChild>
                                <w:div w:id="20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Protection of Personal Information Bill [B9 – 2009]:</vt:lpstr>
    </vt:vector>
  </TitlesOfParts>
  <Company>Proline</Company>
  <LinksUpToDate>false</LinksUpToDate>
  <CharactersWithSpaces>5564</CharactersWithSpaces>
  <SharedDoc>false</SharedDoc>
  <HLinks>
    <vt:vector size="18" baseType="variant">
      <vt:variant>
        <vt:i4>3866628</vt:i4>
      </vt:variant>
      <vt:variant>
        <vt:i4>6</vt:i4>
      </vt:variant>
      <vt:variant>
        <vt:i4>0</vt:i4>
      </vt:variant>
      <vt:variant>
        <vt:i4>5</vt:i4>
      </vt:variant>
      <vt:variant>
        <vt:lpwstr>http://www.capetown.gov.za/en/EnvironmentalResourceManagement/publications/Documents/NEM_Biodiversity_Act_10_of_2004.pdf</vt:lpwstr>
      </vt:variant>
      <vt:variant>
        <vt:lpwstr/>
      </vt:variant>
      <vt:variant>
        <vt:i4>3866628</vt:i4>
      </vt:variant>
      <vt:variant>
        <vt:i4>3</vt:i4>
      </vt:variant>
      <vt:variant>
        <vt:i4>0</vt:i4>
      </vt:variant>
      <vt:variant>
        <vt:i4>5</vt:i4>
      </vt:variant>
      <vt:variant>
        <vt:lpwstr>http://www.capetown.gov.za/en/EnvironmentalResourceManagement/publications/Documents/NEM_Biodiversity_Act_10_of_2004.pdf</vt:lpwstr>
      </vt:variant>
      <vt:variant>
        <vt:lpwstr/>
      </vt:variant>
      <vt:variant>
        <vt:i4>3932188</vt:i4>
      </vt:variant>
      <vt:variant>
        <vt:i4>0</vt:i4>
      </vt:variant>
      <vt:variant>
        <vt:i4>0</vt:i4>
      </vt:variant>
      <vt:variant>
        <vt:i4>5</vt:i4>
      </vt:variant>
      <vt:variant>
        <vt:lpwstr>http://www.capetown.gov.za/en/EnvironmentalResourceManagement/publications/Documents/Conservation_of_Agric_Resources_Act_43_of_1983.pdf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Personal Information Bill [B9 – 2009]:</dc:title>
  <dc:creator>"Anthea VanDerBurg" &lt;avanderburg@parliament.gov.za&gt;</dc:creator>
  <cp:lastModifiedBy>PUMZA</cp:lastModifiedBy>
  <cp:revision>2</cp:revision>
  <cp:lastPrinted>2013-06-03T07:37:00Z</cp:lastPrinted>
  <dcterms:created xsi:type="dcterms:W3CDTF">2019-11-06T12:16:00Z</dcterms:created>
  <dcterms:modified xsi:type="dcterms:W3CDTF">2019-11-06T12:16:00Z</dcterms:modified>
</cp:coreProperties>
</file>