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F95" w:rsidRPr="00693015" w:rsidRDefault="00693015" w:rsidP="00CE11FE">
      <w:pPr>
        <w:spacing w:line="240" w:lineRule="auto"/>
        <w:jc w:val="center"/>
        <w:rPr>
          <w:rFonts w:ascii="Arial" w:hAnsi="Arial" w:cs="Arial"/>
          <w:b/>
          <w:sz w:val="24"/>
          <w:szCs w:val="24"/>
        </w:rPr>
      </w:pPr>
      <w:bookmarkStart w:id="0" w:name="_GoBack"/>
      <w:bookmarkEnd w:id="0"/>
      <w:r w:rsidRPr="00693015">
        <w:rPr>
          <w:rFonts w:ascii="Arial" w:hAnsi="Arial" w:cs="Arial"/>
          <w:b/>
          <w:sz w:val="24"/>
          <w:szCs w:val="24"/>
        </w:rPr>
        <w:t xml:space="preserve">SUMMARY OF PUBLIC SUBMISSIONS  </w:t>
      </w:r>
    </w:p>
    <w:p w:rsidR="00756D89" w:rsidRPr="00693015" w:rsidRDefault="00693015" w:rsidP="00CE11FE">
      <w:pPr>
        <w:spacing w:line="240" w:lineRule="auto"/>
        <w:jc w:val="center"/>
        <w:rPr>
          <w:rFonts w:ascii="Arial" w:hAnsi="Arial" w:cs="Arial"/>
          <w:b/>
          <w:sz w:val="24"/>
          <w:szCs w:val="24"/>
        </w:rPr>
      </w:pPr>
      <w:r w:rsidRPr="00693015">
        <w:rPr>
          <w:rFonts w:ascii="Arial" w:hAnsi="Arial" w:cs="Arial"/>
          <w:b/>
          <w:sz w:val="24"/>
          <w:szCs w:val="24"/>
        </w:rPr>
        <w:t>CHILD JUSTICE AMENDMENT BILL</w:t>
      </w:r>
    </w:p>
    <w:p w:rsidR="00756D89" w:rsidRPr="00693015" w:rsidRDefault="00693015" w:rsidP="00CE11FE">
      <w:pPr>
        <w:pBdr>
          <w:bottom w:val="single" w:sz="6" w:space="1" w:color="auto"/>
        </w:pBdr>
        <w:spacing w:line="240" w:lineRule="auto"/>
        <w:jc w:val="center"/>
        <w:rPr>
          <w:rFonts w:ascii="Arial" w:hAnsi="Arial" w:cs="Arial"/>
          <w:b/>
          <w:sz w:val="24"/>
          <w:szCs w:val="24"/>
        </w:rPr>
      </w:pPr>
      <w:r w:rsidRPr="00693015">
        <w:rPr>
          <w:rFonts w:ascii="Arial" w:hAnsi="Arial" w:cs="Arial"/>
          <w:b/>
          <w:sz w:val="24"/>
          <w:szCs w:val="24"/>
        </w:rPr>
        <w:t>[B32B-2018]</w:t>
      </w:r>
    </w:p>
    <w:p w:rsidR="00756D89" w:rsidRDefault="00756D89" w:rsidP="0022216D">
      <w:pPr>
        <w:spacing w:line="240" w:lineRule="auto"/>
        <w:rPr>
          <w:rFonts w:ascii="Arial" w:hAnsi="Arial" w:cs="Arial"/>
        </w:rPr>
      </w:pPr>
    </w:p>
    <w:p w:rsidR="0022216D" w:rsidRDefault="00693015" w:rsidP="00693015">
      <w:pPr>
        <w:jc w:val="both"/>
        <w:rPr>
          <w:rFonts w:ascii="Arial" w:hAnsi="Arial" w:cs="Arial"/>
        </w:rPr>
      </w:pPr>
      <w:r w:rsidRPr="00D708AE">
        <w:rPr>
          <w:rFonts w:ascii="Arial" w:hAnsi="Arial" w:cs="Arial"/>
        </w:rPr>
        <w:t>The Bill was advertised for comments on electronic platforms from 5 February 2019 to 1 March 2019.</w:t>
      </w:r>
      <w:r>
        <w:rPr>
          <w:rFonts w:ascii="Arial" w:hAnsi="Arial" w:cs="Arial"/>
        </w:rPr>
        <w:t xml:space="preserve"> </w:t>
      </w:r>
      <w:r w:rsidRPr="00D708AE">
        <w:rPr>
          <w:rFonts w:ascii="Arial" w:hAnsi="Arial" w:cs="Arial"/>
        </w:rPr>
        <w:t>Two submissions were received from the Centre for Child Law and Mr Marius Redelinghuys</w:t>
      </w:r>
      <w:r>
        <w:rPr>
          <w:rFonts w:ascii="Arial" w:hAnsi="Arial" w:cs="Arial"/>
        </w:rPr>
        <w:t xml:space="preserve">. </w:t>
      </w:r>
      <w:r w:rsidRPr="00D708AE">
        <w:rPr>
          <w:rFonts w:ascii="Arial" w:hAnsi="Arial" w:cs="Arial"/>
        </w:rPr>
        <w:t>The majority of the comments have already been incorporated into the bill during the PC Justice deliberations.</w:t>
      </w:r>
    </w:p>
    <w:p w:rsidR="00756D89" w:rsidRPr="00756D89" w:rsidRDefault="00756D89" w:rsidP="0022216D">
      <w:pPr>
        <w:spacing w:line="240" w:lineRule="auto"/>
        <w:rPr>
          <w:rFonts w:ascii="Arial" w:hAnsi="Arial" w:cs="Arial"/>
        </w:rPr>
      </w:pPr>
    </w:p>
    <w:p w:rsidR="00395F95" w:rsidRPr="00756D89" w:rsidRDefault="000B2BF2" w:rsidP="00CE11FE">
      <w:pPr>
        <w:spacing w:line="240" w:lineRule="auto"/>
        <w:jc w:val="center"/>
        <w:rPr>
          <w:rFonts w:ascii="Arial" w:hAnsi="Arial" w:cs="Arial"/>
          <w:b/>
        </w:rPr>
      </w:pPr>
      <w:r w:rsidRPr="00756D89">
        <w:rPr>
          <w:rFonts w:ascii="Arial" w:hAnsi="Arial" w:cs="Arial"/>
          <w:b/>
        </w:rPr>
        <w:t>CHILD JUSTICE AMENDMENT</w:t>
      </w:r>
      <w:r w:rsidR="007229BB" w:rsidRPr="00756D89">
        <w:rPr>
          <w:rFonts w:ascii="Arial" w:hAnsi="Arial" w:cs="Arial"/>
          <w:b/>
        </w:rPr>
        <w:t xml:space="preserve"> BILL</w:t>
      </w:r>
      <w:r w:rsidR="00CE11FE" w:rsidRPr="00756D89">
        <w:rPr>
          <w:rFonts w:ascii="Arial" w:hAnsi="Arial" w:cs="Arial"/>
          <w:b/>
        </w:rPr>
        <w:t>, 201</w:t>
      </w:r>
      <w:r w:rsidRPr="00756D89">
        <w:rPr>
          <w:rFonts w:ascii="Arial" w:hAnsi="Arial" w:cs="Arial"/>
          <w:b/>
        </w:rPr>
        <w:t>8</w:t>
      </w:r>
      <w:r w:rsidR="007B7BCF" w:rsidRPr="00756D89">
        <w:rPr>
          <w:rFonts w:ascii="Arial" w:hAnsi="Arial" w:cs="Arial"/>
          <w:b/>
        </w:rPr>
        <w:t xml:space="preserve"> [B</w:t>
      </w:r>
      <w:r w:rsidRPr="00756D89">
        <w:rPr>
          <w:rFonts w:ascii="Arial" w:hAnsi="Arial" w:cs="Arial"/>
          <w:b/>
        </w:rPr>
        <w:t>32</w:t>
      </w:r>
      <w:r w:rsidR="007B7BCF" w:rsidRPr="00756D89">
        <w:rPr>
          <w:rFonts w:ascii="Arial" w:hAnsi="Arial" w:cs="Arial"/>
          <w:b/>
        </w:rPr>
        <w:t>-201</w:t>
      </w:r>
      <w:r w:rsidRPr="00756D89">
        <w:rPr>
          <w:rFonts w:ascii="Arial" w:hAnsi="Arial" w:cs="Arial"/>
          <w:b/>
        </w:rPr>
        <w:t>8</w:t>
      </w:r>
      <w:r w:rsidR="007B7BCF" w:rsidRPr="00756D89">
        <w:rPr>
          <w:rFonts w:ascii="Arial" w:hAnsi="Arial" w:cs="Arial"/>
          <w:b/>
        </w:rPr>
        <w:t>]</w:t>
      </w:r>
    </w:p>
    <w:tbl>
      <w:tblPr>
        <w:tblW w:w="1360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4"/>
        <w:gridCol w:w="2880"/>
        <w:gridCol w:w="5220"/>
        <w:gridCol w:w="3420"/>
      </w:tblGrid>
      <w:tr w:rsidR="00032D18" w:rsidRPr="00756D89" w:rsidTr="00F26CFA">
        <w:trPr>
          <w:trHeight w:val="104"/>
          <w:tblHeader/>
        </w:trPr>
        <w:tc>
          <w:tcPr>
            <w:tcW w:w="2084" w:type="dxa"/>
            <w:shd w:val="clear" w:color="auto" w:fill="D9D9D9" w:themeFill="background1" w:themeFillShade="D9"/>
          </w:tcPr>
          <w:p w:rsidR="00CE11FE" w:rsidRPr="00756D89" w:rsidRDefault="00004B5D" w:rsidP="002A6E11">
            <w:pPr>
              <w:spacing w:after="0" w:line="240" w:lineRule="auto"/>
              <w:jc w:val="center"/>
              <w:rPr>
                <w:rFonts w:ascii="Arial" w:hAnsi="Arial" w:cs="Arial"/>
                <w:b/>
              </w:rPr>
            </w:pPr>
            <w:r w:rsidRPr="00756D89">
              <w:rPr>
                <w:rFonts w:ascii="Arial" w:hAnsi="Arial" w:cs="Arial"/>
                <w:b/>
              </w:rPr>
              <w:t>PROVISION IN QUESTION</w:t>
            </w:r>
          </w:p>
        </w:tc>
        <w:tc>
          <w:tcPr>
            <w:tcW w:w="2880" w:type="dxa"/>
            <w:shd w:val="clear" w:color="auto" w:fill="D9D9D9" w:themeFill="background1" w:themeFillShade="D9"/>
          </w:tcPr>
          <w:p w:rsidR="00CE11FE" w:rsidRPr="00756D89" w:rsidRDefault="00CE11FE" w:rsidP="002A6E11">
            <w:pPr>
              <w:spacing w:after="0" w:line="240" w:lineRule="auto"/>
              <w:jc w:val="center"/>
              <w:rPr>
                <w:rFonts w:ascii="Arial" w:hAnsi="Arial" w:cs="Arial"/>
                <w:b/>
              </w:rPr>
            </w:pPr>
            <w:r w:rsidRPr="00756D89">
              <w:rPr>
                <w:rFonts w:ascii="Arial" w:hAnsi="Arial" w:cs="Arial"/>
                <w:b/>
              </w:rPr>
              <w:t>NAME OF COMMENTATOR</w:t>
            </w:r>
          </w:p>
        </w:tc>
        <w:tc>
          <w:tcPr>
            <w:tcW w:w="5220" w:type="dxa"/>
            <w:shd w:val="clear" w:color="auto" w:fill="D9D9D9" w:themeFill="background1" w:themeFillShade="D9"/>
          </w:tcPr>
          <w:p w:rsidR="00CE11FE" w:rsidRPr="00756D89" w:rsidRDefault="00CE11FE" w:rsidP="002A6E11">
            <w:pPr>
              <w:spacing w:after="0" w:line="240" w:lineRule="auto"/>
              <w:jc w:val="center"/>
              <w:rPr>
                <w:rFonts w:ascii="Arial" w:hAnsi="Arial" w:cs="Arial"/>
                <w:b/>
              </w:rPr>
            </w:pPr>
            <w:r w:rsidRPr="00756D89">
              <w:rPr>
                <w:rFonts w:ascii="Arial" w:hAnsi="Arial" w:cs="Arial"/>
                <w:b/>
              </w:rPr>
              <w:t>SUBMISSION/RECOMMENDATION</w:t>
            </w:r>
          </w:p>
        </w:tc>
        <w:tc>
          <w:tcPr>
            <w:tcW w:w="3420" w:type="dxa"/>
            <w:shd w:val="clear" w:color="auto" w:fill="D9D9D9" w:themeFill="background1" w:themeFillShade="D9"/>
          </w:tcPr>
          <w:p w:rsidR="00CE11FE" w:rsidRPr="00756D89" w:rsidRDefault="00CE11FE" w:rsidP="002A6E11">
            <w:pPr>
              <w:spacing w:after="0" w:line="240" w:lineRule="auto"/>
              <w:jc w:val="center"/>
              <w:rPr>
                <w:rFonts w:ascii="Arial" w:hAnsi="Arial" w:cs="Arial"/>
                <w:b/>
              </w:rPr>
            </w:pPr>
            <w:r w:rsidRPr="00756D89">
              <w:rPr>
                <w:rFonts w:ascii="Arial" w:hAnsi="Arial" w:cs="Arial"/>
                <w:b/>
              </w:rPr>
              <w:t>RESPONSE</w:t>
            </w:r>
          </w:p>
        </w:tc>
      </w:tr>
      <w:tr w:rsidR="00774D39" w:rsidRPr="00756D89" w:rsidTr="00C44CB1">
        <w:tc>
          <w:tcPr>
            <w:tcW w:w="2084" w:type="dxa"/>
          </w:tcPr>
          <w:p w:rsidR="00774D39" w:rsidRPr="00756D89" w:rsidRDefault="00AD7D40" w:rsidP="004410C7">
            <w:pPr>
              <w:spacing w:after="0" w:line="240" w:lineRule="auto"/>
              <w:rPr>
                <w:rFonts w:ascii="Arial" w:hAnsi="Arial" w:cs="Arial"/>
              </w:rPr>
            </w:pPr>
            <w:r w:rsidRPr="00756D89">
              <w:rPr>
                <w:rFonts w:ascii="Arial" w:hAnsi="Arial" w:cs="Arial"/>
              </w:rPr>
              <w:t xml:space="preserve"> </w:t>
            </w:r>
            <w:r w:rsidRPr="00756D89">
              <w:rPr>
                <w:rFonts w:ascii="Arial" w:hAnsi="Arial" w:cs="Arial"/>
                <w:b/>
              </w:rPr>
              <w:t>Clause 7</w:t>
            </w:r>
          </w:p>
        </w:tc>
        <w:tc>
          <w:tcPr>
            <w:tcW w:w="2880" w:type="dxa"/>
          </w:tcPr>
          <w:p w:rsidR="00774D39" w:rsidRPr="00756D89" w:rsidRDefault="00AD7D40" w:rsidP="004410C7">
            <w:pPr>
              <w:spacing w:after="0" w:line="240" w:lineRule="auto"/>
              <w:rPr>
                <w:rFonts w:ascii="Arial" w:hAnsi="Arial" w:cs="Arial"/>
                <w:b/>
              </w:rPr>
            </w:pPr>
            <w:r w:rsidRPr="00756D89">
              <w:rPr>
                <w:rFonts w:ascii="Arial" w:hAnsi="Arial" w:cs="Arial"/>
                <w:b/>
              </w:rPr>
              <w:t xml:space="preserve">Centre </w:t>
            </w:r>
            <w:r w:rsidR="00112574" w:rsidRPr="00756D89">
              <w:rPr>
                <w:rFonts w:ascii="Arial" w:hAnsi="Arial" w:cs="Arial"/>
                <w:b/>
              </w:rPr>
              <w:t>f</w:t>
            </w:r>
            <w:r w:rsidRPr="00756D89">
              <w:rPr>
                <w:rFonts w:ascii="Arial" w:hAnsi="Arial" w:cs="Arial"/>
                <w:b/>
              </w:rPr>
              <w:t>or Child Law</w:t>
            </w:r>
          </w:p>
          <w:p w:rsidR="00885CAE" w:rsidRPr="00756D89" w:rsidRDefault="00885CAE" w:rsidP="004410C7">
            <w:pPr>
              <w:spacing w:after="0" w:line="240" w:lineRule="auto"/>
              <w:rPr>
                <w:rFonts w:ascii="Arial" w:hAnsi="Arial" w:cs="Arial"/>
                <w:b/>
              </w:rPr>
            </w:pPr>
          </w:p>
          <w:p w:rsidR="00885CAE" w:rsidRPr="00756D89" w:rsidRDefault="00885CAE" w:rsidP="004410C7">
            <w:pPr>
              <w:spacing w:after="0" w:line="240" w:lineRule="auto"/>
              <w:rPr>
                <w:rFonts w:ascii="Arial" w:hAnsi="Arial" w:cs="Arial"/>
                <w:b/>
              </w:rPr>
            </w:pPr>
          </w:p>
          <w:p w:rsidR="00885CAE" w:rsidRPr="00756D89" w:rsidRDefault="00885CAE" w:rsidP="004410C7">
            <w:pPr>
              <w:spacing w:after="0" w:line="240" w:lineRule="auto"/>
              <w:rPr>
                <w:rFonts w:ascii="Arial" w:hAnsi="Arial" w:cs="Arial"/>
                <w:b/>
              </w:rPr>
            </w:pPr>
          </w:p>
          <w:p w:rsidR="00885CAE" w:rsidRPr="00756D89" w:rsidRDefault="00885CAE" w:rsidP="004410C7">
            <w:pPr>
              <w:spacing w:after="0" w:line="240" w:lineRule="auto"/>
              <w:rPr>
                <w:rFonts w:ascii="Arial" w:hAnsi="Arial" w:cs="Arial"/>
                <w:b/>
              </w:rPr>
            </w:pPr>
          </w:p>
          <w:p w:rsidR="00885CAE" w:rsidRPr="00756D89" w:rsidRDefault="00885CAE" w:rsidP="004410C7">
            <w:pPr>
              <w:spacing w:after="0" w:line="240" w:lineRule="auto"/>
              <w:rPr>
                <w:rFonts w:ascii="Arial" w:hAnsi="Arial" w:cs="Arial"/>
                <w:b/>
              </w:rPr>
            </w:pPr>
          </w:p>
          <w:p w:rsidR="00885CAE" w:rsidRPr="00756D89" w:rsidRDefault="00885CAE" w:rsidP="004410C7">
            <w:pPr>
              <w:spacing w:after="0" w:line="240" w:lineRule="auto"/>
              <w:rPr>
                <w:rFonts w:ascii="Arial" w:hAnsi="Arial" w:cs="Arial"/>
                <w:b/>
              </w:rPr>
            </w:pPr>
          </w:p>
          <w:p w:rsidR="00885CAE" w:rsidRPr="00756D89" w:rsidRDefault="00885CAE" w:rsidP="004410C7">
            <w:pPr>
              <w:spacing w:after="0" w:line="240" w:lineRule="auto"/>
              <w:rPr>
                <w:rFonts w:ascii="Arial" w:hAnsi="Arial" w:cs="Arial"/>
                <w:b/>
              </w:rPr>
            </w:pPr>
          </w:p>
          <w:p w:rsidR="00885CAE" w:rsidRPr="00756D89" w:rsidRDefault="00885CAE" w:rsidP="004410C7">
            <w:pPr>
              <w:spacing w:after="0" w:line="240" w:lineRule="auto"/>
              <w:rPr>
                <w:rFonts w:ascii="Arial" w:hAnsi="Arial" w:cs="Arial"/>
                <w:b/>
              </w:rPr>
            </w:pPr>
          </w:p>
          <w:p w:rsidR="00885CAE" w:rsidRPr="00756D89" w:rsidRDefault="00885CAE" w:rsidP="004410C7">
            <w:pPr>
              <w:spacing w:after="0" w:line="240" w:lineRule="auto"/>
              <w:rPr>
                <w:rFonts w:ascii="Arial" w:hAnsi="Arial" w:cs="Arial"/>
                <w:b/>
              </w:rPr>
            </w:pPr>
          </w:p>
          <w:p w:rsidR="00885CAE" w:rsidRPr="00756D89" w:rsidRDefault="00885CAE" w:rsidP="004410C7">
            <w:pPr>
              <w:spacing w:after="0" w:line="240" w:lineRule="auto"/>
              <w:rPr>
                <w:rFonts w:ascii="Arial" w:hAnsi="Arial" w:cs="Arial"/>
                <w:b/>
              </w:rPr>
            </w:pPr>
          </w:p>
          <w:p w:rsidR="00885CAE" w:rsidRPr="00756D89" w:rsidRDefault="00885CAE" w:rsidP="004410C7">
            <w:pPr>
              <w:spacing w:after="0" w:line="240" w:lineRule="auto"/>
              <w:rPr>
                <w:rFonts w:ascii="Arial" w:hAnsi="Arial" w:cs="Arial"/>
                <w:b/>
              </w:rPr>
            </w:pPr>
          </w:p>
          <w:p w:rsidR="00885CAE" w:rsidRPr="00756D89" w:rsidRDefault="00885CAE" w:rsidP="004410C7">
            <w:pPr>
              <w:spacing w:after="0" w:line="240" w:lineRule="auto"/>
              <w:rPr>
                <w:rFonts w:ascii="Arial" w:hAnsi="Arial" w:cs="Arial"/>
                <w:b/>
              </w:rPr>
            </w:pPr>
          </w:p>
          <w:p w:rsidR="00885CAE" w:rsidRPr="00756D89" w:rsidRDefault="00885CAE" w:rsidP="004410C7">
            <w:pPr>
              <w:spacing w:after="0" w:line="240" w:lineRule="auto"/>
              <w:rPr>
                <w:rFonts w:ascii="Arial" w:hAnsi="Arial" w:cs="Arial"/>
                <w:b/>
              </w:rPr>
            </w:pPr>
          </w:p>
          <w:p w:rsidR="00885CAE" w:rsidRPr="00756D89" w:rsidRDefault="00885CAE" w:rsidP="004410C7">
            <w:pPr>
              <w:spacing w:after="0" w:line="240" w:lineRule="auto"/>
              <w:rPr>
                <w:rFonts w:ascii="Arial" w:hAnsi="Arial" w:cs="Arial"/>
                <w:b/>
              </w:rPr>
            </w:pPr>
          </w:p>
          <w:p w:rsidR="00885CAE" w:rsidRPr="00756D89" w:rsidRDefault="00885CAE" w:rsidP="004410C7">
            <w:pPr>
              <w:spacing w:after="0" w:line="240" w:lineRule="auto"/>
              <w:rPr>
                <w:rFonts w:ascii="Arial" w:hAnsi="Arial" w:cs="Arial"/>
                <w:b/>
              </w:rPr>
            </w:pPr>
          </w:p>
          <w:p w:rsidR="00885CAE" w:rsidRPr="00756D89" w:rsidRDefault="00885CAE" w:rsidP="004410C7">
            <w:pPr>
              <w:spacing w:after="0" w:line="240" w:lineRule="auto"/>
              <w:rPr>
                <w:rFonts w:ascii="Arial" w:hAnsi="Arial" w:cs="Arial"/>
                <w:b/>
              </w:rPr>
            </w:pPr>
          </w:p>
          <w:p w:rsidR="00885CAE" w:rsidRPr="00756D89" w:rsidRDefault="00885CAE" w:rsidP="004410C7">
            <w:pPr>
              <w:spacing w:after="0" w:line="240" w:lineRule="auto"/>
              <w:rPr>
                <w:rFonts w:ascii="Arial" w:hAnsi="Arial" w:cs="Arial"/>
                <w:b/>
              </w:rPr>
            </w:pPr>
          </w:p>
          <w:p w:rsidR="00885CAE" w:rsidRPr="00756D89" w:rsidRDefault="00885CAE" w:rsidP="004410C7">
            <w:pPr>
              <w:spacing w:after="0" w:line="240" w:lineRule="auto"/>
              <w:rPr>
                <w:rFonts w:ascii="Arial" w:hAnsi="Arial" w:cs="Arial"/>
                <w:b/>
              </w:rPr>
            </w:pPr>
          </w:p>
          <w:p w:rsidR="00885CAE" w:rsidRPr="00756D89" w:rsidRDefault="00885CAE" w:rsidP="004410C7">
            <w:pPr>
              <w:spacing w:after="0" w:line="240" w:lineRule="auto"/>
              <w:rPr>
                <w:rFonts w:ascii="Arial" w:hAnsi="Arial" w:cs="Arial"/>
                <w:b/>
              </w:rPr>
            </w:pPr>
          </w:p>
          <w:p w:rsidR="00885CAE" w:rsidRPr="00756D89" w:rsidRDefault="00885CAE" w:rsidP="004410C7">
            <w:pPr>
              <w:spacing w:after="0" w:line="240" w:lineRule="auto"/>
              <w:rPr>
                <w:rFonts w:ascii="Arial" w:hAnsi="Arial" w:cs="Arial"/>
                <w:b/>
              </w:rPr>
            </w:pPr>
          </w:p>
          <w:p w:rsidR="00885CAE" w:rsidRPr="00756D89" w:rsidRDefault="00885CAE" w:rsidP="004410C7">
            <w:pPr>
              <w:spacing w:after="0" w:line="240" w:lineRule="auto"/>
              <w:rPr>
                <w:rFonts w:ascii="Arial" w:hAnsi="Arial" w:cs="Arial"/>
                <w:b/>
              </w:rPr>
            </w:pPr>
          </w:p>
          <w:p w:rsidR="00885CAE" w:rsidRPr="00756D89" w:rsidRDefault="00885CAE" w:rsidP="004410C7">
            <w:pPr>
              <w:spacing w:after="0" w:line="240" w:lineRule="auto"/>
              <w:rPr>
                <w:rFonts w:ascii="Arial" w:hAnsi="Arial" w:cs="Arial"/>
                <w:b/>
              </w:rPr>
            </w:pPr>
          </w:p>
          <w:p w:rsidR="00885CAE" w:rsidRPr="00756D89" w:rsidRDefault="00885CAE" w:rsidP="004410C7">
            <w:pPr>
              <w:spacing w:after="0" w:line="240" w:lineRule="auto"/>
              <w:rPr>
                <w:rFonts w:ascii="Arial" w:hAnsi="Arial" w:cs="Arial"/>
                <w:b/>
              </w:rPr>
            </w:pPr>
          </w:p>
          <w:p w:rsidR="00885CAE" w:rsidRPr="00756D89" w:rsidRDefault="00885CAE" w:rsidP="004410C7">
            <w:pPr>
              <w:spacing w:after="0" w:line="240" w:lineRule="auto"/>
              <w:rPr>
                <w:rFonts w:ascii="Arial" w:hAnsi="Arial" w:cs="Arial"/>
                <w:b/>
              </w:rPr>
            </w:pPr>
          </w:p>
          <w:p w:rsidR="00761DEA" w:rsidRPr="00756D89" w:rsidRDefault="00761DEA" w:rsidP="004410C7">
            <w:pPr>
              <w:spacing w:after="0" w:line="240" w:lineRule="auto"/>
              <w:rPr>
                <w:rFonts w:ascii="Arial" w:hAnsi="Arial" w:cs="Arial"/>
                <w:b/>
              </w:rPr>
            </w:pPr>
          </w:p>
          <w:p w:rsidR="00885CAE" w:rsidRPr="00756D89" w:rsidRDefault="00885CAE" w:rsidP="004410C7">
            <w:pPr>
              <w:spacing w:after="0" w:line="240" w:lineRule="auto"/>
              <w:rPr>
                <w:rFonts w:ascii="Arial" w:hAnsi="Arial" w:cs="Arial"/>
                <w:b/>
              </w:rPr>
            </w:pPr>
          </w:p>
        </w:tc>
        <w:tc>
          <w:tcPr>
            <w:tcW w:w="5220" w:type="dxa"/>
          </w:tcPr>
          <w:p w:rsidR="00AD7D40" w:rsidRPr="00756D89" w:rsidRDefault="00AD7D40" w:rsidP="004410C7">
            <w:pPr>
              <w:spacing w:after="0" w:line="240" w:lineRule="auto"/>
              <w:rPr>
                <w:rFonts w:ascii="Arial" w:hAnsi="Arial" w:cs="Arial"/>
              </w:rPr>
            </w:pPr>
            <w:r w:rsidRPr="00756D89">
              <w:rPr>
                <w:rFonts w:ascii="Arial" w:hAnsi="Arial" w:cs="Arial"/>
              </w:rPr>
              <w:lastRenderedPageBreak/>
              <w:t>While the Centre appreciates the efforts made to raise the minimum age of criminal capacity from the current level of 10 years, the Centre is of the view that the minimum age of criminal capacity should be raised to 14 years</w:t>
            </w:r>
            <w:r w:rsidR="0064266F" w:rsidRPr="00756D89">
              <w:rPr>
                <w:rFonts w:ascii="Arial" w:hAnsi="Arial" w:cs="Arial"/>
              </w:rPr>
              <w:t>.</w:t>
            </w:r>
          </w:p>
          <w:p w:rsidR="0064266F" w:rsidRPr="00756D89" w:rsidRDefault="0064266F" w:rsidP="004410C7">
            <w:pPr>
              <w:spacing w:after="0" w:line="240" w:lineRule="auto"/>
              <w:rPr>
                <w:rFonts w:ascii="Arial" w:hAnsi="Arial" w:cs="Arial"/>
              </w:rPr>
            </w:pPr>
            <w:r w:rsidRPr="00756D89">
              <w:rPr>
                <w:rFonts w:ascii="Arial" w:hAnsi="Arial" w:cs="Arial"/>
              </w:rPr>
              <w:t>The United Nations Committee on the Rights of a Child notes that the minimum age of 14 years will contribute “to a system which deals with children in conflict with the law without resorting to judicial proceedings, providing that the child’s human rights and legal safeguards are fully respected.</w:t>
            </w:r>
          </w:p>
          <w:p w:rsidR="003337B1" w:rsidRPr="00756D89" w:rsidRDefault="0064266F" w:rsidP="004410C7">
            <w:pPr>
              <w:spacing w:after="0" w:line="240" w:lineRule="auto"/>
              <w:rPr>
                <w:rFonts w:ascii="Arial" w:hAnsi="Arial" w:cs="Arial"/>
              </w:rPr>
            </w:pPr>
            <w:r w:rsidRPr="00756D89">
              <w:rPr>
                <w:rFonts w:ascii="Arial" w:hAnsi="Arial" w:cs="Arial"/>
              </w:rPr>
              <w:t xml:space="preserve">The Centre submits further that setting the minimum age of criminal capacity </w:t>
            </w:r>
            <w:r w:rsidR="00A849C0" w:rsidRPr="00756D89">
              <w:rPr>
                <w:rFonts w:ascii="Arial" w:hAnsi="Arial" w:cs="Arial"/>
              </w:rPr>
              <w:t xml:space="preserve">at 14 years would make the use of the </w:t>
            </w:r>
            <w:r w:rsidR="009175E6" w:rsidRPr="00756D89">
              <w:rPr>
                <w:rFonts w:ascii="Arial" w:hAnsi="Arial" w:cs="Arial"/>
              </w:rPr>
              <w:t xml:space="preserve">rebuttable </w:t>
            </w:r>
            <w:r w:rsidR="00A849C0" w:rsidRPr="00756D89">
              <w:rPr>
                <w:rFonts w:ascii="Arial" w:hAnsi="Arial" w:cs="Arial"/>
              </w:rPr>
              <w:t>presumption that the child lacks criminal capacity</w:t>
            </w:r>
            <w:r w:rsidR="009175E6" w:rsidRPr="00756D89">
              <w:rPr>
                <w:rFonts w:ascii="Arial" w:hAnsi="Arial" w:cs="Arial"/>
              </w:rPr>
              <w:t>,</w:t>
            </w:r>
            <w:r w:rsidR="00A849C0" w:rsidRPr="00756D89">
              <w:rPr>
                <w:rFonts w:ascii="Arial" w:hAnsi="Arial" w:cs="Arial"/>
              </w:rPr>
              <w:t xml:space="preserve"> unnecessary.    The United Nations Committee on the Rights of the Child is of the view that the use of two ages is confusing, and leaves much to the discretion of the court </w:t>
            </w:r>
            <w:r w:rsidR="003337B1" w:rsidRPr="00756D89">
              <w:rPr>
                <w:rFonts w:ascii="Arial" w:hAnsi="Arial" w:cs="Arial"/>
              </w:rPr>
              <w:t xml:space="preserve">and could cause discriminatory practices. </w:t>
            </w:r>
          </w:p>
          <w:p w:rsidR="00885CAE" w:rsidRPr="00756D89" w:rsidRDefault="003337B1" w:rsidP="004410C7">
            <w:pPr>
              <w:spacing w:after="0" w:line="240" w:lineRule="auto"/>
              <w:rPr>
                <w:rFonts w:ascii="Arial" w:hAnsi="Arial" w:cs="Arial"/>
              </w:rPr>
            </w:pPr>
            <w:r w:rsidRPr="00756D89">
              <w:rPr>
                <w:rFonts w:ascii="Arial" w:hAnsi="Arial" w:cs="Arial"/>
              </w:rPr>
              <w:lastRenderedPageBreak/>
              <w:t>The retention of the presumption means that the evaluation of criminal capacity would still have to be done, and this is an expensive and time consuming process, and use of scarce skills for purposes of “checking” if a child is of normal development.</w:t>
            </w:r>
          </w:p>
          <w:p w:rsidR="00761DEA" w:rsidRPr="00756D89" w:rsidRDefault="00761DEA" w:rsidP="004410C7">
            <w:pPr>
              <w:spacing w:after="0" w:line="240" w:lineRule="auto"/>
              <w:rPr>
                <w:rFonts w:ascii="Arial" w:hAnsi="Arial" w:cs="Arial"/>
              </w:rPr>
            </w:pPr>
          </w:p>
          <w:p w:rsidR="00885CAE" w:rsidRPr="00756D89" w:rsidRDefault="00885CAE" w:rsidP="004410C7">
            <w:pPr>
              <w:spacing w:after="0" w:line="240" w:lineRule="auto"/>
              <w:rPr>
                <w:rFonts w:ascii="Arial" w:hAnsi="Arial" w:cs="Arial"/>
              </w:rPr>
            </w:pPr>
            <w:r w:rsidRPr="00756D89">
              <w:rPr>
                <w:rFonts w:ascii="Arial" w:hAnsi="Arial" w:cs="Arial"/>
              </w:rPr>
              <w:t xml:space="preserve"> </w:t>
            </w:r>
          </w:p>
        </w:tc>
        <w:tc>
          <w:tcPr>
            <w:tcW w:w="3420" w:type="dxa"/>
          </w:tcPr>
          <w:p w:rsidR="00693015" w:rsidRDefault="00693015" w:rsidP="004410C7">
            <w:pPr>
              <w:spacing w:after="0" w:line="240" w:lineRule="auto"/>
              <w:rPr>
                <w:rFonts w:ascii="Arial" w:hAnsi="Arial" w:cs="Arial"/>
              </w:rPr>
            </w:pPr>
            <w:r>
              <w:rPr>
                <w:rFonts w:ascii="Arial" w:hAnsi="Arial" w:cs="Arial"/>
              </w:rPr>
              <w:lastRenderedPageBreak/>
              <w:t>Department responded as follows during the PC deliberations on this aspect:</w:t>
            </w:r>
          </w:p>
          <w:p w:rsidR="00693015" w:rsidRDefault="00693015" w:rsidP="004410C7">
            <w:pPr>
              <w:spacing w:after="0" w:line="240" w:lineRule="auto"/>
              <w:rPr>
                <w:rFonts w:ascii="Arial" w:hAnsi="Arial" w:cs="Arial"/>
              </w:rPr>
            </w:pPr>
          </w:p>
          <w:p w:rsidR="00885FA1" w:rsidRPr="00756D89" w:rsidRDefault="00885FA1" w:rsidP="004410C7">
            <w:pPr>
              <w:spacing w:after="0" w:line="240" w:lineRule="auto"/>
              <w:rPr>
                <w:rFonts w:ascii="Arial" w:hAnsi="Arial" w:cs="Arial"/>
              </w:rPr>
            </w:pPr>
            <w:r w:rsidRPr="00756D89">
              <w:rPr>
                <w:rFonts w:ascii="Arial" w:hAnsi="Arial" w:cs="Arial"/>
              </w:rPr>
              <w:t xml:space="preserve">As indicated in the Report the Department is </w:t>
            </w:r>
            <w:r w:rsidR="000E2515" w:rsidRPr="00756D89">
              <w:rPr>
                <w:rFonts w:ascii="Arial" w:hAnsi="Arial" w:cs="Arial"/>
              </w:rPr>
              <w:t xml:space="preserve">fully </w:t>
            </w:r>
            <w:r w:rsidRPr="00756D89">
              <w:rPr>
                <w:rFonts w:ascii="Arial" w:hAnsi="Arial" w:cs="Arial"/>
              </w:rPr>
              <w:t>aware of the United Nations Committee on the Rights of a Child and African Commission on Human and People’s Rights and Guidelines on the Rights to a Fair Trial and Legal Assistance in Africa, but d</w:t>
            </w:r>
            <w:r w:rsidRPr="00756D89">
              <w:rPr>
                <w:rFonts w:ascii="Arial" w:hAnsi="Arial" w:cs="Arial"/>
                <w:lang w:val="it-IT"/>
              </w:rPr>
              <w:t xml:space="preserve">espite this the Report recommended that </w:t>
            </w:r>
            <w:r w:rsidRPr="00756D89">
              <w:rPr>
                <w:rFonts w:ascii="Arial" w:hAnsi="Arial" w:cs="Arial"/>
              </w:rPr>
              <w:t xml:space="preserve"> the age be capped, at this stage, at 12 years and not higher because it may be too big a leap to raise the minimum age from 10 to 14 </w:t>
            </w:r>
            <w:r w:rsidR="00122BCD" w:rsidRPr="00756D89">
              <w:rPr>
                <w:rFonts w:ascii="Arial" w:hAnsi="Arial" w:cs="Arial"/>
              </w:rPr>
              <w:t xml:space="preserve">years </w:t>
            </w:r>
            <w:r w:rsidRPr="00756D89">
              <w:rPr>
                <w:rFonts w:ascii="Arial" w:hAnsi="Arial" w:cs="Arial"/>
              </w:rPr>
              <w:t xml:space="preserve">without tangible evidence </w:t>
            </w:r>
            <w:r w:rsidRPr="00756D89">
              <w:rPr>
                <w:rFonts w:ascii="Arial" w:hAnsi="Arial" w:cs="Arial"/>
              </w:rPr>
              <w:lastRenderedPageBreak/>
              <w:t>of the effectiveness, availability and adequacy of the support and programmes offered currently to the under 10 year olds in conflict with the law in terms of section 9 of the Act.</w:t>
            </w:r>
          </w:p>
          <w:p w:rsidR="00885FA1" w:rsidRPr="00756D89" w:rsidRDefault="00885FA1" w:rsidP="004410C7">
            <w:pPr>
              <w:spacing w:after="0" w:line="240" w:lineRule="auto"/>
              <w:rPr>
                <w:rFonts w:ascii="Arial" w:hAnsi="Arial" w:cs="Arial"/>
              </w:rPr>
            </w:pPr>
            <w:r w:rsidRPr="00756D89">
              <w:rPr>
                <w:rFonts w:ascii="Arial" w:hAnsi="Arial" w:cs="Arial"/>
              </w:rPr>
              <w:t xml:space="preserve">In addition, the Bill provides for a further review of the minimum age of criminal capacity after 5 years </w:t>
            </w:r>
            <w:r w:rsidR="00122BCD" w:rsidRPr="00756D89">
              <w:rPr>
                <w:rFonts w:ascii="Arial" w:hAnsi="Arial" w:cs="Arial"/>
              </w:rPr>
              <w:t xml:space="preserve">in order </w:t>
            </w:r>
            <w:r w:rsidRPr="00756D89">
              <w:rPr>
                <w:rFonts w:ascii="Arial" w:hAnsi="Arial" w:cs="Arial"/>
              </w:rPr>
              <w:t>to ensure that criminal capacity is raised progressively</w:t>
            </w:r>
            <w:r w:rsidR="00761DEA" w:rsidRPr="00756D89">
              <w:rPr>
                <w:rFonts w:ascii="Arial" w:hAnsi="Arial" w:cs="Arial"/>
              </w:rPr>
              <w:t xml:space="preserve"> to cater for the development of the relevant programmes</w:t>
            </w:r>
            <w:r w:rsidRPr="00756D89">
              <w:rPr>
                <w:rFonts w:ascii="Arial" w:hAnsi="Arial" w:cs="Arial"/>
              </w:rPr>
              <w:t>.</w:t>
            </w:r>
          </w:p>
        </w:tc>
      </w:tr>
      <w:tr w:rsidR="00032D18" w:rsidRPr="00756D89" w:rsidTr="00C44CB1">
        <w:tc>
          <w:tcPr>
            <w:tcW w:w="2084" w:type="dxa"/>
          </w:tcPr>
          <w:p w:rsidR="00E8175C" w:rsidRPr="00756D89" w:rsidRDefault="00E8175C" w:rsidP="004410C7">
            <w:pPr>
              <w:spacing w:after="0" w:line="240" w:lineRule="auto"/>
              <w:rPr>
                <w:rFonts w:ascii="Arial" w:hAnsi="Arial" w:cs="Arial"/>
                <w:b/>
              </w:rPr>
            </w:pPr>
            <w:r w:rsidRPr="00756D89">
              <w:rPr>
                <w:rFonts w:ascii="Arial" w:hAnsi="Arial" w:cs="Arial"/>
                <w:b/>
              </w:rPr>
              <w:lastRenderedPageBreak/>
              <w:t>Clause 15</w:t>
            </w:r>
          </w:p>
        </w:tc>
        <w:tc>
          <w:tcPr>
            <w:tcW w:w="2880" w:type="dxa"/>
          </w:tcPr>
          <w:p w:rsidR="00E8175C" w:rsidRPr="00756D89" w:rsidRDefault="00E8175C" w:rsidP="004410C7">
            <w:pPr>
              <w:spacing w:after="0" w:line="240" w:lineRule="auto"/>
              <w:rPr>
                <w:rFonts w:ascii="Arial" w:hAnsi="Arial" w:cs="Arial"/>
                <w:b/>
              </w:rPr>
            </w:pPr>
            <w:r w:rsidRPr="00756D89">
              <w:rPr>
                <w:rFonts w:ascii="Arial" w:hAnsi="Arial" w:cs="Arial"/>
                <w:b/>
              </w:rPr>
              <w:t xml:space="preserve">Centre </w:t>
            </w:r>
            <w:r w:rsidR="00112574" w:rsidRPr="00756D89">
              <w:rPr>
                <w:rFonts w:ascii="Arial" w:hAnsi="Arial" w:cs="Arial"/>
                <w:b/>
              </w:rPr>
              <w:t>f</w:t>
            </w:r>
            <w:r w:rsidRPr="00756D89">
              <w:rPr>
                <w:rFonts w:ascii="Arial" w:hAnsi="Arial" w:cs="Arial"/>
                <w:b/>
              </w:rPr>
              <w:t>or Child Law</w:t>
            </w:r>
          </w:p>
          <w:p w:rsidR="00E8175C" w:rsidRPr="00756D89" w:rsidRDefault="00E8175C" w:rsidP="004410C7">
            <w:pPr>
              <w:spacing w:after="0" w:line="240" w:lineRule="auto"/>
              <w:rPr>
                <w:rFonts w:ascii="Arial" w:hAnsi="Arial" w:cs="Arial"/>
                <w:b/>
              </w:rPr>
            </w:pPr>
          </w:p>
        </w:tc>
        <w:tc>
          <w:tcPr>
            <w:tcW w:w="5220" w:type="dxa"/>
          </w:tcPr>
          <w:p w:rsidR="00982330" w:rsidRPr="00756D89" w:rsidRDefault="00E8175C" w:rsidP="004410C7">
            <w:pPr>
              <w:spacing w:after="0" w:line="240" w:lineRule="auto"/>
              <w:rPr>
                <w:rFonts w:ascii="Arial" w:hAnsi="Arial" w:cs="Arial"/>
              </w:rPr>
            </w:pPr>
            <w:r w:rsidRPr="00756D89">
              <w:rPr>
                <w:rFonts w:ascii="Arial" w:hAnsi="Arial" w:cs="Arial"/>
              </w:rPr>
              <w:t xml:space="preserve">The Centre supports clause 15 of the Bill as it removes the requirement to prove criminal capacity and states that the prosecutor must consider whether the child will benefit from diversion.  The Centre proposes an additional provision here to allow more protection for the child, along the following </w:t>
            </w:r>
            <w:r w:rsidR="00122BCD" w:rsidRPr="00756D89">
              <w:rPr>
                <w:rFonts w:ascii="Arial" w:hAnsi="Arial" w:cs="Arial"/>
              </w:rPr>
              <w:t>lines:</w:t>
            </w:r>
            <w:r w:rsidRPr="00756D89">
              <w:rPr>
                <w:rFonts w:ascii="Arial" w:hAnsi="Arial" w:cs="Arial"/>
              </w:rPr>
              <w:t xml:space="preserve"> </w:t>
            </w:r>
          </w:p>
          <w:p w:rsidR="00E8175C" w:rsidRPr="00756D89" w:rsidRDefault="00E8175C" w:rsidP="004410C7">
            <w:pPr>
              <w:spacing w:after="0" w:line="240" w:lineRule="auto"/>
              <w:rPr>
                <w:rFonts w:ascii="Arial" w:hAnsi="Arial" w:cs="Arial"/>
              </w:rPr>
            </w:pPr>
            <w:r w:rsidRPr="00756D89">
              <w:rPr>
                <w:rFonts w:ascii="Arial" w:hAnsi="Arial" w:cs="Arial"/>
              </w:rPr>
              <w:t>“</w:t>
            </w:r>
            <w:r w:rsidRPr="00756D89">
              <w:rPr>
                <w:rFonts w:ascii="Arial" w:hAnsi="Arial" w:cs="Arial"/>
                <w:u w:val="single"/>
              </w:rPr>
              <w:t>Where the prosecutor is of the view that the child is unlikely to benefit from diversion, or is diversion is for any other reason not appropriate, he or she may refer to the child to a probation officer to be dealt with as a child who lack</w:t>
            </w:r>
            <w:r w:rsidR="00122BCD" w:rsidRPr="00756D89">
              <w:rPr>
                <w:rFonts w:ascii="Arial" w:hAnsi="Arial" w:cs="Arial"/>
                <w:u w:val="single"/>
              </w:rPr>
              <w:t>s</w:t>
            </w:r>
            <w:r w:rsidRPr="00756D89">
              <w:rPr>
                <w:rFonts w:ascii="Arial" w:hAnsi="Arial" w:cs="Arial"/>
                <w:u w:val="single"/>
              </w:rPr>
              <w:t xml:space="preserve"> criminal capacity, in terms of section 9 of the Act</w:t>
            </w:r>
            <w:r w:rsidRPr="00756D89">
              <w:rPr>
                <w:rFonts w:ascii="Arial" w:hAnsi="Arial" w:cs="Arial"/>
              </w:rPr>
              <w:t>.”</w:t>
            </w:r>
            <w:r w:rsidR="00122BCD" w:rsidRPr="00756D89">
              <w:rPr>
                <w:rFonts w:ascii="Arial" w:hAnsi="Arial" w:cs="Arial"/>
              </w:rPr>
              <w:t>.</w:t>
            </w:r>
          </w:p>
        </w:tc>
        <w:tc>
          <w:tcPr>
            <w:tcW w:w="3420" w:type="dxa"/>
          </w:tcPr>
          <w:p w:rsidR="00885FA1" w:rsidRPr="00756D89" w:rsidRDefault="007E5ED9" w:rsidP="004410C7">
            <w:pPr>
              <w:spacing w:after="0" w:line="240" w:lineRule="auto"/>
              <w:rPr>
                <w:rFonts w:ascii="Arial" w:hAnsi="Arial" w:cs="Arial"/>
              </w:rPr>
            </w:pPr>
            <w:r w:rsidRPr="00756D89">
              <w:rPr>
                <w:rFonts w:ascii="Arial" w:hAnsi="Arial" w:cs="Arial"/>
              </w:rPr>
              <w:t>Amendment was effected in PC Justice amendments to the bill.</w:t>
            </w:r>
          </w:p>
        </w:tc>
      </w:tr>
      <w:tr w:rsidR="00032D18" w:rsidRPr="00756D89" w:rsidTr="00C44CB1">
        <w:tc>
          <w:tcPr>
            <w:tcW w:w="2084" w:type="dxa"/>
          </w:tcPr>
          <w:p w:rsidR="006C4836" w:rsidRPr="00E9225F" w:rsidRDefault="00982330" w:rsidP="004410C7">
            <w:pPr>
              <w:spacing w:after="0" w:line="240" w:lineRule="auto"/>
              <w:rPr>
                <w:rFonts w:ascii="Arial" w:hAnsi="Arial" w:cs="Arial"/>
                <w:b/>
              </w:rPr>
            </w:pPr>
            <w:r w:rsidRPr="00E9225F">
              <w:rPr>
                <w:rFonts w:ascii="Arial" w:hAnsi="Arial" w:cs="Arial"/>
                <w:b/>
              </w:rPr>
              <w:t>Clause 20</w:t>
            </w:r>
          </w:p>
        </w:tc>
        <w:tc>
          <w:tcPr>
            <w:tcW w:w="2880" w:type="dxa"/>
          </w:tcPr>
          <w:p w:rsidR="00982330" w:rsidRPr="00756D89" w:rsidRDefault="00982330" w:rsidP="004410C7">
            <w:pPr>
              <w:spacing w:after="0" w:line="240" w:lineRule="auto"/>
              <w:rPr>
                <w:rFonts w:ascii="Arial" w:hAnsi="Arial" w:cs="Arial"/>
                <w:b/>
              </w:rPr>
            </w:pPr>
            <w:r w:rsidRPr="00756D89">
              <w:rPr>
                <w:rFonts w:ascii="Arial" w:hAnsi="Arial" w:cs="Arial"/>
                <w:b/>
              </w:rPr>
              <w:t xml:space="preserve">Centre </w:t>
            </w:r>
            <w:r w:rsidR="00112574" w:rsidRPr="00756D89">
              <w:rPr>
                <w:rFonts w:ascii="Arial" w:hAnsi="Arial" w:cs="Arial"/>
                <w:b/>
              </w:rPr>
              <w:t>f</w:t>
            </w:r>
            <w:r w:rsidRPr="00756D89">
              <w:rPr>
                <w:rFonts w:ascii="Arial" w:hAnsi="Arial" w:cs="Arial"/>
                <w:b/>
              </w:rPr>
              <w:t>or Child Law</w:t>
            </w:r>
          </w:p>
          <w:p w:rsidR="004E07A6" w:rsidRPr="00756D89" w:rsidRDefault="004E07A6" w:rsidP="004410C7">
            <w:pPr>
              <w:spacing w:after="0" w:line="240" w:lineRule="auto"/>
              <w:rPr>
                <w:rFonts w:ascii="Arial" w:hAnsi="Arial" w:cs="Arial"/>
              </w:rPr>
            </w:pPr>
          </w:p>
        </w:tc>
        <w:tc>
          <w:tcPr>
            <w:tcW w:w="5220" w:type="dxa"/>
          </w:tcPr>
          <w:p w:rsidR="00982330" w:rsidRPr="00756D89" w:rsidRDefault="00982330" w:rsidP="004410C7">
            <w:pPr>
              <w:spacing w:after="0" w:line="240" w:lineRule="auto"/>
              <w:rPr>
                <w:rFonts w:ascii="Arial" w:hAnsi="Arial" w:cs="Arial"/>
              </w:rPr>
            </w:pPr>
            <w:r w:rsidRPr="00756D89">
              <w:rPr>
                <w:rFonts w:ascii="Arial" w:hAnsi="Arial" w:cs="Arial"/>
              </w:rPr>
              <w:t xml:space="preserve">Same proposal as in clause 15 </w:t>
            </w:r>
          </w:p>
        </w:tc>
        <w:tc>
          <w:tcPr>
            <w:tcW w:w="3420" w:type="dxa"/>
          </w:tcPr>
          <w:p w:rsidR="004E07A6" w:rsidRPr="00756D89" w:rsidRDefault="007E5ED9" w:rsidP="004410C7">
            <w:pPr>
              <w:spacing w:after="0" w:line="240" w:lineRule="auto"/>
              <w:rPr>
                <w:rFonts w:ascii="Arial" w:hAnsi="Arial" w:cs="Arial"/>
              </w:rPr>
            </w:pPr>
            <w:r w:rsidRPr="00756D89">
              <w:rPr>
                <w:rFonts w:ascii="Arial" w:hAnsi="Arial" w:cs="Arial"/>
              </w:rPr>
              <w:t>Amendment was effected in PC Justice amendments to the bill.</w:t>
            </w:r>
          </w:p>
        </w:tc>
      </w:tr>
      <w:tr w:rsidR="007E5ED9" w:rsidRPr="00756D89" w:rsidTr="00C44CB1">
        <w:tc>
          <w:tcPr>
            <w:tcW w:w="2084" w:type="dxa"/>
          </w:tcPr>
          <w:p w:rsidR="00693015" w:rsidRDefault="00693015" w:rsidP="004410C7">
            <w:pPr>
              <w:spacing w:after="0" w:line="240" w:lineRule="auto"/>
              <w:rPr>
                <w:rFonts w:ascii="Arial" w:hAnsi="Arial" w:cs="Arial"/>
                <w:b/>
              </w:rPr>
            </w:pPr>
            <w:r>
              <w:rPr>
                <w:rFonts w:ascii="Arial" w:hAnsi="Arial" w:cs="Arial"/>
                <w:b/>
              </w:rPr>
              <w:t>Clause 7</w:t>
            </w:r>
          </w:p>
          <w:p w:rsidR="00693015" w:rsidRDefault="00693015" w:rsidP="004410C7">
            <w:pPr>
              <w:spacing w:after="0" w:line="240" w:lineRule="auto"/>
              <w:rPr>
                <w:rFonts w:ascii="Arial" w:hAnsi="Arial" w:cs="Arial"/>
                <w:b/>
              </w:rPr>
            </w:pPr>
          </w:p>
          <w:p w:rsidR="007E5ED9" w:rsidRPr="00693015" w:rsidRDefault="00E9225F" w:rsidP="004410C7">
            <w:pPr>
              <w:spacing w:after="0" w:line="240" w:lineRule="auto"/>
              <w:rPr>
                <w:rFonts w:ascii="Arial" w:hAnsi="Arial" w:cs="Arial"/>
                <w:b/>
              </w:rPr>
            </w:pPr>
            <w:r w:rsidRPr="00693015">
              <w:rPr>
                <w:rFonts w:ascii="Arial" w:hAnsi="Arial" w:cs="Arial"/>
                <w:b/>
              </w:rPr>
              <w:t>Section 10(1)(a)</w:t>
            </w:r>
          </w:p>
        </w:tc>
        <w:tc>
          <w:tcPr>
            <w:tcW w:w="2880" w:type="dxa"/>
          </w:tcPr>
          <w:p w:rsidR="007E5ED9" w:rsidRPr="00693015" w:rsidRDefault="007E5ED9" w:rsidP="007E5ED9">
            <w:pPr>
              <w:rPr>
                <w:rFonts w:ascii="Arial" w:hAnsi="Arial" w:cs="Arial"/>
                <w:b/>
              </w:rPr>
            </w:pPr>
            <w:r w:rsidRPr="00693015">
              <w:rPr>
                <w:rFonts w:ascii="Arial" w:hAnsi="Arial" w:cs="Arial"/>
                <w:b/>
              </w:rPr>
              <w:t>Marius Redelinghuys</w:t>
            </w:r>
          </w:p>
          <w:p w:rsidR="007E5ED9" w:rsidRPr="00756D89" w:rsidRDefault="007E5ED9" w:rsidP="004410C7">
            <w:pPr>
              <w:spacing w:after="0" w:line="240" w:lineRule="auto"/>
              <w:rPr>
                <w:rFonts w:ascii="Arial" w:hAnsi="Arial" w:cs="Arial"/>
                <w:b/>
              </w:rPr>
            </w:pPr>
          </w:p>
        </w:tc>
        <w:tc>
          <w:tcPr>
            <w:tcW w:w="5220" w:type="dxa"/>
          </w:tcPr>
          <w:p w:rsidR="007E5ED9" w:rsidRPr="00756D89" w:rsidRDefault="007E5ED9" w:rsidP="00693015">
            <w:pPr>
              <w:rPr>
                <w:rFonts w:ascii="Arial" w:hAnsi="Arial" w:cs="Arial"/>
              </w:rPr>
            </w:pPr>
            <w:r w:rsidRPr="00756D89">
              <w:rPr>
                <w:rFonts w:ascii="Arial" w:hAnsi="Arial" w:cs="Arial"/>
              </w:rPr>
              <w:t>I am broadly supportive of the above-mentioned A/B, but oppose and accordingly request that the committee reconsider the deletion of “cognitive ability” from section 10(1)(a) from the principal Act.</w:t>
            </w:r>
          </w:p>
        </w:tc>
        <w:tc>
          <w:tcPr>
            <w:tcW w:w="3420" w:type="dxa"/>
          </w:tcPr>
          <w:p w:rsidR="007E5ED9" w:rsidRPr="00756D89" w:rsidRDefault="003E20B6" w:rsidP="00693015">
            <w:pPr>
              <w:spacing w:after="0" w:line="240" w:lineRule="auto"/>
              <w:jc w:val="both"/>
              <w:rPr>
                <w:rFonts w:ascii="Arial" w:hAnsi="Arial" w:cs="Arial"/>
              </w:rPr>
            </w:pPr>
            <w:r w:rsidRPr="00756D89">
              <w:rPr>
                <w:rFonts w:ascii="Arial" w:hAnsi="Arial" w:cs="Arial"/>
              </w:rPr>
              <w:t xml:space="preserve">“cognitive ability” </w:t>
            </w:r>
            <w:r w:rsidR="00693015">
              <w:rPr>
                <w:rFonts w:ascii="Arial" w:hAnsi="Arial" w:cs="Arial"/>
              </w:rPr>
              <w:t>was deleted from the Bill during the PC Justice deliberations.</w:t>
            </w:r>
          </w:p>
        </w:tc>
      </w:tr>
    </w:tbl>
    <w:p w:rsidR="009C14E0" w:rsidRPr="00756D89" w:rsidRDefault="009C14E0" w:rsidP="00CE11FE">
      <w:pPr>
        <w:spacing w:after="0" w:line="240" w:lineRule="auto"/>
        <w:rPr>
          <w:rFonts w:ascii="Arial" w:hAnsi="Arial" w:cs="Arial"/>
        </w:rPr>
      </w:pPr>
    </w:p>
    <w:sectPr w:rsidR="009C14E0" w:rsidRPr="00756D89" w:rsidSect="00774D39">
      <w:headerReference w:type="default" r:id="rId8"/>
      <w:pgSz w:w="15840" w:h="12240"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DC3" w:rsidRDefault="00102DC3" w:rsidP="00CE11FE">
      <w:pPr>
        <w:spacing w:after="0" w:line="240" w:lineRule="auto"/>
      </w:pPr>
      <w:r>
        <w:separator/>
      </w:r>
    </w:p>
  </w:endnote>
  <w:endnote w:type="continuationSeparator" w:id="0">
    <w:p w:rsidR="00102DC3" w:rsidRDefault="00102DC3" w:rsidP="00CE11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DC3" w:rsidRDefault="00102DC3" w:rsidP="00CE11FE">
      <w:pPr>
        <w:spacing w:after="0" w:line="240" w:lineRule="auto"/>
      </w:pPr>
      <w:r>
        <w:separator/>
      </w:r>
    </w:p>
  </w:footnote>
  <w:footnote w:type="continuationSeparator" w:id="0">
    <w:p w:rsidR="00102DC3" w:rsidRDefault="00102DC3" w:rsidP="00CE11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30B" w:rsidRDefault="006D7208">
    <w:pPr>
      <w:pStyle w:val="Header"/>
      <w:jc w:val="center"/>
    </w:pPr>
    <w:r>
      <w:fldChar w:fldCharType="begin"/>
    </w:r>
    <w:r w:rsidR="005F1A4D">
      <w:instrText xml:space="preserve"> PAGE   \* MERGEFORMAT </w:instrText>
    </w:r>
    <w:r>
      <w:fldChar w:fldCharType="separate"/>
    </w:r>
    <w:r w:rsidR="00771ACD">
      <w:rPr>
        <w:noProof/>
      </w:rPr>
      <w:t>1</w:t>
    </w:r>
    <w:r>
      <w:rPr>
        <w:noProof/>
      </w:rPr>
      <w:fldChar w:fldCharType="end"/>
    </w:r>
  </w:p>
  <w:p w:rsidR="00C5430B" w:rsidRDefault="00C543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2F90"/>
    <w:multiLevelType w:val="hybridMultilevel"/>
    <w:tmpl w:val="164E2900"/>
    <w:lvl w:ilvl="0" w:tplc="BBA8A2A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F2226"/>
    <w:multiLevelType w:val="multilevel"/>
    <w:tmpl w:val="649C526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E4335DE"/>
    <w:multiLevelType w:val="hybridMultilevel"/>
    <w:tmpl w:val="E57C5B26"/>
    <w:lvl w:ilvl="0" w:tplc="4F528AD6">
      <w:start w:val="3"/>
      <w:numFmt w:val="decimal"/>
      <w:lvlText w:val="(%1)"/>
      <w:lvlJc w:val="left"/>
      <w:pPr>
        <w:ind w:left="786" w:hanging="360"/>
      </w:pPr>
      <w:rPr>
        <w:rFonts w:cs="Times New Roman" w:hint="default"/>
        <w:b/>
      </w:rPr>
    </w:lvl>
    <w:lvl w:ilvl="1" w:tplc="1C090019" w:tentative="1">
      <w:start w:val="1"/>
      <w:numFmt w:val="lowerLetter"/>
      <w:lvlText w:val="%2."/>
      <w:lvlJc w:val="left"/>
      <w:pPr>
        <w:ind w:left="1506" w:hanging="360"/>
      </w:pPr>
      <w:rPr>
        <w:rFonts w:cs="Times New Roman"/>
      </w:rPr>
    </w:lvl>
    <w:lvl w:ilvl="2" w:tplc="1C09001B" w:tentative="1">
      <w:start w:val="1"/>
      <w:numFmt w:val="lowerRoman"/>
      <w:lvlText w:val="%3."/>
      <w:lvlJc w:val="right"/>
      <w:pPr>
        <w:ind w:left="2226" w:hanging="180"/>
      </w:pPr>
      <w:rPr>
        <w:rFonts w:cs="Times New Roman"/>
      </w:rPr>
    </w:lvl>
    <w:lvl w:ilvl="3" w:tplc="1C09000F" w:tentative="1">
      <w:start w:val="1"/>
      <w:numFmt w:val="decimal"/>
      <w:lvlText w:val="%4."/>
      <w:lvlJc w:val="left"/>
      <w:pPr>
        <w:ind w:left="2946" w:hanging="360"/>
      </w:pPr>
      <w:rPr>
        <w:rFonts w:cs="Times New Roman"/>
      </w:rPr>
    </w:lvl>
    <w:lvl w:ilvl="4" w:tplc="1C090019" w:tentative="1">
      <w:start w:val="1"/>
      <w:numFmt w:val="lowerLetter"/>
      <w:lvlText w:val="%5."/>
      <w:lvlJc w:val="left"/>
      <w:pPr>
        <w:ind w:left="3666" w:hanging="360"/>
      </w:pPr>
      <w:rPr>
        <w:rFonts w:cs="Times New Roman"/>
      </w:rPr>
    </w:lvl>
    <w:lvl w:ilvl="5" w:tplc="1C09001B" w:tentative="1">
      <w:start w:val="1"/>
      <w:numFmt w:val="lowerRoman"/>
      <w:lvlText w:val="%6."/>
      <w:lvlJc w:val="right"/>
      <w:pPr>
        <w:ind w:left="4386" w:hanging="180"/>
      </w:pPr>
      <w:rPr>
        <w:rFonts w:cs="Times New Roman"/>
      </w:rPr>
    </w:lvl>
    <w:lvl w:ilvl="6" w:tplc="1C09000F" w:tentative="1">
      <w:start w:val="1"/>
      <w:numFmt w:val="decimal"/>
      <w:lvlText w:val="%7."/>
      <w:lvlJc w:val="left"/>
      <w:pPr>
        <w:ind w:left="5106" w:hanging="360"/>
      </w:pPr>
      <w:rPr>
        <w:rFonts w:cs="Times New Roman"/>
      </w:rPr>
    </w:lvl>
    <w:lvl w:ilvl="7" w:tplc="1C090019" w:tentative="1">
      <w:start w:val="1"/>
      <w:numFmt w:val="lowerLetter"/>
      <w:lvlText w:val="%8."/>
      <w:lvlJc w:val="left"/>
      <w:pPr>
        <w:ind w:left="5826" w:hanging="360"/>
      </w:pPr>
      <w:rPr>
        <w:rFonts w:cs="Times New Roman"/>
      </w:rPr>
    </w:lvl>
    <w:lvl w:ilvl="8" w:tplc="1C09001B" w:tentative="1">
      <w:start w:val="1"/>
      <w:numFmt w:val="lowerRoman"/>
      <w:lvlText w:val="%9."/>
      <w:lvlJc w:val="right"/>
      <w:pPr>
        <w:ind w:left="6546" w:hanging="180"/>
      </w:pPr>
      <w:rPr>
        <w:rFonts w:cs="Times New Roman"/>
      </w:rPr>
    </w:lvl>
  </w:abstractNum>
  <w:abstractNum w:abstractNumId="3">
    <w:nsid w:val="2C5D2C85"/>
    <w:multiLevelType w:val="hybridMultilevel"/>
    <w:tmpl w:val="672A2EAC"/>
    <w:lvl w:ilvl="0" w:tplc="954298D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4D8B1C58"/>
    <w:multiLevelType w:val="hybridMultilevel"/>
    <w:tmpl w:val="7D20CC34"/>
    <w:lvl w:ilvl="0" w:tplc="441A19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641A5F"/>
    <w:multiLevelType w:val="hybridMultilevel"/>
    <w:tmpl w:val="CB9C9484"/>
    <w:lvl w:ilvl="0" w:tplc="9B744B5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1E5E77"/>
    <w:multiLevelType w:val="hybridMultilevel"/>
    <w:tmpl w:val="504E31F2"/>
    <w:lvl w:ilvl="0" w:tplc="CF4A04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7917D8"/>
    <w:multiLevelType w:val="hybridMultilevel"/>
    <w:tmpl w:val="2FCAD464"/>
    <w:lvl w:ilvl="0" w:tplc="7D349EE6">
      <w:start w:val="1"/>
      <w:numFmt w:val="decimal"/>
      <w:lvlText w:val="(%1)"/>
      <w:lvlJc w:val="left"/>
      <w:pPr>
        <w:ind w:left="720" w:hanging="36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6F362E66"/>
    <w:multiLevelType w:val="hybridMultilevel"/>
    <w:tmpl w:val="0C986128"/>
    <w:lvl w:ilvl="0" w:tplc="EE18BA6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709B2CEC"/>
    <w:multiLevelType w:val="hybridMultilevel"/>
    <w:tmpl w:val="6E6E01D0"/>
    <w:lvl w:ilvl="0" w:tplc="901CF28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3F5C91"/>
    <w:multiLevelType w:val="multilevel"/>
    <w:tmpl w:val="F85226C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7FC87BD3"/>
    <w:multiLevelType w:val="hybridMultilevel"/>
    <w:tmpl w:val="9A260E2E"/>
    <w:lvl w:ilvl="0" w:tplc="9EE64E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9"/>
  </w:num>
  <w:num w:numId="5">
    <w:abstractNumId w:val="2"/>
  </w:num>
  <w:num w:numId="6">
    <w:abstractNumId w:val="10"/>
  </w:num>
  <w:num w:numId="7">
    <w:abstractNumId w:val="1"/>
  </w:num>
  <w:num w:numId="8">
    <w:abstractNumId w:val="8"/>
  </w:num>
  <w:num w:numId="9">
    <w:abstractNumId w:val="3"/>
  </w:num>
  <w:num w:numId="10">
    <w:abstractNumId w:val="4"/>
  </w:num>
  <w:num w:numId="11">
    <w:abstractNumId w:val="6"/>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E11FE"/>
    <w:rsid w:val="00002E0D"/>
    <w:rsid w:val="00004B5D"/>
    <w:rsid w:val="0000678B"/>
    <w:rsid w:val="0001798B"/>
    <w:rsid w:val="00032D18"/>
    <w:rsid w:val="00034855"/>
    <w:rsid w:val="00052790"/>
    <w:rsid w:val="00070A3B"/>
    <w:rsid w:val="0009731D"/>
    <w:rsid w:val="000A3775"/>
    <w:rsid w:val="000B2BF2"/>
    <w:rsid w:val="000C372A"/>
    <w:rsid w:val="000C3FAD"/>
    <w:rsid w:val="000C49AB"/>
    <w:rsid w:val="000C49E1"/>
    <w:rsid w:val="000C6D0A"/>
    <w:rsid w:val="000D351A"/>
    <w:rsid w:val="000E2515"/>
    <w:rsid w:val="000F1A2A"/>
    <w:rsid w:val="000F5482"/>
    <w:rsid w:val="001016A3"/>
    <w:rsid w:val="00101DD4"/>
    <w:rsid w:val="00102256"/>
    <w:rsid w:val="001024F8"/>
    <w:rsid w:val="00102DC3"/>
    <w:rsid w:val="00112574"/>
    <w:rsid w:val="00115E9A"/>
    <w:rsid w:val="00122602"/>
    <w:rsid w:val="00122BCD"/>
    <w:rsid w:val="00130AEA"/>
    <w:rsid w:val="00153939"/>
    <w:rsid w:val="00171140"/>
    <w:rsid w:val="00172CB2"/>
    <w:rsid w:val="0017658C"/>
    <w:rsid w:val="001922D2"/>
    <w:rsid w:val="001A79FA"/>
    <w:rsid w:val="001C6608"/>
    <w:rsid w:val="001D1704"/>
    <w:rsid w:val="001D47C6"/>
    <w:rsid w:val="001F236F"/>
    <w:rsid w:val="001F5560"/>
    <w:rsid w:val="00207A8E"/>
    <w:rsid w:val="002113E6"/>
    <w:rsid w:val="0022216D"/>
    <w:rsid w:val="00224C72"/>
    <w:rsid w:val="00245B15"/>
    <w:rsid w:val="0027533A"/>
    <w:rsid w:val="0029668A"/>
    <w:rsid w:val="002A6E11"/>
    <w:rsid w:val="002B1F57"/>
    <w:rsid w:val="002D7749"/>
    <w:rsid w:val="002E73F6"/>
    <w:rsid w:val="002F07B4"/>
    <w:rsid w:val="0031030E"/>
    <w:rsid w:val="00311C4D"/>
    <w:rsid w:val="00323C3B"/>
    <w:rsid w:val="003337B1"/>
    <w:rsid w:val="003339F5"/>
    <w:rsid w:val="003626A1"/>
    <w:rsid w:val="00390829"/>
    <w:rsid w:val="00395F95"/>
    <w:rsid w:val="003A4DA2"/>
    <w:rsid w:val="003A5BE9"/>
    <w:rsid w:val="003B7105"/>
    <w:rsid w:val="003C6875"/>
    <w:rsid w:val="003D6B67"/>
    <w:rsid w:val="003E20B6"/>
    <w:rsid w:val="003F344A"/>
    <w:rsid w:val="003F7314"/>
    <w:rsid w:val="00421444"/>
    <w:rsid w:val="00424906"/>
    <w:rsid w:val="0043141D"/>
    <w:rsid w:val="0043593C"/>
    <w:rsid w:val="004410C7"/>
    <w:rsid w:val="0044257F"/>
    <w:rsid w:val="00463375"/>
    <w:rsid w:val="00465C2C"/>
    <w:rsid w:val="00473D43"/>
    <w:rsid w:val="004A6C8F"/>
    <w:rsid w:val="004B2053"/>
    <w:rsid w:val="004C0134"/>
    <w:rsid w:val="004D7115"/>
    <w:rsid w:val="004E07A6"/>
    <w:rsid w:val="005135D7"/>
    <w:rsid w:val="00513F86"/>
    <w:rsid w:val="00527774"/>
    <w:rsid w:val="00530622"/>
    <w:rsid w:val="00536EAB"/>
    <w:rsid w:val="00556080"/>
    <w:rsid w:val="0056528B"/>
    <w:rsid w:val="00565F87"/>
    <w:rsid w:val="00587382"/>
    <w:rsid w:val="005B18A1"/>
    <w:rsid w:val="005D6C16"/>
    <w:rsid w:val="005F1A4D"/>
    <w:rsid w:val="00607E4C"/>
    <w:rsid w:val="006115EE"/>
    <w:rsid w:val="00625979"/>
    <w:rsid w:val="0064266F"/>
    <w:rsid w:val="00656CFB"/>
    <w:rsid w:val="006658D2"/>
    <w:rsid w:val="00666394"/>
    <w:rsid w:val="0067271F"/>
    <w:rsid w:val="00684515"/>
    <w:rsid w:val="00693015"/>
    <w:rsid w:val="006934E7"/>
    <w:rsid w:val="006B62BE"/>
    <w:rsid w:val="006C4836"/>
    <w:rsid w:val="006C7593"/>
    <w:rsid w:val="006D329B"/>
    <w:rsid w:val="006D381E"/>
    <w:rsid w:val="006D71F5"/>
    <w:rsid w:val="006D7208"/>
    <w:rsid w:val="006E2101"/>
    <w:rsid w:val="006E7264"/>
    <w:rsid w:val="0071248D"/>
    <w:rsid w:val="007229BB"/>
    <w:rsid w:val="00753D78"/>
    <w:rsid w:val="0075623A"/>
    <w:rsid w:val="00756D89"/>
    <w:rsid w:val="00761DEA"/>
    <w:rsid w:val="007640FD"/>
    <w:rsid w:val="00766709"/>
    <w:rsid w:val="00770128"/>
    <w:rsid w:val="00771ACD"/>
    <w:rsid w:val="00774D39"/>
    <w:rsid w:val="007755CB"/>
    <w:rsid w:val="007A44C3"/>
    <w:rsid w:val="007B7BCF"/>
    <w:rsid w:val="007C2F40"/>
    <w:rsid w:val="007C5369"/>
    <w:rsid w:val="007D233F"/>
    <w:rsid w:val="007E2CC8"/>
    <w:rsid w:val="007E31BA"/>
    <w:rsid w:val="007E5ED9"/>
    <w:rsid w:val="007E6157"/>
    <w:rsid w:val="00801ADF"/>
    <w:rsid w:val="008023FA"/>
    <w:rsid w:val="00820068"/>
    <w:rsid w:val="008247F1"/>
    <w:rsid w:val="00826C35"/>
    <w:rsid w:val="0085318B"/>
    <w:rsid w:val="00885CAE"/>
    <w:rsid w:val="00885FA1"/>
    <w:rsid w:val="00893A40"/>
    <w:rsid w:val="00896A38"/>
    <w:rsid w:val="008A4CD9"/>
    <w:rsid w:val="008B416C"/>
    <w:rsid w:val="008D3573"/>
    <w:rsid w:val="008D5EC1"/>
    <w:rsid w:val="008D639F"/>
    <w:rsid w:val="008D6C14"/>
    <w:rsid w:val="008E544C"/>
    <w:rsid w:val="008F68DF"/>
    <w:rsid w:val="009175E6"/>
    <w:rsid w:val="009246C4"/>
    <w:rsid w:val="00930680"/>
    <w:rsid w:val="00940758"/>
    <w:rsid w:val="0095250C"/>
    <w:rsid w:val="009546E8"/>
    <w:rsid w:val="00966FD1"/>
    <w:rsid w:val="00973688"/>
    <w:rsid w:val="0097783E"/>
    <w:rsid w:val="00982330"/>
    <w:rsid w:val="009C09F5"/>
    <w:rsid w:val="009C14E0"/>
    <w:rsid w:val="009D030B"/>
    <w:rsid w:val="009D1AF8"/>
    <w:rsid w:val="009D4039"/>
    <w:rsid w:val="009F5C8C"/>
    <w:rsid w:val="00A024BC"/>
    <w:rsid w:val="00A267A6"/>
    <w:rsid w:val="00A31B3C"/>
    <w:rsid w:val="00A52946"/>
    <w:rsid w:val="00A55993"/>
    <w:rsid w:val="00A56778"/>
    <w:rsid w:val="00A662B2"/>
    <w:rsid w:val="00A67DCC"/>
    <w:rsid w:val="00A7344C"/>
    <w:rsid w:val="00A83306"/>
    <w:rsid w:val="00A849C0"/>
    <w:rsid w:val="00A9749C"/>
    <w:rsid w:val="00AB5F2D"/>
    <w:rsid w:val="00AC7F21"/>
    <w:rsid w:val="00AD5EF7"/>
    <w:rsid w:val="00AD5FE6"/>
    <w:rsid w:val="00AD7D40"/>
    <w:rsid w:val="00AF7CCA"/>
    <w:rsid w:val="00B1161C"/>
    <w:rsid w:val="00B17D1E"/>
    <w:rsid w:val="00B21DC5"/>
    <w:rsid w:val="00B22D12"/>
    <w:rsid w:val="00B442F8"/>
    <w:rsid w:val="00B47A94"/>
    <w:rsid w:val="00B55D03"/>
    <w:rsid w:val="00B55E8D"/>
    <w:rsid w:val="00B84A68"/>
    <w:rsid w:val="00BA0787"/>
    <w:rsid w:val="00BA3817"/>
    <w:rsid w:val="00BB5AF8"/>
    <w:rsid w:val="00BC34E0"/>
    <w:rsid w:val="00BD0160"/>
    <w:rsid w:val="00BD186F"/>
    <w:rsid w:val="00BF3A77"/>
    <w:rsid w:val="00C06508"/>
    <w:rsid w:val="00C157C4"/>
    <w:rsid w:val="00C2494E"/>
    <w:rsid w:val="00C26913"/>
    <w:rsid w:val="00C27A27"/>
    <w:rsid w:val="00C40C2D"/>
    <w:rsid w:val="00C41B7F"/>
    <w:rsid w:val="00C44CB1"/>
    <w:rsid w:val="00C5430B"/>
    <w:rsid w:val="00C77DB1"/>
    <w:rsid w:val="00C845CB"/>
    <w:rsid w:val="00C9698B"/>
    <w:rsid w:val="00CC07EF"/>
    <w:rsid w:val="00CC2F36"/>
    <w:rsid w:val="00CE0FD1"/>
    <w:rsid w:val="00CE11FE"/>
    <w:rsid w:val="00CF38AA"/>
    <w:rsid w:val="00D05C28"/>
    <w:rsid w:val="00D24175"/>
    <w:rsid w:val="00D533B8"/>
    <w:rsid w:val="00D56C32"/>
    <w:rsid w:val="00D627A2"/>
    <w:rsid w:val="00D67494"/>
    <w:rsid w:val="00D76C5D"/>
    <w:rsid w:val="00D86375"/>
    <w:rsid w:val="00DA7A65"/>
    <w:rsid w:val="00DC503A"/>
    <w:rsid w:val="00DD61BC"/>
    <w:rsid w:val="00DE66AC"/>
    <w:rsid w:val="00E17877"/>
    <w:rsid w:val="00E252F6"/>
    <w:rsid w:val="00E31EBF"/>
    <w:rsid w:val="00E34DD6"/>
    <w:rsid w:val="00E422E5"/>
    <w:rsid w:val="00E46840"/>
    <w:rsid w:val="00E5443F"/>
    <w:rsid w:val="00E57314"/>
    <w:rsid w:val="00E717CD"/>
    <w:rsid w:val="00E8175C"/>
    <w:rsid w:val="00E9225F"/>
    <w:rsid w:val="00E954D7"/>
    <w:rsid w:val="00EB057C"/>
    <w:rsid w:val="00EB21DE"/>
    <w:rsid w:val="00EF64BB"/>
    <w:rsid w:val="00F14DB7"/>
    <w:rsid w:val="00F26CFA"/>
    <w:rsid w:val="00F323F2"/>
    <w:rsid w:val="00F406EB"/>
    <w:rsid w:val="00F42A7D"/>
    <w:rsid w:val="00F7129E"/>
    <w:rsid w:val="00F77EDE"/>
    <w:rsid w:val="00FA7C48"/>
    <w:rsid w:val="00FB3B88"/>
    <w:rsid w:val="00FC243A"/>
    <w:rsid w:val="00FC6E0F"/>
    <w:rsid w:val="00FD7CA7"/>
    <w:rsid w:val="00FE536C"/>
    <w:rsid w:val="00FE79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4E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11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CE1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1FE"/>
  </w:style>
  <w:style w:type="paragraph" w:styleId="Footer">
    <w:name w:val="footer"/>
    <w:basedOn w:val="Normal"/>
    <w:link w:val="FooterChar"/>
    <w:uiPriority w:val="99"/>
    <w:semiHidden/>
    <w:unhideWhenUsed/>
    <w:rsid w:val="00CE11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11FE"/>
  </w:style>
  <w:style w:type="paragraph" w:styleId="ListParagraph">
    <w:name w:val="List Paragraph"/>
    <w:basedOn w:val="Normal"/>
    <w:uiPriority w:val="34"/>
    <w:qFormat/>
    <w:rsid w:val="004E07A6"/>
    <w:pPr>
      <w:ind w:left="720"/>
      <w:contextualSpacing/>
    </w:pPr>
  </w:style>
  <w:style w:type="character" w:styleId="Hyperlink">
    <w:name w:val="Hyperlink"/>
    <w:basedOn w:val="DefaultParagraphFont"/>
    <w:uiPriority w:val="99"/>
    <w:unhideWhenUsed/>
    <w:rsid w:val="0027533A"/>
    <w:rPr>
      <w:color w:val="0000FF"/>
      <w:u w:val="single"/>
    </w:rPr>
  </w:style>
  <w:style w:type="paragraph" w:styleId="FootnoteText">
    <w:name w:val="footnote text"/>
    <w:basedOn w:val="Normal"/>
    <w:link w:val="FootnoteTextChar"/>
    <w:uiPriority w:val="99"/>
    <w:semiHidden/>
    <w:unhideWhenUsed/>
    <w:rsid w:val="006658D2"/>
    <w:rPr>
      <w:sz w:val="20"/>
      <w:szCs w:val="20"/>
    </w:rPr>
  </w:style>
  <w:style w:type="character" w:customStyle="1" w:styleId="FootnoteTextChar">
    <w:name w:val="Footnote Text Char"/>
    <w:basedOn w:val="DefaultParagraphFont"/>
    <w:link w:val="FootnoteText"/>
    <w:uiPriority w:val="99"/>
    <w:semiHidden/>
    <w:rsid w:val="006658D2"/>
  </w:style>
  <w:style w:type="character" w:styleId="FootnoteReference">
    <w:name w:val="footnote reference"/>
    <w:basedOn w:val="DefaultParagraphFont"/>
    <w:uiPriority w:val="99"/>
    <w:semiHidden/>
    <w:unhideWhenUsed/>
    <w:rsid w:val="006658D2"/>
    <w:rPr>
      <w:vertAlign w:val="superscript"/>
    </w:rPr>
  </w:style>
  <w:style w:type="paragraph" w:styleId="BalloonText">
    <w:name w:val="Balloon Text"/>
    <w:basedOn w:val="Normal"/>
    <w:link w:val="BalloonTextChar"/>
    <w:uiPriority w:val="99"/>
    <w:semiHidden/>
    <w:unhideWhenUsed/>
    <w:rsid w:val="00112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574"/>
    <w:rPr>
      <w:rFonts w:ascii="Tahoma" w:hAnsi="Tahoma" w:cs="Tahoma"/>
      <w:sz w:val="16"/>
      <w:szCs w:val="16"/>
    </w:rPr>
  </w:style>
  <w:style w:type="paragraph" w:customStyle="1" w:styleId="Default">
    <w:name w:val="Default"/>
    <w:rsid w:val="00FA7C48"/>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96097748">
      <w:bodyDiv w:val="1"/>
      <w:marLeft w:val="0"/>
      <w:marRight w:val="0"/>
      <w:marTop w:val="0"/>
      <w:marBottom w:val="0"/>
      <w:divBdr>
        <w:top w:val="none" w:sz="0" w:space="0" w:color="auto"/>
        <w:left w:val="none" w:sz="0" w:space="0" w:color="auto"/>
        <w:bottom w:val="none" w:sz="0" w:space="0" w:color="auto"/>
        <w:right w:val="none" w:sz="0" w:space="0" w:color="auto"/>
      </w:divBdr>
    </w:div>
    <w:div w:id="378893375">
      <w:bodyDiv w:val="1"/>
      <w:marLeft w:val="0"/>
      <w:marRight w:val="0"/>
      <w:marTop w:val="0"/>
      <w:marBottom w:val="0"/>
      <w:divBdr>
        <w:top w:val="none" w:sz="0" w:space="0" w:color="auto"/>
        <w:left w:val="none" w:sz="0" w:space="0" w:color="auto"/>
        <w:bottom w:val="none" w:sz="0" w:space="0" w:color="auto"/>
        <w:right w:val="none" w:sz="0" w:space="0" w:color="auto"/>
      </w:divBdr>
    </w:div>
    <w:div w:id="656223743">
      <w:bodyDiv w:val="1"/>
      <w:marLeft w:val="0"/>
      <w:marRight w:val="0"/>
      <w:marTop w:val="0"/>
      <w:marBottom w:val="0"/>
      <w:divBdr>
        <w:top w:val="none" w:sz="0" w:space="0" w:color="auto"/>
        <w:left w:val="none" w:sz="0" w:space="0" w:color="auto"/>
        <w:bottom w:val="none" w:sz="0" w:space="0" w:color="auto"/>
        <w:right w:val="none" w:sz="0" w:space="0" w:color="auto"/>
      </w:divBdr>
    </w:div>
    <w:div w:id="746614916">
      <w:bodyDiv w:val="1"/>
      <w:marLeft w:val="0"/>
      <w:marRight w:val="0"/>
      <w:marTop w:val="0"/>
      <w:marBottom w:val="0"/>
      <w:divBdr>
        <w:top w:val="none" w:sz="0" w:space="0" w:color="auto"/>
        <w:left w:val="none" w:sz="0" w:space="0" w:color="auto"/>
        <w:bottom w:val="none" w:sz="0" w:space="0" w:color="auto"/>
        <w:right w:val="none" w:sz="0" w:space="0" w:color="auto"/>
      </w:divBdr>
    </w:div>
    <w:div w:id="1092167784">
      <w:bodyDiv w:val="1"/>
      <w:marLeft w:val="0"/>
      <w:marRight w:val="0"/>
      <w:marTop w:val="0"/>
      <w:marBottom w:val="0"/>
      <w:divBdr>
        <w:top w:val="none" w:sz="0" w:space="0" w:color="auto"/>
        <w:left w:val="none" w:sz="0" w:space="0" w:color="auto"/>
        <w:bottom w:val="none" w:sz="0" w:space="0" w:color="auto"/>
        <w:right w:val="none" w:sz="0" w:space="0" w:color="auto"/>
      </w:divBdr>
    </w:div>
    <w:div w:id="1438788472">
      <w:bodyDiv w:val="1"/>
      <w:marLeft w:val="0"/>
      <w:marRight w:val="0"/>
      <w:marTop w:val="0"/>
      <w:marBottom w:val="0"/>
      <w:divBdr>
        <w:top w:val="none" w:sz="0" w:space="0" w:color="auto"/>
        <w:left w:val="none" w:sz="0" w:space="0" w:color="auto"/>
        <w:bottom w:val="none" w:sz="0" w:space="0" w:color="auto"/>
        <w:right w:val="none" w:sz="0" w:space="0" w:color="auto"/>
      </w:divBdr>
    </w:div>
    <w:div w:id="1519927309">
      <w:bodyDiv w:val="1"/>
      <w:marLeft w:val="0"/>
      <w:marRight w:val="0"/>
      <w:marTop w:val="0"/>
      <w:marBottom w:val="0"/>
      <w:divBdr>
        <w:top w:val="none" w:sz="0" w:space="0" w:color="auto"/>
        <w:left w:val="none" w:sz="0" w:space="0" w:color="auto"/>
        <w:bottom w:val="none" w:sz="0" w:space="0" w:color="auto"/>
        <w:right w:val="none" w:sz="0" w:space="0" w:color="auto"/>
      </w:divBdr>
    </w:div>
    <w:div w:id="1594581684">
      <w:bodyDiv w:val="1"/>
      <w:marLeft w:val="0"/>
      <w:marRight w:val="0"/>
      <w:marTop w:val="0"/>
      <w:marBottom w:val="0"/>
      <w:divBdr>
        <w:top w:val="none" w:sz="0" w:space="0" w:color="auto"/>
        <w:left w:val="none" w:sz="0" w:space="0" w:color="auto"/>
        <w:bottom w:val="none" w:sz="0" w:space="0" w:color="auto"/>
        <w:right w:val="none" w:sz="0" w:space="0" w:color="auto"/>
      </w:divBdr>
    </w:div>
    <w:div w:id="1672835486">
      <w:bodyDiv w:val="1"/>
      <w:marLeft w:val="0"/>
      <w:marRight w:val="0"/>
      <w:marTop w:val="0"/>
      <w:marBottom w:val="0"/>
      <w:divBdr>
        <w:top w:val="none" w:sz="0" w:space="0" w:color="auto"/>
        <w:left w:val="none" w:sz="0" w:space="0" w:color="auto"/>
        <w:bottom w:val="none" w:sz="0" w:space="0" w:color="auto"/>
        <w:right w:val="none" w:sz="0" w:space="0" w:color="auto"/>
      </w:divBdr>
    </w:div>
    <w:div w:id="211486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A894E-5C68-4500-BE52-383DF84CB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PUMZA</cp:lastModifiedBy>
  <cp:revision>2</cp:revision>
  <cp:lastPrinted>2018-11-12T14:19:00Z</cp:lastPrinted>
  <dcterms:created xsi:type="dcterms:W3CDTF">2019-10-10T08:15:00Z</dcterms:created>
  <dcterms:modified xsi:type="dcterms:W3CDTF">2019-10-10T08:15:00Z</dcterms:modified>
</cp:coreProperties>
</file>