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98" w:rsidRDefault="00E86363" w:rsidP="002F26F0">
      <w:pPr>
        <w:pStyle w:val="Normal1"/>
        <w:spacing w:line="480" w:lineRule="auto"/>
        <w:jc w:val="both"/>
        <w:rPr>
          <w:rFonts w:ascii="Arial" w:eastAsia="Arial" w:hAnsi="Arial" w:cs="Arial"/>
          <w:sz w:val="22"/>
          <w:szCs w:val="22"/>
        </w:rPr>
      </w:pPr>
      <w:r>
        <w:rPr>
          <w:rFonts w:ascii="Arial" w:hAnsi="Arial" w:cs="Arial"/>
          <w:noProof/>
          <w:sz w:val="20"/>
          <w:lang w:val="en-ZA"/>
        </w:rPr>
        <w:drawing>
          <wp:anchor distT="0" distB="0" distL="114300" distR="114300" simplePos="0" relativeHeight="251659264" behindDoc="0" locked="0" layoutInCell="1" allowOverlap="1">
            <wp:simplePos x="0" y="0"/>
            <wp:positionH relativeFrom="column">
              <wp:posOffset>323215</wp:posOffset>
            </wp:positionH>
            <wp:positionV relativeFrom="paragraph">
              <wp:posOffset>-472440</wp:posOffset>
            </wp:positionV>
            <wp:extent cx="3043555" cy="1259205"/>
            <wp:effectExtent l="0" t="0" r="4445"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43555" cy="1259205"/>
                    </a:xfrm>
                    <a:prstGeom prst="rect">
                      <a:avLst/>
                    </a:prstGeom>
                  </pic:spPr>
                </pic:pic>
              </a:graphicData>
            </a:graphic>
          </wp:anchor>
        </w:drawing>
      </w:r>
    </w:p>
    <w:p w:rsidR="00C75E98" w:rsidRDefault="00C75E98" w:rsidP="002F26F0">
      <w:pPr>
        <w:pStyle w:val="Normal1"/>
        <w:pBdr>
          <w:top w:val="nil"/>
          <w:left w:val="nil"/>
          <w:bottom w:val="nil"/>
          <w:right w:val="nil"/>
          <w:between w:val="nil"/>
        </w:pBdr>
        <w:ind w:left="720" w:hanging="720"/>
        <w:jc w:val="both"/>
        <w:rPr>
          <w:rFonts w:ascii="Arial" w:eastAsia="Arial" w:hAnsi="Arial" w:cs="Arial"/>
          <w:b/>
          <w:color w:val="000000"/>
        </w:rPr>
      </w:pPr>
    </w:p>
    <w:p w:rsidR="00E86363" w:rsidRDefault="00E86363" w:rsidP="002F26F0">
      <w:pPr>
        <w:pStyle w:val="Normal1"/>
        <w:pBdr>
          <w:top w:val="nil"/>
          <w:left w:val="nil"/>
          <w:bottom w:val="nil"/>
          <w:right w:val="nil"/>
          <w:between w:val="nil"/>
        </w:pBdr>
        <w:ind w:left="720" w:hanging="720"/>
        <w:jc w:val="both"/>
        <w:rPr>
          <w:rFonts w:ascii="Arial" w:eastAsia="Arial" w:hAnsi="Arial" w:cs="Arial"/>
          <w:b/>
          <w:color w:val="000000"/>
        </w:rPr>
      </w:pPr>
    </w:p>
    <w:p w:rsidR="00E86363" w:rsidRDefault="00E86363" w:rsidP="002F26F0">
      <w:pPr>
        <w:pStyle w:val="Normal1"/>
        <w:pBdr>
          <w:top w:val="nil"/>
          <w:left w:val="nil"/>
          <w:bottom w:val="nil"/>
          <w:right w:val="nil"/>
          <w:between w:val="nil"/>
        </w:pBdr>
        <w:ind w:left="720" w:hanging="720"/>
        <w:jc w:val="both"/>
        <w:rPr>
          <w:rFonts w:ascii="Arial" w:eastAsia="Arial" w:hAnsi="Arial" w:cs="Arial"/>
          <w:b/>
          <w:color w:val="000000"/>
        </w:rPr>
      </w:pPr>
    </w:p>
    <w:p w:rsidR="00C75E98" w:rsidRDefault="00C75E98" w:rsidP="002F26F0">
      <w:pPr>
        <w:pStyle w:val="Normal1"/>
        <w:pBdr>
          <w:top w:val="nil"/>
          <w:left w:val="nil"/>
          <w:bottom w:val="nil"/>
          <w:right w:val="nil"/>
          <w:between w:val="nil"/>
        </w:pBdr>
        <w:ind w:left="720" w:hanging="720"/>
        <w:jc w:val="both"/>
        <w:rPr>
          <w:rFonts w:ascii="Arial" w:eastAsia="Arial" w:hAnsi="Arial" w:cs="Arial"/>
          <w:b/>
          <w:color w:val="000000"/>
        </w:rPr>
      </w:pPr>
    </w:p>
    <w:p w:rsidR="00793CE0" w:rsidRDefault="000909A2"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r>
        <w:rPr>
          <w:rFonts w:ascii="Arial" w:eastAsia="Arial" w:hAnsi="Arial" w:cs="Arial"/>
          <w:b/>
          <w:color w:val="000000"/>
        </w:rPr>
        <w:t>Parliamentary Officer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30</w:t>
      </w:r>
      <w:r w:rsidR="0097528F">
        <w:rPr>
          <w:rFonts w:ascii="Arial" w:eastAsia="Arial" w:hAnsi="Arial" w:cs="Arial"/>
          <w:b/>
          <w:color w:val="000000"/>
        </w:rPr>
        <w:t xml:space="preserve"> August 2019</w:t>
      </w:r>
    </w:p>
    <w:p w:rsid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proofErr w:type="gramStart"/>
      <w:r>
        <w:rPr>
          <w:rFonts w:ascii="Arial" w:eastAsia="Arial" w:hAnsi="Arial" w:cs="Arial"/>
          <w:b/>
          <w:color w:val="000000"/>
        </w:rPr>
        <w:t>Attention :</w:t>
      </w:r>
      <w:proofErr w:type="gramEnd"/>
      <w:r>
        <w:rPr>
          <w:rFonts w:ascii="Arial" w:eastAsia="Arial" w:hAnsi="Arial" w:cs="Arial"/>
          <w:b/>
          <w:color w:val="000000"/>
        </w:rPr>
        <w:t xml:space="preserve"> Mr. </w:t>
      </w:r>
      <w:proofErr w:type="spellStart"/>
      <w:r>
        <w:rPr>
          <w:rFonts w:ascii="Arial" w:eastAsia="Arial" w:hAnsi="Arial" w:cs="Arial"/>
          <w:b/>
          <w:color w:val="000000"/>
        </w:rPr>
        <w:t>S.Mthonjeni</w:t>
      </w:r>
      <w:proofErr w:type="spellEnd"/>
    </w:p>
    <w:p w:rsidR="0097528F" w:rsidRDefault="007F6140"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hyperlink r:id="rId9" w:history="1">
        <w:r w:rsidR="0097528F" w:rsidRPr="00FD48C5">
          <w:rPr>
            <w:rStyle w:val="Hyperlink"/>
            <w:rFonts w:ascii="Arial" w:eastAsia="Arial" w:hAnsi="Arial" w:cs="Arial"/>
            <w:b/>
          </w:rPr>
          <w:t>smthonjeni@parliament.gov.za</w:t>
        </w:r>
      </w:hyperlink>
    </w:p>
    <w:p w:rsid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r>
        <w:rPr>
          <w:rFonts w:ascii="Arial" w:eastAsia="Arial" w:hAnsi="Arial" w:cs="Arial"/>
          <w:b/>
          <w:color w:val="000000"/>
        </w:rPr>
        <w:t xml:space="preserve">Attention </w:t>
      </w:r>
      <w:proofErr w:type="spellStart"/>
      <w:r>
        <w:rPr>
          <w:rFonts w:ascii="Arial" w:eastAsia="Arial" w:hAnsi="Arial" w:cs="Arial"/>
          <w:b/>
          <w:color w:val="000000"/>
        </w:rPr>
        <w:t>Ms.C.Silkstone</w:t>
      </w:r>
      <w:proofErr w:type="spellEnd"/>
    </w:p>
    <w:p w:rsidR="0097528F" w:rsidRDefault="007F6140"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hyperlink r:id="rId10" w:history="1">
        <w:r w:rsidR="0097528F" w:rsidRPr="00FD48C5">
          <w:rPr>
            <w:rStyle w:val="Hyperlink"/>
            <w:rFonts w:ascii="Arial" w:eastAsia="Arial" w:hAnsi="Arial" w:cs="Arial"/>
            <w:b/>
          </w:rPr>
          <w:t>csilkstone@parliament.gov.za</w:t>
        </w:r>
      </w:hyperlink>
    </w:p>
    <w:p w:rsid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p>
    <w:p w:rsidR="00793CE0" w:rsidRDefault="00793CE0"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p>
    <w:p w:rsidR="00793CE0" w:rsidRDefault="00793CE0"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p>
    <w:p w:rsidR="00793CE0" w:rsidRDefault="000909A2"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r>
        <w:rPr>
          <w:rFonts w:ascii="Arial" w:eastAsia="Arial" w:hAnsi="Arial" w:cs="Arial"/>
          <w:b/>
          <w:color w:val="000000"/>
        </w:rPr>
        <w:t>RE</w:t>
      </w:r>
      <w:r w:rsidR="0097528F">
        <w:rPr>
          <w:rFonts w:ascii="Arial" w:eastAsia="Arial" w:hAnsi="Arial" w:cs="Arial"/>
          <w:b/>
          <w:color w:val="000000"/>
        </w:rPr>
        <w:t xml:space="preserve">: </w:t>
      </w:r>
      <w:r>
        <w:rPr>
          <w:rFonts w:ascii="Arial" w:eastAsia="Arial" w:hAnsi="Arial" w:cs="Arial"/>
          <w:b/>
          <w:color w:val="000000"/>
        </w:rPr>
        <w:t xml:space="preserve"> COMMENTS ON THE</w:t>
      </w:r>
      <w:r w:rsidRPr="00793CE0">
        <w:rPr>
          <w:rFonts w:ascii="Arial" w:eastAsia="Arial" w:hAnsi="Arial" w:cs="Arial"/>
          <w:b/>
          <w:color w:val="000000"/>
        </w:rPr>
        <w:t xml:space="preserve"> PROMOTION OF </w:t>
      </w:r>
      <w:r>
        <w:rPr>
          <w:rFonts w:ascii="Arial" w:eastAsia="Arial" w:hAnsi="Arial" w:cs="Arial"/>
          <w:b/>
          <w:color w:val="000000"/>
        </w:rPr>
        <w:t xml:space="preserve">ACCESS TO INFORMATION AMENDMENT </w:t>
      </w:r>
      <w:r w:rsidRPr="00793CE0">
        <w:rPr>
          <w:rFonts w:ascii="Arial" w:eastAsia="Arial" w:hAnsi="Arial" w:cs="Arial"/>
          <w:b/>
          <w:color w:val="000000"/>
        </w:rPr>
        <w:t>BILL</w:t>
      </w:r>
    </w:p>
    <w:p w:rsidR="001450F7" w:rsidRDefault="001450F7" w:rsidP="001450F7">
      <w:pPr>
        <w:pStyle w:val="Normal1"/>
        <w:pBdr>
          <w:top w:val="nil"/>
          <w:left w:val="nil"/>
          <w:bottom w:val="nil"/>
          <w:right w:val="nil"/>
          <w:between w:val="nil"/>
        </w:pBdr>
        <w:spacing w:line="360" w:lineRule="auto"/>
        <w:ind w:left="720" w:hanging="720"/>
        <w:jc w:val="both"/>
        <w:rPr>
          <w:rFonts w:ascii="Arial" w:eastAsia="Arial" w:hAnsi="Arial" w:cs="Arial"/>
          <w:b/>
          <w:color w:val="000000"/>
        </w:rPr>
      </w:pPr>
    </w:p>
    <w:p w:rsidR="00793CE0" w:rsidRDefault="002669BC"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r>
        <w:rPr>
          <w:rFonts w:ascii="Arial" w:eastAsia="Arial" w:hAnsi="Arial" w:cs="Arial"/>
          <w:color w:val="000000"/>
        </w:rPr>
        <w:t xml:space="preserve">          </w:t>
      </w:r>
      <w:r w:rsidR="0097528F">
        <w:rPr>
          <w:rFonts w:ascii="Arial" w:eastAsia="Arial" w:hAnsi="Arial" w:cs="Arial"/>
          <w:color w:val="000000"/>
        </w:rPr>
        <w:t>Kindly find comments from the Information Regulator</w:t>
      </w:r>
      <w:r w:rsidR="001450F7">
        <w:rPr>
          <w:rFonts w:ascii="Arial" w:eastAsia="Arial" w:hAnsi="Arial" w:cs="Arial"/>
          <w:color w:val="000000"/>
        </w:rPr>
        <w:t xml:space="preserve"> (Regulator)</w:t>
      </w:r>
      <w:r w:rsidR="0097528F">
        <w:rPr>
          <w:rFonts w:ascii="Arial" w:eastAsia="Arial" w:hAnsi="Arial" w:cs="Arial"/>
          <w:color w:val="000000"/>
        </w:rPr>
        <w:t xml:space="preserve"> on t</w:t>
      </w:r>
      <w:r w:rsidR="001450F7">
        <w:rPr>
          <w:rFonts w:ascii="Arial" w:eastAsia="Arial" w:hAnsi="Arial" w:cs="Arial"/>
          <w:color w:val="000000"/>
        </w:rPr>
        <w:t xml:space="preserve">he draft Promotion of Access to </w:t>
      </w:r>
      <w:r w:rsidR="0097528F">
        <w:rPr>
          <w:rFonts w:ascii="Arial" w:eastAsia="Arial" w:hAnsi="Arial" w:cs="Arial"/>
          <w:color w:val="000000"/>
        </w:rPr>
        <w:t>Information Amendment Bill.</w:t>
      </w:r>
    </w:p>
    <w:p w:rsidR="0097528F" w:rsidRP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p>
    <w:p w:rsidR="00793CE0" w:rsidRDefault="00793CE0" w:rsidP="001450F7">
      <w:pPr>
        <w:pStyle w:val="Normal1"/>
        <w:pBdr>
          <w:top w:val="nil"/>
          <w:left w:val="nil"/>
          <w:bottom w:val="nil"/>
          <w:right w:val="nil"/>
          <w:between w:val="nil"/>
        </w:pBdr>
        <w:spacing w:line="360" w:lineRule="auto"/>
        <w:ind w:left="720" w:hanging="720"/>
        <w:jc w:val="both"/>
        <w:rPr>
          <w:rFonts w:ascii="Arial" w:eastAsia="Arial" w:hAnsi="Arial" w:cs="Arial"/>
          <w:i/>
          <w:color w:val="000000"/>
        </w:rPr>
      </w:pPr>
    </w:p>
    <w:p w:rsidR="00793CE0"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r>
        <w:rPr>
          <w:rFonts w:ascii="Arial" w:eastAsia="Arial" w:hAnsi="Arial" w:cs="Arial"/>
          <w:color w:val="000000"/>
        </w:rPr>
        <w:t>Yours Sincerely</w:t>
      </w:r>
    </w:p>
    <w:p w:rsid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p>
    <w:p w:rsid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p>
    <w:p w:rsidR="0097528F" w:rsidRP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r>
        <w:rPr>
          <w:rFonts w:ascii="Arial" w:eastAsia="Arial" w:hAnsi="Arial" w:cs="Arial"/>
          <w:color w:val="000000"/>
        </w:rPr>
        <w:t>___</w:t>
      </w:r>
      <w:r w:rsidR="00242CC6">
        <w:rPr>
          <w:rFonts w:ascii="Arial" w:eastAsia="Arial" w:hAnsi="Arial" w:cs="Arial"/>
          <w:color w:val="000000"/>
        </w:rPr>
        <w:t>Signed</w:t>
      </w:r>
      <w:r>
        <w:rPr>
          <w:rFonts w:ascii="Arial" w:eastAsia="Arial" w:hAnsi="Arial" w:cs="Arial"/>
          <w:color w:val="000000"/>
        </w:rPr>
        <w:t>____________</w:t>
      </w:r>
    </w:p>
    <w:p w:rsidR="001450F7"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proofErr w:type="spellStart"/>
      <w:r>
        <w:rPr>
          <w:rFonts w:ascii="Arial" w:eastAsia="Arial" w:hAnsi="Arial" w:cs="Arial"/>
          <w:color w:val="000000"/>
        </w:rPr>
        <w:t>Adv.P.Tlakula</w:t>
      </w:r>
      <w:proofErr w:type="spellEnd"/>
    </w:p>
    <w:p w:rsidR="0097528F" w:rsidRPr="0097528F" w:rsidRDefault="0097528F" w:rsidP="001450F7">
      <w:pPr>
        <w:pStyle w:val="Normal1"/>
        <w:pBdr>
          <w:top w:val="nil"/>
          <w:left w:val="nil"/>
          <w:bottom w:val="nil"/>
          <w:right w:val="nil"/>
          <w:between w:val="nil"/>
        </w:pBdr>
        <w:spacing w:line="360" w:lineRule="auto"/>
        <w:ind w:left="720" w:hanging="720"/>
        <w:jc w:val="both"/>
        <w:rPr>
          <w:rFonts w:ascii="Arial" w:eastAsia="Arial" w:hAnsi="Arial" w:cs="Arial"/>
          <w:color w:val="000000"/>
        </w:rPr>
      </w:pPr>
      <w:r>
        <w:rPr>
          <w:rFonts w:ascii="Arial" w:eastAsia="Arial" w:hAnsi="Arial" w:cs="Arial"/>
          <w:color w:val="000000"/>
        </w:rPr>
        <w:t>Chairperson</w:t>
      </w:r>
      <w:r w:rsidR="001450F7">
        <w:rPr>
          <w:rFonts w:ascii="Arial" w:eastAsia="Arial" w:hAnsi="Arial" w:cs="Arial"/>
          <w:color w:val="000000"/>
        </w:rPr>
        <w:t>, Information Regulator</w:t>
      </w:r>
    </w:p>
    <w:p w:rsidR="00793CE0" w:rsidRDefault="00793CE0" w:rsidP="001450F7">
      <w:pPr>
        <w:pStyle w:val="Normal1"/>
        <w:pBdr>
          <w:top w:val="nil"/>
          <w:left w:val="nil"/>
          <w:bottom w:val="nil"/>
          <w:right w:val="nil"/>
          <w:between w:val="nil"/>
        </w:pBdr>
        <w:spacing w:line="360" w:lineRule="auto"/>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793CE0" w:rsidRDefault="00793CE0" w:rsidP="002F26F0">
      <w:pPr>
        <w:pStyle w:val="Normal1"/>
        <w:pBdr>
          <w:top w:val="nil"/>
          <w:left w:val="nil"/>
          <w:bottom w:val="nil"/>
          <w:right w:val="nil"/>
          <w:between w:val="nil"/>
        </w:pBdr>
        <w:ind w:left="720" w:hanging="720"/>
        <w:jc w:val="both"/>
        <w:rPr>
          <w:rFonts w:ascii="Arial" w:eastAsia="Arial" w:hAnsi="Arial" w:cs="Arial"/>
          <w:i/>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r>
        <w:rPr>
          <w:rFonts w:ascii="Arial" w:hAnsi="Arial" w:cs="Arial"/>
          <w:noProof/>
          <w:sz w:val="20"/>
          <w:lang w:val="en-ZA"/>
        </w:rPr>
        <w:drawing>
          <wp:anchor distT="0" distB="0" distL="114300" distR="114300" simplePos="0" relativeHeight="251661312" behindDoc="0" locked="0" layoutInCell="1" allowOverlap="1">
            <wp:simplePos x="0" y="0"/>
            <wp:positionH relativeFrom="column">
              <wp:posOffset>475615</wp:posOffset>
            </wp:positionH>
            <wp:positionV relativeFrom="paragraph">
              <wp:posOffset>-409575</wp:posOffset>
            </wp:positionV>
            <wp:extent cx="3043555" cy="1259205"/>
            <wp:effectExtent l="0" t="0" r="444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43555" cy="1259205"/>
                    </a:xfrm>
                    <a:prstGeom prst="rect">
                      <a:avLst/>
                    </a:prstGeom>
                  </pic:spPr>
                </pic:pic>
              </a:graphicData>
            </a:graphic>
          </wp:anchor>
        </w:drawing>
      </w: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97528F" w:rsidRDefault="0097528F" w:rsidP="00793CE0">
      <w:pPr>
        <w:pStyle w:val="Normal1"/>
        <w:pBdr>
          <w:top w:val="nil"/>
          <w:left w:val="nil"/>
          <w:bottom w:val="nil"/>
          <w:right w:val="nil"/>
          <w:between w:val="nil"/>
        </w:pBdr>
        <w:ind w:left="720" w:hanging="720"/>
        <w:jc w:val="both"/>
        <w:rPr>
          <w:rFonts w:ascii="Arial" w:eastAsia="Arial" w:hAnsi="Arial" w:cs="Arial"/>
          <w:b/>
          <w:color w:val="000000"/>
        </w:rPr>
      </w:pPr>
    </w:p>
    <w:p w:rsidR="00B22D30" w:rsidRDefault="00B22D30" w:rsidP="00793CE0">
      <w:pPr>
        <w:pStyle w:val="Normal1"/>
        <w:pBdr>
          <w:top w:val="nil"/>
          <w:left w:val="nil"/>
          <w:bottom w:val="nil"/>
          <w:right w:val="nil"/>
          <w:between w:val="nil"/>
        </w:pBdr>
        <w:ind w:left="720" w:hanging="720"/>
        <w:jc w:val="both"/>
        <w:rPr>
          <w:rFonts w:ascii="Arial" w:eastAsia="Arial" w:hAnsi="Arial" w:cs="Arial"/>
          <w:b/>
          <w:color w:val="000000"/>
        </w:rPr>
      </w:pPr>
    </w:p>
    <w:p w:rsidR="00B22D30" w:rsidRDefault="00B22D30" w:rsidP="00793CE0">
      <w:pPr>
        <w:pStyle w:val="Normal1"/>
        <w:pBdr>
          <w:top w:val="nil"/>
          <w:left w:val="nil"/>
          <w:bottom w:val="nil"/>
          <w:right w:val="nil"/>
          <w:between w:val="nil"/>
        </w:pBdr>
        <w:ind w:left="720" w:hanging="720"/>
        <w:jc w:val="both"/>
        <w:rPr>
          <w:rFonts w:ascii="Arial" w:eastAsia="Arial" w:hAnsi="Arial" w:cs="Arial"/>
          <w:b/>
          <w:color w:val="000000"/>
        </w:rPr>
      </w:pPr>
    </w:p>
    <w:p w:rsidR="00ED5181" w:rsidRDefault="00ED5181" w:rsidP="00ED5181">
      <w:pPr>
        <w:pStyle w:val="Normal1"/>
        <w:pBdr>
          <w:top w:val="nil"/>
          <w:left w:val="nil"/>
          <w:bottom w:val="nil"/>
          <w:right w:val="nil"/>
          <w:between w:val="nil"/>
        </w:pBdr>
        <w:ind w:left="720" w:hanging="720"/>
        <w:rPr>
          <w:rFonts w:ascii="Arial" w:eastAsia="Arial" w:hAnsi="Arial" w:cs="Arial"/>
          <w:b/>
          <w:color w:val="000000"/>
        </w:rPr>
      </w:pPr>
    </w:p>
    <w:p w:rsidR="00793CE0" w:rsidRPr="00ED5181" w:rsidRDefault="000909A2" w:rsidP="00ED5181">
      <w:pPr>
        <w:pStyle w:val="Normal1"/>
        <w:pBdr>
          <w:top w:val="nil"/>
          <w:left w:val="nil"/>
          <w:bottom w:val="nil"/>
          <w:right w:val="nil"/>
          <w:between w:val="nil"/>
        </w:pBdr>
        <w:ind w:left="720" w:hanging="720"/>
        <w:rPr>
          <w:rFonts w:ascii="Arial" w:eastAsia="Arial" w:hAnsi="Arial" w:cs="Arial"/>
          <w:b/>
          <w:color w:val="000000"/>
          <w:u w:val="single"/>
        </w:rPr>
      </w:pPr>
      <w:r w:rsidRPr="00ED5181">
        <w:rPr>
          <w:rFonts w:ascii="Arial" w:eastAsia="Arial" w:hAnsi="Arial" w:cs="Arial"/>
          <w:b/>
          <w:color w:val="000000"/>
          <w:u w:val="single"/>
        </w:rPr>
        <w:t>COMMENTS ON THE PROMOTION OF ACCESS TO INFORMATION AMENDMENT BILL</w:t>
      </w:r>
    </w:p>
    <w:p w:rsidR="00793CE0" w:rsidRDefault="00793CE0" w:rsidP="00ED5181">
      <w:pPr>
        <w:pStyle w:val="Normal1"/>
        <w:pBdr>
          <w:top w:val="nil"/>
          <w:left w:val="nil"/>
          <w:bottom w:val="nil"/>
          <w:right w:val="nil"/>
          <w:between w:val="nil"/>
        </w:pBdr>
        <w:ind w:left="720" w:hanging="720"/>
        <w:rPr>
          <w:rFonts w:ascii="Arial" w:eastAsia="Arial" w:hAnsi="Arial" w:cs="Arial"/>
          <w:b/>
          <w:color w:val="000000"/>
        </w:rPr>
      </w:pPr>
    </w:p>
    <w:p w:rsidR="00793CE0" w:rsidRDefault="00793CE0" w:rsidP="00ED5181">
      <w:pPr>
        <w:pStyle w:val="Normal1"/>
        <w:pBdr>
          <w:top w:val="nil"/>
          <w:left w:val="nil"/>
          <w:bottom w:val="nil"/>
          <w:right w:val="nil"/>
          <w:between w:val="nil"/>
        </w:pBdr>
        <w:ind w:left="720" w:hanging="720"/>
        <w:rPr>
          <w:rFonts w:ascii="Arial" w:eastAsia="Arial" w:hAnsi="Arial" w:cs="Arial"/>
          <w:i/>
          <w:color w:val="000000"/>
        </w:rPr>
      </w:pPr>
    </w:p>
    <w:p w:rsidR="00793CE0" w:rsidRDefault="00793CE0" w:rsidP="00ED5181">
      <w:pPr>
        <w:pStyle w:val="Normal1"/>
        <w:pBdr>
          <w:top w:val="nil"/>
          <w:left w:val="nil"/>
          <w:bottom w:val="nil"/>
          <w:right w:val="nil"/>
          <w:between w:val="nil"/>
        </w:pBdr>
        <w:rPr>
          <w:rFonts w:ascii="Arial" w:eastAsia="Arial" w:hAnsi="Arial" w:cs="Arial"/>
          <w:b/>
          <w:color w:val="000000"/>
        </w:rPr>
      </w:pPr>
    </w:p>
    <w:p w:rsidR="00C75E98" w:rsidRPr="00793CE0" w:rsidRDefault="00ED5181" w:rsidP="00ED5181">
      <w:pPr>
        <w:pStyle w:val="Normal1"/>
        <w:pBdr>
          <w:top w:val="nil"/>
          <w:left w:val="nil"/>
          <w:bottom w:val="nil"/>
          <w:right w:val="nil"/>
          <w:between w:val="nil"/>
        </w:pBdr>
        <w:rPr>
          <w:rFonts w:ascii="Arial" w:eastAsia="Arial" w:hAnsi="Arial" w:cs="Arial"/>
          <w:b/>
          <w:color w:val="000000"/>
        </w:rPr>
      </w:pPr>
      <w:r w:rsidRPr="00793CE0">
        <w:rPr>
          <w:rFonts w:ascii="Arial" w:eastAsia="Arial" w:hAnsi="Arial" w:cs="Arial"/>
          <w:b/>
          <w:color w:val="000000"/>
        </w:rPr>
        <w:t>INTRODUCTION</w:t>
      </w:r>
    </w:p>
    <w:p w:rsidR="00793CE0" w:rsidRDefault="00793CE0" w:rsidP="00ED5181">
      <w:pPr>
        <w:pStyle w:val="Normal1"/>
        <w:pBdr>
          <w:top w:val="nil"/>
          <w:left w:val="nil"/>
          <w:bottom w:val="nil"/>
          <w:right w:val="nil"/>
          <w:between w:val="nil"/>
        </w:pBdr>
        <w:ind w:left="1440"/>
        <w:rPr>
          <w:rFonts w:ascii="Arial" w:eastAsia="Arial" w:hAnsi="Arial" w:cs="Arial"/>
          <w:b/>
          <w:color w:val="000000"/>
        </w:rPr>
      </w:pPr>
    </w:p>
    <w:p w:rsidR="00793CE0" w:rsidRDefault="00793CE0" w:rsidP="00ED5181">
      <w:pPr>
        <w:pStyle w:val="Normal1"/>
        <w:pBdr>
          <w:top w:val="nil"/>
          <w:left w:val="nil"/>
          <w:bottom w:val="nil"/>
          <w:right w:val="nil"/>
          <w:between w:val="nil"/>
        </w:pBdr>
        <w:ind w:left="1440"/>
        <w:rPr>
          <w:rFonts w:ascii="Arial" w:eastAsia="Arial" w:hAnsi="Arial" w:cs="Arial"/>
          <w:b/>
          <w:color w:val="000000"/>
        </w:rPr>
      </w:pPr>
    </w:p>
    <w:p w:rsidR="00C75E98" w:rsidRDefault="00C75E98" w:rsidP="00ED5181">
      <w:pPr>
        <w:pStyle w:val="Normal1"/>
        <w:pBdr>
          <w:top w:val="nil"/>
          <w:left w:val="nil"/>
          <w:bottom w:val="nil"/>
          <w:right w:val="nil"/>
          <w:between w:val="nil"/>
        </w:pBdr>
        <w:ind w:left="720" w:hanging="720"/>
        <w:rPr>
          <w:rFonts w:ascii="Arial" w:eastAsia="Arial" w:hAnsi="Arial" w:cs="Arial"/>
          <w:b/>
          <w:color w:val="000000"/>
        </w:rPr>
      </w:pPr>
    </w:p>
    <w:p w:rsidR="00ED5181" w:rsidRDefault="0018250B" w:rsidP="00ED5181">
      <w:pPr>
        <w:pStyle w:val="Normal1"/>
        <w:numPr>
          <w:ilvl w:val="0"/>
          <w:numId w:val="7"/>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The Portfolio Committee on Justice and Correctional Services published an invitation to provide written comments on the Promotion of Access to Information Amendment </w:t>
      </w:r>
      <w:r w:rsidR="00FC3883">
        <w:rPr>
          <w:rFonts w:ascii="Arial" w:eastAsia="Arial" w:hAnsi="Arial" w:cs="Arial"/>
          <w:color w:val="000000"/>
        </w:rPr>
        <w:t xml:space="preserve">Bill </w:t>
      </w:r>
      <w:r w:rsidR="000909A2" w:rsidRPr="00ED5181">
        <w:rPr>
          <w:rFonts w:ascii="Arial" w:eastAsia="Arial" w:hAnsi="Arial" w:cs="Arial"/>
          <w:color w:val="000000"/>
        </w:rPr>
        <w:t xml:space="preserve">(the </w:t>
      </w:r>
      <w:r w:rsidR="00870752" w:rsidRPr="00ED5181">
        <w:rPr>
          <w:rFonts w:ascii="Arial" w:eastAsia="Arial" w:hAnsi="Arial" w:cs="Arial"/>
          <w:color w:val="000000"/>
        </w:rPr>
        <w:t xml:space="preserve">Bill) </w:t>
      </w:r>
      <w:r w:rsidR="00FC3883" w:rsidRPr="00ED5181">
        <w:rPr>
          <w:rFonts w:ascii="Arial" w:eastAsia="Arial" w:hAnsi="Arial" w:cs="Arial"/>
          <w:color w:val="000000"/>
        </w:rPr>
        <w:t>(</w:t>
      </w:r>
      <w:r w:rsidRPr="00ED5181">
        <w:rPr>
          <w:rFonts w:ascii="Arial" w:eastAsia="Arial" w:hAnsi="Arial" w:cs="Arial"/>
          <w:color w:val="000000"/>
        </w:rPr>
        <w:t xml:space="preserve">Government Gazette 42604 of 31st July 2019). </w:t>
      </w:r>
    </w:p>
    <w:p w:rsidR="00ED5181" w:rsidRDefault="00ED5181" w:rsidP="00ED5181">
      <w:pPr>
        <w:pStyle w:val="Normal1"/>
        <w:pBdr>
          <w:top w:val="nil"/>
          <w:left w:val="nil"/>
          <w:bottom w:val="nil"/>
          <w:right w:val="nil"/>
          <w:between w:val="nil"/>
        </w:pBdr>
        <w:spacing w:line="480" w:lineRule="auto"/>
        <w:ind w:left="720"/>
        <w:rPr>
          <w:rFonts w:ascii="Arial" w:eastAsia="Arial" w:hAnsi="Arial" w:cs="Arial"/>
          <w:color w:val="000000"/>
        </w:rPr>
      </w:pPr>
    </w:p>
    <w:p w:rsidR="00ED5181" w:rsidRDefault="0018250B" w:rsidP="00ED5181">
      <w:pPr>
        <w:pStyle w:val="Normal1"/>
        <w:numPr>
          <w:ilvl w:val="0"/>
          <w:numId w:val="7"/>
        </w:numPr>
        <w:pBdr>
          <w:top w:val="nil"/>
          <w:left w:val="nil"/>
          <w:bottom w:val="nil"/>
          <w:right w:val="nil"/>
          <w:between w:val="nil"/>
        </w:pBdr>
        <w:spacing w:line="480" w:lineRule="auto"/>
        <w:rPr>
          <w:rFonts w:ascii="Arial" w:eastAsia="Arial" w:hAnsi="Arial" w:cs="Arial"/>
          <w:color w:val="000000"/>
        </w:rPr>
      </w:pPr>
      <w:r w:rsidRPr="00ED5181">
        <w:rPr>
          <w:rFonts w:ascii="Arial" w:eastAsia="Arial" w:hAnsi="Arial" w:cs="Arial"/>
          <w:color w:val="000000"/>
        </w:rPr>
        <w:t xml:space="preserve">The Bill seeks to </w:t>
      </w:r>
      <w:r w:rsidR="000909A2" w:rsidRPr="00ED5181">
        <w:rPr>
          <w:rFonts w:ascii="Arial" w:eastAsia="Arial" w:hAnsi="Arial" w:cs="Arial"/>
          <w:color w:val="000000"/>
        </w:rPr>
        <w:t>amend the Promotion of Access to I</w:t>
      </w:r>
      <w:r w:rsidRPr="00ED5181">
        <w:rPr>
          <w:rFonts w:ascii="Arial" w:eastAsia="Arial" w:hAnsi="Arial" w:cs="Arial"/>
          <w:color w:val="000000"/>
        </w:rPr>
        <w:t>nformation</w:t>
      </w:r>
      <w:r w:rsidR="000909A2" w:rsidRPr="00ED5181">
        <w:rPr>
          <w:rFonts w:ascii="Arial" w:eastAsia="Arial" w:hAnsi="Arial" w:cs="Arial"/>
          <w:color w:val="000000"/>
        </w:rPr>
        <w:t xml:space="preserve"> Act 2 of 2000 (PAIA)</w:t>
      </w:r>
      <w:r w:rsidRPr="00ED5181">
        <w:rPr>
          <w:rFonts w:ascii="Arial" w:eastAsia="Arial" w:hAnsi="Arial" w:cs="Arial"/>
          <w:color w:val="000000"/>
        </w:rPr>
        <w:t xml:space="preserve"> </w:t>
      </w:r>
      <w:r w:rsidR="000909A2" w:rsidRPr="00ED5181">
        <w:rPr>
          <w:rFonts w:ascii="Arial" w:eastAsia="Arial" w:hAnsi="Arial" w:cs="Arial"/>
          <w:color w:val="000000"/>
        </w:rPr>
        <w:t xml:space="preserve">so as to provide for information on the </w:t>
      </w:r>
      <w:r w:rsidRPr="00ED5181">
        <w:rPr>
          <w:rFonts w:ascii="Arial" w:eastAsia="Arial" w:hAnsi="Arial" w:cs="Arial"/>
          <w:color w:val="000000"/>
        </w:rPr>
        <w:t xml:space="preserve">private funding of political parties </w:t>
      </w:r>
      <w:r w:rsidR="000909A2" w:rsidRPr="00ED5181">
        <w:rPr>
          <w:rFonts w:ascii="Arial" w:eastAsia="Arial" w:hAnsi="Arial" w:cs="Arial"/>
          <w:color w:val="000000"/>
        </w:rPr>
        <w:t>and independent candidates to be</w:t>
      </w:r>
      <w:r w:rsidRPr="00ED5181">
        <w:rPr>
          <w:rFonts w:ascii="Arial" w:eastAsia="Arial" w:hAnsi="Arial" w:cs="Arial"/>
          <w:color w:val="000000"/>
        </w:rPr>
        <w:t xml:space="preserve"> recorded, preserved and made available.</w:t>
      </w:r>
    </w:p>
    <w:p w:rsidR="00ED5181" w:rsidRDefault="00ED5181" w:rsidP="00ED5181">
      <w:pPr>
        <w:pStyle w:val="ListParagraph"/>
        <w:rPr>
          <w:rFonts w:ascii="Arial" w:eastAsia="Arial" w:hAnsi="Arial" w:cs="Arial"/>
          <w:color w:val="000000"/>
        </w:rPr>
      </w:pPr>
    </w:p>
    <w:p w:rsidR="000909A2" w:rsidRPr="00ED5181" w:rsidRDefault="000909A2" w:rsidP="00ED5181">
      <w:pPr>
        <w:pStyle w:val="Normal1"/>
        <w:numPr>
          <w:ilvl w:val="0"/>
          <w:numId w:val="7"/>
        </w:numPr>
        <w:pBdr>
          <w:top w:val="nil"/>
          <w:left w:val="nil"/>
          <w:bottom w:val="nil"/>
          <w:right w:val="nil"/>
          <w:between w:val="nil"/>
        </w:pBdr>
        <w:spacing w:line="480" w:lineRule="auto"/>
        <w:rPr>
          <w:rFonts w:ascii="Arial" w:eastAsia="Arial" w:hAnsi="Arial" w:cs="Arial"/>
          <w:color w:val="000000"/>
        </w:rPr>
      </w:pPr>
      <w:r w:rsidRPr="00ED5181">
        <w:rPr>
          <w:rFonts w:ascii="Arial" w:eastAsia="Arial" w:hAnsi="Arial" w:cs="Arial"/>
          <w:color w:val="000000"/>
        </w:rPr>
        <w:t>The Bill</w:t>
      </w:r>
      <w:r w:rsidR="0018250B" w:rsidRPr="00ED5181">
        <w:rPr>
          <w:rFonts w:ascii="Arial" w:eastAsia="Arial" w:hAnsi="Arial" w:cs="Arial"/>
          <w:color w:val="000000"/>
        </w:rPr>
        <w:t xml:space="preserve"> is informed by the Constitutional Court decision </w:t>
      </w:r>
      <w:r w:rsidRPr="00ED5181">
        <w:rPr>
          <w:rFonts w:ascii="Arial" w:eastAsia="Arial" w:hAnsi="Arial" w:cs="Arial"/>
          <w:color w:val="000000"/>
        </w:rPr>
        <w:t xml:space="preserve">of </w:t>
      </w:r>
      <w:r w:rsidR="0018250B" w:rsidRPr="00ED5181">
        <w:rPr>
          <w:rFonts w:ascii="Arial" w:eastAsia="Arial" w:hAnsi="Arial" w:cs="Arial"/>
          <w:i/>
          <w:color w:val="000000"/>
        </w:rPr>
        <w:t>My Vote Counts NPC v Minister of Justice and Correctional Services CCT 249/17</w:t>
      </w:r>
      <w:r w:rsidRPr="00ED5181">
        <w:rPr>
          <w:rFonts w:ascii="Arial" w:eastAsia="Arial" w:hAnsi="Arial" w:cs="Arial"/>
          <w:i/>
          <w:color w:val="000000"/>
        </w:rPr>
        <w:t xml:space="preserve"> </w:t>
      </w:r>
      <w:r w:rsidRPr="00ED5181">
        <w:rPr>
          <w:rFonts w:ascii="Arial" w:eastAsia="Arial" w:hAnsi="Arial" w:cs="Arial"/>
          <w:color w:val="000000"/>
        </w:rPr>
        <w:t>which confirmed the constitutional invalidity of PAIA made by the Western Cape Division of the High Court in the following terms:</w:t>
      </w:r>
    </w:p>
    <w:p w:rsidR="007E7E6F" w:rsidRDefault="007E7E6F" w:rsidP="00ED5181">
      <w:pPr>
        <w:pStyle w:val="Normal1"/>
        <w:numPr>
          <w:ilvl w:val="0"/>
          <w:numId w:val="6"/>
        </w:numPr>
        <w:spacing w:line="480" w:lineRule="auto"/>
        <w:rPr>
          <w:rFonts w:ascii="Arial" w:eastAsia="Arial" w:hAnsi="Arial" w:cs="Arial"/>
        </w:rPr>
      </w:pPr>
      <w:r>
        <w:rPr>
          <w:rFonts w:ascii="Arial" w:eastAsia="Arial" w:hAnsi="Arial" w:cs="Arial"/>
        </w:rPr>
        <w:t xml:space="preserve">that information on private funding of political parties and independent candidates </w:t>
      </w:r>
      <w:r>
        <w:rPr>
          <w:rFonts w:ascii="Arial" w:eastAsia="Arial" w:hAnsi="Arial" w:cs="Arial"/>
        </w:rPr>
        <w:lastRenderedPageBreak/>
        <w:t>is essential for the effective exercise of the right to make political choices and to participate in the elections;</w:t>
      </w:r>
    </w:p>
    <w:p w:rsidR="007E7E6F" w:rsidRDefault="007E7E6F" w:rsidP="00ED5181">
      <w:pPr>
        <w:pStyle w:val="Normal1"/>
        <w:numPr>
          <w:ilvl w:val="0"/>
          <w:numId w:val="6"/>
        </w:numPr>
        <w:spacing w:line="480" w:lineRule="auto"/>
        <w:rPr>
          <w:rFonts w:ascii="Arial" w:eastAsia="Arial" w:hAnsi="Arial" w:cs="Arial"/>
        </w:rPr>
      </w:pPr>
      <w:r>
        <w:rPr>
          <w:rFonts w:ascii="Arial" w:eastAsia="Arial" w:hAnsi="Arial" w:cs="Arial"/>
        </w:rPr>
        <w:t>that information on private funding of political parties and independent candidates must be recorded, preserved and made reasonably accessible;</w:t>
      </w:r>
    </w:p>
    <w:p w:rsidR="007E7E6F" w:rsidRDefault="007E7E6F" w:rsidP="00ED5181">
      <w:pPr>
        <w:pStyle w:val="Normal1"/>
        <w:numPr>
          <w:ilvl w:val="0"/>
          <w:numId w:val="6"/>
        </w:numPr>
        <w:spacing w:line="480" w:lineRule="auto"/>
        <w:rPr>
          <w:rFonts w:ascii="Arial" w:eastAsia="Arial" w:hAnsi="Arial" w:cs="Arial"/>
        </w:rPr>
      </w:pPr>
      <w:r>
        <w:rPr>
          <w:rFonts w:ascii="Arial" w:eastAsia="Arial" w:hAnsi="Arial" w:cs="Arial"/>
        </w:rPr>
        <w:t xml:space="preserve">that PAIA is invalid to the extent of its inconsistency with the Constitution by failing to provide for the </w:t>
      </w:r>
      <w:proofErr w:type="spellStart"/>
      <w:r>
        <w:rPr>
          <w:rFonts w:ascii="Arial" w:eastAsia="Arial" w:hAnsi="Arial" w:cs="Arial"/>
        </w:rPr>
        <w:t>recordal</w:t>
      </w:r>
      <w:proofErr w:type="spellEnd"/>
      <w:r>
        <w:rPr>
          <w:rFonts w:ascii="Arial" w:eastAsia="Arial" w:hAnsi="Arial" w:cs="Arial"/>
        </w:rPr>
        <w:t>, preservation and reasonable disclosure of information on the private funding of political parties and independent candidates; and</w:t>
      </w:r>
    </w:p>
    <w:p w:rsidR="007E7E6F" w:rsidRDefault="007E7E6F" w:rsidP="00ED5181">
      <w:pPr>
        <w:pStyle w:val="Normal1"/>
        <w:numPr>
          <w:ilvl w:val="0"/>
          <w:numId w:val="6"/>
        </w:numPr>
        <w:spacing w:line="480" w:lineRule="auto"/>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 Parliament must amend PAIA and take any other measure it deems appropriate to provide for the </w:t>
      </w:r>
      <w:proofErr w:type="spellStart"/>
      <w:r>
        <w:rPr>
          <w:rFonts w:ascii="Arial" w:eastAsia="Arial" w:hAnsi="Arial" w:cs="Arial"/>
        </w:rPr>
        <w:t>recordal</w:t>
      </w:r>
      <w:proofErr w:type="spellEnd"/>
      <w:r>
        <w:rPr>
          <w:rFonts w:ascii="Arial" w:eastAsia="Arial" w:hAnsi="Arial" w:cs="Arial"/>
        </w:rPr>
        <w:t>, preservation and facilitation of reasonable access to information on the private funding of political parties and independent candidates within a period of 18 months.</w:t>
      </w:r>
    </w:p>
    <w:p w:rsidR="00ED5181" w:rsidRDefault="00ED5181" w:rsidP="00ED5181">
      <w:pPr>
        <w:pStyle w:val="Normal1"/>
        <w:spacing w:line="480" w:lineRule="auto"/>
        <w:rPr>
          <w:rFonts w:ascii="Arial" w:eastAsia="Arial" w:hAnsi="Arial" w:cs="Arial"/>
        </w:rPr>
      </w:pPr>
    </w:p>
    <w:p w:rsidR="00C75E98" w:rsidRPr="00ED5181" w:rsidRDefault="00ED5181" w:rsidP="00ED5181">
      <w:pPr>
        <w:pStyle w:val="Normal1"/>
        <w:pBdr>
          <w:top w:val="nil"/>
          <w:left w:val="nil"/>
          <w:bottom w:val="nil"/>
          <w:right w:val="nil"/>
          <w:between w:val="nil"/>
        </w:pBdr>
        <w:spacing w:line="480" w:lineRule="auto"/>
        <w:ind w:left="360"/>
        <w:jc w:val="both"/>
        <w:rPr>
          <w:rFonts w:ascii="Arial" w:eastAsia="Arial" w:hAnsi="Arial" w:cs="Arial"/>
          <w:b/>
          <w:u w:val="single"/>
        </w:rPr>
      </w:pPr>
      <w:r w:rsidRPr="00ED5181">
        <w:rPr>
          <w:rFonts w:ascii="Arial" w:eastAsia="Arial" w:hAnsi="Arial" w:cs="Arial"/>
          <w:b/>
          <w:color w:val="000000"/>
          <w:u w:val="single"/>
        </w:rPr>
        <w:t>T</w:t>
      </w:r>
      <w:r w:rsidRPr="00ED5181">
        <w:rPr>
          <w:rFonts w:ascii="Arial" w:eastAsia="Arial" w:hAnsi="Arial" w:cs="Arial"/>
          <w:b/>
          <w:u w:val="single"/>
        </w:rPr>
        <w:t>HE DEFICIENCIES CITED BY THE CONSTITUTIONAL COURT</w:t>
      </w:r>
    </w:p>
    <w:p w:rsidR="00C75E98" w:rsidRDefault="00C75E98" w:rsidP="00FC3883">
      <w:pPr>
        <w:pStyle w:val="Normal1"/>
        <w:spacing w:line="480" w:lineRule="auto"/>
        <w:jc w:val="both"/>
        <w:rPr>
          <w:rFonts w:ascii="Arial" w:eastAsia="Arial" w:hAnsi="Arial" w:cs="Arial"/>
          <w:b/>
        </w:rPr>
      </w:pPr>
    </w:p>
    <w:p w:rsidR="00ED5181" w:rsidRDefault="0018250B" w:rsidP="00ED5181">
      <w:pPr>
        <w:pStyle w:val="Normal1"/>
        <w:numPr>
          <w:ilvl w:val="0"/>
          <w:numId w:val="7"/>
        </w:numPr>
        <w:spacing w:line="480" w:lineRule="auto"/>
        <w:jc w:val="both"/>
        <w:rPr>
          <w:rFonts w:ascii="Arial" w:eastAsia="Arial" w:hAnsi="Arial" w:cs="Arial"/>
        </w:rPr>
      </w:pPr>
      <w:r>
        <w:rPr>
          <w:rFonts w:ascii="Arial" w:eastAsia="Arial" w:hAnsi="Arial" w:cs="Arial"/>
        </w:rPr>
        <w:t xml:space="preserve">The Court looked at whether the </w:t>
      </w:r>
      <w:r w:rsidR="00EA5094">
        <w:rPr>
          <w:rFonts w:ascii="Arial" w:eastAsia="Arial" w:hAnsi="Arial" w:cs="Arial"/>
        </w:rPr>
        <w:t>definitions</w:t>
      </w:r>
      <w:r w:rsidR="00D74EBA">
        <w:rPr>
          <w:rFonts w:ascii="Arial" w:eastAsia="Arial" w:hAnsi="Arial" w:cs="Arial"/>
        </w:rPr>
        <w:t xml:space="preserve"> of PAIA i</w:t>
      </w:r>
      <w:r w:rsidR="00D74EBA" w:rsidRPr="00E86363">
        <w:rPr>
          <w:rFonts w:ascii="Arial" w:eastAsia="Arial" w:hAnsi="Arial" w:cs="Arial"/>
        </w:rPr>
        <w:t>nclude</w:t>
      </w:r>
      <w:r w:rsidRPr="00E86363">
        <w:rPr>
          <w:rFonts w:ascii="Arial" w:eastAsia="Arial" w:hAnsi="Arial" w:cs="Arial"/>
        </w:rPr>
        <w:t xml:space="preserve"> </w:t>
      </w:r>
      <w:r>
        <w:rPr>
          <w:rFonts w:ascii="Arial" w:eastAsia="Arial" w:hAnsi="Arial" w:cs="Arial"/>
        </w:rPr>
        <w:t xml:space="preserve">political parties and independent candidates and whether "recorded" and </w:t>
      </w:r>
      <w:proofErr w:type="spellStart"/>
      <w:r>
        <w:rPr>
          <w:rFonts w:ascii="Arial" w:eastAsia="Arial" w:hAnsi="Arial" w:cs="Arial"/>
        </w:rPr>
        <w:t>disclosable</w:t>
      </w:r>
      <w:proofErr w:type="spellEnd"/>
      <w:r>
        <w:rPr>
          <w:rFonts w:ascii="Arial" w:eastAsia="Arial" w:hAnsi="Arial" w:cs="Arial"/>
        </w:rPr>
        <w:t xml:space="preserve"> information includes </w:t>
      </w:r>
      <w:r w:rsidR="00EA5094">
        <w:rPr>
          <w:rFonts w:ascii="Arial" w:eastAsia="Arial" w:hAnsi="Arial" w:cs="Arial"/>
        </w:rPr>
        <w:t xml:space="preserve">information </w:t>
      </w:r>
      <w:r>
        <w:rPr>
          <w:rFonts w:ascii="Arial" w:eastAsia="Arial" w:hAnsi="Arial" w:cs="Arial"/>
        </w:rPr>
        <w:t xml:space="preserve">which is "held" by them. </w:t>
      </w:r>
    </w:p>
    <w:p w:rsidR="00ED5181" w:rsidRPr="00EA5094" w:rsidRDefault="0018250B" w:rsidP="00ED5181">
      <w:pPr>
        <w:pStyle w:val="Normal1"/>
        <w:numPr>
          <w:ilvl w:val="0"/>
          <w:numId w:val="7"/>
        </w:numPr>
        <w:spacing w:line="480" w:lineRule="auto"/>
        <w:ind w:left="720"/>
        <w:jc w:val="both"/>
        <w:rPr>
          <w:rFonts w:ascii="Arial" w:eastAsia="Arial" w:hAnsi="Arial" w:cs="Arial"/>
        </w:rPr>
      </w:pPr>
      <w:r w:rsidRPr="00EA5094">
        <w:rPr>
          <w:rFonts w:ascii="Arial" w:eastAsia="Arial" w:hAnsi="Arial" w:cs="Arial"/>
        </w:rPr>
        <w:t xml:space="preserve">The </w:t>
      </w:r>
      <w:r w:rsidR="00ED5181" w:rsidRPr="00EA5094">
        <w:rPr>
          <w:rFonts w:ascii="Arial" w:eastAsia="Arial" w:hAnsi="Arial" w:cs="Arial"/>
        </w:rPr>
        <w:t xml:space="preserve">Court further examined the </w:t>
      </w:r>
      <w:r w:rsidRPr="00EA5094">
        <w:rPr>
          <w:rFonts w:ascii="Arial" w:eastAsia="Arial" w:hAnsi="Arial" w:cs="Arial"/>
        </w:rPr>
        <w:t>definition of a private body to assess w</w:t>
      </w:r>
      <w:r w:rsidR="00ED5181" w:rsidRPr="00EA5094">
        <w:rPr>
          <w:rFonts w:ascii="Arial" w:eastAsia="Arial" w:hAnsi="Arial" w:cs="Arial"/>
        </w:rPr>
        <w:t>hether it includes independent candidates.</w:t>
      </w:r>
    </w:p>
    <w:p w:rsidR="00EA5094" w:rsidRDefault="0018250B" w:rsidP="00EA5094">
      <w:pPr>
        <w:pStyle w:val="Normal1"/>
        <w:numPr>
          <w:ilvl w:val="0"/>
          <w:numId w:val="7"/>
        </w:numPr>
        <w:spacing w:line="480" w:lineRule="auto"/>
        <w:jc w:val="both"/>
        <w:rPr>
          <w:rFonts w:ascii="Arial" w:eastAsia="Arial" w:hAnsi="Arial" w:cs="Arial"/>
        </w:rPr>
      </w:pPr>
      <w:r w:rsidRPr="00ED5181">
        <w:rPr>
          <w:rFonts w:ascii="Arial" w:eastAsia="Arial" w:hAnsi="Arial" w:cs="Arial"/>
        </w:rPr>
        <w:t>A private body is defined in PAIA as-</w:t>
      </w:r>
    </w:p>
    <w:p w:rsidR="00EA5094" w:rsidRDefault="0018250B" w:rsidP="00EA5094">
      <w:pPr>
        <w:pStyle w:val="Normal1"/>
        <w:numPr>
          <w:ilvl w:val="0"/>
          <w:numId w:val="12"/>
        </w:numPr>
        <w:spacing w:line="480" w:lineRule="auto"/>
        <w:jc w:val="both"/>
        <w:rPr>
          <w:rFonts w:ascii="Arial" w:eastAsia="Arial" w:hAnsi="Arial" w:cs="Arial"/>
        </w:rPr>
      </w:pPr>
      <w:r w:rsidRPr="00EA5094">
        <w:rPr>
          <w:rFonts w:ascii="Arial" w:eastAsia="Arial" w:hAnsi="Arial" w:cs="Arial"/>
          <w:color w:val="000000"/>
        </w:rPr>
        <w:t xml:space="preserve">a natural person who carries or has carried on any trade, business or profession, but only in </w:t>
      </w:r>
      <w:r w:rsidR="002F26F0" w:rsidRPr="00EA5094">
        <w:rPr>
          <w:rFonts w:ascii="Arial" w:eastAsia="Arial" w:hAnsi="Arial" w:cs="Arial"/>
          <w:color w:val="000000"/>
        </w:rPr>
        <w:t xml:space="preserve"> </w:t>
      </w:r>
      <w:r w:rsidRPr="00EA5094">
        <w:rPr>
          <w:rFonts w:ascii="Arial" w:eastAsia="Arial" w:hAnsi="Arial" w:cs="Arial"/>
          <w:color w:val="000000"/>
        </w:rPr>
        <w:t>such capacity;</w:t>
      </w:r>
    </w:p>
    <w:p w:rsidR="00EA5094" w:rsidRDefault="0018250B" w:rsidP="00EA5094">
      <w:pPr>
        <w:pStyle w:val="Normal1"/>
        <w:numPr>
          <w:ilvl w:val="0"/>
          <w:numId w:val="12"/>
        </w:numPr>
        <w:spacing w:line="480" w:lineRule="auto"/>
        <w:jc w:val="both"/>
        <w:rPr>
          <w:rFonts w:ascii="Arial" w:eastAsia="Arial" w:hAnsi="Arial" w:cs="Arial"/>
        </w:rPr>
      </w:pPr>
      <w:r w:rsidRPr="00EA5094">
        <w:rPr>
          <w:rFonts w:ascii="Arial" w:eastAsia="Arial" w:hAnsi="Arial" w:cs="Arial"/>
          <w:color w:val="000000"/>
        </w:rPr>
        <w:t>a partnership which carries or has carried on any trade, business or profession; or</w:t>
      </w:r>
    </w:p>
    <w:p w:rsidR="00EA5094" w:rsidRPr="00EA5094" w:rsidRDefault="0018250B" w:rsidP="00EA5094">
      <w:pPr>
        <w:pStyle w:val="Normal1"/>
        <w:numPr>
          <w:ilvl w:val="0"/>
          <w:numId w:val="12"/>
        </w:numPr>
        <w:spacing w:line="480" w:lineRule="auto"/>
        <w:jc w:val="both"/>
        <w:rPr>
          <w:rFonts w:ascii="Arial" w:eastAsia="Arial" w:hAnsi="Arial" w:cs="Arial"/>
        </w:rPr>
      </w:pPr>
      <w:r w:rsidRPr="00EA5094">
        <w:rPr>
          <w:rFonts w:ascii="Arial" w:eastAsia="Arial" w:hAnsi="Arial" w:cs="Arial"/>
          <w:color w:val="000000"/>
        </w:rPr>
        <w:lastRenderedPageBreak/>
        <w:t xml:space="preserve">any former or existing juristic person, but excludes a public body; </w:t>
      </w:r>
    </w:p>
    <w:p w:rsidR="00EA5094" w:rsidRDefault="00EA5094" w:rsidP="00EA5094">
      <w:pPr>
        <w:pStyle w:val="Normal1"/>
        <w:spacing w:line="480" w:lineRule="auto"/>
        <w:ind w:left="1004"/>
        <w:jc w:val="both"/>
        <w:rPr>
          <w:rFonts w:ascii="Arial" w:eastAsia="Arial" w:hAnsi="Arial" w:cs="Arial"/>
        </w:rPr>
      </w:pPr>
    </w:p>
    <w:p w:rsidR="004160BB" w:rsidRPr="00EA5094" w:rsidRDefault="00EA5094" w:rsidP="00EA5094">
      <w:pPr>
        <w:pStyle w:val="Normal1"/>
        <w:numPr>
          <w:ilvl w:val="0"/>
          <w:numId w:val="7"/>
        </w:numPr>
        <w:spacing w:line="480" w:lineRule="auto"/>
        <w:jc w:val="both"/>
        <w:rPr>
          <w:rFonts w:ascii="Arial" w:eastAsia="Arial" w:hAnsi="Arial" w:cs="Arial"/>
        </w:rPr>
      </w:pPr>
      <w:r>
        <w:rPr>
          <w:rFonts w:ascii="Arial" w:eastAsia="Arial" w:hAnsi="Arial" w:cs="Arial"/>
        </w:rPr>
        <w:t xml:space="preserve">An independent candidate is </w:t>
      </w:r>
      <w:r w:rsidR="0018250B" w:rsidRPr="00EA5094">
        <w:rPr>
          <w:rFonts w:ascii="Arial" w:eastAsia="Arial" w:hAnsi="Arial" w:cs="Arial"/>
        </w:rPr>
        <w:t xml:space="preserve">excluded from the above definition of </w:t>
      </w:r>
      <w:r>
        <w:rPr>
          <w:rFonts w:ascii="Arial" w:eastAsia="Arial" w:hAnsi="Arial" w:cs="Arial"/>
        </w:rPr>
        <w:t xml:space="preserve">a "private body" as this definition </w:t>
      </w:r>
      <w:r w:rsidR="0018250B" w:rsidRPr="00EA5094">
        <w:rPr>
          <w:rFonts w:ascii="Arial" w:eastAsia="Arial" w:hAnsi="Arial" w:cs="Arial"/>
        </w:rPr>
        <w:t>applies to a natural person who carries or has carried on an</w:t>
      </w:r>
      <w:r w:rsidR="004160BB" w:rsidRPr="00EA5094">
        <w:rPr>
          <w:rFonts w:ascii="Arial" w:eastAsia="Arial" w:hAnsi="Arial" w:cs="Arial"/>
        </w:rPr>
        <w:t>y trade, business or profession.</w:t>
      </w:r>
    </w:p>
    <w:p w:rsidR="004160BB" w:rsidRDefault="0018250B" w:rsidP="00EA5094">
      <w:pPr>
        <w:pStyle w:val="Normal1"/>
        <w:numPr>
          <w:ilvl w:val="0"/>
          <w:numId w:val="7"/>
        </w:numPr>
        <w:spacing w:line="480" w:lineRule="auto"/>
        <w:jc w:val="both"/>
        <w:rPr>
          <w:rFonts w:ascii="Arial" w:eastAsia="Arial" w:hAnsi="Arial" w:cs="Arial"/>
        </w:rPr>
      </w:pPr>
      <w:r w:rsidRPr="004160BB">
        <w:rPr>
          <w:rFonts w:ascii="Arial" w:eastAsia="Arial" w:hAnsi="Arial" w:cs="Arial"/>
        </w:rPr>
        <w:t xml:space="preserve">The definition of a "private body" is further extended to include any former or existing juristic person. A juristic person is defined as being an entity or association that is awarded legal personality by legislation or the common law. It can sue or be </w:t>
      </w:r>
      <w:r w:rsidR="00F56416" w:rsidRPr="004160BB">
        <w:rPr>
          <w:rFonts w:ascii="Arial" w:eastAsia="Arial" w:hAnsi="Arial" w:cs="Arial"/>
        </w:rPr>
        <w:t>sued;</w:t>
      </w:r>
      <w:r w:rsidRPr="004160BB">
        <w:rPr>
          <w:rFonts w:ascii="Arial" w:eastAsia="Arial" w:hAnsi="Arial" w:cs="Arial"/>
        </w:rPr>
        <w:t xml:space="preserve"> it can acquire rights and possess perpetual succession.</w:t>
      </w:r>
    </w:p>
    <w:p w:rsidR="004160BB" w:rsidRDefault="0018250B" w:rsidP="00EA5094">
      <w:pPr>
        <w:pStyle w:val="Normal1"/>
        <w:numPr>
          <w:ilvl w:val="0"/>
          <w:numId w:val="7"/>
        </w:numPr>
        <w:spacing w:line="480" w:lineRule="auto"/>
        <w:jc w:val="both"/>
        <w:rPr>
          <w:rFonts w:ascii="Arial" w:eastAsia="Arial" w:hAnsi="Arial" w:cs="Arial"/>
        </w:rPr>
      </w:pPr>
      <w:r w:rsidRPr="004160BB">
        <w:rPr>
          <w:rFonts w:ascii="Arial" w:eastAsia="Arial" w:hAnsi="Arial" w:cs="Arial"/>
        </w:rPr>
        <w:t>Political parties are not established through legislation and are not require</w:t>
      </w:r>
      <w:r w:rsidR="004160BB" w:rsidRPr="004160BB">
        <w:rPr>
          <w:rFonts w:ascii="Arial" w:eastAsia="Arial" w:hAnsi="Arial" w:cs="Arial"/>
        </w:rPr>
        <w:t>d</w:t>
      </w:r>
      <w:r w:rsidRPr="004160BB">
        <w:rPr>
          <w:rFonts w:ascii="Arial" w:eastAsia="Arial" w:hAnsi="Arial" w:cs="Arial"/>
        </w:rPr>
        <w:t xml:space="preserve"> by law to be juristic</w:t>
      </w:r>
      <w:r w:rsidR="00EA5094">
        <w:rPr>
          <w:rFonts w:ascii="Arial" w:eastAsia="Arial" w:hAnsi="Arial" w:cs="Arial"/>
        </w:rPr>
        <w:t xml:space="preserve"> persons</w:t>
      </w:r>
      <w:r w:rsidRPr="004160BB">
        <w:rPr>
          <w:rFonts w:ascii="Arial" w:eastAsia="Arial" w:hAnsi="Arial" w:cs="Arial"/>
        </w:rPr>
        <w:t>. There is currently no legal obligation on political parties to</w:t>
      </w:r>
      <w:r w:rsidR="00EA5094">
        <w:rPr>
          <w:rFonts w:ascii="Arial" w:eastAsia="Arial" w:hAnsi="Arial" w:cs="Arial"/>
        </w:rPr>
        <w:t xml:space="preserve"> define their legal persona as</w:t>
      </w:r>
      <w:r w:rsidRPr="004160BB">
        <w:rPr>
          <w:rFonts w:ascii="Arial" w:eastAsia="Arial" w:hAnsi="Arial" w:cs="Arial"/>
        </w:rPr>
        <w:t xml:space="preserve"> juristic person</w:t>
      </w:r>
      <w:r w:rsidR="00EA5094">
        <w:rPr>
          <w:rFonts w:ascii="Arial" w:eastAsia="Arial" w:hAnsi="Arial" w:cs="Arial"/>
        </w:rPr>
        <w:t>s</w:t>
      </w:r>
      <w:r w:rsidRPr="004160BB">
        <w:rPr>
          <w:rFonts w:ascii="Arial" w:eastAsia="Arial" w:hAnsi="Arial" w:cs="Arial"/>
        </w:rPr>
        <w:t>.</w:t>
      </w:r>
    </w:p>
    <w:p w:rsidR="004160BB" w:rsidRDefault="0018250B" w:rsidP="00EA5094">
      <w:pPr>
        <w:pStyle w:val="Normal1"/>
        <w:numPr>
          <w:ilvl w:val="0"/>
          <w:numId w:val="7"/>
        </w:numPr>
        <w:spacing w:line="480" w:lineRule="auto"/>
        <w:jc w:val="both"/>
        <w:rPr>
          <w:rFonts w:ascii="Arial" w:eastAsia="Arial" w:hAnsi="Arial" w:cs="Arial"/>
        </w:rPr>
      </w:pPr>
      <w:r w:rsidRPr="004160BB">
        <w:rPr>
          <w:rFonts w:ascii="Arial" w:eastAsia="Arial" w:hAnsi="Arial" w:cs="Arial"/>
        </w:rPr>
        <w:t>The constitutional deficiency is that PAIA does not apply to political parties that are not juristic persons. There is no obligation on political parties or independent candidates to maintain records on private funding.</w:t>
      </w:r>
      <w:r w:rsidR="00FC3883" w:rsidRPr="004160BB">
        <w:rPr>
          <w:rFonts w:ascii="Arial" w:eastAsia="Arial" w:hAnsi="Arial" w:cs="Arial"/>
        </w:rPr>
        <w:t xml:space="preserve"> </w:t>
      </w:r>
      <w:r w:rsidRPr="004160BB">
        <w:rPr>
          <w:rFonts w:ascii="Arial" w:eastAsia="Arial" w:hAnsi="Arial" w:cs="Arial"/>
        </w:rPr>
        <w:t xml:space="preserve">The refusal of information under PAIA can </w:t>
      </w:r>
      <w:r w:rsidR="00D74EBA" w:rsidRPr="004160BB">
        <w:rPr>
          <w:rFonts w:ascii="Arial" w:eastAsia="Arial" w:hAnsi="Arial" w:cs="Arial"/>
        </w:rPr>
        <w:t xml:space="preserve">then </w:t>
      </w:r>
      <w:r w:rsidRPr="004160BB">
        <w:rPr>
          <w:rFonts w:ascii="Arial" w:eastAsia="Arial" w:hAnsi="Arial" w:cs="Arial"/>
        </w:rPr>
        <w:t xml:space="preserve">be justified under the protection afforded to third parties. </w:t>
      </w:r>
    </w:p>
    <w:p w:rsidR="004160BB" w:rsidRDefault="00D74EBA" w:rsidP="00EA5094">
      <w:pPr>
        <w:pStyle w:val="Normal1"/>
        <w:numPr>
          <w:ilvl w:val="0"/>
          <w:numId w:val="7"/>
        </w:numPr>
        <w:spacing w:line="480" w:lineRule="auto"/>
        <w:jc w:val="both"/>
        <w:rPr>
          <w:rFonts w:ascii="Arial" w:eastAsia="Arial" w:hAnsi="Arial" w:cs="Arial"/>
        </w:rPr>
      </w:pPr>
      <w:r w:rsidRPr="004160BB">
        <w:rPr>
          <w:rFonts w:ascii="Arial" w:eastAsia="Arial" w:hAnsi="Arial" w:cs="Arial"/>
        </w:rPr>
        <w:t xml:space="preserve"> </w:t>
      </w:r>
      <w:r w:rsidR="002F26F0" w:rsidRPr="004160BB">
        <w:rPr>
          <w:rFonts w:ascii="Arial" w:eastAsia="Arial" w:hAnsi="Arial" w:cs="Arial"/>
        </w:rPr>
        <w:t xml:space="preserve">The Constitutional </w:t>
      </w:r>
      <w:r w:rsidR="002F26F0" w:rsidRPr="004160BB">
        <w:rPr>
          <w:rFonts w:ascii="Arial" w:eastAsia="Arial" w:hAnsi="Arial" w:cs="Arial"/>
          <w:color w:val="000000" w:themeColor="text1"/>
        </w:rPr>
        <w:t>C</w:t>
      </w:r>
      <w:r w:rsidR="0018250B" w:rsidRPr="004160BB">
        <w:rPr>
          <w:rFonts w:ascii="Arial" w:eastAsia="Arial" w:hAnsi="Arial" w:cs="Arial"/>
          <w:color w:val="000000" w:themeColor="text1"/>
        </w:rPr>
        <w:t>o</w:t>
      </w:r>
      <w:r w:rsidR="0018250B" w:rsidRPr="004160BB">
        <w:rPr>
          <w:rFonts w:ascii="Arial" w:eastAsia="Arial" w:hAnsi="Arial" w:cs="Arial"/>
        </w:rPr>
        <w:t xml:space="preserve">urt found PAIA to be deficient </w:t>
      </w:r>
      <w:r w:rsidR="004160BB">
        <w:rPr>
          <w:rFonts w:ascii="Arial" w:eastAsia="Arial" w:hAnsi="Arial" w:cs="Arial"/>
        </w:rPr>
        <w:t>in that it does not provide for:</w:t>
      </w:r>
    </w:p>
    <w:p w:rsidR="00EA5094" w:rsidRDefault="0018250B" w:rsidP="00EA5094">
      <w:pPr>
        <w:pStyle w:val="Normal1"/>
        <w:numPr>
          <w:ilvl w:val="0"/>
          <w:numId w:val="14"/>
        </w:numPr>
        <w:spacing w:line="480" w:lineRule="auto"/>
        <w:jc w:val="both"/>
        <w:rPr>
          <w:rFonts w:ascii="Arial" w:eastAsia="Arial" w:hAnsi="Arial" w:cs="Arial"/>
        </w:rPr>
      </w:pPr>
      <w:r w:rsidRPr="004160BB">
        <w:rPr>
          <w:rFonts w:ascii="Arial" w:eastAsia="Arial" w:hAnsi="Arial" w:cs="Arial"/>
        </w:rPr>
        <w:t>"information on private funding of political parties and independent candidates be recorded and preserved";</w:t>
      </w:r>
    </w:p>
    <w:p w:rsidR="00EA5094" w:rsidRDefault="00EA5094" w:rsidP="00EA5094">
      <w:pPr>
        <w:pStyle w:val="Normal1"/>
        <w:numPr>
          <w:ilvl w:val="0"/>
          <w:numId w:val="14"/>
        </w:numPr>
        <w:spacing w:line="480" w:lineRule="auto"/>
        <w:jc w:val="both"/>
        <w:rPr>
          <w:rFonts w:ascii="Arial" w:eastAsia="Arial" w:hAnsi="Arial" w:cs="Arial"/>
        </w:rPr>
      </w:pPr>
      <w:r>
        <w:rPr>
          <w:rFonts w:ascii="Arial" w:eastAsia="Arial" w:hAnsi="Arial" w:cs="Arial"/>
        </w:rPr>
        <w:t>"it be made reasonably</w:t>
      </w:r>
      <w:r w:rsidR="0018250B" w:rsidRPr="00EA5094">
        <w:rPr>
          <w:rFonts w:ascii="Arial" w:eastAsia="Arial" w:hAnsi="Arial" w:cs="Arial"/>
        </w:rPr>
        <w:t xml:space="preserve"> accessible to the </w:t>
      </w:r>
      <w:r w:rsidR="00F56416" w:rsidRPr="00EA5094">
        <w:rPr>
          <w:rFonts w:ascii="Arial" w:eastAsia="Arial" w:hAnsi="Arial" w:cs="Arial"/>
        </w:rPr>
        <w:t>public</w:t>
      </w:r>
      <w:r>
        <w:rPr>
          <w:rFonts w:ascii="Arial" w:eastAsia="Arial" w:hAnsi="Arial" w:cs="Arial"/>
        </w:rPr>
        <w:t>”</w:t>
      </w:r>
      <w:r w:rsidR="00F56416" w:rsidRPr="00EA5094">
        <w:rPr>
          <w:rFonts w:ascii="Arial" w:eastAsia="Arial" w:hAnsi="Arial" w:cs="Arial"/>
        </w:rPr>
        <w:t>; and</w:t>
      </w:r>
    </w:p>
    <w:p w:rsidR="00C75E98" w:rsidRPr="00EA5094" w:rsidRDefault="004160BB" w:rsidP="00EA5094">
      <w:pPr>
        <w:pStyle w:val="Normal1"/>
        <w:numPr>
          <w:ilvl w:val="0"/>
          <w:numId w:val="14"/>
        </w:numPr>
        <w:spacing w:line="480" w:lineRule="auto"/>
        <w:jc w:val="both"/>
        <w:rPr>
          <w:rFonts w:ascii="Arial" w:eastAsia="Arial" w:hAnsi="Arial" w:cs="Arial"/>
        </w:rPr>
      </w:pPr>
      <w:r w:rsidRPr="00EA5094">
        <w:rPr>
          <w:rFonts w:ascii="Arial" w:eastAsia="Arial" w:hAnsi="Arial" w:cs="Arial"/>
        </w:rPr>
        <w:t>“</w:t>
      </w:r>
      <w:proofErr w:type="gramStart"/>
      <w:r w:rsidR="0018250B" w:rsidRPr="00EA5094">
        <w:rPr>
          <w:rFonts w:ascii="Arial" w:eastAsia="Arial" w:hAnsi="Arial" w:cs="Arial"/>
        </w:rPr>
        <w:t>independent</w:t>
      </w:r>
      <w:proofErr w:type="gramEnd"/>
      <w:r w:rsidR="0018250B" w:rsidRPr="00EA5094">
        <w:rPr>
          <w:rFonts w:ascii="Arial" w:eastAsia="Arial" w:hAnsi="Arial" w:cs="Arial"/>
        </w:rPr>
        <w:t xml:space="preserve"> candidates and all political parties are subject to its provisions."</w:t>
      </w:r>
      <w:r w:rsidRPr="00EA5094">
        <w:rPr>
          <w:rFonts w:ascii="Arial" w:eastAsia="Arial" w:hAnsi="Arial" w:cs="Arial"/>
        </w:rPr>
        <w:t xml:space="preserve"> Additionally, it suffice</w:t>
      </w:r>
      <w:r w:rsidR="00EA5094">
        <w:rPr>
          <w:rFonts w:ascii="Arial" w:eastAsia="Arial" w:hAnsi="Arial" w:cs="Arial"/>
        </w:rPr>
        <w:t>s</w:t>
      </w:r>
      <w:r w:rsidRPr="00EA5094">
        <w:rPr>
          <w:rFonts w:ascii="Arial" w:eastAsia="Arial" w:hAnsi="Arial" w:cs="Arial"/>
        </w:rPr>
        <w:t xml:space="preserve"> to say that no compelling </w:t>
      </w:r>
      <w:r w:rsidR="00EA5094" w:rsidRPr="00EA5094">
        <w:rPr>
          <w:rFonts w:ascii="Arial" w:eastAsia="Arial" w:hAnsi="Arial" w:cs="Arial"/>
        </w:rPr>
        <w:t>reasons exist</w:t>
      </w:r>
      <w:r w:rsidRPr="00EA5094">
        <w:rPr>
          <w:rFonts w:ascii="Arial" w:eastAsia="Arial" w:hAnsi="Arial" w:cs="Arial"/>
        </w:rPr>
        <w:t xml:space="preserve"> to justify these limitations.</w:t>
      </w:r>
    </w:p>
    <w:p w:rsidR="004160BB" w:rsidRPr="004160BB" w:rsidRDefault="004160BB" w:rsidP="004160BB">
      <w:pPr>
        <w:pStyle w:val="Normal1"/>
        <w:spacing w:line="480" w:lineRule="auto"/>
        <w:jc w:val="both"/>
        <w:rPr>
          <w:rFonts w:ascii="Arial" w:eastAsia="Arial" w:hAnsi="Arial" w:cs="Arial"/>
        </w:rPr>
      </w:pPr>
    </w:p>
    <w:p w:rsidR="00C75E98" w:rsidRDefault="00C75E98" w:rsidP="00FC3883">
      <w:pPr>
        <w:pStyle w:val="Normal1"/>
        <w:spacing w:line="480" w:lineRule="auto"/>
        <w:jc w:val="both"/>
        <w:rPr>
          <w:rFonts w:ascii="Arial" w:eastAsia="Arial" w:hAnsi="Arial" w:cs="Arial"/>
        </w:rPr>
      </w:pPr>
    </w:p>
    <w:p w:rsidR="001450F7" w:rsidRPr="001450F7" w:rsidRDefault="00E86363" w:rsidP="00EA5094">
      <w:pPr>
        <w:pStyle w:val="Normal1"/>
        <w:numPr>
          <w:ilvl w:val="0"/>
          <w:numId w:val="7"/>
        </w:numPr>
        <w:spacing w:line="480" w:lineRule="auto"/>
        <w:jc w:val="both"/>
        <w:rPr>
          <w:rFonts w:ascii="Arial" w:eastAsia="Arial" w:hAnsi="Arial" w:cs="Arial"/>
          <w:i/>
          <w:sz w:val="22"/>
          <w:szCs w:val="22"/>
        </w:rPr>
      </w:pPr>
      <w:r>
        <w:rPr>
          <w:rFonts w:ascii="Arial" w:eastAsia="Arial" w:hAnsi="Arial" w:cs="Arial"/>
        </w:rPr>
        <w:t xml:space="preserve">The </w:t>
      </w:r>
      <w:r w:rsidR="004160BB">
        <w:rPr>
          <w:rFonts w:ascii="Arial" w:eastAsia="Arial" w:hAnsi="Arial" w:cs="Arial"/>
        </w:rPr>
        <w:t xml:space="preserve">Court further held that the long title of PAIA </w:t>
      </w:r>
      <w:r w:rsidR="001450F7">
        <w:rPr>
          <w:rFonts w:ascii="Arial" w:eastAsia="Arial" w:hAnsi="Arial" w:cs="Arial"/>
        </w:rPr>
        <w:t>is:</w:t>
      </w:r>
    </w:p>
    <w:p w:rsidR="001450F7" w:rsidRPr="001450F7" w:rsidRDefault="001450F7" w:rsidP="001450F7">
      <w:pPr>
        <w:pStyle w:val="Normal1"/>
        <w:spacing w:line="480" w:lineRule="auto"/>
        <w:ind w:left="644"/>
        <w:jc w:val="both"/>
        <w:rPr>
          <w:rFonts w:ascii="Arial" w:eastAsia="Arial" w:hAnsi="Arial" w:cs="Arial"/>
          <w:i/>
          <w:sz w:val="22"/>
          <w:szCs w:val="22"/>
        </w:rPr>
      </w:pPr>
    </w:p>
    <w:p w:rsidR="004160BB" w:rsidRPr="00F444A6" w:rsidRDefault="00E86363" w:rsidP="001450F7">
      <w:pPr>
        <w:pStyle w:val="Normal1"/>
        <w:spacing w:line="480" w:lineRule="auto"/>
        <w:ind w:left="644"/>
        <w:jc w:val="both"/>
        <w:rPr>
          <w:rFonts w:ascii="Arial" w:eastAsia="Arial" w:hAnsi="Arial" w:cs="Arial"/>
          <w:i/>
        </w:rPr>
      </w:pPr>
      <w:r w:rsidRPr="00F444A6">
        <w:rPr>
          <w:rFonts w:ascii="Arial" w:eastAsia="Arial" w:hAnsi="Arial" w:cs="Arial"/>
          <w:i/>
        </w:rPr>
        <w:t>“</w:t>
      </w:r>
      <w:r w:rsidR="004160BB" w:rsidRPr="00F444A6">
        <w:rPr>
          <w:rFonts w:ascii="Arial" w:eastAsia="Arial" w:hAnsi="Arial" w:cs="Arial"/>
          <w:i/>
        </w:rPr>
        <w:t>t</w:t>
      </w:r>
      <w:r w:rsidRPr="00F444A6">
        <w:rPr>
          <w:rFonts w:ascii="Arial" w:eastAsia="Arial" w:hAnsi="Arial" w:cs="Arial"/>
          <w:i/>
        </w:rPr>
        <w:t xml:space="preserve">o give effect to the constitutional right of access to any information held by the State and any information that is held by another person and that is required for the exercise or protection of any rights; and to provide for matters connected therewith.” </w:t>
      </w:r>
    </w:p>
    <w:p w:rsidR="004160BB" w:rsidRDefault="004160BB" w:rsidP="004160BB">
      <w:pPr>
        <w:pStyle w:val="Normal1"/>
        <w:spacing w:line="480" w:lineRule="auto"/>
        <w:ind w:left="644"/>
        <w:jc w:val="both"/>
        <w:rPr>
          <w:rFonts w:ascii="Arial" w:eastAsia="Arial" w:hAnsi="Arial" w:cs="Arial"/>
          <w:i/>
          <w:sz w:val="22"/>
          <w:szCs w:val="22"/>
        </w:rPr>
      </w:pPr>
    </w:p>
    <w:p w:rsidR="004160BB" w:rsidRPr="004160BB" w:rsidRDefault="0018250B" w:rsidP="00EA5094">
      <w:pPr>
        <w:pStyle w:val="Normal1"/>
        <w:numPr>
          <w:ilvl w:val="0"/>
          <w:numId w:val="7"/>
        </w:numPr>
        <w:spacing w:line="480" w:lineRule="auto"/>
        <w:jc w:val="both"/>
        <w:rPr>
          <w:rFonts w:ascii="Arial" w:eastAsia="Arial" w:hAnsi="Arial" w:cs="Arial"/>
          <w:i/>
          <w:sz w:val="22"/>
          <w:szCs w:val="22"/>
        </w:rPr>
      </w:pPr>
      <w:r w:rsidRPr="004160BB">
        <w:rPr>
          <w:rFonts w:ascii="Arial" w:eastAsia="Arial" w:hAnsi="Arial" w:cs="Arial"/>
        </w:rPr>
        <w:t>Information on private funding of political parties and independent candidates was found to be vital for the</w:t>
      </w:r>
      <w:r w:rsidR="00E86363" w:rsidRPr="004160BB">
        <w:rPr>
          <w:rFonts w:ascii="Arial" w:eastAsia="Arial" w:hAnsi="Arial" w:cs="Arial"/>
        </w:rPr>
        <w:t xml:space="preserve"> </w:t>
      </w:r>
      <w:r w:rsidR="00FC3883" w:rsidRPr="004160BB">
        <w:rPr>
          <w:rFonts w:ascii="Arial" w:hAnsi="Arial" w:cs="Arial"/>
        </w:rPr>
        <w:t>effective exerc</w:t>
      </w:r>
      <w:r w:rsidR="00F444A6">
        <w:rPr>
          <w:rFonts w:ascii="Arial" w:hAnsi="Arial" w:cs="Arial"/>
        </w:rPr>
        <w:t>ise of the right to vote in</w:t>
      </w:r>
      <w:r w:rsidR="00FC3883" w:rsidRPr="004160BB">
        <w:rPr>
          <w:rFonts w:ascii="Arial" w:hAnsi="Arial" w:cs="Arial"/>
        </w:rPr>
        <w:t xml:space="preserve"> election</w:t>
      </w:r>
      <w:r w:rsidR="00F444A6">
        <w:rPr>
          <w:rFonts w:ascii="Arial" w:hAnsi="Arial" w:cs="Arial"/>
        </w:rPr>
        <w:t>s and to make political choices</w:t>
      </w:r>
      <w:r w:rsidR="00FC3883" w:rsidRPr="004160BB">
        <w:rPr>
          <w:rFonts w:ascii="Arial" w:hAnsi="Arial" w:cs="Arial"/>
        </w:rPr>
        <w:t xml:space="preserve"> in terms of sections 19(1), 19(3), 32 and 7(2) of the Constitution.</w:t>
      </w:r>
      <w:r w:rsidR="00D74EBA" w:rsidRPr="004160BB">
        <w:rPr>
          <w:rFonts w:ascii="Arial" w:hAnsi="Arial" w:cs="Arial"/>
        </w:rPr>
        <w:t xml:space="preserve"> The right to vote and the legitimacy of the manner </w:t>
      </w:r>
      <w:r w:rsidR="00F444A6">
        <w:rPr>
          <w:rFonts w:ascii="Arial" w:hAnsi="Arial" w:cs="Arial"/>
        </w:rPr>
        <w:t>in</w:t>
      </w:r>
      <w:r w:rsidR="00D74EBA" w:rsidRPr="004160BB">
        <w:rPr>
          <w:rFonts w:ascii="Arial" w:hAnsi="Arial" w:cs="Arial"/>
        </w:rPr>
        <w:t xml:space="preserve"> which one exercises this right is central to our democracy.</w:t>
      </w:r>
      <w:r w:rsidR="008D4152" w:rsidRPr="004160BB">
        <w:rPr>
          <w:rFonts w:ascii="Arial" w:hAnsi="Arial" w:cs="Arial"/>
        </w:rPr>
        <w:t xml:space="preserve"> </w:t>
      </w:r>
    </w:p>
    <w:p w:rsidR="004160BB" w:rsidRDefault="004160BB" w:rsidP="004160BB">
      <w:pPr>
        <w:pStyle w:val="ListParagraph"/>
        <w:rPr>
          <w:rFonts w:ascii="Arial" w:hAnsi="Arial" w:cs="Arial"/>
        </w:rPr>
      </w:pPr>
    </w:p>
    <w:p w:rsidR="004160BB" w:rsidRPr="004160BB" w:rsidRDefault="008D4152" w:rsidP="00EA5094">
      <w:pPr>
        <w:pStyle w:val="Normal1"/>
        <w:numPr>
          <w:ilvl w:val="0"/>
          <w:numId w:val="7"/>
        </w:numPr>
        <w:spacing w:line="480" w:lineRule="auto"/>
        <w:jc w:val="both"/>
        <w:rPr>
          <w:rFonts w:ascii="Arial" w:eastAsia="Arial" w:hAnsi="Arial" w:cs="Arial"/>
          <w:i/>
          <w:sz w:val="22"/>
          <w:szCs w:val="22"/>
        </w:rPr>
      </w:pPr>
      <w:r w:rsidRPr="004160BB">
        <w:rPr>
          <w:rFonts w:ascii="Arial" w:hAnsi="Arial" w:cs="Arial"/>
        </w:rPr>
        <w:t>Publi</w:t>
      </w:r>
      <w:r w:rsidR="00F444A6">
        <w:rPr>
          <w:rFonts w:ascii="Arial" w:hAnsi="Arial" w:cs="Arial"/>
        </w:rPr>
        <w:t xml:space="preserve">c disclosure on private funding </w:t>
      </w:r>
      <w:r w:rsidRPr="004160BB">
        <w:rPr>
          <w:rFonts w:ascii="Arial" w:hAnsi="Arial" w:cs="Arial"/>
        </w:rPr>
        <w:t xml:space="preserve">creates a transparent and accountable government. In a bid to exorcise corruption and build good governance it is indeed necessary that </w:t>
      </w:r>
      <w:r w:rsidR="00F444A6">
        <w:rPr>
          <w:rFonts w:ascii="Arial" w:hAnsi="Arial" w:cs="Arial"/>
        </w:rPr>
        <w:t xml:space="preserve">information on </w:t>
      </w:r>
      <w:r w:rsidRPr="004160BB">
        <w:rPr>
          <w:rFonts w:ascii="Arial" w:hAnsi="Arial" w:cs="Arial"/>
        </w:rPr>
        <w:t xml:space="preserve">private funding of political parties and independent candidates is </w:t>
      </w:r>
      <w:r w:rsidR="00F444A6">
        <w:rPr>
          <w:rFonts w:ascii="Arial" w:hAnsi="Arial" w:cs="Arial"/>
        </w:rPr>
        <w:t xml:space="preserve">made </w:t>
      </w:r>
      <w:r w:rsidRPr="004160BB">
        <w:rPr>
          <w:rFonts w:ascii="Arial" w:hAnsi="Arial" w:cs="Arial"/>
        </w:rPr>
        <w:t>available to the electorate. The global standard on financial disclosure of political parties requires that there is legislation on disclosure.</w:t>
      </w:r>
    </w:p>
    <w:p w:rsidR="004160BB" w:rsidRDefault="004160BB" w:rsidP="004160BB">
      <w:pPr>
        <w:pStyle w:val="ListParagraph"/>
        <w:rPr>
          <w:rFonts w:ascii="Arial" w:hAnsi="Arial" w:cs="Arial"/>
        </w:rPr>
      </w:pPr>
    </w:p>
    <w:p w:rsidR="00FC3883" w:rsidRPr="004160BB" w:rsidRDefault="008D4152" w:rsidP="00EA5094">
      <w:pPr>
        <w:pStyle w:val="Normal1"/>
        <w:numPr>
          <w:ilvl w:val="0"/>
          <w:numId w:val="7"/>
        </w:numPr>
        <w:spacing w:line="480" w:lineRule="auto"/>
        <w:jc w:val="both"/>
        <w:rPr>
          <w:rFonts w:ascii="Arial" w:eastAsia="Arial" w:hAnsi="Arial" w:cs="Arial"/>
          <w:i/>
          <w:sz w:val="22"/>
          <w:szCs w:val="22"/>
        </w:rPr>
      </w:pPr>
      <w:r w:rsidRPr="004160BB">
        <w:rPr>
          <w:rFonts w:ascii="Arial" w:hAnsi="Arial" w:cs="Arial"/>
        </w:rPr>
        <w:t>The United Nations Convention against Corruption</w:t>
      </w:r>
      <w:r w:rsidR="00A17BC8" w:rsidRPr="004160BB">
        <w:rPr>
          <w:rFonts w:ascii="Arial" w:hAnsi="Arial" w:cs="Arial"/>
        </w:rPr>
        <w:t xml:space="preserve"> calls on states</w:t>
      </w:r>
      <w:r w:rsidR="00F444A6">
        <w:rPr>
          <w:rFonts w:ascii="Arial" w:hAnsi="Arial" w:cs="Arial"/>
        </w:rPr>
        <w:t xml:space="preserve"> to take appropriate legislative</w:t>
      </w:r>
      <w:r w:rsidR="00A17BC8" w:rsidRPr="004160BB">
        <w:rPr>
          <w:rFonts w:ascii="Arial" w:hAnsi="Arial" w:cs="Arial"/>
        </w:rPr>
        <w:t xml:space="preserve"> and administrative measures to enhance transparency in the funding of candidatures for elected public office and where applicable the funding of political parties.</w:t>
      </w:r>
      <w:r w:rsidR="00A17BC8" w:rsidRPr="00A17BC8">
        <w:t xml:space="preserve"> </w:t>
      </w:r>
      <w:r w:rsidR="00A17BC8">
        <w:t xml:space="preserve"> </w:t>
      </w:r>
    </w:p>
    <w:p w:rsidR="004160BB" w:rsidRDefault="004160BB" w:rsidP="004160BB">
      <w:pPr>
        <w:pStyle w:val="ListParagraph"/>
        <w:rPr>
          <w:rFonts w:ascii="Arial" w:eastAsia="Arial" w:hAnsi="Arial" w:cs="Arial"/>
          <w:i/>
          <w:sz w:val="22"/>
          <w:szCs w:val="22"/>
        </w:rPr>
      </w:pPr>
    </w:p>
    <w:p w:rsidR="004160BB" w:rsidRDefault="004160BB" w:rsidP="004160BB">
      <w:pPr>
        <w:pStyle w:val="Normal1"/>
        <w:spacing w:line="480" w:lineRule="auto"/>
        <w:jc w:val="both"/>
        <w:rPr>
          <w:rFonts w:ascii="Arial" w:eastAsia="Arial" w:hAnsi="Arial" w:cs="Arial"/>
          <w:i/>
          <w:sz w:val="22"/>
          <w:szCs w:val="22"/>
        </w:rPr>
      </w:pPr>
    </w:p>
    <w:p w:rsidR="004160BB" w:rsidRPr="004160BB" w:rsidRDefault="004160BB" w:rsidP="004160BB">
      <w:pPr>
        <w:pStyle w:val="Normal1"/>
        <w:spacing w:line="480" w:lineRule="auto"/>
        <w:jc w:val="both"/>
        <w:rPr>
          <w:rFonts w:ascii="Arial" w:eastAsia="Arial" w:hAnsi="Arial" w:cs="Arial"/>
          <w:i/>
          <w:sz w:val="22"/>
          <w:szCs w:val="22"/>
        </w:rPr>
      </w:pPr>
    </w:p>
    <w:p w:rsidR="00A17BC8" w:rsidRDefault="00A17BC8" w:rsidP="00FC3883">
      <w:pPr>
        <w:pStyle w:val="Normal1"/>
        <w:spacing w:line="480" w:lineRule="auto"/>
        <w:jc w:val="both"/>
        <w:rPr>
          <w:rFonts w:ascii="Arial" w:eastAsia="Arial" w:hAnsi="Arial" w:cs="Arial"/>
        </w:rPr>
      </w:pPr>
    </w:p>
    <w:p w:rsidR="00C75E98" w:rsidRDefault="004160BB" w:rsidP="004160BB">
      <w:pPr>
        <w:pStyle w:val="Normal1"/>
        <w:spacing w:line="480" w:lineRule="auto"/>
        <w:rPr>
          <w:rFonts w:ascii="Arial" w:eastAsia="Arial" w:hAnsi="Arial" w:cs="Arial"/>
          <w:b/>
        </w:rPr>
      </w:pPr>
      <w:r w:rsidRPr="004160BB">
        <w:rPr>
          <w:rFonts w:ascii="Arial" w:eastAsia="Arial" w:hAnsi="Arial" w:cs="Arial"/>
          <w:b/>
          <w:u w:val="single"/>
        </w:rPr>
        <w:t>DOES THE PAIA AMENDMENT BILL GIVE EFFECT TO THE CONSTITUTIONAL COURT DECISION</w:t>
      </w:r>
    </w:p>
    <w:p w:rsidR="00931732" w:rsidRDefault="00931732" w:rsidP="00FC3883">
      <w:pPr>
        <w:pStyle w:val="Normal1"/>
        <w:spacing w:line="480" w:lineRule="auto"/>
        <w:jc w:val="both"/>
        <w:rPr>
          <w:rFonts w:ascii="Arial" w:eastAsia="Arial" w:hAnsi="Arial" w:cs="Arial"/>
        </w:rPr>
      </w:pPr>
    </w:p>
    <w:p w:rsidR="009803A5" w:rsidRDefault="009803A5" w:rsidP="00EA5094">
      <w:pPr>
        <w:pStyle w:val="Normal1"/>
        <w:numPr>
          <w:ilvl w:val="0"/>
          <w:numId w:val="7"/>
        </w:numPr>
        <w:spacing w:line="480" w:lineRule="auto"/>
        <w:jc w:val="both"/>
        <w:rPr>
          <w:rFonts w:ascii="Arial" w:eastAsia="Arial" w:hAnsi="Arial" w:cs="Arial"/>
        </w:rPr>
      </w:pPr>
      <w:r>
        <w:rPr>
          <w:rFonts w:ascii="Arial" w:eastAsia="Arial" w:hAnsi="Arial" w:cs="Arial"/>
        </w:rPr>
        <w:t>In order to respond to the question whether the Bill gives effect to the Constitutional Court decision, the decision of the Court must be read and interpreted holistically. In this regard, the following aspects are pertinent:</w:t>
      </w:r>
    </w:p>
    <w:p w:rsidR="009803A5" w:rsidRDefault="009803A5" w:rsidP="009803A5">
      <w:pPr>
        <w:pStyle w:val="Normal1"/>
        <w:spacing w:line="480" w:lineRule="auto"/>
        <w:ind w:left="644"/>
        <w:jc w:val="both"/>
        <w:rPr>
          <w:rFonts w:ascii="Arial" w:eastAsia="Arial" w:hAnsi="Arial" w:cs="Arial"/>
        </w:rPr>
      </w:pPr>
    </w:p>
    <w:p w:rsidR="00C75E98" w:rsidRDefault="00931732" w:rsidP="00FC3883">
      <w:pPr>
        <w:pStyle w:val="Normal1"/>
        <w:numPr>
          <w:ilvl w:val="0"/>
          <w:numId w:val="10"/>
        </w:numPr>
        <w:spacing w:line="480" w:lineRule="auto"/>
        <w:jc w:val="both"/>
        <w:rPr>
          <w:rFonts w:ascii="Arial" w:eastAsia="Arial" w:hAnsi="Arial" w:cs="Arial"/>
        </w:rPr>
      </w:pPr>
      <w:proofErr w:type="gramStart"/>
      <w:r w:rsidRPr="009803A5">
        <w:rPr>
          <w:rFonts w:ascii="Arial" w:eastAsia="Arial" w:hAnsi="Arial" w:cs="Arial"/>
        </w:rPr>
        <w:t>that</w:t>
      </w:r>
      <w:proofErr w:type="gramEnd"/>
      <w:r w:rsidRPr="009803A5">
        <w:rPr>
          <w:rFonts w:ascii="Arial" w:eastAsia="Arial" w:hAnsi="Arial" w:cs="Arial"/>
        </w:rPr>
        <w:t xml:space="preserve"> PAIA is the national legislation envisaged by Section 32 of the Constitution to give substance to a citizen’s right of access to information. </w:t>
      </w:r>
      <w:r w:rsidR="00D55127">
        <w:rPr>
          <w:rFonts w:ascii="Arial" w:eastAsia="Arial" w:hAnsi="Arial" w:cs="Arial"/>
        </w:rPr>
        <w:t>(Par.15 of the judgment)</w:t>
      </w:r>
    </w:p>
    <w:p w:rsidR="00D7343B" w:rsidRDefault="00D7343B" w:rsidP="00D7343B">
      <w:pPr>
        <w:pStyle w:val="Normal1"/>
        <w:spacing w:line="480" w:lineRule="auto"/>
        <w:ind w:left="1364"/>
        <w:jc w:val="both"/>
        <w:rPr>
          <w:rFonts w:ascii="Arial" w:eastAsia="Arial" w:hAnsi="Arial" w:cs="Arial"/>
        </w:rPr>
      </w:pPr>
    </w:p>
    <w:p w:rsidR="009803A5" w:rsidRDefault="009803A5" w:rsidP="009803A5">
      <w:pPr>
        <w:pStyle w:val="Normal1"/>
        <w:numPr>
          <w:ilvl w:val="0"/>
          <w:numId w:val="10"/>
        </w:numPr>
        <w:spacing w:line="480" w:lineRule="auto"/>
        <w:jc w:val="both"/>
        <w:rPr>
          <w:rFonts w:ascii="Arial" w:eastAsia="Arial" w:hAnsi="Arial" w:cs="Arial"/>
        </w:rPr>
      </w:pPr>
      <w:r>
        <w:rPr>
          <w:rFonts w:ascii="Arial" w:eastAsia="Arial" w:hAnsi="Arial" w:cs="Arial"/>
        </w:rPr>
        <w:t xml:space="preserve">That the word </w:t>
      </w:r>
      <w:r w:rsidR="00D7343B">
        <w:rPr>
          <w:rFonts w:ascii="Arial" w:eastAsia="Arial" w:hAnsi="Arial" w:cs="Arial"/>
        </w:rPr>
        <w:t>“</w:t>
      </w:r>
      <w:r>
        <w:rPr>
          <w:rFonts w:ascii="Arial" w:eastAsia="Arial" w:hAnsi="Arial" w:cs="Arial"/>
        </w:rPr>
        <w:t>everyone</w:t>
      </w:r>
      <w:r w:rsidR="00D7343B">
        <w:rPr>
          <w:rFonts w:ascii="Arial" w:eastAsia="Arial" w:hAnsi="Arial" w:cs="Arial"/>
        </w:rPr>
        <w:t>”</w:t>
      </w:r>
      <w:r>
        <w:rPr>
          <w:rFonts w:ascii="Arial" w:eastAsia="Arial" w:hAnsi="Arial" w:cs="Arial"/>
        </w:rPr>
        <w:t xml:space="preserve"> in Section 32 of the Constitution is wide enough to accommodate both a juristic and natural person. Similarly </w:t>
      </w:r>
      <w:r w:rsidR="00F444A6">
        <w:rPr>
          <w:rFonts w:ascii="Arial" w:eastAsia="Arial" w:hAnsi="Arial" w:cs="Arial"/>
        </w:rPr>
        <w:t>“</w:t>
      </w:r>
      <w:r>
        <w:rPr>
          <w:rFonts w:ascii="Arial" w:eastAsia="Arial" w:hAnsi="Arial" w:cs="Arial"/>
        </w:rPr>
        <w:t>another person</w:t>
      </w:r>
      <w:r w:rsidR="00F444A6">
        <w:rPr>
          <w:rFonts w:ascii="Arial" w:eastAsia="Arial" w:hAnsi="Arial" w:cs="Arial"/>
        </w:rPr>
        <w:t>”</w:t>
      </w:r>
      <w:r>
        <w:rPr>
          <w:rFonts w:ascii="Arial" w:eastAsia="Arial" w:hAnsi="Arial" w:cs="Arial"/>
        </w:rPr>
        <w:t xml:space="preserve"> in this context suggests a person other than the state and is on the face of it wide enough to apply to a natural an</w:t>
      </w:r>
      <w:r w:rsidR="001450F7">
        <w:rPr>
          <w:rFonts w:ascii="Arial" w:eastAsia="Arial" w:hAnsi="Arial" w:cs="Arial"/>
        </w:rPr>
        <w:t>d</w:t>
      </w:r>
      <w:r>
        <w:rPr>
          <w:rFonts w:ascii="Arial" w:eastAsia="Arial" w:hAnsi="Arial" w:cs="Arial"/>
        </w:rPr>
        <w:t xml:space="preserve"> juristic person, including a political party or independent candidate.”</w:t>
      </w:r>
      <w:r w:rsidR="00D55127">
        <w:rPr>
          <w:rFonts w:ascii="Arial" w:eastAsia="Arial" w:hAnsi="Arial" w:cs="Arial"/>
        </w:rPr>
        <w:t xml:space="preserve"> (Par.20)</w:t>
      </w:r>
    </w:p>
    <w:p w:rsidR="00D55127" w:rsidRDefault="00D55127" w:rsidP="00D55127">
      <w:pPr>
        <w:pStyle w:val="ListParagraph"/>
        <w:rPr>
          <w:rFonts w:ascii="Arial" w:eastAsia="Arial" w:hAnsi="Arial" w:cs="Arial"/>
        </w:rPr>
      </w:pPr>
    </w:p>
    <w:p w:rsidR="00D55127" w:rsidRDefault="00D55127" w:rsidP="009803A5">
      <w:pPr>
        <w:pStyle w:val="Normal1"/>
        <w:numPr>
          <w:ilvl w:val="0"/>
          <w:numId w:val="10"/>
        </w:numPr>
        <w:spacing w:line="480" w:lineRule="auto"/>
        <w:jc w:val="both"/>
        <w:rPr>
          <w:rFonts w:ascii="Arial" w:eastAsia="Arial" w:hAnsi="Arial" w:cs="Arial"/>
        </w:rPr>
      </w:pPr>
      <w:r>
        <w:rPr>
          <w:rFonts w:ascii="Arial" w:eastAsia="Arial" w:hAnsi="Arial" w:cs="Arial"/>
        </w:rPr>
        <w:t xml:space="preserve">For every citizen to be truly free to </w:t>
      </w:r>
      <w:r w:rsidR="002F504A">
        <w:rPr>
          <w:rFonts w:ascii="Arial" w:eastAsia="Arial" w:hAnsi="Arial" w:cs="Arial"/>
        </w:rPr>
        <w:t xml:space="preserve">a </w:t>
      </w:r>
      <w:r>
        <w:rPr>
          <w:rFonts w:ascii="Arial" w:eastAsia="Arial" w:hAnsi="Arial" w:cs="Arial"/>
        </w:rPr>
        <w:t>make political choice, including which party to join and which not to vote for or which political cause to campaign for or support, access to relevant or empowering information must be facilitated. Not only must the information be “held” in one form or another, it must also be reasonably accessible to potential voters. They need it to be able to make a quality decision to vote for a particular political party or independent candidate. (Par.34).</w:t>
      </w:r>
    </w:p>
    <w:p w:rsidR="00D55127" w:rsidRDefault="00D55127" w:rsidP="00D55127">
      <w:pPr>
        <w:pStyle w:val="ListParagraph"/>
        <w:rPr>
          <w:rFonts w:ascii="Arial" w:eastAsia="Arial" w:hAnsi="Arial" w:cs="Arial"/>
        </w:rPr>
      </w:pPr>
    </w:p>
    <w:p w:rsidR="00D55127" w:rsidRDefault="00D55127" w:rsidP="009803A5">
      <w:pPr>
        <w:pStyle w:val="Normal1"/>
        <w:numPr>
          <w:ilvl w:val="0"/>
          <w:numId w:val="10"/>
        </w:numPr>
        <w:spacing w:line="480" w:lineRule="auto"/>
        <w:jc w:val="both"/>
        <w:rPr>
          <w:rFonts w:ascii="Arial" w:eastAsia="Arial" w:hAnsi="Arial" w:cs="Arial"/>
        </w:rPr>
      </w:pPr>
      <w:r>
        <w:rPr>
          <w:rFonts w:ascii="Arial" w:eastAsia="Arial" w:hAnsi="Arial" w:cs="Arial"/>
        </w:rPr>
        <w:t xml:space="preserve">For, there is a vital connection between a proper exercise of the right to vote and the right of access to information. The former is not to be exercised blindly or without proper reflection. In this regard, </w:t>
      </w:r>
      <w:proofErr w:type="spellStart"/>
      <w:r>
        <w:rPr>
          <w:rFonts w:ascii="Arial" w:eastAsia="Arial" w:hAnsi="Arial" w:cs="Arial"/>
        </w:rPr>
        <w:t>Nqcobo</w:t>
      </w:r>
      <w:proofErr w:type="spellEnd"/>
      <w:r>
        <w:rPr>
          <w:rFonts w:ascii="Arial" w:eastAsia="Arial" w:hAnsi="Arial" w:cs="Arial"/>
        </w:rPr>
        <w:t xml:space="preserve"> CJ made the following observations:</w:t>
      </w:r>
    </w:p>
    <w:p w:rsidR="00D55127" w:rsidRDefault="00D55127" w:rsidP="00D55127">
      <w:pPr>
        <w:pStyle w:val="ListParagraph"/>
        <w:rPr>
          <w:rFonts w:ascii="Arial" w:eastAsia="Arial" w:hAnsi="Arial" w:cs="Arial"/>
        </w:rPr>
      </w:pPr>
    </w:p>
    <w:p w:rsidR="00D55127" w:rsidRDefault="00D55127" w:rsidP="00D55127">
      <w:pPr>
        <w:pStyle w:val="Normal1"/>
        <w:spacing w:line="480" w:lineRule="auto"/>
        <w:ind w:left="1364"/>
        <w:jc w:val="both"/>
        <w:rPr>
          <w:rFonts w:ascii="Arial" w:eastAsia="Arial" w:hAnsi="Arial" w:cs="Arial"/>
          <w:i/>
        </w:rPr>
      </w:pPr>
      <w:r>
        <w:rPr>
          <w:rFonts w:ascii="Arial" w:eastAsia="Arial" w:hAnsi="Arial" w:cs="Arial"/>
          <w:i/>
        </w:rPr>
        <w:t xml:space="preserve">“In a democratic society such as our own, the effective exercise of the right to vote also depends on the right of access to information. For without access to information, the ability of citizens to make responsible political decisions and </w:t>
      </w:r>
      <w:proofErr w:type="gramStart"/>
      <w:r>
        <w:rPr>
          <w:rFonts w:ascii="Arial" w:eastAsia="Arial" w:hAnsi="Arial" w:cs="Arial"/>
          <w:i/>
        </w:rPr>
        <w:t>participate</w:t>
      </w:r>
      <w:proofErr w:type="gramEnd"/>
      <w:r>
        <w:rPr>
          <w:rFonts w:ascii="Arial" w:eastAsia="Arial" w:hAnsi="Arial" w:cs="Arial"/>
          <w:i/>
        </w:rPr>
        <w:t xml:space="preserve"> meaning fully in public life is undermined.”</w:t>
      </w:r>
      <w:r w:rsidR="00461D0C">
        <w:rPr>
          <w:rStyle w:val="FootnoteReference"/>
          <w:rFonts w:ascii="Arial" w:eastAsia="Arial" w:hAnsi="Arial" w:cs="Arial"/>
          <w:i/>
        </w:rPr>
        <w:footnoteReference w:id="1"/>
      </w:r>
      <w:r w:rsidR="00461D0C">
        <w:rPr>
          <w:rFonts w:ascii="Arial" w:eastAsia="Arial" w:hAnsi="Arial" w:cs="Arial"/>
          <w:i/>
        </w:rPr>
        <w:t xml:space="preserve"> (par.35)</w:t>
      </w:r>
    </w:p>
    <w:p w:rsidR="00461D0C" w:rsidRDefault="00461D0C" w:rsidP="00D55127">
      <w:pPr>
        <w:pStyle w:val="Normal1"/>
        <w:spacing w:line="480" w:lineRule="auto"/>
        <w:ind w:left="1364"/>
        <w:jc w:val="both"/>
        <w:rPr>
          <w:rFonts w:ascii="Arial" w:eastAsia="Arial" w:hAnsi="Arial" w:cs="Arial"/>
          <w:i/>
        </w:rPr>
      </w:pPr>
    </w:p>
    <w:p w:rsidR="00461D0C" w:rsidRDefault="00461D0C" w:rsidP="00461D0C">
      <w:pPr>
        <w:pStyle w:val="Normal1"/>
        <w:numPr>
          <w:ilvl w:val="0"/>
          <w:numId w:val="10"/>
        </w:numPr>
        <w:spacing w:line="480" w:lineRule="auto"/>
        <w:jc w:val="both"/>
        <w:rPr>
          <w:rFonts w:ascii="Arial" w:eastAsia="Arial" w:hAnsi="Arial" w:cs="Arial"/>
        </w:rPr>
      </w:pPr>
      <w:r>
        <w:rPr>
          <w:rFonts w:ascii="Arial" w:eastAsia="Arial" w:hAnsi="Arial" w:cs="Arial"/>
        </w:rPr>
        <w:t xml:space="preserve">Public office is so important that it is only to be ascended to by those who have been properly examined and found worthy to represent the electorate. And that may only be so with the benefit of information. Without it, </w:t>
      </w:r>
      <w:proofErr w:type="gramStart"/>
      <w:r>
        <w:rPr>
          <w:rFonts w:ascii="Arial" w:eastAsia="Arial" w:hAnsi="Arial" w:cs="Arial"/>
        </w:rPr>
        <w:t xml:space="preserve">“ </w:t>
      </w:r>
      <w:r w:rsidRPr="00461D0C">
        <w:rPr>
          <w:rFonts w:ascii="Arial" w:eastAsia="Arial" w:hAnsi="Arial" w:cs="Arial"/>
        </w:rPr>
        <w:t>the</w:t>
      </w:r>
      <w:proofErr w:type="gramEnd"/>
      <w:r w:rsidRPr="00461D0C">
        <w:rPr>
          <w:rFonts w:ascii="Arial" w:eastAsia="Arial" w:hAnsi="Arial" w:cs="Arial"/>
        </w:rPr>
        <w:t xml:space="preserve"> ability of citizens to make responsible political decisions and participate meaningfully in public life is undermined”.</w:t>
      </w:r>
      <w:r>
        <w:rPr>
          <w:rFonts w:ascii="Arial" w:eastAsia="Arial" w:hAnsi="Arial" w:cs="Arial"/>
        </w:rPr>
        <w:t xml:space="preserve"> (par. 36)</w:t>
      </w:r>
    </w:p>
    <w:p w:rsidR="00461D0C" w:rsidRDefault="00461D0C" w:rsidP="00461D0C">
      <w:pPr>
        <w:pStyle w:val="Normal1"/>
        <w:numPr>
          <w:ilvl w:val="0"/>
          <w:numId w:val="10"/>
        </w:numPr>
        <w:spacing w:line="480" w:lineRule="auto"/>
        <w:jc w:val="both"/>
        <w:rPr>
          <w:rFonts w:ascii="Arial" w:eastAsia="Arial" w:hAnsi="Arial" w:cs="Arial"/>
        </w:rPr>
      </w:pPr>
      <w:r>
        <w:rPr>
          <w:rFonts w:ascii="Arial" w:eastAsia="Arial" w:hAnsi="Arial" w:cs="Arial"/>
        </w:rPr>
        <w:t>By its very nature, the proper exercise of the right to vote is largely dependent on information. (par.37)</w:t>
      </w:r>
    </w:p>
    <w:p w:rsidR="00461D0C" w:rsidRDefault="00461D0C" w:rsidP="00461D0C">
      <w:pPr>
        <w:pStyle w:val="Normal1"/>
        <w:numPr>
          <w:ilvl w:val="0"/>
          <w:numId w:val="10"/>
        </w:numPr>
        <w:spacing w:line="480" w:lineRule="auto"/>
        <w:jc w:val="both"/>
        <w:rPr>
          <w:rFonts w:ascii="Arial" w:eastAsia="Arial" w:hAnsi="Arial" w:cs="Arial"/>
        </w:rPr>
      </w:pPr>
      <w:r>
        <w:rPr>
          <w:rFonts w:ascii="Arial" w:eastAsia="Arial" w:hAnsi="Arial" w:cs="Arial"/>
        </w:rPr>
        <w:t xml:space="preserve">The State is </w:t>
      </w:r>
      <w:bookmarkStart w:id="0" w:name="_GoBack"/>
      <w:bookmarkEnd w:id="0"/>
      <w:r>
        <w:rPr>
          <w:rFonts w:ascii="Arial" w:eastAsia="Arial" w:hAnsi="Arial" w:cs="Arial"/>
        </w:rPr>
        <w:t>under an obligation to do everything reasonably possible to give practical and meaningful expression to the right of access to information and the right to vote. These two are human rights and freedoms.</w:t>
      </w:r>
      <w:r w:rsidR="002F504A">
        <w:rPr>
          <w:rFonts w:ascii="Arial" w:eastAsia="Arial" w:hAnsi="Arial" w:cs="Arial"/>
        </w:rPr>
        <w:t xml:space="preserve"> And one of the foundational values of our State is “the advancement of human rights and freedoms.”</w:t>
      </w:r>
      <w:r>
        <w:rPr>
          <w:rFonts w:ascii="Arial" w:eastAsia="Arial" w:hAnsi="Arial" w:cs="Arial"/>
        </w:rPr>
        <w:t xml:space="preserve"> (par.43)</w:t>
      </w:r>
    </w:p>
    <w:p w:rsidR="00461D0C" w:rsidRDefault="001B759E" w:rsidP="00461D0C">
      <w:pPr>
        <w:pStyle w:val="Normal1"/>
        <w:numPr>
          <w:ilvl w:val="0"/>
          <w:numId w:val="10"/>
        </w:numPr>
        <w:spacing w:line="480" w:lineRule="auto"/>
        <w:jc w:val="both"/>
        <w:rPr>
          <w:rFonts w:ascii="Arial" w:eastAsia="Arial" w:hAnsi="Arial" w:cs="Arial"/>
        </w:rPr>
      </w:pPr>
      <w:r>
        <w:rPr>
          <w:rFonts w:ascii="Arial" w:eastAsia="Arial" w:hAnsi="Arial" w:cs="Arial"/>
        </w:rPr>
        <w:lastRenderedPageBreak/>
        <w:t xml:space="preserve">Section 32 contemplates two holders of potentially </w:t>
      </w:r>
      <w:proofErr w:type="spellStart"/>
      <w:r>
        <w:rPr>
          <w:rFonts w:ascii="Arial" w:eastAsia="Arial" w:hAnsi="Arial" w:cs="Arial"/>
        </w:rPr>
        <w:t>disclosable</w:t>
      </w:r>
      <w:proofErr w:type="spellEnd"/>
      <w:r>
        <w:rPr>
          <w:rFonts w:ascii="Arial" w:eastAsia="Arial" w:hAnsi="Arial" w:cs="Arial"/>
        </w:rPr>
        <w:t xml:space="preserve"> information – the State and “another person”. Although “another person” is not defined by the Constitution, it is </w:t>
      </w:r>
      <w:r w:rsidR="00576986">
        <w:rPr>
          <w:rFonts w:ascii="Arial" w:eastAsia="Arial" w:hAnsi="Arial" w:cs="Arial"/>
        </w:rPr>
        <w:t xml:space="preserve">the </w:t>
      </w:r>
      <w:r>
        <w:rPr>
          <w:rFonts w:ascii="Arial" w:eastAsia="Arial" w:hAnsi="Arial" w:cs="Arial"/>
        </w:rPr>
        <w:t xml:space="preserve">only category capable of accommodating political parties and independent candidates which obviously do not fall under the category of “the State”. And the definition section of PAIA says “person means a natural person or juristic person”. We thus have to determine first, not only whether the definitional section of PAIA includes political parties and independent candidates, but also whether “recorded” and </w:t>
      </w:r>
      <w:proofErr w:type="spellStart"/>
      <w:r>
        <w:rPr>
          <w:rFonts w:ascii="Arial" w:eastAsia="Arial" w:hAnsi="Arial" w:cs="Arial"/>
        </w:rPr>
        <w:t>disclosable</w:t>
      </w:r>
      <w:proofErr w:type="spellEnd"/>
      <w:r>
        <w:rPr>
          <w:rFonts w:ascii="Arial" w:eastAsia="Arial" w:hAnsi="Arial" w:cs="Arial"/>
        </w:rPr>
        <w:t xml:space="preserve"> information includes that which is “held” by them. (par.61).</w:t>
      </w:r>
    </w:p>
    <w:p w:rsidR="001B759E" w:rsidRDefault="001B759E" w:rsidP="00461D0C">
      <w:pPr>
        <w:pStyle w:val="Normal1"/>
        <w:numPr>
          <w:ilvl w:val="0"/>
          <w:numId w:val="10"/>
        </w:numPr>
        <w:spacing w:line="480" w:lineRule="auto"/>
        <w:jc w:val="both"/>
        <w:rPr>
          <w:rFonts w:ascii="Arial" w:eastAsia="Arial" w:hAnsi="Arial" w:cs="Arial"/>
        </w:rPr>
      </w:pPr>
      <w:r>
        <w:rPr>
          <w:rFonts w:ascii="Arial" w:eastAsia="Arial" w:hAnsi="Arial" w:cs="Arial"/>
        </w:rPr>
        <w:t>PAIA sets out circumstances under which a requester would be entitled to information, which at times include payment of a fee. And that is information held by what PAIA amongst others refers</w:t>
      </w:r>
      <w:r w:rsidR="00E70872">
        <w:rPr>
          <w:rFonts w:ascii="Arial" w:eastAsia="Arial" w:hAnsi="Arial" w:cs="Arial"/>
        </w:rPr>
        <w:t xml:space="preserve"> to a</w:t>
      </w:r>
      <w:r>
        <w:rPr>
          <w:rFonts w:ascii="Arial" w:eastAsia="Arial" w:hAnsi="Arial" w:cs="Arial"/>
        </w:rPr>
        <w:t>s a “private body”</w:t>
      </w:r>
      <w:r w:rsidR="00E70872">
        <w:rPr>
          <w:rFonts w:ascii="Arial" w:eastAsia="Arial" w:hAnsi="Arial" w:cs="Arial"/>
        </w:rPr>
        <w:t>. (par.62)</w:t>
      </w:r>
    </w:p>
    <w:p w:rsidR="00E70872" w:rsidRDefault="00E70872" w:rsidP="00461D0C">
      <w:pPr>
        <w:pStyle w:val="Normal1"/>
        <w:numPr>
          <w:ilvl w:val="0"/>
          <w:numId w:val="10"/>
        </w:numPr>
        <w:spacing w:line="480" w:lineRule="auto"/>
        <w:jc w:val="both"/>
        <w:rPr>
          <w:rFonts w:ascii="Arial" w:eastAsia="Arial" w:hAnsi="Arial" w:cs="Arial"/>
        </w:rPr>
      </w:pPr>
      <w:r>
        <w:rPr>
          <w:rFonts w:ascii="Arial" w:eastAsia="Arial" w:hAnsi="Arial" w:cs="Arial"/>
        </w:rPr>
        <w:t xml:space="preserve">It follows from the definition of PAIA that, “although an independent candidate is indeed a natural </w:t>
      </w:r>
      <w:proofErr w:type="gramStart"/>
      <w:r>
        <w:rPr>
          <w:rFonts w:ascii="Arial" w:eastAsia="Arial" w:hAnsi="Arial" w:cs="Arial"/>
        </w:rPr>
        <w:t>person,</w:t>
      </w:r>
      <w:proofErr w:type="gramEnd"/>
      <w:r>
        <w:rPr>
          <w:rFonts w:ascii="Arial" w:eastAsia="Arial" w:hAnsi="Arial" w:cs="Arial"/>
        </w:rPr>
        <w:t xml:space="preserve"> he or she is one who is excluded from the meaning of a private body and the application of PAIA. Only “a natural person who carries or has carried on any trade, business or profession but only in such a capacity” could be requested to disclose information or a “record” that relates to that activity. Even if an independent candidate is a professional, trader or business person she would still be excluded. Since the information required from her would not be about what she did or does in her capacity as a professional or trader or business person, but about the private funding of her political activities, then access cannot be granted.  An independent candidate for public office is therefore doubly excluded. (par 63)</w:t>
      </w:r>
    </w:p>
    <w:p w:rsidR="00D13DA1" w:rsidRDefault="00E70872" w:rsidP="00461D0C">
      <w:pPr>
        <w:pStyle w:val="Normal1"/>
        <w:numPr>
          <w:ilvl w:val="0"/>
          <w:numId w:val="10"/>
        </w:numPr>
        <w:spacing w:line="480" w:lineRule="auto"/>
        <w:jc w:val="both"/>
        <w:rPr>
          <w:rFonts w:ascii="Arial" w:eastAsia="Arial" w:hAnsi="Arial" w:cs="Arial"/>
        </w:rPr>
      </w:pPr>
      <w:r>
        <w:rPr>
          <w:rFonts w:ascii="Arial" w:eastAsia="Arial" w:hAnsi="Arial" w:cs="Arial"/>
        </w:rPr>
        <w:t xml:space="preserve">The meaning of “private body” extends to “any former or existing juristic </w:t>
      </w:r>
      <w:r>
        <w:rPr>
          <w:rFonts w:ascii="Arial" w:eastAsia="Arial" w:hAnsi="Arial" w:cs="Arial"/>
        </w:rPr>
        <w:lastRenderedPageBreak/>
        <w:t xml:space="preserve">person”. A juristic person </w:t>
      </w:r>
      <w:r w:rsidR="00D13DA1">
        <w:rPr>
          <w:rFonts w:ascii="Arial" w:eastAsia="Arial" w:hAnsi="Arial" w:cs="Arial"/>
        </w:rPr>
        <w:t>is by the way an entity or association that possesses attributes such as perpetual succession, the capacity to acquire certain rights apart from its members and to sue or be sued in its name or through its institutional head. This legal personality status is conferrable either by legislation or the common law. Legislation that creates an entity like a university or state-owned enterprise ordinarily bestows legal personality upon that entity. And it is a statutory precondition for the incorporation or registration of some entities that they be juristic persons with the legal capacity to sue or be sued. Other entities could derive their legal personality from their constitutions. (par 64)</w:t>
      </w:r>
    </w:p>
    <w:p w:rsidR="00D57DE6" w:rsidRDefault="00D13DA1" w:rsidP="00461D0C">
      <w:pPr>
        <w:pStyle w:val="Normal1"/>
        <w:numPr>
          <w:ilvl w:val="0"/>
          <w:numId w:val="10"/>
        </w:numPr>
        <w:spacing w:line="480" w:lineRule="auto"/>
        <w:jc w:val="both"/>
        <w:rPr>
          <w:rFonts w:ascii="Arial" w:eastAsia="Arial" w:hAnsi="Arial" w:cs="Arial"/>
        </w:rPr>
      </w:pPr>
      <w:r>
        <w:rPr>
          <w:rFonts w:ascii="Arial" w:eastAsia="Arial" w:hAnsi="Arial" w:cs="Arial"/>
        </w:rPr>
        <w:t>Political parties are neither created by legislation nor required by any legislation to be juristic persons. But, they can in terms of their constitutions clothe themselves with juristic personality, including the capacity to sue or be sued. In all probability, most political parties are juristic persons. PAIA therefore applies to them. However since there is no law that requires political parties to be juristic persons, a real possibility does exist that some have deliberately or inadvertently not provided for their legal personality in their constitutions.</w:t>
      </w:r>
      <w:r w:rsidR="00D57DE6">
        <w:rPr>
          <w:rFonts w:ascii="Arial" w:eastAsia="Arial" w:hAnsi="Arial" w:cs="Arial"/>
        </w:rPr>
        <w:t xml:space="preserve"> That this probably applies to a small number is neither here nor there. It is an absolute necessity that all, not some, political parties be required to record, preserve and disclose information on their private funding. After all, any of them has the possibility to be elected into power aided</w:t>
      </w:r>
      <w:r>
        <w:rPr>
          <w:rFonts w:ascii="Arial" w:eastAsia="Arial" w:hAnsi="Arial" w:cs="Arial"/>
        </w:rPr>
        <w:t xml:space="preserve"> </w:t>
      </w:r>
      <w:r w:rsidR="00D57DE6">
        <w:rPr>
          <w:rFonts w:ascii="Arial" w:eastAsia="Arial" w:hAnsi="Arial" w:cs="Arial"/>
        </w:rPr>
        <w:t>by private funders. For this reason, to the extent that PAIA does not cover those political parties that are not juristic persons, it is constitutionally deficient. (par. 65).</w:t>
      </w:r>
    </w:p>
    <w:p w:rsidR="00D57DE6" w:rsidRDefault="00D57DE6" w:rsidP="00D57DE6">
      <w:pPr>
        <w:pStyle w:val="Normal1"/>
        <w:spacing w:line="480" w:lineRule="auto"/>
        <w:ind w:left="1364"/>
        <w:jc w:val="both"/>
        <w:rPr>
          <w:rFonts w:ascii="Arial" w:eastAsia="Arial" w:hAnsi="Arial" w:cs="Arial"/>
        </w:rPr>
      </w:pPr>
    </w:p>
    <w:p w:rsidR="001450F7" w:rsidRDefault="00D57DE6" w:rsidP="00EA5094">
      <w:pPr>
        <w:pStyle w:val="Normal1"/>
        <w:numPr>
          <w:ilvl w:val="0"/>
          <w:numId w:val="7"/>
        </w:numPr>
        <w:spacing w:line="480" w:lineRule="auto"/>
        <w:jc w:val="both"/>
        <w:rPr>
          <w:rFonts w:ascii="Arial" w:eastAsia="Arial" w:hAnsi="Arial" w:cs="Arial"/>
        </w:rPr>
      </w:pPr>
      <w:r>
        <w:rPr>
          <w:rFonts w:ascii="Arial" w:eastAsia="Arial" w:hAnsi="Arial" w:cs="Arial"/>
        </w:rPr>
        <w:lastRenderedPageBreak/>
        <w:t xml:space="preserve"> The Regulator is of the view that the Bill complies with the decision of the Constitutional Court to the extent that it addresses the narrow issue that was before the Court, namely the inclusion of the </w:t>
      </w:r>
      <w:proofErr w:type="spellStart"/>
      <w:r>
        <w:rPr>
          <w:rFonts w:ascii="Arial" w:eastAsia="Arial" w:hAnsi="Arial" w:cs="Arial"/>
        </w:rPr>
        <w:t>recordal</w:t>
      </w:r>
      <w:proofErr w:type="spellEnd"/>
      <w:r>
        <w:rPr>
          <w:rFonts w:ascii="Arial" w:eastAsia="Arial" w:hAnsi="Arial" w:cs="Arial"/>
        </w:rPr>
        <w:t>, preservation and reasonable disclosure of information on private funding of political parties and independent candidates in PAIA.</w:t>
      </w:r>
    </w:p>
    <w:p w:rsidR="00461D0C" w:rsidRPr="001450F7" w:rsidRDefault="00D57DE6" w:rsidP="00EA5094">
      <w:pPr>
        <w:pStyle w:val="Normal1"/>
        <w:numPr>
          <w:ilvl w:val="0"/>
          <w:numId w:val="7"/>
        </w:numPr>
        <w:spacing w:line="480" w:lineRule="auto"/>
        <w:jc w:val="both"/>
        <w:rPr>
          <w:rFonts w:ascii="Arial" w:eastAsia="Arial" w:hAnsi="Arial" w:cs="Arial"/>
        </w:rPr>
      </w:pPr>
      <w:r w:rsidRPr="001450F7">
        <w:rPr>
          <w:rFonts w:ascii="Arial" w:eastAsia="Arial" w:hAnsi="Arial" w:cs="Arial"/>
        </w:rPr>
        <w:t xml:space="preserve">However, the Regulator is of the view that the </w:t>
      </w:r>
      <w:r w:rsidR="001450F7" w:rsidRPr="001450F7">
        <w:rPr>
          <w:rFonts w:ascii="Arial" w:eastAsia="Arial" w:hAnsi="Arial" w:cs="Arial"/>
        </w:rPr>
        <w:t>purposeful</w:t>
      </w:r>
      <w:r w:rsidRPr="001450F7">
        <w:rPr>
          <w:rFonts w:ascii="Arial" w:eastAsia="Arial" w:hAnsi="Arial" w:cs="Arial"/>
        </w:rPr>
        <w:t xml:space="preserve"> interpretation of the decision of the Constitutional Court </w:t>
      </w:r>
      <w:r w:rsidR="001450F7" w:rsidRPr="001450F7">
        <w:rPr>
          <w:rFonts w:ascii="Arial" w:eastAsia="Arial" w:hAnsi="Arial" w:cs="Arial"/>
        </w:rPr>
        <w:t xml:space="preserve">is that PAIA </w:t>
      </w:r>
      <w:r w:rsidR="00576986">
        <w:rPr>
          <w:rFonts w:ascii="Arial" w:eastAsia="Arial" w:hAnsi="Arial" w:cs="Arial"/>
        </w:rPr>
        <w:t xml:space="preserve">in its entirety </w:t>
      </w:r>
      <w:r w:rsidR="001450F7" w:rsidRPr="001450F7">
        <w:rPr>
          <w:rFonts w:ascii="Arial" w:eastAsia="Arial" w:hAnsi="Arial" w:cs="Arial"/>
        </w:rPr>
        <w:t>should be applicable to political parties and independent candidates.</w:t>
      </w:r>
    </w:p>
    <w:p w:rsidR="009803A5" w:rsidRPr="009803A5" w:rsidRDefault="009803A5" w:rsidP="009803A5">
      <w:pPr>
        <w:pStyle w:val="Normal1"/>
        <w:spacing w:line="480" w:lineRule="auto"/>
        <w:ind w:left="1364"/>
        <w:jc w:val="both"/>
        <w:rPr>
          <w:rFonts w:ascii="Arial" w:eastAsia="Arial" w:hAnsi="Arial" w:cs="Arial"/>
        </w:rPr>
      </w:pPr>
      <w:r>
        <w:rPr>
          <w:rFonts w:ascii="Arial" w:eastAsia="Arial" w:hAnsi="Arial" w:cs="Arial"/>
        </w:rPr>
        <w:t xml:space="preserve">  </w:t>
      </w:r>
    </w:p>
    <w:p w:rsidR="00C75E98" w:rsidRPr="001450F7" w:rsidRDefault="001450F7" w:rsidP="001450F7">
      <w:pPr>
        <w:pStyle w:val="Normal1"/>
        <w:pBdr>
          <w:top w:val="nil"/>
          <w:left w:val="nil"/>
          <w:bottom w:val="nil"/>
          <w:right w:val="nil"/>
          <w:between w:val="nil"/>
        </w:pBdr>
        <w:spacing w:line="480" w:lineRule="auto"/>
        <w:jc w:val="both"/>
        <w:rPr>
          <w:rFonts w:ascii="Arial" w:eastAsia="Arial" w:hAnsi="Arial" w:cs="Arial"/>
          <w:b/>
          <w:color w:val="000000"/>
        </w:rPr>
      </w:pPr>
      <w:r w:rsidRPr="001450F7">
        <w:rPr>
          <w:rFonts w:ascii="Arial" w:eastAsia="Arial" w:hAnsi="Arial" w:cs="Arial"/>
          <w:b/>
          <w:color w:val="000000"/>
        </w:rPr>
        <w:t>RECOMMENDATIONS</w:t>
      </w:r>
    </w:p>
    <w:p w:rsidR="00F56416" w:rsidRDefault="00F56416" w:rsidP="00FC3883">
      <w:pPr>
        <w:pStyle w:val="Normal1"/>
        <w:pBdr>
          <w:top w:val="nil"/>
          <w:left w:val="nil"/>
          <w:bottom w:val="nil"/>
          <w:right w:val="nil"/>
          <w:between w:val="nil"/>
        </w:pBdr>
        <w:spacing w:line="480" w:lineRule="auto"/>
        <w:ind w:left="720" w:hanging="720"/>
        <w:jc w:val="both"/>
        <w:rPr>
          <w:rFonts w:ascii="Arial" w:eastAsia="Arial" w:hAnsi="Arial" w:cs="Arial"/>
          <w:b/>
          <w:color w:val="000000"/>
        </w:rPr>
      </w:pPr>
    </w:p>
    <w:p w:rsidR="001450F7" w:rsidRDefault="00F56416" w:rsidP="001450F7">
      <w:pPr>
        <w:pStyle w:val="Normal1"/>
        <w:numPr>
          <w:ilvl w:val="0"/>
          <w:numId w:val="11"/>
        </w:num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color w:val="000000"/>
        </w:rPr>
        <w:t xml:space="preserve">It is recommended that the definition of “private bodies” under Section 1 of PAIA be extended to include political parties and independent candidates. The extension of the definition of </w:t>
      </w:r>
      <w:r w:rsidR="00EC3D60">
        <w:rPr>
          <w:rFonts w:ascii="Arial" w:eastAsia="Arial" w:hAnsi="Arial" w:cs="Arial"/>
          <w:color w:val="000000"/>
        </w:rPr>
        <w:t>“</w:t>
      </w:r>
      <w:r>
        <w:rPr>
          <w:rFonts w:ascii="Arial" w:eastAsia="Arial" w:hAnsi="Arial" w:cs="Arial"/>
          <w:color w:val="000000"/>
        </w:rPr>
        <w:t>private bodi</w:t>
      </w:r>
      <w:r w:rsidR="001450F7">
        <w:rPr>
          <w:rFonts w:ascii="Arial" w:eastAsia="Arial" w:hAnsi="Arial" w:cs="Arial"/>
          <w:color w:val="000000"/>
        </w:rPr>
        <w:t>es</w:t>
      </w:r>
      <w:r w:rsidR="00EC3D60">
        <w:rPr>
          <w:rFonts w:ascii="Arial" w:eastAsia="Arial" w:hAnsi="Arial" w:cs="Arial"/>
          <w:color w:val="000000"/>
        </w:rPr>
        <w:t>”</w:t>
      </w:r>
      <w:r w:rsidR="001450F7">
        <w:rPr>
          <w:rFonts w:ascii="Arial" w:eastAsia="Arial" w:hAnsi="Arial" w:cs="Arial"/>
          <w:color w:val="000000"/>
        </w:rPr>
        <w:t xml:space="preserve"> to include political parties </w:t>
      </w:r>
      <w:r>
        <w:rPr>
          <w:rFonts w:ascii="Arial" w:eastAsia="Arial" w:hAnsi="Arial" w:cs="Arial"/>
          <w:color w:val="000000"/>
        </w:rPr>
        <w:t>and independent candidates will effectively cure the deficiencies highlighted by the Constitutional Court.</w:t>
      </w:r>
      <w:r w:rsidR="002F21AA">
        <w:rPr>
          <w:rFonts w:ascii="Arial" w:eastAsia="Arial" w:hAnsi="Arial" w:cs="Arial"/>
          <w:color w:val="000000"/>
        </w:rPr>
        <w:t xml:space="preserve"> It will most importantly ensure that PAIA is applicable to political parties and independent candidates.</w:t>
      </w:r>
    </w:p>
    <w:p w:rsidR="00C75E98" w:rsidRDefault="003F2D21" w:rsidP="002F26F0">
      <w:pPr>
        <w:pStyle w:val="Normal1"/>
        <w:numPr>
          <w:ilvl w:val="0"/>
          <w:numId w:val="11"/>
        </w:numPr>
        <w:pBdr>
          <w:top w:val="nil"/>
          <w:left w:val="nil"/>
          <w:bottom w:val="nil"/>
          <w:right w:val="nil"/>
          <w:between w:val="nil"/>
        </w:pBdr>
        <w:spacing w:line="480" w:lineRule="auto"/>
        <w:jc w:val="both"/>
      </w:pPr>
      <w:r w:rsidRPr="00EC3D60">
        <w:rPr>
          <w:rFonts w:ascii="Arial" w:eastAsia="Arial" w:hAnsi="Arial" w:cs="Arial"/>
          <w:color w:val="000000"/>
        </w:rPr>
        <w:t>T</w:t>
      </w:r>
      <w:r w:rsidR="00BE44B6" w:rsidRPr="00EC3D60">
        <w:rPr>
          <w:rFonts w:ascii="Arial" w:eastAsia="Arial" w:hAnsi="Arial" w:cs="Arial"/>
          <w:color w:val="000000"/>
        </w:rPr>
        <w:t>he definition of “head” in section 1 of PAIA must also be extended to include the head</w:t>
      </w:r>
      <w:r w:rsidRPr="00EC3D60">
        <w:rPr>
          <w:rFonts w:ascii="Arial" w:eastAsia="Arial" w:hAnsi="Arial" w:cs="Arial"/>
          <w:color w:val="000000"/>
        </w:rPr>
        <w:t xml:space="preserve"> </w:t>
      </w:r>
      <w:r w:rsidR="00BE44B6" w:rsidRPr="00EC3D60">
        <w:rPr>
          <w:rFonts w:ascii="Arial" w:eastAsia="Arial" w:hAnsi="Arial" w:cs="Arial"/>
          <w:color w:val="000000"/>
        </w:rPr>
        <w:t>o</w:t>
      </w:r>
      <w:r w:rsidR="00EC3D60" w:rsidRPr="00EC3D60">
        <w:rPr>
          <w:rFonts w:ascii="Arial" w:eastAsia="Arial" w:hAnsi="Arial" w:cs="Arial"/>
          <w:color w:val="000000"/>
        </w:rPr>
        <w:t xml:space="preserve">f a political party and </w:t>
      </w:r>
      <w:r w:rsidR="00BE44B6" w:rsidRPr="00EC3D60">
        <w:rPr>
          <w:rFonts w:ascii="Arial" w:eastAsia="Arial" w:hAnsi="Arial" w:cs="Arial"/>
          <w:color w:val="000000"/>
        </w:rPr>
        <w:t>independent candidates.</w:t>
      </w:r>
      <w:bookmarkStart w:id="1" w:name="_gjdgxs" w:colFirst="0" w:colLast="0"/>
      <w:bookmarkEnd w:id="1"/>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p w:rsidR="00C75E98" w:rsidRDefault="00C75E98" w:rsidP="002F26F0">
      <w:pPr>
        <w:pStyle w:val="Normal1"/>
        <w:tabs>
          <w:tab w:val="left" w:pos="6144"/>
        </w:tabs>
        <w:jc w:val="both"/>
      </w:pPr>
    </w:p>
    <w:sectPr w:rsidR="00C75E98" w:rsidSect="00C75E98">
      <w:headerReference w:type="even" r:id="rId11"/>
      <w:headerReference w:type="default" r:id="rId12"/>
      <w:footerReference w:type="even" r:id="rId13"/>
      <w:footerReference w:type="default" r:id="rId14"/>
      <w:headerReference w:type="first" r:id="rId15"/>
      <w:footerReference w:type="first" r:id="rId16"/>
      <w:pgSz w:w="11900" w:h="16840"/>
      <w:pgMar w:top="1440" w:right="987" w:bottom="1440" w:left="1134"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C9" w:rsidRDefault="005938C9" w:rsidP="00C75E98">
      <w:r>
        <w:separator/>
      </w:r>
    </w:p>
  </w:endnote>
  <w:endnote w:type="continuationSeparator" w:id="0">
    <w:p w:rsidR="005938C9" w:rsidRDefault="005938C9" w:rsidP="00C7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pBdr>
        <w:top w:val="nil"/>
        <w:left w:val="nil"/>
        <w:bottom w:val="nil"/>
        <w:right w:val="nil"/>
        <w:between w:val="nil"/>
      </w:pBdr>
      <w:tabs>
        <w:tab w:val="center" w:pos="4320"/>
        <w:tab w:val="right" w:pos="8640"/>
      </w:tabs>
      <w:rPr>
        <w:color w:val="000000"/>
      </w:rPr>
    </w:pPr>
    <w:r>
      <w:rPr>
        <w:color w:val="000000"/>
      </w:rPr>
      <w:t xml:space="preserve">[Type text][Type </w:t>
    </w:r>
    <w:proofErr w:type="spellStart"/>
    <w:r>
      <w:rPr>
        <w:color w:val="000000"/>
      </w:rPr>
      <w:t>text][Type</w:t>
    </w:r>
    <w:proofErr w:type="spellEnd"/>
    <w:r>
      <w:rPr>
        <w:color w:val="000000"/>
      </w:rPr>
      <w:t xml:space="preserv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spacing w:after="240"/>
      <w:rPr>
        <w:rFonts w:ascii="Times" w:eastAsia="Times" w:hAnsi="Times" w:cs="Times"/>
      </w:rPr>
    </w:pPr>
    <w:r>
      <w:rPr>
        <w:rFonts w:ascii="Arial" w:eastAsia="Arial" w:hAnsi="Arial" w:cs="Arial"/>
        <w:color w:val="959595"/>
        <w:sz w:val="20"/>
        <w:szCs w:val="20"/>
      </w:rPr>
      <w:t xml:space="preserve">Adv. FDP </w:t>
    </w:r>
    <w:proofErr w:type="spellStart"/>
    <w:r>
      <w:rPr>
        <w:rFonts w:ascii="Arial" w:eastAsia="Arial" w:hAnsi="Arial" w:cs="Arial"/>
        <w:color w:val="959595"/>
        <w:sz w:val="20"/>
        <w:szCs w:val="20"/>
      </w:rPr>
      <w:t>Tlakula</w:t>
    </w:r>
    <w:proofErr w:type="spellEnd"/>
    <w:r>
      <w:rPr>
        <w:rFonts w:ascii="Arial" w:eastAsia="Arial" w:hAnsi="Arial" w:cs="Arial"/>
        <w:color w:val="959595"/>
        <w:sz w:val="20"/>
        <w:szCs w:val="20"/>
      </w:rPr>
      <w:t xml:space="preserve"> (Chairperson), Adv. LC </w:t>
    </w:r>
    <w:proofErr w:type="spellStart"/>
    <w:r>
      <w:rPr>
        <w:rFonts w:ascii="Arial" w:eastAsia="Arial" w:hAnsi="Arial" w:cs="Arial"/>
        <w:color w:val="959595"/>
        <w:sz w:val="20"/>
        <w:szCs w:val="20"/>
      </w:rPr>
      <w:t>Stroom</w:t>
    </w:r>
    <w:proofErr w:type="spellEnd"/>
    <w:r>
      <w:rPr>
        <w:rFonts w:ascii="Arial" w:eastAsia="Arial" w:hAnsi="Arial" w:cs="Arial"/>
        <w:color w:val="959595"/>
        <w:sz w:val="20"/>
        <w:szCs w:val="20"/>
      </w:rPr>
      <w:t xml:space="preserve"> </w:t>
    </w:r>
    <w:proofErr w:type="spellStart"/>
    <w:r>
      <w:rPr>
        <w:rFonts w:ascii="Arial" w:eastAsia="Arial" w:hAnsi="Arial" w:cs="Arial"/>
        <w:color w:val="959595"/>
        <w:sz w:val="20"/>
        <w:szCs w:val="20"/>
      </w:rPr>
      <w:t>Nzama</w:t>
    </w:r>
    <w:proofErr w:type="spellEnd"/>
    <w:r>
      <w:rPr>
        <w:rFonts w:ascii="Arial" w:eastAsia="Arial" w:hAnsi="Arial" w:cs="Arial"/>
        <w:color w:val="959595"/>
        <w:sz w:val="20"/>
        <w:szCs w:val="20"/>
      </w:rPr>
      <w:t xml:space="preserve"> (Full-time Member), Adv. JC </w:t>
    </w:r>
    <w:proofErr w:type="spellStart"/>
    <w:r>
      <w:rPr>
        <w:rFonts w:ascii="Arial" w:eastAsia="Arial" w:hAnsi="Arial" w:cs="Arial"/>
        <w:color w:val="959595"/>
        <w:sz w:val="20"/>
        <w:szCs w:val="20"/>
      </w:rPr>
      <w:t>Weapond</w:t>
    </w:r>
    <w:proofErr w:type="spellEnd"/>
    <w:r>
      <w:rPr>
        <w:rFonts w:ascii="Arial" w:eastAsia="Arial" w:hAnsi="Arial" w:cs="Arial"/>
        <w:color w:val="959595"/>
        <w:sz w:val="20"/>
        <w:szCs w:val="20"/>
      </w:rPr>
      <w:t xml:space="preserve"> (Full-time Member), Prof T </w:t>
    </w:r>
    <w:proofErr w:type="spellStart"/>
    <w:r>
      <w:rPr>
        <w:rFonts w:ascii="Arial" w:eastAsia="Arial" w:hAnsi="Arial" w:cs="Arial"/>
        <w:color w:val="959595"/>
        <w:sz w:val="20"/>
        <w:szCs w:val="20"/>
      </w:rPr>
      <w:t>Pistorius</w:t>
    </w:r>
    <w:proofErr w:type="spellEnd"/>
    <w:r>
      <w:rPr>
        <w:rFonts w:ascii="Arial" w:eastAsia="Arial" w:hAnsi="Arial" w:cs="Arial"/>
        <w:color w:val="959595"/>
        <w:sz w:val="20"/>
        <w:szCs w:val="20"/>
      </w:rPr>
      <w:t xml:space="preserve"> (Part-time Member), Mr SL Snail ka </w:t>
    </w:r>
    <w:proofErr w:type="spellStart"/>
    <w:r>
      <w:rPr>
        <w:rFonts w:ascii="Arial" w:eastAsia="Arial" w:hAnsi="Arial" w:cs="Arial"/>
        <w:color w:val="959595"/>
        <w:sz w:val="20"/>
        <w:szCs w:val="20"/>
      </w:rPr>
      <w:t>Mtuze</w:t>
    </w:r>
    <w:proofErr w:type="spellEnd"/>
    <w:r>
      <w:rPr>
        <w:rFonts w:ascii="Arial" w:eastAsia="Arial" w:hAnsi="Arial" w:cs="Arial"/>
        <w:color w:val="959595"/>
        <w:sz w:val="20"/>
        <w:szCs w:val="20"/>
      </w:rPr>
      <w:t xml:space="preserve"> (Part-time Member).</w:t>
    </w:r>
    <w:r>
      <w:rPr>
        <w:noProof/>
        <w:lang w:val="en-ZA"/>
      </w:rPr>
      <w:drawing>
        <wp:anchor distT="0" distB="0" distL="114300" distR="114300" simplePos="0" relativeHeight="251658240" behindDoc="0" locked="0" layoutInCell="1" allowOverlap="1">
          <wp:simplePos x="0" y="0"/>
          <wp:positionH relativeFrom="column">
            <wp:posOffset>-720088</wp:posOffset>
          </wp:positionH>
          <wp:positionV relativeFrom="paragraph">
            <wp:posOffset>-179069</wp:posOffset>
          </wp:positionV>
          <wp:extent cx="7557770" cy="730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7770" cy="73025"/>
                  </a:xfrm>
                  <a:prstGeom prst="rect">
                    <a:avLst/>
                  </a:prstGeom>
                  <a:ln/>
                </pic:spPr>
              </pic:pic>
            </a:graphicData>
          </a:graphic>
        </wp:anchor>
      </w:drawing>
    </w:r>
  </w:p>
  <w:p w:rsidR="00C75E98" w:rsidRDefault="007F6140">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18250B">
      <w:rPr>
        <w:color w:val="000000"/>
      </w:rPr>
      <w:instrText>PAGE</w:instrText>
    </w:r>
    <w:r>
      <w:rPr>
        <w:color w:val="000000"/>
      </w:rPr>
      <w:fldChar w:fldCharType="separate"/>
    </w:r>
    <w:r w:rsidR="00F426B6">
      <w:rPr>
        <w:noProof/>
        <w:color w:val="000000"/>
      </w:rPr>
      <w:t>2</w:t>
    </w:r>
    <w:r>
      <w:rPr>
        <w:color w:val="000000"/>
      </w:rPr>
      <w:fldChar w:fldCharType="end"/>
    </w:r>
  </w:p>
  <w:p w:rsidR="00C75E98" w:rsidRDefault="00C75E98">
    <w:pPr>
      <w:pStyle w:val="Normal1"/>
      <w:pBdr>
        <w:top w:val="nil"/>
        <w:left w:val="nil"/>
        <w:bottom w:val="nil"/>
        <w:right w:val="nil"/>
        <w:between w:val="nil"/>
      </w:pBdr>
      <w:tabs>
        <w:tab w:val="center" w:pos="4320"/>
        <w:tab w:val="right" w:pos="864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spacing w:after="240"/>
      <w:rPr>
        <w:rFonts w:ascii="Times" w:eastAsia="Times" w:hAnsi="Times" w:cs="Times"/>
      </w:rPr>
    </w:pPr>
    <w:r>
      <w:rPr>
        <w:rFonts w:ascii="Arial" w:eastAsia="Arial" w:hAnsi="Arial" w:cs="Arial"/>
        <w:color w:val="959595"/>
        <w:sz w:val="20"/>
        <w:szCs w:val="20"/>
      </w:rPr>
      <w:t xml:space="preserve">Adv. FDP </w:t>
    </w:r>
    <w:proofErr w:type="spellStart"/>
    <w:r>
      <w:rPr>
        <w:rFonts w:ascii="Arial" w:eastAsia="Arial" w:hAnsi="Arial" w:cs="Arial"/>
        <w:color w:val="959595"/>
        <w:sz w:val="20"/>
        <w:szCs w:val="20"/>
      </w:rPr>
      <w:t>Tlakula</w:t>
    </w:r>
    <w:proofErr w:type="spellEnd"/>
    <w:r>
      <w:rPr>
        <w:rFonts w:ascii="Arial" w:eastAsia="Arial" w:hAnsi="Arial" w:cs="Arial"/>
        <w:color w:val="959595"/>
        <w:sz w:val="20"/>
        <w:szCs w:val="20"/>
      </w:rPr>
      <w:t xml:space="preserve"> (Chairperson), Adv. LC </w:t>
    </w:r>
    <w:proofErr w:type="spellStart"/>
    <w:r>
      <w:rPr>
        <w:rFonts w:ascii="Arial" w:eastAsia="Arial" w:hAnsi="Arial" w:cs="Arial"/>
        <w:color w:val="959595"/>
        <w:sz w:val="20"/>
        <w:szCs w:val="20"/>
      </w:rPr>
      <w:t>Stroom</w:t>
    </w:r>
    <w:proofErr w:type="spellEnd"/>
    <w:r>
      <w:rPr>
        <w:rFonts w:ascii="Arial" w:eastAsia="Arial" w:hAnsi="Arial" w:cs="Arial"/>
        <w:color w:val="959595"/>
        <w:sz w:val="20"/>
        <w:szCs w:val="20"/>
      </w:rPr>
      <w:t xml:space="preserve"> </w:t>
    </w:r>
    <w:proofErr w:type="spellStart"/>
    <w:r>
      <w:rPr>
        <w:rFonts w:ascii="Arial" w:eastAsia="Arial" w:hAnsi="Arial" w:cs="Arial"/>
        <w:color w:val="959595"/>
        <w:sz w:val="20"/>
        <w:szCs w:val="20"/>
      </w:rPr>
      <w:t>Nzama</w:t>
    </w:r>
    <w:proofErr w:type="spellEnd"/>
    <w:r>
      <w:rPr>
        <w:rFonts w:ascii="Arial" w:eastAsia="Arial" w:hAnsi="Arial" w:cs="Arial"/>
        <w:color w:val="959595"/>
        <w:sz w:val="20"/>
        <w:szCs w:val="20"/>
      </w:rPr>
      <w:t xml:space="preserve"> (Full-time Member), Adv. JC </w:t>
    </w:r>
    <w:proofErr w:type="spellStart"/>
    <w:r>
      <w:rPr>
        <w:rFonts w:ascii="Arial" w:eastAsia="Arial" w:hAnsi="Arial" w:cs="Arial"/>
        <w:color w:val="959595"/>
        <w:sz w:val="20"/>
        <w:szCs w:val="20"/>
      </w:rPr>
      <w:t>Weapond</w:t>
    </w:r>
    <w:proofErr w:type="spellEnd"/>
    <w:r>
      <w:rPr>
        <w:rFonts w:ascii="Arial" w:eastAsia="Arial" w:hAnsi="Arial" w:cs="Arial"/>
        <w:color w:val="959595"/>
        <w:sz w:val="20"/>
        <w:szCs w:val="20"/>
      </w:rPr>
      <w:t xml:space="preserve"> (Full-time Member), Prof T </w:t>
    </w:r>
    <w:proofErr w:type="spellStart"/>
    <w:r>
      <w:rPr>
        <w:rFonts w:ascii="Arial" w:eastAsia="Arial" w:hAnsi="Arial" w:cs="Arial"/>
        <w:color w:val="959595"/>
        <w:sz w:val="20"/>
        <w:szCs w:val="20"/>
      </w:rPr>
      <w:t>Pistorius</w:t>
    </w:r>
    <w:proofErr w:type="spellEnd"/>
    <w:r>
      <w:rPr>
        <w:rFonts w:ascii="Arial" w:eastAsia="Arial" w:hAnsi="Arial" w:cs="Arial"/>
        <w:color w:val="959595"/>
        <w:sz w:val="20"/>
        <w:szCs w:val="20"/>
      </w:rPr>
      <w:t xml:space="preserve"> (Part-time Member), Mr SL Snail ka </w:t>
    </w:r>
    <w:proofErr w:type="spellStart"/>
    <w:r>
      <w:rPr>
        <w:rFonts w:ascii="Arial" w:eastAsia="Arial" w:hAnsi="Arial" w:cs="Arial"/>
        <w:color w:val="959595"/>
        <w:sz w:val="20"/>
        <w:szCs w:val="20"/>
      </w:rPr>
      <w:t>Mtuze</w:t>
    </w:r>
    <w:proofErr w:type="spellEnd"/>
    <w:r>
      <w:rPr>
        <w:rFonts w:ascii="Arial" w:eastAsia="Arial" w:hAnsi="Arial" w:cs="Arial"/>
        <w:color w:val="959595"/>
        <w:sz w:val="20"/>
        <w:szCs w:val="20"/>
      </w:rPr>
      <w:t xml:space="preserve"> (Part-time Member).</w:t>
    </w:r>
  </w:p>
  <w:p w:rsidR="00C75E98" w:rsidRDefault="00C75E98">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C9" w:rsidRDefault="005938C9" w:rsidP="00C75E98">
      <w:r>
        <w:separator/>
      </w:r>
    </w:p>
  </w:footnote>
  <w:footnote w:type="continuationSeparator" w:id="0">
    <w:p w:rsidR="005938C9" w:rsidRDefault="005938C9" w:rsidP="00C75E98">
      <w:r>
        <w:continuationSeparator/>
      </w:r>
    </w:p>
  </w:footnote>
  <w:footnote w:id="1">
    <w:p w:rsidR="00461D0C" w:rsidRPr="00461D0C" w:rsidRDefault="00461D0C">
      <w:pPr>
        <w:pStyle w:val="FootnoteText"/>
        <w:rPr>
          <w:i/>
          <w:lang w:val="en-ZA"/>
        </w:rPr>
      </w:pPr>
      <w:r w:rsidRPr="00461D0C">
        <w:rPr>
          <w:rStyle w:val="FootnoteReference"/>
          <w:i/>
        </w:rPr>
        <w:footnoteRef/>
      </w:r>
      <w:r>
        <w:rPr>
          <w:i/>
          <w:lang w:val="en-ZA"/>
        </w:rPr>
        <w:t xml:space="preserve">President of the Republic of South Africa v M&amp; G Media </w:t>
      </w:r>
      <w:proofErr w:type="gramStart"/>
      <w:r>
        <w:rPr>
          <w:i/>
          <w:lang w:val="en-ZA"/>
        </w:rPr>
        <w:t>Limited[</w:t>
      </w:r>
      <w:proofErr w:type="gramEnd"/>
      <w:r>
        <w:rPr>
          <w:i/>
          <w:lang w:val="en-ZA"/>
        </w:rPr>
        <w:t xml:space="preserve">2011] ZACC 32; 2012 (2) SA 50(CC); 2012 (2) BCLR 181(CC) at </w:t>
      </w:r>
      <w:proofErr w:type="spellStart"/>
      <w:r>
        <w:rPr>
          <w:i/>
          <w:lang w:val="en-ZA"/>
        </w:rPr>
        <w:t>para</w:t>
      </w:r>
      <w:proofErr w:type="spellEnd"/>
      <w:r>
        <w:rPr>
          <w:i/>
          <w:lang w:val="en-ZA"/>
        </w:rPr>
        <w:t xml:space="preserv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pBdr>
        <w:top w:val="nil"/>
        <w:left w:val="nil"/>
        <w:bottom w:val="nil"/>
        <w:right w:val="nil"/>
        <w:between w:val="nil"/>
      </w:pBdr>
      <w:tabs>
        <w:tab w:val="center" w:pos="4320"/>
        <w:tab w:val="right" w:pos="8640"/>
      </w:tabs>
      <w:rPr>
        <w:color w:val="000000"/>
      </w:rPr>
    </w:pPr>
    <w:r>
      <w:rPr>
        <w:color w:val="000000"/>
      </w:rPr>
      <w:t xml:space="preserve">[Type text][Type </w:t>
    </w:r>
    <w:proofErr w:type="spellStart"/>
    <w:r>
      <w:rPr>
        <w:color w:val="000000"/>
      </w:rPr>
      <w:t>text][Type</w:t>
    </w:r>
    <w:proofErr w:type="spellEnd"/>
    <w:r>
      <w:rPr>
        <w:color w:val="000000"/>
      </w:rPr>
      <w:t xml:space="preserve"> text]</w:t>
    </w:r>
  </w:p>
  <w:p w:rsidR="00C75E98" w:rsidRDefault="00C75E98">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spacing w:line="276" w:lineRule="auto"/>
    </w:pPr>
    <w:r>
      <w:t xml:space="preserve">  </w:t>
    </w:r>
  </w:p>
  <w:p w:rsidR="00C75E98" w:rsidRDefault="00C75E98">
    <w:pPr>
      <w:pStyle w:val="Normal1"/>
      <w:spacing w:line="276" w:lineRule="auto"/>
    </w:pPr>
  </w:p>
  <w:p w:rsidR="00C75E98" w:rsidRDefault="00C75E98">
    <w:pPr>
      <w:pStyle w:val="Normal1"/>
      <w:pBdr>
        <w:top w:val="nil"/>
        <w:left w:val="nil"/>
        <w:bottom w:val="nil"/>
        <w:right w:val="nil"/>
        <w:between w:val="nil"/>
      </w:pBdr>
      <w:tabs>
        <w:tab w:val="center" w:pos="4320"/>
        <w:tab w:val="right" w:pos="8640"/>
      </w:tabs>
      <w:ind w:left="-284" w:firstLine="284"/>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98" w:rsidRDefault="0018250B">
    <w:pPr>
      <w:pStyle w:val="Normal1"/>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75E98" w:rsidRDefault="0018250B">
    <w:pPr>
      <w:pStyle w:val="Normal1"/>
      <w:spacing w:line="276" w:lineRule="auto"/>
      <w:ind w:left="5760"/>
      <w:rPr>
        <w:rFonts w:ascii="Arial" w:eastAsia="Arial" w:hAnsi="Arial" w:cs="Arial"/>
        <w:sz w:val="20"/>
        <w:szCs w:val="20"/>
      </w:rPr>
    </w:pPr>
    <w:r>
      <w:rPr>
        <w:rFonts w:ascii="Arial" w:eastAsia="Arial" w:hAnsi="Arial" w:cs="Arial"/>
        <w:sz w:val="20"/>
        <w:szCs w:val="20"/>
      </w:rPr>
      <w:t xml:space="preserve">Address: 30 </w:t>
    </w:r>
    <w:proofErr w:type="spellStart"/>
    <w:r>
      <w:rPr>
        <w:rFonts w:ascii="Arial" w:eastAsia="Arial" w:hAnsi="Arial" w:cs="Arial"/>
        <w:sz w:val="20"/>
        <w:szCs w:val="20"/>
      </w:rPr>
      <w:t>Hoofd</w:t>
    </w:r>
    <w:proofErr w:type="spellEnd"/>
    <w:r>
      <w:rPr>
        <w:rFonts w:ascii="Arial" w:eastAsia="Arial" w:hAnsi="Arial" w:cs="Arial"/>
        <w:sz w:val="20"/>
        <w:szCs w:val="20"/>
      </w:rPr>
      <w:t xml:space="preserve"> Street, Forum III   </w:t>
    </w:r>
    <w:proofErr w:type="spellStart"/>
    <w:r w:rsidR="00F56416">
      <w:rPr>
        <w:rFonts w:ascii="Arial" w:eastAsia="Arial" w:hAnsi="Arial" w:cs="Arial"/>
        <w:sz w:val="20"/>
        <w:szCs w:val="20"/>
      </w:rPr>
      <w:t>Braampark</w:t>
    </w:r>
    <w:proofErr w:type="spellEnd"/>
    <w:r w:rsidR="00F56416">
      <w:rPr>
        <w:rFonts w:ascii="Arial" w:eastAsia="Arial" w:hAnsi="Arial" w:cs="Arial"/>
        <w:sz w:val="20"/>
        <w:szCs w:val="20"/>
      </w:rPr>
      <w:t>,</w:t>
    </w:r>
    <w:r>
      <w:rPr>
        <w:rFonts w:ascii="Arial" w:eastAsia="Arial" w:hAnsi="Arial" w:cs="Arial"/>
        <w:sz w:val="20"/>
        <w:szCs w:val="20"/>
      </w:rPr>
      <w:t xml:space="preserve"> Johannesburg</w:t>
    </w:r>
  </w:p>
  <w:p w:rsidR="00C75E98" w:rsidRDefault="0018250B">
    <w:pPr>
      <w:pStyle w:val="Normal1"/>
      <w:spacing w:line="276" w:lineRule="auto"/>
      <w:ind w:left="5040" w:firstLine="720"/>
      <w:rPr>
        <w:rFonts w:ascii="Arial" w:eastAsia="Arial" w:hAnsi="Arial" w:cs="Arial"/>
        <w:sz w:val="20"/>
        <w:szCs w:val="20"/>
      </w:rPr>
    </w:pPr>
    <w:r>
      <w:rPr>
        <w:rFonts w:ascii="Arial" w:eastAsia="Arial" w:hAnsi="Arial" w:cs="Arial"/>
        <w:sz w:val="20"/>
        <w:szCs w:val="20"/>
      </w:rPr>
      <w:t>E-mail: inforeg@justice.gov.za</w:t>
    </w:r>
  </w:p>
  <w:p w:rsidR="00C75E98" w:rsidRDefault="00C75E98">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C4C"/>
    <w:multiLevelType w:val="hybridMultilevel"/>
    <w:tmpl w:val="A246E650"/>
    <w:lvl w:ilvl="0" w:tplc="2776214C">
      <w:start w:val="1"/>
      <w:numFmt w:val="decimal"/>
      <w:lvlText w:val="%1."/>
      <w:lvlJc w:val="left"/>
      <w:pPr>
        <w:ind w:left="644"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505C82"/>
    <w:multiLevelType w:val="hybridMultilevel"/>
    <w:tmpl w:val="9EAA6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6635D7"/>
    <w:multiLevelType w:val="hybridMultilevel"/>
    <w:tmpl w:val="54965986"/>
    <w:lvl w:ilvl="0" w:tplc="13D08866">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
    <w:nsid w:val="37697C9A"/>
    <w:multiLevelType w:val="multilevel"/>
    <w:tmpl w:val="656A0278"/>
    <w:lvl w:ilvl="0">
      <w:start w:val="1"/>
      <w:numFmt w:val="decimal"/>
      <w:lvlText w:val="%1."/>
      <w:lvlJc w:val="left"/>
      <w:pPr>
        <w:ind w:left="1080" w:hanging="360"/>
      </w:pPr>
      <w:rPr>
        <w:rFonts w:hint="default"/>
        <w:b w:val="0"/>
        <w:i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4">
    <w:nsid w:val="432640F2"/>
    <w:multiLevelType w:val="hybridMultilevel"/>
    <w:tmpl w:val="A8AE9C0E"/>
    <w:lvl w:ilvl="0" w:tplc="1C09001B">
      <w:start w:val="1"/>
      <w:numFmt w:val="low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nsid w:val="4CA3604A"/>
    <w:multiLevelType w:val="hybridMultilevel"/>
    <w:tmpl w:val="78446DA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10748EB"/>
    <w:multiLevelType w:val="multilevel"/>
    <w:tmpl w:val="B3368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360"/>
      </w:pPr>
    </w:lvl>
  </w:abstractNum>
  <w:abstractNum w:abstractNumId="7">
    <w:nsid w:val="551B2AC1"/>
    <w:multiLevelType w:val="hybridMultilevel"/>
    <w:tmpl w:val="E0EAF608"/>
    <w:lvl w:ilvl="0" w:tplc="1C090001">
      <w:start w:val="1"/>
      <w:numFmt w:val="bullet"/>
      <w:lvlText w:val=""/>
      <w:lvlJc w:val="left"/>
      <w:pPr>
        <w:ind w:left="1702" w:hanging="360"/>
      </w:pPr>
      <w:rPr>
        <w:rFonts w:ascii="Symbol" w:hAnsi="Symbol" w:hint="default"/>
      </w:rPr>
    </w:lvl>
    <w:lvl w:ilvl="1" w:tplc="1C090003" w:tentative="1">
      <w:start w:val="1"/>
      <w:numFmt w:val="bullet"/>
      <w:lvlText w:val="o"/>
      <w:lvlJc w:val="left"/>
      <w:pPr>
        <w:ind w:left="2422" w:hanging="360"/>
      </w:pPr>
      <w:rPr>
        <w:rFonts w:ascii="Courier New" w:hAnsi="Courier New" w:cs="Courier New" w:hint="default"/>
      </w:rPr>
    </w:lvl>
    <w:lvl w:ilvl="2" w:tplc="1C090005" w:tentative="1">
      <w:start w:val="1"/>
      <w:numFmt w:val="bullet"/>
      <w:lvlText w:val=""/>
      <w:lvlJc w:val="left"/>
      <w:pPr>
        <w:ind w:left="3142" w:hanging="360"/>
      </w:pPr>
      <w:rPr>
        <w:rFonts w:ascii="Wingdings" w:hAnsi="Wingdings" w:hint="default"/>
      </w:rPr>
    </w:lvl>
    <w:lvl w:ilvl="3" w:tplc="1C090001" w:tentative="1">
      <w:start w:val="1"/>
      <w:numFmt w:val="bullet"/>
      <w:lvlText w:val=""/>
      <w:lvlJc w:val="left"/>
      <w:pPr>
        <w:ind w:left="3862" w:hanging="360"/>
      </w:pPr>
      <w:rPr>
        <w:rFonts w:ascii="Symbol" w:hAnsi="Symbol" w:hint="default"/>
      </w:rPr>
    </w:lvl>
    <w:lvl w:ilvl="4" w:tplc="1C090003" w:tentative="1">
      <w:start w:val="1"/>
      <w:numFmt w:val="bullet"/>
      <w:lvlText w:val="o"/>
      <w:lvlJc w:val="left"/>
      <w:pPr>
        <w:ind w:left="4582" w:hanging="360"/>
      </w:pPr>
      <w:rPr>
        <w:rFonts w:ascii="Courier New" w:hAnsi="Courier New" w:cs="Courier New" w:hint="default"/>
      </w:rPr>
    </w:lvl>
    <w:lvl w:ilvl="5" w:tplc="1C090005" w:tentative="1">
      <w:start w:val="1"/>
      <w:numFmt w:val="bullet"/>
      <w:lvlText w:val=""/>
      <w:lvlJc w:val="left"/>
      <w:pPr>
        <w:ind w:left="5302" w:hanging="360"/>
      </w:pPr>
      <w:rPr>
        <w:rFonts w:ascii="Wingdings" w:hAnsi="Wingdings" w:hint="default"/>
      </w:rPr>
    </w:lvl>
    <w:lvl w:ilvl="6" w:tplc="1C090001" w:tentative="1">
      <w:start w:val="1"/>
      <w:numFmt w:val="bullet"/>
      <w:lvlText w:val=""/>
      <w:lvlJc w:val="left"/>
      <w:pPr>
        <w:ind w:left="6022" w:hanging="360"/>
      </w:pPr>
      <w:rPr>
        <w:rFonts w:ascii="Symbol" w:hAnsi="Symbol" w:hint="default"/>
      </w:rPr>
    </w:lvl>
    <w:lvl w:ilvl="7" w:tplc="1C090003" w:tentative="1">
      <w:start w:val="1"/>
      <w:numFmt w:val="bullet"/>
      <w:lvlText w:val="o"/>
      <w:lvlJc w:val="left"/>
      <w:pPr>
        <w:ind w:left="6742" w:hanging="360"/>
      </w:pPr>
      <w:rPr>
        <w:rFonts w:ascii="Courier New" w:hAnsi="Courier New" w:cs="Courier New" w:hint="default"/>
      </w:rPr>
    </w:lvl>
    <w:lvl w:ilvl="8" w:tplc="1C090005" w:tentative="1">
      <w:start w:val="1"/>
      <w:numFmt w:val="bullet"/>
      <w:lvlText w:val=""/>
      <w:lvlJc w:val="left"/>
      <w:pPr>
        <w:ind w:left="7462" w:hanging="360"/>
      </w:pPr>
      <w:rPr>
        <w:rFonts w:ascii="Wingdings" w:hAnsi="Wingdings" w:hint="default"/>
      </w:rPr>
    </w:lvl>
  </w:abstractNum>
  <w:abstractNum w:abstractNumId="8">
    <w:nsid w:val="56DD1C13"/>
    <w:multiLevelType w:val="hybridMultilevel"/>
    <w:tmpl w:val="8FAC55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71F1990"/>
    <w:multiLevelType w:val="hybridMultilevel"/>
    <w:tmpl w:val="3D5A09C2"/>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0">
    <w:nsid w:val="6AC84EFF"/>
    <w:multiLevelType w:val="hybridMultilevel"/>
    <w:tmpl w:val="B142A7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2BA1BFE"/>
    <w:multiLevelType w:val="hybridMultilevel"/>
    <w:tmpl w:val="F962A7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052E51"/>
    <w:multiLevelType w:val="hybridMultilevel"/>
    <w:tmpl w:val="2CC0082C"/>
    <w:lvl w:ilvl="0" w:tplc="491E792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
    <w:nsid w:val="7FDF5F8A"/>
    <w:multiLevelType w:val="hybridMultilevel"/>
    <w:tmpl w:val="E15E8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1"/>
  </w:num>
  <w:num w:numId="6">
    <w:abstractNumId w:val="10"/>
  </w:num>
  <w:num w:numId="7">
    <w:abstractNumId w:val="0"/>
  </w:num>
  <w:num w:numId="8">
    <w:abstractNumId w:val="4"/>
  </w:num>
  <w:num w:numId="9">
    <w:abstractNumId w:val="5"/>
  </w:num>
  <w:num w:numId="10">
    <w:abstractNumId w:val="9"/>
  </w:num>
  <w:num w:numId="11">
    <w:abstractNumId w:val="8"/>
  </w:num>
  <w:num w:numId="12">
    <w:abstractNumId w:val="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5E98"/>
    <w:rsid w:val="000909A2"/>
    <w:rsid w:val="000C2EDF"/>
    <w:rsid w:val="001450F7"/>
    <w:rsid w:val="0018250B"/>
    <w:rsid w:val="001B759E"/>
    <w:rsid w:val="00242CC6"/>
    <w:rsid w:val="002669BC"/>
    <w:rsid w:val="00295389"/>
    <w:rsid w:val="002F21AA"/>
    <w:rsid w:val="002F26F0"/>
    <w:rsid w:val="002F504A"/>
    <w:rsid w:val="003B752F"/>
    <w:rsid w:val="003F2D21"/>
    <w:rsid w:val="004160BB"/>
    <w:rsid w:val="00461D0C"/>
    <w:rsid w:val="00576986"/>
    <w:rsid w:val="00586491"/>
    <w:rsid w:val="005938C9"/>
    <w:rsid w:val="006165BB"/>
    <w:rsid w:val="00713860"/>
    <w:rsid w:val="00793CE0"/>
    <w:rsid w:val="007E7E6F"/>
    <w:rsid w:val="007F6140"/>
    <w:rsid w:val="00870752"/>
    <w:rsid w:val="008D4152"/>
    <w:rsid w:val="00931732"/>
    <w:rsid w:val="00932141"/>
    <w:rsid w:val="0097528F"/>
    <w:rsid w:val="009803A5"/>
    <w:rsid w:val="00A17BC8"/>
    <w:rsid w:val="00B22D30"/>
    <w:rsid w:val="00B27257"/>
    <w:rsid w:val="00BE44B6"/>
    <w:rsid w:val="00C75E98"/>
    <w:rsid w:val="00CC3D4D"/>
    <w:rsid w:val="00D00C2A"/>
    <w:rsid w:val="00D13DA1"/>
    <w:rsid w:val="00D55127"/>
    <w:rsid w:val="00D57DE6"/>
    <w:rsid w:val="00D7343B"/>
    <w:rsid w:val="00D74EBA"/>
    <w:rsid w:val="00E0512C"/>
    <w:rsid w:val="00E6468B"/>
    <w:rsid w:val="00E65A3F"/>
    <w:rsid w:val="00E70872"/>
    <w:rsid w:val="00E86363"/>
    <w:rsid w:val="00EA5094"/>
    <w:rsid w:val="00EC3D60"/>
    <w:rsid w:val="00ED5181"/>
    <w:rsid w:val="00F426B6"/>
    <w:rsid w:val="00F444A6"/>
    <w:rsid w:val="00F56416"/>
    <w:rsid w:val="00F73167"/>
    <w:rsid w:val="00FA14AE"/>
    <w:rsid w:val="00FC38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2C"/>
  </w:style>
  <w:style w:type="paragraph" w:styleId="Heading1">
    <w:name w:val="heading 1"/>
    <w:basedOn w:val="Normal1"/>
    <w:next w:val="Normal1"/>
    <w:rsid w:val="00C75E98"/>
    <w:pPr>
      <w:keepNext/>
      <w:keepLines/>
      <w:spacing w:before="480"/>
      <w:outlineLvl w:val="0"/>
    </w:pPr>
    <w:rPr>
      <w:rFonts w:ascii="Calibri" w:eastAsia="Calibri" w:hAnsi="Calibri" w:cs="Calibri"/>
      <w:b/>
      <w:color w:val="366091"/>
      <w:sz w:val="28"/>
      <w:szCs w:val="28"/>
    </w:rPr>
  </w:style>
  <w:style w:type="paragraph" w:styleId="Heading2">
    <w:name w:val="heading 2"/>
    <w:basedOn w:val="Normal1"/>
    <w:next w:val="Normal1"/>
    <w:rsid w:val="00C75E98"/>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C75E98"/>
    <w:pPr>
      <w:keepNext/>
      <w:keepLines/>
      <w:spacing w:before="200"/>
      <w:outlineLvl w:val="2"/>
    </w:pPr>
    <w:rPr>
      <w:rFonts w:ascii="Calibri" w:eastAsia="Calibri" w:hAnsi="Calibri" w:cs="Calibri"/>
      <w:b/>
      <w:color w:val="4F81BD"/>
    </w:rPr>
  </w:style>
  <w:style w:type="paragraph" w:styleId="Heading4">
    <w:name w:val="heading 4"/>
    <w:basedOn w:val="Normal1"/>
    <w:next w:val="Normal1"/>
    <w:rsid w:val="00C75E98"/>
    <w:pPr>
      <w:keepNext/>
      <w:keepLines/>
      <w:spacing w:before="200"/>
      <w:outlineLvl w:val="3"/>
    </w:pPr>
    <w:rPr>
      <w:rFonts w:ascii="Calibri" w:eastAsia="Calibri" w:hAnsi="Calibri" w:cs="Calibri"/>
      <w:b/>
      <w:i/>
      <w:color w:val="4F81BD"/>
    </w:rPr>
  </w:style>
  <w:style w:type="paragraph" w:styleId="Heading5">
    <w:name w:val="heading 5"/>
    <w:basedOn w:val="Normal1"/>
    <w:next w:val="Normal1"/>
    <w:rsid w:val="00C75E98"/>
    <w:pPr>
      <w:keepNext/>
      <w:keepLines/>
      <w:spacing w:before="200"/>
      <w:outlineLvl w:val="4"/>
    </w:pPr>
    <w:rPr>
      <w:rFonts w:ascii="Calibri" w:eastAsia="Calibri" w:hAnsi="Calibri" w:cs="Calibri"/>
      <w:color w:val="243F61"/>
    </w:rPr>
  </w:style>
  <w:style w:type="paragraph" w:styleId="Heading6">
    <w:name w:val="heading 6"/>
    <w:basedOn w:val="Normal1"/>
    <w:next w:val="Normal1"/>
    <w:rsid w:val="00C75E98"/>
    <w:pPr>
      <w:keepNext/>
      <w:keepLines/>
      <w:spacing w:before="20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5E98"/>
  </w:style>
  <w:style w:type="paragraph" w:styleId="Title">
    <w:name w:val="Title"/>
    <w:basedOn w:val="Normal1"/>
    <w:next w:val="Normal1"/>
    <w:rsid w:val="00C75E98"/>
    <w:pPr>
      <w:pBdr>
        <w:bottom w:val="single" w:sz="8" w:space="4" w:color="4F81BD"/>
      </w:pBdr>
      <w:spacing w:after="300"/>
    </w:pPr>
    <w:rPr>
      <w:rFonts w:ascii="Calibri" w:eastAsia="Calibri" w:hAnsi="Calibri" w:cs="Calibri"/>
      <w:color w:val="17375D"/>
      <w:sz w:val="52"/>
      <w:szCs w:val="52"/>
    </w:rPr>
  </w:style>
  <w:style w:type="paragraph" w:styleId="Subtitle">
    <w:name w:val="Subtitle"/>
    <w:basedOn w:val="Normal1"/>
    <w:next w:val="Normal1"/>
    <w:rsid w:val="00C75E98"/>
    <w:rPr>
      <w:rFonts w:ascii="Calibri" w:eastAsia="Calibri" w:hAnsi="Calibri" w:cs="Calibri"/>
      <w:i/>
      <w:color w:val="4F81BD"/>
    </w:rPr>
  </w:style>
  <w:style w:type="character" w:styleId="CommentReference">
    <w:name w:val="annotation reference"/>
    <w:basedOn w:val="DefaultParagraphFont"/>
    <w:uiPriority w:val="99"/>
    <w:semiHidden/>
    <w:unhideWhenUsed/>
    <w:rsid w:val="002F26F0"/>
    <w:rPr>
      <w:sz w:val="16"/>
      <w:szCs w:val="16"/>
    </w:rPr>
  </w:style>
  <w:style w:type="paragraph" w:styleId="CommentText">
    <w:name w:val="annotation text"/>
    <w:basedOn w:val="Normal"/>
    <w:link w:val="CommentTextChar"/>
    <w:uiPriority w:val="99"/>
    <w:semiHidden/>
    <w:unhideWhenUsed/>
    <w:rsid w:val="002F26F0"/>
    <w:rPr>
      <w:sz w:val="20"/>
      <w:szCs w:val="20"/>
    </w:rPr>
  </w:style>
  <w:style w:type="character" w:customStyle="1" w:styleId="CommentTextChar">
    <w:name w:val="Comment Text Char"/>
    <w:basedOn w:val="DefaultParagraphFont"/>
    <w:link w:val="CommentText"/>
    <w:uiPriority w:val="99"/>
    <w:semiHidden/>
    <w:rsid w:val="002F26F0"/>
    <w:rPr>
      <w:sz w:val="20"/>
      <w:szCs w:val="20"/>
    </w:rPr>
  </w:style>
  <w:style w:type="paragraph" w:styleId="CommentSubject">
    <w:name w:val="annotation subject"/>
    <w:basedOn w:val="CommentText"/>
    <w:next w:val="CommentText"/>
    <w:link w:val="CommentSubjectChar"/>
    <w:uiPriority w:val="99"/>
    <w:semiHidden/>
    <w:unhideWhenUsed/>
    <w:rsid w:val="002F26F0"/>
    <w:rPr>
      <w:b/>
      <w:bCs/>
    </w:rPr>
  </w:style>
  <w:style w:type="character" w:customStyle="1" w:styleId="CommentSubjectChar">
    <w:name w:val="Comment Subject Char"/>
    <w:basedOn w:val="CommentTextChar"/>
    <w:link w:val="CommentSubject"/>
    <w:uiPriority w:val="99"/>
    <w:semiHidden/>
    <w:rsid w:val="002F26F0"/>
    <w:rPr>
      <w:b/>
      <w:bCs/>
      <w:sz w:val="20"/>
      <w:szCs w:val="20"/>
    </w:rPr>
  </w:style>
  <w:style w:type="paragraph" w:styleId="BalloonText">
    <w:name w:val="Balloon Text"/>
    <w:basedOn w:val="Normal"/>
    <w:link w:val="BalloonTextChar"/>
    <w:uiPriority w:val="99"/>
    <w:semiHidden/>
    <w:unhideWhenUsed/>
    <w:rsid w:val="002F26F0"/>
    <w:rPr>
      <w:rFonts w:ascii="Tahoma" w:hAnsi="Tahoma" w:cs="Tahoma"/>
      <w:sz w:val="16"/>
      <w:szCs w:val="16"/>
    </w:rPr>
  </w:style>
  <w:style w:type="character" w:customStyle="1" w:styleId="BalloonTextChar">
    <w:name w:val="Balloon Text Char"/>
    <w:basedOn w:val="DefaultParagraphFont"/>
    <w:link w:val="BalloonText"/>
    <w:uiPriority w:val="99"/>
    <w:semiHidden/>
    <w:rsid w:val="002F26F0"/>
    <w:rPr>
      <w:rFonts w:ascii="Tahoma" w:hAnsi="Tahoma" w:cs="Tahoma"/>
      <w:sz w:val="16"/>
      <w:szCs w:val="16"/>
    </w:rPr>
  </w:style>
  <w:style w:type="paragraph" w:styleId="ListParagraph">
    <w:name w:val="List Paragraph"/>
    <w:basedOn w:val="Normal"/>
    <w:uiPriority w:val="34"/>
    <w:qFormat/>
    <w:rsid w:val="00FC3883"/>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semiHidden/>
    <w:unhideWhenUsed/>
    <w:rsid w:val="00FC3883"/>
    <w:rPr>
      <w:sz w:val="20"/>
      <w:szCs w:val="20"/>
    </w:rPr>
  </w:style>
  <w:style w:type="character" w:customStyle="1" w:styleId="FootnoteTextChar">
    <w:name w:val="Footnote Text Char"/>
    <w:basedOn w:val="DefaultParagraphFont"/>
    <w:link w:val="FootnoteText"/>
    <w:uiPriority w:val="99"/>
    <w:semiHidden/>
    <w:rsid w:val="00FC3883"/>
    <w:rPr>
      <w:sz w:val="20"/>
      <w:szCs w:val="20"/>
    </w:rPr>
  </w:style>
  <w:style w:type="character" w:styleId="FootnoteReference">
    <w:name w:val="footnote reference"/>
    <w:basedOn w:val="DefaultParagraphFont"/>
    <w:uiPriority w:val="99"/>
    <w:semiHidden/>
    <w:unhideWhenUsed/>
    <w:rsid w:val="00FC3883"/>
    <w:rPr>
      <w:vertAlign w:val="superscript"/>
    </w:rPr>
  </w:style>
  <w:style w:type="character" w:styleId="Hyperlink">
    <w:name w:val="Hyperlink"/>
    <w:basedOn w:val="DefaultParagraphFont"/>
    <w:uiPriority w:val="99"/>
    <w:unhideWhenUsed/>
    <w:rsid w:val="008D415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silkstone@parliament.gov.za" TargetMode="External"/><Relationship Id="rId4" Type="http://schemas.openxmlformats.org/officeDocument/2006/relationships/settings" Target="settings.xml"/><Relationship Id="rId9" Type="http://schemas.openxmlformats.org/officeDocument/2006/relationships/hyperlink" Target="mailto:smthonjeni@parliament.gov.z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5D15-9DE0-49A1-96F3-113A053A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Raj</dc:creator>
  <cp:lastModifiedBy>PUMZA</cp:lastModifiedBy>
  <cp:revision>2</cp:revision>
  <cp:lastPrinted>2019-08-30T12:55:00Z</cp:lastPrinted>
  <dcterms:created xsi:type="dcterms:W3CDTF">2019-09-19T09:28:00Z</dcterms:created>
  <dcterms:modified xsi:type="dcterms:W3CDTF">2019-09-19T09:28:00Z</dcterms:modified>
</cp:coreProperties>
</file>