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B" w:rsidRPr="008E112B" w:rsidRDefault="008E112B" w:rsidP="008E112B">
      <w:pPr>
        <w:tabs>
          <w:tab w:val="left" w:pos="1490"/>
        </w:tabs>
        <w:spacing w:after="0" w:line="240" w:lineRule="auto"/>
        <w:rPr>
          <w:rFonts w:ascii="Arial" w:eastAsiaTheme="minorHAnsi" w:hAnsi="Arial" w:cs="Arial"/>
          <w:color w:val="003300"/>
          <w:sz w:val="16"/>
          <w:szCs w:val="16"/>
          <w:lang w:val="en-ZA"/>
        </w:rPr>
      </w:pPr>
      <w:r w:rsidRPr="008E112B">
        <w:rPr>
          <w:rFonts w:ascii="Arial" w:eastAsiaTheme="minorHAnsi" w:hAnsi="Arial" w:cs="Arial"/>
          <w:color w:val="003300"/>
          <w:sz w:val="16"/>
          <w:szCs w:val="16"/>
          <w:lang w:val="en-ZA"/>
        </w:rPr>
        <w:t xml:space="preserve">Our Ref: </w:t>
      </w:r>
      <w:r w:rsidR="00E975D9">
        <w:rPr>
          <w:rFonts w:ascii="Arial" w:eastAsiaTheme="minorHAnsi" w:hAnsi="Arial" w:cs="Arial"/>
          <w:color w:val="003300"/>
          <w:sz w:val="16"/>
          <w:szCs w:val="16"/>
          <w:lang w:val="en-ZA"/>
        </w:rPr>
        <w:t>Isiqakatha</w:t>
      </w:r>
      <w:r w:rsidRPr="008E112B">
        <w:rPr>
          <w:rFonts w:ascii="Arial" w:eastAsiaTheme="minorHAnsi" w:hAnsi="Arial" w:cs="Arial"/>
          <w:color w:val="003300"/>
          <w:sz w:val="16"/>
          <w:szCs w:val="16"/>
          <w:lang w:val="en-ZA"/>
        </w:rPr>
        <w:t xml:space="preserve"> Community Claim</w:t>
      </w:r>
    </w:p>
    <w:p w:rsidR="008E112B" w:rsidRPr="008E112B" w:rsidRDefault="008E112B" w:rsidP="008E112B">
      <w:pPr>
        <w:tabs>
          <w:tab w:val="left" w:pos="1490"/>
        </w:tabs>
        <w:spacing w:after="0" w:line="240" w:lineRule="auto"/>
        <w:rPr>
          <w:rFonts w:ascii="Arial" w:hAnsi="Arial" w:cs="Arial"/>
          <w:b/>
          <w:sz w:val="16"/>
          <w:szCs w:val="16"/>
          <w:lang w:val="en-ZA"/>
        </w:rPr>
      </w:pPr>
      <w:r w:rsidRPr="008E112B">
        <w:rPr>
          <w:rFonts w:ascii="Arial" w:hAnsi="Arial" w:cs="Arial"/>
          <w:b/>
          <w:sz w:val="16"/>
          <w:szCs w:val="16"/>
          <w:lang w:val="en-ZA"/>
        </w:rPr>
        <w:t xml:space="preserve">Enquiries: </w:t>
      </w:r>
      <w:r w:rsidR="00E975D9">
        <w:rPr>
          <w:rFonts w:ascii="Arial" w:hAnsi="Arial" w:cs="Arial"/>
          <w:b/>
          <w:sz w:val="16"/>
          <w:szCs w:val="16"/>
          <w:lang w:val="en-ZA"/>
        </w:rPr>
        <w:t>Walter Silaule</w:t>
      </w:r>
    </w:p>
    <w:p w:rsidR="008E112B" w:rsidRPr="00A67105" w:rsidRDefault="008E112B" w:rsidP="008E112B">
      <w:pPr>
        <w:tabs>
          <w:tab w:val="left" w:pos="1490"/>
        </w:tabs>
        <w:ind w:left="-1260"/>
        <w:rPr>
          <w:rFonts w:ascii="Arial" w:hAnsi="Arial" w:cs="Arial"/>
          <w:lang w:val="en-ZA"/>
        </w:rPr>
      </w:pPr>
    </w:p>
    <w:p w:rsidR="00E975D9" w:rsidRPr="001565DC" w:rsidRDefault="00E975D9" w:rsidP="001565DC">
      <w:pPr>
        <w:spacing w:after="0" w:line="240" w:lineRule="auto"/>
        <w:jc w:val="both"/>
        <w:rPr>
          <w:rFonts w:ascii="Arial" w:hAnsi="Arial" w:cs="Arial"/>
          <w:b/>
          <w:sz w:val="24"/>
          <w:szCs w:val="24"/>
        </w:rPr>
      </w:pPr>
      <w:r w:rsidRPr="00E975D9">
        <w:rPr>
          <w:rFonts w:ascii="Arial" w:hAnsi="Arial" w:cs="Arial"/>
          <w:b/>
          <w:sz w:val="24"/>
          <w:szCs w:val="24"/>
        </w:rPr>
        <w:t>CHAIRPERSON</w:t>
      </w:r>
      <w:r>
        <w:rPr>
          <w:rFonts w:ascii="Arial" w:hAnsi="Arial" w:cs="Arial"/>
          <w:b/>
          <w:sz w:val="24"/>
          <w:szCs w:val="24"/>
        </w:rPr>
        <w:t>:</w:t>
      </w:r>
      <w:r w:rsidRPr="00E975D9">
        <w:rPr>
          <w:rFonts w:ascii="Arial" w:hAnsi="Arial" w:cs="Arial"/>
          <w:b/>
          <w:sz w:val="24"/>
          <w:szCs w:val="24"/>
        </w:rPr>
        <w:t xml:space="preserve"> </w:t>
      </w:r>
      <w:r w:rsidRPr="001565DC">
        <w:rPr>
          <w:rFonts w:ascii="Arial" w:hAnsi="Arial" w:cs="Arial"/>
          <w:b/>
          <w:sz w:val="24"/>
          <w:szCs w:val="24"/>
        </w:rPr>
        <w:t>PORTFOLIO COMMITTEE ON AGRICULTURE, LAND REFORM AND RURAL DEVELOPMENT</w:t>
      </w:r>
    </w:p>
    <w:p w:rsidR="00E975D9" w:rsidRPr="001565DC" w:rsidRDefault="00E975D9" w:rsidP="001565DC">
      <w:pPr>
        <w:spacing w:after="0" w:line="240" w:lineRule="auto"/>
        <w:jc w:val="both"/>
        <w:rPr>
          <w:rFonts w:ascii="Arial" w:hAnsi="Arial" w:cs="Arial"/>
          <w:b/>
          <w:sz w:val="24"/>
          <w:szCs w:val="24"/>
        </w:rPr>
      </w:pPr>
    </w:p>
    <w:p w:rsidR="00E975D9" w:rsidRPr="001565DC" w:rsidRDefault="00E975D9" w:rsidP="001565DC">
      <w:pPr>
        <w:spacing w:after="0" w:line="240" w:lineRule="auto"/>
        <w:jc w:val="both"/>
        <w:rPr>
          <w:rFonts w:ascii="Arial" w:hAnsi="Arial" w:cs="Arial"/>
          <w:b/>
          <w:sz w:val="24"/>
          <w:szCs w:val="24"/>
        </w:rPr>
      </w:pPr>
      <w:r w:rsidRPr="001565DC">
        <w:rPr>
          <w:rFonts w:ascii="Arial" w:hAnsi="Arial" w:cs="Arial"/>
          <w:b/>
          <w:sz w:val="24"/>
          <w:szCs w:val="24"/>
        </w:rPr>
        <w:t xml:space="preserve">SUBJECT: STATUS REPORT OF ISIQAKATHA COMMUNITY LAND CLAIM, </w:t>
      </w:r>
      <w:r w:rsidRPr="001565DC">
        <w:rPr>
          <w:rFonts w:ascii="Arial" w:hAnsi="Arial" w:cs="Arial"/>
          <w:b/>
          <w:color w:val="000000"/>
          <w:sz w:val="24"/>
          <w:szCs w:val="24"/>
        </w:rPr>
        <w:t xml:space="preserve">SITUATED IN </w:t>
      </w:r>
      <w:r w:rsidRPr="001565DC">
        <w:rPr>
          <w:rFonts w:ascii="Arial" w:hAnsi="Arial" w:cs="Arial"/>
          <w:b/>
          <w:sz w:val="24"/>
          <w:szCs w:val="24"/>
        </w:rPr>
        <w:t>JOZINI</w:t>
      </w:r>
      <w:r w:rsidRPr="001565DC">
        <w:rPr>
          <w:rFonts w:ascii="Arial" w:hAnsi="Arial" w:cs="Arial"/>
          <w:b/>
          <w:color w:val="000000"/>
          <w:sz w:val="24"/>
          <w:szCs w:val="24"/>
        </w:rPr>
        <w:t xml:space="preserve"> LOCAL MUNICIPALITIY WITHIN UMKHANYAKUDE DISTRICT </w:t>
      </w:r>
      <w:r w:rsidRPr="001565DC">
        <w:rPr>
          <w:rFonts w:ascii="Arial" w:hAnsi="Arial" w:cs="Arial"/>
          <w:b/>
          <w:sz w:val="24"/>
          <w:szCs w:val="24"/>
        </w:rPr>
        <w:t xml:space="preserve">MUNICIPALITY IN KWAZULU-NATAL WITH REFERENCE NUMBER </w:t>
      </w:r>
      <w:r w:rsidRPr="001565DC">
        <w:rPr>
          <w:rFonts w:ascii="Arial" w:hAnsi="Arial" w:cs="Arial"/>
          <w:b/>
          <w:snapToGrid w:val="0"/>
          <w:sz w:val="24"/>
          <w:szCs w:val="24"/>
        </w:rPr>
        <w:t>KRN6/2/2/E/43/0/0/26</w:t>
      </w:r>
    </w:p>
    <w:p w:rsidR="00E975D9" w:rsidRDefault="00E975D9" w:rsidP="001565DC">
      <w:pPr>
        <w:spacing w:after="0" w:line="240" w:lineRule="auto"/>
        <w:jc w:val="both"/>
        <w:rPr>
          <w:rFonts w:ascii="Arial" w:hAnsi="Arial" w:cs="Arial"/>
          <w:b/>
          <w:sz w:val="24"/>
          <w:szCs w:val="24"/>
        </w:rPr>
      </w:pPr>
    </w:p>
    <w:p w:rsidR="001565DC" w:rsidRPr="001565DC" w:rsidRDefault="001565DC" w:rsidP="001565DC">
      <w:pPr>
        <w:spacing w:after="0" w:line="240" w:lineRule="auto"/>
        <w:jc w:val="both"/>
        <w:rPr>
          <w:rFonts w:ascii="Arial" w:hAnsi="Arial" w:cs="Arial"/>
          <w:b/>
          <w:sz w:val="24"/>
          <w:szCs w:val="24"/>
        </w:rPr>
      </w:pPr>
    </w:p>
    <w:p w:rsidR="00E975D9" w:rsidRPr="001565DC" w:rsidRDefault="00E975D9" w:rsidP="001565DC">
      <w:pPr>
        <w:spacing w:after="0" w:line="240" w:lineRule="auto"/>
        <w:jc w:val="both"/>
        <w:rPr>
          <w:rFonts w:ascii="Arial" w:hAnsi="Arial" w:cs="Arial"/>
          <w:b/>
          <w:sz w:val="24"/>
          <w:szCs w:val="24"/>
        </w:rPr>
      </w:pPr>
      <w:r w:rsidRPr="001565DC">
        <w:rPr>
          <w:rFonts w:ascii="Arial" w:hAnsi="Arial" w:cs="Arial"/>
          <w:b/>
          <w:sz w:val="24"/>
          <w:szCs w:val="24"/>
        </w:rPr>
        <w:t>1.</w:t>
      </w:r>
      <w:r w:rsidRPr="001565DC">
        <w:rPr>
          <w:rFonts w:ascii="Arial" w:hAnsi="Arial" w:cs="Arial"/>
          <w:b/>
          <w:sz w:val="24"/>
          <w:szCs w:val="24"/>
        </w:rPr>
        <w:tab/>
        <w:t>PURPOSE</w:t>
      </w: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1.1</w:t>
      </w:r>
      <w:r w:rsidRPr="001565DC">
        <w:rPr>
          <w:rFonts w:ascii="Arial" w:hAnsi="Arial" w:cs="Arial"/>
          <w:sz w:val="24"/>
          <w:szCs w:val="24"/>
        </w:rPr>
        <w:tab/>
        <w:t>To inform the Chairperson of the Portfolio Committee on Agriculture Land Reform and Rural Development of the status for Isiqakatha community claim.</w:t>
      </w:r>
    </w:p>
    <w:p w:rsidR="00E975D9" w:rsidRPr="001565DC" w:rsidRDefault="00E975D9" w:rsidP="001565DC">
      <w:pPr>
        <w:spacing w:after="0" w:line="240" w:lineRule="auto"/>
        <w:jc w:val="both"/>
        <w:rPr>
          <w:rFonts w:ascii="Arial" w:hAnsi="Arial" w:cs="Arial"/>
          <w:b/>
          <w:sz w:val="24"/>
          <w:szCs w:val="24"/>
        </w:rPr>
      </w:pPr>
    </w:p>
    <w:p w:rsidR="00E975D9" w:rsidRPr="001565DC" w:rsidRDefault="00E975D9" w:rsidP="001565DC">
      <w:pPr>
        <w:spacing w:after="0" w:line="240" w:lineRule="auto"/>
        <w:jc w:val="both"/>
        <w:rPr>
          <w:rFonts w:ascii="Arial" w:hAnsi="Arial" w:cs="Arial"/>
          <w:b/>
          <w:sz w:val="24"/>
          <w:szCs w:val="24"/>
        </w:rPr>
      </w:pPr>
      <w:r w:rsidRPr="001565DC">
        <w:rPr>
          <w:rFonts w:ascii="Arial" w:hAnsi="Arial" w:cs="Arial"/>
          <w:b/>
          <w:sz w:val="24"/>
          <w:szCs w:val="24"/>
        </w:rPr>
        <w:t>2.</w:t>
      </w:r>
      <w:r w:rsidRPr="001565DC">
        <w:rPr>
          <w:rFonts w:ascii="Arial" w:hAnsi="Arial" w:cs="Arial"/>
          <w:b/>
          <w:sz w:val="24"/>
          <w:szCs w:val="24"/>
        </w:rPr>
        <w:tab/>
        <w:t>BACKGROUND</w:t>
      </w: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bookmarkStart w:id="0" w:name="_Ref174353947"/>
      <w:r w:rsidRPr="001565DC">
        <w:rPr>
          <w:rFonts w:ascii="Arial" w:eastAsia="Times New Roman" w:hAnsi="Arial" w:cs="Arial"/>
          <w:sz w:val="24"/>
          <w:szCs w:val="24"/>
          <w:lang w:val="en-ZA"/>
        </w:rPr>
        <w:t>2.</w:t>
      </w:r>
      <w:r w:rsidRPr="001565DC">
        <w:rPr>
          <w:rFonts w:ascii="Arial" w:eastAsia="Times New Roman" w:hAnsi="Arial" w:cs="Arial"/>
          <w:bCs/>
          <w:iCs/>
          <w:sz w:val="24"/>
          <w:szCs w:val="24"/>
          <w:lang w:val="en-ZA"/>
        </w:rPr>
        <w:t>1</w:t>
      </w:r>
      <w:r w:rsidRPr="001565DC">
        <w:rPr>
          <w:rFonts w:ascii="Arial" w:eastAsia="Times New Roman" w:hAnsi="Arial" w:cs="Arial"/>
          <w:bCs/>
          <w:iCs/>
          <w:sz w:val="24"/>
          <w:szCs w:val="24"/>
          <w:lang w:val="en-ZA"/>
        </w:rPr>
        <w:tab/>
      </w:r>
      <w:bookmarkEnd w:id="0"/>
      <w:r w:rsidRPr="001565DC">
        <w:rPr>
          <w:rFonts w:ascii="Arial" w:eastAsia="Times New Roman" w:hAnsi="Arial" w:cs="Arial"/>
          <w:bCs/>
          <w:iCs/>
          <w:sz w:val="24"/>
          <w:szCs w:val="24"/>
          <w:lang w:val="en-ZA"/>
        </w:rPr>
        <w:t>The claim was lodged by Inkosi Titus Gumede on behalf of Isiqakatha community on the 15</w:t>
      </w:r>
      <w:r w:rsidRPr="001565DC">
        <w:rPr>
          <w:rFonts w:ascii="Arial" w:eastAsia="Times New Roman" w:hAnsi="Arial" w:cs="Arial"/>
          <w:bCs/>
          <w:iCs/>
          <w:sz w:val="24"/>
          <w:szCs w:val="24"/>
          <w:vertAlign w:val="superscript"/>
          <w:lang w:val="en-ZA"/>
        </w:rPr>
        <w:t>th</w:t>
      </w:r>
      <w:r w:rsidRPr="001565DC">
        <w:rPr>
          <w:rFonts w:ascii="Arial" w:eastAsia="Times New Roman" w:hAnsi="Arial" w:cs="Arial"/>
          <w:bCs/>
          <w:iCs/>
          <w:sz w:val="24"/>
          <w:szCs w:val="24"/>
          <w:lang w:val="en-ZA"/>
        </w:rPr>
        <w:t xml:space="preserve"> December 1998. The claim was subsequently researched and gazetted under Gazette N</w:t>
      </w:r>
      <w:r w:rsidRPr="001565DC">
        <w:rPr>
          <w:rFonts w:ascii="Arial" w:eastAsia="Times New Roman" w:hAnsi="Arial" w:cs="Arial"/>
          <w:b/>
          <w:bCs/>
          <w:iCs/>
          <w:sz w:val="24"/>
          <w:szCs w:val="24"/>
          <w:lang w:val="en-ZA"/>
        </w:rPr>
        <w:t>otice No. 1275 of 2002</w:t>
      </w:r>
      <w:r w:rsidRPr="001565DC">
        <w:rPr>
          <w:rFonts w:ascii="Arial" w:eastAsia="Times New Roman" w:hAnsi="Arial" w:cs="Arial"/>
          <w:bCs/>
          <w:iCs/>
          <w:sz w:val="24"/>
          <w:szCs w:val="24"/>
          <w:lang w:val="en-ZA"/>
        </w:rPr>
        <w:t>.</w:t>
      </w: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 xml:space="preserve">2.2. </w:t>
      </w:r>
      <w:r w:rsidRPr="001565DC">
        <w:rPr>
          <w:rFonts w:ascii="Arial" w:eastAsia="Times New Roman" w:hAnsi="Arial" w:cs="Arial"/>
          <w:bCs/>
          <w:iCs/>
          <w:sz w:val="24"/>
          <w:szCs w:val="24"/>
          <w:lang w:val="en-ZA"/>
        </w:rPr>
        <w:tab/>
        <w:t>Nineteen (19) properties were gazetted and they are as follows:</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 Portion 43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2.2.2 Portion 42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2.2.3 Portion 44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2.2.4 Portion 45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2.2.5 Portion 46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2.2.6 Portion 5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2.2.7 Portion 6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2.2.8 Portion 7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2.2.9 Portion 8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2.2.10 Portion 9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2.2.11 A portion of Portion 41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2.2.12 Remainder of Portion 3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2.2.13 Portion 48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2.2.14 Portion 28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2.2.15 Portion 4 (of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2.2.16 A portion of the Remainder of Makhathini Flats No. 16533 (Portion 47);</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2.2.17 A portion of the Remainder of Portion 1 of Makhathini Flats No. 16533;</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2.2.18 A portion of the Remainder of Portion 1 of Makhathini Flats No. 16533; and</w:t>
      </w:r>
    </w:p>
    <w:p w:rsidR="00E975D9" w:rsidRPr="001565DC" w:rsidRDefault="00E975D9" w:rsidP="001565DC">
      <w:pPr>
        <w:widowControl w:val="0"/>
        <w:spacing w:after="0" w:line="240" w:lineRule="auto"/>
        <w:ind w:left="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lastRenderedPageBreak/>
        <w:t>2.2.19 A portion of Portion 23 (of 1) of Makhathini Flats No. 16533.</w:t>
      </w: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r w:rsidRPr="001565DC">
        <w:rPr>
          <w:rFonts w:ascii="Arial" w:eastAsia="Times New Roman" w:hAnsi="Arial" w:cs="Arial"/>
          <w:bCs/>
          <w:iCs/>
          <w:sz w:val="24"/>
          <w:szCs w:val="24"/>
          <w:lang w:val="en-ZA"/>
        </w:rPr>
        <w:t>2.3.</w:t>
      </w:r>
      <w:r w:rsidRPr="001565DC">
        <w:rPr>
          <w:rFonts w:ascii="Arial" w:eastAsia="Times New Roman" w:hAnsi="Arial" w:cs="Arial"/>
          <w:bCs/>
          <w:iCs/>
          <w:sz w:val="24"/>
          <w:szCs w:val="24"/>
          <w:lang w:val="en-ZA"/>
        </w:rPr>
        <w:tab/>
        <w:t>The Minister approved the settlement of this claim through the restoration of the above mentioned properties. In the approved S42D submission 597ha were found to be non-restorable and financial compensation to the value of R11 940 000 was approved in lieu of non-restorable land. Unfortunately, it is not clear in the submission or valuation which these properties are. A site inspection was conducted on the properties and a report prepared Mr. Gcinokwakhe Shabane Project manager: Property Management technical support assisted us in determining the restorability of the properties.</w:t>
      </w:r>
    </w:p>
    <w:p w:rsidR="00E975D9" w:rsidRPr="001565DC" w:rsidRDefault="00E975D9" w:rsidP="001565DC">
      <w:pPr>
        <w:widowControl w:val="0"/>
        <w:spacing w:after="0" w:line="240" w:lineRule="auto"/>
        <w:ind w:left="720" w:hanging="720"/>
        <w:jc w:val="both"/>
        <w:outlineLvl w:val="1"/>
        <w:rPr>
          <w:rFonts w:ascii="Arial" w:eastAsia="Times New Roman" w:hAnsi="Arial" w:cs="Arial"/>
          <w:bCs/>
          <w:iCs/>
          <w:sz w:val="24"/>
          <w:szCs w:val="24"/>
          <w:lang w:val="en-ZA"/>
        </w:rPr>
      </w:pPr>
    </w:p>
    <w:p w:rsidR="00E975D9" w:rsidRPr="001565DC" w:rsidRDefault="00E975D9" w:rsidP="001565DC">
      <w:pPr>
        <w:widowControl w:val="0"/>
        <w:spacing w:after="0" w:line="240" w:lineRule="auto"/>
        <w:ind w:left="720" w:hanging="720"/>
        <w:jc w:val="both"/>
        <w:outlineLvl w:val="1"/>
        <w:rPr>
          <w:rFonts w:ascii="Arial" w:eastAsia="Times New Roman" w:hAnsi="Arial" w:cs="Arial"/>
          <w:b/>
          <w:bCs/>
          <w:iCs/>
          <w:sz w:val="24"/>
          <w:szCs w:val="24"/>
          <w:lang w:val="en-ZA"/>
        </w:rPr>
      </w:pPr>
      <w:r w:rsidRPr="001565DC">
        <w:rPr>
          <w:rFonts w:ascii="Arial" w:eastAsia="Times New Roman" w:hAnsi="Arial" w:cs="Arial"/>
          <w:b/>
          <w:bCs/>
          <w:iCs/>
          <w:sz w:val="24"/>
          <w:szCs w:val="24"/>
          <w:lang w:val="en-ZA"/>
        </w:rPr>
        <w:t>3.</w:t>
      </w:r>
      <w:r w:rsidRPr="001565DC">
        <w:rPr>
          <w:rFonts w:ascii="Arial" w:eastAsia="Times New Roman" w:hAnsi="Arial" w:cs="Arial"/>
          <w:b/>
          <w:bCs/>
          <w:iCs/>
          <w:sz w:val="24"/>
          <w:szCs w:val="24"/>
          <w:lang w:val="en-ZA"/>
        </w:rPr>
        <w:tab/>
        <w:t>CURRENT STATUS OF THE CLAIM</w:t>
      </w: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 xml:space="preserve">3.1 </w:t>
      </w:r>
      <w:r w:rsidRPr="001565DC">
        <w:rPr>
          <w:rFonts w:ascii="Arial" w:hAnsi="Arial" w:cs="Arial"/>
          <w:sz w:val="24"/>
          <w:szCs w:val="24"/>
        </w:rPr>
        <w:tab/>
        <w:t>The following properties have, on behalf of the claimant community, been transferred into the name of the Ntenga Trust namely:</w:t>
      </w: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ab/>
        <w:t>3.1.1 Portion 4 (of 1) of the farm Makhathini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3.1.2 Portion 42 (of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3.1.3 Portion 4 (of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3.1.4 Portion 43 (of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3.1.5 Portion 44 (of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3.1.6 Portion 45 (of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3.1.7 Portion 46 (of 1) of Makhathini Flats No. 16533;</w:t>
      </w:r>
    </w:p>
    <w:p w:rsidR="00E975D9" w:rsidRPr="001565DC" w:rsidRDefault="00E975D9" w:rsidP="001565DC">
      <w:pPr>
        <w:spacing w:after="0" w:line="240" w:lineRule="auto"/>
        <w:ind w:left="720"/>
        <w:jc w:val="both"/>
        <w:rPr>
          <w:rFonts w:ascii="Arial" w:hAnsi="Arial" w:cs="Arial"/>
          <w:sz w:val="24"/>
          <w:szCs w:val="24"/>
          <w:highlight w:val="yellow"/>
        </w:rPr>
      </w:pPr>
      <w:r w:rsidRPr="001565DC">
        <w:rPr>
          <w:rFonts w:ascii="Arial" w:hAnsi="Arial" w:cs="Arial"/>
          <w:sz w:val="24"/>
          <w:szCs w:val="24"/>
          <w:highlight w:val="yellow"/>
        </w:rPr>
        <w:t>3.1.8 Portion 5 (of 1) of Makhathini Flats no. 16533;</w:t>
      </w:r>
    </w:p>
    <w:p w:rsidR="00E975D9" w:rsidRPr="001565DC" w:rsidRDefault="00E975D9" w:rsidP="001565DC">
      <w:pPr>
        <w:spacing w:after="0" w:line="240" w:lineRule="auto"/>
        <w:ind w:left="720"/>
        <w:jc w:val="both"/>
        <w:rPr>
          <w:rFonts w:ascii="Arial" w:hAnsi="Arial" w:cs="Arial"/>
          <w:sz w:val="24"/>
          <w:szCs w:val="24"/>
          <w:highlight w:val="yellow"/>
        </w:rPr>
      </w:pPr>
      <w:r w:rsidRPr="001565DC">
        <w:rPr>
          <w:rFonts w:ascii="Arial" w:hAnsi="Arial" w:cs="Arial"/>
          <w:sz w:val="24"/>
          <w:szCs w:val="24"/>
          <w:highlight w:val="yellow"/>
        </w:rPr>
        <w:t>3.1.9 Portion 6 (of 1) of Makhathini Flats No. 16533;</w:t>
      </w:r>
    </w:p>
    <w:p w:rsidR="00E975D9" w:rsidRPr="001565DC" w:rsidRDefault="00E975D9" w:rsidP="001565DC">
      <w:pPr>
        <w:spacing w:after="0" w:line="240" w:lineRule="auto"/>
        <w:ind w:left="720"/>
        <w:jc w:val="both"/>
        <w:rPr>
          <w:rFonts w:ascii="Arial" w:hAnsi="Arial" w:cs="Arial"/>
          <w:sz w:val="24"/>
          <w:szCs w:val="24"/>
          <w:highlight w:val="yellow"/>
        </w:rPr>
      </w:pPr>
      <w:r w:rsidRPr="001565DC">
        <w:rPr>
          <w:rFonts w:ascii="Arial" w:hAnsi="Arial" w:cs="Arial"/>
          <w:sz w:val="24"/>
          <w:szCs w:val="24"/>
          <w:highlight w:val="yellow"/>
        </w:rPr>
        <w:t>3.1.10 Portion 7 (of 1) of Makhathini Flats No. 16533;</w:t>
      </w:r>
    </w:p>
    <w:p w:rsidR="00E975D9" w:rsidRPr="001565DC" w:rsidRDefault="00E975D9" w:rsidP="001565DC">
      <w:pPr>
        <w:spacing w:after="0" w:line="240" w:lineRule="auto"/>
        <w:ind w:left="720"/>
        <w:jc w:val="both"/>
        <w:rPr>
          <w:rFonts w:ascii="Arial" w:hAnsi="Arial" w:cs="Arial"/>
          <w:sz w:val="24"/>
          <w:szCs w:val="24"/>
          <w:highlight w:val="yellow"/>
        </w:rPr>
      </w:pPr>
      <w:r w:rsidRPr="001565DC">
        <w:rPr>
          <w:rFonts w:ascii="Arial" w:hAnsi="Arial" w:cs="Arial"/>
          <w:sz w:val="24"/>
          <w:szCs w:val="24"/>
          <w:highlight w:val="yellow"/>
        </w:rPr>
        <w:t>3.1.11 Portion 8 (of 1) of Makhathini Flats No. 16533;</w:t>
      </w:r>
      <w:r w:rsidRPr="001565DC">
        <w:rPr>
          <w:rFonts w:ascii="Arial" w:hAnsi="Arial" w:cs="Arial"/>
          <w:sz w:val="24"/>
          <w:szCs w:val="24"/>
        </w:rPr>
        <w:t xml:space="preserve"> and</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highlight w:val="yellow"/>
        </w:rPr>
        <w:t>3.1.12 Portion 9 (of 1) of Makhathini Flats No. 16533</w:t>
      </w:r>
      <w:r w:rsidRPr="001565DC">
        <w:rPr>
          <w:rFonts w:ascii="Arial" w:hAnsi="Arial" w:cs="Arial"/>
          <w:sz w:val="24"/>
          <w:szCs w:val="24"/>
        </w:rPr>
        <w:t>.</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The highlighted portions are being contested by the Property Management Unit of the Department and the Provincial Department of Agriculture and Rural Development and they argue that these properties should not have been transferred to the claimants as they have infrastructure which is of benefit to other members of the community. The Trust and the relevant government departments have not yet resolved this impasse as far as we are aware. It is worth noting that these properties were not transferred to one person, but were transferred to a Trust that was establish</w:t>
      </w:r>
      <w:r w:rsidR="001565DC">
        <w:rPr>
          <w:rFonts w:ascii="Arial" w:hAnsi="Arial" w:cs="Arial"/>
          <w:sz w:val="24"/>
          <w:szCs w:val="24"/>
        </w:rPr>
        <w:t xml:space="preserve">ed </w:t>
      </w:r>
      <w:r w:rsidRPr="001565DC">
        <w:rPr>
          <w:rFonts w:ascii="Arial" w:hAnsi="Arial" w:cs="Arial"/>
          <w:sz w:val="24"/>
          <w:szCs w:val="24"/>
        </w:rPr>
        <w:t>for the claimant community.</w:t>
      </w:r>
    </w:p>
    <w:p w:rsidR="00E975D9" w:rsidRPr="001565DC" w:rsidRDefault="00E975D9" w:rsidP="001565DC">
      <w:pPr>
        <w:spacing w:after="0" w:line="240" w:lineRule="auto"/>
        <w:ind w:left="720" w:hanging="720"/>
        <w:jc w:val="both"/>
        <w:rPr>
          <w:rFonts w:ascii="Arial" w:hAnsi="Arial" w:cs="Arial"/>
          <w:sz w:val="24"/>
          <w:szCs w:val="24"/>
        </w:rPr>
      </w:pP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3.2</w:t>
      </w:r>
      <w:r w:rsidRPr="001565DC">
        <w:rPr>
          <w:rFonts w:ascii="Arial" w:hAnsi="Arial" w:cs="Arial"/>
          <w:sz w:val="24"/>
          <w:szCs w:val="24"/>
        </w:rPr>
        <w:tab/>
        <w:t>Four (4) properties which include roads, canals and the research station will not be transferred into the name of the trust namely:</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3.2.1 A portion of the Remainder of Makhathini Flats No. 16533 (Portion 47)</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3.2.2 A portion of the Remainder of Portion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3.2.3 A portion of the Remainder of Portion 1 of Makhathini Flats No. 16533</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 xml:space="preserve">3.2.4 A portion of Portion 23 (of 1) of Makhathini Flats No. 16533 </w:t>
      </w:r>
    </w:p>
    <w:p w:rsidR="00E975D9" w:rsidRPr="001565DC" w:rsidRDefault="00E975D9" w:rsidP="001565DC">
      <w:pPr>
        <w:spacing w:after="0" w:line="240" w:lineRule="auto"/>
        <w:ind w:left="720" w:hanging="720"/>
        <w:jc w:val="both"/>
        <w:rPr>
          <w:rFonts w:ascii="Arial" w:hAnsi="Arial" w:cs="Arial"/>
          <w:sz w:val="24"/>
          <w:szCs w:val="24"/>
        </w:rPr>
      </w:pP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 xml:space="preserve">3.3. </w:t>
      </w:r>
      <w:r w:rsidRPr="001565DC">
        <w:rPr>
          <w:rFonts w:ascii="Arial" w:hAnsi="Arial" w:cs="Arial"/>
          <w:sz w:val="24"/>
          <w:szCs w:val="24"/>
        </w:rPr>
        <w:tab/>
        <w:t>The following properties with state facilities like the Gin site and offices have also not been transferred to the claimants, and an agreement needs to be reached between the claimants and Department of Agriculture and Rural Development as to the way forward:</w:t>
      </w:r>
    </w:p>
    <w:p w:rsidR="00E975D9" w:rsidRPr="001565DC" w:rsidRDefault="00E975D9" w:rsidP="001565DC">
      <w:pPr>
        <w:spacing w:after="0" w:line="240" w:lineRule="auto"/>
        <w:ind w:firstLine="720"/>
        <w:jc w:val="both"/>
        <w:rPr>
          <w:rFonts w:ascii="Arial" w:hAnsi="Arial" w:cs="Arial"/>
          <w:sz w:val="24"/>
          <w:szCs w:val="24"/>
        </w:rPr>
      </w:pPr>
      <w:r w:rsidRPr="001565DC">
        <w:rPr>
          <w:rFonts w:ascii="Arial" w:hAnsi="Arial" w:cs="Arial"/>
          <w:sz w:val="24"/>
          <w:szCs w:val="24"/>
        </w:rPr>
        <w:t>3.3.1 Portion 48 (of 1) of Makhathini Flats No. 16533;</w:t>
      </w:r>
    </w:p>
    <w:p w:rsidR="00E975D9" w:rsidRPr="001565DC" w:rsidRDefault="00E975D9" w:rsidP="001565DC">
      <w:pPr>
        <w:spacing w:after="0" w:line="240" w:lineRule="auto"/>
        <w:ind w:firstLine="720"/>
        <w:jc w:val="both"/>
        <w:rPr>
          <w:rFonts w:ascii="Arial" w:hAnsi="Arial" w:cs="Arial"/>
          <w:sz w:val="24"/>
          <w:szCs w:val="24"/>
        </w:rPr>
      </w:pPr>
      <w:r w:rsidRPr="001565DC">
        <w:rPr>
          <w:rFonts w:ascii="Arial" w:hAnsi="Arial" w:cs="Arial"/>
          <w:sz w:val="24"/>
          <w:szCs w:val="24"/>
        </w:rPr>
        <w:t>3.3.2 Portion 28 (of 1) of Makhathini Flats No. 16533; and</w:t>
      </w:r>
    </w:p>
    <w:p w:rsidR="00E975D9" w:rsidRPr="001565DC" w:rsidRDefault="00E975D9" w:rsidP="001565DC">
      <w:pPr>
        <w:spacing w:after="0" w:line="240" w:lineRule="auto"/>
        <w:ind w:firstLine="720"/>
        <w:jc w:val="both"/>
        <w:rPr>
          <w:rFonts w:ascii="Arial" w:hAnsi="Arial" w:cs="Arial"/>
          <w:sz w:val="24"/>
          <w:szCs w:val="24"/>
        </w:rPr>
      </w:pPr>
      <w:r w:rsidRPr="001565DC">
        <w:rPr>
          <w:rFonts w:ascii="Arial" w:hAnsi="Arial" w:cs="Arial"/>
          <w:sz w:val="24"/>
          <w:szCs w:val="24"/>
        </w:rPr>
        <w:t>3.3.3 Remainder of Portion 3 (of 1) of Makhathini Flats No. 16533.</w:t>
      </w:r>
    </w:p>
    <w:p w:rsidR="00E975D9" w:rsidRPr="001565DC" w:rsidRDefault="00E975D9" w:rsidP="001565DC">
      <w:pPr>
        <w:spacing w:after="0" w:line="240" w:lineRule="auto"/>
        <w:ind w:left="720" w:hanging="720"/>
        <w:jc w:val="both"/>
        <w:rPr>
          <w:rFonts w:ascii="Arial" w:hAnsi="Arial" w:cs="Arial"/>
          <w:sz w:val="24"/>
          <w:szCs w:val="24"/>
        </w:rPr>
      </w:pPr>
    </w:p>
    <w:p w:rsidR="00E975D9" w:rsidRPr="001565DC" w:rsidRDefault="00E975D9" w:rsidP="001565DC">
      <w:pPr>
        <w:spacing w:after="0" w:line="240" w:lineRule="auto"/>
        <w:ind w:left="720" w:hanging="720"/>
        <w:jc w:val="both"/>
        <w:rPr>
          <w:rFonts w:ascii="Arial" w:hAnsi="Arial" w:cs="Arial"/>
          <w:sz w:val="24"/>
          <w:szCs w:val="24"/>
        </w:rPr>
      </w:pPr>
      <w:r w:rsidRPr="001565DC">
        <w:rPr>
          <w:rFonts w:ascii="Arial" w:hAnsi="Arial" w:cs="Arial"/>
          <w:sz w:val="24"/>
          <w:szCs w:val="24"/>
        </w:rPr>
        <w:t>3.4.</w:t>
      </w:r>
      <w:r w:rsidRPr="001565DC">
        <w:rPr>
          <w:rFonts w:ascii="Arial" w:hAnsi="Arial" w:cs="Arial"/>
          <w:sz w:val="24"/>
          <w:szCs w:val="24"/>
        </w:rPr>
        <w:tab/>
        <w:t xml:space="preserve">There is one other property which still needs to be transferred to the name on the trust and that is </w:t>
      </w:r>
      <w:r w:rsidRPr="001565DC">
        <w:rPr>
          <w:rFonts w:ascii="Arial" w:hAnsi="Arial" w:cs="Arial"/>
          <w:b/>
          <w:sz w:val="24"/>
          <w:szCs w:val="24"/>
        </w:rPr>
        <w:t>A Portion of</w:t>
      </w:r>
      <w:r w:rsidRPr="001565DC">
        <w:rPr>
          <w:rFonts w:ascii="Arial" w:hAnsi="Arial" w:cs="Arial"/>
          <w:sz w:val="24"/>
          <w:szCs w:val="24"/>
        </w:rPr>
        <w:t xml:space="preserve"> </w:t>
      </w:r>
      <w:r w:rsidRPr="001565DC">
        <w:rPr>
          <w:rFonts w:ascii="Arial" w:hAnsi="Arial" w:cs="Arial"/>
          <w:b/>
          <w:sz w:val="24"/>
          <w:szCs w:val="24"/>
        </w:rPr>
        <w:t>Portion 41 (of 1) of the farm Makhathini no 16533</w:t>
      </w:r>
      <w:r w:rsidRPr="001565DC">
        <w:rPr>
          <w:rFonts w:ascii="Arial" w:hAnsi="Arial" w:cs="Arial"/>
          <w:sz w:val="24"/>
          <w:szCs w:val="24"/>
        </w:rPr>
        <w:t>. This property is unsur</w:t>
      </w:r>
      <w:bookmarkStart w:id="1" w:name="_GoBack"/>
      <w:bookmarkEnd w:id="1"/>
      <w:r w:rsidRPr="001565DC">
        <w:rPr>
          <w:rFonts w:ascii="Arial" w:hAnsi="Arial" w:cs="Arial"/>
          <w:sz w:val="24"/>
          <w:szCs w:val="24"/>
        </w:rPr>
        <w:t xml:space="preserve">veyed and as such a survey needs to be done so that it can be transferred to the Trust. However, this will be a very costly exercise as there is a general plan that exists on the property. Currently we are still negotiating the possibility of transferring the property with the general plan, instead of doing a survey. </w:t>
      </w:r>
    </w:p>
    <w:p w:rsidR="00E975D9" w:rsidRPr="001565DC" w:rsidRDefault="00E975D9" w:rsidP="001565DC">
      <w:pPr>
        <w:spacing w:after="0" w:line="240" w:lineRule="auto"/>
        <w:ind w:left="720"/>
        <w:contextualSpacing/>
        <w:jc w:val="both"/>
        <w:rPr>
          <w:rFonts w:ascii="Arial" w:hAnsi="Arial" w:cs="Arial"/>
          <w:sz w:val="24"/>
          <w:szCs w:val="24"/>
        </w:rPr>
      </w:pPr>
    </w:p>
    <w:p w:rsidR="00E975D9" w:rsidRPr="001565DC" w:rsidRDefault="00E975D9" w:rsidP="001565DC">
      <w:pPr>
        <w:spacing w:after="0" w:line="240" w:lineRule="auto"/>
        <w:ind w:left="720" w:hanging="720"/>
        <w:contextualSpacing/>
        <w:jc w:val="both"/>
        <w:rPr>
          <w:rFonts w:ascii="Arial" w:hAnsi="Arial" w:cs="Arial"/>
          <w:sz w:val="24"/>
          <w:szCs w:val="24"/>
        </w:rPr>
      </w:pPr>
      <w:r w:rsidRPr="001565DC">
        <w:rPr>
          <w:rFonts w:ascii="Arial" w:hAnsi="Arial" w:cs="Arial"/>
          <w:sz w:val="24"/>
          <w:szCs w:val="24"/>
        </w:rPr>
        <w:t>3.5</w:t>
      </w:r>
      <w:r w:rsidRPr="001565DC">
        <w:rPr>
          <w:rFonts w:ascii="Arial" w:hAnsi="Arial" w:cs="Arial"/>
          <w:sz w:val="24"/>
          <w:szCs w:val="24"/>
        </w:rPr>
        <w:tab/>
        <w:t xml:space="preserve">Once agreement is reached with the Deeds office on the need not to survey the outstanding property, settlement agreements will be drafted to be signed by the Trust and the Regional Land Claims Commissioner so that a conveyancer could be appointed in order to transfer the property. </w:t>
      </w:r>
    </w:p>
    <w:p w:rsidR="00E975D9" w:rsidRPr="001565DC" w:rsidRDefault="00E975D9" w:rsidP="001565DC">
      <w:pPr>
        <w:spacing w:after="0" w:line="240" w:lineRule="auto"/>
        <w:ind w:left="720"/>
        <w:contextualSpacing/>
        <w:jc w:val="both"/>
        <w:rPr>
          <w:rFonts w:ascii="Arial" w:hAnsi="Arial" w:cs="Arial"/>
          <w:sz w:val="24"/>
          <w:szCs w:val="24"/>
        </w:rPr>
      </w:pPr>
    </w:p>
    <w:p w:rsidR="00E975D9" w:rsidRPr="001565DC" w:rsidRDefault="00E975D9" w:rsidP="001565DC">
      <w:pPr>
        <w:spacing w:after="0" w:line="240" w:lineRule="auto"/>
        <w:ind w:left="720" w:hanging="720"/>
        <w:jc w:val="both"/>
        <w:rPr>
          <w:rFonts w:ascii="Arial" w:hAnsi="Arial" w:cs="Arial"/>
          <w:b/>
          <w:sz w:val="24"/>
          <w:szCs w:val="24"/>
        </w:rPr>
      </w:pPr>
      <w:r w:rsidRPr="001565DC">
        <w:rPr>
          <w:rFonts w:ascii="Arial" w:hAnsi="Arial" w:cs="Arial"/>
          <w:b/>
          <w:sz w:val="24"/>
          <w:szCs w:val="24"/>
        </w:rPr>
        <w:t>4.</w:t>
      </w:r>
      <w:r w:rsidRPr="001565DC">
        <w:rPr>
          <w:rFonts w:ascii="Arial" w:hAnsi="Arial" w:cs="Arial"/>
          <w:b/>
          <w:sz w:val="24"/>
          <w:szCs w:val="24"/>
        </w:rPr>
        <w:tab/>
        <w:t>RECOMMENDATIONS</w:t>
      </w:r>
    </w:p>
    <w:p w:rsidR="00E975D9" w:rsidRPr="001565DC" w:rsidRDefault="00E975D9" w:rsidP="001565DC">
      <w:pPr>
        <w:spacing w:after="0" w:line="240" w:lineRule="auto"/>
        <w:ind w:left="720"/>
        <w:jc w:val="both"/>
        <w:rPr>
          <w:rFonts w:ascii="Arial" w:hAnsi="Arial" w:cs="Arial"/>
          <w:sz w:val="24"/>
          <w:szCs w:val="24"/>
        </w:rPr>
      </w:pPr>
      <w:r w:rsidRPr="001565DC">
        <w:rPr>
          <w:rFonts w:ascii="Arial" w:hAnsi="Arial" w:cs="Arial"/>
          <w:sz w:val="24"/>
          <w:szCs w:val="24"/>
        </w:rPr>
        <w:t>It is recommended that the Chairperson of the Portfolio Committee on Agriculture, Land Reform and Rural Development notes the status report of Isiqakatha community claim.</w:t>
      </w:r>
    </w:p>
    <w:p w:rsidR="00C43543" w:rsidRPr="001565DC" w:rsidRDefault="00C43543" w:rsidP="001565DC">
      <w:pPr>
        <w:spacing w:after="0" w:line="240" w:lineRule="auto"/>
        <w:jc w:val="both"/>
        <w:rPr>
          <w:rFonts w:ascii="Arial" w:eastAsia="Times New Roman" w:hAnsi="Arial" w:cs="Arial"/>
          <w:sz w:val="24"/>
          <w:szCs w:val="24"/>
          <w:lang w:val="en-US"/>
        </w:rPr>
      </w:pPr>
    </w:p>
    <w:tbl>
      <w:tblPr>
        <w:tblW w:w="0" w:type="auto"/>
        <w:tblInd w:w="108" w:type="dxa"/>
        <w:shd w:val="clear" w:color="auto" w:fill="336699"/>
        <w:tblLook w:val="01E0"/>
      </w:tblPr>
      <w:tblGrid>
        <w:gridCol w:w="3960"/>
      </w:tblGrid>
      <w:tr w:rsidR="00C43543" w:rsidRPr="001565DC" w:rsidTr="00D629CA">
        <w:trPr>
          <w:trHeight w:val="134"/>
        </w:trPr>
        <w:tc>
          <w:tcPr>
            <w:tcW w:w="3960" w:type="dxa"/>
            <w:shd w:val="clear" w:color="auto" w:fill="336699"/>
          </w:tcPr>
          <w:p w:rsidR="00C43543" w:rsidRPr="001565DC" w:rsidRDefault="00C43543" w:rsidP="001565DC">
            <w:pPr>
              <w:spacing w:after="0" w:line="240" w:lineRule="auto"/>
              <w:jc w:val="both"/>
              <w:rPr>
                <w:rFonts w:ascii="Arial" w:eastAsia="Times New Roman" w:hAnsi="Arial" w:cs="Arial"/>
                <w:color w:val="FFFFFF"/>
                <w:sz w:val="24"/>
                <w:szCs w:val="24"/>
                <w:lang w:val="en-US"/>
              </w:rPr>
            </w:pPr>
            <w:r w:rsidRPr="001565DC">
              <w:rPr>
                <w:rFonts w:ascii="Arial" w:eastAsia="Times New Roman" w:hAnsi="Arial" w:cs="Arial"/>
                <w:b/>
                <w:color w:val="FFFFFF"/>
                <w:sz w:val="24"/>
                <w:szCs w:val="24"/>
                <w:lang w:val="en-US"/>
              </w:rPr>
              <w:t xml:space="preserve">SIGNED: </w:t>
            </w:r>
            <w:r w:rsidR="008E112B" w:rsidRPr="001565DC">
              <w:rPr>
                <w:rFonts w:ascii="Arial" w:eastAsia="Times New Roman" w:hAnsi="Arial" w:cs="Arial"/>
                <w:b/>
                <w:color w:val="FFFFFF"/>
                <w:sz w:val="24"/>
                <w:szCs w:val="24"/>
                <w:lang w:val="en-US"/>
              </w:rPr>
              <w:t>3</w:t>
            </w:r>
            <w:r w:rsidRPr="001565DC">
              <w:rPr>
                <w:rFonts w:ascii="Arial" w:eastAsia="Times New Roman" w:hAnsi="Arial" w:cs="Arial"/>
                <w:b/>
                <w:color w:val="FFFFFF"/>
                <w:sz w:val="24"/>
                <w:szCs w:val="24"/>
                <w:lang w:val="en-US"/>
              </w:rPr>
              <w:t xml:space="preserve"> </w:t>
            </w:r>
            <w:r w:rsidR="00E975D9" w:rsidRPr="001565DC">
              <w:rPr>
                <w:rFonts w:ascii="Arial" w:eastAsia="Times New Roman" w:hAnsi="Arial" w:cs="Arial"/>
                <w:b/>
                <w:color w:val="FFFFFF"/>
                <w:sz w:val="24"/>
                <w:szCs w:val="24"/>
                <w:lang w:val="en-US"/>
              </w:rPr>
              <w:t>SEPTEMBER</w:t>
            </w:r>
            <w:r w:rsidRPr="001565DC">
              <w:rPr>
                <w:rFonts w:ascii="Arial" w:eastAsia="Times New Roman" w:hAnsi="Arial" w:cs="Arial"/>
                <w:b/>
                <w:color w:val="FFFFFF"/>
                <w:sz w:val="24"/>
                <w:szCs w:val="24"/>
                <w:lang w:val="en-US"/>
              </w:rPr>
              <w:t xml:space="preserve"> 2019</w:t>
            </w:r>
          </w:p>
        </w:tc>
      </w:tr>
      <w:tr w:rsidR="00C43543" w:rsidRPr="001565DC" w:rsidTr="00D629CA">
        <w:trPr>
          <w:trHeight w:val="423"/>
        </w:trPr>
        <w:tc>
          <w:tcPr>
            <w:tcW w:w="3960" w:type="dxa"/>
            <w:shd w:val="clear" w:color="auto" w:fill="336699"/>
          </w:tcPr>
          <w:p w:rsidR="00C43543" w:rsidRPr="001565DC" w:rsidRDefault="00C43543" w:rsidP="001565DC">
            <w:pPr>
              <w:spacing w:after="0" w:line="240" w:lineRule="auto"/>
              <w:jc w:val="both"/>
              <w:rPr>
                <w:rFonts w:ascii="Arial" w:eastAsia="Times New Roman" w:hAnsi="Arial" w:cs="Arial"/>
                <w:b/>
                <w:color w:val="FFFFFF"/>
                <w:sz w:val="24"/>
                <w:szCs w:val="24"/>
                <w:lang w:val="en-US"/>
              </w:rPr>
            </w:pPr>
            <w:r w:rsidRPr="001565DC">
              <w:rPr>
                <w:rFonts w:ascii="Arial" w:eastAsia="Times New Roman" w:hAnsi="Arial" w:cs="Arial"/>
                <w:b/>
                <w:noProof/>
                <w:color w:val="FFFFFF"/>
                <w:sz w:val="24"/>
                <w:szCs w:val="24"/>
                <w:lang w:val="en-ZA" w:eastAsia="en-ZA"/>
              </w:rPr>
              <w:drawing>
                <wp:inline distT="0" distB="0" distL="0" distR="0">
                  <wp:extent cx="215519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5190" cy="504825"/>
                          </a:xfrm>
                          <a:prstGeom prst="rect">
                            <a:avLst/>
                          </a:prstGeom>
                          <a:noFill/>
                          <a:ln>
                            <a:noFill/>
                          </a:ln>
                        </pic:spPr>
                      </pic:pic>
                    </a:graphicData>
                  </a:graphic>
                </wp:inline>
              </w:drawing>
            </w:r>
          </w:p>
        </w:tc>
      </w:tr>
      <w:tr w:rsidR="00C43543" w:rsidRPr="001565DC" w:rsidTr="00D629CA">
        <w:trPr>
          <w:trHeight w:val="277"/>
        </w:trPr>
        <w:tc>
          <w:tcPr>
            <w:tcW w:w="3960" w:type="dxa"/>
            <w:shd w:val="clear" w:color="auto" w:fill="336699"/>
          </w:tcPr>
          <w:p w:rsidR="00C43543" w:rsidRPr="001565DC" w:rsidRDefault="00C43543" w:rsidP="001565DC">
            <w:pPr>
              <w:spacing w:after="0" w:line="240" w:lineRule="auto"/>
              <w:jc w:val="both"/>
              <w:rPr>
                <w:rFonts w:ascii="Arial" w:eastAsia="Times New Roman" w:hAnsi="Arial" w:cs="Arial"/>
                <w:color w:val="FFFFFF"/>
                <w:sz w:val="24"/>
                <w:szCs w:val="24"/>
                <w:lang w:val="en-US"/>
              </w:rPr>
            </w:pPr>
            <w:r w:rsidRPr="001565DC">
              <w:rPr>
                <w:rFonts w:ascii="Arial" w:eastAsia="Times New Roman" w:hAnsi="Arial" w:cs="Arial"/>
                <w:b/>
                <w:color w:val="FFFFFF"/>
                <w:sz w:val="24"/>
                <w:szCs w:val="24"/>
                <w:lang w:val="en-US"/>
              </w:rPr>
              <w:t>ADV BHEKI MBILI</w:t>
            </w:r>
          </w:p>
          <w:p w:rsidR="00C43543" w:rsidRPr="001565DC" w:rsidRDefault="00C43543" w:rsidP="001565DC">
            <w:pPr>
              <w:spacing w:after="0" w:line="240" w:lineRule="auto"/>
              <w:jc w:val="both"/>
              <w:rPr>
                <w:rFonts w:ascii="Arial" w:eastAsia="Times New Roman" w:hAnsi="Arial" w:cs="Arial"/>
                <w:b/>
                <w:color w:val="FFFFFF"/>
                <w:sz w:val="24"/>
                <w:szCs w:val="24"/>
                <w:lang w:val="en-US"/>
              </w:rPr>
            </w:pPr>
            <w:r w:rsidRPr="001565DC">
              <w:rPr>
                <w:rFonts w:ascii="Arial" w:eastAsia="Times New Roman" w:hAnsi="Arial" w:cs="Arial"/>
                <w:b/>
                <w:color w:val="FFFFFF"/>
                <w:sz w:val="24"/>
                <w:szCs w:val="24"/>
                <w:lang w:val="en-US"/>
              </w:rPr>
              <w:t>CHIEF DIRECTOR: LAND RESTITUTION SUPPORT (KZN)</w:t>
            </w:r>
          </w:p>
        </w:tc>
      </w:tr>
    </w:tbl>
    <w:p w:rsidR="00C43543" w:rsidRPr="001565DC" w:rsidRDefault="00C43543" w:rsidP="001565DC">
      <w:pPr>
        <w:spacing w:after="0" w:line="240" w:lineRule="auto"/>
        <w:jc w:val="both"/>
        <w:rPr>
          <w:rFonts w:ascii="Arial" w:eastAsia="Times New Roman" w:hAnsi="Arial" w:cs="Arial"/>
          <w:b/>
          <w:sz w:val="24"/>
          <w:szCs w:val="24"/>
          <w:lang w:val="en-US"/>
        </w:rPr>
      </w:pPr>
    </w:p>
    <w:p w:rsidR="00884AD5" w:rsidRPr="001565DC" w:rsidRDefault="00884AD5" w:rsidP="001565DC">
      <w:pPr>
        <w:spacing w:after="0" w:line="240" w:lineRule="auto"/>
        <w:jc w:val="both"/>
        <w:rPr>
          <w:rFonts w:ascii="Arial" w:eastAsia="Times New Roman" w:hAnsi="Arial" w:cs="Arial"/>
          <w:b/>
          <w:sz w:val="24"/>
          <w:szCs w:val="24"/>
        </w:rPr>
      </w:pPr>
    </w:p>
    <w:sectPr w:rsidR="00884AD5" w:rsidRPr="001565DC" w:rsidSect="0069461D">
      <w:headerReference w:type="default" r:id="rId9"/>
      <w:footerReference w:type="default" r:id="rId10"/>
      <w:headerReference w:type="first" r:id="rId11"/>
      <w:pgSz w:w="11906" w:h="16838"/>
      <w:pgMar w:top="1440" w:right="1440" w:bottom="1440" w:left="1440" w:header="0" w:footer="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FC" w:rsidRDefault="00FC5CFC" w:rsidP="00657A74">
      <w:pPr>
        <w:spacing w:after="0" w:line="240" w:lineRule="auto"/>
      </w:pPr>
      <w:r>
        <w:separator/>
      </w:r>
    </w:p>
  </w:endnote>
  <w:endnote w:type="continuationSeparator" w:id="0">
    <w:p w:rsidR="00FC5CFC" w:rsidRDefault="00FC5CFC" w:rsidP="006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5800"/>
      <w:docPartObj>
        <w:docPartGallery w:val="Page Numbers (Bottom of Page)"/>
        <w:docPartUnique/>
      </w:docPartObj>
    </w:sdtPr>
    <w:sdtEndPr>
      <w:rPr>
        <w:color w:val="808080" w:themeColor="background1" w:themeShade="80"/>
        <w:spacing w:val="60"/>
      </w:rPr>
    </w:sdtEndPr>
    <w:sdtContent>
      <w:p w:rsidR="008E112B" w:rsidRDefault="007E6A50">
        <w:pPr>
          <w:pStyle w:val="Footer"/>
          <w:pBdr>
            <w:top w:val="single" w:sz="4" w:space="1" w:color="D9D9D9" w:themeColor="background1" w:themeShade="D9"/>
          </w:pBdr>
          <w:rPr>
            <w:b/>
            <w:bCs/>
          </w:rPr>
        </w:pPr>
        <w:r w:rsidRPr="007E6A50">
          <w:fldChar w:fldCharType="begin"/>
        </w:r>
        <w:r w:rsidR="008E112B">
          <w:instrText xml:space="preserve"> PAGE   \* MERGEFORMAT </w:instrText>
        </w:r>
        <w:r w:rsidRPr="007E6A50">
          <w:fldChar w:fldCharType="separate"/>
        </w:r>
        <w:r w:rsidR="0002516F" w:rsidRPr="0002516F">
          <w:rPr>
            <w:b/>
            <w:bCs/>
            <w:noProof/>
          </w:rPr>
          <w:t>2</w:t>
        </w:r>
        <w:r>
          <w:rPr>
            <w:b/>
            <w:bCs/>
            <w:noProof/>
          </w:rPr>
          <w:fldChar w:fldCharType="end"/>
        </w:r>
        <w:r w:rsidR="008E112B">
          <w:rPr>
            <w:b/>
            <w:bCs/>
          </w:rPr>
          <w:t xml:space="preserve"> | </w:t>
        </w:r>
        <w:r w:rsidR="008E112B">
          <w:rPr>
            <w:color w:val="808080" w:themeColor="background1" w:themeShade="80"/>
            <w:spacing w:val="60"/>
          </w:rPr>
          <w:t>Page</w:t>
        </w:r>
      </w:p>
    </w:sdtContent>
  </w:sdt>
  <w:p w:rsidR="00657A74" w:rsidRDefault="00657A74" w:rsidP="00657A74">
    <w:pPr>
      <w:pStyle w:val="Footer"/>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FC" w:rsidRDefault="00FC5CFC" w:rsidP="00657A74">
      <w:pPr>
        <w:spacing w:after="0" w:line="240" w:lineRule="auto"/>
      </w:pPr>
      <w:r>
        <w:separator/>
      </w:r>
    </w:p>
  </w:footnote>
  <w:footnote w:type="continuationSeparator" w:id="0">
    <w:p w:rsidR="00FC5CFC" w:rsidRDefault="00FC5CFC" w:rsidP="00657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D9" w:rsidRDefault="00E975D9" w:rsidP="00E975D9">
    <w:pPr>
      <w:jc w:val="both"/>
      <w:rPr>
        <w:rFonts w:ascii="Arial" w:hAnsi="Arial" w:cs="Arial"/>
        <w:b/>
        <w:sz w:val="20"/>
        <w:szCs w:val="20"/>
      </w:rPr>
    </w:pPr>
  </w:p>
  <w:p w:rsidR="00E975D9" w:rsidRPr="00E975D9" w:rsidRDefault="00E975D9" w:rsidP="00E975D9">
    <w:pPr>
      <w:jc w:val="both"/>
      <w:rPr>
        <w:rFonts w:ascii="Arial" w:hAnsi="Arial" w:cs="Arial"/>
        <w:b/>
        <w:sz w:val="20"/>
        <w:szCs w:val="20"/>
      </w:rPr>
    </w:pPr>
    <w:r w:rsidRPr="00E975D9">
      <w:rPr>
        <w:rFonts w:ascii="Arial" w:hAnsi="Arial" w:cs="Arial"/>
        <w:b/>
        <w:sz w:val="20"/>
        <w:szCs w:val="20"/>
      </w:rPr>
      <w:t xml:space="preserve">SUBJECT: STATUS REPORT OF ISIQAKATHA COMMUNITY LAND CLAIM, </w:t>
    </w:r>
    <w:r w:rsidRPr="00E975D9">
      <w:rPr>
        <w:rFonts w:ascii="Arial" w:hAnsi="Arial" w:cs="Arial"/>
        <w:b/>
        <w:color w:val="000000"/>
        <w:sz w:val="20"/>
        <w:szCs w:val="20"/>
      </w:rPr>
      <w:t xml:space="preserve">SITUATED IN </w:t>
    </w:r>
    <w:r w:rsidRPr="00E975D9">
      <w:rPr>
        <w:rFonts w:ascii="Arial" w:hAnsi="Arial" w:cs="Arial"/>
        <w:b/>
        <w:sz w:val="20"/>
        <w:szCs w:val="20"/>
      </w:rPr>
      <w:t>JOZINI</w:t>
    </w:r>
    <w:r w:rsidRPr="00E975D9">
      <w:rPr>
        <w:rFonts w:ascii="Arial" w:hAnsi="Arial" w:cs="Arial"/>
        <w:b/>
        <w:color w:val="000000"/>
        <w:sz w:val="20"/>
        <w:szCs w:val="20"/>
      </w:rPr>
      <w:t xml:space="preserve"> LOCAL MUNICIPALITIY WITHIN UMKHANYAKUDE DISTRICT </w:t>
    </w:r>
    <w:r>
      <w:rPr>
        <w:rFonts w:ascii="Arial" w:hAnsi="Arial" w:cs="Arial"/>
        <w:b/>
        <w:sz w:val="20"/>
        <w:szCs w:val="20"/>
      </w:rPr>
      <w:t xml:space="preserve">MUNICIPALITY IN </w:t>
    </w:r>
    <w:r w:rsidRPr="00E975D9">
      <w:rPr>
        <w:rFonts w:ascii="Arial" w:hAnsi="Arial" w:cs="Arial"/>
        <w:b/>
        <w:sz w:val="20"/>
        <w:szCs w:val="20"/>
      </w:rPr>
      <w:t>KWAZULU</w:t>
    </w:r>
    <w:r>
      <w:rPr>
        <w:rFonts w:ascii="Arial" w:hAnsi="Arial" w:cs="Arial"/>
        <w:b/>
        <w:sz w:val="20"/>
        <w:szCs w:val="20"/>
      </w:rPr>
      <w:t>-</w:t>
    </w:r>
    <w:r w:rsidRPr="00E975D9">
      <w:rPr>
        <w:rFonts w:ascii="Arial" w:hAnsi="Arial" w:cs="Arial"/>
        <w:b/>
        <w:sz w:val="20"/>
        <w:szCs w:val="20"/>
      </w:rPr>
      <w:t xml:space="preserve">NATAL WITH REFERENCE NUMBER </w:t>
    </w:r>
    <w:r w:rsidRPr="00E975D9">
      <w:rPr>
        <w:rFonts w:ascii="Arial" w:hAnsi="Arial" w:cs="Arial"/>
        <w:b/>
        <w:snapToGrid w:val="0"/>
        <w:sz w:val="20"/>
        <w:szCs w:val="20"/>
      </w:rPr>
      <w:t>KRN6/2/2/E/43/0/0/26</w:t>
    </w:r>
  </w:p>
  <w:p w:rsidR="00E975D9" w:rsidRDefault="00E97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1D" w:rsidRDefault="0069461D" w:rsidP="0069461D">
    <w:pPr>
      <w:pStyle w:val="Header"/>
      <w:tabs>
        <w:tab w:val="clear" w:pos="4513"/>
        <w:tab w:val="center" w:pos="4395"/>
      </w:tabs>
      <w:ind w:left="-1418"/>
    </w:pPr>
    <w:r>
      <w:rPr>
        <w:noProof/>
        <w:lang w:val="en-ZA" w:eastAsia="en-ZA"/>
      </w:rPr>
      <w:drawing>
        <wp:inline distT="0" distB="0" distL="0" distR="0">
          <wp:extent cx="7577455" cy="1884680"/>
          <wp:effectExtent l="0" t="0" r="4445" b="1270"/>
          <wp:docPr id="48" name="Picture 1" descr="D:\K-13038 CRLR Corporate Identity Guide\Dev\Stationary\Letterhead\K-13038 CRLR Corporate Identity Guide-Letterhead-header_Dev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13038 CRLR Corporate Identity Guide\Dev\Stationary\Letterhead\K-13038 CRLR Corporate Identity Guide-Letterhead-header_Dev_V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7455" cy="1884680"/>
                  </a:xfrm>
                  <a:prstGeom prst="rect">
                    <a:avLst/>
                  </a:prstGeom>
                  <a:noFill/>
                  <a:ln>
                    <a:noFill/>
                  </a:ln>
                </pic:spPr>
              </pic:pic>
            </a:graphicData>
          </a:graphic>
        </wp:inline>
      </w:drawing>
    </w:r>
  </w:p>
  <w:p w:rsidR="0069461D" w:rsidRPr="00657A74" w:rsidRDefault="00DF0EA9" w:rsidP="0069461D">
    <w:pPr>
      <w:pStyle w:val="BasicParagraph"/>
      <w:suppressAutoHyphens/>
      <w:jc w:val="center"/>
      <w:rPr>
        <w:rFonts w:ascii="Arial" w:hAnsi="Arial" w:cs="Arial"/>
        <w:b/>
        <w:bCs/>
        <w:color w:val="FAAB18"/>
        <w:sz w:val="20"/>
        <w:szCs w:val="20"/>
      </w:rPr>
    </w:pPr>
    <w:r>
      <w:rPr>
        <w:rFonts w:ascii="Arial" w:hAnsi="Arial" w:cs="Arial"/>
        <w:b/>
        <w:bCs/>
        <w:color w:val="FAAB18"/>
        <w:sz w:val="20"/>
        <w:szCs w:val="20"/>
      </w:rPr>
      <w:t xml:space="preserve">OFFICE OF THE </w:t>
    </w:r>
    <w:r w:rsidR="009B7684">
      <w:rPr>
        <w:rFonts w:ascii="Arial" w:hAnsi="Arial" w:cs="Arial"/>
        <w:b/>
        <w:bCs/>
        <w:color w:val="FAAB18"/>
        <w:sz w:val="20"/>
        <w:szCs w:val="20"/>
      </w:rPr>
      <w:t xml:space="preserve">REGIONAL </w:t>
    </w:r>
    <w:r>
      <w:rPr>
        <w:rFonts w:ascii="Arial" w:hAnsi="Arial" w:cs="Arial"/>
        <w:b/>
        <w:bCs/>
        <w:color w:val="FAAB18"/>
        <w:sz w:val="20"/>
        <w:szCs w:val="20"/>
      </w:rPr>
      <w:t>LAND CLAIMS COMMISSIONER</w:t>
    </w:r>
    <w:r w:rsidR="009B7684">
      <w:rPr>
        <w:rFonts w:ascii="Arial" w:hAnsi="Arial" w:cs="Arial"/>
        <w:b/>
        <w:bCs/>
        <w:color w:val="FAAB18"/>
        <w:sz w:val="20"/>
        <w:szCs w:val="20"/>
      </w:rPr>
      <w:t>: KWAZULU-NATAL</w:t>
    </w:r>
  </w:p>
  <w:p w:rsidR="009B7684" w:rsidRPr="009B7684" w:rsidRDefault="009B7684" w:rsidP="009B7684">
    <w:pPr>
      <w:pStyle w:val="Header"/>
      <w:jc w:val="center"/>
      <w:rPr>
        <w:rFonts w:ascii="Arial" w:eastAsia="Times New Roman" w:hAnsi="Arial" w:cs="Arial"/>
        <w:color w:val="7AC100"/>
        <w:sz w:val="18"/>
        <w:szCs w:val="18"/>
        <w:lang w:val="en-ZA"/>
      </w:rPr>
    </w:pPr>
    <w:r w:rsidRPr="009B7684">
      <w:rPr>
        <w:rFonts w:ascii="Arial" w:eastAsia="Times New Roman" w:hAnsi="Arial" w:cs="Arial"/>
        <w:color w:val="7AC100"/>
        <w:sz w:val="18"/>
        <w:szCs w:val="18"/>
        <w:lang w:val="en-ZA"/>
      </w:rPr>
      <w:t>Umhlaba House 139 Langalibalele Street, Pietermaritzburg Private Bag X 9120, Pietermaritzburg, Tel (0</w:t>
    </w:r>
    <w:r w:rsidR="00CD6ED7">
      <w:rPr>
        <w:rFonts w:ascii="Arial" w:eastAsia="Times New Roman" w:hAnsi="Arial" w:cs="Arial"/>
        <w:color w:val="7AC100"/>
        <w:sz w:val="18"/>
        <w:szCs w:val="18"/>
        <w:lang w:val="en-ZA"/>
      </w:rPr>
      <w:t xml:space="preserve">33) 341 2670, Fax (033) 342 4151, </w:t>
    </w:r>
    <w:r w:rsidR="00CD6ED7" w:rsidRPr="00CD6ED7">
      <w:rPr>
        <w:rFonts w:ascii="Arial" w:eastAsia="Times New Roman" w:hAnsi="Arial" w:cs="Arial"/>
        <w:color w:val="7AC100"/>
        <w:sz w:val="18"/>
        <w:szCs w:val="18"/>
        <w:lang w:val="en-ZA"/>
      </w:rPr>
      <w:t xml:space="preserve">Email: </w:t>
    </w:r>
    <w:hyperlink r:id="rId2" w:history="1">
      <w:r w:rsidR="00CD6ED7" w:rsidRPr="00CD6ED7">
        <w:rPr>
          <w:rStyle w:val="Hyperlink"/>
          <w:rFonts w:ascii="Arial" w:eastAsia="Times New Roman" w:hAnsi="Arial" w:cs="Arial"/>
          <w:sz w:val="18"/>
          <w:szCs w:val="18"/>
          <w:lang w:val="en-ZA"/>
        </w:rPr>
        <w:t>Bheki.mbili@drdlr.gov.za</w:t>
      </w:r>
    </w:hyperlink>
  </w:p>
  <w:p w:rsidR="0069461D" w:rsidRPr="00120251" w:rsidRDefault="00120251">
    <w:pPr>
      <w:pStyle w:val="Header"/>
      <w:rPr>
        <w:b/>
      </w:rPr>
    </w:pPr>
    <w:r w:rsidRPr="00120251">
      <w:rPr>
        <w:b/>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0C66"/>
    <w:multiLevelType w:val="hybridMultilevel"/>
    <w:tmpl w:val="CC0801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0677D6"/>
    <w:multiLevelType w:val="hybridMultilevel"/>
    <w:tmpl w:val="CA76D034"/>
    <w:lvl w:ilvl="0" w:tplc="ED6877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075D41"/>
    <w:multiLevelType w:val="hybridMultilevel"/>
    <w:tmpl w:val="607256D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7217AB1"/>
    <w:multiLevelType w:val="hybridMultilevel"/>
    <w:tmpl w:val="96C460FE"/>
    <w:lvl w:ilvl="0" w:tplc="6F801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9D17F91"/>
    <w:multiLevelType w:val="hybridMultilevel"/>
    <w:tmpl w:val="E46EED1A"/>
    <w:lvl w:ilvl="0" w:tplc="874CD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DF3D3E"/>
    <w:multiLevelType w:val="hybridMultilevel"/>
    <w:tmpl w:val="3078CF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D9245B8"/>
    <w:multiLevelType w:val="hybridMultilevel"/>
    <w:tmpl w:val="DD6AE674"/>
    <w:lvl w:ilvl="0" w:tplc="FD30DC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2D1EAE"/>
    <w:multiLevelType w:val="hybridMultilevel"/>
    <w:tmpl w:val="A816CAAE"/>
    <w:lvl w:ilvl="0" w:tplc="4B0C71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F12EBA"/>
    <w:multiLevelType w:val="hybridMultilevel"/>
    <w:tmpl w:val="A5F647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DF0EA9"/>
    <w:rsid w:val="0000287F"/>
    <w:rsid w:val="0002516F"/>
    <w:rsid w:val="00031603"/>
    <w:rsid w:val="00035D88"/>
    <w:rsid w:val="00046711"/>
    <w:rsid w:val="000528A7"/>
    <w:rsid w:val="000643E6"/>
    <w:rsid w:val="00076164"/>
    <w:rsid w:val="000C5847"/>
    <w:rsid w:val="000D030D"/>
    <w:rsid w:val="000E7FAB"/>
    <w:rsid w:val="000F4EB5"/>
    <w:rsid w:val="00120251"/>
    <w:rsid w:val="001217D9"/>
    <w:rsid w:val="0012710B"/>
    <w:rsid w:val="00131A32"/>
    <w:rsid w:val="001543E5"/>
    <w:rsid w:val="001565DC"/>
    <w:rsid w:val="00173278"/>
    <w:rsid w:val="001737D7"/>
    <w:rsid w:val="00194383"/>
    <w:rsid w:val="0019521E"/>
    <w:rsid w:val="001D33B8"/>
    <w:rsid w:val="001F2E98"/>
    <w:rsid w:val="002329A9"/>
    <w:rsid w:val="00250C46"/>
    <w:rsid w:val="00272C27"/>
    <w:rsid w:val="00273A28"/>
    <w:rsid w:val="002C6670"/>
    <w:rsid w:val="002D269F"/>
    <w:rsid w:val="002E10D6"/>
    <w:rsid w:val="002F2CA1"/>
    <w:rsid w:val="00347275"/>
    <w:rsid w:val="0035205F"/>
    <w:rsid w:val="0036730D"/>
    <w:rsid w:val="00394473"/>
    <w:rsid w:val="003B0F27"/>
    <w:rsid w:val="003E2D03"/>
    <w:rsid w:val="004504D0"/>
    <w:rsid w:val="00452424"/>
    <w:rsid w:val="0047223E"/>
    <w:rsid w:val="00481B0D"/>
    <w:rsid w:val="004A2B24"/>
    <w:rsid w:val="004B5CFD"/>
    <w:rsid w:val="004C4802"/>
    <w:rsid w:val="004F753C"/>
    <w:rsid w:val="00513C7B"/>
    <w:rsid w:val="005313E6"/>
    <w:rsid w:val="005D3ECC"/>
    <w:rsid w:val="005D7CC6"/>
    <w:rsid w:val="005F5BEB"/>
    <w:rsid w:val="006136A3"/>
    <w:rsid w:val="00623202"/>
    <w:rsid w:val="006245F1"/>
    <w:rsid w:val="006523CA"/>
    <w:rsid w:val="00657A74"/>
    <w:rsid w:val="00663BA3"/>
    <w:rsid w:val="00676049"/>
    <w:rsid w:val="0069461D"/>
    <w:rsid w:val="006B3550"/>
    <w:rsid w:val="006D117B"/>
    <w:rsid w:val="006D128F"/>
    <w:rsid w:val="006D357E"/>
    <w:rsid w:val="006D633F"/>
    <w:rsid w:val="006E6A8E"/>
    <w:rsid w:val="006E6E94"/>
    <w:rsid w:val="006F4D16"/>
    <w:rsid w:val="006F7AB0"/>
    <w:rsid w:val="00733E11"/>
    <w:rsid w:val="00751721"/>
    <w:rsid w:val="007D3E83"/>
    <w:rsid w:val="007E51E6"/>
    <w:rsid w:val="007E6A50"/>
    <w:rsid w:val="007F38AA"/>
    <w:rsid w:val="00821C77"/>
    <w:rsid w:val="00864D25"/>
    <w:rsid w:val="0086629A"/>
    <w:rsid w:val="00876D97"/>
    <w:rsid w:val="00884AD5"/>
    <w:rsid w:val="00891846"/>
    <w:rsid w:val="008B6996"/>
    <w:rsid w:val="008C47F4"/>
    <w:rsid w:val="008C6AD2"/>
    <w:rsid w:val="008D26D8"/>
    <w:rsid w:val="008D5275"/>
    <w:rsid w:val="008E112B"/>
    <w:rsid w:val="00902FDF"/>
    <w:rsid w:val="0090660B"/>
    <w:rsid w:val="00914E7A"/>
    <w:rsid w:val="00940C64"/>
    <w:rsid w:val="00955A63"/>
    <w:rsid w:val="009B7684"/>
    <w:rsid w:val="009D0C24"/>
    <w:rsid w:val="009D2C4C"/>
    <w:rsid w:val="009E6FB5"/>
    <w:rsid w:val="00A16D4E"/>
    <w:rsid w:val="00A3549A"/>
    <w:rsid w:val="00A90300"/>
    <w:rsid w:val="00A91E19"/>
    <w:rsid w:val="00AB2C0A"/>
    <w:rsid w:val="00AB334E"/>
    <w:rsid w:val="00AC31B2"/>
    <w:rsid w:val="00B23C5A"/>
    <w:rsid w:val="00B253C4"/>
    <w:rsid w:val="00B52DC2"/>
    <w:rsid w:val="00B53026"/>
    <w:rsid w:val="00B67C41"/>
    <w:rsid w:val="00B71CAE"/>
    <w:rsid w:val="00B777FF"/>
    <w:rsid w:val="00B961EF"/>
    <w:rsid w:val="00BB63CC"/>
    <w:rsid w:val="00BE6CAF"/>
    <w:rsid w:val="00BF4F73"/>
    <w:rsid w:val="00BF6BF5"/>
    <w:rsid w:val="00C00D60"/>
    <w:rsid w:val="00C158B3"/>
    <w:rsid w:val="00C15916"/>
    <w:rsid w:val="00C21368"/>
    <w:rsid w:val="00C317C6"/>
    <w:rsid w:val="00C377EF"/>
    <w:rsid w:val="00C42216"/>
    <w:rsid w:val="00C43543"/>
    <w:rsid w:val="00C636B1"/>
    <w:rsid w:val="00C75661"/>
    <w:rsid w:val="00CA77EA"/>
    <w:rsid w:val="00CC2B60"/>
    <w:rsid w:val="00CD1E5C"/>
    <w:rsid w:val="00CD2395"/>
    <w:rsid w:val="00CD6ED7"/>
    <w:rsid w:val="00D058C8"/>
    <w:rsid w:val="00D25582"/>
    <w:rsid w:val="00D30A74"/>
    <w:rsid w:val="00D40075"/>
    <w:rsid w:val="00D42B08"/>
    <w:rsid w:val="00D54AD6"/>
    <w:rsid w:val="00D65814"/>
    <w:rsid w:val="00D65989"/>
    <w:rsid w:val="00D73094"/>
    <w:rsid w:val="00D770B4"/>
    <w:rsid w:val="00D8231C"/>
    <w:rsid w:val="00DA64F1"/>
    <w:rsid w:val="00DF0EA9"/>
    <w:rsid w:val="00E17B74"/>
    <w:rsid w:val="00E707B9"/>
    <w:rsid w:val="00E975D9"/>
    <w:rsid w:val="00EA1561"/>
    <w:rsid w:val="00EA234D"/>
    <w:rsid w:val="00EC6AE6"/>
    <w:rsid w:val="00EE1624"/>
    <w:rsid w:val="00F10DD2"/>
    <w:rsid w:val="00F22E21"/>
    <w:rsid w:val="00F35B54"/>
    <w:rsid w:val="00F372CE"/>
    <w:rsid w:val="00F4501C"/>
    <w:rsid w:val="00F5242F"/>
    <w:rsid w:val="00F64296"/>
    <w:rsid w:val="00F72B16"/>
    <w:rsid w:val="00F95FD3"/>
    <w:rsid w:val="00FC5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rsid w:val="00CD6ED7"/>
    <w:rPr>
      <w:rFonts w:ascii="Times New Roman" w:eastAsia="Times New Roman" w:hAnsi="Times New Roman"/>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6ED7"/>
    <w:rPr>
      <w:color w:val="0000FF" w:themeColor="hyperlink"/>
      <w:u w:val="single"/>
    </w:rPr>
  </w:style>
  <w:style w:type="paragraph" w:styleId="ListParagraph">
    <w:name w:val="List Paragraph"/>
    <w:basedOn w:val="Normal"/>
    <w:uiPriority w:val="34"/>
    <w:qFormat/>
    <w:rsid w:val="00031603"/>
    <w:pPr>
      <w:ind w:left="720"/>
      <w:contextualSpacing/>
    </w:pPr>
  </w:style>
</w:styles>
</file>

<file path=word/webSettings.xml><?xml version="1.0" encoding="utf-8"?>
<w:webSettings xmlns:r="http://schemas.openxmlformats.org/officeDocument/2006/relationships" xmlns:w="http://schemas.openxmlformats.org/wordprocessingml/2006/main">
  <w:divs>
    <w:div w:id="133983489">
      <w:bodyDiv w:val="1"/>
      <w:marLeft w:val="0"/>
      <w:marRight w:val="0"/>
      <w:marTop w:val="0"/>
      <w:marBottom w:val="0"/>
      <w:divBdr>
        <w:top w:val="none" w:sz="0" w:space="0" w:color="auto"/>
        <w:left w:val="none" w:sz="0" w:space="0" w:color="auto"/>
        <w:bottom w:val="none" w:sz="0" w:space="0" w:color="auto"/>
        <w:right w:val="none" w:sz="0" w:space="0" w:color="auto"/>
      </w:divBdr>
    </w:div>
    <w:div w:id="1126116910">
      <w:bodyDiv w:val="1"/>
      <w:marLeft w:val="0"/>
      <w:marRight w:val="0"/>
      <w:marTop w:val="0"/>
      <w:marBottom w:val="0"/>
      <w:divBdr>
        <w:top w:val="none" w:sz="0" w:space="0" w:color="auto"/>
        <w:left w:val="none" w:sz="0" w:space="0" w:color="auto"/>
        <w:bottom w:val="none" w:sz="0" w:space="0" w:color="auto"/>
        <w:right w:val="none" w:sz="0" w:space="0" w:color="auto"/>
      </w:divBdr>
    </w:div>
    <w:div w:id="1346901162">
      <w:bodyDiv w:val="1"/>
      <w:marLeft w:val="0"/>
      <w:marRight w:val="0"/>
      <w:marTop w:val="0"/>
      <w:marBottom w:val="0"/>
      <w:divBdr>
        <w:top w:val="none" w:sz="0" w:space="0" w:color="auto"/>
        <w:left w:val="none" w:sz="0" w:space="0" w:color="auto"/>
        <w:bottom w:val="none" w:sz="0" w:space="0" w:color="auto"/>
        <w:right w:val="none" w:sz="0" w:space="0" w:color="auto"/>
      </w:divBdr>
    </w:div>
    <w:div w:id="1686325456">
      <w:bodyDiv w:val="1"/>
      <w:marLeft w:val="0"/>
      <w:marRight w:val="0"/>
      <w:marTop w:val="0"/>
      <w:marBottom w:val="0"/>
      <w:divBdr>
        <w:top w:val="none" w:sz="0" w:space="0" w:color="auto"/>
        <w:left w:val="none" w:sz="0" w:space="0" w:color="auto"/>
        <w:bottom w:val="none" w:sz="0" w:space="0" w:color="auto"/>
        <w:right w:val="none" w:sz="0" w:space="0" w:color="auto"/>
      </w:divBdr>
    </w:div>
    <w:div w:id="16971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Bheki.mbili@drdlr.gov.za"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tionary\Letterhead\Letterhead%20Chief%20Land%20Claims%20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6DD3-94B5-4B87-B78E-1FB2F934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Chief Land Claims Commissioner</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2018-03-07T13:05:00Z</cp:lastPrinted>
  <dcterms:created xsi:type="dcterms:W3CDTF">2019-09-19T09:59:00Z</dcterms:created>
  <dcterms:modified xsi:type="dcterms:W3CDTF">2019-09-19T09:59:00Z</dcterms:modified>
</cp:coreProperties>
</file>