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4"/>
        <w:gridCol w:w="8435"/>
      </w:tblGrid>
      <w:tr w:rsidR="00AF1573" w:rsidRPr="00AF1573" w:rsidTr="00DC593C">
        <w:trPr>
          <w:trHeight w:val="80"/>
        </w:trPr>
        <w:tc>
          <w:tcPr>
            <w:tcW w:w="9719" w:type="dxa"/>
            <w:gridSpan w:val="2"/>
          </w:tcPr>
          <w:p w:rsidR="00DC593C" w:rsidRPr="00DC593C" w:rsidRDefault="00DC593C" w:rsidP="00DC593C">
            <w:pPr>
              <w:pBdr>
                <w:bottom w:val="double" w:sz="6" w:space="1" w:color="auto"/>
              </w:pBdr>
              <w:tabs>
                <w:tab w:val="center" w:pos="4513"/>
                <w:tab w:val="right" w:pos="9026"/>
              </w:tabs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DC593C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794000" cy="742950"/>
                  <wp:effectExtent l="0" t="0" r="6350" b="0"/>
                  <wp:docPr id="5" name="Picture 5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2462" b="30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3C">
              <w:rPr>
                <w:rFonts w:ascii="Calibri" w:eastAsia="Calibri" w:hAnsi="Calibri" w:cs="Times New Roman"/>
                <w:noProof/>
              </w:rPr>
              <w:t xml:space="preserve">                                                                     </w:t>
            </w:r>
            <w:r w:rsidRPr="00DC593C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952500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93C" w:rsidRPr="00DC593C" w:rsidRDefault="00DC593C" w:rsidP="00DC593C">
            <w:pPr>
              <w:pBdr>
                <w:bottom w:val="double" w:sz="6" w:space="1" w:color="auto"/>
              </w:pBdr>
              <w:tabs>
                <w:tab w:val="center" w:pos="4513"/>
                <w:tab w:val="right" w:pos="9026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C593C">
              <w:rPr>
                <w:rFonts w:ascii="Arial Narrow" w:eastAsia="Calibri" w:hAnsi="Arial Narrow" w:cs="Times New Roman"/>
                <w:sz w:val="20"/>
                <w:szCs w:val="20"/>
              </w:rPr>
              <w:t>Private Bag X931, Pretoria, 0001, 36 Hamilton Street, Arcadia, Pretoria</w:t>
            </w:r>
          </w:p>
          <w:p w:rsidR="00DC593C" w:rsidRPr="00DC593C" w:rsidRDefault="00DC593C" w:rsidP="00DC593C">
            <w:pPr>
              <w:pBdr>
                <w:bottom w:val="double" w:sz="6" w:space="1" w:color="auto"/>
              </w:pBdr>
              <w:tabs>
                <w:tab w:val="center" w:pos="4513"/>
                <w:tab w:val="right" w:pos="9026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C593C">
              <w:rPr>
                <w:rFonts w:ascii="Arial Narrow" w:eastAsia="Calibri" w:hAnsi="Arial Narrow" w:cs="Times New Roman"/>
                <w:sz w:val="20"/>
                <w:szCs w:val="20"/>
              </w:rPr>
              <w:t>Tel.: 012 359 0071/2, Fax: 012 323 5954</w:t>
            </w:r>
          </w:p>
          <w:p w:rsidR="00B1515E" w:rsidRPr="00AF1573" w:rsidRDefault="00B1515E" w:rsidP="0038776E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B1515E" w:rsidRPr="00AF1573" w:rsidTr="00DC593C">
        <w:trPr>
          <w:trHeight w:val="389"/>
        </w:trPr>
        <w:tc>
          <w:tcPr>
            <w:tcW w:w="1284" w:type="dxa"/>
          </w:tcPr>
          <w:p w:rsidR="00B1515E" w:rsidRPr="00AF1573" w:rsidRDefault="00B1515E" w:rsidP="0038776E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8435" w:type="dxa"/>
            <w:hideMark/>
          </w:tcPr>
          <w:p w:rsidR="00B1515E" w:rsidRPr="00AF1573" w:rsidRDefault="00B1515E" w:rsidP="0038776E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</w:tbl>
    <w:p w:rsidR="00B1515E" w:rsidRPr="007D1ABC" w:rsidRDefault="00DC593C" w:rsidP="00DC59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1ABC">
        <w:rPr>
          <w:rFonts w:ascii="Arial" w:hAnsi="Arial" w:cs="Arial"/>
          <w:b/>
          <w:noProof/>
          <w:sz w:val="24"/>
          <w:szCs w:val="24"/>
          <w:u w:val="single"/>
        </w:rPr>
        <w:t xml:space="preserve">THIRD AND FOURTH QUARTER REPORT OF 2018/19 AND FIRST QUARTER </w:t>
      </w:r>
      <w:r w:rsidR="002B0A83" w:rsidRPr="007D1ABC">
        <w:rPr>
          <w:rFonts w:ascii="Arial" w:hAnsi="Arial" w:cs="Arial"/>
          <w:b/>
          <w:noProof/>
          <w:sz w:val="24"/>
          <w:szCs w:val="24"/>
          <w:u w:val="single"/>
        </w:rPr>
        <w:t>REPORT</w:t>
      </w:r>
      <w:r w:rsidR="007D1ABC" w:rsidRPr="007D1ABC">
        <w:rPr>
          <w:rFonts w:ascii="Arial" w:hAnsi="Arial" w:cs="Arial"/>
          <w:b/>
          <w:noProof/>
          <w:sz w:val="24"/>
          <w:szCs w:val="24"/>
          <w:u w:val="single"/>
        </w:rPr>
        <w:t>S</w:t>
      </w:r>
      <w:r w:rsidR="002B0A83" w:rsidRPr="007D1ABC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Pr="007D1ABC">
        <w:rPr>
          <w:rFonts w:ascii="Arial" w:hAnsi="Arial" w:cs="Arial"/>
          <w:b/>
          <w:noProof/>
          <w:sz w:val="24"/>
          <w:szCs w:val="24"/>
          <w:u w:val="single"/>
        </w:rPr>
        <w:t>OF 2019/20.</w:t>
      </w:r>
    </w:p>
    <w:p w:rsidR="00AF11B1" w:rsidRPr="00D533DE" w:rsidRDefault="00AF11B1" w:rsidP="00D533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515E" w:rsidRPr="00D533DE" w:rsidRDefault="00B1515E" w:rsidP="00D533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33DE">
        <w:rPr>
          <w:rFonts w:ascii="Arial" w:hAnsi="Arial" w:cs="Arial"/>
          <w:b/>
          <w:sz w:val="24"/>
          <w:szCs w:val="24"/>
        </w:rPr>
        <w:t xml:space="preserve">DATE:   </w:t>
      </w:r>
      <w:r w:rsidR="00DC593C">
        <w:rPr>
          <w:rFonts w:ascii="Arial" w:hAnsi="Arial" w:cs="Arial"/>
          <w:b/>
          <w:sz w:val="24"/>
          <w:szCs w:val="24"/>
        </w:rPr>
        <w:t>06 September 2019</w:t>
      </w:r>
    </w:p>
    <w:p w:rsidR="00AF11B1" w:rsidRPr="00D533DE" w:rsidRDefault="00AF11B1" w:rsidP="00D533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E32A4" w:rsidRPr="00D533DE" w:rsidRDefault="004F1BF3" w:rsidP="00D533DE">
      <w:pPr>
        <w:pStyle w:val="ListParagraph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533DE">
        <w:rPr>
          <w:rFonts w:ascii="Arial" w:hAnsi="Arial" w:cs="Arial"/>
          <w:b/>
          <w:sz w:val="24"/>
          <w:szCs w:val="24"/>
        </w:rPr>
        <w:t>INTRODUCTION</w:t>
      </w:r>
      <w:r w:rsidR="000E32A4" w:rsidRPr="00D533DE">
        <w:rPr>
          <w:rFonts w:ascii="Arial" w:hAnsi="Arial" w:cs="Arial"/>
          <w:b/>
          <w:sz w:val="24"/>
          <w:szCs w:val="24"/>
        </w:rPr>
        <w:t xml:space="preserve"> </w:t>
      </w:r>
    </w:p>
    <w:p w:rsidR="008F627E" w:rsidRDefault="00DC593C" w:rsidP="002B0A8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report is to provide insight of the Youth Development branch based on Annual Performance Plan (APP)</w:t>
      </w:r>
      <w:r w:rsidR="00146AC8">
        <w:rPr>
          <w:rFonts w:ascii="Arial" w:hAnsi="Arial" w:cs="Arial"/>
          <w:sz w:val="24"/>
          <w:szCs w:val="24"/>
        </w:rPr>
        <w:t>, for financial year 2018/19 (3</w:t>
      </w:r>
      <w:r w:rsidR="00146AC8" w:rsidRPr="00146AC8">
        <w:rPr>
          <w:rFonts w:ascii="Arial" w:hAnsi="Arial" w:cs="Arial"/>
          <w:sz w:val="24"/>
          <w:szCs w:val="24"/>
          <w:vertAlign w:val="superscript"/>
        </w:rPr>
        <w:t>rd</w:t>
      </w:r>
      <w:r w:rsidR="00146AC8">
        <w:rPr>
          <w:rFonts w:ascii="Arial" w:hAnsi="Arial" w:cs="Arial"/>
          <w:sz w:val="24"/>
          <w:szCs w:val="24"/>
        </w:rPr>
        <w:t xml:space="preserve"> and 4</w:t>
      </w:r>
      <w:r w:rsidR="00146AC8" w:rsidRPr="00146AC8">
        <w:rPr>
          <w:rFonts w:ascii="Arial" w:hAnsi="Arial" w:cs="Arial"/>
          <w:sz w:val="24"/>
          <w:szCs w:val="24"/>
          <w:vertAlign w:val="superscript"/>
        </w:rPr>
        <w:t>th</w:t>
      </w:r>
      <w:r w:rsidR="00146AC8">
        <w:rPr>
          <w:rFonts w:ascii="Arial" w:hAnsi="Arial" w:cs="Arial"/>
          <w:sz w:val="24"/>
          <w:szCs w:val="24"/>
        </w:rPr>
        <w:t xml:space="preserve"> quarter) as well as 1</w:t>
      </w:r>
      <w:r w:rsidR="00146AC8" w:rsidRPr="00146AC8">
        <w:rPr>
          <w:rFonts w:ascii="Arial" w:hAnsi="Arial" w:cs="Arial"/>
          <w:sz w:val="24"/>
          <w:szCs w:val="24"/>
          <w:vertAlign w:val="superscript"/>
        </w:rPr>
        <w:t>st</w:t>
      </w:r>
      <w:r w:rsidR="00146AC8">
        <w:rPr>
          <w:rFonts w:ascii="Arial" w:hAnsi="Arial" w:cs="Arial"/>
          <w:sz w:val="24"/>
          <w:szCs w:val="24"/>
        </w:rPr>
        <w:t xml:space="preserve"> quarter of 2019/20.</w:t>
      </w:r>
      <w:r w:rsidR="00525291">
        <w:rPr>
          <w:rFonts w:ascii="Arial" w:hAnsi="Arial" w:cs="Arial"/>
          <w:sz w:val="24"/>
          <w:szCs w:val="24"/>
        </w:rPr>
        <w:t xml:space="preserve"> The purpose of the branch </w:t>
      </w:r>
      <w:r w:rsidR="00AF664D">
        <w:rPr>
          <w:rFonts w:ascii="Arial" w:hAnsi="Arial" w:cs="Arial"/>
          <w:sz w:val="24"/>
          <w:szCs w:val="24"/>
        </w:rPr>
        <w:t>is to develop</w:t>
      </w:r>
      <w:r w:rsidR="00DF12E3">
        <w:rPr>
          <w:rFonts w:ascii="Arial" w:hAnsi="Arial" w:cs="Arial"/>
          <w:sz w:val="24"/>
          <w:szCs w:val="24"/>
        </w:rPr>
        <w:t xml:space="preserve"> national youth</w:t>
      </w:r>
      <w:r w:rsidR="00525291">
        <w:rPr>
          <w:rFonts w:ascii="Arial" w:hAnsi="Arial" w:cs="Arial"/>
          <w:sz w:val="24"/>
          <w:szCs w:val="24"/>
        </w:rPr>
        <w:t xml:space="preserve"> policies</w:t>
      </w:r>
      <w:r w:rsidR="00DF12E3">
        <w:rPr>
          <w:rFonts w:ascii="Arial" w:hAnsi="Arial" w:cs="Arial"/>
          <w:sz w:val="24"/>
          <w:szCs w:val="24"/>
        </w:rPr>
        <w:t xml:space="preserve"> and legislation;</w:t>
      </w:r>
      <w:r w:rsidR="00CC7C12">
        <w:rPr>
          <w:rFonts w:ascii="Arial" w:hAnsi="Arial" w:cs="Arial"/>
          <w:sz w:val="24"/>
          <w:szCs w:val="24"/>
        </w:rPr>
        <w:t xml:space="preserve"> monitor and evaluate implementation of the National Youth</w:t>
      </w:r>
      <w:r w:rsidR="00DF12E3">
        <w:rPr>
          <w:rFonts w:ascii="Arial" w:hAnsi="Arial" w:cs="Arial"/>
          <w:sz w:val="24"/>
          <w:szCs w:val="24"/>
        </w:rPr>
        <w:t xml:space="preserve"> </w:t>
      </w:r>
      <w:r w:rsidR="00CC7C12">
        <w:rPr>
          <w:rFonts w:ascii="Arial" w:hAnsi="Arial" w:cs="Arial"/>
          <w:sz w:val="24"/>
          <w:szCs w:val="24"/>
        </w:rPr>
        <w:t>Policy; support n</w:t>
      </w:r>
      <w:r w:rsidR="00DF12E3">
        <w:rPr>
          <w:rFonts w:ascii="Arial" w:hAnsi="Arial" w:cs="Arial"/>
          <w:sz w:val="24"/>
          <w:szCs w:val="24"/>
        </w:rPr>
        <w:t xml:space="preserve">ational and international stakeholders; and provide technical support </w:t>
      </w:r>
      <w:r w:rsidR="00CC7C12">
        <w:rPr>
          <w:rFonts w:ascii="Arial" w:hAnsi="Arial" w:cs="Arial"/>
          <w:sz w:val="24"/>
          <w:szCs w:val="24"/>
        </w:rPr>
        <w:t>to the Executive Authority in overseeing the NYDA.</w:t>
      </w:r>
    </w:p>
    <w:p w:rsidR="002B0A83" w:rsidRPr="00D533DE" w:rsidRDefault="002B0A83" w:rsidP="002B0A8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E32A4" w:rsidRPr="00D533DE" w:rsidRDefault="00C57266" w:rsidP="002B0A83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7266">
        <w:rPr>
          <w:rFonts w:ascii="Arial" w:hAnsi="Arial" w:cs="Arial"/>
          <w:b/>
          <w:sz w:val="24"/>
          <w:szCs w:val="24"/>
        </w:rPr>
        <w:t>2</w:t>
      </w:r>
      <w:r w:rsidR="00197B94" w:rsidRPr="00D533DE">
        <w:rPr>
          <w:rFonts w:ascii="Arial" w:hAnsi="Arial" w:cs="Arial"/>
          <w:sz w:val="24"/>
          <w:szCs w:val="24"/>
        </w:rPr>
        <w:t>.</w:t>
      </w:r>
      <w:r w:rsidR="00197B94" w:rsidRPr="00D533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DISCUSSION</w:t>
      </w:r>
      <w:r w:rsidR="004F1BF3" w:rsidRPr="00D533DE">
        <w:rPr>
          <w:rFonts w:ascii="Arial" w:hAnsi="Arial" w:cs="Arial"/>
          <w:sz w:val="24"/>
          <w:szCs w:val="24"/>
        </w:rPr>
        <w:t xml:space="preserve"> </w:t>
      </w:r>
    </w:p>
    <w:p w:rsidR="002B0A83" w:rsidRDefault="00AF664D" w:rsidP="002B0A83">
      <w:p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The table below shows the key performance areas and targets achieved for the three quarters: </w:t>
      </w:r>
    </w:p>
    <w:tbl>
      <w:tblPr>
        <w:tblStyle w:val="TableGrid"/>
        <w:tblW w:w="992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985"/>
        <w:gridCol w:w="1984"/>
        <w:gridCol w:w="1985"/>
        <w:gridCol w:w="1984"/>
        <w:gridCol w:w="1984"/>
      </w:tblGrid>
      <w:tr w:rsidR="007D1ABC" w:rsidRPr="00AF664D" w:rsidTr="005646D9">
        <w:trPr>
          <w:trHeight w:val="710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7D1ABC" w:rsidRDefault="007D1ABC" w:rsidP="00926E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64D">
              <w:rPr>
                <w:rFonts w:ascii="Arial" w:hAnsi="Arial" w:cs="Arial"/>
                <w:b/>
                <w:sz w:val="24"/>
                <w:szCs w:val="24"/>
              </w:rPr>
              <w:t>Key Performance Indicator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7D1ABC" w:rsidRDefault="007D1ABC" w:rsidP="00926E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ABC" w:rsidRPr="00AF664D" w:rsidRDefault="007D1ABC" w:rsidP="00926E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D1ABC" w:rsidRPr="00AF664D" w:rsidRDefault="007D1ABC" w:rsidP="00762D1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Quarterly Performance Report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D1ABC" w:rsidRDefault="007D1ABC" w:rsidP="00762D1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Achieved/ Not Achieved</w:t>
            </w:r>
          </w:p>
        </w:tc>
      </w:tr>
      <w:tr w:rsidR="007D1ABC" w:rsidRPr="00AF664D" w:rsidTr="005646D9">
        <w:trPr>
          <w:trHeight w:val="71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7D1ABC" w:rsidRPr="00AF664D" w:rsidRDefault="007D1ABC" w:rsidP="00926E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D1ABC" w:rsidRPr="00AF664D" w:rsidRDefault="007D1ABC" w:rsidP="00926E8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AF664D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Q3 of 2018/19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D1ABC" w:rsidRPr="00AF664D" w:rsidRDefault="007D1ABC" w:rsidP="00926E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64D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Q4 of 2018/19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D1ABC" w:rsidRPr="00AF664D" w:rsidRDefault="007D1ABC" w:rsidP="00926E8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F664D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Q1 of 2019/20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D1ABC" w:rsidRPr="00AF664D" w:rsidRDefault="007D1ABC" w:rsidP="00926E8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26E86" w:rsidRPr="00AF664D" w:rsidTr="00926E86">
        <w:trPr>
          <w:trHeight w:val="1790"/>
        </w:trPr>
        <w:tc>
          <w:tcPr>
            <w:tcW w:w="1985" w:type="dxa"/>
            <w:shd w:val="clear" w:color="auto" w:fill="auto"/>
          </w:tcPr>
          <w:p w:rsidR="00926E86" w:rsidRPr="00AF664D" w:rsidRDefault="00926E86" w:rsidP="00926E86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National Youth Policy (NYP) implemented, </w:t>
            </w: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monitored and reviewed </w:t>
            </w:r>
          </w:p>
        </w:tc>
        <w:tc>
          <w:tcPr>
            <w:tcW w:w="1984" w:type="dxa"/>
          </w:tcPr>
          <w:p w:rsidR="00926E86" w:rsidRPr="00AF664D" w:rsidRDefault="00926E86" w:rsidP="007D1ABC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NYP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implementation  report</w:t>
            </w: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7D1ABC">
              <w:rPr>
                <w:rFonts w:ascii="Arial" w:eastAsia="Calibri" w:hAnsi="Arial" w:cs="Arial"/>
                <w:sz w:val="24"/>
                <w:szCs w:val="24"/>
                <w:lang w:val="en-US"/>
              </w:rPr>
              <w:t>produced</w:t>
            </w:r>
          </w:p>
        </w:tc>
        <w:tc>
          <w:tcPr>
            <w:tcW w:w="1985" w:type="dxa"/>
          </w:tcPr>
          <w:p w:rsidR="00926E86" w:rsidRPr="00AF664D" w:rsidRDefault="00926E86" w:rsidP="007D1ABC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NYP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implementation report</w:t>
            </w: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7D1ABC">
              <w:rPr>
                <w:rFonts w:ascii="Arial" w:eastAsia="Calibri" w:hAnsi="Arial" w:cs="Arial"/>
                <w:sz w:val="24"/>
                <w:szCs w:val="24"/>
                <w:lang w:val="en-US"/>
              </w:rPr>
              <w:t>produced</w:t>
            </w:r>
          </w:p>
        </w:tc>
        <w:tc>
          <w:tcPr>
            <w:tcW w:w="1984" w:type="dxa"/>
          </w:tcPr>
          <w:p w:rsidR="00926E86" w:rsidRPr="00AF664D" w:rsidRDefault="00926E86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NYP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implementation  report</w:t>
            </w:r>
            <w:r w:rsidR="007D1ABC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produced</w:t>
            </w:r>
          </w:p>
        </w:tc>
        <w:tc>
          <w:tcPr>
            <w:tcW w:w="1984" w:type="dxa"/>
          </w:tcPr>
          <w:p w:rsidR="00926E86" w:rsidRPr="00AF664D" w:rsidRDefault="007D1ABC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Achieved</w:t>
            </w:r>
          </w:p>
        </w:tc>
      </w:tr>
      <w:tr w:rsidR="00C122DB" w:rsidRPr="00AF664D" w:rsidTr="00926E86">
        <w:tc>
          <w:tcPr>
            <w:tcW w:w="1985" w:type="dxa"/>
            <w:vMerge w:val="restart"/>
            <w:shd w:val="clear" w:color="auto" w:fill="auto"/>
          </w:tcPr>
          <w:p w:rsidR="00C122DB" w:rsidRPr="00AF664D" w:rsidRDefault="00C122DB" w:rsidP="00926E86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National Youth Policy (NYP) implemented, </w:t>
            </w: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monitored and reviewed</w:t>
            </w:r>
          </w:p>
        </w:tc>
        <w:tc>
          <w:tcPr>
            <w:tcW w:w="1984" w:type="dxa"/>
          </w:tcPr>
          <w:p w:rsidR="00C122DB" w:rsidRPr="00AF664D" w:rsidRDefault="00C122DB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 xml:space="preserve">NYP Midterm evaluation review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conducted</w:t>
            </w:r>
          </w:p>
        </w:tc>
        <w:tc>
          <w:tcPr>
            <w:tcW w:w="1985" w:type="dxa"/>
          </w:tcPr>
          <w:p w:rsidR="00C122DB" w:rsidRPr="00AF664D" w:rsidRDefault="00C122DB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 xml:space="preserve">NYP Midterm evaluation review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submitted</w:t>
            </w:r>
          </w:p>
        </w:tc>
        <w:tc>
          <w:tcPr>
            <w:tcW w:w="1984" w:type="dxa"/>
          </w:tcPr>
          <w:p w:rsidR="00C122DB" w:rsidRPr="00AF664D" w:rsidRDefault="00C122DB" w:rsidP="007D1ABC">
            <w:pPr>
              <w:spacing w:line="24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984" w:type="dxa"/>
          </w:tcPr>
          <w:p w:rsidR="00C122DB" w:rsidRPr="00AF664D" w:rsidRDefault="00C122DB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Achieved</w:t>
            </w:r>
          </w:p>
        </w:tc>
      </w:tr>
      <w:tr w:rsidR="00C122DB" w:rsidRPr="00AF664D" w:rsidTr="00926E86">
        <w:trPr>
          <w:trHeight w:val="1519"/>
        </w:trPr>
        <w:tc>
          <w:tcPr>
            <w:tcW w:w="1985" w:type="dxa"/>
            <w:vMerge/>
            <w:shd w:val="clear" w:color="auto" w:fill="auto"/>
          </w:tcPr>
          <w:p w:rsidR="00C122DB" w:rsidRPr="00AF664D" w:rsidRDefault="00C122DB" w:rsidP="00926E86">
            <w:pPr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2DB" w:rsidRPr="00AF664D" w:rsidRDefault="00C122DB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>NYDA  reports quality assured and Assessment report produced</w:t>
            </w:r>
          </w:p>
        </w:tc>
        <w:tc>
          <w:tcPr>
            <w:tcW w:w="1985" w:type="dxa"/>
          </w:tcPr>
          <w:p w:rsidR="00C122DB" w:rsidRPr="00AF664D" w:rsidRDefault="00C122DB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>NYDA  reports quality assured and Assessment report produced</w:t>
            </w:r>
          </w:p>
        </w:tc>
        <w:tc>
          <w:tcPr>
            <w:tcW w:w="1984" w:type="dxa"/>
          </w:tcPr>
          <w:p w:rsidR="00C122DB" w:rsidRPr="00AF664D" w:rsidRDefault="00C122DB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>NYDA  reports quality assured and Assessment report produced</w:t>
            </w:r>
          </w:p>
        </w:tc>
        <w:tc>
          <w:tcPr>
            <w:tcW w:w="1984" w:type="dxa"/>
          </w:tcPr>
          <w:p w:rsidR="00C122DB" w:rsidRPr="00AF664D" w:rsidRDefault="00C122DB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Achieved</w:t>
            </w:r>
          </w:p>
        </w:tc>
      </w:tr>
      <w:tr w:rsidR="00C122DB" w:rsidRPr="00AF664D" w:rsidTr="00926E86">
        <w:trPr>
          <w:trHeight w:val="1519"/>
        </w:trPr>
        <w:tc>
          <w:tcPr>
            <w:tcW w:w="1985" w:type="dxa"/>
            <w:vMerge/>
            <w:shd w:val="clear" w:color="auto" w:fill="auto"/>
          </w:tcPr>
          <w:p w:rsidR="00C122DB" w:rsidRPr="00AF664D" w:rsidRDefault="00C122DB" w:rsidP="00926E86">
            <w:pPr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2DB" w:rsidRPr="00AF664D" w:rsidRDefault="00C122DB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C122DB" w:rsidRPr="00AF664D" w:rsidRDefault="00C122DB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C122DB" w:rsidRPr="00AF664D" w:rsidRDefault="00C122DB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Draft Youth mainstreaming Guidelines for Youth Responsive Budgeting, Planning, Monitoring and Evaluation produced</w:t>
            </w:r>
          </w:p>
        </w:tc>
        <w:tc>
          <w:tcPr>
            <w:tcW w:w="1984" w:type="dxa"/>
          </w:tcPr>
          <w:p w:rsidR="00C122DB" w:rsidRDefault="00C122DB" w:rsidP="00926E86">
            <w:pPr>
              <w:spacing w:line="249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Achieved</w:t>
            </w:r>
          </w:p>
        </w:tc>
      </w:tr>
      <w:tr w:rsidR="00926E86" w:rsidRPr="00AF664D" w:rsidTr="00926E86">
        <w:trPr>
          <w:trHeight w:val="1519"/>
        </w:trPr>
        <w:tc>
          <w:tcPr>
            <w:tcW w:w="1985" w:type="dxa"/>
            <w:shd w:val="clear" w:color="auto" w:fill="auto"/>
          </w:tcPr>
          <w:p w:rsidR="00926E86" w:rsidRPr="00AF664D" w:rsidRDefault="00926E86" w:rsidP="007D1ABC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F664D">
              <w:rPr>
                <w:rFonts w:ascii="Arial" w:eastAsia="Calibri" w:hAnsi="Arial" w:cs="Arial"/>
                <w:sz w:val="24"/>
                <w:szCs w:val="24"/>
              </w:rPr>
              <w:t>Oversight of the NYDA conducted</w:t>
            </w:r>
          </w:p>
        </w:tc>
        <w:tc>
          <w:tcPr>
            <w:tcW w:w="1984" w:type="dxa"/>
          </w:tcPr>
          <w:p w:rsidR="00926E86" w:rsidRPr="00AF664D" w:rsidRDefault="00926E86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Transfer payment </w:t>
            </w:r>
            <w:r w:rsidR="007D1ABC">
              <w:rPr>
                <w:rFonts w:ascii="Arial" w:eastAsia="Calibri" w:hAnsi="Arial" w:cs="Arial"/>
                <w:sz w:val="24"/>
                <w:szCs w:val="24"/>
                <w:lang w:val="en-US"/>
              </w:rPr>
              <w:t>for quarter 2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>submitted for approval</w:t>
            </w:r>
          </w:p>
        </w:tc>
        <w:tc>
          <w:tcPr>
            <w:tcW w:w="1985" w:type="dxa"/>
          </w:tcPr>
          <w:p w:rsidR="00926E86" w:rsidRPr="00AF664D" w:rsidRDefault="00926E86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Transfer payment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for quarter</w:t>
            </w: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3 </w:t>
            </w: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>submitted for approval</w:t>
            </w:r>
          </w:p>
        </w:tc>
        <w:tc>
          <w:tcPr>
            <w:tcW w:w="1984" w:type="dxa"/>
          </w:tcPr>
          <w:p w:rsidR="00926E86" w:rsidRPr="00AF664D" w:rsidRDefault="00926E86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Transfer payment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for quarter 4</w:t>
            </w:r>
            <w:r w:rsidRPr="00AF664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submitted for approval</w:t>
            </w:r>
          </w:p>
          <w:p w:rsidR="00926E86" w:rsidRPr="00AF664D" w:rsidRDefault="00926E86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26E86" w:rsidRPr="00AF664D" w:rsidRDefault="007D1ABC" w:rsidP="00926E86">
            <w:pPr>
              <w:spacing w:line="24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Achieved</w:t>
            </w:r>
          </w:p>
        </w:tc>
      </w:tr>
    </w:tbl>
    <w:p w:rsidR="00AF664D" w:rsidRPr="00AF664D" w:rsidRDefault="00AF664D" w:rsidP="00AF664D">
      <w:pPr>
        <w:rPr>
          <w:rFonts w:ascii="Arial" w:eastAsia="Calibri" w:hAnsi="Arial" w:cs="Arial"/>
          <w:sz w:val="24"/>
          <w:szCs w:val="24"/>
          <w:lang w:val="en-US"/>
        </w:rPr>
      </w:pPr>
    </w:p>
    <w:p w:rsidR="002B0A83" w:rsidRPr="002B0A83" w:rsidRDefault="002B0A83" w:rsidP="002B0A83">
      <w:p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2B0A83" w:rsidRPr="002B0A83" w:rsidRDefault="004F1BF3" w:rsidP="002B0A83">
      <w:pPr>
        <w:pStyle w:val="ListParagraph"/>
        <w:numPr>
          <w:ilvl w:val="0"/>
          <w:numId w:val="9"/>
        </w:numPr>
        <w:spacing w:after="0" w:line="360" w:lineRule="auto"/>
        <w:ind w:hanging="862"/>
        <w:jc w:val="both"/>
        <w:rPr>
          <w:rFonts w:ascii="Arial" w:hAnsi="Arial" w:cs="Arial"/>
          <w:b/>
          <w:sz w:val="24"/>
          <w:szCs w:val="24"/>
        </w:rPr>
      </w:pPr>
      <w:r w:rsidRPr="002B0A83">
        <w:rPr>
          <w:rFonts w:ascii="Arial" w:hAnsi="Arial" w:cs="Arial"/>
          <w:b/>
          <w:sz w:val="24"/>
          <w:szCs w:val="24"/>
        </w:rPr>
        <w:t>CONCLUDING REMARKS</w:t>
      </w:r>
    </w:p>
    <w:p w:rsidR="00D533DE" w:rsidRPr="002B0A83" w:rsidRDefault="002B0A83" w:rsidP="002B0A83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means of verification </w:t>
      </w:r>
      <w:r w:rsidRPr="002B0A83">
        <w:rPr>
          <w:rFonts w:ascii="Arial" w:hAnsi="Arial" w:cs="Arial"/>
          <w:sz w:val="24"/>
          <w:szCs w:val="24"/>
        </w:rPr>
        <w:t>for quarter one of 2019/20 was gathered</w:t>
      </w:r>
      <w:r w:rsidR="007D1ABC">
        <w:rPr>
          <w:rFonts w:ascii="Arial" w:hAnsi="Arial" w:cs="Arial"/>
          <w:sz w:val="24"/>
          <w:szCs w:val="24"/>
        </w:rPr>
        <w:t>,</w:t>
      </w:r>
      <w:r w:rsidRPr="002B0A83">
        <w:rPr>
          <w:rFonts w:ascii="Arial" w:hAnsi="Arial" w:cs="Arial"/>
          <w:sz w:val="24"/>
          <w:szCs w:val="24"/>
        </w:rPr>
        <w:t xml:space="preserve"> but not submitted due to </w:t>
      </w:r>
      <w:r w:rsidR="007D1ABC">
        <w:rPr>
          <w:rFonts w:ascii="Arial" w:hAnsi="Arial" w:cs="Arial"/>
          <w:sz w:val="24"/>
          <w:szCs w:val="24"/>
        </w:rPr>
        <w:t xml:space="preserve">transfer of the youth development function from the DPME to </w:t>
      </w:r>
      <w:r>
        <w:rPr>
          <w:rFonts w:ascii="Arial" w:hAnsi="Arial" w:cs="Arial"/>
          <w:sz w:val="24"/>
          <w:szCs w:val="24"/>
        </w:rPr>
        <w:t>DWYPD.</w:t>
      </w:r>
      <w:r w:rsidR="007D1ABC">
        <w:rPr>
          <w:rFonts w:ascii="Arial" w:hAnsi="Arial" w:cs="Arial"/>
          <w:sz w:val="24"/>
          <w:szCs w:val="24"/>
        </w:rPr>
        <w:t xml:space="preserve"> Finalisation of the NMOG process will help clarify reporting lines and accountability thereof. </w:t>
      </w:r>
    </w:p>
    <w:p w:rsidR="00D533DE" w:rsidRDefault="00D533DE" w:rsidP="00D533DE">
      <w:pPr>
        <w:pStyle w:val="ListParagraph"/>
        <w:spacing w:line="276" w:lineRule="auto"/>
        <w:ind w:left="709"/>
        <w:rPr>
          <w:rFonts w:ascii="Arial" w:hAnsi="Arial" w:cs="Arial"/>
        </w:rPr>
      </w:pPr>
    </w:p>
    <w:p w:rsidR="00D533DE" w:rsidRDefault="00D533DE" w:rsidP="00D533DE">
      <w:pPr>
        <w:pStyle w:val="ListParagraph"/>
        <w:spacing w:line="276" w:lineRule="auto"/>
        <w:ind w:left="709"/>
        <w:rPr>
          <w:rFonts w:ascii="Arial" w:hAnsi="Arial" w:cs="Arial"/>
        </w:rPr>
      </w:pPr>
    </w:p>
    <w:p w:rsidR="00D533DE" w:rsidRDefault="00D533DE" w:rsidP="00D533DE">
      <w:pPr>
        <w:pStyle w:val="ListParagraph"/>
        <w:spacing w:line="276" w:lineRule="auto"/>
        <w:ind w:left="709"/>
        <w:rPr>
          <w:rFonts w:ascii="Arial" w:hAnsi="Arial" w:cs="Arial"/>
        </w:rPr>
      </w:pPr>
    </w:p>
    <w:sectPr w:rsidR="00D533DE" w:rsidSect="00AF664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6F" w:rsidRDefault="00486A6F" w:rsidP="00D533DE">
      <w:pPr>
        <w:spacing w:after="0" w:line="240" w:lineRule="auto"/>
      </w:pPr>
      <w:r>
        <w:separator/>
      </w:r>
    </w:p>
  </w:endnote>
  <w:endnote w:type="continuationSeparator" w:id="0">
    <w:p w:rsidR="00486A6F" w:rsidRDefault="00486A6F" w:rsidP="00D5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79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3DE" w:rsidRDefault="000056DC">
        <w:pPr>
          <w:pStyle w:val="Footer"/>
          <w:jc w:val="right"/>
        </w:pPr>
        <w:r>
          <w:fldChar w:fldCharType="begin"/>
        </w:r>
        <w:r w:rsidR="00D533DE">
          <w:instrText xml:space="preserve"> PAGE   \* MERGEFORMAT </w:instrText>
        </w:r>
        <w:r>
          <w:fldChar w:fldCharType="separate"/>
        </w:r>
        <w:r w:rsidR="001A6D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3DE" w:rsidRDefault="00D53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6F" w:rsidRDefault="00486A6F" w:rsidP="00D533DE">
      <w:pPr>
        <w:spacing w:after="0" w:line="240" w:lineRule="auto"/>
      </w:pPr>
      <w:r>
        <w:separator/>
      </w:r>
    </w:p>
  </w:footnote>
  <w:footnote w:type="continuationSeparator" w:id="0">
    <w:p w:rsidR="00486A6F" w:rsidRDefault="00486A6F" w:rsidP="00D5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B03"/>
    <w:multiLevelType w:val="hybridMultilevel"/>
    <w:tmpl w:val="3A3EC466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4A2"/>
    <w:multiLevelType w:val="hybridMultilevel"/>
    <w:tmpl w:val="EA8CBF88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265"/>
    <w:multiLevelType w:val="hybridMultilevel"/>
    <w:tmpl w:val="6FE4F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6AF2"/>
    <w:multiLevelType w:val="hybridMultilevel"/>
    <w:tmpl w:val="048CC4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7CA3"/>
    <w:multiLevelType w:val="hybridMultilevel"/>
    <w:tmpl w:val="F648CF2C"/>
    <w:lvl w:ilvl="0" w:tplc="1EF05C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F220CF"/>
    <w:multiLevelType w:val="hybridMultilevel"/>
    <w:tmpl w:val="A21A28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15741C"/>
    <w:multiLevelType w:val="hybridMultilevel"/>
    <w:tmpl w:val="5F9EA4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932A6"/>
    <w:multiLevelType w:val="hybridMultilevel"/>
    <w:tmpl w:val="86E6C1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126EB"/>
    <w:multiLevelType w:val="hybridMultilevel"/>
    <w:tmpl w:val="9DFAFB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E1C42"/>
    <w:multiLevelType w:val="hybridMultilevel"/>
    <w:tmpl w:val="25B4D6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5EE"/>
    <w:rsid w:val="000056DC"/>
    <w:rsid w:val="000258DF"/>
    <w:rsid w:val="00025AE7"/>
    <w:rsid w:val="00026F1C"/>
    <w:rsid w:val="000338E0"/>
    <w:rsid w:val="00055BF2"/>
    <w:rsid w:val="00070FF6"/>
    <w:rsid w:val="00077C06"/>
    <w:rsid w:val="000842E9"/>
    <w:rsid w:val="000E32A4"/>
    <w:rsid w:val="00146AC8"/>
    <w:rsid w:val="00152DB1"/>
    <w:rsid w:val="00186800"/>
    <w:rsid w:val="00197B94"/>
    <w:rsid w:val="001A6DE7"/>
    <w:rsid w:val="001D1CB4"/>
    <w:rsid w:val="002042E3"/>
    <w:rsid w:val="0026218F"/>
    <w:rsid w:val="00262A70"/>
    <w:rsid w:val="002A5F00"/>
    <w:rsid w:val="002B0A83"/>
    <w:rsid w:val="002C2D69"/>
    <w:rsid w:val="002F61E5"/>
    <w:rsid w:val="00334F32"/>
    <w:rsid w:val="0039174F"/>
    <w:rsid w:val="003962AE"/>
    <w:rsid w:val="003B3C18"/>
    <w:rsid w:val="00422252"/>
    <w:rsid w:val="0045752A"/>
    <w:rsid w:val="004776A1"/>
    <w:rsid w:val="00486A6F"/>
    <w:rsid w:val="0049310F"/>
    <w:rsid w:val="004966EC"/>
    <w:rsid w:val="004A1ABC"/>
    <w:rsid w:val="004E2B19"/>
    <w:rsid w:val="004E4A55"/>
    <w:rsid w:val="004F1BF3"/>
    <w:rsid w:val="00500D03"/>
    <w:rsid w:val="0050177F"/>
    <w:rsid w:val="00524525"/>
    <w:rsid w:val="00525291"/>
    <w:rsid w:val="00540529"/>
    <w:rsid w:val="0057050A"/>
    <w:rsid w:val="005A256C"/>
    <w:rsid w:val="005F515A"/>
    <w:rsid w:val="006048DF"/>
    <w:rsid w:val="00611FEA"/>
    <w:rsid w:val="00654A93"/>
    <w:rsid w:val="00693A3E"/>
    <w:rsid w:val="006B7B8E"/>
    <w:rsid w:val="006C379E"/>
    <w:rsid w:val="006F57AD"/>
    <w:rsid w:val="0070498E"/>
    <w:rsid w:val="00725D6D"/>
    <w:rsid w:val="007323A9"/>
    <w:rsid w:val="00736102"/>
    <w:rsid w:val="007618F2"/>
    <w:rsid w:val="00774001"/>
    <w:rsid w:val="00795771"/>
    <w:rsid w:val="00797DA9"/>
    <w:rsid w:val="007B6068"/>
    <w:rsid w:val="007C238F"/>
    <w:rsid w:val="007D1ABC"/>
    <w:rsid w:val="007E0A9F"/>
    <w:rsid w:val="00814671"/>
    <w:rsid w:val="0086344C"/>
    <w:rsid w:val="00883157"/>
    <w:rsid w:val="008856A2"/>
    <w:rsid w:val="00886EF1"/>
    <w:rsid w:val="008B1969"/>
    <w:rsid w:val="008B6932"/>
    <w:rsid w:val="008F0C62"/>
    <w:rsid w:val="008F5611"/>
    <w:rsid w:val="008F627E"/>
    <w:rsid w:val="00910357"/>
    <w:rsid w:val="00926E86"/>
    <w:rsid w:val="009A56CA"/>
    <w:rsid w:val="009B6D49"/>
    <w:rsid w:val="00A514C4"/>
    <w:rsid w:val="00A66BC4"/>
    <w:rsid w:val="00A71877"/>
    <w:rsid w:val="00AC77B9"/>
    <w:rsid w:val="00AF11B1"/>
    <w:rsid w:val="00AF1573"/>
    <w:rsid w:val="00AF664D"/>
    <w:rsid w:val="00B1515E"/>
    <w:rsid w:val="00B22747"/>
    <w:rsid w:val="00B32C04"/>
    <w:rsid w:val="00B555EE"/>
    <w:rsid w:val="00B60D5A"/>
    <w:rsid w:val="00B766D6"/>
    <w:rsid w:val="00BB4828"/>
    <w:rsid w:val="00BC6249"/>
    <w:rsid w:val="00C122DB"/>
    <w:rsid w:val="00C5276E"/>
    <w:rsid w:val="00C57266"/>
    <w:rsid w:val="00C575D7"/>
    <w:rsid w:val="00C61852"/>
    <w:rsid w:val="00C670B9"/>
    <w:rsid w:val="00C71FD6"/>
    <w:rsid w:val="00C7728D"/>
    <w:rsid w:val="00CA77E5"/>
    <w:rsid w:val="00CC7C12"/>
    <w:rsid w:val="00CD7DC5"/>
    <w:rsid w:val="00D53229"/>
    <w:rsid w:val="00D533DE"/>
    <w:rsid w:val="00D72649"/>
    <w:rsid w:val="00DC593C"/>
    <w:rsid w:val="00DE1AB0"/>
    <w:rsid w:val="00DF12E3"/>
    <w:rsid w:val="00E01867"/>
    <w:rsid w:val="00E263F0"/>
    <w:rsid w:val="00E31571"/>
    <w:rsid w:val="00E44A58"/>
    <w:rsid w:val="00E6700B"/>
    <w:rsid w:val="00F14624"/>
    <w:rsid w:val="00F93D75"/>
    <w:rsid w:val="00FA5BE2"/>
    <w:rsid w:val="00FB2DD0"/>
    <w:rsid w:val="00FB40F9"/>
    <w:rsid w:val="00FC7A20"/>
    <w:rsid w:val="00FD16A7"/>
    <w:rsid w:val="00FE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15E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Theme="minorEastAsia" w:hAnsi="Arial" w:cs="Arial"/>
      <w:lang w:eastAsia="en-ZA"/>
    </w:rPr>
  </w:style>
  <w:style w:type="character" w:customStyle="1" w:styleId="HeaderChar">
    <w:name w:val="Header Char"/>
    <w:basedOn w:val="DefaultParagraphFont"/>
    <w:link w:val="Header"/>
    <w:uiPriority w:val="99"/>
    <w:rsid w:val="00B1515E"/>
    <w:rPr>
      <w:rFonts w:ascii="Arial" w:eastAsiaTheme="minorEastAsia" w:hAnsi="Arial" w:cs="Arial"/>
      <w:lang w:eastAsia="en-ZA"/>
    </w:rPr>
  </w:style>
  <w:style w:type="table" w:styleId="TableGrid">
    <w:name w:val="Table Grid"/>
    <w:basedOn w:val="TableNormal"/>
    <w:uiPriority w:val="39"/>
    <w:rsid w:val="00B1515E"/>
    <w:pPr>
      <w:spacing w:after="0" w:line="240" w:lineRule="auto"/>
    </w:pPr>
    <w:rPr>
      <w:rFonts w:eastAsiaTheme="minorEastAsia"/>
      <w:lang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3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Oltman Fourie</dc:creator>
  <cp:lastModifiedBy>PUMZA</cp:lastModifiedBy>
  <cp:revision>2</cp:revision>
  <cp:lastPrinted>2019-09-06T11:19:00Z</cp:lastPrinted>
  <dcterms:created xsi:type="dcterms:W3CDTF">2019-09-19T09:08:00Z</dcterms:created>
  <dcterms:modified xsi:type="dcterms:W3CDTF">2019-09-19T09:08:00Z</dcterms:modified>
</cp:coreProperties>
</file>