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94" w:rsidRDefault="00305C94" w:rsidP="00680E5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DISCUSSION DOCUMENT</w:t>
      </w:r>
    </w:p>
    <w:p w:rsidR="00E21FCF" w:rsidRPr="004C70E9" w:rsidRDefault="004C70E9" w:rsidP="00680E52">
      <w:pPr>
        <w:jc w:val="center"/>
        <w:rPr>
          <w:rFonts w:ascii="Arial" w:hAnsi="Arial" w:cs="Arial"/>
          <w:i/>
        </w:rPr>
      </w:pPr>
      <w:r w:rsidRPr="004C70E9">
        <w:rPr>
          <w:rFonts w:ascii="Arial" w:hAnsi="Arial" w:cs="Arial"/>
          <w:i/>
        </w:rPr>
        <w:t>Prepared by the National Assembly Table</w:t>
      </w:r>
    </w:p>
    <w:p w:rsidR="00680E52" w:rsidRPr="00305C94" w:rsidRDefault="00680E52" w:rsidP="00680E52">
      <w:pPr>
        <w:jc w:val="center"/>
        <w:rPr>
          <w:rFonts w:ascii="Arial" w:hAnsi="Arial" w:cs="Arial"/>
          <w:b/>
        </w:rPr>
      </w:pPr>
      <w:r w:rsidRPr="00305C94">
        <w:rPr>
          <w:rFonts w:ascii="Arial" w:hAnsi="Arial" w:cs="Arial"/>
          <w:b/>
        </w:rPr>
        <w:t>REMOVAL OF OFFICE-BEARERS</w:t>
      </w:r>
    </w:p>
    <w:p w:rsidR="004B0EEE" w:rsidRPr="00305C94" w:rsidRDefault="00680E52" w:rsidP="00680E52">
      <w:pPr>
        <w:jc w:val="center"/>
        <w:rPr>
          <w:rFonts w:ascii="Arial" w:hAnsi="Arial" w:cs="Arial"/>
          <w:b/>
        </w:rPr>
      </w:pPr>
      <w:r w:rsidRPr="00305C94">
        <w:rPr>
          <w:rFonts w:ascii="Arial" w:hAnsi="Arial" w:cs="Arial"/>
          <w:b/>
        </w:rPr>
        <w:t>INSTITUTIONS SUPPORTING CONSTITUTIONAL DEMOCRACY</w:t>
      </w:r>
    </w:p>
    <w:p w:rsidR="00680E52" w:rsidRDefault="00680E52" w:rsidP="00680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EA4A3F" w:rsidRPr="009F31EE" w:rsidRDefault="00EA4A3F" w:rsidP="009F31EE">
      <w:pPr>
        <w:pStyle w:val="NoSpacing"/>
        <w:spacing w:line="360" w:lineRule="auto"/>
        <w:rPr>
          <w:rFonts w:ascii="Arial" w:hAnsi="Arial" w:cs="Arial"/>
        </w:rPr>
      </w:pPr>
    </w:p>
    <w:p w:rsidR="0086064D" w:rsidRPr="009F31EE" w:rsidRDefault="0086064D" w:rsidP="00D160E9">
      <w:pPr>
        <w:pStyle w:val="NoSpacing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Section 194(1) of the Constitution states that the office-bearers in</w:t>
      </w:r>
      <w:r w:rsidR="00EA4A3F" w:rsidRPr="009F31EE">
        <w:rPr>
          <w:rFonts w:ascii="Arial" w:hAnsi="Arial" w:cs="Arial"/>
        </w:rPr>
        <w:t xml:space="preserve"> the</w:t>
      </w:r>
      <w:r w:rsidRPr="009F31EE">
        <w:rPr>
          <w:rFonts w:ascii="Arial" w:hAnsi="Arial" w:cs="Arial"/>
        </w:rPr>
        <w:t xml:space="preserve"> Institutions</w:t>
      </w:r>
      <w:r w:rsidR="00EA4A3F" w:rsidRPr="009F31EE">
        <w:rPr>
          <w:rFonts w:ascii="Arial" w:hAnsi="Arial" w:cs="Arial"/>
        </w:rPr>
        <w:t xml:space="preserve"> S</w:t>
      </w:r>
      <w:r w:rsidRPr="009F31EE">
        <w:rPr>
          <w:rFonts w:ascii="Arial" w:hAnsi="Arial" w:cs="Arial"/>
        </w:rPr>
        <w:t>upporting Constitutional Democracy</w:t>
      </w:r>
      <w:r w:rsidR="00EA4A3F" w:rsidRPr="009F31EE">
        <w:rPr>
          <w:rStyle w:val="FootnoteReference"/>
          <w:rFonts w:ascii="Arial" w:hAnsi="Arial" w:cs="Arial"/>
        </w:rPr>
        <w:footnoteReference w:id="1"/>
      </w:r>
      <w:r w:rsidRPr="009F31EE">
        <w:rPr>
          <w:rFonts w:ascii="Arial" w:hAnsi="Arial" w:cs="Arial"/>
        </w:rPr>
        <w:t xml:space="preserve"> may be removed from office only on –</w:t>
      </w:r>
    </w:p>
    <w:p w:rsidR="0086064D" w:rsidRPr="009F31EE" w:rsidRDefault="0086064D" w:rsidP="00D160E9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86064D" w:rsidRPr="009F31EE" w:rsidRDefault="0086064D" w:rsidP="00D160E9">
      <w:pPr>
        <w:pStyle w:val="NoSpacing"/>
        <w:numPr>
          <w:ilvl w:val="0"/>
          <w:numId w:val="7"/>
        </w:numPr>
        <w:spacing w:line="360" w:lineRule="auto"/>
        <w:ind w:hanging="11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the ground of misconduct, incapacity or incompetence;</w:t>
      </w:r>
    </w:p>
    <w:p w:rsidR="0086064D" w:rsidRPr="009F31EE" w:rsidRDefault="0086064D" w:rsidP="00D160E9">
      <w:pPr>
        <w:pStyle w:val="NoSpacing"/>
        <w:numPr>
          <w:ilvl w:val="0"/>
          <w:numId w:val="7"/>
        </w:numPr>
        <w:spacing w:line="360" w:lineRule="auto"/>
        <w:ind w:hanging="11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a finding to that effect by a committee of the National Assembly; and</w:t>
      </w:r>
    </w:p>
    <w:p w:rsidR="0086064D" w:rsidRPr="009F31EE" w:rsidRDefault="0086064D" w:rsidP="00D160E9">
      <w:pPr>
        <w:pStyle w:val="NoSpacing"/>
        <w:numPr>
          <w:ilvl w:val="0"/>
          <w:numId w:val="7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the adoption by the Assembly of a resolution calling for that person’s removal from office.</w:t>
      </w:r>
    </w:p>
    <w:p w:rsidR="009F31EE" w:rsidRDefault="009F31EE" w:rsidP="00D160E9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D4576D" w:rsidRDefault="00EA4A3F" w:rsidP="00D160E9">
      <w:pPr>
        <w:pStyle w:val="NoSpacing"/>
        <w:numPr>
          <w:ilvl w:val="0"/>
          <w:numId w:val="6"/>
        </w:numPr>
        <w:spacing w:line="360" w:lineRule="auto"/>
        <w:ind w:hanging="720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While the Constitution and the Rul</w:t>
      </w:r>
      <w:r w:rsidR="00B55490" w:rsidRPr="009F31EE">
        <w:rPr>
          <w:rFonts w:ascii="Arial" w:hAnsi="Arial" w:cs="Arial"/>
        </w:rPr>
        <w:t>es</w:t>
      </w:r>
      <w:r w:rsidR="002A6B65" w:rsidRPr="009F31EE">
        <w:rPr>
          <w:rStyle w:val="FootnoteReference"/>
          <w:rFonts w:ascii="Arial" w:hAnsi="Arial" w:cs="Arial"/>
        </w:rPr>
        <w:footnoteReference w:id="2"/>
      </w:r>
      <w:r w:rsidR="00B55490" w:rsidRPr="009F31EE">
        <w:rPr>
          <w:rFonts w:ascii="Arial" w:hAnsi="Arial" w:cs="Arial"/>
        </w:rPr>
        <w:t xml:space="preserve"> do set out a</w:t>
      </w:r>
      <w:r w:rsidR="00BF1528">
        <w:rPr>
          <w:rFonts w:ascii="Arial" w:hAnsi="Arial" w:cs="Arial"/>
        </w:rPr>
        <w:t xml:space="preserve"> broad</w:t>
      </w:r>
      <w:r w:rsidR="00B55490" w:rsidRPr="009F31EE">
        <w:rPr>
          <w:rFonts w:ascii="Arial" w:hAnsi="Arial" w:cs="Arial"/>
        </w:rPr>
        <w:t xml:space="preserve"> framework for Parliament to exercise its functions in terms of Section 194</w:t>
      </w:r>
      <w:r w:rsidR="003E50D8" w:rsidRPr="009F31EE">
        <w:rPr>
          <w:rFonts w:ascii="Arial" w:hAnsi="Arial" w:cs="Arial"/>
        </w:rPr>
        <w:t>, there is a view that, to ensure clarity and uniformity,</w:t>
      </w:r>
      <w:r w:rsidR="00D4576D" w:rsidRPr="009F31EE">
        <w:rPr>
          <w:rFonts w:ascii="Arial" w:hAnsi="Arial" w:cs="Arial"/>
        </w:rPr>
        <w:t xml:space="preserve"> specific rules are required</w:t>
      </w:r>
      <w:r w:rsidR="003E50D8" w:rsidRPr="009F31EE">
        <w:rPr>
          <w:rFonts w:ascii="Arial" w:hAnsi="Arial" w:cs="Arial"/>
        </w:rPr>
        <w:t xml:space="preserve">. </w:t>
      </w:r>
      <w:r w:rsidR="00540BBF" w:rsidRPr="009F31EE">
        <w:rPr>
          <w:rFonts w:ascii="Arial" w:hAnsi="Arial" w:cs="Arial"/>
        </w:rPr>
        <w:t>To this end</w:t>
      </w:r>
      <w:r w:rsidR="00EE6996" w:rsidRPr="009F31EE">
        <w:rPr>
          <w:rFonts w:ascii="Arial" w:hAnsi="Arial" w:cs="Arial"/>
        </w:rPr>
        <w:t>,</w:t>
      </w:r>
      <w:r w:rsidR="00540BBF" w:rsidRPr="009F31EE">
        <w:rPr>
          <w:rFonts w:ascii="Arial" w:hAnsi="Arial" w:cs="Arial"/>
        </w:rPr>
        <w:t xml:space="preserve"> a number of </w:t>
      </w:r>
      <w:r w:rsidR="00B55490" w:rsidRPr="009F31EE">
        <w:rPr>
          <w:rFonts w:ascii="Arial" w:hAnsi="Arial" w:cs="Arial"/>
        </w:rPr>
        <w:t xml:space="preserve">principles require </w:t>
      </w:r>
      <w:r w:rsidR="00DA312F" w:rsidRPr="009F31EE">
        <w:rPr>
          <w:rFonts w:ascii="Arial" w:hAnsi="Arial" w:cs="Arial"/>
        </w:rPr>
        <w:t>consideration</w:t>
      </w:r>
      <w:r w:rsidR="00BF1528">
        <w:rPr>
          <w:rFonts w:ascii="Arial" w:hAnsi="Arial" w:cs="Arial"/>
        </w:rPr>
        <w:t xml:space="preserve"> so as to guide the drafting process.</w:t>
      </w:r>
    </w:p>
    <w:p w:rsidR="009F31EE" w:rsidRPr="009F31EE" w:rsidRDefault="009F31EE" w:rsidP="00D160E9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</w:p>
    <w:p w:rsidR="009F31EE" w:rsidRPr="009F31EE" w:rsidRDefault="00D4576D" w:rsidP="000A7B5C">
      <w:pPr>
        <w:pStyle w:val="NoSpacing"/>
        <w:spacing w:line="360" w:lineRule="auto"/>
        <w:ind w:left="720" w:hanging="720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(3)</w:t>
      </w:r>
      <w:r w:rsidRPr="009F31EE">
        <w:rPr>
          <w:rFonts w:ascii="Arial" w:hAnsi="Arial" w:cs="Arial"/>
        </w:rPr>
        <w:tab/>
        <w:t xml:space="preserve">It is envisaged that the rules should </w:t>
      </w:r>
      <w:r w:rsidR="0087161A" w:rsidRPr="009F31EE">
        <w:rPr>
          <w:rFonts w:ascii="Arial" w:hAnsi="Arial" w:cs="Arial"/>
        </w:rPr>
        <w:t>provide four</w:t>
      </w:r>
      <w:r w:rsidRPr="009F31EE">
        <w:rPr>
          <w:rFonts w:ascii="Arial" w:hAnsi="Arial" w:cs="Arial"/>
        </w:rPr>
        <w:t xml:space="preserve"> sta</w:t>
      </w:r>
      <w:r w:rsidR="009F31EE" w:rsidRPr="009F31EE">
        <w:rPr>
          <w:rFonts w:ascii="Arial" w:hAnsi="Arial" w:cs="Arial"/>
        </w:rPr>
        <w:t>ges for a Section 194 process</w:t>
      </w:r>
      <w:r w:rsidR="000A7B5C">
        <w:rPr>
          <w:rFonts w:ascii="Arial" w:hAnsi="Arial" w:cs="Arial"/>
        </w:rPr>
        <w:t xml:space="preserve"> in Parliament</w:t>
      </w:r>
      <w:r w:rsidR="009F31EE" w:rsidRPr="009F31EE">
        <w:rPr>
          <w:rFonts w:ascii="Arial" w:hAnsi="Arial" w:cs="Arial"/>
        </w:rPr>
        <w:t xml:space="preserve"> – </w:t>
      </w:r>
    </w:p>
    <w:p w:rsidR="009F31EE" w:rsidRPr="009F31EE" w:rsidRDefault="009F31EE" w:rsidP="00D160E9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9F31EE" w:rsidRPr="009F31EE" w:rsidRDefault="0087161A" w:rsidP="00D160E9">
      <w:pPr>
        <w:pStyle w:val="NoSpacing"/>
        <w:numPr>
          <w:ilvl w:val="0"/>
          <w:numId w:val="8"/>
        </w:numPr>
        <w:spacing w:line="360" w:lineRule="auto"/>
        <w:ind w:left="1418" w:hanging="698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the initiation of a process;</w:t>
      </w:r>
    </w:p>
    <w:p w:rsidR="009F31EE" w:rsidRPr="009F31EE" w:rsidRDefault="0087161A" w:rsidP="00D160E9">
      <w:pPr>
        <w:pStyle w:val="NoSpacing"/>
        <w:numPr>
          <w:ilvl w:val="0"/>
          <w:numId w:val="8"/>
        </w:numPr>
        <w:spacing w:line="360" w:lineRule="auto"/>
        <w:ind w:left="1418" w:hanging="698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the prelimi</w:t>
      </w:r>
      <w:r w:rsidR="009F31EE" w:rsidRPr="009F31EE">
        <w:rPr>
          <w:rFonts w:ascii="Arial" w:hAnsi="Arial" w:cs="Arial"/>
        </w:rPr>
        <w:t>nary assessment of evidence</w:t>
      </w:r>
      <w:r w:rsidR="00200222">
        <w:rPr>
          <w:rFonts w:ascii="Arial" w:hAnsi="Arial" w:cs="Arial"/>
        </w:rPr>
        <w:t xml:space="preserve"> (</w:t>
      </w:r>
      <w:r w:rsidR="00200222" w:rsidRPr="00FD10F2">
        <w:rPr>
          <w:rFonts w:ascii="Arial" w:hAnsi="Arial" w:cs="Arial"/>
          <w:i/>
        </w:rPr>
        <w:t>prima facie</w:t>
      </w:r>
      <w:r w:rsidR="00200222">
        <w:rPr>
          <w:rFonts w:ascii="Arial" w:hAnsi="Arial" w:cs="Arial"/>
        </w:rPr>
        <w:t>)</w:t>
      </w:r>
      <w:r w:rsidR="009F31EE" w:rsidRPr="009F31EE">
        <w:rPr>
          <w:rFonts w:ascii="Arial" w:hAnsi="Arial" w:cs="Arial"/>
        </w:rPr>
        <w:t xml:space="preserve">; </w:t>
      </w:r>
    </w:p>
    <w:p w:rsidR="009F31EE" w:rsidRPr="009F31EE" w:rsidRDefault="0087161A" w:rsidP="00D160E9">
      <w:pPr>
        <w:pStyle w:val="NoSpacing"/>
        <w:numPr>
          <w:ilvl w:val="0"/>
          <w:numId w:val="8"/>
        </w:numPr>
        <w:spacing w:line="360" w:lineRule="auto"/>
        <w:ind w:left="1418" w:hanging="698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>an inquiry</w:t>
      </w:r>
      <w:r w:rsidR="00BF1528">
        <w:rPr>
          <w:rFonts w:ascii="Arial" w:hAnsi="Arial" w:cs="Arial"/>
        </w:rPr>
        <w:t xml:space="preserve"> by a committee; and</w:t>
      </w:r>
      <w:r w:rsidRPr="009F31EE">
        <w:rPr>
          <w:rFonts w:ascii="Arial" w:hAnsi="Arial" w:cs="Arial"/>
        </w:rPr>
        <w:t xml:space="preserve"> </w:t>
      </w:r>
    </w:p>
    <w:p w:rsidR="00D4576D" w:rsidRPr="009F31EE" w:rsidRDefault="0087161A" w:rsidP="00D160E9">
      <w:pPr>
        <w:pStyle w:val="NoSpacing"/>
        <w:numPr>
          <w:ilvl w:val="0"/>
          <w:numId w:val="8"/>
        </w:numPr>
        <w:spacing w:line="360" w:lineRule="auto"/>
        <w:ind w:left="1418" w:hanging="709"/>
        <w:jc w:val="both"/>
        <w:rPr>
          <w:rFonts w:ascii="Arial" w:hAnsi="Arial" w:cs="Arial"/>
        </w:rPr>
      </w:pPr>
      <w:r w:rsidRPr="009F31EE">
        <w:rPr>
          <w:rFonts w:ascii="Arial" w:hAnsi="Arial" w:cs="Arial"/>
        </w:rPr>
        <w:t xml:space="preserve">a decision by the House. </w:t>
      </w:r>
      <w:r w:rsidR="00D4576D" w:rsidRPr="009F31EE">
        <w:rPr>
          <w:rFonts w:ascii="Arial" w:hAnsi="Arial" w:cs="Arial"/>
        </w:rPr>
        <w:t xml:space="preserve">  </w:t>
      </w:r>
    </w:p>
    <w:p w:rsidR="00D4576D" w:rsidRDefault="00D4576D" w:rsidP="009F31EE">
      <w:pPr>
        <w:pStyle w:val="NoSpacing"/>
        <w:spacing w:line="360" w:lineRule="auto"/>
        <w:rPr>
          <w:rFonts w:ascii="Arial" w:hAnsi="Arial" w:cs="Arial"/>
          <w:b/>
        </w:rPr>
      </w:pPr>
    </w:p>
    <w:p w:rsidR="000A7B5C" w:rsidRDefault="00DE79A2" w:rsidP="00175AAC">
      <w:pPr>
        <w:pStyle w:val="NoSpacing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Concerning the first stage, the rules currently provide two mechanisms for a member to initiate a process – by way of a substantive motion in the House, or by way of </w:t>
      </w:r>
      <w:r w:rsidR="00BF1528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written request to the Speaker. </w:t>
      </w:r>
      <w:r w:rsidR="00276BF4">
        <w:rPr>
          <w:rFonts w:ascii="Arial" w:hAnsi="Arial" w:cs="Arial"/>
        </w:rPr>
        <w:t>It might be preferable for there to be one mechanism – that of a motion.</w:t>
      </w:r>
    </w:p>
    <w:p w:rsidR="00BD3CDD" w:rsidRDefault="00200222" w:rsidP="00BD3CDD">
      <w:pPr>
        <w:pStyle w:val="NoSpacing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terms of the second stage,</w:t>
      </w:r>
      <w:r w:rsidR="00D255D5">
        <w:rPr>
          <w:rFonts w:ascii="Arial" w:hAnsi="Arial" w:cs="Arial"/>
        </w:rPr>
        <w:t xml:space="preserve"> that of</w:t>
      </w:r>
      <w:r w:rsidR="00DE173A">
        <w:rPr>
          <w:rFonts w:ascii="Arial" w:hAnsi="Arial" w:cs="Arial"/>
        </w:rPr>
        <w:t xml:space="preserve"> the preliminary assessment of evidence,</w:t>
      </w:r>
      <w:r>
        <w:rPr>
          <w:rFonts w:ascii="Arial" w:hAnsi="Arial" w:cs="Arial"/>
        </w:rPr>
        <w:t xml:space="preserve"> </w:t>
      </w:r>
      <w:r w:rsidR="00514DD5">
        <w:rPr>
          <w:rFonts w:ascii="Arial" w:hAnsi="Arial" w:cs="Arial"/>
        </w:rPr>
        <w:t xml:space="preserve">it is </w:t>
      </w:r>
      <w:r w:rsidR="00FD10F2">
        <w:rPr>
          <w:rFonts w:ascii="Arial" w:hAnsi="Arial" w:cs="Arial"/>
        </w:rPr>
        <w:t>anti</w:t>
      </w:r>
      <w:r w:rsidR="007C58D3">
        <w:rPr>
          <w:rFonts w:ascii="Arial" w:hAnsi="Arial" w:cs="Arial"/>
        </w:rPr>
        <w:t xml:space="preserve">cipated </w:t>
      </w:r>
      <w:r w:rsidR="00FD10F2">
        <w:rPr>
          <w:rFonts w:ascii="Arial" w:hAnsi="Arial" w:cs="Arial"/>
        </w:rPr>
        <w:t xml:space="preserve">that a determination of whether </w:t>
      </w:r>
      <w:r w:rsidR="00FD10F2" w:rsidRPr="00FD10F2">
        <w:rPr>
          <w:rFonts w:ascii="Arial" w:hAnsi="Arial" w:cs="Arial"/>
          <w:i/>
        </w:rPr>
        <w:t>prima facie</w:t>
      </w:r>
      <w:r w:rsidR="00FD10F2">
        <w:rPr>
          <w:rFonts w:ascii="Arial" w:hAnsi="Arial" w:cs="Arial"/>
        </w:rPr>
        <w:t xml:space="preserve"> evidence exists for Parliament to proceed with an inquiry </w:t>
      </w:r>
      <w:r w:rsidR="007C58D3">
        <w:rPr>
          <w:rFonts w:ascii="Arial" w:hAnsi="Arial" w:cs="Arial"/>
        </w:rPr>
        <w:t>must be</w:t>
      </w:r>
      <w:r w:rsidR="00FD10F2">
        <w:rPr>
          <w:rFonts w:ascii="Arial" w:hAnsi="Arial" w:cs="Arial"/>
        </w:rPr>
        <w:t xml:space="preserve"> fact-based</w:t>
      </w:r>
      <w:r w:rsidR="007C58D3">
        <w:rPr>
          <w:rFonts w:ascii="Arial" w:hAnsi="Arial" w:cs="Arial"/>
        </w:rPr>
        <w:t xml:space="preserve"> and rely</w:t>
      </w:r>
      <w:r w:rsidR="00FD10F2">
        <w:rPr>
          <w:rFonts w:ascii="Arial" w:hAnsi="Arial" w:cs="Arial"/>
        </w:rPr>
        <w:t xml:space="preserve"> on legal arguments</w:t>
      </w:r>
      <w:r w:rsidR="008F511E">
        <w:rPr>
          <w:rFonts w:ascii="Arial" w:hAnsi="Arial" w:cs="Arial"/>
        </w:rPr>
        <w:t>,</w:t>
      </w:r>
      <w:r w:rsidR="00610632">
        <w:rPr>
          <w:rFonts w:ascii="Arial" w:hAnsi="Arial" w:cs="Arial"/>
        </w:rPr>
        <w:t xml:space="preserve"> </w:t>
      </w:r>
      <w:r w:rsidR="00BD3CDD">
        <w:rPr>
          <w:rFonts w:ascii="Arial" w:hAnsi="Arial" w:cs="Arial"/>
        </w:rPr>
        <w:t>as is</w:t>
      </w:r>
      <w:r w:rsidR="00610632">
        <w:rPr>
          <w:rFonts w:ascii="Arial" w:hAnsi="Arial" w:cs="Arial"/>
        </w:rPr>
        <w:t xml:space="preserve"> the case of Section 89 procedure</w:t>
      </w:r>
      <w:r w:rsidR="00FD10F2">
        <w:rPr>
          <w:rFonts w:ascii="Arial" w:hAnsi="Arial" w:cs="Arial"/>
        </w:rPr>
        <w:t xml:space="preserve">. </w:t>
      </w:r>
      <w:r w:rsidR="00FD10F2" w:rsidRPr="00BD3CDD">
        <w:rPr>
          <w:rFonts w:ascii="Arial" w:hAnsi="Arial" w:cs="Arial"/>
        </w:rPr>
        <w:t>In this</w:t>
      </w:r>
      <w:r w:rsidR="00610632" w:rsidRPr="00BD3CDD">
        <w:rPr>
          <w:rFonts w:ascii="Arial" w:hAnsi="Arial" w:cs="Arial"/>
        </w:rPr>
        <w:t xml:space="preserve"> regard, clarity is required about</w:t>
      </w:r>
      <w:r w:rsidR="00BD3CDD">
        <w:rPr>
          <w:rFonts w:ascii="Arial" w:hAnsi="Arial" w:cs="Arial"/>
        </w:rPr>
        <w:t xml:space="preserve"> – </w:t>
      </w:r>
    </w:p>
    <w:p w:rsidR="00BD3CDD" w:rsidRDefault="00BD3CDD" w:rsidP="00BD3CDD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</w:p>
    <w:p w:rsidR="00BD3CDD" w:rsidRDefault="00610632" w:rsidP="00BD3CDD">
      <w:pPr>
        <w:pStyle w:val="NoSpacing"/>
        <w:numPr>
          <w:ilvl w:val="0"/>
          <w:numId w:val="11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 w:rsidRPr="00BD3CDD">
        <w:rPr>
          <w:rFonts w:ascii="Arial" w:hAnsi="Arial" w:cs="Arial"/>
        </w:rPr>
        <w:t>the role of Speaker</w:t>
      </w:r>
      <w:r>
        <w:rPr>
          <w:rStyle w:val="FootnoteReference"/>
          <w:rFonts w:ascii="Arial" w:hAnsi="Arial" w:cs="Arial"/>
        </w:rPr>
        <w:footnoteReference w:id="3"/>
      </w:r>
      <w:r w:rsidR="00175AAC" w:rsidRPr="00BD3CDD">
        <w:rPr>
          <w:rFonts w:ascii="Arial" w:hAnsi="Arial" w:cs="Arial"/>
        </w:rPr>
        <w:t>,</w:t>
      </w:r>
      <w:r w:rsidR="005F197F" w:rsidRPr="00BD3CDD">
        <w:rPr>
          <w:rFonts w:ascii="Arial" w:hAnsi="Arial" w:cs="Arial"/>
        </w:rPr>
        <w:t xml:space="preserve"> </w:t>
      </w:r>
    </w:p>
    <w:p w:rsidR="00BD3CDD" w:rsidRPr="00BD3CDD" w:rsidRDefault="00BD3CDD" w:rsidP="00BD3CDD">
      <w:pPr>
        <w:pStyle w:val="NoSpacing"/>
        <w:numPr>
          <w:ilvl w:val="0"/>
          <w:numId w:val="11"/>
        </w:numPr>
        <w:tabs>
          <w:tab w:val="left" w:pos="15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role of committee;</w:t>
      </w:r>
    </w:p>
    <w:p w:rsidR="00653A0D" w:rsidRDefault="00610632" w:rsidP="00BD3CDD">
      <w:pPr>
        <w:pStyle w:val="NoSpacing"/>
        <w:numPr>
          <w:ilvl w:val="0"/>
          <w:numId w:val="1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need for an independent panel</w:t>
      </w:r>
      <w:r w:rsidR="00175AAC">
        <w:rPr>
          <w:rFonts w:ascii="Arial" w:hAnsi="Arial" w:cs="Arial"/>
        </w:rPr>
        <w:t xml:space="preserve"> (and how such a panel must be constituted</w:t>
      </w:r>
      <w:r w:rsidR="00BD3CDD">
        <w:rPr>
          <w:rFonts w:ascii="Arial" w:hAnsi="Arial" w:cs="Arial"/>
        </w:rPr>
        <w:t>,</w:t>
      </w:r>
      <w:r w:rsidR="00175AAC">
        <w:rPr>
          <w:rFonts w:ascii="Arial" w:hAnsi="Arial" w:cs="Arial"/>
        </w:rPr>
        <w:t xml:space="preserve"> function</w:t>
      </w:r>
      <w:r w:rsidR="00BD3CDD">
        <w:rPr>
          <w:rFonts w:ascii="Arial" w:hAnsi="Arial" w:cs="Arial"/>
        </w:rPr>
        <w:t xml:space="preserve"> and report</w:t>
      </w:r>
      <w:r w:rsidR="00175AAC">
        <w:rPr>
          <w:rFonts w:ascii="Arial" w:hAnsi="Arial" w:cs="Arial"/>
        </w:rPr>
        <w:t>)</w:t>
      </w:r>
      <w:r w:rsidR="00653A0D">
        <w:rPr>
          <w:rFonts w:ascii="Arial" w:hAnsi="Arial" w:cs="Arial"/>
        </w:rPr>
        <w:t xml:space="preserve"> and/</w:t>
      </w:r>
      <w:r w:rsidR="007C58D3">
        <w:rPr>
          <w:rFonts w:ascii="Arial" w:hAnsi="Arial" w:cs="Arial"/>
        </w:rPr>
        <w:t xml:space="preserve">or </w:t>
      </w:r>
      <w:r w:rsidR="00BD3CDD">
        <w:rPr>
          <w:rFonts w:ascii="Arial" w:hAnsi="Arial" w:cs="Arial"/>
        </w:rPr>
        <w:t xml:space="preserve">external </w:t>
      </w:r>
      <w:r w:rsidR="007C58D3">
        <w:rPr>
          <w:rFonts w:ascii="Arial" w:hAnsi="Arial" w:cs="Arial"/>
        </w:rPr>
        <w:t>legal advice</w:t>
      </w:r>
      <w:r w:rsidR="00BD3CDD">
        <w:rPr>
          <w:rFonts w:ascii="Arial" w:hAnsi="Arial" w:cs="Arial"/>
        </w:rPr>
        <w:t>.</w:t>
      </w:r>
    </w:p>
    <w:p w:rsidR="00EF72CA" w:rsidRDefault="00EF72CA" w:rsidP="00390260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EF72CA" w:rsidRDefault="00BB0673" w:rsidP="00BD3CDD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House must be informed about the findings of the Speaker/</w:t>
      </w:r>
      <w:r w:rsidR="00BD3CDD">
        <w:rPr>
          <w:rFonts w:ascii="Arial" w:hAnsi="Arial" w:cs="Arial"/>
        </w:rPr>
        <w:t>committee/ panel</w:t>
      </w:r>
      <w:r w:rsidR="008F511E">
        <w:rPr>
          <w:rFonts w:ascii="Arial" w:hAnsi="Arial" w:cs="Arial"/>
        </w:rPr>
        <w:t>. I</w:t>
      </w:r>
      <w:r w:rsidR="00EF72CA">
        <w:rPr>
          <w:rFonts w:ascii="Arial" w:hAnsi="Arial" w:cs="Arial"/>
        </w:rPr>
        <w:t>n the case of the President, the panel reports to the Speaker, and through the Speaker to the House, which must then make a determination about whether to proceed with an inquiry</w:t>
      </w:r>
      <w:r w:rsidR="008F511E">
        <w:rPr>
          <w:rFonts w:ascii="Arial" w:hAnsi="Arial" w:cs="Arial"/>
        </w:rPr>
        <w:t xml:space="preserve"> or not</w:t>
      </w:r>
      <w:r w:rsidR="00493738">
        <w:rPr>
          <w:rStyle w:val="FootnoteReference"/>
          <w:rFonts w:ascii="Arial" w:hAnsi="Arial" w:cs="Arial"/>
        </w:rPr>
        <w:footnoteReference w:id="4"/>
      </w:r>
      <w:r w:rsidR="00EF72CA">
        <w:rPr>
          <w:rFonts w:ascii="Arial" w:hAnsi="Arial" w:cs="Arial"/>
        </w:rPr>
        <w:t xml:space="preserve">. </w:t>
      </w:r>
    </w:p>
    <w:p w:rsidR="00390260" w:rsidRDefault="00390260" w:rsidP="00BD3C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BB0673" w:rsidRDefault="00DE173A" w:rsidP="00BD3CDD">
      <w:pPr>
        <w:pStyle w:val="NoSpacing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Concerning the third stage, that of an inquiry, s</w:t>
      </w:r>
      <w:r w:rsidR="00D255D5">
        <w:rPr>
          <w:rFonts w:ascii="Arial" w:hAnsi="Arial" w:cs="Arial"/>
        </w:rPr>
        <w:t xml:space="preserve">hould </w:t>
      </w:r>
      <w:r>
        <w:rPr>
          <w:rFonts w:ascii="Arial" w:hAnsi="Arial" w:cs="Arial"/>
        </w:rPr>
        <w:t>the preliminary assessment conclude</w:t>
      </w:r>
      <w:r w:rsidR="00A42EC1">
        <w:rPr>
          <w:rFonts w:ascii="Arial" w:hAnsi="Arial" w:cs="Arial"/>
        </w:rPr>
        <w:t xml:space="preserve"> that the Assembly</w:t>
      </w:r>
      <w:r>
        <w:rPr>
          <w:rFonts w:ascii="Arial" w:hAnsi="Arial" w:cs="Arial"/>
        </w:rPr>
        <w:t xml:space="preserve"> must proceed with an inquiry</w:t>
      </w:r>
      <w:r w:rsidR="00BB0673">
        <w:rPr>
          <w:rFonts w:ascii="Arial" w:hAnsi="Arial" w:cs="Arial"/>
        </w:rPr>
        <w:t xml:space="preserve"> (and the House concur)</w:t>
      </w:r>
      <w:r>
        <w:rPr>
          <w:rFonts w:ascii="Arial" w:hAnsi="Arial" w:cs="Arial"/>
        </w:rPr>
        <w:t xml:space="preserve">, </w:t>
      </w:r>
      <w:r w:rsidR="00A42EC1">
        <w:rPr>
          <w:rFonts w:ascii="Arial" w:hAnsi="Arial" w:cs="Arial"/>
        </w:rPr>
        <w:t>clarity is required about the best structure to carry out such a task.</w:t>
      </w:r>
      <w:r w:rsidR="00BB0673">
        <w:rPr>
          <w:rFonts w:ascii="Arial" w:hAnsi="Arial" w:cs="Arial"/>
        </w:rPr>
        <w:t xml:space="preserve"> In this regard, at least three options seem possible – </w:t>
      </w:r>
    </w:p>
    <w:p w:rsidR="00BB0673" w:rsidRDefault="00BB0673" w:rsidP="00BD3CDD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</w:p>
    <w:p w:rsidR="00BB0673" w:rsidRDefault="00BB0673" w:rsidP="00BD3CDD">
      <w:pPr>
        <w:pStyle w:val="NoSpacing"/>
        <w:numPr>
          <w:ilvl w:val="0"/>
          <w:numId w:val="10"/>
        </w:numPr>
        <w:spacing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special </w:t>
      </w:r>
      <w:r w:rsidR="008E55CC">
        <w:rPr>
          <w:rFonts w:ascii="Arial" w:hAnsi="Arial" w:cs="Arial"/>
        </w:rPr>
        <w:t>committee could be constituted</w:t>
      </w:r>
      <w:r>
        <w:rPr>
          <w:rFonts w:ascii="Arial" w:hAnsi="Arial" w:cs="Arial"/>
        </w:rPr>
        <w:t xml:space="preserve"> for the purpose (as in the case with the Section 89 procedure);</w:t>
      </w:r>
    </w:p>
    <w:p w:rsidR="00BB0673" w:rsidRDefault="00BB0673" w:rsidP="00BD3CDD">
      <w:pPr>
        <w:pStyle w:val="NoSpacing"/>
        <w:numPr>
          <w:ilvl w:val="0"/>
          <w:numId w:val="10"/>
        </w:numPr>
        <w:spacing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an ad hoc committee could be established; or</w:t>
      </w:r>
    </w:p>
    <w:p w:rsidR="00A42EC1" w:rsidRDefault="00BB0673" w:rsidP="00BD3CDD">
      <w:pPr>
        <w:pStyle w:val="NoSpacing"/>
        <w:numPr>
          <w:ilvl w:val="0"/>
          <w:numId w:val="10"/>
        </w:numPr>
        <w:spacing w:line="360" w:lineRule="auto"/>
        <w:ind w:left="1418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matter could be referred to the relevant portfolio committee. </w:t>
      </w:r>
      <w:r w:rsidR="00A42EC1">
        <w:rPr>
          <w:rFonts w:ascii="Arial" w:hAnsi="Arial" w:cs="Arial"/>
        </w:rPr>
        <w:t xml:space="preserve"> </w:t>
      </w:r>
    </w:p>
    <w:p w:rsidR="008F511E" w:rsidRDefault="008F511E" w:rsidP="00BD3C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BB0673" w:rsidRDefault="00462204" w:rsidP="00BD3CDD">
      <w:pPr>
        <w:pStyle w:val="NoSpacing"/>
        <w:spacing w:line="36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8E0BCE">
        <w:rPr>
          <w:rFonts w:ascii="Arial" w:hAnsi="Arial" w:cs="Arial"/>
        </w:rPr>
        <w:t>ith respect to the inquiry, it is evident that the affected parties must be permitted to make representations</w:t>
      </w:r>
      <w:r w:rsidR="008E0BCE">
        <w:rPr>
          <w:rStyle w:val="FootnoteReference"/>
          <w:rFonts w:ascii="Arial" w:hAnsi="Arial" w:cs="Arial"/>
        </w:rPr>
        <w:footnoteReference w:id="5"/>
      </w:r>
      <w:r w:rsidR="008E0B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but </w:t>
      </w:r>
      <w:r w:rsidR="008E0BCE">
        <w:rPr>
          <w:rFonts w:ascii="Arial" w:hAnsi="Arial" w:cs="Arial"/>
        </w:rPr>
        <w:t xml:space="preserve">clarity is also required about whether the affected parties may be assisted by legal representatives. </w:t>
      </w:r>
    </w:p>
    <w:p w:rsidR="00BD3CDD" w:rsidRDefault="00BD3CDD" w:rsidP="00BD3CDD">
      <w:pPr>
        <w:pStyle w:val="NoSpacing"/>
        <w:spacing w:line="360" w:lineRule="auto"/>
        <w:jc w:val="both"/>
        <w:rPr>
          <w:rFonts w:ascii="Arial" w:hAnsi="Arial" w:cs="Arial"/>
        </w:rPr>
      </w:pPr>
    </w:p>
    <w:p w:rsidR="004C70E9" w:rsidRDefault="00BD3CDD" w:rsidP="004C70E9">
      <w:pPr>
        <w:pStyle w:val="NoSpacing"/>
        <w:numPr>
          <w:ilvl w:val="0"/>
          <w:numId w:val="9"/>
        </w:numPr>
        <w:spacing w:line="360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Importantly, any such determinations should be made without undue delay given the consequences of the action against an office-bearer and the implications for the institution they serve.    </w:t>
      </w:r>
    </w:p>
    <w:p w:rsidR="004C70E9" w:rsidRPr="004C70E9" w:rsidRDefault="004C70E9" w:rsidP="004C70E9">
      <w:pPr>
        <w:pStyle w:val="NoSpacing"/>
        <w:spacing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sectPr w:rsidR="004C70E9" w:rsidRPr="004C70E9" w:rsidSect="004C70E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335" w:rsidRDefault="00634335" w:rsidP="00EA4A3F">
      <w:pPr>
        <w:spacing w:after="0" w:line="240" w:lineRule="auto"/>
      </w:pPr>
      <w:r>
        <w:separator/>
      </w:r>
    </w:p>
  </w:endnote>
  <w:endnote w:type="continuationSeparator" w:id="0">
    <w:p w:rsidR="00634335" w:rsidRDefault="00634335" w:rsidP="00EA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335" w:rsidRDefault="00634335" w:rsidP="00EA4A3F">
      <w:pPr>
        <w:spacing w:after="0" w:line="240" w:lineRule="auto"/>
      </w:pPr>
      <w:r>
        <w:separator/>
      </w:r>
    </w:p>
  </w:footnote>
  <w:footnote w:type="continuationSeparator" w:id="0">
    <w:p w:rsidR="00634335" w:rsidRDefault="00634335" w:rsidP="00EA4A3F">
      <w:pPr>
        <w:spacing w:after="0" w:line="240" w:lineRule="auto"/>
      </w:pPr>
      <w:r>
        <w:continuationSeparator/>
      </w:r>
    </w:p>
  </w:footnote>
  <w:footnote w:id="1">
    <w:p w:rsidR="00EA4A3F" w:rsidRPr="009F31EE" w:rsidRDefault="00EA4A3F" w:rsidP="009F31EE">
      <w:pPr>
        <w:pStyle w:val="ListParagraph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A4A3F">
        <w:rPr>
          <w:rStyle w:val="FootnoteReference"/>
          <w:rFonts w:ascii="Arial" w:hAnsi="Arial" w:cs="Arial"/>
          <w:sz w:val="20"/>
          <w:szCs w:val="20"/>
        </w:rPr>
        <w:footnoteRef/>
      </w:r>
      <w:r w:rsidRPr="00EA4A3F">
        <w:rPr>
          <w:rFonts w:ascii="Arial" w:hAnsi="Arial" w:cs="Arial"/>
          <w:sz w:val="20"/>
          <w:szCs w:val="20"/>
        </w:rPr>
        <w:t xml:space="preserve"> These include the –   Public Protector; Auditor-General; South African Human Rights Commission; Commission for the Promotion and Protection of the Rights of Cultural, Religious and Linguistic </w:t>
      </w:r>
      <w:r w:rsidRPr="009F31EE">
        <w:rPr>
          <w:rFonts w:ascii="Arial" w:hAnsi="Arial" w:cs="Arial"/>
          <w:sz w:val="20"/>
          <w:szCs w:val="20"/>
        </w:rPr>
        <w:t>Communities; Commission for Gender Equality; and the Electoral Commission.</w:t>
      </w:r>
    </w:p>
  </w:footnote>
  <w:footnote w:id="2">
    <w:p w:rsidR="002A6B65" w:rsidRPr="00D160E9" w:rsidRDefault="002A6B65" w:rsidP="009F31EE">
      <w:pPr>
        <w:pStyle w:val="FootnoteText"/>
        <w:jc w:val="both"/>
        <w:rPr>
          <w:rFonts w:ascii="Arial" w:hAnsi="Arial" w:cs="Arial"/>
        </w:rPr>
      </w:pPr>
      <w:r w:rsidRPr="009F31EE">
        <w:rPr>
          <w:rStyle w:val="FootnoteReference"/>
          <w:rFonts w:ascii="Arial" w:hAnsi="Arial" w:cs="Arial"/>
        </w:rPr>
        <w:footnoteRef/>
      </w:r>
      <w:r w:rsidRPr="009F31EE">
        <w:rPr>
          <w:rFonts w:ascii="Arial" w:hAnsi="Arial" w:cs="Arial"/>
        </w:rPr>
        <w:t xml:space="preserve"> These include </w:t>
      </w:r>
      <w:r w:rsidR="007C58D3">
        <w:rPr>
          <w:rFonts w:ascii="Arial" w:hAnsi="Arial" w:cs="Arial"/>
        </w:rPr>
        <w:t>National Assembly Rule 88</w:t>
      </w:r>
      <w:r w:rsidR="009F31EE">
        <w:rPr>
          <w:rFonts w:ascii="Arial" w:hAnsi="Arial" w:cs="Arial"/>
        </w:rPr>
        <w:t>, which relate</w:t>
      </w:r>
      <w:r w:rsidR="00BF1528">
        <w:rPr>
          <w:rFonts w:ascii="Arial" w:hAnsi="Arial" w:cs="Arial"/>
        </w:rPr>
        <w:t>s to</w:t>
      </w:r>
      <w:r w:rsidR="009F31EE">
        <w:rPr>
          <w:rFonts w:ascii="Arial" w:hAnsi="Arial" w:cs="Arial"/>
        </w:rPr>
        <w:t xml:space="preserve"> </w:t>
      </w:r>
      <w:r w:rsidR="009F31EE" w:rsidRPr="009F31EE">
        <w:rPr>
          <w:rFonts w:ascii="Arial" w:hAnsi="Arial" w:cs="Arial"/>
        </w:rPr>
        <w:t>reflections</w:t>
      </w:r>
      <w:r w:rsidR="00BF1528">
        <w:rPr>
          <w:rFonts w:ascii="Arial" w:hAnsi="Arial" w:cs="Arial"/>
        </w:rPr>
        <w:t xml:space="preserve"> on</w:t>
      </w:r>
      <w:r w:rsidRPr="009F31EE">
        <w:rPr>
          <w:rFonts w:ascii="Arial" w:hAnsi="Arial" w:cs="Arial"/>
        </w:rPr>
        <w:t xml:space="preserve"> o</w:t>
      </w:r>
      <w:r w:rsidR="00BF1528">
        <w:rPr>
          <w:rFonts w:ascii="Arial" w:hAnsi="Arial" w:cs="Arial"/>
        </w:rPr>
        <w:t>ffice-bearers in the House as well as</w:t>
      </w:r>
      <w:r w:rsidR="009F31EE" w:rsidRPr="009F31EE">
        <w:rPr>
          <w:rFonts w:ascii="Arial" w:hAnsi="Arial" w:cs="Arial"/>
        </w:rPr>
        <w:t xml:space="preserve"> </w:t>
      </w:r>
      <w:r w:rsidRPr="009F31EE">
        <w:rPr>
          <w:rFonts w:ascii="Arial" w:hAnsi="Arial" w:cs="Arial"/>
        </w:rPr>
        <w:t>substantive motions</w:t>
      </w:r>
      <w:r w:rsidR="009F31EE">
        <w:rPr>
          <w:rFonts w:ascii="Arial" w:hAnsi="Arial" w:cs="Arial"/>
        </w:rPr>
        <w:t>,</w:t>
      </w:r>
      <w:r w:rsidRPr="009F31EE">
        <w:rPr>
          <w:rFonts w:ascii="Arial" w:hAnsi="Arial" w:cs="Arial"/>
        </w:rPr>
        <w:t xml:space="preserve"> and Rule</w:t>
      </w:r>
      <w:r w:rsidR="009F31EE" w:rsidRPr="009F31EE">
        <w:rPr>
          <w:rFonts w:ascii="Arial" w:hAnsi="Arial" w:cs="Arial"/>
        </w:rPr>
        <w:t>s</w:t>
      </w:r>
      <w:r w:rsidRPr="009F31EE">
        <w:rPr>
          <w:rFonts w:ascii="Arial" w:hAnsi="Arial" w:cs="Arial"/>
        </w:rPr>
        <w:t xml:space="preserve"> </w:t>
      </w:r>
      <w:r w:rsidR="009F31EE" w:rsidRPr="009F31EE">
        <w:rPr>
          <w:rFonts w:ascii="Arial" w:hAnsi="Arial" w:cs="Arial"/>
        </w:rPr>
        <w:t xml:space="preserve">337 and 338, </w:t>
      </w:r>
      <w:r w:rsidR="009F31EE">
        <w:rPr>
          <w:rFonts w:ascii="Arial" w:hAnsi="Arial" w:cs="Arial"/>
        </w:rPr>
        <w:t xml:space="preserve">which relate to the </w:t>
      </w:r>
      <w:r w:rsidR="009F31EE" w:rsidRPr="009F31EE">
        <w:rPr>
          <w:rFonts w:ascii="Arial" w:hAnsi="Arial" w:cs="Arial"/>
        </w:rPr>
        <w:t>tabling and referral of written instruments in the Assembly.</w:t>
      </w:r>
      <w:r w:rsidR="00D160E9">
        <w:t xml:space="preserve"> </w:t>
      </w:r>
      <w:r w:rsidR="00D160E9" w:rsidRPr="00D160E9">
        <w:rPr>
          <w:rFonts w:ascii="Arial" w:hAnsi="Arial" w:cs="Arial"/>
        </w:rPr>
        <w:t>Rules 129A-Q, which govern the removal of the President</w:t>
      </w:r>
      <w:r w:rsidR="00514DD5">
        <w:rPr>
          <w:rFonts w:ascii="Arial" w:hAnsi="Arial" w:cs="Arial"/>
        </w:rPr>
        <w:t xml:space="preserve"> in terms of Section 89 of the Constitution, are also instructive</w:t>
      </w:r>
      <w:r w:rsidR="00D160E9" w:rsidRPr="00D160E9">
        <w:rPr>
          <w:rFonts w:ascii="Arial" w:hAnsi="Arial" w:cs="Arial"/>
        </w:rPr>
        <w:t xml:space="preserve"> in this regard</w:t>
      </w:r>
      <w:r w:rsidR="00514DD5">
        <w:rPr>
          <w:rFonts w:ascii="Arial" w:hAnsi="Arial" w:cs="Arial"/>
        </w:rPr>
        <w:t xml:space="preserve">. </w:t>
      </w:r>
    </w:p>
  </w:footnote>
  <w:footnote w:id="3">
    <w:p w:rsidR="00610632" w:rsidRPr="00493738" w:rsidRDefault="00610632">
      <w:pPr>
        <w:pStyle w:val="FootnoteText"/>
        <w:rPr>
          <w:rFonts w:ascii="Arial" w:hAnsi="Arial" w:cs="Arial"/>
        </w:rPr>
      </w:pPr>
      <w:r w:rsidRPr="00493738">
        <w:rPr>
          <w:rStyle w:val="FootnoteReference"/>
          <w:rFonts w:ascii="Arial" w:hAnsi="Arial" w:cs="Arial"/>
        </w:rPr>
        <w:footnoteRef/>
      </w:r>
      <w:r w:rsidRPr="00493738">
        <w:rPr>
          <w:rFonts w:ascii="Arial" w:hAnsi="Arial" w:cs="Arial"/>
        </w:rPr>
        <w:t xml:space="preserve"> At present, Rule </w:t>
      </w:r>
      <w:r w:rsidR="007C58D3" w:rsidRPr="00493738">
        <w:rPr>
          <w:rFonts w:ascii="Arial" w:hAnsi="Arial" w:cs="Arial"/>
        </w:rPr>
        <w:t>88 provides that the Speaker must determine whether there is prima facie evidence before Parliament must proceed to consider a motion.</w:t>
      </w:r>
    </w:p>
  </w:footnote>
  <w:footnote w:id="4">
    <w:p w:rsidR="00493738" w:rsidRPr="00493738" w:rsidRDefault="00493738" w:rsidP="00493738">
      <w:pPr>
        <w:pStyle w:val="Default"/>
        <w:rPr>
          <w:rFonts w:ascii="Arial" w:hAnsi="Arial" w:cs="Arial"/>
          <w:sz w:val="20"/>
          <w:szCs w:val="20"/>
        </w:rPr>
      </w:pPr>
      <w:r w:rsidRPr="00493738">
        <w:rPr>
          <w:rStyle w:val="FootnoteReference"/>
          <w:rFonts w:ascii="Arial" w:hAnsi="Arial" w:cs="Arial"/>
          <w:sz w:val="20"/>
          <w:szCs w:val="20"/>
        </w:rPr>
        <w:footnoteRef/>
      </w:r>
      <w:r w:rsidRPr="004937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See </w:t>
      </w:r>
      <w:r w:rsidRPr="00493738">
        <w:rPr>
          <w:rFonts w:ascii="Arial" w:hAnsi="Arial" w:cs="Arial"/>
          <w:i/>
          <w:iCs/>
          <w:sz w:val="20"/>
          <w:szCs w:val="20"/>
        </w:rPr>
        <w:t xml:space="preserve">Economic Freedom Fighters and Others v Speaker of the National Assembly and Another </w:t>
      </w:r>
      <w:r w:rsidRPr="00493738">
        <w:rPr>
          <w:rFonts w:ascii="Arial" w:hAnsi="Arial" w:cs="Arial"/>
          <w:sz w:val="20"/>
          <w:szCs w:val="20"/>
        </w:rPr>
        <w:t xml:space="preserve">[2017] </w:t>
      </w:r>
      <w:r>
        <w:rPr>
          <w:rFonts w:ascii="Arial" w:hAnsi="Arial" w:cs="Arial"/>
          <w:sz w:val="20"/>
          <w:szCs w:val="20"/>
        </w:rPr>
        <w:t>(</w:t>
      </w:r>
      <w:r w:rsidRPr="00493738">
        <w:rPr>
          <w:rFonts w:ascii="Arial" w:hAnsi="Arial" w:cs="Arial"/>
          <w:sz w:val="20"/>
          <w:szCs w:val="20"/>
        </w:rPr>
        <w:t>ZACC 47</w:t>
      </w:r>
      <w:r>
        <w:rPr>
          <w:rFonts w:ascii="Arial" w:hAnsi="Arial" w:cs="Arial"/>
          <w:sz w:val="20"/>
          <w:szCs w:val="20"/>
        </w:rPr>
        <w:t>)</w:t>
      </w:r>
      <w:r w:rsidR="00BF1528">
        <w:rPr>
          <w:rFonts w:ascii="Arial" w:hAnsi="Arial" w:cs="Arial"/>
          <w:sz w:val="20"/>
          <w:szCs w:val="20"/>
        </w:rPr>
        <w:t xml:space="preserve"> para 178-180.</w:t>
      </w:r>
    </w:p>
  </w:footnote>
  <w:footnote w:id="5">
    <w:p w:rsidR="008E0BCE" w:rsidRPr="008E0BCE" w:rsidRDefault="008E0BCE">
      <w:pPr>
        <w:pStyle w:val="FootnoteText"/>
        <w:rPr>
          <w:rFonts w:ascii="Arial" w:hAnsi="Arial" w:cs="Arial"/>
        </w:rPr>
      </w:pPr>
      <w:r w:rsidRPr="008E0BCE">
        <w:rPr>
          <w:rStyle w:val="FootnoteReference"/>
          <w:rFonts w:ascii="Arial" w:hAnsi="Arial" w:cs="Arial"/>
        </w:rPr>
        <w:footnoteRef/>
      </w:r>
      <w:r w:rsidRPr="008E0BCE">
        <w:rPr>
          <w:rFonts w:ascii="Arial" w:hAnsi="Arial" w:cs="Arial"/>
        </w:rPr>
        <w:t xml:space="preserve"> As requ</w:t>
      </w:r>
      <w:r>
        <w:rPr>
          <w:rFonts w:ascii="Arial" w:hAnsi="Arial" w:cs="Arial"/>
        </w:rPr>
        <w:t>ired by the principles of natural</w:t>
      </w:r>
      <w:r w:rsidRPr="008E0BCE">
        <w:rPr>
          <w:rFonts w:ascii="Arial" w:hAnsi="Arial" w:cs="Arial"/>
        </w:rPr>
        <w:t xml:space="preserve"> justice.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F6067"/>
    <w:multiLevelType w:val="hybridMultilevel"/>
    <w:tmpl w:val="EBFA5CE2"/>
    <w:lvl w:ilvl="0" w:tplc="916A116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626516"/>
    <w:multiLevelType w:val="hybridMultilevel"/>
    <w:tmpl w:val="726040B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504A10"/>
    <w:multiLevelType w:val="hybridMultilevel"/>
    <w:tmpl w:val="663EC878"/>
    <w:lvl w:ilvl="0" w:tplc="98627A9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6029"/>
    <w:multiLevelType w:val="hybridMultilevel"/>
    <w:tmpl w:val="6B16C570"/>
    <w:lvl w:ilvl="0" w:tplc="9EA6E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764AC"/>
    <w:multiLevelType w:val="hybridMultilevel"/>
    <w:tmpl w:val="A96E6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5800"/>
    <w:multiLevelType w:val="hybridMultilevel"/>
    <w:tmpl w:val="98A202CC"/>
    <w:lvl w:ilvl="0" w:tplc="3BC213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F5989"/>
    <w:multiLevelType w:val="hybridMultilevel"/>
    <w:tmpl w:val="7D546EF2"/>
    <w:lvl w:ilvl="0" w:tplc="D346AC5A">
      <w:start w:val="1"/>
      <w:numFmt w:val="lowerLetter"/>
      <w:lvlText w:val="(%1)"/>
      <w:lvlJc w:val="left"/>
      <w:pPr>
        <w:ind w:left="1455" w:hanging="7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F55E78"/>
    <w:multiLevelType w:val="hybridMultilevel"/>
    <w:tmpl w:val="7EDEA9DC"/>
    <w:lvl w:ilvl="0" w:tplc="9656E00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F47713A"/>
    <w:multiLevelType w:val="hybridMultilevel"/>
    <w:tmpl w:val="9870AB44"/>
    <w:lvl w:ilvl="0" w:tplc="130ABA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5EA1F57"/>
    <w:multiLevelType w:val="hybridMultilevel"/>
    <w:tmpl w:val="3504648E"/>
    <w:lvl w:ilvl="0" w:tplc="70C4A37C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1D3DC8"/>
    <w:multiLevelType w:val="hybridMultilevel"/>
    <w:tmpl w:val="245AD4BC"/>
    <w:lvl w:ilvl="0" w:tplc="7054C3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A58"/>
    <w:rsid w:val="000A7B5C"/>
    <w:rsid w:val="001037B5"/>
    <w:rsid w:val="001466F7"/>
    <w:rsid w:val="00175AAC"/>
    <w:rsid w:val="00200222"/>
    <w:rsid w:val="00276BF4"/>
    <w:rsid w:val="002A6B65"/>
    <w:rsid w:val="002C35B5"/>
    <w:rsid w:val="002E5FCF"/>
    <w:rsid w:val="00305C94"/>
    <w:rsid w:val="00390260"/>
    <w:rsid w:val="003E50D8"/>
    <w:rsid w:val="00457F54"/>
    <w:rsid w:val="00462204"/>
    <w:rsid w:val="00493738"/>
    <w:rsid w:val="004B0EEE"/>
    <w:rsid w:val="004C70E9"/>
    <w:rsid w:val="004E2B2A"/>
    <w:rsid w:val="00514DD5"/>
    <w:rsid w:val="00540BBF"/>
    <w:rsid w:val="005F197F"/>
    <w:rsid w:val="00610632"/>
    <w:rsid w:val="00634335"/>
    <w:rsid w:val="00653A0D"/>
    <w:rsid w:val="00680E52"/>
    <w:rsid w:val="006A7271"/>
    <w:rsid w:val="007C58D3"/>
    <w:rsid w:val="0086064D"/>
    <w:rsid w:val="00861D3A"/>
    <w:rsid w:val="0087161A"/>
    <w:rsid w:val="00876534"/>
    <w:rsid w:val="008E0BCE"/>
    <w:rsid w:val="008E55CC"/>
    <w:rsid w:val="008F511E"/>
    <w:rsid w:val="00925EEB"/>
    <w:rsid w:val="00980A20"/>
    <w:rsid w:val="009F31EE"/>
    <w:rsid w:val="00A42EC1"/>
    <w:rsid w:val="00AD4349"/>
    <w:rsid w:val="00B55490"/>
    <w:rsid w:val="00BB0673"/>
    <w:rsid w:val="00BD3CDD"/>
    <w:rsid w:val="00BF1528"/>
    <w:rsid w:val="00C04A58"/>
    <w:rsid w:val="00D160E9"/>
    <w:rsid w:val="00D255D5"/>
    <w:rsid w:val="00D4576D"/>
    <w:rsid w:val="00DA312F"/>
    <w:rsid w:val="00DE173A"/>
    <w:rsid w:val="00DE79A2"/>
    <w:rsid w:val="00E1105E"/>
    <w:rsid w:val="00E21FCF"/>
    <w:rsid w:val="00E301AD"/>
    <w:rsid w:val="00E76A24"/>
    <w:rsid w:val="00EA4A3F"/>
    <w:rsid w:val="00EB5AC4"/>
    <w:rsid w:val="00EC3F0A"/>
    <w:rsid w:val="00EE6996"/>
    <w:rsid w:val="00EF72CA"/>
    <w:rsid w:val="00FD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A4A3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4A3F"/>
    <w:rPr>
      <w:vertAlign w:val="superscript"/>
    </w:rPr>
  </w:style>
  <w:style w:type="paragraph" w:styleId="NoSpacing">
    <w:name w:val="No Spacing"/>
    <w:uiPriority w:val="1"/>
    <w:qFormat/>
    <w:rsid w:val="009F31EE"/>
    <w:pPr>
      <w:spacing w:after="0" w:line="240" w:lineRule="auto"/>
    </w:pPr>
  </w:style>
  <w:style w:type="paragraph" w:customStyle="1" w:styleId="Default">
    <w:name w:val="Default"/>
    <w:rsid w:val="004937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5AE2F-812C-41B2-8AC1-DC6079900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Perran Hahndiek</dc:creator>
  <cp:lastModifiedBy>PUMZA</cp:lastModifiedBy>
  <cp:revision>2</cp:revision>
  <cp:lastPrinted>2019-09-06T09:09:00Z</cp:lastPrinted>
  <dcterms:created xsi:type="dcterms:W3CDTF">2019-09-12T10:48:00Z</dcterms:created>
  <dcterms:modified xsi:type="dcterms:W3CDTF">2019-09-12T10:48:00Z</dcterms:modified>
</cp:coreProperties>
</file>