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40" w:rsidRPr="008A140B" w:rsidRDefault="001975E4" w:rsidP="008A140B">
      <w:pPr>
        <w:spacing w:line="240" w:lineRule="auto"/>
        <w:jc w:val="center"/>
        <w:rPr>
          <w:b/>
        </w:rPr>
      </w:pPr>
      <w:bookmarkStart w:id="0" w:name="_GoBack"/>
      <w:bookmarkEnd w:id="0"/>
      <w:r>
        <w:rPr>
          <w:b/>
        </w:rPr>
        <w:t xml:space="preserve">PROGRESS REPORT ON HUMAN SETTLEMENTS EXECUTIVE </w:t>
      </w:r>
      <w:r w:rsidR="0043004F" w:rsidRPr="008A140B">
        <w:rPr>
          <w:b/>
        </w:rPr>
        <w:t>UNDER</w:t>
      </w:r>
      <w:r>
        <w:rPr>
          <w:b/>
        </w:rPr>
        <w:t>TAKING -</w:t>
      </w:r>
      <w:r w:rsidR="0043004F" w:rsidRPr="008A140B">
        <w:rPr>
          <w:b/>
        </w:rPr>
        <w:t xml:space="preserve"> 6 JUNE 2017</w:t>
      </w:r>
    </w:p>
    <w:p w:rsidR="0043004F" w:rsidRPr="008A140B" w:rsidRDefault="0043004F" w:rsidP="008A140B">
      <w:pPr>
        <w:spacing w:line="240" w:lineRule="auto"/>
      </w:pPr>
    </w:p>
    <w:tbl>
      <w:tblPr>
        <w:tblStyle w:val="TableGrid"/>
        <w:tblW w:w="15480" w:type="dxa"/>
        <w:tblInd w:w="-702" w:type="dxa"/>
        <w:tblLook w:val="04A0"/>
      </w:tblPr>
      <w:tblGrid>
        <w:gridCol w:w="1037"/>
        <w:gridCol w:w="6754"/>
        <w:gridCol w:w="3450"/>
        <w:gridCol w:w="4239"/>
      </w:tblGrid>
      <w:tr w:rsidR="0043004F" w:rsidRPr="008A140B" w:rsidTr="001975E4">
        <w:tc>
          <w:tcPr>
            <w:tcW w:w="1037" w:type="dxa"/>
          </w:tcPr>
          <w:p w:rsidR="0043004F" w:rsidRPr="008A140B" w:rsidRDefault="0043004F" w:rsidP="008A140B"/>
        </w:tc>
        <w:tc>
          <w:tcPr>
            <w:tcW w:w="6754" w:type="dxa"/>
            <w:shd w:val="clear" w:color="auto" w:fill="BFBFBF" w:themeFill="background1" w:themeFillShade="BF"/>
          </w:tcPr>
          <w:p w:rsidR="001975E4" w:rsidRDefault="001975E4" w:rsidP="008A140B">
            <w:pPr>
              <w:rPr>
                <w:b/>
              </w:rPr>
            </w:pPr>
          </w:p>
          <w:p w:rsidR="0043004F" w:rsidRDefault="002F6713" w:rsidP="001975E4">
            <w:pPr>
              <w:jc w:val="center"/>
              <w:rPr>
                <w:b/>
              </w:rPr>
            </w:pPr>
            <w:r>
              <w:rPr>
                <w:b/>
              </w:rPr>
              <w:t>Ministerial  U</w:t>
            </w:r>
            <w:r w:rsidR="0043004F" w:rsidRPr="008A140B">
              <w:rPr>
                <w:b/>
              </w:rPr>
              <w:t>ndertaking</w:t>
            </w:r>
          </w:p>
          <w:p w:rsidR="001975E4" w:rsidRPr="008A140B" w:rsidRDefault="001975E4" w:rsidP="008A140B">
            <w:pPr>
              <w:rPr>
                <w:b/>
              </w:rPr>
            </w:pPr>
          </w:p>
        </w:tc>
        <w:tc>
          <w:tcPr>
            <w:tcW w:w="3450" w:type="dxa"/>
            <w:shd w:val="clear" w:color="auto" w:fill="BFBFBF" w:themeFill="background1" w:themeFillShade="BF"/>
          </w:tcPr>
          <w:p w:rsidR="001975E4" w:rsidRDefault="001975E4" w:rsidP="008A140B">
            <w:pPr>
              <w:rPr>
                <w:b/>
              </w:rPr>
            </w:pPr>
          </w:p>
          <w:p w:rsidR="0043004F" w:rsidRPr="008A140B" w:rsidRDefault="002F6713" w:rsidP="001975E4">
            <w:pPr>
              <w:jc w:val="center"/>
              <w:rPr>
                <w:b/>
              </w:rPr>
            </w:pPr>
            <w:r>
              <w:rPr>
                <w:b/>
              </w:rPr>
              <w:t xml:space="preserve">Current Status </w:t>
            </w:r>
          </w:p>
        </w:tc>
        <w:tc>
          <w:tcPr>
            <w:tcW w:w="4239" w:type="dxa"/>
            <w:shd w:val="clear" w:color="auto" w:fill="BFBFBF" w:themeFill="background1" w:themeFillShade="BF"/>
          </w:tcPr>
          <w:p w:rsidR="001975E4" w:rsidRDefault="001975E4" w:rsidP="008A140B">
            <w:pPr>
              <w:rPr>
                <w:b/>
              </w:rPr>
            </w:pPr>
          </w:p>
          <w:p w:rsidR="0043004F" w:rsidRPr="008A140B" w:rsidRDefault="002F6713" w:rsidP="001975E4">
            <w:pPr>
              <w:jc w:val="center"/>
              <w:rPr>
                <w:b/>
              </w:rPr>
            </w:pPr>
            <w:r>
              <w:rPr>
                <w:b/>
              </w:rPr>
              <w:t>Proposed Next S</w:t>
            </w:r>
            <w:r w:rsidR="0043004F" w:rsidRPr="008A140B">
              <w:rPr>
                <w:b/>
              </w:rPr>
              <w:t>tep</w:t>
            </w:r>
            <w:r>
              <w:rPr>
                <w:b/>
              </w:rPr>
              <w:t>(s)</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a</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Working together with the Department of Rural Development and Land Affairs and Public Works we will establish in collaboration with municipalities to ensure that it is serviced and there is sufficient infrastructure</w:t>
            </w:r>
          </w:p>
          <w:p w:rsidR="001975E4" w:rsidRPr="008A140B" w:rsidRDefault="001975E4" w:rsidP="008A140B"/>
        </w:tc>
        <w:tc>
          <w:tcPr>
            <w:tcW w:w="3450" w:type="dxa"/>
          </w:tcPr>
          <w:p w:rsidR="00E67648" w:rsidRDefault="00E67648" w:rsidP="008A140B"/>
          <w:p w:rsidR="0026352E" w:rsidRPr="0026352E" w:rsidRDefault="000A72B3" w:rsidP="0026352E">
            <w:pPr>
              <w:jc w:val="both"/>
              <w:rPr>
                <w:color w:val="000000" w:themeColor="text1"/>
              </w:rPr>
            </w:pPr>
            <w:r>
              <w:t>A Joint Coordinating Committee on Land has been established and also includes Public Works, Rural Development, Agriculture and Land Reform, Public Enterprises, Transport and CoGTA. All applications for release of land is assessed and recommended for release by the custodian department for human settlements development. The relevant Provinces and Municipalities have also beed directed to undertake such processes, with limited success.  The Gauteng Department of Human Settlements has however undertaken a process for release of state land and properties for release</w:t>
            </w:r>
            <w:r w:rsidR="0026352E">
              <w:t xml:space="preserve">. </w:t>
            </w:r>
            <w:r w:rsidR="0026352E" w:rsidRPr="0026352E">
              <w:rPr>
                <w:color w:val="000000" w:themeColor="text1"/>
              </w:rPr>
              <w:t xml:space="preserve">To date, </w:t>
            </w:r>
            <w:r w:rsidR="0026352E" w:rsidRPr="0026352E">
              <w:rPr>
                <w:b/>
                <w:color w:val="000000" w:themeColor="text1"/>
              </w:rPr>
              <w:t>11 743</w:t>
            </w:r>
            <w:r w:rsidR="0026352E" w:rsidRPr="0026352E">
              <w:rPr>
                <w:color w:val="000000" w:themeColor="text1"/>
              </w:rPr>
              <w:t xml:space="preserve"> hectares of public (national and provincial) including municipal land has been identified to support the programme. The identified land can yield </w:t>
            </w:r>
            <w:r w:rsidR="0026352E" w:rsidRPr="0026352E">
              <w:rPr>
                <w:b/>
                <w:color w:val="000000" w:themeColor="text1"/>
              </w:rPr>
              <w:t>121 898</w:t>
            </w:r>
            <w:r w:rsidR="0026352E" w:rsidRPr="0026352E">
              <w:rPr>
                <w:color w:val="000000" w:themeColor="text1"/>
              </w:rPr>
              <w:t xml:space="preserve"> units. </w:t>
            </w:r>
          </w:p>
          <w:p w:rsidR="0043004F" w:rsidRDefault="0043004F" w:rsidP="008A140B"/>
          <w:p w:rsidR="00E67648" w:rsidRPr="008A140B" w:rsidRDefault="00E67648" w:rsidP="008A140B"/>
        </w:tc>
        <w:tc>
          <w:tcPr>
            <w:tcW w:w="4239" w:type="dxa"/>
          </w:tcPr>
          <w:p w:rsidR="00E67648" w:rsidRDefault="00E67648" w:rsidP="008A140B"/>
          <w:p w:rsidR="0043004F" w:rsidRDefault="000A72B3" w:rsidP="008A140B">
            <w:r>
              <w:t>The Cabinet has established an IMC on Land Reform chaired by the Deputy President and has prioritised release of land for human settlements, land reform and overall transformation of land and property rights and access across the state.</w:t>
            </w:r>
          </w:p>
          <w:p w:rsidR="000A72B3" w:rsidRDefault="000A72B3" w:rsidP="008A140B">
            <w:r>
              <w:t>A comprehensive land a</w:t>
            </w:r>
            <w:r w:rsidR="00B7326C">
              <w:t>udit has</w:t>
            </w:r>
            <w:r>
              <w:t xml:space="preserve"> also being undertaken by DRDALR which will allow for property assessment and release of state land and property at the National sphere.</w:t>
            </w:r>
          </w:p>
          <w:p w:rsidR="0026352E" w:rsidRPr="0026352E" w:rsidRDefault="0026352E" w:rsidP="0026352E">
            <w:pPr>
              <w:jc w:val="both"/>
              <w:rPr>
                <w:color w:val="000000" w:themeColor="text1"/>
              </w:rPr>
            </w:pPr>
            <w:r>
              <w:rPr>
                <w:color w:val="000000" w:themeColor="text1"/>
              </w:rPr>
              <w:t>The Guateng Province</w:t>
            </w:r>
            <w:r w:rsidRPr="0026352E">
              <w:rPr>
                <w:color w:val="000000" w:themeColor="text1"/>
              </w:rPr>
              <w:t xml:space="preserve"> is also </w:t>
            </w:r>
            <w:r>
              <w:rPr>
                <w:color w:val="000000" w:themeColor="text1"/>
              </w:rPr>
              <w:t xml:space="preserve">considering </w:t>
            </w:r>
            <w:r w:rsidRPr="0026352E">
              <w:rPr>
                <w:color w:val="000000" w:themeColor="text1"/>
              </w:rPr>
              <w:t>to bring forward some of the projects currently at planning stages for implementation</w:t>
            </w:r>
            <w:r>
              <w:rPr>
                <w:color w:val="000000" w:themeColor="text1"/>
              </w:rPr>
              <w:t>, in the Rapid Land Release Programme</w:t>
            </w:r>
            <w:r w:rsidRPr="0026352E">
              <w:rPr>
                <w:color w:val="000000" w:themeColor="text1"/>
              </w:rPr>
              <w:t xml:space="preserve">. </w:t>
            </w:r>
          </w:p>
          <w:p w:rsidR="0026352E" w:rsidRPr="008A140B" w:rsidRDefault="0026352E" w:rsidP="008A140B"/>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b</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In a situation where people live in dire circumstances, we’ll have a phased approach, very similar to the ones that we have and lessons learnt on the N2 Gateway Project</w:t>
            </w:r>
          </w:p>
          <w:p w:rsidR="001975E4" w:rsidRPr="008A140B" w:rsidRDefault="001975E4" w:rsidP="008A140B"/>
        </w:tc>
        <w:tc>
          <w:tcPr>
            <w:tcW w:w="3450" w:type="dxa"/>
          </w:tcPr>
          <w:p w:rsidR="00957071" w:rsidRDefault="00957071" w:rsidP="008A140B"/>
          <w:p w:rsidR="00E67648" w:rsidRDefault="000A72B3" w:rsidP="008A140B">
            <w:r>
              <w:t>Relevant evaluations have been conducted on the programmes including application in projects and this inlcudes the N2 Gateway and Co</w:t>
            </w:r>
            <w:r w:rsidR="00E67648">
              <w:t>smo Cty. The recommendations of the evaluations have been applied in order to improve project outcomes and this includes transformation of current spatial status .</w:t>
            </w:r>
          </w:p>
          <w:p w:rsidR="00E67648" w:rsidRDefault="00E67648" w:rsidP="008A140B"/>
          <w:p w:rsidR="00E67648" w:rsidRDefault="00E67648" w:rsidP="008A140B">
            <w:r>
              <w:t xml:space="preserve">This now has resulted in more intensive and focused implementation of the Catalytic Projects Programme and 48 projects are currently in various stages of planning or implementation. In addition focused grants have and are being introduced to ensure households living in informal settlements and more dire precarious circumstances are prioritised. </w:t>
            </w:r>
          </w:p>
          <w:p w:rsidR="00E67648" w:rsidRDefault="00E67648" w:rsidP="008A140B"/>
          <w:p w:rsidR="0043004F" w:rsidRDefault="00E67648" w:rsidP="008A140B">
            <w:r>
              <w:t>Thus an Emergency Housing Grant and Informal Settlements Upgrading Grant has been established and implemented and in the case of the ISUG it is in its window period.</w:t>
            </w:r>
          </w:p>
          <w:p w:rsidR="00E67648" w:rsidRDefault="00E67648" w:rsidP="008A140B"/>
          <w:p w:rsidR="00E67648" w:rsidRPr="008A140B" w:rsidRDefault="00E67648" w:rsidP="008A140B"/>
        </w:tc>
        <w:tc>
          <w:tcPr>
            <w:tcW w:w="4239" w:type="dxa"/>
          </w:tcPr>
          <w:p w:rsidR="00957071" w:rsidRDefault="00957071" w:rsidP="008A140B"/>
          <w:p w:rsidR="0043004F" w:rsidRDefault="00E67648" w:rsidP="008A140B">
            <w:r>
              <w:t>The Provinces and Municipalities are being monitored to ensure that ISUG and Emergency Grant applications are able to achieve required outcomes and this includes required business plans.</w:t>
            </w:r>
          </w:p>
          <w:p w:rsidR="00E67648" w:rsidRPr="008A140B" w:rsidRDefault="00E67648" w:rsidP="008A140B">
            <w:r>
              <w:t>In respect of the IRDP, the Provinces have been directed to ensure that priority is given to ensuring implementation of the Catalytic and Mega Projects.</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c</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We would make sure that we have preferred material suppliers we will list the material required and ensure that this is closely monitored so that we can transform that sector as well.  At the moment we are held hostage by a monopoly over our material suppliers</w:t>
            </w:r>
          </w:p>
          <w:p w:rsidR="001975E4" w:rsidRPr="008A140B" w:rsidRDefault="001975E4" w:rsidP="008A140B"/>
        </w:tc>
        <w:tc>
          <w:tcPr>
            <w:tcW w:w="3450" w:type="dxa"/>
          </w:tcPr>
          <w:p w:rsidR="0043004F" w:rsidRDefault="0043004F" w:rsidP="008A140B"/>
          <w:p w:rsidR="00E67648" w:rsidRDefault="00E67648" w:rsidP="008A140B">
            <w:r>
              <w:t>The Department has commenced with a process to evaluate the procurement processes being applied in the Provinces and Municipalities. This is to ensure that there is c</w:t>
            </w:r>
            <w:r w:rsidR="000A5C62">
              <w:t>ompliance with the provisions of required socio-economic directives focused on empowerment and eradication of cartels and monopolies in the delivery chain.</w:t>
            </w:r>
          </w:p>
          <w:p w:rsidR="000A5C62" w:rsidRDefault="000A5C62" w:rsidP="008A140B">
            <w:r>
              <w:t xml:space="preserve">The Chief Procurement Office will be enlist to provide guidance, advice and support in the monitoring of Provincial and Municipal procurement in the human settlements delivery chain. </w:t>
            </w:r>
          </w:p>
          <w:p w:rsidR="000A5C62" w:rsidRDefault="000A5C62" w:rsidP="008A140B">
            <w:r>
              <w:t>Where required and feasible the process envisaged includes the designation of material supply.</w:t>
            </w:r>
          </w:p>
          <w:p w:rsidR="000A5C62" w:rsidRDefault="000A5C62" w:rsidP="008A140B">
            <w:r>
              <w:t>The Minister has already issued directives that all Provinces and Municipalities utilising Departmental grants ensure that a minimum of 30% is allocated to women enterprises and 10% to youth enterprises, across the delivery chain. Provincs and Municipalities required to submit monthly reports to both the DG and Minister.</w:t>
            </w:r>
          </w:p>
          <w:p w:rsidR="000A5C62" w:rsidRPr="008A140B" w:rsidRDefault="000A5C62" w:rsidP="008A140B">
            <w:r>
              <w:t xml:space="preserve"> </w:t>
            </w:r>
          </w:p>
        </w:tc>
        <w:tc>
          <w:tcPr>
            <w:tcW w:w="4239" w:type="dxa"/>
          </w:tcPr>
          <w:p w:rsidR="0043004F" w:rsidRDefault="0043004F" w:rsidP="008A140B"/>
          <w:p w:rsidR="000A5C62" w:rsidRPr="008A140B" w:rsidRDefault="000A5C62" w:rsidP="008A140B">
            <w:r>
              <w:t xml:space="preserve">Once complete the evaluation is expected to allow for the Minister to issue further directives to transform the economic aspects of the sector. </w:t>
            </w:r>
            <w:r w:rsidR="00B7326C">
              <w:t>This is expected to be completed in the 2020/21 financial year</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d</w:t>
            </w:r>
          </w:p>
        </w:tc>
        <w:tc>
          <w:tcPr>
            <w:tcW w:w="6754" w:type="dxa"/>
          </w:tcPr>
          <w:p w:rsidR="001975E4" w:rsidRDefault="001975E4" w:rsidP="008A140B">
            <w:pPr>
              <w:rPr>
                <w:bCs/>
                <w:lang w:val="en-US"/>
              </w:rPr>
            </w:pPr>
          </w:p>
          <w:p w:rsidR="0043004F" w:rsidRPr="008A140B" w:rsidRDefault="0043004F" w:rsidP="008A140B">
            <w:r w:rsidRPr="008A140B">
              <w:rPr>
                <w:bCs/>
                <w:lang w:val="en-US"/>
              </w:rPr>
              <w:t>Would also like to make sure that we insist on innovative material and technologies.  This will form a greater part of our new approach because it is faster, eco-friendly and cheaper in the long run</w:t>
            </w:r>
          </w:p>
        </w:tc>
        <w:tc>
          <w:tcPr>
            <w:tcW w:w="3450" w:type="dxa"/>
          </w:tcPr>
          <w:p w:rsidR="001975E4" w:rsidRDefault="001975E4" w:rsidP="001975E4">
            <w:pPr>
              <w:pStyle w:val="ListParagraph"/>
              <w:ind w:left="360"/>
            </w:pPr>
          </w:p>
          <w:p w:rsidR="001975E4" w:rsidRDefault="009A7037" w:rsidP="008A140B">
            <w:pPr>
              <w:pStyle w:val="ListParagraph"/>
              <w:numPr>
                <w:ilvl w:val="0"/>
                <w:numId w:val="1"/>
              </w:numPr>
            </w:pPr>
            <w:r w:rsidRPr="008A140B">
              <w:t xml:space="preserve">The Department has entered into a Memorandum of Agreement with the Department of Science and Technology, the agreement allows that the Department work directly with CSIR. </w:t>
            </w:r>
          </w:p>
          <w:p w:rsidR="001975E4" w:rsidRDefault="001975E4" w:rsidP="00B7326C"/>
          <w:p w:rsidR="0043004F" w:rsidRDefault="009A7037" w:rsidP="008A140B">
            <w:pPr>
              <w:pStyle w:val="ListParagraph"/>
              <w:numPr>
                <w:ilvl w:val="0"/>
                <w:numId w:val="1"/>
              </w:numPr>
            </w:pPr>
            <w:r w:rsidRPr="008A140B">
              <w:t>The CSIR in partnership with the Department and the NHBRC has undertaken research on the</w:t>
            </w:r>
            <w:r w:rsidR="00F6785C">
              <w:t xml:space="preserve"> general priorities, barriers</w:t>
            </w:r>
            <w:r w:rsidR="00F6785C" w:rsidRPr="008A140B">
              <w:t xml:space="preserve"> </w:t>
            </w:r>
            <w:r w:rsidR="00F6785C">
              <w:t xml:space="preserve">in the utilisation </w:t>
            </w:r>
            <w:r w:rsidRPr="008A140B">
              <w:t xml:space="preserve">of alternative technologies, built a database, identified shortages on areas </w:t>
            </w:r>
            <w:r w:rsidR="00DD5350">
              <w:t>that</w:t>
            </w:r>
            <w:r w:rsidR="00DD5350" w:rsidRPr="008A140B">
              <w:t xml:space="preserve"> </w:t>
            </w:r>
            <w:r w:rsidRPr="008A140B">
              <w:t>need immediate intervention in each Province</w:t>
            </w:r>
            <w:r w:rsidR="00F6785C">
              <w:t xml:space="preserve"> as</w:t>
            </w:r>
            <w:r w:rsidRPr="008A140B">
              <w:t>, benefits and impact as well as how to scale up and implement alternative technologies. The research also advises on the regulations and approval methods for any innovative technology in the Human Settlement Sector.</w:t>
            </w:r>
            <w:r w:rsidR="00A1205E" w:rsidRPr="008A140B">
              <w:t xml:space="preserve"> The research is called the </w:t>
            </w:r>
            <w:r w:rsidR="00DD5350">
              <w:t>Science Technology &amp; Innovation for Sustainable Human Settlements STI4SHS.co.za</w:t>
            </w:r>
            <w:r w:rsidR="00A1205E" w:rsidRPr="008A140B">
              <w:t>.</w:t>
            </w:r>
          </w:p>
          <w:p w:rsidR="001975E4" w:rsidRDefault="001975E4" w:rsidP="001975E4">
            <w:pPr>
              <w:pStyle w:val="ListParagraph"/>
              <w:ind w:left="360"/>
            </w:pPr>
          </w:p>
          <w:p w:rsidR="00B7326C" w:rsidRDefault="00B7326C" w:rsidP="001975E4">
            <w:pPr>
              <w:pStyle w:val="ListParagraph"/>
              <w:ind w:left="360"/>
            </w:pPr>
          </w:p>
          <w:p w:rsidR="00B7326C" w:rsidRPr="008A140B" w:rsidRDefault="00B7326C" w:rsidP="001975E4">
            <w:pPr>
              <w:pStyle w:val="ListParagraph"/>
              <w:ind w:left="360"/>
            </w:pPr>
          </w:p>
          <w:p w:rsidR="00957071" w:rsidRDefault="00957071" w:rsidP="00957071">
            <w:pPr>
              <w:pStyle w:val="ListParagraph"/>
              <w:ind w:left="360"/>
            </w:pPr>
          </w:p>
          <w:p w:rsidR="001975E4" w:rsidRDefault="009A7037" w:rsidP="000A5C62">
            <w:pPr>
              <w:pStyle w:val="ListParagraph"/>
              <w:numPr>
                <w:ilvl w:val="0"/>
                <w:numId w:val="1"/>
              </w:numPr>
            </w:pPr>
            <w:r w:rsidRPr="008A140B">
              <w:t>NHBRC’s Guidelines for the Implementation of innovative and alternative technologies was approved by Technical MinMec.</w:t>
            </w:r>
          </w:p>
          <w:p w:rsidR="008A140B" w:rsidRPr="008A140B" w:rsidRDefault="009A7037" w:rsidP="008A140B">
            <w:pPr>
              <w:pStyle w:val="ListParagraph"/>
              <w:numPr>
                <w:ilvl w:val="0"/>
                <w:numId w:val="1"/>
              </w:numPr>
            </w:pPr>
            <w:r w:rsidRPr="008A140B">
              <w:t>The Department, NHBRC and Department of Environmental Affairs have started engagements on the green house building as well as implementation of flagship projects that</w:t>
            </w:r>
            <w:r w:rsidR="00A1205E" w:rsidRPr="008A140B">
              <w:t xml:space="preserve"> aims for a </w:t>
            </w:r>
            <w:r w:rsidRPr="008A140B">
              <w:t xml:space="preserve"> </w:t>
            </w:r>
            <w:r w:rsidR="00A1205E" w:rsidRPr="008A140B">
              <w:t xml:space="preserve">transition into a low carbon and climate resilient economy and society that  can be achieved through the Climate Change Flagship Programme which aims to respond to these issues at a national scale. </w:t>
            </w:r>
          </w:p>
          <w:p w:rsidR="008A140B" w:rsidRDefault="008A140B" w:rsidP="008A140B">
            <w:pPr>
              <w:pStyle w:val="ListParagraph"/>
              <w:ind w:left="360"/>
            </w:pPr>
          </w:p>
          <w:p w:rsidR="008A140B" w:rsidRDefault="008A140B" w:rsidP="008A140B">
            <w:pPr>
              <w:pStyle w:val="ListParagraph"/>
              <w:ind w:left="360"/>
            </w:pPr>
          </w:p>
          <w:p w:rsidR="008A140B" w:rsidRDefault="008A140B" w:rsidP="008A140B"/>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8A140B" w:rsidRDefault="008A140B" w:rsidP="008A140B">
            <w:pPr>
              <w:pStyle w:val="ListParagraph"/>
              <w:ind w:left="360"/>
            </w:pPr>
          </w:p>
          <w:p w:rsidR="00D349BF" w:rsidRDefault="00D349BF" w:rsidP="001975E4"/>
          <w:p w:rsidR="00A1205E" w:rsidRPr="008A140B" w:rsidRDefault="00A1205E" w:rsidP="008A140B">
            <w:pPr>
              <w:pStyle w:val="ListParagraph"/>
              <w:numPr>
                <w:ilvl w:val="0"/>
                <w:numId w:val="1"/>
              </w:numPr>
            </w:pPr>
            <w:r w:rsidRPr="008A140B">
              <w:t xml:space="preserve">The Department held a roundtable discussion forum on the </w:t>
            </w:r>
            <w:r w:rsidR="008A140B" w:rsidRPr="008A140B">
              <w:t>innovative</w:t>
            </w:r>
            <w:r w:rsidRPr="008A140B">
              <w:t xml:space="preserve"> and transformative technologies. The purpose of the round table was to forge relationships with the sector also on how to implement the technologies at a larger scale.</w:t>
            </w:r>
          </w:p>
        </w:tc>
        <w:tc>
          <w:tcPr>
            <w:tcW w:w="4239" w:type="dxa"/>
          </w:tcPr>
          <w:p w:rsidR="001975E4" w:rsidRDefault="001975E4" w:rsidP="001975E4">
            <w:pPr>
              <w:pStyle w:val="ListParagraph"/>
              <w:ind w:left="360"/>
            </w:pPr>
          </w:p>
          <w:p w:rsidR="001975E4" w:rsidRDefault="00A1205E" w:rsidP="008A140B">
            <w:pPr>
              <w:pStyle w:val="ListParagraph"/>
              <w:numPr>
                <w:ilvl w:val="0"/>
                <w:numId w:val="1"/>
              </w:numPr>
            </w:pPr>
            <w:r w:rsidRPr="008A140B">
              <w:t>The Roadmap is almost complete, the draft document is to be presented to both the DST and NDHS/ WS management for endorsement and incorporation in the Policies of the Department to ensure implementation and inclusion in the MTSF.</w:t>
            </w:r>
          </w:p>
          <w:p w:rsidR="001975E4" w:rsidRDefault="001975E4" w:rsidP="001975E4">
            <w:pPr>
              <w:pStyle w:val="ListParagraph"/>
              <w:ind w:left="360"/>
            </w:pPr>
          </w:p>
          <w:p w:rsidR="001975E4" w:rsidRDefault="001975E4" w:rsidP="001975E4">
            <w:pPr>
              <w:pStyle w:val="ListParagraph"/>
              <w:ind w:left="360"/>
            </w:pPr>
          </w:p>
          <w:p w:rsidR="001975E4" w:rsidRDefault="001975E4" w:rsidP="001975E4">
            <w:pPr>
              <w:pStyle w:val="ListParagraph"/>
              <w:ind w:left="360"/>
            </w:pPr>
          </w:p>
          <w:p w:rsidR="0043004F" w:rsidRPr="008A140B" w:rsidRDefault="008A140B" w:rsidP="008A140B">
            <w:pPr>
              <w:pStyle w:val="ListParagraph"/>
              <w:numPr>
                <w:ilvl w:val="0"/>
                <w:numId w:val="1"/>
              </w:numPr>
            </w:pPr>
            <w:r>
              <w:t xml:space="preserve"> Dea</w:t>
            </w:r>
            <w:r w:rsidR="00D349BF">
              <w:t>dline for the presentation is 30 September 2019.</w:t>
            </w:r>
          </w:p>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Pr="008A140B" w:rsidRDefault="00A1205E" w:rsidP="008A140B"/>
          <w:p w:rsidR="00A1205E" w:rsidRDefault="00A1205E" w:rsidP="008A140B"/>
          <w:p w:rsidR="00F6785C" w:rsidRDefault="00F6785C" w:rsidP="008A140B"/>
          <w:p w:rsidR="00F6785C" w:rsidRPr="008A140B" w:rsidRDefault="00F6785C" w:rsidP="008A140B"/>
          <w:p w:rsidR="00A1205E" w:rsidRPr="008A140B" w:rsidRDefault="00A1205E" w:rsidP="008A140B"/>
          <w:p w:rsidR="001975E4" w:rsidRDefault="001975E4" w:rsidP="001975E4">
            <w:pPr>
              <w:pStyle w:val="ListParagraph"/>
              <w:ind w:left="360"/>
            </w:pPr>
          </w:p>
          <w:p w:rsidR="001975E4" w:rsidRDefault="001975E4" w:rsidP="001975E4">
            <w:pPr>
              <w:pStyle w:val="ListParagraph"/>
              <w:ind w:left="360"/>
            </w:pPr>
          </w:p>
          <w:p w:rsidR="001975E4" w:rsidRDefault="001975E4" w:rsidP="001975E4">
            <w:pPr>
              <w:pStyle w:val="ListParagraph"/>
              <w:ind w:left="360"/>
            </w:pPr>
          </w:p>
          <w:p w:rsidR="00957071" w:rsidRDefault="00957071" w:rsidP="00957071">
            <w:pPr>
              <w:pStyle w:val="ListParagraph"/>
              <w:ind w:left="360"/>
            </w:pPr>
          </w:p>
          <w:p w:rsidR="001975E4" w:rsidRDefault="00A1205E" w:rsidP="008A140B">
            <w:pPr>
              <w:pStyle w:val="ListParagraph"/>
              <w:numPr>
                <w:ilvl w:val="0"/>
                <w:numId w:val="1"/>
              </w:numPr>
            </w:pPr>
            <w:r w:rsidRPr="008A140B">
              <w:t>MinMec has to approve the Guidelines for the implementation of already approved technologies for the building of a house and other alternative technologies that may be considered to reduce green house gas emmisions in respond to climate change in collaboration with DEA.</w:t>
            </w:r>
            <w:r w:rsidR="00D349BF">
              <w:t xml:space="preserve"> </w:t>
            </w:r>
          </w:p>
          <w:p w:rsidR="001975E4" w:rsidRDefault="001975E4" w:rsidP="000A5C62"/>
          <w:p w:rsidR="00A1205E" w:rsidRPr="008A140B" w:rsidRDefault="00D349BF" w:rsidP="008A140B">
            <w:pPr>
              <w:pStyle w:val="ListParagraph"/>
              <w:numPr>
                <w:ilvl w:val="0"/>
                <w:numId w:val="1"/>
              </w:numPr>
            </w:pPr>
            <w:r>
              <w:t>The deadline for approval is 2</w:t>
            </w:r>
            <w:r w:rsidRPr="00D349BF">
              <w:rPr>
                <w:vertAlign w:val="superscript"/>
              </w:rPr>
              <w:t>nd</w:t>
            </w:r>
            <w:r>
              <w:t xml:space="preserve"> date of the next MinMec.</w:t>
            </w:r>
          </w:p>
          <w:p w:rsidR="001975E4" w:rsidRPr="001975E4" w:rsidRDefault="001975E4" w:rsidP="001975E4">
            <w:pPr>
              <w:tabs>
                <w:tab w:val="left" w:pos="630"/>
              </w:tabs>
              <w:jc w:val="both"/>
              <w:rPr>
                <w:rFonts w:cs="Arial"/>
                <w:lang w:val="en-US"/>
              </w:rPr>
            </w:pPr>
          </w:p>
          <w:p w:rsidR="001975E4" w:rsidRDefault="008A140B" w:rsidP="001975E4">
            <w:pPr>
              <w:pStyle w:val="ListParagraph"/>
              <w:numPr>
                <w:ilvl w:val="0"/>
                <w:numId w:val="1"/>
              </w:numPr>
              <w:tabs>
                <w:tab w:val="left" w:pos="630"/>
              </w:tabs>
              <w:jc w:val="both"/>
              <w:rPr>
                <w:rFonts w:cs="Arial"/>
                <w:lang w:val="en-US"/>
              </w:rPr>
            </w:pPr>
            <w:r w:rsidRPr="008A140B">
              <w:t xml:space="preserve">The Department has held discussions with the DEA, KZN Provincial Department of Human Settlements and its Municipalities to start implementing flagship programme on new projects to ensure compliance with the DEA regulations on climate change. The Province and Municipalities has agreed to develop new guidelines that will inform all future projects and draft proposals that DEA may apply for external donor funding to ensure that the proposals are approved. Further, it was agreed that </w:t>
            </w:r>
            <w:r w:rsidRPr="008A140B">
              <w:rPr>
                <w:rFonts w:cs="Arial"/>
                <w:lang w:val="en-US"/>
              </w:rPr>
              <w:t>Greater emphasis needs to be placed on Environmental Impact Assessment protocols. Climate Change and environmental issues need to be dealt with at TEC level in which there will have to be climate control and compliance.</w:t>
            </w:r>
          </w:p>
          <w:p w:rsidR="004F7267" w:rsidRPr="00957071" w:rsidRDefault="004F7267" w:rsidP="00957071">
            <w:pPr>
              <w:tabs>
                <w:tab w:val="left" w:pos="630"/>
              </w:tabs>
              <w:jc w:val="both"/>
              <w:rPr>
                <w:rFonts w:cs="Arial"/>
                <w:lang w:val="en-US"/>
              </w:rPr>
            </w:pPr>
          </w:p>
          <w:p w:rsidR="001975E4" w:rsidRPr="001975E4" w:rsidRDefault="008A140B" w:rsidP="001975E4">
            <w:pPr>
              <w:pStyle w:val="ListParagraph"/>
              <w:numPr>
                <w:ilvl w:val="0"/>
                <w:numId w:val="1"/>
              </w:numPr>
              <w:tabs>
                <w:tab w:val="left" w:pos="630"/>
              </w:tabs>
              <w:jc w:val="both"/>
              <w:rPr>
                <w:rFonts w:cs="Arial"/>
                <w:lang w:val="en-US"/>
              </w:rPr>
            </w:pPr>
            <w:r w:rsidRPr="001975E4">
              <w:rPr>
                <w:rFonts w:cs="Arial"/>
              </w:rPr>
              <w:t xml:space="preserve">Climate change and other environmental issues need to be considered during the stage 1 project process and cannot be done at the construction stage. </w:t>
            </w:r>
          </w:p>
          <w:p w:rsidR="001975E4" w:rsidRPr="004F7267" w:rsidRDefault="001975E4" w:rsidP="004F7267">
            <w:pPr>
              <w:rPr>
                <w:rFonts w:cs="Arial"/>
              </w:rPr>
            </w:pPr>
          </w:p>
          <w:p w:rsidR="008A140B" w:rsidRPr="008A140B" w:rsidRDefault="008A140B" w:rsidP="008A140B">
            <w:pPr>
              <w:pStyle w:val="ListParagraph"/>
              <w:ind w:left="360"/>
            </w:pPr>
            <w:r w:rsidRPr="008A140B">
              <w:rPr>
                <w:rFonts w:cs="Arial"/>
              </w:rPr>
              <w:t>Therefore, the Department needs to revise the stage 1 process to be inclusive of climate change protocols as part of the approval process</w:t>
            </w:r>
            <w:r w:rsidR="00D349BF">
              <w:rPr>
                <w:rFonts w:cs="Arial"/>
              </w:rPr>
              <w:t>. The deadline for the next feedback is 31 August 2019.</w:t>
            </w:r>
            <w:r w:rsidRPr="008A140B">
              <w:t xml:space="preserve"> </w:t>
            </w:r>
          </w:p>
          <w:p w:rsidR="008A140B" w:rsidRDefault="008A140B" w:rsidP="008A140B">
            <w:pPr>
              <w:pStyle w:val="ListParagraph"/>
              <w:ind w:left="360"/>
            </w:pPr>
          </w:p>
          <w:p w:rsidR="008A140B" w:rsidRPr="008A140B" w:rsidRDefault="008A140B" w:rsidP="008A140B">
            <w:pPr>
              <w:pStyle w:val="ListParagraph"/>
              <w:numPr>
                <w:ilvl w:val="0"/>
                <w:numId w:val="1"/>
              </w:numPr>
            </w:pPr>
            <w:r>
              <w:t xml:space="preserve">From the roundtable discussion with the sector, the Department has to propose for approval by a management an implementation plan taking into account the responses from the roundtable. </w:t>
            </w:r>
            <w:r w:rsidR="00D349BF">
              <w:t>The deadline for the approval is 30 September 2019.</w:t>
            </w:r>
          </w:p>
          <w:p w:rsidR="008A140B" w:rsidRPr="008A140B" w:rsidRDefault="008A140B" w:rsidP="008A140B"/>
          <w:p w:rsidR="00A1205E" w:rsidRPr="008A140B" w:rsidRDefault="00A1205E" w:rsidP="008A140B"/>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e</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We will be conducting an audit of all blocked projects that you complained about last year and recall the contractors who left projects unfinished.  Where necessary, we’ll take legal action to force the contractors to build and complete those projects</w:t>
            </w:r>
          </w:p>
          <w:p w:rsidR="00714A89" w:rsidRDefault="00714A89" w:rsidP="008A140B">
            <w:pPr>
              <w:rPr>
                <w:bCs/>
                <w:lang w:val="en-US"/>
              </w:rPr>
            </w:pPr>
          </w:p>
          <w:p w:rsidR="00714A89" w:rsidRDefault="00714A89" w:rsidP="008A140B">
            <w:pPr>
              <w:rPr>
                <w:bCs/>
                <w:lang w:val="en-US"/>
              </w:rPr>
            </w:pPr>
          </w:p>
          <w:p w:rsidR="00714A89" w:rsidRDefault="00714A89" w:rsidP="008A140B">
            <w:pPr>
              <w:rPr>
                <w:bCs/>
                <w:lang w:val="en-US"/>
              </w:rPr>
            </w:pPr>
          </w:p>
          <w:p w:rsidR="00714A89" w:rsidRDefault="00714A89" w:rsidP="008A140B">
            <w:pPr>
              <w:rPr>
                <w:bCs/>
                <w:lang w:val="en-US"/>
              </w:rPr>
            </w:pPr>
          </w:p>
          <w:p w:rsidR="001975E4" w:rsidRDefault="001975E4" w:rsidP="008A140B">
            <w:pPr>
              <w:rPr>
                <w:bCs/>
                <w:lang w:val="en-US"/>
              </w:rPr>
            </w:pPr>
          </w:p>
          <w:p w:rsidR="001975E4" w:rsidRPr="008A140B" w:rsidRDefault="001975E4" w:rsidP="008A140B"/>
        </w:tc>
        <w:tc>
          <w:tcPr>
            <w:tcW w:w="3450" w:type="dxa"/>
          </w:tcPr>
          <w:p w:rsidR="005D0E06" w:rsidRPr="005D0E06" w:rsidRDefault="00AA2F87" w:rsidP="005D0E06">
            <w:pPr>
              <w:rPr>
                <w:rFonts w:ascii="Times New Roman" w:eastAsia="Times New Roman" w:hAnsi="Times New Roman" w:cs="Times New Roman"/>
                <w:sz w:val="20"/>
                <w:szCs w:val="20"/>
                <w:lang w:val="en-US"/>
              </w:rPr>
            </w:pPr>
            <w:r w:rsidRPr="005F2F76">
              <w:t xml:space="preserve">A desktop audit on blocked projects has been concluded. </w:t>
            </w:r>
            <w:r w:rsidR="005D0E06">
              <w:rPr>
                <w:rFonts w:ascii="Segoe UI" w:eastAsia="Times New Roman" w:hAnsi="Segoe UI" w:cs="Times New Roman"/>
                <w:color w:val="000000"/>
                <w:sz w:val="20"/>
                <w:szCs w:val="20"/>
                <w:lang w:val="en-US"/>
              </w:rPr>
              <w:t>The individual Provinces and Municipalities have</w:t>
            </w:r>
            <w:r w:rsidR="00957071">
              <w:rPr>
                <w:rFonts w:ascii="Segoe UI" w:eastAsia="Times New Roman" w:hAnsi="Segoe UI" w:cs="Times New Roman"/>
                <w:color w:val="000000"/>
                <w:sz w:val="20"/>
                <w:szCs w:val="20"/>
                <w:lang w:val="en-US"/>
              </w:rPr>
              <w:t xml:space="preserve"> been consulted and </w:t>
            </w:r>
            <w:r>
              <w:rPr>
                <w:rFonts w:ascii="Segoe UI" w:eastAsia="Times New Roman" w:hAnsi="Segoe UI" w:cs="Times New Roman"/>
                <w:color w:val="000000"/>
                <w:sz w:val="20"/>
                <w:szCs w:val="20"/>
                <w:lang w:val="en-US"/>
              </w:rPr>
              <w:t xml:space="preserve">they confirmed that </w:t>
            </w:r>
            <w:r w:rsidR="005D0E06">
              <w:rPr>
                <w:rFonts w:ascii="Segoe UI" w:eastAsia="Times New Roman" w:hAnsi="Segoe UI" w:cs="Times New Roman"/>
                <w:color w:val="000000"/>
                <w:sz w:val="20"/>
                <w:szCs w:val="20"/>
                <w:lang w:val="en-US"/>
              </w:rPr>
              <w:t xml:space="preserve"> various audits</w:t>
            </w:r>
            <w:r>
              <w:rPr>
                <w:rFonts w:ascii="Segoe UI" w:eastAsia="Times New Roman" w:hAnsi="Segoe UI" w:cs="Times New Roman"/>
                <w:color w:val="000000"/>
                <w:sz w:val="20"/>
                <w:szCs w:val="20"/>
                <w:lang w:val="en-US"/>
              </w:rPr>
              <w:t xml:space="preserve"> have been </w:t>
            </w:r>
            <w:r w:rsidR="00957071">
              <w:rPr>
                <w:rFonts w:ascii="Segoe UI" w:eastAsia="Times New Roman" w:hAnsi="Segoe UI" w:cs="Times New Roman"/>
                <w:color w:val="000000"/>
                <w:sz w:val="20"/>
                <w:szCs w:val="20"/>
                <w:lang w:val="en-US"/>
              </w:rPr>
              <w:t xml:space="preserve"> undertaken </w:t>
            </w:r>
            <w:r w:rsidR="00315778">
              <w:rPr>
                <w:rFonts w:ascii="Segoe UI" w:eastAsia="Times New Roman" w:hAnsi="Segoe UI" w:cs="Times New Roman"/>
                <w:color w:val="000000"/>
                <w:sz w:val="20"/>
                <w:szCs w:val="20"/>
                <w:lang w:val="en-US"/>
              </w:rPr>
              <w:t xml:space="preserve">and that they will do the categorization </w:t>
            </w:r>
            <w:r w:rsidR="00957071">
              <w:rPr>
                <w:rFonts w:ascii="Segoe UI" w:eastAsia="Times New Roman" w:hAnsi="Segoe UI" w:cs="Times New Roman"/>
                <w:color w:val="000000"/>
                <w:sz w:val="20"/>
                <w:szCs w:val="20"/>
                <w:lang w:val="en-US"/>
              </w:rPr>
              <w:t>of blocked projects</w:t>
            </w:r>
            <w:r w:rsidR="005F2F76">
              <w:rPr>
                <w:rFonts w:ascii="Segoe UI" w:eastAsia="Times New Roman" w:hAnsi="Segoe UI" w:cs="Times New Roman"/>
                <w:color w:val="000000"/>
                <w:sz w:val="20"/>
                <w:szCs w:val="20"/>
                <w:lang w:val="en-US"/>
              </w:rPr>
              <w:t>,</w:t>
            </w:r>
            <w:r w:rsidR="005D0E06">
              <w:rPr>
                <w:rFonts w:ascii="Segoe UI" w:eastAsia="Times New Roman" w:hAnsi="Segoe UI" w:cs="Times New Roman"/>
                <w:color w:val="000000"/>
                <w:sz w:val="20"/>
                <w:szCs w:val="20"/>
                <w:lang w:val="en-US"/>
              </w:rPr>
              <w:t xml:space="preserve"> </w:t>
            </w:r>
            <w:r w:rsidR="00315778">
              <w:rPr>
                <w:rFonts w:ascii="Segoe UI" w:eastAsia="Times New Roman" w:hAnsi="Segoe UI" w:cs="Times New Roman"/>
                <w:color w:val="000000"/>
                <w:sz w:val="20"/>
                <w:szCs w:val="20"/>
                <w:lang w:val="en-US"/>
              </w:rPr>
              <w:t xml:space="preserve">which </w:t>
            </w:r>
            <w:r w:rsidR="005D0E06">
              <w:rPr>
                <w:rFonts w:ascii="Segoe UI" w:eastAsia="Times New Roman" w:hAnsi="Segoe UI" w:cs="Times New Roman"/>
                <w:color w:val="000000"/>
                <w:sz w:val="20"/>
                <w:szCs w:val="20"/>
                <w:lang w:val="en-US"/>
              </w:rPr>
              <w:t xml:space="preserve"> includes Eastern Cape in the Nelson Mandela </w:t>
            </w:r>
            <w:r w:rsidR="00957071">
              <w:rPr>
                <w:rFonts w:ascii="Segoe UI" w:eastAsia="Times New Roman" w:hAnsi="Segoe UI" w:cs="Times New Roman"/>
                <w:color w:val="000000"/>
                <w:sz w:val="20"/>
                <w:szCs w:val="20"/>
                <w:lang w:val="en-US"/>
              </w:rPr>
              <w:t xml:space="preserve">Metropolitan Municipality (Rectification), the Gauteng Province (Hostel </w:t>
            </w:r>
            <w:r w:rsidR="00957071">
              <w:rPr>
                <w:rFonts w:ascii="Segoe UI" w:eastAsia="Times New Roman" w:hAnsi="Segoe UI" w:cs="Times New Roman"/>
                <w:color w:val="000000"/>
                <w:sz w:val="20"/>
                <w:szCs w:val="20"/>
                <w:lang w:val="en-US"/>
              </w:rPr>
              <w:lastRenderedPageBreak/>
              <w:t>Redevelopment and CRU) (Transit Camps) and Ethekwini Metropolitan Municipality.</w:t>
            </w:r>
          </w:p>
          <w:p w:rsidR="005D0E06" w:rsidRPr="008A140B" w:rsidRDefault="005D0E06" w:rsidP="008A140B"/>
        </w:tc>
        <w:tc>
          <w:tcPr>
            <w:tcW w:w="4239" w:type="dxa"/>
          </w:tcPr>
          <w:p w:rsidR="00957071" w:rsidRDefault="00957071" w:rsidP="00957071">
            <w:pPr>
              <w:rPr>
                <w:rFonts w:ascii="Segoe UI" w:eastAsia="Times New Roman" w:hAnsi="Segoe UI" w:cs="Times New Roman"/>
                <w:color w:val="000000"/>
                <w:sz w:val="20"/>
                <w:szCs w:val="20"/>
                <w:lang w:val="en-US"/>
              </w:rPr>
            </w:pPr>
          </w:p>
          <w:p w:rsidR="00957071" w:rsidRPr="005D0E06" w:rsidRDefault="00957071" w:rsidP="00957071">
            <w:pPr>
              <w:rPr>
                <w:rFonts w:ascii="Times New Roman" w:eastAsia="Times New Roman" w:hAnsi="Times New Roman" w:cs="Times New Roman"/>
                <w:sz w:val="20"/>
                <w:szCs w:val="20"/>
                <w:lang w:val="en-US"/>
              </w:rPr>
            </w:pPr>
            <w:r>
              <w:rPr>
                <w:rFonts w:ascii="Segoe UI" w:eastAsia="Times New Roman" w:hAnsi="Segoe UI" w:cs="Times New Roman"/>
                <w:color w:val="000000"/>
                <w:sz w:val="20"/>
                <w:szCs w:val="20"/>
                <w:lang w:val="en-US"/>
              </w:rPr>
              <w:t>The Department is currently considering converting all blocked projects, based on categorization,</w:t>
            </w:r>
            <w:r w:rsidRPr="005D0E06">
              <w:rPr>
                <w:rFonts w:ascii="Segoe UI" w:eastAsia="Times New Roman" w:hAnsi="Segoe UI" w:cs="Times New Roman"/>
                <w:color w:val="000000"/>
                <w:sz w:val="20"/>
                <w:szCs w:val="20"/>
                <w:lang w:val="en-US"/>
              </w:rPr>
              <w:t xml:space="preserve"> i</w:t>
            </w:r>
            <w:r>
              <w:rPr>
                <w:rFonts w:ascii="Segoe UI" w:eastAsia="Times New Roman" w:hAnsi="Segoe UI" w:cs="Times New Roman"/>
                <w:color w:val="000000"/>
                <w:sz w:val="20"/>
                <w:szCs w:val="20"/>
                <w:lang w:val="en-US"/>
              </w:rPr>
              <w:t>nto a national programme, then undertake a</w:t>
            </w:r>
            <w:r w:rsidRPr="005D0E06">
              <w:rPr>
                <w:rFonts w:ascii="Segoe UI" w:eastAsia="Times New Roman" w:hAnsi="Segoe UI" w:cs="Times New Roman"/>
                <w:color w:val="000000"/>
                <w:sz w:val="20"/>
                <w:szCs w:val="20"/>
                <w:lang w:val="en-US"/>
              </w:rPr>
              <w:t xml:space="preserve"> recon between the HSS an</w:t>
            </w:r>
            <w:r>
              <w:rPr>
                <w:rFonts w:ascii="Segoe UI" w:eastAsia="Times New Roman" w:hAnsi="Segoe UI" w:cs="Times New Roman"/>
                <w:color w:val="000000"/>
                <w:sz w:val="20"/>
                <w:szCs w:val="20"/>
                <w:lang w:val="en-US"/>
              </w:rPr>
              <w:t>d project based information,</w:t>
            </w:r>
            <w:r w:rsidRPr="005D0E06">
              <w:rPr>
                <w:rFonts w:ascii="Segoe UI" w:eastAsia="Times New Roman" w:hAnsi="Segoe UI" w:cs="Times New Roman"/>
                <w:color w:val="000000"/>
                <w:sz w:val="20"/>
                <w:szCs w:val="20"/>
                <w:lang w:val="en-US"/>
              </w:rPr>
              <w:t xml:space="preserve"> </w:t>
            </w:r>
            <w:r>
              <w:rPr>
                <w:rFonts w:ascii="Segoe UI" w:eastAsia="Times New Roman" w:hAnsi="Segoe UI" w:cs="Times New Roman"/>
                <w:color w:val="000000"/>
                <w:sz w:val="20"/>
                <w:szCs w:val="20"/>
                <w:lang w:val="en-US"/>
              </w:rPr>
              <w:t xml:space="preserve">undertake a </w:t>
            </w:r>
            <w:r w:rsidRPr="005D0E06">
              <w:rPr>
                <w:rFonts w:ascii="Segoe UI" w:eastAsia="Times New Roman" w:hAnsi="Segoe UI" w:cs="Times New Roman"/>
                <w:color w:val="000000"/>
                <w:sz w:val="20"/>
                <w:szCs w:val="20"/>
                <w:lang w:val="en-US"/>
              </w:rPr>
              <w:t>cost</w:t>
            </w:r>
            <w:r>
              <w:rPr>
                <w:rFonts w:ascii="Segoe UI" w:eastAsia="Times New Roman" w:hAnsi="Segoe UI" w:cs="Times New Roman"/>
                <w:color w:val="000000"/>
                <w:sz w:val="20"/>
                <w:szCs w:val="20"/>
                <w:lang w:val="en-US"/>
              </w:rPr>
              <w:t xml:space="preserve">ing it and then enforce its implementation through a directive. The timeframe for activating outstanding project categories is 2020/21. </w:t>
            </w:r>
          </w:p>
          <w:p w:rsidR="0043004F" w:rsidRPr="008A140B" w:rsidRDefault="0043004F" w:rsidP="008A140B"/>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f</w:t>
            </w:r>
          </w:p>
        </w:tc>
        <w:tc>
          <w:tcPr>
            <w:tcW w:w="6754" w:type="dxa"/>
          </w:tcPr>
          <w:p w:rsidR="001975E4" w:rsidRDefault="001975E4" w:rsidP="008A140B">
            <w:pPr>
              <w:rPr>
                <w:bCs/>
                <w:lang w:val="en-US"/>
              </w:rPr>
            </w:pPr>
          </w:p>
          <w:p w:rsidR="0043004F" w:rsidRPr="008A140B" w:rsidRDefault="0043004F" w:rsidP="008A140B">
            <w:pPr>
              <w:rPr>
                <w:bCs/>
                <w:lang w:val="en-US"/>
              </w:rPr>
            </w:pPr>
            <w:r w:rsidRPr="008A140B">
              <w:rPr>
                <w:bCs/>
                <w:lang w:val="en-US"/>
              </w:rPr>
              <w:t>We have taken a decision to partner with the CSIR to ensure that we can provide solar panels for those houses where lacking of electricity has stopped us from allocating houses</w:t>
            </w:r>
          </w:p>
        </w:tc>
        <w:tc>
          <w:tcPr>
            <w:tcW w:w="3450" w:type="dxa"/>
          </w:tcPr>
          <w:p w:rsidR="001975E4" w:rsidRDefault="001975E4" w:rsidP="008A140B"/>
          <w:p w:rsidR="0043004F" w:rsidRPr="008A140B" w:rsidRDefault="00D52B57" w:rsidP="008A140B">
            <w:r>
              <w:t>A formal agreement with the Department of Energy has been entered into.</w:t>
            </w:r>
          </w:p>
        </w:tc>
        <w:tc>
          <w:tcPr>
            <w:tcW w:w="4239" w:type="dxa"/>
          </w:tcPr>
          <w:p w:rsidR="001975E4" w:rsidRDefault="001975E4" w:rsidP="008A140B"/>
          <w:p w:rsidR="0043004F" w:rsidRDefault="00D52B57" w:rsidP="008A140B">
            <w:r>
              <w:t>Work is being conducted to ensure solar panels used are right for the roof structure. NHBRC looking into compliance matters that should not adversely affect the structure.</w:t>
            </w:r>
          </w:p>
          <w:p w:rsidR="00D52B57" w:rsidRDefault="00D52B57" w:rsidP="008A140B"/>
          <w:p w:rsidR="00D52B57" w:rsidRDefault="00D52B57" w:rsidP="008A140B">
            <w:r>
              <w:t>Solar lighting is being pursued as discussed in the Green House concept with Department of Environment above.</w:t>
            </w:r>
          </w:p>
          <w:p w:rsidR="001975E4" w:rsidRPr="008A140B" w:rsidRDefault="001975E4" w:rsidP="008A140B"/>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g</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Our Communications Team will ensure that the details of the visits to each area or village are announced ahead of time so that people know when the mobile unit will be in their area</w:t>
            </w:r>
          </w:p>
          <w:p w:rsidR="001975E4" w:rsidRPr="008A140B" w:rsidRDefault="001975E4" w:rsidP="008A140B">
            <w:pPr>
              <w:rPr>
                <w:bCs/>
                <w:lang w:val="en-US"/>
              </w:rPr>
            </w:pPr>
          </w:p>
        </w:tc>
        <w:tc>
          <w:tcPr>
            <w:tcW w:w="3450" w:type="dxa"/>
          </w:tcPr>
          <w:p w:rsidR="0043004F" w:rsidRDefault="0043004F" w:rsidP="008A140B"/>
          <w:p w:rsidR="00714A89" w:rsidRDefault="00714A89" w:rsidP="008A140B">
            <w:r>
              <w:t>The Department has established an IGR Communications Task Team which manages the process of both Ministerial and Entity outreach coodination. The NHBRC has been requested to consider the prourement of an additional mobile unit in order to ensure more regular and frequent visits. The mobile unit currently in place allows communiites where it visits to be provided with information and assistance on all of the Department and Entity programmes.</w:t>
            </w:r>
          </w:p>
          <w:p w:rsidR="00714A89" w:rsidRPr="008A140B" w:rsidRDefault="00714A89" w:rsidP="008A140B"/>
        </w:tc>
        <w:tc>
          <w:tcPr>
            <w:tcW w:w="4239" w:type="dxa"/>
          </w:tcPr>
          <w:p w:rsidR="0043004F" w:rsidRDefault="0043004F" w:rsidP="008A140B"/>
          <w:p w:rsidR="00714A89" w:rsidRPr="008A140B" w:rsidRDefault="00714A89" w:rsidP="008A140B">
            <w:r>
              <w:t>The Director-General has issued a directive to entities that there is a process of streamlining transversal services and this includes communication, outreach and traning and empwerment initiatives through the use and application of mobile services. Currently the Department, Provinces, Municipalities and Entities have wide varierty of programmes to provide communities with information and in instances training</w:t>
            </w:r>
            <w:r w:rsidR="00B47CBB">
              <w:t>.</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h</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 xml:space="preserve">The second phase of prioritization of investment will be social housing and the third phase will be informal settlement upgrading and using the </w:t>
            </w:r>
            <w:r w:rsidRPr="008A140B">
              <w:rPr>
                <w:bCs/>
                <w:lang w:val="en-US"/>
              </w:rPr>
              <w:lastRenderedPageBreak/>
              <w:t>municipalities, particularly the USDG</w:t>
            </w:r>
          </w:p>
          <w:p w:rsidR="001975E4" w:rsidRPr="008A140B" w:rsidRDefault="001975E4" w:rsidP="008A140B">
            <w:pPr>
              <w:rPr>
                <w:bCs/>
                <w:lang w:val="en-US"/>
              </w:rPr>
            </w:pPr>
          </w:p>
        </w:tc>
        <w:tc>
          <w:tcPr>
            <w:tcW w:w="3450" w:type="dxa"/>
          </w:tcPr>
          <w:p w:rsidR="0043004F" w:rsidRDefault="0043004F" w:rsidP="008A140B"/>
          <w:p w:rsidR="00B47CBB" w:rsidRDefault="008E544A" w:rsidP="008E544A">
            <w:pPr>
              <w:pStyle w:val="ListParagraph"/>
              <w:numPr>
                <w:ilvl w:val="0"/>
                <w:numId w:val="1"/>
              </w:numPr>
            </w:pPr>
            <w:r>
              <w:t xml:space="preserve">Based on a revision of the Departmental capital funding </w:t>
            </w:r>
            <w:r>
              <w:lastRenderedPageBreak/>
              <w:t>architecture, a dedicated fund for the provision of affordable rental housing</w:t>
            </w:r>
            <w:r w:rsidR="00B47CBB">
              <w:t>.</w:t>
            </w:r>
          </w:p>
          <w:p w:rsidR="00B47CBB" w:rsidRDefault="00B47CBB" w:rsidP="00B47CBB">
            <w:pPr>
              <w:pStyle w:val="ListParagraph"/>
              <w:ind w:left="360"/>
            </w:pPr>
          </w:p>
          <w:p w:rsidR="00957071" w:rsidRDefault="00957071" w:rsidP="00957071">
            <w:pPr>
              <w:pStyle w:val="ListParagraph"/>
              <w:ind w:left="360"/>
            </w:pPr>
          </w:p>
          <w:p w:rsidR="008E544A" w:rsidRDefault="00B47CBB" w:rsidP="008E544A">
            <w:pPr>
              <w:pStyle w:val="ListParagraph"/>
              <w:numPr>
                <w:ilvl w:val="0"/>
                <w:numId w:val="1"/>
              </w:numPr>
            </w:pPr>
            <w:r>
              <w:t>This is the</w:t>
            </w:r>
            <w:r w:rsidR="008E544A">
              <w:t xml:space="preserve"> Consolidated Capital Grant</w:t>
            </w:r>
            <w:r>
              <w:t>, managed and implemented by the SHRA with Provinces and Municipalities</w:t>
            </w:r>
            <w:r w:rsidR="008E544A">
              <w:t xml:space="preserve">. </w:t>
            </w:r>
          </w:p>
          <w:p w:rsidR="004F7267" w:rsidRDefault="008E544A" w:rsidP="004F7267">
            <w:pPr>
              <w:pStyle w:val="ListParagraph"/>
              <w:numPr>
                <w:ilvl w:val="0"/>
                <w:numId w:val="1"/>
              </w:numPr>
            </w:pPr>
            <w:r>
              <w:t xml:space="preserve">In addtion an Informal Settlements Upgrading Grant will come into effect in 2020/21, to upgrade and provide basic services, infrastructure and housing – This grant has been incubated </w:t>
            </w:r>
            <w:r w:rsidR="00FA1B6E">
              <w:t>and created out of the HSDG and USDG</w:t>
            </w:r>
          </w:p>
          <w:p w:rsidR="008E544A" w:rsidRPr="008A140B" w:rsidRDefault="008E544A" w:rsidP="00FA1B6E">
            <w:pPr>
              <w:pStyle w:val="ListParagraph"/>
              <w:ind w:left="360"/>
            </w:pPr>
          </w:p>
        </w:tc>
        <w:tc>
          <w:tcPr>
            <w:tcW w:w="4239" w:type="dxa"/>
          </w:tcPr>
          <w:p w:rsidR="0043004F" w:rsidRDefault="0043004F" w:rsidP="008A140B"/>
          <w:p w:rsidR="00FA1B6E" w:rsidRDefault="00FA1B6E" w:rsidP="00FA1B6E">
            <w:pPr>
              <w:pStyle w:val="ListParagraph"/>
              <w:numPr>
                <w:ilvl w:val="0"/>
                <w:numId w:val="1"/>
              </w:numPr>
            </w:pPr>
            <w:r>
              <w:t xml:space="preserve">The establishment of the Human Settlements Development Bank will </w:t>
            </w:r>
            <w:r>
              <w:lastRenderedPageBreak/>
              <w:t>ensure that top-up funding for projects is accessed.</w:t>
            </w:r>
          </w:p>
          <w:p w:rsidR="00B47CBB" w:rsidRDefault="00B47CBB" w:rsidP="00B47CBB"/>
          <w:p w:rsidR="00B47CBB" w:rsidRDefault="00B47CBB" w:rsidP="00B47CBB"/>
          <w:p w:rsidR="00957071" w:rsidRDefault="00957071" w:rsidP="00957071">
            <w:pPr>
              <w:pStyle w:val="ListParagraph"/>
              <w:ind w:left="360"/>
            </w:pPr>
          </w:p>
          <w:p w:rsidR="00FA1B6E" w:rsidRPr="008A140B" w:rsidRDefault="00FA1B6E" w:rsidP="00FA1B6E">
            <w:pPr>
              <w:pStyle w:val="ListParagraph"/>
              <w:numPr>
                <w:ilvl w:val="0"/>
                <w:numId w:val="1"/>
              </w:numPr>
            </w:pPr>
            <w:r>
              <w:t>An impact evaluation will be undertaken in order to remove weaknesses and capitalize on the strenghts of the funding of the programmes</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i</w:t>
            </w:r>
          </w:p>
        </w:tc>
        <w:tc>
          <w:tcPr>
            <w:tcW w:w="6754" w:type="dxa"/>
          </w:tcPr>
          <w:p w:rsidR="001975E4" w:rsidRDefault="001975E4" w:rsidP="008A140B">
            <w:pPr>
              <w:rPr>
                <w:bCs/>
                <w:lang w:val="en-US"/>
              </w:rPr>
            </w:pPr>
          </w:p>
          <w:p w:rsidR="0043004F" w:rsidRDefault="0043004F" w:rsidP="008A140B">
            <w:pPr>
              <w:rPr>
                <w:bCs/>
                <w:lang w:val="en-US"/>
              </w:rPr>
            </w:pPr>
            <w:r w:rsidRPr="008A140B">
              <w:rPr>
                <w:bCs/>
                <w:lang w:val="en-US"/>
              </w:rPr>
              <w:t>Chairperson, we come back to the thorny issue of title deeds, when I had the occasion here before you explained that I have established a Ministerial task team that has taken over the responsibility that we had given to the EAAB to clear the backlog</w:t>
            </w:r>
          </w:p>
          <w:p w:rsidR="001975E4" w:rsidRPr="008A140B" w:rsidRDefault="001975E4" w:rsidP="008A140B">
            <w:pPr>
              <w:rPr>
                <w:bCs/>
                <w:lang w:val="en-US"/>
              </w:rPr>
            </w:pPr>
          </w:p>
        </w:tc>
        <w:tc>
          <w:tcPr>
            <w:tcW w:w="3450" w:type="dxa"/>
          </w:tcPr>
          <w:p w:rsidR="0043004F" w:rsidRDefault="0043004F" w:rsidP="008A140B"/>
          <w:p w:rsidR="00FA1B6E" w:rsidRDefault="001975E4" w:rsidP="00B47CBB">
            <w:pPr>
              <w:pStyle w:val="ListParagraph"/>
              <w:numPr>
                <w:ilvl w:val="0"/>
                <w:numId w:val="1"/>
              </w:numPr>
            </w:pPr>
            <w:r>
              <w:t>A Ministerial Task Team was   established in order to assist Provinces and Municipalities in removing legal, administrative, regulatory and compliance backlogs</w:t>
            </w:r>
          </w:p>
          <w:p w:rsidR="001975E4" w:rsidRDefault="001975E4" w:rsidP="001975E4">
            <w:pPr>
              <w:pStyle w:val="ListParagraph"/>
              <w:numPr>
                <w:ilvl w:val="0"/>
                <w:numId w:val="1"/>
              </w:numPr>
            </w:pPr>
            <w:r>
              <w:t>A specific and dedicated gr</w:t>
            </w:r>
            <w:r w:rsidR="00957071">
              <w:t>ant was established  for the</w:t>
            </w:r>
            <w:r w:rsidR="00486314">
              <w:t xml:space="preserve"> titling </w:t>
            </w:r>
            <w:r>
              <w:t>programme.</w:t>
            </w:r>
          </w:p>
          <w:p w:rsidR="001975E4" w:rsidRDefault="001975E4" w:rsidP="001975E4">
            <w:pPr>
              <w:pStyle w:val="ListParagraph"/>
              <w:numPr>
                <w:ilvl w:val="0"/>
                <w:numId w:val="1"/>
              </w:numPr>
            </w:pPr>
            <w:r>
              <w:t xml:space="preserve">The measures instituted has achieved mixed success as Provinces and Municipalities have failed to adhere to grant </w:t>
            </w:r>
            <w:r>
              <w:lastRenderedPageBreak/>
              <w:t xml:space="preserve">conditionalities as welll as achieve targets and outputs </w:t>
            </w:r>
            <w:r w:rsidR="008E544A">
              <w:t>agreed</w:t>
            </w:r>
          </w:p>
          <w:p w:rsidR="008E544A" w:rsidRPr="008A140B" w:rsidRDefault="008E544A" w:rsidP="008E544A">
            <w:pPr>
              <w:pStyle w:val="ListParagraph"/>
              <w:ind w:left="360"/>
            </w:pPr>
          </w:p>
        </w:tc>
        <w:tc>
          <w:tcPr>
            <w:tcW w:w="4239" w:type="dxa"/>
          </w:tcPr>
          <w:p w:rsidR="0043004F" w:rsidRDefault="0043004F" w:rsidP="008A140B"/>
          <w:p w:rsidR="00FA1B6E" w:rsidRDefault="008E544A" w:rsidP="00FA1B6E">
            <w:pPr>
              <w:pStyle w:val="ListParagraph"/>
              <w:numPr>
                <w:ilvl w:val="0"/>
                <w:numId w:val="1"/>
              </w:numPr>
            </w:pPr>
            <w:r>
              <w:t>The Department is in consultation with National Treasury to extend the term of the Title Deeds Restoration Grant. In doing so more stringent accountability and responsibity will be assigned to Executive and Accounting Officers.</w:t>
            </w:r>
          </w:p>
          <w:p w:rsidR="008E544A" w:rsidRPr="008A140B" w:rsidRDefault="008E544A" w:rsidP="008E544A">
            <w:pPr>
              <w:pStyle w:val="ListParagraph"/>
              <w:numPr>
                <w:ilvl w:val="0"/>
                <w:numId w:val="1"/>
              </w:numPr>
            </w:pPr>
            <w:r>
              <w:t>An operational provision has also been put in place to allow for a supplementation of capacity in the National, Provincial and Municipal spheres to ensure required performances</w:t>
            </w:r>
          </w:p>
        </w:tc>
      </w:tr>
      <w:tr w:rsidR="0043004F" w:rsidRPr="008A140B" w:rsidTr="001975E4">
        <w:tc>
          <w:tcPr>
            <w:tcW w:w="1037" w:type="dxa"/>
          </w:tcPr>
          <w:p w:rsidR="001975E4" w:rsidRDefault="001975E4" w:rsidP="008A140B">
            <w:pPr>
              <w:rPr>
                <w:b/>
                <w:bCs/>
                <w:lang w:val="en-US"/>
              </w:rPr>
            </w:pPr>
          </w:p>
          <w:p w:rsidR="0043004F" w:rsidRPr="008A140B" w:rsidRDefault="0043004F" w:rsidP="008A140B">
            <w:pPr>
              <w:rPr>
                <w:b/>
                <w:bCs/>
                <w:lang w:val="en-US"/>
              </w:rPr>
            </w:pPr>
            <w:r w:rsidRPr="008A140B">
              <w:rPr>
                <w:b/>
                <w:bCs/>
                <w:lang w:val="en-US"/>
              </w:rPr>
              <w:t>j</w:t>
            </w:r>
          </w:p>
        </w:tc>
        <w:tc>
          <w:tcPr>
            <w:tcW w:w="6754" w:type="dxa"/>
          </w:tcPr>
          <w:p w:rsidR="001975E4" w:rsidRDefault="001975E4" w:rsidP="008A140B">
            <w:pPr>
              <w:rPr>
                <w:bCs/>
                <w:lang w:val="en-US"/>
              </w:rPr>
            </w:pPr>
          </w:p>
          <w:p w:rsidR="0043004F" w:rsidRPr="008A140B" w:rsidRDefault="0043004F" w:rsidP="008A140B">
            <w:pPr>
              <w:rPr>
                <w:bCs/>
                <w:lang w:val="en-US"/>
              </w:rPr>
            </w:pPr>
            <w:r w:rsidRPr="008A140B">
              <w:rPr>
                <w:bCs/>
                <w:lang w:val="en-US"/>
              </w:rPr>
              <w:t>We have now decided that we will have a proper monitoring device to ensure that the money that is given to the Metros for the USDG does the work that it is suppose to do</w:t>
            </w:r>
          </w:p>
        </w:tc>
        <w:tc>
          <w:tcPr>
            <w:tcW w:w="3450" w:type="dxa"/>
          </w:tcPr>
          <w:p w:rsidR="001975E4" w:rsidRDefault="001975E4" w:rsidP="001975E4">
            <w:pPr>
              <w:pStyle w:val="ListParagraph"/>
            </w:pPr>
          </w:p>
          <w:p w:rsidR="001975E4" w:rsidRDefault="00752612" w:rsidP="001975E4">
            <w:pPr>
              <w:pStyle w:val="ListParagraph"/>
              <w:numPr>
                <w:ilvl w:val="0"/>
                <w:numId w:val="4"/>
              </w:numPr>
            </w:pPr>
            <w:r>
              <w:t>USDG grant framework has more clearly defined outputs</w:t>
            </w:r>
          </w:p>
          <w:p w:rsidR="004F7267" w:rsidRDefault="00752612" w:rsidP="00B47CBB">
            <w:pPr>
              <w:pStyle w:val="ListParagraph"/>
              <w:numPr>
                <w:ilvl w:val="0"/>
                <w:numId w:val="4"/>
              </w:numPr>
            </w:pPr>
            <w:r>
              <w:t>USDG performance measurement indicators outlined in the Monitoring, Evaluation and Impact Assessment (MEIA) framework</w:t>
            </w:r>
            <w:r w:rsidR="004F7267">
              <w:t xml:space="preserve">.  </w:t>
            </w:r>
          </w:p>
          <w:p w:rsidR="00752612" w:rsidRDefault="004F7267" w:rsidP="00752612">
            <w:pPr>
              <w:pStyle w:val="ListParagraph"/>
              <w:numPr>
                <w:ilvl w:val="0"/>
                <w:numId w:val="4"/>
              </w:numPr>
            </w:pPr>
            <w:r>
              <w:t>The</w:t>
            </w:r>
            <w:r w:rsidR="00752612">
              <w:t xml:space="preserve"> implementation guidelines for the 2020/24 MTSFperiod</w:t>
            </w:r>
          </w:p>
          <w:p w:rsidR="00FA1B6E" w:rsidRDefault="00752612" w:rsidP="004F7267">
            <w:pPr>
              <w:pStyle w:val="ListParagraph"/>
              <w:numPr>
                <w:ilvl w:val="0"/>
                <w:numId w:val="4"/>
              </w:numPr>
            </w:pPr>
            <w:r>
              <w:t xml:space="preserve">USDG indicators available in the MEIA system fro reporting </w:t>
            </w:r>
          </w:p>
          <w:p w:rsidR="00752612" w:rsidRDefault="00752612" w:rsidP="00752612">
            <w:pPr>
              <w:pStyle w:val="ListParagraph"/>
              <w:numPr>
                <w:ilvl w:val="0"/>
                <w:numId w:val="4"/>
              </w:numPr>
            </w:pPr>
            <w:r>
              <w:t xml:space="preserve">Quarterly performance review sessions held with the Metros </w:t>
            </w:r>
          </w:p>
          <w:p w:rsidR="001975E4" w:rsidRDefault="00752612" w:rsidP="00752612">
            <w:pPr>
              <w:pStyle w:val="ListParagraph"/>
              <w:numPr>
                <w:ilvl w:val="0"/>
                <w:numId w:val="4"/>
              </w:numPr>
            </w:pPr>
            <w:r>
              <w:t xml:space="preserve">Bi-annual project level monitoring exercises conducted in Metros </w:t>
            </w:r>
          </w:p>
          <w:p w:rsidR="0043004F" w:rsidRDefault="00752612" w:rsidP="00752612">
            <w:pPr>
              <w:pStyle w:val="ListParagraph"/>
              <w:numPr>
                <w:ilvl w:val="0"/>
                <w:numId w:val="4"/>
              </w:numPr>
            </w:pPr>
            <w:r>
              <w:t>Bi-annual round table discussions held with Metros</w:t>
            </w:r>
          </w:p>
          <w:p w:rsidR="00486314" w:rsidRDefault="00486314" w:rsidP="00486314"/>
          <w:p w:rsidR="00486314" w:rsidRDefault="00486314" w:rsidP="00486314"/>
          <w:p w:rsidR="00486314" w:rsidRDefault="00486314" w:rsidP="00486314"/>
          <w:p w:rsidR="00486314" w:rsidRDefault="00486314" w:rsidP="00486314"/>
          <w:p w:rsidR="00486314" w:rsidRDefault="00486314" w:rsidP="00486314"/>
          <w:p w:rsidR="00486314" w:rsidRDefault="00486314" w:rsidP="00486314"/>
          <w:p w:rsidR="00486314" w:rsidRDefault="00486314" w:rsidP="00486314"/>
          <w:p w:rsidR="001975E4" w:rsidRPr="008A140B" w:rsidRDefault="001975E4" w:rsidP="001975E4">
            <w:pPr>
              <w:pStyle w:val="ListParagraph"/>
            </w:pPr>
          </w:p>
        </w:tc>
        <w:tc>
          <w:tcPr>
            <w:tcW w:w="4239" w:type="dxa"/>
          </w:tcPr>
          <w:p w:rsidR="0043004F" w:rsidRDefault="0043004F" w:rsidP="008A140B"/>
          <w:p w:rsidR="002F6713" w:rsidRPr="008A140B" w:rsidRDefault="002F6713" w:rsidP="002F6713">
            <w:pPr>
              <w:pStyle w:val="ListParagraph"/>
              <w:numPr>
                <w:ilvl w:val="0"/>
                <w:numId w:val="5"/>
              </w:numPr>
            </w:pPr>
            <w:r>
              <w:t>Undertake an evaluation to determine effectiveness of the measures in order to achieve the required targets, outputs and outcomes.</w:t>
            </w:r>
          </w:p>
        </w:tc>
      </w:tr>
      <w:tr w:rsidR="0043004F" w:rsidRPr="008A140B" w:rsidTr="001975E4">
        <w:tc>
          <w:tcPr>
            <w:tcW w:w="1037" w:type="dxa"/>
          </w:tcPr>
          <w:p w:rsidR="0043004F" w:rsidRPr="008A140B" w:rsidRDefault="0043004F" w:rsidP="008A140B">
            <w:pPr>
              <w:rPr>
                <w:b/>
                <w:bCs/>
                <w:lang w:val="en-US"/>
              </w:rPr>
            </w:pPr>
            <w:r w:rsidRPr="008A140B">
              <w:rPr>
                <w:b/>
                <w:bCs/>
                <w:lang w:val="en-US"/>
              </w:rPr>
              <w:lastRenderedPageBreak/>
              <w:t>k</w:t>
            </w:r>
          </w:p>
        </w:tc>
        <w:tc>
          <w:tcPr>
            <w:tcW w:w="6754" w:type="dxa"/>
          </w:tcPr>
          <w:p w:rsidR="001975E4" w:rsidRDefault="001975E4" w:rsidP="008A140B">
            <w:pPr>
              <w:rPr>
                <w:bCs/>
                <w:lang w:val="en-US"/>
              </w:rPr>
            </w:pPr>
          </w:p>
          <w:p w:rsidR="0043004F" w:rsidRPr="008A140B" w:rsidRDefault="0043004F" w:rsidP="008A140B">
            <w:pPr>
              <w:rPr>
                <w:bCs/>
                <w:lang w:val="en-US"/>
              </w:rPr>
            </w:pPr>
            <w:r w:rsidRPr="008A140B">
              <w:rPr>
                <w:bCs/>
                <w:lang w:val="en-US"/>
              </w:rPr>
              <w:t>A Framework Agreement on the Establishment of a Government Employees Housing Scheme is welcome news, and was signed with the Public Service Co-coordinating Bargaining Council in 2015.  We have no taken it over back to Human Settlements and the ultimate goal is to make sure that we can assist all government employees to own homes</w:t>
            </w:r>
          </w:p>
        </w:tc>
        <w:tc>
          <w:tcPr>
            <w:tcW w:w="3450" w:type="dxa"/>
          </w:tcPr>
          <w:p w:rsidR="001975E4" w:rsidRDefault="001975E4" w:rsidP="008A140B"/>
          <w:p w:rsidR="00B47CBB" w:rsidRDefault="006A0C33" w:rsidP="008A140B">
            <w:r>
              <w:t>The institutional arrangements to implement are still to be finalised.  In the interim, DPSA is co</w:t>
            </w:r>
            <w:r w:rsidR="004F7267">
              <w:t xml:space="preserve">ordinating the GEHS. </w:t>
            </w:r>
          </w:p>
          <w:p w:rsidR="00B47CBB" w:rsidRDefault="00B47CBB" w:rsidP="008A140B"/>
          <w:p w:rsidR="00B47CBB" w:rsidRDefault="00B47CBB" w:rsidP="008A140B"/>
          <w:p w:rsidR="0043004F" w:rsidRDefault="006A0C33" w:rsidP="008A140B">
            <w:r w:rsidRPr="00E73E3F">
              <w:t xml:space="preserve"> </w:t>
            </w:r>
            <w:r w:rsidR="004F7267">
              <w:t>A</w:t>
            </w:r>
            <w:r>
              <w:t>t end of March</w:t>
            </w:r>
            <w:r w:rsidRPr="00E73E3F">
              <w:t xml:space="preserve"> 2019, 11 630 housing loans worth R7 129 713 294 (R7.1bn) were granted</w:t>
            </w:r>
            <w:r>
              <w:t xml:space="preserve">, with Individual Link Saving Facility (ILSF) has a balance of R7,3 billion and </w:t>
            </w:r>
            <w:r w:rsidRPr="00E73E3F">
              <w:t>7, 960 government employees</w:t>
            </w:r>
            <w:r>
              <w:t xml:space="preserve"> has benefitted</w:t>
            </w:r>
            <w:r w:rsidRPr="00E73E3F">
              <w:t>.</w:t>
            </w:r>
            <w:r>
              <w:t xml:space="preserve"> </w:t>
            </w:r>
            <w:r w:rsidR="004F7267">
              <w:t>There are</w:t>
            </w:r>
            <w:r>
              <w:t xml:space="preserve"> </w:t>
            </w:r>
            <w:r w:rsidRPr="001E18F9">
              <w:t xml:space="preserve">288 968 (45, 12%) of government employees are renting </w:t>
            </w:r>
            <w:r>
              <w:t>while 600 645 e</w:t>
            </w:r>
            <w:r w:rsidRPr="001E18F9">
              <w:t>mployees are registered as home owners and as a result are receiving a housing allowance.</w:t>
            </w:r>
          </w:p>
          <w:p w:rsidR="00FA1B6E" w:rsidRPr="008A140B" w:rsidRDefault="00FA1B6E" w:rsidP="008A140B"/>
        </w:tc>
        <w:tc>
          <w:tcPr>
            <w:tcW w:w="4239" w:type="dxa"/>
          </w:tcPr>
          <w:p w:rsidR="001975E4" w:rsidRDefault="001975E4" w:rsidP="008A140B"/>
          <w:p w:rsidR="0043004F" w:rsidRPr="008A140B" w:rsidRDefault="006A0C33" w:rsidP="008A140B">
            <w:r>
              <w:t>The implementation arrangement to be finalised between National Treasury, Department of Public Service Administration and National Department of Human Settlements</w:t>
            </w:r>
          </w:p>
        </w:tc>
      </w:tr>
    </w:tbl>
    <w:p w:rsidR="0043004F" w:rsidRPr="008A140B" w:rsidRDefault="0043004F" w:rsidP="008A140B">
      <w:pPr>
        <w:spacing w:line="240" w:lineRule="auto"/>
      </w:pPr>
    </w:p>
    <w:sectPr w:rsidR="0043004F" w:rsidRPr="008A140B" w:rsidSect="0043004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A2B"/>
    <w:multiLevelType w:val="hybridMultilevel"/>
    <w:tmpl w:val="C8B6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03549"/>
    <w:multiLevelType w:val="hybridMultilevel"/>
    <w:tmpl w:val="E970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50C00"/>
    <w:multiLevelType w:val="hybridMultilevel"/>
    <w:tmpl w:val="DF22DA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A02026"/>
    <w:multiLevelType w:val="hybridMultilevel"/>
    <w:tmpl w:val="2C6E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502C20"/>
    <w:multiLevelType w:val="hybridMultilevel"/>
    <w:tmpl w:val="18721B42"/>
    <w:lvl w:ilvl="0" w:tplc="07325340">
      <w:start w:val="1"/>
      <w:numFmt w:val="bullet"/>
      <w:lvlText w:val="•"/>
      <w:lvlJc w:val="left"/>
      <w:pPr>
        <w:tabs>
          <w:tab w:val="num" w:pos="720"/>
        </w:tabs>
        <w:ind w:left="720" w:hanging="360"/>
      </w:pPr>
      <w:rPr>
        <w:rFonts w:ascii="Arial" w:hAnsi="Arial" w:hint="default"/>
      </w:rPr>
    </w:lvl>
    <w:lvl w:ilvl="1" w:tplc="50820022" w:tentative="1">
      <w:start w:val="1"/>
      <w:numFmt w:val="bullet"/>
      <w:lvlText w:val="•"/>
      <w:lvlJc w:val="left"/>
      <w:pPr>
        <w:tabs>
          <w:tab w:val="num" w:pos="1440"/>
        </w:tabs>
        <w:ind w:left="1440" w:hanging="360"/>
      </w:pPr>
      <w:rPr>
        <w:rFonts w:ascii="Arial" w:hAnsi="Arial" w:hint="default"/>
      </w:rPr>
    </w:lvl>
    <w:lvl w:ilvl="2" w:tplc="905EE754" w:tentative="1">
      <w:start w:val="1"/>
      <w:numFmt w:val="bullet"/>
      <w:lvlText w:val="•"/>
      <w:lvlJc w:val="left"/>
      <w:pPr>
        <w:tabs>
          <w:tab w:val="num" w:pos="2160"/>
        </w:tabs>
        <w:ind w:left="2160" w:hanging="360"/>
      </w:pPr>
      <w:rPr>
        <w:rFonts w:ascii="Arial" w:hAnsi="Arial" w:hint="default"/>
      </w:rPr>
    </w:lvl>
    <w:lvl w:ilvl="3" w:tplc="009C9D3A" w:tentative="1">
      <w:start w:val="1"/>
      <w:numFmt w:val="bullet"/>
      <w:lvlText w:val="•"/>
      <w:lvlJc w:val="left"/>
      <w:pPr>
        <w:tabs>
          <w:tab w:val="num" w:pos="2880"/>
        </w:tabs>
        <w:ind w:left="2880" w:hanging="360"/>
      </w:pPr>
      <w:rPr>
        <w:rFonts w:ascii="Arial" w:hAnsi="Arial" w:hint="default"/>
      </w:rPr>
    </w:lvl>
    <w:lvl w:ilvl="4" w:tplc="293AEB68" w:tentative="1">
      <w:start w:val="1"/>
      <w:numFmt w:val="bullet"/>
      <w:lvlText w:val="•"/>
      <w:lvlJc w:val="left"/>
      <w:pPr>
        <w:tabs>
          <w:tab w:val="num" w:pos="3600"/>
        </w:tabs>
        <w:ind w:left="3600" w:hanging="360"/>
      </w:pPr>
      <w:rPr>
        <w:rFonts w:ascii="Arial" w:hAnsi="Arial" w:hint="default"/>
      </w:rPr>
    </w:lvl>
    <w:lvl w:ilvl="5" w:tplc="9618A6B6" w:tentative="1">
      <w:start w:val="1"/>
      <w:numFmt w:val="bullet"/>
      <w:lvlText w:val="•"/>
      <w:lvlJc w:val="left"/>
      <w:pPr>
        <w:tabs>
          <w:tab w:val="num" w:pos="4320"/>
        </w:tabs>
        <w:ind w:left="4320" w:hanging="360"/>
      </w:pPr>
      <w:rPr>
        <w:rFonts w:ascii="Arial" w:hAnsi="Arial" w:hint="default"/>
      </w:rPr>
    </w:lvl>
    <w:lvl w:ilvl="6" w:tplc="0DEC8942" w:tentative="1">
      <w:start w:val="1"/>
      <w:numFmt w:val="bullet"/>
      <w:lvlText w:val="•"/>
      <w:lvlJc w:val="left"/>
      <w:pPr>
        <w:tabs>
          <w:tab w:val="num" w:pos="5040"/>
        </w:tabs>
        <w:ind w:left="5040" w:hanging="360"/>
      </w:pPr>
      <w:rPr>
        <w:rFonts w:ascii="Arial" w:hAnsi="Arial" w:hint="default"/>
      </w:rPr>
    </w:lvl>
    <w:lvl w:ilvl="7" w:tplc="4AB8FED6" w:tentative="1">
      <w:start w:val="1"/>
      <w:numFmt w:val="bullet"/>
      <w:lvlText w:val="•"/>
      <w:lvlJc w:val="left"/>
      <w:pPr>
        <w:tabs>
          <w:tab w:val="num" w:pos="5760"/>
        </w:tabs>
        <w:ind w:left="5760" w:hanging="360"/>
      </w:pPr>
      <w:rPr>
        <w:rFonts w:ascii="Arial" w:hAnsi="Arial" w:hint="default"/>
      </w:rPr>
    </w:lvl>
    <w:lvl w:ilvl="8" w:tplc="F46C5B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04F"/>
    <w:rsid w:val="000A5C62"/>
    <w:rsid w:val="000A72B3"/>
    <w:rsid w:val="00185DAE"/>
    <w:rsid w:val="001975E4"/>
    <w:rsid w:val="0026352E"/>
    <w:rsid w:val="002F6713"/>
    <w:rsid w:val="00315778"/>
    <w:rsid w:val="00376577"/>
    <w:rsid w:val="0043004F"/>
    <w:rsid w:val="00486314"/>
    <w:rsid w:val="004F7267"/>
    <w:rsid w:val="005D0E06"/>
    <w:rsid w:val="005F2F76"/>
    <w:rsid w:val="00684C40"/>
    <w:rsid w:val="006A0C33"/>
    <w:rsid w:val="00714A89"/>
    <w:rsid w:val="00752612"/>
    <w:rsid w:val="00767CB2"/>
    <w:rsid w:val="008A140B"/>
    <w:rsid w:val="008E544A"/>
    <w:rsid w:val="008E7258"/>
    <w:rsid w:val="00957071"/>
    <w:rsid w:val="009A7037"/>
    <w:rsid w:val="009C66EA"/>
    <w:rsid w:val="00A1205E"/>
    <w:rsid w:val="00AA2F87"/>
    <w:rsid w:val="00B47CBB"/>
    <w:rsid w:val="00B7326C"/>
    <w:rsid w:val="00D349BF"/>
    <w:rsid w:val="00D52B57"/>
    <w:rsid w:val="00DD5350"/>
    <w:rsid w:val="00E67648"/>
    <w:rsid w:val="00EC31DC"/>
    <w:rsid w:val="00F6785C"/>
    <w:rsid w:val="00FA1B6E"/>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DC"/>
  </w:style>
  <w:style w:type="paragraph" w:styleId="Heading1">
    <w:name w:val="heading 1"/>
    <w:basedOn w:val="Normal"/>
    <w:next w:val="Normal"/>
    <w:link w:val="Heading1Char"/>
    <w:qFormat/>
    <w:rsid w:val="008A140B"/>
    <w:pPr>
      <w:keepNext/>
      <w:outlineLvl w:val="0"/>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037"/>
    <w:pPr>
      <w:ind w:left="720"/>
      <w:contextualSpacing/>
    </w:pPr>
  </w:style>
  <w:style w:type="character" w:customStyle="1" w:styleId="Heading1Char">
    <w:name w:val="Heading 1 Char"/>
    <w:basedOn w:val="DefaultParagraphFont"/>
    <w:link w:val="Heading1"/>
    <w:rsid w:val="008A140B"/>
    <w:rPr>
      <w:rFonts w:ascii="Arial" w:eastAsiaTheme="majorEastAsia" w:hAnsi="Arial" w:cs="Arial"/>
      <w:b/>
      <w:bCs/>
    </w:rPr>
  </w:style>
  <w:style w:type="character" w:styleId="CommentReference">
    <w:name w:val="annotation reference"/>
    <w:basedOn w:val="DefaultParagraphFont"/>
    <w:uiPriority w:val="99"/>
    <w:semiHidden/>
    <w:unhideWhenUsed/>
    <w:rsid w:val="00DD5350"/>
    <w:rPr>
      <w:sz w:val="16"/>
      <w:szCs w:val="16"/>
    </w:rPr>
  </w:style>
  <w:style w:type="paragraph" w:styleId="CommentText">
    <w:name w:val="annotation text"/>
    <w:basedOn w:val="Normal"/>
    <w:link w:val="CommentTextChar"/>
    <w:uiPriority w:val="99"/>
    <w:semiHidden/>
    <w:unhideWhenUsed/>
    <w:rsid w:val="00DD5350"/>
    <w:pPr>
      <w:spacing w:line="240" w:lineRule="auto"/>
    </w:pPr>
    <w:rPr>
      <w:sz w:val="20"/>
      <w:szCs w:val="20"/>
    </w:rPr>
  </w:style>
  <w:style w:type="character" w:customStyle="1" w:styleId="CommentTextChar">
    <w:name w:val="Comment Text Char"/>
    <w:basedOn w:val="DefaultParagraphFont"/>
    <w:link w:val="CommentText"/>
    <w:uiPriority w:val="99"/>
    <w:semiHidden/>
    <w:rsid w:val="00DD5350"/>
    <w:rPr>
      <w:sz w:val="20"/>
      <w:szCs w:val="20"/>
    </w:rPr>
  </w:style>
  <w:style w:type="paragraph" w:styleId="CommentSubject">
    <w:name w:val="annotation subject"/>
    <w:basedOn w:val="CommentText"/>
    <w:next w:val="CommentText"/>
    <w:link w:val="CommentSubjectChar"/>
    <w:uiPriority w:val="99"/>
    <w:semiHidden/>
    <w:unhideWhenUsed/>
    <w:rsid w:val="00DD5350"/>
    <w:rPr>
      <w:b/>
      <w:bCs/>
    </w:rPr>
  </w:style>
  <w:style w:type="character" w:customStyle="1" w:styleId="CommentSubjectChar">
    <w:name w:val="Comment Subject Char"/>
    <w:basedOn w:val="CommentTextChar"/>
    <w:link w:val="CommentSubject"/>
    <w:uiPriority w:val="99"/>
    <w:semiHidden/>
    <w:rsid w:val="00DD5350"/>
    <w:rPr>
      <w:b/>
      <w:bCs/>
      <w:sz w:val="20"/>
      <w:szCs w:val="20"/>
    </w:rPr>
  </w:style>
  <w:style w:type="paragraph" w:styleId="BalloonText">
    <w:name w:val="Balloon Text"/>
    <w:basedOn w:val="Normal"/>
    <w:link w:val="BalloonTextChar"/>
    <w:uiPriority w:val="99"/>
    <w:semiHidden/>
    <w:unhideWhenUsed/>
    <w:rsid w:val="00DD5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2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F650-EA5F-4322-A2E3-1E97BD05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Fivaz</dc:creator>
  <cp:lastModifiedBy>PUMZA</cp:lastModifiedBy>
  <cp:revision>2</cp:revision>
  <cp:lastPrinted>2019-09-04T13:34:00Z</cp:lastPrinted>
  <dcterms:created xsi:type="dcterms:W3CDTF">2019-09-09T09:02:00Z</dcterms:created>
  <dcterms:modified xsi:type="dcterms:W3CDTF">2019-09-09T09:02:00Z</dcterms:modified>
</cp:coreProperties>
</file>