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B8" w:rsidRDefault="009513DB" w:rsidP="00A91879">
      <w:pPr>
        <w:rPr>
          <w:b/>
          <w:sz w:val="22"/>
          <w:szCs w:val="22"/>
        </w:rPr>
      </w:pPr>
      <w:r>
        <w:rPr>
          <w:noProof/>
          <w:lang w:eastAsia="en-ZA"/>
        </w:rPr>
        <w:drawing>
          <wp:anchor distT="0" distB="0" distL="114300" distR="114300" simplePos="0" relativeHeight="251661312" behindDoc="0" locked="0" layoutInCell="1" allowOverlap="1">
            <wp:simplePos x="0" y="0"/>
            <wp:positionH relativeFrom="column">
              <wp:posOffset>3876675</wp:posOffset>
            </wp:positionH>
            <wp:positionV relativeFrom="paragraph">
              <wp:posOffset>-933450</wp:posOffset>
            </wp:positionV>
            <wp:extent cx="2351405" cy="800100"/>
            <wp:effectExtent l="19050" t="0" r="0" b="0"/>
            <wp:wrapNone/>
            <wp:docPr id="4" name="Picture 4"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committees"/>
                    <pic:cNvPicPr>
                      <a:picLocks noChangeAspect="1" noChangeArrowheads="1"/>
                    </pic:cNvPicPr>
                  </pic:nvPicPr>
                  <pic:blipFill>
                    <a:blip r:embed="rId8" cstate="print"/>
                    <a:srcRect/>
                    <a:stretch>
                      <a:fillRect/>
                    </a:stretch>
                  </pic:blipFill>
                  <pic:spPr bwMode="auto">
                    <a:xfrm>
                      <a:off x="0" y="0"/>
                      <a:ext cx="2351405" cy="800100"/>
                    </a:xfrm>
                    <a:prstGeom prst="rect">
                      <a:avLst/>
                    </a:prstGeom>
                    <a:noFill/>
                    <a:ln w="9525">
                      <a:noFill/>
                      <a:miter lim="800000"/>
                      <a:headEnd/>
                      <a:tailEnd/>
                    </a:ln>
                  </pic:spPr>
                </pic:pic>
              </a:graphicData>
            </a:graphic>
          </wp:anchor>
        </w:drawing>
      </w:r>
      <w:r>
        <w:rPr>
          <w:noProof/>
          <w:lang w:eastAsia="en-ZA"/>
        </w:rPr>
        <w:drawing>
          <wp:anchor distT="0" distB="0" distL="114300" distR="114300" simplePos="0" relativeHeight="251658240" behindDoc="0" locked="0" layoutInCell="1" allowOverlap="1">
            <wp:simplePos x="0" y="0"/>
            <wp:positionH relativeFrom="page">
              <wp:posOffset>720090</wp:posOffset>
            </wp:positionH>
            <wp:positionV relativeFrom="page">
              <wp:posOffset>568960</wp:posOffset>
            </wp:positionV>
            <wp:extent cx="2534285" cy="823595"/>
            <wp:effectExtent l="1905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34285" cy="823595"/>
                    </a:xfrm>
                    <a:prstGeom prst="rect">
                      <a:avLst/>
                    </a:prstGeom>
                    <a:noFill/>
                    <a:ln w="9525">
                      <a:noFill/>
                      <a:miter lim="800000"/>
                      <a:headEnd/>
                      <a:tailEnd/>
                    </a:ln>
                  </pic:spPr>
                </pic:pic>
              </a:graphicData>
            </a:graphic>
          </wp:anchor>
        </w:drawing>
      </w:r>
    </w:p>
    <w:p w:rsidR="00A91879" w:rsidRDefault="00AA5BC8" w:rsidP="009D0E5F">
      <w:pPr>
        <w:jc w:val="center"/>
        <w:rPr>
          <w:b/>
          <w:sz w:val="22"/>
          <w:szCs w:val="22"/>
        </w:rPr>
      </w:pPr>
      <w:r>
        <w:rPr>
          <w:b/>
          <w:sz w:val="22"/>
          <w:szCs w:val="22"/>
        </w:rPr>
        <w:t>ANALYSIS OF RE</w:t>
      </w:r>
      <w:r w:rsidR="009D0E5F">
        <w:rPr>
          <w:b/>
          <w:sz w:val="22"/>
          <w:szCs w:val="22"/>
        </w:rPr>
        <w:t>VISED</w:t>
      </w:r>
      <w:r>
        <w:rPr>
          <w:b/>
          <w:sz w:val="22"/>
          <w:szCs w:val="22"/>
        </w:rPr>
        <w:t xml:space="preserve"> APP 2019/20 DEPARTMENT OF WOMEN, YOUTH AND PERSONS WITH DISABILITIES</w:t>
      </w:r>
    </w:p>
    <w:p w:rsidR="00AA5BC8" w:rsidRDefault="00AA5BC8" w:rsidP="008D31A4">
      <w:pPr>
        <w:rPr>
          <w:b/>
          <w:sz w:val="22"/>
          <w:szCs w:val="22"/>
        </w:rPr>
      </w:pPr>
    </w:p>
    <w:p w:rsidR="00AA5BC8" w:rsidRDefault="00AA5BC8" w:rsidP="009C48E2">
      <w:pPr>
        <w:jc w:val="right"/>
        <w:rPr>
          <w:sz w:val="22"/>
          <w:szCs w:val="22"/>
        </w:rPr>
      </w:pPr>
      <w:r>
        <w:rPr>
          <w:b/>
          <w:sz w:val="22"/>
          <w:szCs w:val="22"/>
        </w:rPr>
        <w:t>20 August 2019</w:t>
      </w:r>
    </w:p>
    <w:p w:rsidR="00610A9E" w:rsidRDefault="00610A9E" w:rsidP="009C48E2">
      <w:pPr>
        <w:jc w:val="right"/>
        <w:rPr>
          <w:sz w:val="22"/>
          <w:szCs w:val="22"/>
        </w:rPr>
      </w:pPr>
    </w:p>
    <w:p w:rsidR="00031BB4" w:rsidRPr="000A4B8F" w:rsidRDefault="000A4B8F" w:rsidP="00210103">
      <w:pPr>
        <w:pStyle w:val="ListParagraph"/>
        <w:numPr>
          <w:ilvl w:val="0"/>
          <w:numId w:val="1"/>
        </w:numPr>
        <w:ind w:left="426"/>
        <w:rPr>
          <w:b/>
          <w:sz w:val="22"/>
          <w:szCs w:val="22"/>
        </w:rPr>
      </w:pPr>
      <w:r w:rsidRPr="000A4B8F">
        <w:rPr>
          <w:b/>
          <w:sz w:val="22"/>
          <w:szCs w:val="22"/>
        </w:rPr>
        <w:t>Introduction</w:t>
      </w:r>
    </w:p>
    <w:p w:rsidR="000A4B8F" w:rsidRDefault="000A4B8F" w:rsidP="000A4B8F">
      <w:pPr>
        <w:rPr>
          <w:sz w:val="22"/>
          <w:szCs w:val="22"/>
        </w:rPr>
      </w:pPr>
    </w:p>
    <w:p w:rsidR="000A4B8F" w:rsidRDefault="000A4B8F" w:rsidP="00F25B89">
      <w:pPr>
        <w:spacing w:line="280" w:lineRule="exact"/>
        <w:jc w:val="both"/>
        <w:rPr>
          <w:sz w:val="22"/>
          <w:szCs w:val="22"/>
        </w:rPr>
      </w:pPr>
      <w:r>
        <w:rPr>
          <w:sz w:val="22"/>
          <w:szCs w:val="22"/>
        </w:rPr>
        <w:t>This document has been compiled for members of the Portfolio Committee on Women, Youth and Persons with Disabilities (hereafter referred to as the Committee) in preparation for the briefing by the Department of Women, Youth and Persons with Disabilities (hereafter referred to as the Department) on its revised Annual Perfo</w:t>
      </w:r>
      <w:r w:rsidR="009D0E5F">
        <w:rPr>
          <w:sz w:val="22"/>
          <w:szCs w:val="22"/>
        </w:rPr>
        <w:t>rmance Plan 2019/20 as per the C</w:t>
      </w:r>
      <w:r>
        <w:rPr>
          <w:sz w:val="22"/>
          <w:szCs w:val="22"/>
        </w:rPr>
        <w:t>ommittee</w:t>
      </w:r>
      <w:r w:rsidR="009D0E5F">
        <w:rPr>
          <w:sz w:val="22"/>
          <w:szCs w:val="22"/>
        </w:rPr>
        <w:t>’s</w:t>
      </w:r>
      <w:r>
        <w:rPr>
          <w:sz w:val="22"/>
          <w:szCs w:val="22"/>
        </w:rPr>
        <w:t xml:space="preserve"> resolution emanating from the Budget Vote 13 report adopted on 3 July 2019. The Committee had resolved that the Department had to present its draft Strategic Plan and revised Annual Performance Plan 2019/20 within a specified time frame.</w:t>
      </w:r>
      <w:r w:rsidR="009D0E5F">
        <w:rPr>
          <w:rStyle w:val="FootnoteReference"/>
          <w:sz w:val="22"/>
          <w:szCs w:val="22"/>
        </w:rPr>
        <w:footnoteReference w:id="1"/>
      </w:r>
      <w:r>
        <w:rPr>
          <w:sz w:val="22"/>
          <w:szCs w:val="22"/>
        </w:rPr>
        <w:t xml:space="preserve"> The Committee’s secretariat had informed the Department of the Committee’s resolution in writing and indicated the submission date for documentation was 8 August 2019. The Department did not adhere to the submission date despite numerous follow</w:t>
      </w:r>
      <w:r w:rsidR="009D0E5F">
        <w:rPr>
          <w:sz w:val="22"/>
          <w:szCs w:val="22"/>
        </w:rPr>
        <w:t>-</w:t>
      </w:r>
      <w:r>
        <w:rPr>
          <w:sz w:val="22"/>
          <w:szCs w:val="22"/>
        </w:rPr>
        <w:t>ups</w:t>
      </w:r>
      <w:r w:rsidR="009D0E5F">
        <w:rPr>
          <w:sz w:val="22"/>
          <w:szCs w:val="22"/>
        </w:rPr>
        <w:t xml:space="preserve"> requesting for the </w:t>
      </w:r>
      <w:r>
        <w:rPr>
          <w:sz w:val="22"/>
          <w:szCs w:val="22"/>
        </w:rPr>
        <w:t xml:space="preserve">documentation. To this end, a power-point presentation was sent on </w:t>
      </w:r>
      <w:r w:rsidR="00F25B89">
        <w:rPr>
          <w:sz w:val="22"/>
          <w:szCs w:val="22"/>
        </w:rPr>
        <w:t>1</w:t>
      </w:r>
      <w:r w:rsidR="00A67B72">
        <w:rPr>
          <w:sz w:val="22"/>
          <w:szCs w:val="22"/>
        </w:rPr>
        <w:t>5</w:t>
      </w:r>
      <w:r w:rsidR="00F25B89">
        <w:rPr>
          <w:sz w:val="22"/>
          <w:szCs w:val="22"/>
        </w:rPr>
        <w:t xml:space="preserve"> August 2019 that refers mainly to the revised APP 2019/20 and makes some reference to the revisions to the Strategic Pl</w:t>
      </w:r>
      <w:r w:rsidR="009D0E5F">
        <w:rPr>
          <w:sz w:val="22"/>
          <w:szCs w:val="22"/>
        </w:rPr>
        <w:t>an. The draft Strategic Plan 2020-20</w:t>
      </w:r>
      <w:r w:rsidR="00F25B89">
        <w:rPr>
          <w:sz w:val="22"/>
          <w:szCs w:val="22"/>
        </w:rPr>
        <w:t>25 was not submitted</w:t>
      </w:r>
      <w:r w:rsidR="00A67B72">
        <w:rPr>
          <w:sz w:val="22"/>
          <w:szCs w:val="22"/>
        </w:rPr>
        <w:t xml:space="preserve"> and the </w:t>
      </w:r>
      <w:r w:rsidR="00F25B89">
        <w:rPr>
          <w:sz w:val="22"/>
          <w:szCs w:val="22"/>
        </w:rPr>
        <w:t>revised APP 2</w:t>
      </w:r>
      <w:r w:rsidR="00A67B72">
        <w:rPr>
          <w:sz w:val="22"/>
          <w:szCs w:val="22"/>
        </w:rPr>
        <w:t>0</w:t>
      </w:r>
      <w:r w:rsidR="00F25B89">
        <w:rPr>
          <w:sz w:val="22"/>
          <w:szCs w:val="22"/>
        </w:rPr>
        <w:t xml:space="preserve">19/20 </w:t>
      </w:r>
      <w:r w:rsidR="00A67B72">
        <w:rPr>
          <w:sz w:val="22"/>
          <w:szCs w:val="22"/>
        </w:rPr>
        <w:t xml:space="preserve">with an </w:t>
      </w:r>
      <w:r w:rsidR="00A67B72" w:rsidRPr="00A67B72">
        <w:rPr>
          <w:sz w:val="22"/>
          <w:szCs w:val="22"/>
        </w:rPr>
        <w:t>Annexure to the Strategic Plan</w:t>
      </w:r>
      <w:r w:rsidR="00A67B72">
        <w:rPr>
          <w:sz w:val="22"/>
          <w:szCs w:val="22"/>
        </w:rPr>
        <w:t xml:space="preserve"> </w:t>
      </w:r>
      <w:r w:rsidR="00A67B72" w:rsidRPr="00A67B72">
        <w:rPr>
          <w:sz w:val="22"/>
          <w:szCs w:val="22"/>
        </w:rPr>
        <w:t>2015</w:t>
      </w:r>
      <w:r w:rsidR="00A67B72">
        <w:rPr>
          <w:sz w:val="22"/>
          <w:szCs w:val="22"/>
        </w:rPr>
        <w:t>-</w:t>
      </w:r>
      <w:r w:rsidR="00A67B72" w:rsidRPr="00A67B72">
        <w:rPr>
          <w:sz w:val="22"/>
          <w:szCs w:val="22"/>
        </w:rPr>
        <w:t>20</w:t>
      </w:r>
      <w:r w:rsidR="00A67B72">
        <w:rPr>
          <w:sz w:val="22"/>
          <w:szCs w:val="22"/>
        </w:rPr>
        <w:t xml:space="preserve"> was said to be </w:t>
      </w:r>
      <w:r w:rsidR="00F25B89">
        <w:rPr>
          <w:sz w:val="22"/>
          <w:szCs w:val="22"/>
        </w:rPr>
        <w:t>been tabled</w:t>
      </w:r>
      <w:r w:rsidR="00A67B72">
        <w:rPr>
          <w:sz w:val="22"/>
          <w:szCs w:val="22"/>
        </w:rPr>
        <w:t xml:space="preserve"> on 16 August 2019</w:t>
      </w:r>
      <w:r w:rsidR="00F25B89">
        <w:rPr>
          <w:sz w:val="22"/>
          <w:szCs w:val="22"/>
        </w:rPr>
        <w:t xml:space="preserve">. Correspondence was sent to the Committee indicating reasons for </w:t>
      </w:r>
      <w:r w:rsidR="00A67B72">
        <w:rPr>
          <w:sz w:val="22"/>
          <w:szCs w:val="22"/>
        </w:rPr>
        <w:t>not submitting on 8 August 2019</w:t>
      </w:r>
      <w:r w:rsidR="00F25B89">
        <w:rPr>
          <w:sz w:val="22"/>
          <w:szCs w:val="22"/>
        </w:rPr>
        <w:t>.</w:t>
      </w:r>
    </w:p>
    <w:p w:rsidR="00F25B89" w:rsidRDefault="00F25B89" w:rsidP="00F25B89">
      <w:pPr>
        <w:spacing w:line="280" w:lineRule="exact"/>
        <w:jc w:val="both"/>
        <w:rPr>
          <w:sz w:val="22"/>
          <w:szCs w:val="22"/>
        </w:rPr>
      </w:pPr>
    </w:p>
    <w:p w:rsidR="00F25B89" w:rsidRDefault="00F25B89" w:rsidP="00F25B89">
      <w:pPr>
        <w:spacing w:line="280" w:lineRule="exact"/>
        <w:jc w:val="both"/>
        <w:rPr>
          <w:sz w:val="22"/>
          <w:szCs w:val="22"/>
        </w:rPr>
      </w:pPr>
      <w:r>
        <w:rPr>
          <w:sz w:val="22"/>
          <w:szCs w:val="22"/>
        </w:rPr>
        <w:t xml:space="preserve">It is important for the Committee to note that, firstly; the Department had received the necessary request timeously. </w:t>
      </w:r>
      <w:r w:rsidR="00A67B72">
        <w:rPr>
          <w:sz w:val="22"/>
          <w:szCs w:val="22"/>
        </w:rPr>
        <w:t xml:space="preserve">A letter was sent to the Department that contained a briefing note detailing what was required (refer to Appendix A). </w:t>
      </w:r>
      <w:r>
        <w:rPr>
          <w:sz w:val="22"/>
          <w:szCs w:val="22"/>
        </w:rPr>
        <w:t>Secondly, the Committee is fully aware of the process for tabling the final Strategic Plan</w:t>
      </w:r>
      <w:r w:rsidR="009D0E5F">
        <w:rPr>
          <w:sz w:val="22"/>
          <w:szCs w:val="22"/>
        </w:rPr>
        <w:t xml:space="preserve"> 2020-2025</w:t>
      </w:r>
      <w:r>
        <w:rPr>
          <w:sz w:val="22"/>
          <w:szCs w:val="22"/>
        </w:rPr>
        <w:t xml:space="preserve"> in line with the new MTEF priorities and</w:t>
      </w:r>
      <w:r w:rsidR="009D0E5F">
        <w:rPr>
          <w:sz w:val="22"/>
          <w:szCs w:val="22"/>
        </w:rPr>
        <w:t xml:space="preserve"> in</w:t>
      </w:r>
      <w:r>
        <w:rPr>
          <w:sz w:val="22"/>
          <w:szCs w:val="22"/>
        </w:rPr>
        <w:t xml:space="preserve"> keeping with Government processes. However, the briefing of the draft Strategic Plan would have provided the Committee with the opportunity to provide valuable feedback to the Department which should have then been incorporated before the final Plan is tabled.</w:t>
      </w:r>
    </w:p>
    <w:p w:rsidR="00F25B89" w:rsidRDefault="00F25B89" w:rsidP="00F25B89">
      <w:pPr>
        <w:spacing w:line="280" w:lineRule="exact"/>
        <w:jc w:val="both"/>
        <w:rPr>
          <w:sz w:val="22"/>
          <w:szCs w:val="22"/>
        </w:rPr>
      </w:pPr>
    </w:p>
    <w:p w:rsidR="00F25B89" w:rsidRDefault="00F25B89" w:rsidP="00F25B89">
      <w:pPr>
        <w:spacing w:line="280" w:lineRule="exact"/>
        <w:jc w:val="both"/>
        <w:rPr>
          <w:sz w:val="22"/>
          <w:szCs w:val="22"/>
        </w:rPr>
      </w:pPr>
      <w:r>
        <w:rPr>
          <w:sz w:val="22"/>
          <w:szCs w:val="22"/>
        </w:rPr>
        <w:t>The focus of this document is thus limited to the power-point presentation</w:t>
      </w:r>
      <w:r w:rsidR="00E37DF5">
        <w:rPr>
          <w:sz w:val="22"/>
          <w:szCs w:val="22"/>
        </w:rPr>
        <w:t xml:space="preserve"> and revised APP 2019/20</w:t>
      </w:r>
      <w:r>
        <w:rPr>
          <w:sz w:val="22"/>
          <w:szCs w:val="22"/>
        </w:rPr>
        <w:t xml:space="preserve"> </w:t>
      </w:r>
      <w:r w:rsidR="00E37DF5">
        <w:rPr>
          <w:sz w:val="22"/>
          <w:szCs w:val="22"/>
        </w:rPr>
        <w:t>which was meant to be tabled</w:t>
      </w:r>
      <w:r>
        <w:rPr>
          <w:sz w:val="22"/>
          <w:szCs w:val="22"/>
        </w:rPr>
        <w:t>.</w:t>
      </w:r>
    </w:p>
    <w:p w:rsidR="000A4B8F" w:rsidRPr="000A4B8F" w:rsidRDefault="000A4B8F" w:rsidP="00F25B89">
      <w:pPr>
        <w:spacing w:line="280" w:lineRule="exact"/>
        <w:jc w:val="both"/>
        <w:rPr>
          <w:sz w:val="22"/>
          <w:szCs w:val="22"/>
        </w:rPr>
      </w:pPr>
    </w:p>
    <w:p w:rsidR="002A431D" w:rsidRDefault="00F25B89" w:rsidP="00210103">
      <w:pPr>
        <w:pStyle w:val="ListParagraph"/>
        <w:numPr>
          <w:ilvl w:val="0"/>
          <w:numId w:val="1"/>
        </w:numPr>
        <w:spacing w:line="280" w:lineRule="exact"/>
        <w:ind w:left="426"/>
        <w:jc w:val="both"/>
        <w:rPr>
          <w:b/>
          <w:sz w:val="22"/>
          <w:szCs w:val="22"/>
        </w:rPr>
      </w:pPr>
      <w:r w:rsidRPr="002A431D">
        <w:rPr>
          <w:b/>
          <w:sz w:val="22"/>
          <w:szCs w:val="22"/>
        </w:rPr>
        <w:t>General Matters</w:t>
      </w:r>
    </w:p>
    <w:p w:rsidR="002A431D" w:rsidRDefault="002A431D" w:rsidP="002A431D">
      <w:pPr>
        <w:spacing w:line="280" w:lineRule="exact"/>
        <w:ind w:left="66"/>
        <w:jc w:val="both"/>
        <w:rPr>
          <w:b/>
          <w:sz w:val="22"/>
          <w:szCs w:val="22"/>
        </w:rPr>
      </w:pPr>
    </w:p>
    <w:p w:rsidR="00C852BF" w:rsidRPr="00C852BF" w:rsidRDefault="00C852BF" w:rsidP="00C852BF">
      <w:pPr>
        <w:spacing w:line="280" w:lineRule="exact"/>
        <w:ind w:left="66"/>
        <w:jc w:val="both"/>
        <w:rPr>
          <w:b/>
          <w:sz w:val="22"/>
          <w:szCs w:val="22"/>
        </w:rPr>
      </w:pPr>
      <w:r w:rsidRPr="00C852BF">
        <w:rPr>
          <w:b/>
          <w:sz w:val="22"/>
          <w:szCs w:val="22"/>
        </w:rPr>
        <w:t>2.1 Revised Strategic Plan 2015-2020</w:t>
      </w:r>
    </w:p>
    <w:p w:rsidR="00C852BF" w:rsidRPr="00C852BF" w:rsidRDefault="00C852BF" w:rsidP="00C852BF">
      <w:pPr>
        <w:spacing w:line="280" w:lineRule="exact"/>
        <w:ind w:left="66"/>
        <w:jc w:val="both"/>
        <w:rPr>
          <w:b/>
          <w:sz w:val="22"/>
          <w:szCs w:val="22"/>
        </w:rPr>
      </w:pPr>
    </w:p>
    <w:p w:rsidR="00C852BF" w:rsidRPr="00C852BF" w:rsidRDefault="00C852BF" w:rsidP="00C852BF">
      <w:pPr>
        <w:spacing w:line="280" w:lineRule="exact"/>
        <w:ind w:left="66"/>
        <w:jc w:val="both"/>
        <w:rPr>
          <w:sz w:val="22"/>
          <w:szCs w:val="22"/>
        </w:rPr>
      </w:pPr>
      <w:r w:rsidRPr="00C852BF">
        <w:rPr>
          <w:sz w:val="22"/>
          <w:szCs w:val="22"/>
        </w:rPr>
        <w:t>The Department</w:t>
      </w:r>
      <w:r w:rsidR="0041274F">
        <w:rPr>
          <w:sz w:val="22"/>
          <w:szCs w:val="22"/>
        </w:rPr>
        <w:t xml:space="preserve"> indicates that it is in the process of developing the Strategic Plan 2020-2024</w:t>
      </w:r>
      <w:r w:rsidRPr="00C852BF">
        <w:rPr>
          <w:sz w:val="22"/>
          <w:szCs w:val="22"/>
        </w:rPr>
        <w:t xml:space="preserve"> </w:t>
      </w:r>
      <w:r w:rsidR="0041274F">
        <w:rPr>
          <w:sz w:val="22"/>
          <w:szCs w:val="22"/>
        </w:rPr>
        <w:t xml:space="preserve">and </w:t>
      </w:r>
      <w:r w:rsidRPr="00C852BF">
        <w:rPr>
          <w:sz w:val="22"/>
          <w:szCs w:val="22"/>
        </w:rPr>
        <w:t xml:space="preserve">only refers to the refinements to the Strategic Plan 2015-2020 </w:t>
      </w:r>
      <w:r w:rsidR="0041274F">
        <w:rPr>
          <w:sz w:val="22"/>
          <w:szCs w:val="22"/>
        </w:rPr>
        <w:t>in the revised APP 2019/20</w:t>
      </w:r>
      <w:r w:rsidRPr="00C852BF">
        <w:rPr>
          <w:sz w:val="22"/>
          <w:szCs w:val="22"/>
        </w:rPr>
        <w:t xml:space="preserve">. </w:t>
      </w:r>
      <w:r w:rsidR="0041274F">
        <w:rPr>
          <w:sz w:val="22"/>
          <w:szCs w:val="22"/>
        </w:rPr>
        <w:t>Hence</w:t>
      </w:r>
      <w:r w:rsidRPr="00C852BF">
        <w:rPr>
          <w:sz w:val="22"/>
          <w:szCs w:val="22"/>
        </w:rPr>
        <w:t>, this section focusses on matters related to what is contained in the presentation on the current Strategic Plan 2015-2020.</w:t>
      </w:r>
    </w:p>
    <w:p w:rsidR="00C852BF" w:rsidRDefault="00C852BF" w:rsidP="00C852BF">
      <w:pPr>
        <w:spacing w:line="280" w:lineRule="exact"/>
        <w:ind w:left="66"/>
        <w:jc w:val="both"/>
        <w:rPr>
          <w:sz w:val="22"/>
          <w:szCs w:val="22"/>
        </w:rPr>
      </w:pPr>
    </w:p>
    <w:p w:rsidR="0041274F" w:rsidRDefault="0041274F" w:rsidP="00C852BF">
      <w:pPr>
        <w:spacing w:line="280" w:lineRule="exact"/>
        <w:ind w:left="66"/>
        <w:jc w:val="both"/>
        <w:rPr>
          <w:sz w:val="22"/>
          <w:szCs w:val="22"/>
        </w:rPr>
      </w:pPr>
    </w:p>
    <w:p w:rsidR="0041274F" w:rsidRPr="00C852BF" w:rsidRDefault="0041274F" w:rsidP="00C852BF">
      <w:pPr>
        <w:spacing w:line="280" w:lineRule="exact"/>
        <w:ind w:left="66"/>
        <w:jc w:val="both"/>
        <w:rPr>
          <w:sz w:val="22"/>
          <w:szCs w:val="22"/>
        </w:rPr>
      </w:pPr>
    </w:p>
    <w:p w:rsidR="00C852BF" w:rsidRPr="00C852BF" w:rsidRDefault="00C852BF" w:rsidP="00C852BF">
      <w:pPr>
        <w:spacing w:line="280" w:lineRule="exact"/>
        <w:ind w:left="66"/>
        <w:jc w:val="both"/>
        <w:rPr>
          <w:i/>
          <w:sz w:val="22"/>
          <w:szCs w:val="22"/>
        </w:rPr>
      </w:pPr>
      <w:r w:rsidRPr="00C852BF">
        <w:rPr>
          <w:i/>
          <w:sz w:val="22"/>
          <w:szCs w:val="22"/>
        </w:rPr>
        <w:t>Vision &amp; Mission</w:t>
      </w:r>
    </w:p>
    <w:p w:rsidR="00C852BF" w:rsidRPr="00C852BF" w:rsidRDefault="00C852BF" w:rsidP="009C062D">
      <w:pPr>
        <w:spacing w:line="280" w:lineRule="exact"/>
        <w:ind w:left="66"/>
        <w:jc w:val="both"/>
        <w:rPr>
          <w:sz w:val="22"/>
          <w:szCs w:val="22"/>
        </w:rPr>
      </w:pPr>
      <w:r w:rsidRPr="00C852BF">
        <w:rPr>
          <w:sz w:val="22"/>
          <w:szCs w:val="22"/>
        </w:rPr>
        <w:t xml:space="preserve">The Department’s Vision is generic but its Mission refers specially to women, youth and persons with disabilities. </w:t>
      </w:r>
      <w:r w:rsidR="009C062D">
        <w:rPr>
          <w:sz w:val="22"/>
          <w:szCs w:val="22"/>
        </w:rPr>
        <w:t>In addition, the Department positions itself as the champion for providing strategic leadership, coordination and oversight to government departments and the country in mainstreaming empowerment programmes on women, youth and persons with disabilities. G</w:t>
      </w:r>
      <w:r w:rsidR="009C062D" w:rsidRPr="00C852BF">
        <w:rPr>
          <w:sz w:val="22"/>
          <w:szCs w:val="22"/>
        </w:rPr>
        <w:t>iven the separation of powers between the Executive and Parliament it is unclear how the Department defines its oversight role as noted in the Mission statement.</w:t>
      </w:r>
      <w:r w:rsidR="009C062D">
        <w:rPr>
          <w:sz w:val="22"/>
          <w:szCs w:val="22"/>
        </w:rPr>
        <w:t xml:space="preserve"> A focus mainly on mainstreaming empowerment programmes also shapes what type of activities the Department intends pursuing. In addition, within the revised APP the Department has also included </w:t>
      </w:r>
      <w:r w:rsidR="0093683D">
        <w:rPr>
          <w:sz w:val="22"/>
          <w:szCs w:val="22"/>
        </w:rPr>
        <w:t xml:space="preserve">LGBTQIA+ within its Programme 3 for example which shifts the focus then broader than women’s issues </w:t>
      </w:r>
      <w:r w:rsidR="002156E1">
        <w:rPr>
          <w:sz w:val="22"/>
          <w:szCs w:val="22"/>
        </w:rPr>
        <w:t>to</w:t>
      </w:r>
      <w:r w:rsidR="0093683D">
        <w:rPr>
          <w:sz w:val="22"/>
          <w:szCs w:val="22"/>
        </w:rPr>
        <w:t xml:space="preserve"> gender issues. It would be important for the Committee to establish what the Department’s intention is – women and or gender.</w:t>
      </w:r>
    </w:p>
    <w:p w:rsidR="00C852BF" w:rsidRDefault="00C852BF" w:rsidP="00C852BF">
      <w:pPr>
        <w:spacing w:line="280" w:lineRule="exact"/>
        <w:ind w:left="66"/>
        <w:jc w:val="both"/>
        <w:rPr>
          <w:b/>
          <w:sz w:val="22"/>
          <w:szCs w:val="22"/>
        </w:rPr>
      </w:pPr>
    </w:p>
    <w:p w:rsidR="0041274F" w:rsidRDefault="0041274F" w:rsidP="0041274F">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exact"/>
        <w:ind w:left="66"/>
        <w:jc w:val="both"/>
        <w:rPr>
          <w:b/>
          <w:sz w:val="22"/>
          <w:szCs w:val="22"/>
        </w:rPr>
      </w:pPr>
      <w:r>
        <w:rPr>
          <w:b/>
          <w:sz w:val="22"/>
          <w:szCs w:val="22"/>
        </w:rPr>
        <w:t>Questions for consideration</w:t>
      </w:r>
    </w:p>
    <w:p w:rsidR="0041274F" w:rsidRDefault="0041274F" w:rsidP="0041274F">
      <w:pPr>
        <w:pStyle w:val="ListParagraph"/>
        <w:numPr>
          <w:ilvl w:val="0"/>
          <w:numId w:val="22"/>
        </w:numPr>
        <w:pBdr>
          <w:top w:val="single" w:sz="4" w:space="1" w:color="auto"/>
          <w:left w:val="single" w:sz="4" w:space="4" w:color="auto"/>
          <w:bottom w:val="single" w:sz="4" w:space="1" w:color="auto"/>
          <w:right w:val="single" w:sz="4" w:space="4" w:color="auto"/>
        </w:pBdr>
        <w:spacing w:line="280" w:lineRule="exact"/>
        <w:jc w:val="both"/>
        <w:rPr>
          <w:sz w:val="22"/>
          <w:szCs w:val="22"/>
        </w:rPr>
      </w:pPr>
      <w:r>
        <w:rPr>
          <w:sz w:val="22"/>
          <w:szCs w:val="22"/>
        </w:rPr>
        <w:t>Given Parliament’s oversight role over the Executive and the separation of powers, how does the Department define oversight in terms of its role and function?</w:t>
      </w:r>
    </w:p>
    <w:p w:rsidR="0041274F" w:rsidRPr="0041274F" w:rsidRDefault="002156E1" w:rsidP="0041274F">
      <w:pPr>
        <w:pStyle w:val="ListParagraph"/>
        <w:numPr>
          <w:ilvl w:val="0"/>
          <w:numId w:val="22"/>
        </w:numPr>
        <w:pBdr>
          <w:top w:val="single" w:sz="4" w:space="1" w:color="auto"/>
          <w:left w:val="single" w:sz="4" w:space="4" w:color="auto"/>
          <w:bottom w:val="single" w:sz="4" w:space="1" w:color="auto"/>
          <w:right w:val="single" w:sz="4" w:space="4" w:color="auto"/>
        </w:pBdr>
        <w:spacing w:line="280" w:lineRule="exact"/>
        <w:jc w:val="both"/>
        <w:rPr>
          <w:sz w:val="22"/>
          <w:szCs w:val="22"/>
        </w:rPr>
      </w:pPr>
      <w:r>
        <w:rPr>
          <w:sz w:val="22"/>
          <w:szCs w:val="22"/>
        </w:rPr>
        <w:t>What is the Department’s overall strategy in dealing with gender equality vis-a-vie women’s rights and the rights of LGBTQIA+ persons?</w:t>
      </w:r>
    </w:p>
    <w:p w:rsidR="0041274F" w:rsidRPr="00C852BF" w:rsidRDefault="0041274F" w:rsidP="00C852BF">
      <w:pPr>
        <w:spacing w:line="280" w:lineRule="exact"/>
        <w:ind w:left="66"/>
        <w:jc w:val="both"/>
        <w:rPr>
          <w:b/>
          <w:sz w:val="22"/>
          <w:szCs w:val="22"/>
        </w:rPr>
      </w:pPr>
    </w:p>
    <w:p w:rsidR="00C852BF" w:rsidRPr="00C852BF" w:rsidRDefault="00C852BF" w:rsidP="00C852BF">
      <w:pPr>
        <w:spacing w:line="280" w:lineRule="exact"/>
        <w:ind w:left="66"/>
        <w:jc w:val="both"/>
        <w:rPr>
          <w:b/>
          <w:sz w:val="22"/>
          <w:szCs w:val="22"/>
        </w:rPr>
      </w:pPr>
      <w:r w:rsidRPr="00C852BF">
        <w:rPr>
          <w:b/>
          <w:sz w:val="22"/>
          <w:szCs w:val="22"/>
        </w:rPr>
        <w:t>2.2 Structure of the Department</w:t>
      </w:r>
    </w:p>
    <w:p w:rsidR="00C852BF" w:rsidRPr="00C852BF" w:rsidRDefault="00C852BF" w:rsidP="00C852BF">
      <w:pPr>
        <w:spacing w:line="280" w:lineRule="exact"/>
        <w:ind w:left="66"/>
        <w:jc w:val="both"/>
        <w:rPr>
          <w:b/>
          <w:sz w:val="22"/>
          <w:szCs w:val="22"/>
        </w:rPr>
      </w:pPr>
    </w:p>
    <w:p w:rsidR="00C852BF" w:rsidRPr="00C852BF" w:rsidRDefault="00C852BF" w:rsidP="00C852BF">
      <w:pPr>
        <w:spacing w:line="280" w:lineRule="exact"/>
        <w:ind w:left="66"/>
        <w:jc w:val="both"/>
        <w:rPr>
          <w:sz w:val="22"/>
          <w:szCs w:val="22"/>
        </w:rPr>
      </w:pPr>
      <w:r w:rsidRPr="00C852BF">
        <w:rPr>
          <w:sz w:val="22"/>
          <w:szCs w:val="22"/>
        </w:rPr>
        <w:t>The Department indicates the changes to the structure within the revised Strategic Plan for 2015-2020 (slide 15 &amp; 59</w:t>
      </w:r>
      <w:r w:rsidR="003A68C7">
        <w:rPr>
          <w:sz w:val="22"/>
          <w:szCs w:val="22"/>
        </w:rPr>
        <w:t>, p. 193 of APP</w:t>
      </w:r>
      <w:r w:rsidRPr="00C852BF">
        <w:rPr>
          <w:sz w:val="22"/>
          <w:szCs w:val="22"/>
        </w:rPr>
        <w:t xml:space="preserve">). With the inclusion of youth and disability structures from the Departments of Performance Monitoring and Evaluation (DPME) and Social Development respectively, two more programmes were added.  As such, the former Department of Women in the Presidency’s three programmes remained the same in the new Department as cited in the table below.  </w:t>
      </w:r>
    </w:p>
    <w:p w:rsidR="00C852BF" w:rsidRPr="00C852BF" w:rsidRDefault="00C852BF" w:rsidP="00C852BF">
      <w:pPr>
        <w:spacing w:line="280" w:lineRule="exact"/>
        <w:ind w:left="66"/>
        <w:jc w:val="both"/>
        <w:rPr>
          <w:b/>
          <w:sz w:val="22"/>
          <w:szCs w:val="22"/>
        </w:rPr>
      </w:pPr>
    </w:p>
    <w:p w:rsidR="00C852BF" w:rsidRPr="00C852BF" w:rsidRDefault="00C852BF" w:rsidP="00C852BF">
      <w:pPr>
        <w:spacing w:line="280" w:lineRule="exact"/>
        <w:ind w:left="66"/>
        <w:jc w:val="both"/>
        <w:rPr>
          <w:sz w:val="22"/>
          <w:szCs w:val="22"/>
        </w:rPr>
      </w:pPr>
      <w:r w:rsidRPr="00C852BF">
        <w:rPr>
          <w:sz w:val="22"/>
          <w:szCs w:val="22"/>
        </w:rPr>
        <w:t>Both the Women’s programmes and the programme on Rights of Persons with Disabilities functioned only at a national level. The youth structure namely; the National Youth Development Programme was located within DPME at a national level which did a transfer to the National Youth Development Agency (NYDA). In turn, the NYDA is replicated at a provincial and local level with branches and offices. The Department makes reference to the NYDA’s provincial and local footprint insofar as indicating that these structures will be utilised to render services. However, it is unclear what the Department means in this regard and whether the programme and services pertaining to women and persons with disabilities will then be incorporated into structures previously established by the NYDA.</w:t>
      </w:r>
    </w:p>
    <w:p w:rsidR="00C852BF" w:rsidRPr="00C852BF" w:rsidRDefault="00C852BF" w:rsidP="00C852BF">
      <w:pPr>
        <w:spacing w:line="280" w:lineRule="exact"/>
        <w:ind w:left="66"/>
        <w:jc w:val="both"/>
        <w:rPr>
          <w:sz w:val="22"/>
          <w:szCs w:val="22"/>
        </w:rPr>
      </w:pPr>
    </w:p>
    <w:p w:rsidR="00C852BF" w:rsidRPr="00C852BF" w:rsidRDefault="00C852BF" w:rsidP="00C852BF">
      <w:pPr>
        <w:spacing w:line="280" w:lineRule="exact"/>
        <w:ind w:left="66"/>
        <w:jc w:val="both"/>
        <w:rPr>
          <w:b/>
          <w:sz w:val="22"/>
          <w:szCs w:val="22"/>
        </w:rPr>
      </w:pPr>
      <w:r w:rsidRPr="00C852BF">
        <w:rPr>
          <w:b/>
          <w:sz w:val="22"/>
          <w:szCs w:val="22"/>
        </w:rPr>
        <w:t>Table</w:t>
      </w:r>
      <w:r w:rsidR="006B23D3">
        <w:rPr>
          <w:b/>
          <w:sz w:val="22"/>
          <w:szCs w:val="22"/>
        </w:rPr>
        <w:t xml:space="preserve"> 1</w:t>
      </w:r>
      <w:r w:rsidRPr="00C852BF">
        <w:rPr>
          <w:b/>
          <w:sz w:val="22"/>
          <w:szCs w:val="22"/>
        </w:rPr>
        <w:t>: Structure of the Department of Women, Youth and Persons with Disabilities</w:t>
      </w:r>
    </w:p>
    <w:tbl>
      <w:tblPr>
        <w:tblStyle w:val="TableGrid"/>
        <w:tblW w:w="0" w:type="auto"/>
        <w:tblInd w:w="66" w:type="dxa"/>
        <w:tblLook w:val="04A0"/>
      </w:tblPr>
      <w:tblGrid>
        <w:gridCol w:w="3551"/>
        <w:gridCol w:w="2372"/>
        <w:gridCol w:w="3518"/>
      </w:tblGrid>
      <w:tr w:rsidR="00C852BF" w:rsidRPr="00C852BF" w:rsidTr="001140CA">
        <w:trPr>
          <w:trHeight w:val="270"/>
          <w:tblHeader/>
        </w:trPr>
        <w:tc>
          <w:tcPr>
            <w:tcW w:w="3551" w:type="dxa"/>
            <w:shd w:val="clear" w:color="auto" w:fill="BFBFBF" w:themeFill="background1" w:themeFillShade="BF"/>
          </w:tcPr>
          <w:p w:rsidR="00C852BF" w:rsidRPr="00C852BF" w:rsidRDefault="00C852BF" w:rsidP="00C852BF">
            <w:pPr>
              <w:spacing w:line="280" w:lineRule="exact"/>
              <w:ind w:left="66"/>
              <w:jc w:val="both"/>
              <w:rPr>
                <w:b/>
                <w:sz w:val="22"/>
                <w:szCs w:val="22"/>
              </w:rPr>
            </w:pPr>
            <w:r w:rsidRPr="00C852BF">
              <w:rPr>
                <w:b/>
                <w:sz w:val="22"/>
                <w:szCs w:val="22"/>
              </w:rPr>
              <w:t>PROGRAMME</w:t>
            </w:r>
          </w:p>
        </w:tc>
        <w:tc>
          <w:tcPr>
            <w:tcW w:w="2372" w:type="dxa"/>
            <w:shd w:val="clear" w:color="auto" w:fill="BFBFBF" w:themeFill="background1" w:themeFillShade="BF"/>
          </w:tcPr>
          <w:p w:rsidR="00C852BF" w:rsidRPr="00C852BF" w:rsidRDefault="00C852BF" w:rsidP="00C852BF">
            <w:pPr>
              <w:spacing w:line="280" w:lineRule="exact"/>
              <w:ind w:left="66"/>
              <w:jc w:val="both"/>
              <w:rPr>
                <w:b/>
                <w:sz w:val="22"/>
                <w:szCs w:val="22"/>
              </w:rPr>
            </w:pPr>
            <w:r w:rsidRPr="00C852BF">
              <w:rPr>
                <w:b/>
                <w:sz w:val="22"/>
                <w:szCs w:val="22"/>
              </w:rPr>
              <w:t>DIVISION</w:t>
            </w:r>
          </w:p>
        </w:tc>
        <w:tc>
          <w:tcPr>
            <w:tcW w:w="3518" w:type="dxa"/>
            <w:shd w:val="clear" w:color="auto" w:fill="BFBFBF" w:themeFill="background1" w:themeFillShade="BF"/>
          </w:tcPr>
          <w:p w:rsidR="00C852BF" w:rsidRPr="00C852BF" w:rsidRDefault="00C852BF" w:rsidP="00C852BF">
            <w:pPr>
              <w:spacing w:line="280" w:lineRule="exact"/>
              <w:ind w:left="66"/>
              <w:jc w:val="both"/>
              <w:rPr>
                <w:b/>
                <w:sz w:val="22"/>
                <w:szCs w:val="22"/>
              </w:rPr>
            </w:pPr>
            <w:r w:rsidRPr="00C852BF">
              <w:rPr>
                <w:b/>
                <w:sz w:val="22"/>
                <w:szCs w:val="22"/>
              </w:rPr>
              <w:t>SUB-PROGRAMME</w:t>
            </w:r>
          </w:p>
        </w:tc>
      </w:tr>
      <w:tr w:rsidR="00C852BF" w:rsidRPr="00C852BF" w:rsidTr="001140CA">
        <w:trPr>
          <w:trHeight w:val="285"/>
        </w:trPr>
        <w:tc>
          <w:tcPr>
            <w:tcW w:w="3551" w:type="dxa"/>
            <w:vMerge w:val="restart"/>
          </w:tcPr>
          <w:p w:rsidR="00C852BF" w:rsidRPr="00C852BF" w:rsidRDefault="00C852BF" w:rsidP="00210103">
            <w:pPr>
              <w:numPr>
                <w:ilvl w:val="0"/>
                <w:numId w:val="11"/>
              </w:numPr>
              <w:spacing w:line="280" w:lineRule="exact"/>
              <w:ind w:left="387"/>
              <w:jc w:val="both"/>
              <w:rPr>
                <w:b/>
                <w:sz w:val="22"/>
                <w:szCs w:val="22"/>
              </w:rPr>
            </w:pPr>
            <w:r w:rsidRPr="00C852BF">
              <w:rPr>
                <w:b/>
                <w:sz w:val="22"/>
                <w:szCs w:val="22"/>
              </w:rPr>
              <w:t>Administration</w:t>
            </w:r>
          </w:p>
          <w:p w:rsidR="00C852BF" w:rsidRPr="00C852BF" w:rsidRDefault="00C852BF" w:rsidP="00C852BF">
            <w:pPr>
              <w:spacing w:line="280" w:lineRule="exact"/>
              <w:ind w:left="66"/>
              <w:jc w:val="both"/>
              <w:rPr>
                <w:sz w:val="22"/>
                <w:szCs w:val="22"/>
              </w:rPr>
            </w:pPr>
            <w:r w:rsidRPr="00C852BF">
              <w:rPr>
                <w:sz w:val="22"/>
                <w:szCs w:val="22"/>
              </w:rPr>
              <w:t xml:space="preserve">(Also referred to as a Branch &amp; reports directly to the </w:t>
            </w:r>
            <w:r w:rsidRPr="00C852BF">
              <w:rPr>
                <w:sz w:val="22"/>
                <w:szCs w:val="22"/>
              </w:rPr>
              <w:lastRenderedPageBreak/>
              <w:t>Accounting Officer)</w:t>
            </w:r>
          </w:p>
        </w:tc>
        <w:tc>
          <w:tcPr>
            <w:tcW w:w="2372" w:type="dxa"/>
            <w:vMerge w:val="restart"/>
          </w:tcPr>
          <w:p w:rsidR="00C852BF" w:rsidRPr="00C852BF" w:rsidRDefault="00C852BF" w:rsidP="00C852BF">
            <w:pPr>
              <w:spacing w:line="280" w:lineRule="exact"/>
              <w:ind w:left="66"/>
              <w:jc w:val="both"/>
              <w:rPr>
                <w:sz w:val="22"/>
                <w:szCs w:val="22"/>
              </w:rPr>
            </w:pPr>
            <w:r w:rsidRPr="00C852BF">
              <w:rPr>
                <w:sz w:val="22"/>
                <w:szCs w:val="22"/>
              </w:rPr>
              <w:lastRenderedPageBreak/>
              <w:t xml:space="preserve">Following Divisions reports directly to Accounting Officer: </w:t>
            </w:r>
          </w:p>
          <w:p w:rsidR="00C852BF" w:rsidRPr="00C852BF" w:rsidRDefault="00C852BF" w:rsidP="00210103">
            <w:pPr>
              <w:numPr>
                <w:ilvl w:val="0"/>
                <w:numId w:val="13"/>
              </w:numPr>
              <w:spacing w:line="280" w:lineRule="exact"/>
              <w:ind w:left="377"/>
              <w:jc w:val="both"/>
              <w:rPr>
                <w:b/>
                <w:sz w:val="22"/>
                <w:szCs w:val="22"/>
              </w:rPr>
            </w:pPr>
            <w:r w:rsidRPr="00C852BF">
              <w:rPr>
                <w:b/>
                <w:sz w:val="22"/>
                <w:szCs w:val="22"/>
              </w:rPr>
              <w:lastRenderedPageBreak/>
              <w:t xml:space="preserve">Management </w:t>
            </w:r>
          </w:p>
          <w:p w:rsidR="00C852BF" w:rsidRPr="00C852BF" w:rsidRDefault="00C852BF" w:rsidP="00210103">
            <w:pPr>
              <w:numPr>
                <w:ilvl w:val="0"/>
                <w:numId w:val="12"/>
              </w:numPr>
              <w:spacing w:line="280" w:lineRule="exact"/>
              <w:ind w:left="377"/>
              <w:jc w:val="both"/>
              <w:rPr>
                <w:b/>
                <w:sz w:val="22"/>
                <w:szCs w:val="22"/>
              </w:rPr>
            </w:pPr>
            <w:r w:rsidRPr="00C852BF">
              <w:rPr>
                <w:b/>
                <w:sz w:val="22"/>
                <w:szCs w:val="22"/>
              </w:rPr>
              <w:t xml:space="preserve">Financial Management </w:t>
            </w:r>
          </w:p>
          <w:p w:rsidR="00C852BF" w:rsidRPr="00C852BF" w:rsidRDefault="00C852BF" w:rsidP="00210103">
            <w:pPr>
              <w:numPr>
                <w:ilvl w:val="0"/>
                <w:numId w:val="12"/>
              </w:numPr>
              <w:spacing w:line="280" w:lineRule="exact"/>
              <w:ind w:left="377"/>
              <w:jc w:val="both"/>
              <w:rPr>
                <w:b/>
                <w:sz w:val="22"/>
                <w:szCs w:val="22"/>
              </w:rPr>
            </w:pPr>
            <w:r w:rsidRPr="00C852BF">
              <w:rPr>
                <w:b/>
                <w:sz w:val="22"/>
                <w:szCs w:val="22"/>
              </w:rPr>
              <w:t>Corporate Management</w:t>
            </w:r>
          </w:p>
        </w:tc>
        <w:tc>
          <w:tcPr>
            <w:tcW w:w="3518" w:type="dxa"/>
          </w:tcPr>
          <w:p w:rsidR="00C852BF" w:rsidRPr="00C852BF" w:rsidRDefault="00C852BF" w:rsidP="00C852BF">
            <w:pPr>
              <w:spacing w:line="280" w:lineRule="exact"/>
              <w:ind w:left="66"/>
              <w:jc w:val="both"/>
              <w:rPr>
                <w:sz w:val="22"/>
                <w:szCs w:val="22"/>
              </w:rPr>
            </w:pPr>
            <w:r w:rsidRPr="00C852BF">
              <w:rPr>
                <w:sz w:val="22"/>
                <w:szCs w:val="22"/>
              </w:rPr>
              <w:lastRenderedPageBreak/>
              <w:t>Ministry</w:t>
            </w:r>
          </w:p>
        </w:tc>
      </w:tr>
      <w:tr w:rsidR="00C852BF" w:rsidRPr="00C852BF" w:rsidTr="001140CA">
        <w:trPr>
          <w:trHeight w:val="285"/>
        </w:trPr>
        <w:tc>
          <w:tcPr>
            <w:tcW w:w="3551" w:type="dxa"/>
            <w:vMerge/>
          </w:tcPr>
          <w:p w:rsidR="00C852BF" w:rsidRPr="00C852BF" w:rsidRDefault="00C852BF" w:rsidP="00210103">
            <w:pPr>
              <w:numPr>
                <w:ilvl w:val="0"/>
                <w:numId w:val="11"/>
              </w:numPr>
              <w:spacing w:line="280" w:lineRule="exact"/>
              <w:jc w:val="both"/>
              <w:rPr>
                <w:b/>
                <w:sz w:val="22"/>
                <w:szCs w:val="22"/>
              </w:rPr>
            </w:pPr>
          </w:p>
        </w:tc>
        <w:tc>
          <w:tcPr>
            <w:tcW w:w="2372" w:type="dxa"/>
            <w:vMerge/>
          </w:tcPr>
          <w:p w:rsidR="00C852BF" w:rsidRPr="00C852BF" w:rsidRDefault="00C852BF" w:rsidP="00C852BF">
            <w:pPr>
              <w:spacing w:line="280" w:lineRule="exact"/>
              <w:ind w:left="66"/>
              <w:jc w:val="both"/>
              <w:rPr>
                <w:b/>
                <w:sz w:val="22"/>
                <w:szCs w:val="22"/>
              </w:rPr>
            </w:pPr>
          </w:p>
        </w:tc>
        <w:tc>
          <w:tcPr>
            <w:tcW w:w="3518" w:type="dxa"/>
          </w:tcPr>
          <w:p w:rsidR="00C852BF" w:rsidRPr="00C852BF" w:rsidRDefault="00C852BF" w:rsidP="00C852BF">
            <w:pPr>
              <w:spacing w:line="280" w:lineRule="exact"/>
              <w:ind w:left="66"/>
              <w:jc w:val="both"/>
              <w:rPr>
                <w:sz w:val="22"/>
                <w:szCs w:val="22"/>
              </w:rPr>
            </w:pPr>
            <w:r w:rsidRPr="00C852BF">
              <w:rPr>
                <w:sz w:val="22"/>
                <w:szCs w:val="22"/>
              </w:rPr>
              <w:t>Departmental Management</w:t>
            </w:r>
          </w:p>
        </w:tc>
      </w:tr>
      <w:tr w:rsidR="00C852BF" w:rsidRPr="00C852BF" w:rsidTr="001140CA">
        <w:trPr>
          <w:trHeight w:val="285"/>
        </w:trPr>
        <w:tc>
          <w:tcPr>
            <w:tcW w:w="3551" w:type="dxa"/>
            <w:vMerge/>
          </w:tcPr>
          <w:p w:rsidR="00C852BF" w:rsidRPr="00C852BF" w:rsidRDefault="00C852BF" w:rsidP="00C852BF">
            <w:pPr>
              <w:spacing w:line="280" w:lineRule="exact"/>
              <w:ind w:left="66"/>
              <w:jc w:val="both"/>
              <w:rPr>
                <w:b/>
                <w:sz w:val="22"/>
                <w:szCs w:val="22"/>
              </w:rPr>
            </w:pPr>
          </w:p>
        </w:tc>
        <w:tc>
          <w:tcPr>
            <w:tcW w:w="2372" w:type="dxa"/>
            <w:vMerge/>
          </w:tcPr>
          <w:p w:rsidR="00C852BF" w:rsidRPr="00C852BF" w:rsidRDefault="00C852BF" w:rsidP="00C852BF">
            <w:pPr>
              <w:spacing w:line="280" w:lineRule="exact"/>
              <w:ind w:left="66"/>
              <w:jc w:val="both"/>
              <w:rPr>
                <w:b/>
                <w:sz w:val="22"/>
                <w:szCs w:val="22"/>
              </w:rPr>
            </w:pPr>
          </w:p>
        </w:tc>
        <w:tc>
          <w:tcPr>
            <w:tcW w:w="3518" w:type="dxa"/>
          </w:tcPr>
          <w:p w:rsidR="00C852BF" w:rsidRPr="00C852BF" w:rsidRDefault="00C852BF" w:rsidP="00C852BF">
            <w:pPr>
              <w:spacing w:line="280" w:lineRule="exact"/>
              <w:ind w:left="66"/>
              <w:jc w:val="both"/>
              <w:rPr>
                <w:sz w:val="22"/>
                <w:szCs w:val="22"/>
              </w:rPr>
            </w:pPr>
            <w:r w:rsidRPr="00C852BF">
              <w:rPr>
                <w:sz w:val="22"/>
                <w:szCs w:val="22"/>
              </w:rPr>
              <w:t xml:space="preserve">Financial Management </w:t>
            </w:r>
          </w:p>
        </w:tc>
      </w:tr>
      <w:tr w:rsidR="00C852BF" w:rsidRPr="00C852BF" w:rsidTr="001140CA">
        <w:trPr>
          <w:trHeight w:val="1408"/>
        </w:trPr>
        <w:tc>
          <w:tcPr>
            <w:tcW w:w="3551" w:type="dxa"/>
            <w:vMerge/>
          </w:tcPr>
          <w:p w:rsidR="00C852BF" w:rsidRPr="00C852BF" w:rsidRDefault="00C852BF" w:rsidP="00C852BF">
            <w:pPr>
              <w:spacing w:line="280" w:lineRule="exact"/>
              <w:ind w:left="66"/>
              <w:jc w:val="both"/>
              <w:rPr>
                <w:b/>
                <w:sz w:val="22"/>
                <w:szCs w:val="22"/>
              </w:rPr>
            </w:pPr>
          </w:p>
        </w:tc>
        <w:tc>
          <w:tcPr>
            <w:tcW w:w="2372" w:type="dxa"/>
            <w:vMerge/>
          </w:tcPr>
          <w:p w:rsidR="00C852BF" w:rsidRPr="00C852BF" w:rsidRDefault="00C852BF" w:rsidP="00C852BF">
            <w:pPr>
              <w:spacing w:line="280" w:lineRule="exact"/>
              <w:ind w:left="66"/>
              <w:jc w:val="both"/>
              <w:rPr>
                <w:b/>
                <w:sz w:val="22"/>
                <w:szCs w:val="22"/>
              </w:rPr>
            </w:pPr>
          </w:p>
        </w:tc>
        <w:tc>
          <w:tcPr>
            <w:tcW w:w="3518" w:type="dxa"/>
          </w:tcPr>
          <w:p w:rsidR="00C852BF" w:rsidRPr="00C852BF" w:rsidRDefault="00C852BF" w:rsidP="00C852BF">
            <w:pPr>
              <w:spacing w:line="280" w:lineRule="exact"/>
              <w:ind w:left="66"/>
              <w:jc w:val="both"/>
              <w:rPr>
                <w:sz w:val="22"/>
                <w:szCs w:val="22"/>
              </w:rPr>
            </w:pPr>
            <w:r w:rsidRPr="00C852BF">
              <w:rPr>
                <w:sz w:val="22"/>
                <w:szCs w:val="22"/>
              </w:rPr>
              <w:t>Corporate Management/Services</w:t>
            </w:r>
          </w:p>
        </w:tc>
      </w:tr>
      <w:tr w:rsidR="00C852BF" w:rsidRPr="00C852BF" w:rsidTr="001140CA">
        <w:trPr>
          <w:trHeight w:val="265"/>
        </w:trPr>
        <w:tc>
          <w:tcPr>
            <w:tcW w:w="3551" w:type="dxa"/>
            <w:vMerge/>
          </w:tcPr>
          <w:p w:rsidR="00C852BF" w:rsidRPr="00C852BF" w:rsidRDefault="00C852BF" w:rsidP="00C852BF">
            <w:pPr>
              <w:spacing w:line="280" w:lineRule="exact"/>
              <w:ind w:left="66"/>
              <w:jc w:val="both"/>
              <w:rPr>
                <w:b/>
                <w:sz w:val="22"/>
                <w:szCs w:val="22"/>
              </w:rPr>
            </w:pPr>
          </w:p>
        </w:tc>
        <w:tc>
          <w:tcPr>
            <w:tcW w:w="2372" w:type="dxa"/>
            <w:vMerge/>
          </w:tcPr>
          <w:p w:rsidR="00C852BF" w:rsidRPr="00C852BF" w:rsidRDefault="00C852BF" w:rsidP="00C852BF">
            <w:pPr>
              <w:spacing w:line="280" w:lineRule="exact"/>
              <w:ind w:left="66"/>
              <w:jc w:val="both"/>
              <w:rPr>
                <w:b/>
                <w:sz w:val="22"/>
                <w:szCs w:val="22"/>
              </w:rPr>
            </w:pPr>
          </w:p>
        </w:tc>
        <w:tc>
          <w:tcPr>
            <w:tcW w:w="3518" w:type="dxa"/>
          </w:tcPr>
          <w:p w:rsidR="00C852BF" w:rsidRPr="00C852BF" w:rsidRDefault="00C852BF" w:rsidP="00C852BF">
            <w:pPr>
              <w:spacing w:line="280" w:lineRule="exact"/>
              <w:ind w:left="66"/>
              <w:jc w:val="both"/>
              <w:rPr>
                <w:sz w:val="22"/>
                <w:szCs w:val="22"/>
              </w:rPr>
            </w:pPr>
            <w:r w:rsidRPr="00C852BF">
              <w:rPr>
                <w:sz w:val="22"/>
                <w:szCs w:val="22"/>
              </w:rPr>
              <w:t>Office accommodation</w:t>
            </w:r>
          </w:p>
        </w:tc>
      </w:tr>
      <w:tr w:rsidR="00C852BF" w:rsidRPr="00C852BF" w:rsidTr="001140CA">
        <w:trPr>
          <w:trHeight w:val="270"/>
        </w:trPr>
        <w:tc>
          <w:tcPr>
            <w:tcW w:w="3551" w:type="dxa"/>
            <w:vMerge w:val="restart"/>
          </w:tcPr>
          <w:p w:rsidR="00C852BF" w:rsidRPr="00C852BF" w:rsidRDefault="00C852BF" w:rsidP="00210103">
            <w:pPr>
              <w:numPr>
                <w:ilvl w:val="0"/>
                <w:numId w:val="11"/>
              </w:numPr>
              <w:spacing w:line="280" w:lineRule="exact"/>
              <w:ind w:left="387"/>
              <w:jc w:val="both"/>
              <w:rPr>
                <w:b/>
                <w:sz w:val="22"/>
                <w:szCs w:val="22"/>
              </w:rPr>
            </w:pPr>
            <w:r w:rsidRPr="00C852BF">
              <w:rPr>
                <w:b/>
                <w:sz w:val="22"/>
                <w:szCs w:val="22"/>
              </w:rPr>
              <w:t>STEE – Social Transformation &amp; Economic Empowerment</w:t>
            </w:r>
          </w:p>
          <w:p w:rsidR="00C852BF" w:rsidRPr="00C852BF" w:rsidRDefault="00C852BF" w:rsidP="00C852BF">
            <w:pPr>
              <w:spacing w:line="280" w:lineRule="exact"/>
              <w:ind w:left="66"/>
              <w:jc w:val="both"/>
              <w:rPr>
                <w:b/>
                <w:sz w:val="22"/>
                <w:szCs w:val="22"/>
              </w:rPr>
            </w:pPr>
            <w:r w:rsidRPr="00C852BF">
              <w:rPr>
                <w:sz w:val="22"/>
                <w:szCs w:val="22"/>
              </w:rPr>
              <w:t>(Also referred to as a Branch &amp; reports directly to the Accounting Officer</w:t>
            </w:r>
            <w:r w:rsidRPr="00C852BF">
              <w:rPr>
                <w:b/>
                <w:sz w:val="22"/>
                <w:szCs w:val="22"/>
              </w:rPr>
              <w:t>)</w:t>
            </w:r>
          </w:p>
        </w:tc>
        <w:tc>
          <w:tcPr>
            <w:tcW w:w="2372" w:type="dxa"/>
            <w:vMerge w:val="restart"/>
          </w:tcPr>
          <w:p w:rsidR="00C852BF" w:rsidRPr="00C852BF" w:rsidRDefault="00C852BF" w:rsidP="00C852BF">
            <w:pPr>
              <w:spacing w:line="280" w:lineRule="exact"/>
              <w:ind w:left="66"/>
              <w:jc w:val="both"/>
              <w:rPr>
                <w:b/>
                <w:sz w:val="22"/>
                <w:szCs w:val="22"/>
              </w:rPr>
            </w:pPr>
          </w:p>
        </w:tc>
        <w:tc>
          <w:tcPr>
            <w:tcW w:w="3518" w:type="dxa"/>
          </w:tcPr>
          <w:p w:rsidR="00C852BF" w:rsidRPr="00C852BF" w:rsidRDefault="00C852BF" w:rsidP="00C852BF">
            <w:pPr>
              <w:spacing w:line="280" w:lineRule="exact"/>
              <w:ind w:left="66"/>
              <w:jc w:val="both"/>
              <w:rPr>
                <w:sz w:val="22"/>
                <w:szCs w:val="22"/>
              </w:rPr>
            </w:pPr>
            <w:r w:rsidRPr="00C852BF">
              <w:rPr>
                <w:sz w:val="22"/>
                <w:szCs w:val="22"/>
              </w:rPr>
              <w:t>Management: STEE</w:t>
            </w:r>
          </w:p>
        </w:tc>
      </w:tr>
      <w:tr w:rsidR="00C852BF" w:rsidRPr="00C852BF" w:rsidTr="001140CA">
        <w:trPr>
          <w:trHeight w:val="570"/>
        </w:trPr>
        <w:tc>
          <w:tcPr>
            <w:tcW w:w="3551" w:type="dxa"/>
            <w:vMerge/>
          </w:tcPr>
          <w:p w:rsidR="00C852BF" w:rsidRPr="00C852BF" w:rsidRDefault="00C852BF" w:rsidP="00C852BF">
            <w:pPr>
              <w:spacing w:line="280" w:lineRule="exact"/>
              <w:ind w:left="66"/>
              <w:jc w:val="both"/>
              <w:rPr>
                <w:b/>
                <w:sz w:val="22"/>
                <w:szCs w:val="22"/>
              </w:rPr>
            </w:pPr>
          </w:p>
        </w:tc>
        <w:tc>
          <w:tcPr>
            <w:tcW w:w="2372" w:type="dxa"/>
            <w:vMerge/>
          </w:tcPr>
          <w:p w:rsidR="00C852BF" w:rsidRPr="00C852BF" w:rsidRDefault="00C852BF" w:rsidP="00C852BF">
            <w:pPr>
              <w:spacing w:line="280" w:lineRule="exact"/>
              <w:ind w:left="66"/>
              <w:jc w:val="both"/>
              <w:rPr>
                <w:b/>
                <w:sz w:val="22"/>
                <w:szCs w:val="22"/>
              </w:rPr>
            </w:pPr>
          </w:p>
        </w:tc>
        <w:tc>
          <w:tcPr>
            <w:tcW w:w="3518" w:type="dxa"/>
          </w:tcPr>
          <w:p w:rsidR="00C852BF" w:rsidRPr="00C852BF" w:rsidRDefault="00C852BF" w:rsidP="003A68C7">
            <w:pPr>
              <w:spacing w:line="280" w:lineRule="exact"/>
              <w:ind w:left="66"/>
              <w:rPr>
                <w:sz w:val="22"/>
                <w:szCs w:val="22"/>
              </w:rPr>
            </w:pPr>
            <w:r w:rsidRPr="00C852BF">
              <w:rPr>
                <w:sz w:val="22"/>
                <w:szCs w:val="22"/>
              </w:rPr>
              <w:t>Social Empowerment &amp; Participation</w:t>
            </w:r>
          </w:p>
        </w:tc>
      </w:tr>
      <w:tr w:rsidR="00C852BF" w:rsidRPr="00C852BF" w:rsidTr="001140CA">
        <w:trPr>
          <w:trHeight w:val="570"/>
        </w:trPr>
        <w:tc>
          <w:tcPr>
            <w:tcW w:w="3551" w:type="dxa"/>
            <w:vMerge/>
          </w:tcPr>
          <w:p w:rsidR="00C852BF" w:rsidRPr="00C852BF" w:rsidRDefault="00C852BF" w:rsidP="00C852BF">
            <w:pPr>
              <w:spacing w:line="280" w:lineRule="exact"/>
              <w:ind w:left="66"/>
              <w:jc w:val="both"/>
              <w:rPr>
                <w:b/>
                <w:sz w:val="22"/>
                <w:szCs w:val="22"/>
              </w:rPr>
            </w:pPr>
          </w:p>
        </w:tc>
        <w:tc>
          <w:tcPr>
            <w:tcW w:w="2372" w:type="dxa"/>
            <w:vMerge/>
          </w:tcPr>
          <w:p w:rsidR="00C852BF" w:rsidRPr="00C852BF" w:rsidRDefault="00C852BF" w:rsidP="00C852BF">
            <w:pPr>
              <w:spacing w:line="280" w:lineRule="exact"/>
              <w:ind w:left="66"/>
              <w:jc w:val="both"/>
              <w:rPr>
                <w:b/>
                <w:sz w:val="22"/>
                <w:szCs w:val="22"/>
              </w:rPr>
            </w:pPr>
          </w:p>
        </w:tc>
        <w:tc>
          <w:tcPr>
            <w:tcW w:w="3518" w:type="dxa"/>
          </w:tcPr>
          <w:p w:rsidR="00C852BF" w:rsidRPr="00C852BF" w:rsidRDefault="00C852BF" w:rsidP="003A68C7">
            <w:pPr>
              <w:spacing w:line="280" w:lineRule="exact"/>
              <w:ind w:left="66"/>
              <w:rPr>
                <w:sz w:val="22"/>
                <w:szCs w:val="22"/>
              </w:rPr>
            </w:pPr>
            <w:r w:rsidRPr="00C852BF">
              <w:rPr>
                <w:sz w:val="22"/>
                <w:szCs w:val="22"/>
              </w:rPr>
              <w:t>Economic Empowerment &amp; Participation</w:t>
            </w:r>
          </w:p>
        </w:tc>
      </w:tr>
      <w:tr w:rsidR="00C852BF" w:rsidRPr="00C852BF" w:rsidTr="001140CA">
        <w:trPr>
          <w:trHeight w:val="570"/>
        </w:trPr>
        <w:tc>
          <w:tcPr>
            <w:tcW w:w="3551" w:type="dxa"/>
            <w:vMerge/>
          </w:tcPr>
          <w:p w:rsidR="00C852BF" w:rsidRPr="00C852BF" w:rsidRDefault="00C852BF" w:rsidP="00C852BF">
            <w:pPr>
              <w:spacing w:line="280" w:lineRule="exact"/>
              <w:ind w:left="66"/>
              <w:jc w:val="both"/>
              <w:rPr>
                <w:b/>
                <w:sz w:val="22"/>
                <w:szCs w:val="22"/>
              </w:rPr>
            </w:pPr>
          </w:p>
        </w:tc>
        <w:tc>
          <w:tcPr>
            <w:tcW w:w="2372" w:type="dxa"/>
            <w:vMerge/>
          </w:tcPr>
          <w:p w:rsidR="00C852BF" w:rsidRPr="00C852BF" w:rsidRDefault="00C852BF" w:rsidP="00C852BF">
            <w:pPr>
              <w:spacing w:line="280" w:lineRule="exact"/>
              <w:ind w:left="66"/>
              <w:jc w:val="both"/>
              <w:rPr>
                <w:b/>
                <w:sz w:val="22"/>
                <w:szCs w:val="22"/>
              </w:rPr>
            </w:pPr>
          </w:p>
        </w:tc>
        <w:tc>
          <w:tcPr>
            <w:tcW w:w="3518" w:type="dxa"/>
          </w:tcPr>
          <w:p w:rsidR="00C852BF" w:rsidRPr="00C852BF" w:rsidRDefault="00C852BF" w:rsidP="00C852BF">
            <w:pPr>
              <w:spacing w:line="280" w:lineRule="exact"/>
              <w:ind w:left="66"/>
              <w:jc w:val="both"/>
              <w:rPr>
                <w:sz w:val="22"/>
                <w:szCs w:val="22"/>
              </w:rPr>
            </w:pPr>
            <w:r w:rsidRPr="00C852BF">
              <w:rPr>
                <w:sz w:val="22"/>
                <w:szCs w:val="22"/>
              </w:rPr>
              <w:t>Governance Transformation, Justice &amp; Security</w:t>
            </w:r>
          </w:p>
        </w:tc>
      </w:tr>
      <w:tr w:rsidR="00C852BF" w:rsidRPr="00C852BF" w:rsidTr="001140CA">
        <w:trPr>
          <w:trHeight w:val="285"/>
        </w:trPr>
        <w:tc>
          <w:tcPr>
            <w:tcW w:w="3551" w:type="dxa"/>
            <w:vMerge/>
          </w:tcPr>
          <w:p w:rsidR="00C852BF" w:rsidRPr="00C852BF" w:rsidRDefault="00C852BF" w:rsidP="00C852BF">
            <w:pPr>
              <w:spacing w:line="280" w:lineRule="exact"/>
              <w:ind w:left="66"/>
              <w:jc w:val="both"/>
              <w:rPr>
                <w:b/>
                <w:sz w:val="22"/>
                <w:szCs w:val="22"/>
              </w:rPr>
            </w:pPr>
          </w:p>
        </w:tc>
        <w:tc>
          <w:tcPr>
            <w:tcW w:w="2372" w:type="dxa"/>
            <w:vMerge/>
          </w:tcPr>
          <w:p w:rsidR="00C852BF" w:rsidRPr="00C852BF" w:rsidRDefault="00C852BF" w:rsidP="00C852BF">
            <w:pPr>
              <w:spacing w:line="280" w:lineRule="exact"/>
              <w:ind w:left="66"/>
              <w:jc w:val="both"/>
              <w:rPr>
                <w:b/>
                <w:sz w:val="22"/>
                <w:szCs w:val="22"/>
              </w:rPr>
            </w:pPr>
          </w:p>
        </w:tc>
        <w:tc>
          <w:tcPr>
            <w:tcW w:w="3518" w:type="dxa"/>
          </w:tcPr>
          <w:p w:rsidR="00C852BF" w:rsidRPr="00C852BF" w:rsidRDefault="00C852BF" w:rsidP="00C852BF">
            <w:pPr>
              <w:spacing w:line="280" w:lineRule="exact"/>
              <w:ind w:left="66"/>
              <w:jc w:val="both"/>
              <w:rPr>
                <w:sz w:val="22"/>
                <w:szCs w:val="22"/>
              </w:rPr>
            </w:pPr>
            <w:r w:rsidRPr="00C852BF">
              <w:rPr>
                <w:sz w:val="22"/>
                <w:szCs w:val="22"/>
              </w:rPr>
              <w:t>CGE*</w:t>
            </w:r>
          </w:p>
        </w:tc>
      </w:tr>
      <w:tr w:rsidR="00C852BF" w:rsidRPr="00C852BF" w:rsidTr="001140CA">
        <w:trPr>
          <w:trHeight w:val="285"/>
        </w:trPr>
        <w:tc>
          <w:tcPr>
            <w:tcW w:w="3551" w:type="dxa"/>
            <w:vMerge w:val="restart"/>
          </w:tcPr>
          <w:p w:rsidR="00C852BF" w:rsidRPr="00C852BF" w:rsidRDefault="00C852BF" w:rsidP="00210103">
            <w:pPr>
              <w:numPr>
                <w:ilvl w:val="0"/>
                <w:numId w:val="11"/>
              </w:numPr>
              <w:spacing w:line="280" w:lineRule="exact"/>
              <w:ind w:left="387"/>
              <w:jc w:val="both"/>
              <w:rPr>
                <w:b/>
                <w:sz w:val="22"/>
                <w:szCs w:val="22"/>
              </w:rPr>
            </w:pPr>
            <w:r w:rsidRPr="00C852BF">
              <w:rPr>
                <w:b/>
                <w:sz w:val="22"/>
                <w:szCs w:val="22"/>
              </w:rPr>
              <w:t>PSCKM – Policy, Stakeholder Coordination &amp; Knowledge Management</w:t>
            </w:r>
          </w:p>
          <w:p w:rsidR="00C852BF" w:rsidRPr="00C852BF" w:rsidRDefault="00C852BF" w:rsidP="00C852BF">
            <w:pPr>
              <w:spacing w:line="280" w:lineRule="exact"/>
              <w:ind w:left="66"/>
              <w:jc w:val="both"/>
              <w:rPr>
                <w:sz w:val="22"/>
                <w:szCs w:val="22"/>
              </w:rPr>
            </w:pPr>
            <w:r w:rsidRPr="00C852BF">
              <w:rPr>
                <w:sz w:val="22"/>
                <w:szCs w:val="22"/>
              </w:rPr>
              <w:t>(Also referred to as a Branch &amp; reports directly to the Accounting Officer)</w:t>
            </w:r>
          </w:p>
        </w:tc>
        <w:tc>
          <w:tcPr>
            <w:tcW w:w="2372" w:type="dxa"/>
            <w:vMerge w:val="restart"/>
          </w:tcPr>
          <w:p w:rsidR="00C852BF" w:rsidRPr="00C852BF" w:rsidRDefault="00C852BF" w:rsidP="00C852BF">
            <w:pPr>
              <w:spacing w:line="280" w:lineRule="exact"/>
              <w:ind w:left="66"/>
              <w:jc w:val="both"/>
              <w:rPr>
                <w:b/>
                <w:sz w:val="22"/>
                <w:szCs w:val="22"/>
              </w:rPr>
            </w:pPr>
          </w:p>
        </w:tc>
        <w:tc>
          <w:tcPr>
            <w:tcW w:w="3518" w:type="dxa"/>
          </w:tcPr>
          <w:p w:rsidR="00C852BF" w:rsidRPr="00C852BF" w:rsidRDefault="00C852BF" w:rsidP="00C852BF">
            <w:pPr>
              <w:spacing w:line="280" w:lineRule="exact"/>
              <w:ind w:left="66"/>
              <w:jc w:val="both"/>
              <w:rPr>
                <w:sz w:val="22"/>
                <w:szCs w:val="22"/>
              </w:rPr>
            </w:pPr>
            <w:r w:rsidRPr="00C852BF">
              <w:rPr>
                <w:sz w:val="22"/>
                <w:szCs w:val="22"/>
              </w:rPr>
              <w:t>Management: PSCKM</w:t>
            </w:r>
          </w:p>
        </w:tc>
      </w:tr>
      <w:tr w:rsidR="00C852BF" w:rsidRPr="00C852BF" w:rsidTr="001140CA">
        <w:trPr>
          <w:trHeight w:val="570"/>
        </w:trPr>
        <w:tc>
          <w:tcPr>
            <w:tcW w:w="3551" w:type="dxa"/>
            <w:vMerge/>
          </w:tcPr>
          <w:p w:rsidR="00C852BF" w:rsidRPr="00C852BF" w:rsidRDefault="00C852BF" w:rsidP="00C852BF">
            <w:pPr>
              <w:spacing w:line="280" w:lineRule="exact"/>
              <w:ind w:left="66"/>
              <w:jc w:val="both"/>
              <w:rPr>
                <w:b/>
                <w:sz w:val="22"/>
                <w:szCs w:val="22"/>
              </w:rPr>
            </w:pPr>
          </w:p>
        </w:tc>
        <w:tc>
          <w:tcPr>
            <w:tcW w:w="2372" w:type="dxa"/>
            <w:vMerge/>
          </w:tcPr>
          <w:p w:rsidR="00C852BF" w:rsidRPr="00C852BF" w:rsidRDefault="00C852BF" w:rsidP="00C852BF">
            <w:pPr>
              <w:spacing w:line="280" w:lineRule="exact"/>
              <w:ind w:left="66"/>
              <w:jc w:val="both"/>
              <w:rPr>
                <w:b/>
                <w:sz w:val="22"/>
                <w:szCs w:val="22"/>
              </w:rPr>
            </w:pPr>
          </w:p>
        </w:tc>
        <w:tc>
          <w:tcPr>
            <w:tcW w:w="3518" w:type="dxa"/>
          </w:tcPr>
          <w:p w:rsidR="00C852BF" w:rsidRPr="00C852BF" w:rsidRDefault="00C852BF" w:rsidP="003A68C7">
            <w:pPr>
              <w:spacing w:line="280" w:lineRule="exact"/>
              <w:ind w:left="66"/>
              <w:rPr>
                <w:sz w:val="22"/>
                <w:szCs w:val="22"/>
              </w:rPr>
            </w:pPr>
            <w:r w:rsidRPr="00C852BF">
              <w:rPr>
                <w:sz w:val="22"/>
                <w:szCs w:val="22"/>
              </w:rPr>
              <w:t xml:space="preserve">Policy </w:t>
            </w:r>
            <w:r w:rsidRPr="00C852BF">
              <w:rPr>
                <w:sz w:val="22"/>
                <w:szCs w:val="22"/>
                <w:u w:val="single"/>
              </w:rPr>
              <w:t>Analysis</w:t>
            </w:r>
            <w:r w:rsidRPr="00C852BF">
              <w:rPr>
                <w:sz w:val="22"/>
                <w:szCs w:val="22"/>
              </w:rPr>
              <w:t>, Research &amp; Knowledge Management</w:t>
            </w:r>
          </w:p>
          <w:p w:rsidR="00C852BF" w:rsidRPr="00C852BF" w:rsidRDefault="00C852BF" w:rsidP="003A68C7">
            <w:pPr>
              <w:spacing w:line="280" w:lineRule="exact"/>
              <w:ind w:left="66"/>
              <w:rPr>
                <w:sz w:val="22"/>
                <w:szCs w:val="22"/>
              </w:rPr>
            </w:pPr>
            <w:r w:rsidRPr="00C852BF">
              <w:rPr>
                <w:sz w:val="22"/>
                <w:szCs w:val="22"/>
              </w:rPr>
              <w:t>(</w:t>
            </w:r>
            <w:r w:rsidRPr="00C852BF">
              <w:rPr>
                <w:sz w:val="22"/>
                <w:szCs w:val="22"/>
                <w:u w:val="single"/>
              </w:rPr>
              <w:t>Information &amp; Knowledge Management</w:t>
            </w:r>
            <w:r w:rsidRPr="00C852BF">
              <w:rPr>
                <w:sz w:val="22"/>
                <w:szCs w:val="22"/>
              </w:rPr>
              <w:t xml:space="preserve">) </w:t>
            </w:r>
          </w:p>
        </w:tc>
      </w:tr>
      <w:tr w:rsidR="00C852BF" w:rsidRPr="00C852BF" w:rsidTr="001140CA">
        <w:trPr>
          <w:trHeight w:val="570"/>
        </w:trPr>
        <w:tc>
          <w:tcPr>
            <w:tcW w:w="3551" w:type="dxa"/>
            <w:vMerge/>
          </w:tcPr>
          <w:p w:rsidR="00C852BF" w:rsidRPr="00C852BF" w:rsidRDefault="00C852BF" w:rsidP="00C852BF">
            <w:pPr>
              <w:spacing w:line="280" w:lineRule="exact"/>
              <w:ind w:left="66"/>
              <w:jc w:val="both"/>
              <w:rPr>
                <w:b/>
                <w:sz w:val="22"/>
                <w:szCs w:val="22"/>
              </w:rPr>
            </w:pPr>
          </w:p>
        </w:tc>
        <w:tc>
          <w:tcPr>
            <w:tcW w:w="2372" w:type="dxa"/>
            <w:vMerge/>
          </w:tcPr>
          <w:p w:rsidR="00C852BF" w:rsidRPr="00C852BF" w:rsidRDefault="00C852BF" w:rsidP="00C852BF">
            <w:pPr>
              <w:spacing w:line="280" w:lineRule="exact"/>
              <w:ind w:left="66"/>
              <w:jc w:val="both"/>
              <w:rPr>
                <w:b/>
                <w:sz w:val="22"/>
                <w:szCs w:val="22"/>
              </w:rPr>
            </w:pPr>
          </w:p>
        </w:tc>
        <w:tc>
          <w:tcPr>
            <w:tcW w:w="3518" w:type="dxa"/>
          </w:tcPr>
          <w:p w:rsidR="00C852BF" w:rsidRPr="00C852BF" w:rsidRDefault="00C852BF" w:rsidP="003A68C7">
            <w:pPr>
              <w:spacing w:line="280" w:lineRule="exact"/>
              <w:ind w:left="66"/>
              <w:rPr>
                <w:sz w:val="22"/>
                <w:szCs w:val="22"/>
              </w:rPr>
            </w:pPr>
            <w:r w:rsidRPr="00C852BF">
              <w:rPr>
                <w:sz w:val="22"/>
                <w:szCs w:val="22"/>
              </w:rPr>
              <w:t xml:space="preserve">Stakeholder Coordination &amp; Outreach </w:t>
            </w:r>
          </w:p>
        </w:tc>
      </w:tr>
      <w:tr w:rsidR="00C852BF" w:rsidRPr="00C852BF" w:rsidTr="001140CA">
        <w:trPr>
          <w:trHeight w:val="285"/>
        </w:trPr>
        <w:tc>
          <w:tcPr>
            <w:tcW w:w="3551" w:type="dxa"/>
            <w:vMerge/>
          </w:tcPr>
          <w:p w:rsidR="00C852BF" w:rsidRPr="00C852BF" w:rsidRDefault="00C852BF" w:rsidP="00C852BF">
            <w:pPr>
              <w:spacing w:line="280" w:lineRule="exact"/>
              <w:ind w:left="66"/>
              <w:jc w:val="both"/>
              <w:rPr>
                <w:b/>
                <w:sz w:val="22"/>
                <w:szCs w:val="22"/>
              </w:rPr>
            </w:pPr>
          </w:p>
        </w:tc>
        <w:tc>
          <w:tcPr>
            <w:tcW w:w="2372" w:type="dxa"/>
            <w:vMerge/>
          </w:tcPr>
          <w:p w:rsidR="00C852BF" w:rsidRPr="00C852BF" w:rsidRDefault="00C852BF" w:rsidP="00C852BF">
            <w:pPr>
              <w:spacing w:line="280" w:lineRule="exact"/>
              <w:ind w:left="66"/>
              <w:jc w:val="both"/>
              <w:rPr>
                <w:b/>
                <w:sz w:val="22"/>
                <w:szCs w:val="22"/>
              </w:rPr>
            </w:pPr>
          </w:p>
        </w:tc>
        <w:tc>
          <w:tcPr>
            <w:tcW w:w="3518" w:type="dxa"/>
          </w:tcPr>
          <w:p w:rsidR="00C852BF" w:rsidRPr="00C852BF" w:rsidRDefault="00C852BF" w:rsidP="003A68C7">
            <w:pPr>
              <w:spacing w:line="280" w:lineRule="exact"/>
              <w:ind w:left="66"/>
              <w:rPr>
                <w:sz w:val="22"/>
                <w:szCs w:val="22"/>
              </w:rPr>
            </w:pPr>
            <w:r w:rsidRPr="00C852BF">
              <w:rPr>
                <w:sz w:val="22"/>
                <w:szCs w:val="22"/>
              </w:rPr>
              <w:t>International Relations</w:t>
            </w:r>
          </w:p>
        </w:tc>
      </w:tr>
      <w:tr w:rsidR="00C852BF" w:rsidRPr="00C852BF" w:rsidTr="001140CA">
        <w:trPr>
          <w:trHeight w:val="570"/>
        </w:trPr>
        <w:tc>
          <w:tcPr>
            <w:tcW w:w="3551" w:type="dxa"/>
            <w:vMerge/>
          </w:tcPr>
          <w:p w:rsidR="00C852BF" w:rsidRPr="00C852BF" w:rsidRDefault="00C852BF" w:rsidP="00C852BF">
            <w:pPr>
              <w:spacing w:line="280" w:lineRule="exact"/>
              <w:ind w:left="66"/>
              <w:jc w:val="both"/>
              <w:rPr>
                <w:b/>
                <w:sz w:val="22"/>
                <w:szCs w:val="22"/>
              </w:rPr>
            </w:pPr>
          </w:p>
        </w:tc>
        <w:tc>
          <w:tcPr>
            <w:tcW w:w="2372" w:type="dxa"/>
            <w:vMerge/>
          </w:tcPr>
          <w:p w:rsidR="00C852BF" w:rsidRPr="00C852BF" w:rsidRDefault="00C852BF" w:rsidP="00C852BF">
            <w:pPr>
              <w:spacing w:line="280" w:lineRule="exact"/>
              <w:ind w:left="66"/>
              <w:jc w:val="both"/>
              <w:rPr>
                <w:b/>
                <w:sz w:val="22"/>
                <w:szCs w:val="22"/>
              </w:rPr>
            </w:pPr>
          </w:p>
        </w:tc>
        <w:tc>
          <w:tcPr>
            <w:tcW w:w="3518" w:type="dxa"/>
          </w:tcPr>
          <w:p w:rsidR="00C852BF" w:rsidRPr="00C852BF" w:rsidRDefault="00C852BF" w:rsidP="003A68C7">
            <w:pPr>
              <w:spacing w:line="280" w:lineRule="exact"/>
              <w:ind w:left="66"/>
              <w:rPr>
                <w:sz w:val="22"/>
                <w:szCs w:val="22"/>
              </w:rPr>
            </w:pPr>
            <w:r w:rsidRPr="00C852BF">
              <w:rPr>
                <w:sz w:val="22"/>
                <w:szCs w:val="22"/>
                <w:u w:val="single"/>
              </w:rPr>
              <w:t>Planning</w:t>
            </w:r>
            <w:r w:rsidRPr="00C852BF">
              <w:rPr>
                <w:sz w:val="22"/>
                <w:szCs w:val="22"/>
              </w:rPr>
              <w:t>, Monitoring &amp; Evaluation</w:t>
            </w:r>
          </w:p>
        </w:tc>
      </w:tr>
      <w:tr w:rsidR="00C852BF" w:rsidRPr="00C852BF" w:rsidTr="001140CA">
        <w:trPr>
          <w:trHeight w:val="555"/>
        </w:trPr>
        <w:tc>
          <w:tcPr>
            <w:tcW w:w="3551" w:type="dxa"/>
            <w:vMerge w:val="restart"/>
          </w:tcPr>
          <w:p w:rsidR="00C852BF" w:rsidRPr="00C852BF" w:rsidRDefault="00C852BF" w:rsidP="00210103">
            <w:pPr>
              <w:numPr>
                <w:ilvl w:val="0"/>
                <w:numId w:val="11"/>
              </w:numPr>
              <w:spacing w:line="280" w:lineRule="exact"/>
              <w:jc w:val="both"/>
              <w:rPr>
                <w:b/>
                <w:sz w:val="22"/>
                <w:szCs w:val="22"/>
              </w:rPr>
            </w:pPr>
            <w:r w:rsidRPr="00C852BF">
              <w:rPr>
                <w:b/>
                <w:sz w:val="22"/>
                <w:szCs w:val="22"/>
              </w:rPr>
              <w:t>National Youth Development Branch</w:t>
            </w:r>
          </w:p>
          <w:p w:rsidR="00C852BF" w:rsidRPr="00C852BF" w:rsidRDefault="00C852BF" w:rsidP="00C852BF">
            <w:pPr>
              <w:spacing w:line="280" w:lineRule="exact"/>
              <w:ind w:left="66"/>
              <w:jc w:val="both"/>
              <w:rPr>
                <w:sz w:val="22"/>
                <w:szCs w:val="22"/>
              </w:rPr>
            </w:pPr>
            <w:r w:rsidRPr="00C852BF">
              <w:rPr>
                <w:sz w:val="22"/>
                <w:szCs w:val="22"/>
              </w:rPr>
              <w:t>(Also referred to as a Branch &amp; reports directly to the Accounting Officer)</w:t>
            </w:r>
          </w:p>
        </w:tc>
        <w:tc>
          <w:tcPr>
            <w:tcW w:w="2372" w:type="dxa"/>
            <w:vMerge w:val="restart"/>
          </w:tcPr>
          <w:p w:rsidR="00C852BF" w:rsidRPr="00C852BF" w:rsidRDefault="00C852BF" w:rsidP="00C852BF">
            <w:pPr>
              <w:spacing w:line="280" w:lineRule="exact"/>
              <w:ind w:left="66"/>
              <w:jc w:val="both"/>
              <w:rPr>
                <w:b/>
                <w:sz w:val="22"/>
                <w:szCs w:val="22"/>
              </w:rPr>
            </w:pPr>
          </w:p>
        </w:tc>
        <w:tc>
          <w:tcPr>
            <w:tcW w:w="3518" w:type="dxa"/>
          </w:tcPr>
          <w:p w:rsidR="00C852BF" w:rsidRPr="00C852BF" w:rsidRDefault="003A68C7" w:rsidP="003A68C7">
            <w:pPr>
              <w:spacing w:line="280" w:lineRule="exact"/>
              <w:ind w:left="66"/>
              <w:rPr>
                <w:sz w:val="22"/>
                <w:szCs w:val="22"/>
              </w:rPr>
            </w:pPr>
            <w:r>
              <w:rPr>
                <w:sz w:val="22"/>
                <w:szCs w:val="22"/>
              </w:rPr>
              <w:t xml:space="preserve">Youth </w:t>
            </w:r>
            <w:r w:rsidRPr="003A68C7">
              <w:rPr>
                <w:sz w:val="22"/>
                <w:szCs w:val="22"/>
              </w:rPr>
              <w:t>Stakeholder Engagement and</w:t>
            </w:r>
            <w:r w:rsidRPr="00C852BF">
              <w:rPr>
                <w:sz w:val="22"/>
                <w:szCs w:val="22"/>
                <w:u w:val="single"/>
              </w:rPr>
              <w:t xml:space="preserve"> Support</w:t>
            </w:r>
          </w:p>
        </w:tc>
      </w:tr>
      <w:tr w:rsidR="003A68C7" w:rsidRPr="00C852BF" w:rsidTr="001140CA">
        <w:trPr>
          <w:trHeight w:val="555"/>
        </w:trPr>
        <w:tc>
          <w:tcPr>
            <w:tcW w:w="3551" w:type="dxa"/>
            <w:vMerge/>
          </w:tcPr>
          <w:p w:rsidR="003A68C7" w:rsidRPr="00C852BF" w:rsidRDefault="003A68C7" w:rsidP="00C852BF">
            <w:pPr>
              <w:spacing w:line="280" w:lineRule="exact"/>
              <w:ind w:left="66"/>
              <w:jc w:val="both"/>
              <w:rPr>
                <w:b/>
                <w:sz w:val="22"/>
                <w:szCs w:val="22"/>
              </w:rPr>
            </w:pPr>
          </w:p>
        </w:tc>
        <w:tc>
          <w:tcPr>
            <w:tcW w:w="2372" w:type="dxa"/>
            <w:vMerge/>
          </w:tcPr>
          <w:p w:rsidR="003A68C7" w:rsidRPr="00C852BF" w:rsidRDefault="003A68C7" w:rsidP="00C852BF">
            <w:pPr>
              <w:spacing w:line="280" w:lineRule="exact"/>
              <w:ind w:left="66"/>
              <w:jc w:val="both"/>
              <w:rPr>
                <w:b/>
                <w:sz w:val="22"/>
                <w:szCs w:val="22"/>
              </w:rPr>
            </w:pPr>
          </w:p>
        </w:tc>
        <w:tc>
          <w:tcPr>
            <w:tcW w:w="3518" w:type="dxa"/>
          </w:tcPr>
          <w:p w:rsidR="003A68C7" w:rsidRPr="00C852BF" w:rsidRDefault="003A68C7" w:rsidP="003A68C7">
            <w:pPr>
              <w:spacing w:line="280" w:lineRule="exact"/>
              <w:ind w:left="66"/>
              <w:jc w:val="both"/>
              <w:rPr>
                <w:sz w:val="22"/>
                <w:szCs w:val="22"/>
              </w:rPr>
            </w:pPr>
            <w:r w:rsidRPr="003A68C7">
              <w:rPr>
                <w:sz w:val="22"/>
                <w:szCs w:val="22"/>
              </w:rPr>
              <w:t>Youth Legislation &amp; Policy</w:t>
            </w:r>
            <w:r w:rsidRPr="00C852BF">
              <w:rPr>
                <w:sz w:val="22"/>
                <w:szCs w:val="22"/>
                <w:u w:val="single"/>
              </w:rPr>
              <w:t xml:space="preserve"> </w:t>
            </w:r>
            <w:r w:rsidRPr="003A68C7">
              <w:rPr>
                <w:sz w:val="22"/>
                <w:szCs w:val="22"/>
              </w:rPr>
              <w:t>(</w:t>
            </w:r>
            <w:r w:rsidRPr="003A68C7">
              <w:rPr>
                <w:sz w:val="22"/>
                <w:szCs w:val="22"/>
                <w:u w:val="single"/>
              </w:rPr>
              <w:t>National Youth Development Programme</w:t>
            </w:r>
            <w:r>
              <w:rPr>
                <w:sz w:val="22"/>
                <w:szCs w:val="22"/>
              </w:rPr>
              <w:t>)</w:t>
            </w:r>
            <w:r w:rsidRPr="00C852BF">
              <w:rPr>
                <w:sz w:val="22"/>
                <w:szCs w:val="22"/>
              </w:rPr>
              <w:t xml:space="preserve"> </w:t>
            </w:r>
          </w:p>
        </w:tc>
      </w:tr>
      <w:tr w:rsidR="00C852BF" w:rsidRPr="00C852BF" w:rsidTr="003A68C7">
        <w:trPr>
          <w:trHeight w:val="70"/>
        </w:trPr>
        <w:tc>
          <w:tcPr>
            <w:tcW w:w="3551" w:type="dxa"/>
            <w:vMerge/>
          </w:tcPr>
          <w:p w:rsidR="00C852BF" w:rsidRPr="00C852BF" w:rsidRDefault="00C852BF" w:rsidP="00C852BF">
            <w:pPr>
              <w:spacing w:line="280" w:lineRule="exact"/>
              <w:ind w:left="66"/>
              <w:jc w:val="both"/>
              <w:rPr>
                <w:b/>
                <w:sz w:val="22"/>
                <w:szCs w:val="22"/>
              </w:rPr>
            </w:pPr>
          </w:p>
        </w:tc>
        <w:tc>
          <w:tcPr>
            <w:tcW w:w="2372" w:type="dxa"/>
            <w:vMerge/>
          </w:tcPr>
          <w:p w:rsidR="00C852BF" w:rsidRPr="00C852BF" w:rsidRDefault="00C852BF" w:rsidP="00C852BF">
            <w:pPr>
              <w:spacing w:line="280" w:lineRule="exact"/>
              <w:ind w:left="66"/>
              <w:jc w:val="both"/>
              <w:rPr>
                <w:b/>
                <w:sz w:val="22"/>
                <w:szCs w:val="22"/>
              </w:rPr>
            </w:pPr>
          </w:p>
        </w:tc>
        <w:tc>
          <w:tcPr>
            <w:tcW w:w="3518" w:type="dxa"/>
          </w:tcPr>
          <w:p w:rsidR="00C852BF" w:rsidRPr="00C852BF" w:rsidRDefault="003A68C7" w:rsidP="00C852BF">
            <w:pPr>
              <w:spacing w:line="280" w:lineRule="exact"/>
              <w:ind w:left="66"/>
              <w:jc w:val="both"/>
              <w:rPr>
                <w:sz w:val="22"/>
                <w:szCs w:val="22"/>
                <w:u w:val="single"/>
              </w:rPr>
            </w:pPr>
            <w:r w:rsidRPr="00C852BF">
              <w:rPr>
                <w:sz w:val="22"/>
                <w:szCs w:val="22"/>
              </w:rPr>
              <w:t>NYDA</w:t>
            </w:r>
          </w:p>
        </w:tc>
      </w:tr>
      <w:tr w:rsidR="00C852BF" w:rsidRPr="00C852BF" w:rsidTr="001140CA">
        <w:trPr>
          <w:trHeight w:val="270"/>
        </w:trPr>
        <w:tc>
          <w:tcPr>
            <w:tcW w:w="3551" w:type="dxa"/>
            <w:vMerge w:val="restart"/>
          </w:tcPr>
          <w:p w:rsidR="00C852BF" w:rsidRPr="00C852BF" w:rsidRDefault="00C852BF" w:rsidP="00210103">
            <w:pPr>
              <w:numPr>
                <w:ilvl w:val="0"/>
                <w:numId w:val="11"/>
              </w:numPr>
              <w:spacing w:line="280" w:lineRule="exact"/>
              <w:jc w:val="both"/>
              <w:rPr>
                <w:b/>
                <w:sz w:val="22"/>
                <w:szCs w:val="22"/>
              </w:rPr>
            </w:pPr>
            <w:r w:rsidRPr="00C852BF">
              <w:rPr>
                <w:b/>
                <w:sz w:val="22"/>
                <w:szCs w:val="22"/>
              </w:rPr>
              <w:t>Rights of Persons with Disabilities</w:t>
            </w:r>
          </w:p>
          <w:p w:rsidR="00C852BF" w:rsidRPr="00C852BF" w:rsidRDefault="00C852BF" w:rsidP="00C852BF">
            <w:pPr>
              <w:spacing w:line="280" w:lineRule="exact"/>
              <w:ind w:left="66"/>
              <w:jc w:val="both"/>
              <w:rPr>
                <w:sz w:val="22"/>
                <w:szCs w:val="22"/>
              </w:rPr>
            </w:pPr>
            <w:r w:rsidRPr="00C852BF">
              <w:rPr>
                <w:sz w:val="22"/>
                <w:szCs w:val="22"/>
              </w:rPr>
              <w:t>(Also referred to as a Branch &amp; reports directly to the Accounting Officer)</w:t>
            </w:r>
          </w:p>
        </w:tc>
        <w:tc>
          <w:tcPr>
            <w:tcW w:w="2372" w:type="dxa"/>
            <w:vMerge w:val="restart"/>
          </w:tcPr>
          <w:p w:rsidR="00C852BF" w:rsidRPr="00C852BF" w:rsidRDefault="00C852BF" w:rsidP="00C852BF">
            <w:pPr>
              <w:spacing w:line="280" w:lineRule="exact"/>
              <w:ind w:left="66"/>
              <w:jc w:val="both"/>
              <w:rPr>
                <w:b/>
                <w:sz w:val="22"/>
                <w:szCs w:val="22"/>
              </w:rPr>
            </w:pPr>
          </w:p>
        </w:tc>
        <w:tc>
          <w:tcPr>
            <w:tcW w:w="3518" w:type="dxa"/>
          </w:tcPr>
          <w:p w:rsidR="00C852BF" w:rsidRPr="00C852BF" w:rsidRDefault="00C852BF" w:rsidP="00C852BF">
            <w:pPr>
              <w:spacing w:line="280" w:lineRule="exact"/>
              <w:ind w:left="66"/>
              <w:jc w:val="both"/>
              <w:rPr>
                <w:sz w:val="22"/>
                <w:szCs w:val="22"/>
              </w:rPr>
            </w:pPr>
            <w:r w:rsidRPr="00C852BF">
              <w:rPr>
                <w:sz w:val="22"/>
                <w:szCs w:val="22"/>
              </w:rPr>
              <w:t>Advocacy &amp; Mainstreaming</w:t>
            </w:r>
          </w:p>
        </w:tc>
      </w:tr>
      <w:tr w:rsidR="00C852BF" w:rsidRPr="00C852BF" w:rsidTr="001140CA">
        <w:trPr>
          <w:trHeight w:val="285"/>
        </w:trPr>
        <w:tc>
          <w:tcPr>
            <w:tcW w:w="3551" w:type="dxa"/>
            <w:vMerge/>
          </w:tcPr>
          <w:p w:rsidR="00C852BF" w:rsidRPr="00C852BF" w:rsidRDefault="00C852BF" w:rsidP="00C852BF">
            <w:pPr>
              <w:spacing w:line="280" w:lineRule="exact"/>
              <w:ind w:left="66"/>
              <w:jc w:val="both"/>
              <w:rPr>
                <w:b/>
                <w:sz w:val="22"/>
                <w:szCs w:val="22"/>
              </w:rPr>
            </w:pPr>
          </w:p>
        </w:tc>
        <w:tc>
          <w:tcPr>
            <w:tcW w:w="2372" w:type="dxa"/>
            <w:vMerge/>
          </w:tcPr>
          <w:p w:rsidR="00C852BF" w:rsidRPr="00C852BF" w:rsidRDefault="00C852BF" w:rsidP="00C852BF">
            <w:pPr>
              <w:spacing w:line="280" w:lineRule="exact"/>
              <w:ind w:left="66"/>
              <w:jc w:val="both"/>
              <w:rPr>
                <w:b/>
                <w:sz w:val="22"/>
                <w:szCs w:val="22"/>
              </w:rPr>
            </w:pPr>
          </w:p>
        </w:tc>
        <w:tc>
          <w:tcPr>
            <w:tcW w:w="3518" w:type="dxa"/>
          </w:tcPr>
          <w:p w:rsidR="00C852BF" w:rsidRPr="00C852BF" w:rsidRDefault="00C852BF" w:rsidP="00C852BF">
            <w:pPr>
              <w:spacing w:line="280" w:lineRule="exact"/>
              <w:ind w:left="66"/>
              <w:jc w:val="both"/>
              <w:rPr>
                <w:sz w:val="22"/>
                <w:szCs w:val="22"/>
              </w:rPr>
            </w:pPr>
            <w:r w:rsidRPr="00C852BF">
              <w:rPr>
                <w:sz w:val="22"/>
                <w:szCs w:val="22"/>
              </w:rPr>
              <w:t xml:space="preserve">Governance &amp; Compliance </w:t>
            </w:r>
          </w:p>
          <w:p w:rsidR="00C852BF" w:rsidRPr="00C852BF" w:rsidRDefault="00C852BF" w:rsidP="00C852BF">
            <w:pPr>
              <w:spacing w:line="280" w:lineRule="exact"/>
              <w:ind w:left="66"/>
              <w:jc w:val="both"/>
              <w:rPr>
                <w:sz w:val="22"/>
                <w:szCs w:val="22"/>
              </w:rPr>
            </w:pPr>
            <w:r w:rsidRPr="00C852BF">
              <w:rPr>
                <w:sz w:val="22"/>
                <w:szCs w:val="22"/>
              </w:rPr>
              <w:t>(</w:t>
            </w:r>
            <w:r w:rsidRPr="00C852BF">
              <w:rPr>
                <w:sz w:val="22"/>
                <w:szCs w:val="22"/>
                <w:u w:val="single"/>
              </w:rPr>
              <w:t>Monitoring &amp; Evaluation</w:t>
            </w:r>
            <w:r w:rsidRPr="00C852BF">
              <w:rPr>
                <w:sz w:val="22"/>
                <w:szCs w:val="22"/>
              </w:rPr>
              <w:t>)</w:t>
            </w:r>
          </w:p>
        </w:tc>
      </w:tr>
    </w:tbl>
    <w:p w:rsidR="00C852BF" w:rsidRPr="00C852BF" w:rsidRDefault="00C852BF" w:rsidP="00C852BF">
      <w:pPr>
        <w:spacing w:line="280" w:lineRule="exact"/>
        <w:ind w:left="66"/>
        <w:jc w:val="both"/>
        <w:rPr>
          <w:b/>
          <w:sz w:val="22"/>
          <w:szCs w:val="22"/>
        </w:rPr>
      </w:pPr>
    </w:p>
    <w:p w:rsidR="00C852BF" w:rsidRDefault="006026F9" w:rsidP="00C852BF">
      <w:pPr>
        <w:spacing w:line="280" w:lineRule="exact"/>
        <w:ind w:left="66"/>
        <w:jc w:val="both"/>
        <w:rPr>
          <w:sz w:val="22"/>
          <w:szCs w:val="22"/>
        </w:rPr>
      </w:pPr>
      <w:r>
        <w:rPr>
          <w:sz w:val="22"/>
          <w:szCs w:val="22"/>
        </w:rPr>
        <w:t>The Department provides an overv</w:t>
      </w:r>
      <w:r w:rsidR="00B724BD">
        <w:rPr>
          <w:sz w:val="22"/>
          <w:szCs w:val="22"/>
        </w:rPr>
        <w:t>iew of its staffing compliment i</w:t>
      </w:r>
      <w:r>
        <w:rPr>
          <w:sz w:val="22"/>
          <w:szCs w:val="22"/>
        </w:rPr>
        <w:t>n slide 70 of its presentation and</w:t>
      </w:r>
      <w:r w:rsidR="00B724BD">
        <w:rPr>
          <w:sz w:val="22"/>
          <w:szCs w:val="22"/>
        </w:rPr>
        <w:t xml:space="preserve"> the allocation for Compensation of Employees in slide 69.</w:t>
      </w:r>
    </w:p>
    <w:p w:rsidR="00B724BD" w:rsidRDefault="007071DB" w:rsidP="00C852BF">
      <w:pPr>
        <w:spacing w:line="280" w:lineRule="exact"/>
        <w:ind w:left="66"/>
        <w:jc w:val="both"/>
        <w:rPr>
          <w:sz w:val="22"/>
          <w:szCs w:val="22"/>
        </w:rPr>
      </w:pPr>
      <w:r>
        <w:rPr>
          <w:noProof/>
          <w:sz w:val="22"/>
          <w:szCs w:val="22"/>
          <w:lang w:eastAsia="en-ZA"/>
        </w:rPr>
        <w:pict>
          <v:rect id="Rectangle 2" o:spid="_x0000_s1026" style="position:absolute;left:0;text-align:left;margin-left:13.9pt;margin-top:10.65pt;width:137.05pt;height:4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bTegIAAEQFAAAOAAAAZHJzL2Uyb0RvYy54bWysVE1v2zAMvQ/YfxB0X+0EyZoGdYqgRYcB&#10;RVv0Az0rshQbkEWNUmJnv36U7LhFW+wwzAeZEslH8onU+UXXGLZX6GuwBZ+c5JwpK6Gs7bbgz0/X&#10;3xac+SBsKQxYVfCD8vxi9fXLeeuWagoVmFIhIxDrl60reBWCW2aZl5VqhD8BpywpNWAjAm1xm5Uo&#10;WkJvTDbN8+9ZC1g6BKm8p9OrXslXCV9rJcOd1l4FZgpOuYW0Ylo3cc1W52K5ReGqWg5piH/IohG1&#10;paAj1JUIgu2w/gDV1BLBgw4nEpoMtK6lSjVQNZP8XTWPlXAq1ULkeDfS5P8frLzd3yOry4JPObOi&#10;oSt6INKE3RrFppGe1vklWT26exx2nsRYa6exiX+qgnWJ0sNIqeoCk3Q4OZ3l88WMM0m6+eIsX8wj&#10;aPbq7dCHHwoaFoWCI0VPTIr9jQ+96dGE/GI2ffwkhYNRMQVjH5SmMijiNHmnBlKXBtle0NULKZUN&#10;k15ViVL1x/OcviGf0SNllwAjsq6NGbEHgNicH7H7XAf76KpS/43O+d8S651HjxQZbBidm9oCfgZg&#10;qKohcm9/JKmnJrIUuk1HJlHcQHmg+0boB8E7eV0T7TfCh3uB1Pk0IzTN4Y4WbaAtOAwSZxXg78/O&#10;oz01JGk5a2mSCu5/7QQqzsxPS616NpnN4uilzWx+OqUNvtVs3mrsrrkEurEJvRtOJjHaB3MUNULz&#10;QkO/jlFJJayk2AWXAY+by9BPOD0bUq3XyYzGzYlwYx+djOCR4NhWT92LQDf0XqCuvYXj1Inluxbs&#10;baOnhfUugK5Tf77yOlBPo5p6aHhW4lvwdp+sXh+/1R8AAAD//wMAUEsDBBQABgAIAAAAIQBAkQEZ&#10;3gAAAAkBAAAPAAAAZHJzL2Rvd25yZXYueG1sTI/BTsMwEETvSPyDtUjcqOO2ommIUyEkhMQF0fYD&#10;3HhJAvE6sp0m8PUsJ3oarWY087bcza4XZwyx86RBLTIQSLW3HTUajofnuxxETIas6T2hhm+MsKuu&#10;r0pTWD/RO573qRFcQrEwGtqUhkLKWLfoTFz4AYm9Dx+cSXyGRtpgJi53vVxm2b10piNeaM2ATy3W&#10;X/vRafDqLb0epvVIOIWXvPus+59NrvXtzfz4ACLhnP7D8IfP6FAx08mPZKPoNSw3TJ5Y1QoE+6tM&#10;bUGcOKjWCmRVyssPql8AAAD//wMAUEsBAi0AFAAGAAgAAAAhALaDOJL+AAAA4QEAABMAAAAAAAAA&#10;AAAAAAAAAAAAAFtDb250ZW50X1R5cGVzXS54bWxQSwECLQAUAAYACAAAACEAOP0h/9YAAACUAQAA&#10;CwAAAAAAAAAAAAAAAAAvAQAAX3JlbHMvLnJlbHNQSwECLQAUAAYACAAAACEAVRBm03oCAABEBQAA&#10;DgAAAAAAAAAAAAAAAAAuAgAAZHJzL2Uyb0RvYy54bWxQSwECLQAUAAYACAAAACEAQJEBGd4AAAAJ&#10;AQAADwAAAAAAAAAAAAAAAADUBAAAZHJzL2Rvd25yZXYueG1sUEsFBgAAAAAEAAQA8wAAAN8FAAAA&#10;AA==&#10;" fillcolor="#4f81bd [3204]" strokecolor="#243f60 [1604]" strokeweight="2pt">
            <v:textbox>
              <w:txbxContent>
                <w:p w:rsidR="001140CA" w:rsidRDefault="001140CA" w:rsidP="00B724BD">
                  <w:pPr>
                    <w:jc w:val="center"/>
                  </w:pPr>
                  <w:r>
                    <w:t>DWYPD</w:t>
                  </w:r>
                </w:p>
                <w:p w:rsidR="001140CA" w:rsidRDefault="001140CA" w:rsidP="00B724BD">
                  <w:pPr>
                    <w:jc w:val="center"/>
                  </w:pPr>
                  <w:r>
                    <w:t>R91.435 million (2019/20)</w:t>
                  </w:r>
                </w:p>
                <w:p w:rsidR="001140CA" w:rsidRDefault="001140CA" w:rsidP="00B724BD">
                  <w:pPr>
                    <w:jc w:val="center"/>
                  </w:pPr>
                  <w:r>
                    <w:t>112 funded posts</w:t>
                  </w:r>
                </w:p>
              </w:txbxContent>
            </v:textbox>
          </v:rect>
        </w:pict>
      </w:r>
    </w:p>
    <w:p w:rsidR="00B724BD" w:rsidRDefault="007071DB" w:rsidP="00C852BF">
      <w:pPr>
        <w:spacing w:line="280" w:lineRule="exact"/>
        <w:ind w:left="66"/>
        <w:jc w:val="both"/>
        <w:rPr>
          <w:sz w:val="22"/>
          <w:szCs w:val="22"/>
        </w:rPr>
      </w:pPr>
      <w:r>
        <w:rPr>
          <w:noProof/>
          <w:sz w:val="22"/>
          <w:szCs w:val="22"/>
          <w:lang w:eastAsia="en-ZA"/>
        </w:rPr>
        <w:pict>
          <v:rect id="Rectangle 8" o:spid="_x0000_s1027" style="position:absolute;left:0;text-align:left;margin-left:223pt;margin-top:2.15pt;width:223.6pt;height:36.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ufQIAAEsFAAAOAAAAZHJzL2Uyb0RvYy54bWysVE1v2zAMvQ/YfxB0X52k6UeCOEXQosOA&#10;oi3aDj0rshQbkEWNUmJnv36U7LhBW+wwzAdZEslH8pHU4qqtDdsp9BXYnI9PRpwpK6Go7CbnP19u&#10;v11y5oOwhTBgVc73yvOr5dcvi8bN1QRKMIVCRiDWzxuX8zIEN88yL0tVC38CTlkSasBaBDriJitQ&#10;NIRem2wyGp1nDWDhEKTynm5vOiFfJnytlQwPWnsVmMk5xRbSimldxzVbLsR8g8KVlezDEP8QRS0q&#10;S04HqBsRBNti9QGqriSCBx1OJNQZaF1JlXKgbMajd9k8l8KplAuR491Ak/9/sPJ+94isKnJOhbKi&#10;phI9EWnCboxil5Gexvk5aT27R+xPnrYx11ZjHf+UBWsTpfuBUtUGJulycnk6m16ccyZJNj0/m81O&#10;I2j2Zu3Qh+8KahY3OUfynpgUuzsfOtWDCtnFaDr/aRf2RsUQjH1SmtKIHpN1aiB1bZDtBJVeSKls&#10;GHeiUhSquz4b0dfHM1ik6BJgRNaVMQN2DxCb8yN2F2uvH01V6r/BePS3wDrjwSJ5BhsG47qygJ8B&#10;GMqq99zpH0jqqIkshXbdphInzXizhmJPZUfo5sE7eVsR+3fCh0eBNAA0KjTU4YEWbaDJOfQ7zkrA&#10;35/dR33qS5Jy1tBA5dz/2gpUnJkfljp2Np5O4wSmw/TsYkIHPJasjyV2W18DFW5Mz4eTaRv1gzls&#10;NUL9SrO/il5JJKwk3zmXAQ+H69ANOr0eUq1WSY2mzolwZ5+djOCR59hdL+2rQNe3YKDmvYfD8In5&#10;u07sdKOlhdU2gK5Sm77x2leAJja1Uv+6xCfh+Jy03t7A5R8AAAD//wMAUEsDBBQABgAIAAAAIQC7&#10;WYlY3QAAAAgBAAAPAAAAZHJzL2Rvd25yZXYueG1sTI/BTsMwEETvSPyDtUjcqNM2akKIUyEkhMQF&#10;0fIBbrwkAXsd2U4T+HqWE9xmNauZN/V+cVacMcTBk4L1KgOB1HozUKfg7fh4U4KISZPR1hMq+MII&#10;++byotaV8TO94vmQOsEhFCutoE9prKSMbY9Ox5Ufkdh798HpxGfopAl65nBn5SbLdtLpgbih1yM+&#10;9Nh+HianwK9f0vNxzifCOTyVw0drv4tSqeur5f4ORMIl/T3DLz6jQ8NMJz+RicIqyPMdb0kstiDY&#10;L2+3GxAnBUVRgGxq+X9A8wMAAP//AwBQSwECLQAUAAYACAAAACEAtoM4kv4AAADhAQAAEwAAAAAA&#10;AAAAAAAAAAAAAAAAW0NvbnRlbnRfVHlwZXNdLnhtbFBLAQItABQABgAIAAAAIQA4/SH/1gAAAJQB&#10;AAALAAAAAAAAAAAAAAAAAC8BAABfcmVscy8ucmVsc1BLAQItABQABgAIAAAAIQA5w++ufQIAAEsF&#10;AAAOAAAAAAAAAAAAAAAAAC4CAABkcnMvZTJvRG9jLnhtbFBLAQItABQABgAIAAAAIQC7WYlY3QAA&#10;AAgBAAAPAAAAAAAAAAAAAAAAANcEAABkcnMvZG93bnJldi54bWxQSwUGAAAAAAQABADzAAAA4QUA&#10;AAAA&#10;" fillcolor="#4f81bd [3204]" strokecolor="#243f60 [1604]" strokeweight="2pt">
            <v:textbox>
              <w:txbxContent>
                <w:p w:rsidR="001140CA" w:rsidRDefault="001140CA" w:rsidP="00AB4467">
                  <w:pPr>
                    <w:jc w:val="center"/>
                  </w:pPr>
                  <w:r>
                    <w:t>START UP STRUCTURE DWYP</w:t>
                  </w:r>
                </w:p>
                <w:p w:rsidR="001140CA" w:rsidRDefault="001140CA" w:rsidP="00AB4467">
                  <w:pPr>
                    <w:jc w:val="center"/>
                  </w:pPr>
                  <w:r>
                    <w:t>124 posts (111 filled, 13 vacant)</w:t>
                  </w:r>
                </w:p>
              </w:txbxContent>
            </v:textbox>
          </v:rect>
        </w:pict>
      </w:r>
    </w:p>
    <w:p w:rsidR="00B724BD" w:rsidRDefault="00AB4467" w:rsidP="00C852BF">
      <w:pPr>
        <w:spacing w:line="280" w:lineRule="exact"/>
        <w:ind w:left="66"/>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rsidR="00B724BD" w:rsidRDefault="007071DB" w:rsidP="00C852BF">
      <w:pPr>
        <w:spacing w:line="280" w:lineRule="exact"/>
        <w:ind w:left="66"/>
        <w:jc w:val="both"/>
        <w:rPr>
          <w:sz w:val="22"/>
          <w:szCs w:val="22"/>
        </w:rPr>
      </w:pPr>
      <w:r>
        <w:rPr>
          <w:noProof/>
          <w:sz w:val="22"/>
          <w:szCs w:val="22"/>
          <w:lang w:eastAsia="en-ZA"/>
        </w:rPr>
        <w:pict>
          <v:shapetype id="_x0000_t32" coordsize="21600,21600" o:spt="32" o:oned="t" path="m,l21600,21600e" filled="f">
            <v:path arrowok="t" fillok="f" o:connecttype="none"/>
            <o:lock v:ext="edit" shapetype="t"/>
          </v:shapetype>
          <v:shape id="Straight Arrow Connector 12" o:spid="_x0000_s1034" type="#_x0000_t32" style="position:absolute;left:0;text-align:left;margin-left:281.85pt;margin-top:10.85pt;width:.7pt;height:20.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h44AEAACAEAAAOAAAAZHJzL2Uyb0RvYy54bWysU9uO0zAQfUfiHyy/07Tl0t2o6Qp1gRcE&#10;Fct+gNcZN5Z809g06d8zdtIsghXSIl4m8eXMnHNmvL0ZrGEnwKi9a/hqseQMnPStdseG33//+OqK&#10;s5iEa4XxDhp+hshvdi9fbPtQw9p33rSAjJK4WPeh4V1Koa6qKDuwIi58AEeHyqMViZZ4rFoUPWW3&#10;plovl++q3mMb0EuIkXZvx0O+K/mVApm+KhUhMdNw4pZKxBIfcqx2W1EfUYROy4mG+AcWVmhHRedU&#10;tyIJ9gP1H6msluijV2khva28UlpC0UBqVsvf1Nx1IkDRQubEMNsU/19a+eV0QKZb6t2aMycs9egu&#10;odDHLrH3iL5ne+8c+eiR0RXyqw+xJtjeHXBaxXDALH5QaPOXZLGheHyePYYhMUmbV5vr15xJOli/&#10;fXO92eSM1SM0YEyfwFuWfxoeJyozh1VxWZw+xzQCL4Bc17gcOxDtB9eydA4kJqEW7mhg7HQS2jx9&#10;RhwyvMrqRj3lL50NjKm/gSKfSMFIoUwo7A2yk6DZElKCS6tJjXF0O8OUNmYGLgv3vwKn+xkKZXqf&#10;A54RpbJ3aQZb7Tw+VT0NF8pqvH9xYNSdLXjw7bl0ulhDY1j6NT2ZPOe/rgv88WHvfgIAAP//AwBQ&#10;SwMEFAAGAAgAAAAhABMk7S/fAAAACQEAAA8AAABkcnMvZG93bnJldi54bWxMj8FOhDAQhu8mvkMz&#10;Jt7cUgy4ImVjXDXZeHLx4q1LKxDaKaGFxbd3POlpMpkv/3x/uVudZYuZQu9RgtgkwAw2XvfYSvio&#10;X262wEJUqJX1aCR8mwC76vKiVIX2Z3w3yzG2jEIwFEpCF+NYcB6azjgVNn40SLcvPzkVaZ1arid1&#10;pnBneZokOXeqR/rQqdE8daYZjrOTsN8Ph89ndEs9H9Lxddja+q0XUl5frY8PwKJZ4x8Mv/qkDhU5&#10;nfyMOjArIctv7wiVkAqaBGR5JoCdJOTiHnhV8v8Nqh8AAAD//wMAUEsBAi0AFAAGAAgAAAAhALaD&#10;OJL+AAAA4QEAABMAAAAAAAAAAAAAAAAAAAAAAFtDb250ZW50X1R5cGVzXS54bWxQSwECLQAUAAYA&#10;CAAAACEAOP0h/9YAAACUAQAACwAAAAAAAAAAAAAAAAAvAQAAX3JlbHMvLnJlbHNQSwECLQAUAAYA&#10;CAAAACEAhhOoeOABAAAgBAAADgAAAAAAAAAAAAAAAAAuAgAAZHJzL2Uyb0RvYy54bWxQSwECLQAU&#10;AAYACAAAACEAEyTtL98AAAAJAQAADwAAAAAAAAAAAAAAAAA6BAAAZHJzL2Rvd25yZXYueG1sUEsF&#10;BgAAAAAEAAQA8wAAAEYFAAAAAA==&#10;" strokecolor="#4579b8 [3044]">
            <v:stroke startarrow="block" endarrow="block"/>
          </v:shape>
        </w:pict>
      </w:r>
      <w:r>
        <w:rPr>
          <w:noProof/>
          <w:sz w:val="22"/>
          <w:szCs w:val="22"/>
          <w:lang w:eastAsia="en-ZA"/>
        </w:rPr>
        <w:pict>
          <v:shape id="Straight Arrow Connector 11" o:spid="_x0000_s1033" type="#_x0000_t32" style="position:absolute;left:0;text-align:left;margin-left:377.4pt;margin-top:10.85pt;width:1.4pt;height:15.9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SC5AEAACsEAAAOAAAAZHJzL2Uyb0RvYy54bWysU9uO0zAQfUfiHyy/06RBC6uq6Qp1uTwg&#10;qHbZD/A648SSbxqbJv17xk4bEKyEFvEy8mXO8Zwz4+3NZA07AkbtXcvXq5ozcNJ32vUtf/j24dU1&#10;ZzEJ1wnjHbT8BJHf7F6+2I5hA40fvOkAGZG4uBlDy4eUwqaqohzAirjyARxdKo9WJNpiX3UoRmK3&#10;pmrq+k01euwCegkx0untfMl3hV8pkOmrUhESMy2n2lKJWOJjjtVuKzY9ijBoeS5D/EMVVmhHjy5U&#10;tyIJ9h31H1RWS/TRq7SS3lZeKS2haCA16/o3NfeDCFC0kDkxLDbF/0crvxwPyHRHvVtz5oSlHt0n&#10;FLofEnuH6Ee2986Rjx4ZpZBfY4gbgu3dAc+7GA6YxU8KLVNGh09EV+wggWwqbp8Wt2FKTNLh+u3V&#10;9RVnkm6aumma15m8mlkyW8CYPoK3LC9aHs9VLeXML4jj55hm4AWQwcblOIDo3ruOpVMgXQm1cL2B&#10;uelJaPP0HdWQ4VUWOksrq3QyMFPfgSLLsoQisgwr7A2yo6AxE1KCS8WqwkTZGaa0MQuw/jvwnJ+h&#10;UAb5OeAFUV72Li1gq53Hp15P06VkNedfHJh1ZwsefXcqTS/W0ESWfp1/Tx75X/cF/vOP734AAAD/&#10;/wMAUEsDBBQABgAIAAAAIQAPJ+1J3gAAAAkBAAAPAAAAZHJzL2Rvd25yZXYueG1sTI9BTsMwEEX3&#10;SNzBGiR21Glo6irEqRCiEoINlB7Asd04ajyOYrcJt2dY0eXXfL15v9rOvmcXO8YuoITlIgNmUQfT&#10;YSvh8L172ACLSaFRfUAr4cdG2Na3N5UqTZjwy172qWUEwVgqCS6loeQ8ame9ioswWKTbMYxeJYpj&#10;y82oJoL7nudZtuZedUgfnBrsi7P6tD97Cfnre/PRvomVcofNp8knPeQ7LeX93fz8BCzZOf2X4U+f&#10;1KEmpyac0UTWSxDFitQTwZYCGBVEIdbAGgnFYwG8rvj1gvoXAAD//wMAUEsBAi0AFAAGAAgAAAAh&#10;ALaDOJL+AAAA4QEAABMAAAAAAAAAAAAAAAAAAAAAAFtDb250ZW50X1R5cGVzXS54bWxQSwECLQAU&#10;AAYACAAAACEAOP0h/9YAAACUAQAACwAAAAAAAAAAAAAAAAAvAQAAX3JlbHMvLnJlbHNQSwECLQAU&#10;AAYACAAAACEAXwkkguQBAAArBAAADgAAAAAAAAAAAAAAAAAuAgAAZHJzL2Uyb0RvYy54bWxQSwEC&#10;LQAUAAYACAAAACEADyftSd4AAAAJAQAADwAAAAAAAAAAAAAAAAA+BAAAZHJzL2Rvd25yZXYueG1s&#10;UEsFBgAAAAAEAAQA8wAAAEkFAAAAAA==&#10;" strokecolor="#4579b8 [3044]">
            <v:stroke startarrow="block" endarrow="block"/>
          </v:shape>
        </w:pict>
      </w:r>
      <w:r>
        <w:rPr>
          <w:noProof/>
          <w:sz w:val="22"/>
          <w:szCs w:val="22"/>
          <w:lang w:eastAsia="en-ZA"/>
        </w:rPr>
        <w:pict>
          <v:shape id="Straight Arrow Connector 10" o:spid="_x0000_s1032" type="#_x0000_t32" style="position:absolute;left:0;text-align:left;margin-left:131.6pt;margin-top:10.8pt;width:91.4pt;height:15.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BJ5QEAAC0EAAAOAAAAZHJzL2Uyb0RvYy54bWysU02P0zAQvSPxHyzfaZKKXVZV0xXqAhcE&#10;FQt79zrjxJK/NDZN++8ZO2lAsBJaxGXkj3nP896Mt7cna9gRMGrvWt6sas7ASd9p17f829f3r244&#10;i0m4ThjvoOVniPx29/LFdgwbWPvBmw6QEYmLmzG0fEgpbKoqygGsiCsfwNGl8mhFoi32VYdiJHZr&#10;qnVdX1ejxy6glxAjnd5Nl3xX+JUCmT4rFSEx03KqLZWIJT7mWO22YtOjCIOWcxniH6qwQjt6dKG6&#10;E0mw76j/oLJaoo9epZX0tvJKaQlFA6lp6t/U3A8iQNFC5sSw2BT/H638dDwg0x31juxxwlKP7hMK&#10;3Q+JvUX0I9t758hHj4xSyK8xxA3B9u6A8y6GA2bxJ4WWKaPDA9EVO0ggOxW3z4vbcEpM0mHTXNdX&#10;N685k3S3rtdXzZtMX008mS9gTB/AW5YXLY9zXUtB0xvi+DGmCXgBZLBxOQ4guneuY+kcSFlCLVxv&#10;YGp7Eto8fUc1ZHiVpU7iyiqdDUzUX0CRaVlEkVnGFfYG2VHQoAkpwaVmVmMcZWeY0sYswPrvwDk/&#10;Q6GM8nPAC6K87F1awFY7j0+9nk6XktWUf3Fg0p0tePTdubS9WEMzWfo1/5889L/uC/znL9/9AAAA&#10;//8DAFBLAwQUAAYACAAAACEAikMB094AAAAJAQAADwAAAGRycy9kb3ducmV2LnhtbEyPQU7DMBBF&#10;90jcwRokdtSpm4YqxKkQohKCTSk9gGNP46ixHcVuE27PsILdjObrzfvVdnY9u+IYu+AlLBcZMPQ6&#10;mM63Eo5fu4cNsJiUN6oPHiV8Y4RtfXtTqdKEyX/i9ZBaRhAfSyXBpjSUnEdt0am4CAN6up3C6FSi&#10;dWy5GdVEcNdzkWUFd6rz9MGqAV8s6vPh4iSI1/fmo317zJU9bvZGTHoQOy3l/d38/AQs4Zz+wvCr&#10;T+pQk1MTLt5E1hOjWAmK0rAsgFEgzwsq10hYr9bA64r/b1D/AAAA//8DAFBLAQItABQABgAIAAAA&#10;IQC2gziS/gAAAOEBAAATAAAAAAAAAAAAAAAAAAAAAABbQ29udGVudF9UeXBlc10ueG1sUEsBAi0A&#10;FAAGAAgAAAAhADj9If/WAAAAlAEAAAsAAAAAAAAAAAAAAAAALwEAAF9yZWxzLy5yZWxzUEsBAi0A&#10;FAAGAAgAAAAhAKruUEnlAQAALQQAAA4AAAAAAAAAAAAAAAAALgIAAGRycy9lMm9Eb2MueG1sUEsB&#10;Ai0AFAAGAAgAAAAhAIpDAdPeAAAACQEAAA8AAAAAAAAAAAAAAAAAPwQAAGRycy9kb3ducmV2Lnht&#10;bFBLBQYAAAAABAAEAPMAAABKBQAAAAA=&#10;" strokecolor="#4579b8 [3044]">
            <v:stroke startarrow="block" endarrow="block"/>
          </v:shape>
        </w:pict>
      </w:r>
    </w:p>
    <w:p w:rsidR="00B724BD" w:rsidRDefault="007071DB" w:rsidP="00C852BF">
      <w:pPr>
        <w:spacing w:line="280" w:lineRule="exact"/>
        <w:ind w:left="66"/>
        <w:jc w:val="both"/>
        <w:rPr>
          <w:sz w:val="22"/>
          <w:szCs w:val="22"/>
        </w:rPr>
      </w:pPr>
      <w:r>
        <w:rPr>
          <w:noProof/>
          <w:sz w:val="22"/>
          <w:szCs w:val="22"/>
          <w:lang w:eastAsia="en-ZA"/>
        </w:rPr>
        <w:pict>
          <v:shape id="Straight Arrow Connector 9" o:spid="_x0000_s1031" type="#_x0000_t32" style="position:absolute;left:0;text-align:left;margin-left:73.45pt;margin-top:4.45pt;width:0;height:6.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t11wEAABoEAAAOAAAAZHJzL2Uyb0RvYy54bWysU9uO0zAQfUfiHyy/07SLBLRqukJd4AVB&#10;xcIHeJ1xY8k3jYem/XvGTppFsEIC8TKJL2fmnDPj7e3ZO3ECzDaGVq4WSykg6NjZcGzlt6/vX7yR&#10;IpMKnXIxQCsvkOXt7vmz7ZA2cBP76DpAwUlC3gyplT1R2jRN1j14lRcxQeBDE9Er4iUemw7VwNm9&#10;a26Wy1fNELFLGDXkzLt346Hc1fzGgKbPxmQg4VrJ3KhGrPGhxGa3VZsjqtRbPdFQ/8DCKxu46Jzq&#10;TpES39H+lspbjTFHQwsdfRONsRqqBlazWv6i5r5XCaoWNien2ab8/9LqT6cDCtu1ci1FUJ5bdE+o&#10;7LEn8RYxDmIfQ2AbI4p1cWtIecOgfTjgtMrpgEX62aAvXxYlztXhy+wwnEnocVPz7uv16uWqZGse&#10;YQkzfYDoRflpZZ5YzOVX1V91+phpBF4BpaYLJfagunehE3RJrIPQqnB0MPaYlHVPnzGHAm+KslFL&#10;/aOLgzH1FzDsELMfKdTZhL1DcVI8VUprCHRV4wLfLjBjnZuBy8r9j8DpfoFCndu/Ac+IWjkGmsHe&#10;hohPVafzlbIZ718dGHUXCx5id6ldrtbwANZ+TY+lTPjP6wp/fNK7HwAAAP//AwBQSwMEFAAGAAgA&#10;AAAhAGidFCncAAAACAEAAA8AAABkcnMvZG93bnJldi54bWxMj0FPg0AQhe8m/ofNmHizC6RpkLI0&#10;xqpJ48nixduWnQKBnSXsQvHfO/Wip8mX9/LmvXy32F7MOPrWkYJ4FYFAqpxpqVbwWb4+pCB80GR0&#10;7wgVfKOHXXF7k+vMuAt94HwMteAQ8plW0IQwZFL6qkGr/coNSKyd3Wh1YBxraUZ94XDbyySKNtLq&#10;lvhDowd8brDqjpNVsN93h68XsnM5HZLhrUv78r2Nlbq/W562IAIu4c8M1/pcHQrudHITGS965vXm&#10;ka0KUj5X/ZdPCpJ4DbLI5f8BxQ8AAAD//wMAUEsBAi0AFAAGAAgAAAAhALaDOJL+AAAA4QEAABMA&#10;AAAAAAAAAAAAAAAAAAAAAFtDb250ZW50X1R5cGVzXS54bWxQSwECLQAUAAYACAAAACEAOP0h/9YA&#10;AACUAQAACwAAAAAAAAAAAAAAAAAvAQAAX3JlbHMvLnJlbHNQSwECLQAUAAYACAAAACEA03I7ddcB&#10;AAAaBAAADgAAAAAAAAAAAAAAAAAuAgAAZHJzL2Uyb0RvYy54bWxQSwECLQAUAAYACAAAACEAaJ0U&#10;KdwAAAAIAQAADwAAAAAAAAAAAAAAAAAxBAAAZHJzL2Rvd25yZXYueG1sUEsFBgAAAAAEAAQA8wAA&#10;ADoFAAAAAA==&#10;" strokecolor="#4579b8 [3044]">
            <v:stroke startarrow="block" endarrow="block"/>
          </v:shape>
        </w:pict>
      </w:r>
      <w:r>
        <w:rPr>
          <w:noProof/>
          <w:sz w:val="22"/>
          <w:szCs w:val="22"/>
          <w:lang w:eastAsia="en-ZA"/>
        </w:rPr>
        <w:pict>
          <v:rect id="Rectangle 7" o:spid="_x0000_s1028" style="position:absolute;left:0;text-align:left;margin-left:337.2pt;margin-top:10.7pt;width:109.35pt;height:4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gsfgIAAEsFAAAOAAAAZHJzL2Uyb0RvYy54bWysVMFu2zAMvQ/YPwi6r3ayNGmDOkXQosOA&#10;oivaDj0rshQbkEWNUmJnXz9KdtyiLXYY5oNMieQj+UTq4rJrDNsr9DXYgk9Ocs6UlVDWdlvwn083&#10;X84480HYUhiwquAH5fnl6vOni9Yt1RQqMKVCRiDWL1tX8CoEt8wyLyvVCH8CTllSasBGBNriNitR&#10;tITemGya5/OsBSwdglTe0+l1r+SrhK+1kuGH1l4FZgpOuYW0Ylo3cc1WF2K5ReGqWg5piH/IohG1&#10;paAj1LUIgu2wfgfV1BLBgw4nEpoMtK6lSjVQNZP8TTWPlXAq1ULkeDfS5P8frLzb3yOry4IvOLOi&#10;oSt6INKE3RrFFpGe1vklWT26exx2nsRYa6exiX+qgnWJ0sNIqeoCk3Q4+Xp2tpidciZJN8/n8/l5&#10;BM1evB368E1Bw6JQcKToiUmxv/WhNz2akF/Mpo+fpHAwKqZg7IPSVAZFnCbv1EDqyiDbC7p6IaWy&#10;YdKrKlGq/vg0p2/IZ/RI2SXAiKxrY0bsASA253vsPtfBPrqq1H+jc/63xHrn0SNFBhtG56a2gB8B&#10;GKpqiNzbH0nqqYkshW7TpSueRst4soHyQNeO0M+Dd/KmJvZvhQ/3AmkAaFRoqMMPWrSBtuAwSJxV&#10;gL8/Oo/21Jek5aylgSq4/7UTqDgz3y117PlkNosTmDaz08WUNvhas3mtsbvmCujiJvR8OJnEaB/M&#10;UdQIzTPN/jpGJZWwkmIXXAY8bq5CP+j0eki1Xiczmjonwq19dDKCR55jdz11zwLd0IKBmvcOjsMn&#10;lm86sbeNnhbWuwC6Tm36wutwAzSxqZWG1yU+Ca/3yerlDVz9AQAA//8DAFBLAwQUAAYACAAAACEA&#10;xo1eIt8AAAAKAQAADwAAAGRycy9kb3ducmV2LnhtbEyPwU7DMAyG70i8Q2QkbiztqLquazohJITE&#10;BbHxAFnrtYXEqZJ0LTw95gQny/Kn399f7RdrxAV9GBwpSFcJCKTGtQN1Ct6PT3cFiBA1tdo4QgVf&#10;GGBfX19VumzdTG94OcROcAiFUivoYxxLKUPTo9Vh5UYkvp2dtzry6jvZej1zuDVynSS5tHog/tDr&#10;ER97bD4Pk1Xg0tf4cpyziXD2z8Xw0ZjvTaHU7c3ysAMRcYl/MPzqszrU7HRyE7VBGAX5JssYVbBO&#10;eTJQbO9TECcm03wLsq7k/wr1DwAAAP//AwBQSwECLQAUAAYACAAAACEAtoM4kv4AAADhAQAAEwAA&#10;AAAAAAAAAAAAAAAAAAAAW0NvbnRlbnRfVHlwZXNdLnhtbFBLAQItABQABgAIAAAAIQA4/SH/1gAA&#10;AJQBAAALAAAAAAAAAAAAAAAAAC8BAABfcmVscy8ucmVsc1BLAQItABQABgAIAAAAIQCUnngsfgIA&#10;AEsFAAAOAAAAAAAAAAAAAAAAAC4CAABkcnMvZTJvRG9jLnhtbFBLAQItABQABgAIAAAAIQDGjV4i&#10;3wAAAAoBAAAPAAAAAAAAAAAAAAAAANgEAABkcnMvZG93bnJldi54bWxQSwUGAAAAAAQABADzAAAA&#10;5AUAAAAA&#10;" fillcolor="#4f81bd [3204]" strokecolor="#243f60 [1604]" strokeweight="2pt">
            <v:textbox>
              <w:txbxContent>
                <w:p w:rsidR="001140CA" w:rsidRDefault="001140CA" w:rsidP="00B724BD">
                  <w:pPr>
                    <w:jc w:val="center"/>
                  </w:pPr>
                  <w:r>
                    <w:t>YOUTH (DPME)</w:t>
                  </w:r>
                </w:p>
                <w:p w:rsidR="001140CA" w:rsidRDefault="001140CA" w:rsidP="00B724BD">
                  <w:pPr>
                    <w:jc w:val="center"/>
                  </w:pPr>
                  <w:r>
                    <w:t>8 funded</w:t>
                  </w:r>
                </w:p>
                <w:p w:rsidR="001140CA" w:rsidRDefault="001140CA" w:rsidP="00B724BD">
                  <w:pPr>
                    <w:jc w:val="center"/>
                  </w:pPr>
                  <w:r>
                    <w:t>7 filled, 1 vacant</w:t>
                  </w:r>
                </w:p>
              </w:txbxContent>
            </v:textbox>
          </v:rect>
        </w:pict>
      </w:r>
      <w:r>
        <w:rPr>
          <w:noProof/>
          <w:sz w:val="22"/>
          <w:szCs w:val="22"/>
          <w:lang w:eastAsia="en-ZA"/>
        </w:rPr>
        <w:pict>
          <v:rect id="Rectangle 6" o:spid="_x0000_s1029" style="position:absolute;left:0;text-align:left;margin-left:185.6pt;margin-top:12.75pt;width:120.45pt;height:4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6I1fgIAAEsFAAAOAAAAZHJzL2Uyb0RvYy54bWysVMFu2zAMvQ/YPwi6L7azJF2DOkWQosOA&#10;oi3aDj0rshQbkERNUmJnXz9KdtyiLXYY5oNMieQj+UTq4rLTihyE8w2YkhaTnBJhOFSN2ZX059P1&#10;l2+U+MBMxRQYUdKj8PRy9fnTRWuXYgo1qEo4giDGL1tb0joEu8wyz2uhmZ+AFQaVEpxmAbdul1WO&#10;tYiuVTbN80XWgqusAy68x9OrXklXCV9KwcOdlF4EokqKuYW0urRu45qtLthy55itGz6kwf4hC80a&#10;g0FHqCsWGNm75h2UbrgDDzJMOOgMpGy4SDVgNUX+pprHmlmRakFyvB1p8v8Plt8e7h1pqpIuKDFM&#10;4xU9IGnM7JQgi0hPa/0SrR7tvRt2HsVYayedjn+sgnSJ0uNIqegC4XhYzKfnZ8WcEo66Rb6YTecR&#10;NHvxts6H7wI0iUJJHUZPTLLDjQ+96ckE/WI2ffwkhaMSMQVlHoTEMjDiNHmnBhIb5ciB4dUzzoUJ&#10;Ra+qWSX643mO35DP6JGyS4ARWTZKjdgDQGzO99h9roN9dBWp/0bn/G+J9c6jR4oMJozOujHgPgJQ&#10;WNUQubc/kdRTE1kK3bZLV/w1WsaTLVRHvHYH/Tx4y68bZP+G+XDPHA4AjgoOdbjDRSpoSwqDREkN&#10;7vdH59Ee+xK1lLQ4UCX1v/bMCUrUD4Mde17MZnEC02Y2P5vixr3WbF9rzF5vAC+uwOfD8iRG+6BO&#10;onSgn3H21zEqqpjhGLukPLjTZhP6QcfXg4v1Opnh1FkWbsyj5RE88hy766l7Zs4OLRiweW/hNHxs&#10;+aYTe9voaWC9DyCb1KYvvA43gBObWml4XeKT8HqfrF7ewNUfAAAA//8DAFBLAwQUAAYACAAAACEA&#10;bHxnWN4AAAAKAQAADwAAAGRycy9kb3ducmV2LnhtbEyPQU7DMBBF90jcwRokdtSxoW0U4lQICSGx&#10;QbQcwI2HJGCPI9tpAqfHrOhy9J/+f1PvFmfZCUMcPCkQqwIYUuvNQJ2C98PTTQksJk1GW0+o4Bsj&#10;7JrLi1pXxs/0hqd96lguoVhpBX1KY8V5bHt0Oq78iJSzDx+cTvkMHTdBz7ncWS6LYsOdHigv9HrE&#10;xx7br/3kFHjxml4O891EOIfncvhs7c+2VOr6anm4B5ZwSf8w/OlndWiy09FPZCKzCm63QmZUgVyv&#10;gWVgI6QAdsykFAXwpubnLzS/AAAA//8DAFBLAQItABQABgAIAAAAIQC2gziS/gAAAOEBAAATAAAA&#10;AAAAAAAAAAAAAAAAAABbQ29udGVudF9UeXBlc10ueG1sUEsBAi0AFAAGAAgAAAAhADj9If/WAAAA&#10;lAEAAAsAAAAAAAAAAAAAAAAALwEAAF9yZWxzLy5yZWxzUEsBAi0AFAAGAAgAAAAhALn3ojV+AgAA&#10;SwUAAA4AAAAAAAAAAAAAAAAALgIAAGRycy9lMm9Eb2MueG1sUEsBAi0AFAAGAAgAAAAhAGx8Z1je&#10;AAAACgEAAA8AAAAAAAAAAAAAAAAA2AQAAGRycy9kb3ducmV2LnhtbFBLBQYAAAAABAAEAPMAAADj&#10;BQAAAAA=&#10;" fillcolor="#4f81bd [3204]" strokecolor="#243f60 [1604]" strokeweight="2pt">
            <v:textbox>
              <w:txbxContent>
                <w:p w:rsidR="001140CA" w:rsidRDefault="001140CA" w:rsidP="00B724BD">
                  <w:pPr>
                    <w:jc w:val="center"/>
                  </w:pPr>
                  <w:r>
                    <w:t>DISABILITY (DSD)</w:t>
                  </w:r>
                </w:p>
                <w:p w:rsidR="001140CA" w:rsidRDefault="001140CA" w:rsidP="00B724BD">
                  <w:pPr>
                    <w:jc w:val="center"/>
                  </w:pPr>
                  <w:r>
                    <w:t>15 funded</w:t>
                  </w:r>
                </w:p>
                <w:p w:rsidR="001140CA" w:rsidRDefault="001140CA" w:rsidP="00B724BD">
                  <w:pPr>
                    <w:jc w:val="center"/>
                  </w:pPr>
                  <w:r>
                    <w:t>11 filled, 4 vacant</w:t>
                  </w:r>
                </w:p>
              </w:txbxContent>
            </v:textbox>
          </v:rect>
        </w:pict>
      </w:r>
      <w:r>
        <w:rPr>
          <w:noProof/>
          <w:sz w:val="22"/>
          <w:szCs w:val="22"/>
          <w:lang w:eastAsia="en-ZA"/>
        </w:rPr>
        <w:pict>
          <v:rect id="Rectangle 5" o:spid="_x0000_s1030" style="position:absolute;left:0;text-align:left;margin-left:18.05pt;margin-top:12.75pt;width:113.55pt;height: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CUfwIAAEsFAAAOAAAAZHJzL2Uyb0RvYy54bWysVMFu2zAMvQ/YPwi6r3aypGuDOkXQosOA&#10;og3aDj0rshQbkEWNUmJnXz9KdtyiLXYY5oMsiuSj+Ejq4rJrDNsr9DXYgk9Ocs6UlVDWdlvwn083&#10;X84480HYUhiwquAH5fnl8vOni9Yt1BQqMKVCRiDWL1pX8CoEt8gyLyvVCH8CTllSasBGBBJxm5Uo&#10;WkJvTDbN89OsBSwdglTe0+l1r+TLhK+1kuFea68CMwWnu4W0Ylo3cc2WF2KxReGqWg7XEP9wi0bU&#10;loKOUNciCLbD+h1UU0sEDzqcSGgy0LqWKuVA2UzyN9k8VsKplAuR491Ik/9/sPJuv0ZWlwWfc2ZF&#10;QyV6INKE3RrF5pGe1vkFWT26NQ6Sp23MtdPYxD9lwbpE6WGkVHWBSTqczGaT86/nnEnSneans2kC&#10;zV68HfrwXUHD4qbgSNETk2J/6wNFJNOjCQnxNn38tAsHo+IVjH1QmtKgiNPknRpIXRlke0GlF1Iq&#10;Gya9qhKl6o/nOX0xSQoyeiQpAUZkXRszYg8AsTnfY/cwg310Van/Ruf8bxfrnUePFBlsGJ2b2gJ+&#10;BGAoqyFyb38kqacmshS6TZdKPDvWcwPlgcqO0M+Dd/KmJvZvhQ9rgTQANCo01OGeFm2gLTgMO84q&#10;wN8fnUd76kvSctbSQBXc/9oJVJyZH5Y69pxaIU5gEmbzb1MS8LVm81pjd80VUOEm9Hw4mbbRPpjj&#10;ViM0zzT7qxiVVMJKil1wGfAoXIV+0On1kGq1SmY0dU6EW/voZASPPMfueuqeBbqhBQM17x0ch08s&#10;3nRibxs9Lax2AXSd2jQy3fM6VIAmNrXS8LrEJ+G1nKxe3sDlHwAAAP//AwBQSwMEFAAGAAgAAAAh&#10;ABTWHpbeAAAACQEAAA8AAABkcnMvZG93bnJldi54bWxMj0FOwzAQRfdI3MEaJHbUiUvTKMSpEBJC&#10;YoNoewA3HpKAPY5spwmcHrOiy9F/+v9NvVusYWf0YXAkIV9lwJBapwfqJBwPz3clsBAVaWUcoYRv&#10;DLBrrq9qVWk30zue97FjqYRCpST0MY4V56Ht0aqwciNSyj6ctyqm03dcezWncmu4yLKCWzVQWujV&#10;iE89tl/7yUpw+Vt8Pcz3E+HsX8rhszU/21LK25vl8QFYxCX+w/Cnn9ShSU4nN5EOzEhYF3kiJYjN&#10;BljKRbEWwE4JFHkGvKn55QfNLwAAAP//AwBQSwECLQAUAAYACAAAACEAtoM4kv4AAADhAQAAEwAA&#10;AAAAAAAAAAAAAAAAAAAAW0NvbnRlbnRfVHlwZXNdLnhtbFBLAQItABQABgAIAAAAIQA4/SH/1gAA&#10;AJQBAAALAAAAAAAAAAAAAAAAAC8BAABfcmVscy8ucmVsc1BLAQItABQABgAIAAAAIQAXy4CUfwIA&#10;AEsFAAAOAAAAAAAAAAAAAAAAAC4CAABkcnMvZTJvRG9jLnhtbFBLAQItABQABgAIAAAAIQAU1h6W&#10;3gAAAAkBAAAPAAAAAAAAAAAAAAAAANkEAABkcnMvZG93bnJldi54bWxQSwUGAAAAAAQABADzAAAA&#10;5AUAAAAA&#10;" fillcolor="#4f81bd [3204]" strokecolor="#243f60 [1604]" strokeweight="2pt">
            <v:textbox>
              <w:txbxContent>
                <w:p w:rsidR="001140CA" w:rsidRDefault="001140CA" w:rsidP="00B724BD">
                  <w:pPr>
                    <w:jc w:val="center"/>
                  </w:pPr>
                  <w:r>
                    <w:t>DWYPD</w:t>
                  </w:r>
                </w:p>
                <w:p w:rsidR="001140CA" w:rsidRDefault="001140CA" w:rsidP="00B724BD">
                  <w:pPr>
                    <w:jc w:val="center"/>
                  </w:pPr>
                  <w:r>
                    <w:t>101 funded</w:t>
                  </w:r>
                </w:p>
                <w:p w:rsidR="001140CA" w:rsidRDefault="001140CA" w:rsidP="00B724BD">
                  <w:pPr>
                    <w:jc w:val="center"/>
                  </w:pPr>
                  <w:r>
                    <w:t>93 filled, 8 vacant</w:t>
                  </w:r>
                </w:p>
              </w:txbxContent>
            </v:textbox>
          </v:rect>
        </w:pict>
      </w:r>
    </w:p>
    <w:p w:rsidR="00B724BD" w:rsidRDefault="00B724BD" w:rsidP="00C852BF">
      <w:pPr>
        <w:spacing w:line="280" w:lineRule="exact"/>
        <w:ind w:left="66"/>
        <w:jc w:val="both"/>
        <w:rPr>
          <w:sz w:val="22"/>
          <w:szCs w:val="22"/>
        </w:rPr>
      </w:pPr>
    </w:p>
    <w:p w:rsidR="00B724BD" w:rsidRDefault="00B724BD" w:rsidP="00C852BF">
      <w:pPr>
        <w:spacing w:line="280" w:lineRule="exact"/>
        <w:ind w:left="66"/>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724BD" w:rsidRDefault="00AB4467" w:rsidP="00C852BF">
      <w:pPr>
        <w:spacing w:line="280" w:lineRule="exact"/>
        <w:ind w:left="66"/>
        <w:jc w:val="both"/>
        <w:rPr>
          <w:sz w:val="22"/>
          <w:szCs w:val="22"/>
        </w:rPr>
      </w:pPr>
      <w:r>
        <w:rPr>
          <w:sz w:val="22"/>
          <w:szCs w:val="22"/>
        </w:rPr>
        <w:lastRenderedPageBreak/>
        <w:t>A discrepancy exists between the amount allocated for C</w:t>
      </w:r>
      <w:r w:rsidR="00D32104">
        <w:rPr>
          <w:sz w:val="22"/>
          <w:szCs w:val="22"/>
        </w:rPr>
        <w:t>ompensation of Employees (C</w:t>
      </w:r>
      <w:r>
        <w:rPr>
          <w:sz w:val="22"/>
          <w:szCs w:val="22"/>
        </w:rPr>
        <w:t>oE</w:t>
      </w:r>
      <w:r w:rsidR="00D32104">
        <w:rPr>
          <w:sz w:val="22"/>
          <w:szCs w:val="22"/>
        </w:rPr>
        <w:t>)</w:t>
      </w:r>
      <w:r>
        <w:rPr>
          <w:sz w:val="22"/>
          <w:szCs w:val="22"/>
        </w:rPr>
        <w:t xml:space="preserve"> and number of funded posts versus the current number of posts which the Department has of which 93 are filled and 8 are vacant. It is not clear why the missing 11 funded posts are not accounted for, clarity is sought in this regard.</w:t>
      </w:r>
    </w:p>
    <w:p w:rsidR="00B724BD" w:rsidRPr="006026F9" w:rsidRDefault="00B724BD" w:rsidP="00C852BF">
      <w:pPr>
        <w:spacing w:line="280" w:lineRule="exact"/>
        <w:ind w:left="66"/>
        <w:jc w:val="both"/>
        <w:rPr>
          <w:sz w:val="22"/>
          <w:szCs w:val="22"/>
        </w:rPr>
      </w:pPr>
    </w:p>
    <w:p w:rsidR="00C852BF" w:rsidRPr="00C852BF" w:rsidRDefault="00C852BF" w:rsidP="003A68C7">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exact"/>
        <w:ind w:left="66"/>
        <w:jc w:val="both"/>
        <w:rPr>
          <w:b/>
          <w:sz w:val="22"/>
          <w:szCs w:val="22"/>
        </w:rPr>
      </w:pPr>
      <w:r w:rsidRPr="00C852BF">
        <w:rPr>
          <w:b/>
          <w:sz w:val="22"/>
          <w:szCs w:val="22"/>
        </w:rPr>
        <w:t>Questions for consideration</w:t>
      </w:r>
    </w:p>
    <w:p w:rsidR="00C852BF" w:rsidRPr="00C852BF" w:rsidRDefault="00C852BF" w:rsidP="00210103">
      <w:pPr>
        <w:numPr>
          <w:ilvl w:val="0"/>
          <w:numId w:val="2"/>
        </w:numPr>
        <w:pBdr>
          <w:top w:val="single" w:sz="4" w:space="1" w:color="auto"/>
          <w:left w:val="single" w:sz="4" w:space="4" w:color="auto"/>
          <w:bottom w:val="single" w:sz="4" w:space="1" w:color="auto"/>
          <w:right w:val="single" w:sz="4" w:space="4" w:color="auto"/>
        </w:pBdr>
        <w:spacing w:line="280" w:lineRule="exact"/>
        <w:jc w:val="both"/>
        <w:rPr>
          <w:sz w:val="22"/>
          <w:szCs w:val="22"/>
        </w:rPr>
      </w:pPr>
      <w:r w:rsidRPr="00C852BF">
        <w:rPr>
          <w:sz w:val="22"/>
          <w:szCs w:val="22"/>
        </w:rPr>
        <w:t>As one of the key synergies, the Department notes that it will be “providing direct services at a local level, including by leveraging the infrastructure of the NYDA”, will the Department then be replicated at a provincial and or local level?</w:t>
      </w:r>
    </w:p>
    <w:p w:rsidR="00C852BF" w:rsidRPr="00C852BF" w:rsidRDefault="00C852BF" w:rsidP="00210103">
      <w:pPr>
        <w:numPr>
          <w:ilvl w:val="0"/>
          <w:numId w:val="2"/>
        </w:numPr>
        <w:pBdr>
          <w:top w:val="single" w:sz="4" w:space="1" w:color="auto"/>
          <w:left w:val="single" w:sz="4" w:space="4" w:color="auto"/>
          <w:bottom w:val="single" w:sz="4" w:space="1" w:color="auto"/>
          <w:right w:val="single" w:sz="4" w:space="4" w:color="auto"/>
        </w:pBdr>
        <w:spacing w:line="280" w:lineRule="exact"/>
        <w:jc w:val="both"/>
        <w:rPr>
          <w:sz w:val="22"/>
          <w:szCs w:val="22"/>
        </w:rPr>
      </w:pPr>
      <w:r w:rsidRPr="00C852BF">
        <w:rPr>
          <w:sz w:val="22"/>
          <w:szCs w:val="22"/>
        </w:rPr>
        <w:t>What is the role of the Deputy Minister?</w:t>
      </w:r>
    </w:p>
    <w:p w:rsidR="00C852BF" w:rsidRDefault="00C852BF" w:rsidP="00210103">
      <w:pPr>
        <w:numPr>
          <w:ilvl w:val="0"/>
          <w:numId w:val="2"/>
        </w:numPr>
        <w:pBdr>
          <w:top w:val="single" w:sz="4" w:space="1" w:color="auto"/>
          <w:left w:val="single" w:sz="4" w:space="4" w:color="auto"/>
          <w:bottom w:val="single" w:sz="4" w:space="1" w:color="auto"/>
          <w:right w:val="single" w:sz="4" w:space="4" w:color="auto"/>
        </w:pBdr>
        <w:spacing w:line="280" w:lineRule="exact"/>
        <w:jc w:val="both"/>
        <w:rPr>
          <w:sz w:val="22"/>
          <w:szCs w:val="22"/>
        </w:rPr>
      </w:pPr>
      <w:r w:rsidRPr="00C852BF">
        <w:rPr>
          <w:sz w:val="22"/>
          <w:szCs w:val="22"/>
        </w:rPr>
        <w:t>What is the difference between Branch and a Chief Directorate?</w:t>
      </w:r>
    </w:p>
    <w:p w:rsidR="00AB4467" w:rsidRPr="00C852BF" w:rsidRDefault="00AB4467" w:rsidP="00210103">
      <w:pPr>
        <w:numPr>
          <w:ilvl w:val="0"/>
          <w:numId w:val="2"/>
        </w:numPr>
        <w:pBdr>
          <w:top w:val="single" w:sz="4" w:space="1" w:color="auto"/>
          <w:left w:val="single" w:sz="4" w:space="4" w:color="auto"/>
          <w:bottom w:val="single" w:sz="4" w:space="1" w:color="auto"/>
          <w:right w:val="single" w:sz="4" w:space="4" w:color="auto"/>
        </w:pBdr>
        <w:spacing w:line="280" w:lineRule="exact"/>
        <w:jc w:val="both"/>
        <w:rPr>
          <w:sz w:val="22"/>
          <w:szCs w:val="22"/>
        </w:rPr>
      </w:pPr>
      <w:r>
        <w:rPr>
          <w:sz w:val="22"/>
          <w:szCs w:val="22"/>
        </w:rPr>
        <w:t>Can the Department explain the anomaly of the difference in the number of funded posts 112 in slide 69 for which R91.345 million is allocated for 2019/20 versus slide 70 which refers to only 101 funded posts?</w:t>
      </w:r>
    </w:p>
    <w:p w:rsidR="00C852BF" w:rsidRPr="00C852BF" w:rsidRDefault="00C852BF" w:rsidP="00C852BF">
      <w:pPr>
        <w:spacing w:line="280" w:lineRule="exact"/>
        <w:ind w:left="66"/>
        <w:jc w:val="both"/>
        <w:rPr>
          <w:b/>
          <w:sz w:val="22"/>
          <w:szCs w:val="22"/>
        </w:rPr>
      </w:pPr>
    </w:p>
    <w:p w:rsidR="00DC7119" w:rsidRPr="00DC7119" w:rsidRDefault="00DC7119" w:rsidP="00DC7119">
      <w:pPr>
        <w:spacing w:line="280" w:lineRule="exact"/>
        <w:jc w:val="both"/>
        <w:rPr>
          <w:i/>
          <w:sz w:val="22"/>
          <w:szCs w:val="22"/>
        </w:rPr>
      </w:pPr>
      <w:r w:rsidRPr="00DC7119">
        <w:rPr>
          <w:i/>
          <w:sz w:val="22"/>
          <w:szCs w:val="22"/>
        </w:rPr>
        <w:t>Context</w:t>
      </w:r>
    </w:p>
    <w:p w:rsidR="00E37DF5" w:rsidRDefault="00557687" w:rsidP="00557687">
      <w:pPr>
        <w:spacing w:line="280" w:lineRule="exact"/>
        <w:jc w:val="both"/>
        <w:rPr>
          <w:sz w:val="22"/>
          <w:szCs w:val="22"/>
        </w:rPr>
      </w:pPr>
      <w:r>
        <w:rPr>
          <w:sz w:val="22"/>
          <w:szCs w:val="22"/>
        </w:rPr>
        <w:t xml:space="preserve">The Department commences its presentation be outlining the context in which it was formed. Reference is made to the 25-year review analysis </w:t>
      </w:r>
      <w:r w:rsidR="00D60566" w:rsidRPr="00557687">
        <w:rPr>
          <w:sz w:val="22"/>
          <w:szCs w:val="22"/>
        </w:rPr>
        <w:t>gaps and recommendations for 2019-2024, to 2030 and next 25-years</w:t>
      </w:r>
      <w:r>
        <w:rPr>
          <w:sz w:val="22"/>
          <w:szCs w:val="22"/>
        </w:rPr>
        <w:t xml:space="preserve">, the </w:t>
      </w:r>
      <w:r w:rsidR="00DD2792">
        <w:rPr>
          <w:sz w:val="22"/>
          <w:szCs w:val="22"/>
        </w:rPr>
        <w:t>Medium Term Strategic Framework 2019-2024, the National Development Plan and the 7 priorities identified by the President in the July 2019 State of the Nation Address.</w:t>
      </w:r>
      <w:r w:rsidR="00DD2792">
        <w:rPr>
          <w:rStyle w:val="FootnoteReference"/>
          <w:sz w:val="22"/>
          <w:szCs w:val="22"/>
        </w:rPr>
        <w:footnoteReference w:id="2"/>
      </w:r>
      <w:r w:rsidR="00DD2792">
        <w:rPr>
          <w:sz w:val="22"/>
          <w:szCs w:val="22"/>
        </w:rPr>
        <w:t xml:space="preserve"> However, none of these policy imperatives are expanded and how these link to the Strategic Objectives and priorities of the Department</w:t>
      </w:r>
      <w:r w:rsidR="00E37DF5">
        <w:rPr>
          <w:sz w:val="22"/>
          <w:szCs w:val="22"/>
        </w:rPr>
        <w:t xml:space="preserve"> within the power-point presentation</w:t>
      </w:r>
      <w:r w:rsidR="00DD2792">
        <w:rPr>
          <w:sz w:val="22"/>
          <w:szCs w:val="22"/>
        </w:rPr>
        <w:t xml:space="preserve">. </w:t>
      </w:r>
    </w:p>
    <w:p w:rsidR="00E37DF5" w:rsidRDefault="00E37DF5" w:rsidP="00557687">
      <w:pPr>
        <w:spacing w:line="280" w:lineRule="exact"/>
        <w:jc w:val="both"/>
        <w:rPr>
          <w:sz w:val="22"/>
          <w:szCs w:val="22"/>
        </w:rPr>
      </w:pPr>
      <w:r>
        <w:rPr>
          <w:sz w:val="22"/>
          <w:szCs w:val="22"/>
        </w:rPr>
        <w:t xml:space="preserve">The Minister’s </w:t>
      </w:r>
      <w:r w:rsidR="007F4EC4">
        <w:rPr>
          <w:sz w:val="22"/>
          <w:szCs w:val="22"/>
        </w:rPr>
        <w:t>Foreword</w:t>
      </w:r>
      <w:r>
        <w:rPr>
          <w:sz w:val="22"/>
          <w:szCs w:val="22"/>
        </w:rPr>
        <w:t xml:space="preserve"> provides more details in this regard noting that the Department is intent on realising all 7 priorities of government with a particular emphasis on </w:t>
      </w:r>
      <w:r w:rsidRPr="00E37DF5">
        <w:rPr>
          <w:b/>
          <w:sz w:val="22"/>
          <w:szCs w:val="22"/>
        </w:rPr>
        <w:t>economic empowerment</w:t>
      </w:r>
      <w:r>
        <w:rPr>
          <w:sz w:val="22"/>
          <w:szCs w:val="22"/>
        </w:rPr>
        <w:t xml:space="preserve"> (of women, youth and persons with disabilities), </w:t>
      </w:r>
      <w:r w:rsidRPr="00E37DF5">
        <w:rPr>
          <w:b/>
          <w:sz w:val="22"/>
          <w:szCs w:val="22"/>
        </w:rPr>
        <w:t>job creation</w:t>
      </w:r>
      <w:r>
        <w:rPr>
          <w:sz w:val="22"/>
          <w:szCs w:val="22"/>
        </w:rPr>
        <w:t xml:space="preserve"> and </w:t>
      </w:r>
      <w:r w:rsidRPr="00E37DF5">
        <w:rPr>
          <w:b/>
          <w:sz w:val="22"/>
          <w:szCs w:val="22"/>
        </w:rPr>
        <w:t>social cohesion</w:t>
      </w:r>
      <w:r>
        <w:rPr>
          <w:sz w:val="22"/>
          <w:szCs w:val="22"/>
        </w:rPr>
        <w:t>.</w:t>
      </w:r>
    </w:p>
    <w:p w:rsidR="00E37DF5" w:rsidRDefault="00E37DF5" w:rsidP="00557687">
      <w:pPr>
        <w:spacing w:line="280" w:lineRule="exact"/>
        <w:jc w:val="both"/>
        <w:rPr>
          <w:sz w:val="22"/>
          <w:szCs w:val="22"/>
        </w:rPr>
      </w:pPr>
    </w:p>
    <w:p w:rsidR="00FB036C" w:rsidRPr="00557687" w:rsidRDefault="00DD2792" w:rsidP="00557687">
      <w:pPr>
        <w:spacing w:line="280" w:lineRule="exact"/>
        <w:jc w:val="both"/>
        <w:rPr>
          <w:sz w:val="22"/>
          <w:szCs w:val="22"/>
        </w:rPr>
      </w:pPr>
      <w:r>
        <w:rPr>
          <w:sz w:val="22"/>
          <w:szCs w:val="22"/>
        </w:rPr>
        <w:t>Furthermore, the President has established the Presidential Review Committee (PRC) on Women’s Emancipation and Gender Equality Works Towards 25-year review. The PRC is led by Professor Vivienne Taylor and 24 experts that are expected to submit a report by March 2020 to the President.</w:t>
      </w:r>
      <w:r w:rsidR="007E565A">
        <w:rPr>
          <w:sz w:val="22"/>
          <w:szCs w:val="22"/>
        </w:rPr>
        <w:t xml:space="preserve"> It is not clear what the working relationship is between the Department and the PRC and more importantly how the outcomes of the work Towards the 25-year review will impact if at all on the Strategic Plan for 2020-2025.</w:t>
      </w:r>
    </w:p>
    <w:p w:rsidR="00557687" w:rsidRDefault="00557687" w:rsidP="002A431D">
      <w:pPr>
        <w:spacing w:line="280" w:lineRule="exact"/>
        <w:ind w:left="66"/>
        <w:jc w:val="both"/>
        <w:rPr>
          <w:sz w:val="22"/>
          <w:szCs w:val="22"/>
        </w:rPr>
      </w:pPr>
    </w:p>
    <w:p w:rsidR="00557687" w:rsidRPr="0009547C" w:rsidRDefault="0009547C" w:rsidP="00DC7119">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exact"/>
        <w:ind w:left="66"/>
        <w:jc w:val="both"/>
        <w:rPr>
          <w:b/>
          <w:sz w:val="22"/>
          <w:szCs w:val="22"/>
        </w:rPr>
      </w:pPr>
      <w:r w:rsidRPr="0009547C">
        <w:rPr>
          <w:b/>
          <w:sz w:val="22"/>
          <w:szCs w:val="22"/>
        </w:rPr>
        <w:t xml:space="preserve">Questions for consideration </w:t>
      </w:r>
    </w:p>
    <w:p w:rsidR="0009547C" w:rsidRDefault="0009547C" w:rsidP="00210103">
      <w:pPr>
        <w:pStyle w:val="ListParagraph"/>
        <w:numPr>
          <w:ilvl w:val="0"/>
          <w:numId w:val="3"/>
        </w:numPr>
        <w:pBdr>
          <w:top w:val="single" w:sz="4" w:space="1" w:color="auto"/>
          <w:left w:val="single" w:sz="4" w:space="4" w:color="auto"/>
          <w:bottom w:val="single" w:sz="4" w:space="1" w:color="auto"/>
          <w:right w:val="single" w:sz="4" w:space="4" w:color="auto"/>
        </w:pBdr>
        <w:spacing w:line="280" w:lineRule="exact"/>
        <w:jc w:val="both"/>
        <w:rPr>
          <w:sz w:val="22"/>
          <w:szCs w:val="22"/>
        </w:rPr>
      </w:pPr>
      <w:r>
        <w:rPr>
          <w:sz w:val="22"/>
          <w:szCs w:val="22"/>
        </w:rPr>
        <w:t>By when will the Strategic Plan</w:t>
      </w:r>
      <w:r w:rsidR="007F4EC4">
        <w:rPr>
          <w:sz w:val="22"/>
          <w:szCs w:val="22"/>
        </w:rPr>
        <w:t xml:space="preserve"> 2020-2025</w:t>
      </w:r>
      <w:r>
        <w:rPr>
          <w:sz w:val="22"/>
          <w:szCs w:val="22"/>
        </w:rPr>
        <w:t xml:space="preserve"> of the Department by tabled for consideration?</w:t>
      </w:r>
    </w:p>
    <w:p w:rsidR="00DC7119" w:rsidRDefault="00DC7119" w:rsidP="00210103">
      <w:pPr>
        <w:pStyle w:val="ListParagraph"/>
        <w:numPr>
          <w:ilvl w:val="0"/>
          <w:numId w:val="3"/>
        </w:numPr>
        <w:pBdr>
          <w:top w:val="single" w:sz="4" w:space="1" w:color="auto"/>
          <w:left w:val="single" w:sz="4" w:space="4" w:color="auto"/>
          <w:bottom w:val="single" w:sz="4" w:space="1" w:color="auto"/>
          <w:right w:val="single" w:sz="4" w:space="4" w:color="auto"/>
        </w:pBdr>
        <w:spacing w:line="280" w:lineRule="exact"/>
        <w:jc w:val="both"/>
        <w:rPr>
          <w:sz w:val="22"/>
          <w:szCs w:val="22"/>
        </w:rPr>
      </w:pPr>
      <w:r>
        <w:rPr>
          <w:sz w:val="22"/>
          <w:szCs w:val="22"/>
        </w:rPr>
        <w:t>How has the Department factored SGDs, Agenda 2063 and other treaties and obligations into its revised APP and new Strategic Plan?</w:t>
      </w:r>
    </w:p>
    <w:p w:rsidR="007F4EC4" w:rsidRPr="0009547C" w:rsidRDefault="007F4EC4" w:rsidP="00210103">
      <w:pPr>
        <w:pStyle w:val="ListParagraph"/>
        <w:numPr>
          <w:ilvl w:val="0"/>
          <w:numId w:val="3"/>
        </w:numPr>
        <w:pBdr>
          <w:top w:val="single" w:sz="4" w:space="1" w:color="auto"/>
          <w:left w:val="single" w:sz="4" w:space="4" w:color="auto"/>
          <w:bottom w:val="single" w:sz="4" w:space="1" w:color="auto"/>
          <w:right w:val="single" w:sz="4" w:space="4" w:color="auto"/>
        </w:pBdr>
        <w:spacing w:line="280" w:lineRule="exact"/>
        <w:jc w:val="both"/>
        <w:rPr>
          <w:sz w:val="22"/>
          <w:szCs w:val="22"/>
        </w:rPr>
      </w:pPr>
      <w:r>
        <w:rPr>
          <w:sz w:val="22"/>
          <w:szCs w:val="22"/>
        </w:rPr>
        <w:t>What is the role of the Department within the PRC? How will the outcomes of the 25-year review impact on the work and strategic direction of the Department?</w:t>
      </w:r>
    </w:p>
    <w:p w:rsidR="0009547C" w:rsidRDefault="0009547C" w:rsidP="002A431D">
      <w:pPr>
        <w:spacing w:line="280" w:lineRule="exact"/>
        <w:ind w:left="66"/>
        <w:jc w:val="both"/>
        <w:rPr>
          <w:sz w:val="22"/>
          <w:szCs w:val="22"/>
        </w:rPr>
      </w:pPr>
    </w:p>
    <w:p w:rsidR="00DC7119" w:rsidRPr="00DC7119" w:rsidRDefault="00DC7119" w:rsidP="002A431D">
      <w:pPr>
        <w:spacing w:line="280" w:lineRule="exact"/>
        <w:ind w:left="66"/>
        <w:jc w:val="both"/>
        <w:rPr>
          <w:i/>
          <w:sz w:val="22"/>
          <w:szCs w:val="22"/>
        </w:rPr>
      </w:pPr>
      <w:r w:rsidRPr="00DC7119">
        <w:rPr>
          <w:i/>
          <w:sz w:val="22"/>
          <w:szCs w:val="22"/>
        </w:rPr>
        <w:t>New opportunities</w:t>
      </w:r>
    </w:p>
    <w:p w:rsidR="00DC7119" w:rsidRDefault="00DC7119" w:rsidP="002A431D">
      <w:pPr>
        <w:spacing w:line="280" w:lineRule="exact"/>
        <w:ind w:left="66"/>
        <w:jc w:val="both"/>
        <w:rPr>
          <w:sz w:val="22"/>
          <w:szCs w:val="22"/>
        </w:rPr>
      </w:pPr>
      <w:r>
        <w:rPr>
          <w:sz w:val="22"/>
          <w:szCs w:val="22"/>
        </w:rPr>
        <w:t>Whilst the new opportunities listed by the Department</w:t>
      </w:r>
      <w:r w:rsidR="001A5E84">
        <w:rPr>
          <w:sz w:val="22"/>
          <w:szCs w:val="22"/>
        </w:rPr>
        <w:t xml:space="preserve"> in the power-point</w:t>
      </w:r>
      <w:r>
        <w:rPr>
          <w:sz w:val="22"/>
          <w:szCs w:val="22"/>
        </w:rPr>
        <w:t xml:space="preserve"> are to be commended, the sentiments lack specificity and appear to be more general statements of intent.</w:t>
      </w:r>
      <w:r w:rsidR="00473440">
        <w:rPr>
          <w:sz w:val="22"/>
          <w:szCs w:val="22"/>
        </w:rPr>
        <w:t xml:space="preserve"> It is also unclear what the link is between the new opportunities the Department identifies and how these are translated into the strategic objectives, key performance indicators and targets within the revised APP and adjusted Strategic Plan. Because the new opportunities are not specific enough it is unclear how the Department will achieve these.</w:t>
      </w:r>
    </w:p>
    <w:p w:rsidR="00473440" w:rsidRDefault="00473440" w:rsidP="002A431D">
      <w:pPr>
        <w:spacing w:line="280" w:lineRule="exact"/>
        <w:ind w:left="66"/>
        <w:jc w:val="both"/>
        <w:rPr>
          <w:sz w:val="22"/>
          <w:szCs w:val="22"/>
        </w:rPr>
      </w:pPr>
    </w:p>
    <w:p w:rsidR="001A5E84" w:rsidRDefault="001A5E84" w:rsidP="002A431D">
      <w:pPr>
        <w:spacing w:line="280" w:lineRule="exact"/>
        <w:ind w:left="66"/>
        <w:jc w:val="both"/>
        <w:rPr>
          <w:sz w:val="22"/>
          <w:szCs w:val="22"/>
        </w:rPr>
      </w:pPr>
      <w:r>
        <w:rPr>
          <w:sz w:val="22"/>
          <w:szCs w:val="22"/>
        </w:rPr>
        <w:t>The Minister’s Foreword indicates that with the establishment of the new Department, it provides new opportunities “to redress the inequalities and inequities that continue to impact the lives and livelihoods of women, young people of both sexes, persons with disabilities as well as LGBTIQA+ members within these sectors”.</w:t>
      </w:r>
      <w:r w:rsidR="00C852BF">
        <w:rPr>
          <w:sz w:val="22"/>
          <w:szCs w:val="22"/>
        </w:rPr>
        <w:t xml:space="preserve"> Whilst the Department is to be commended on focussing broadly on women, youth, persons with disabilities and included the LGBTQIA+ community it is unclear how these groups will be dealt with in a coherent manner over the next 5 years as the new Strategic Plan has yet to be submitted for consideration to the Committee.</w:t>
      </w:r>
    </w:p>
    <w:p w:rsidR="001A5E84" w:rsidRDefault="001A5E84" w:rsidP="002A431D">
      <w:pPr>
        <w:spacing w:line="280" w:lineRule="exact"/>
        <w:ind w:left="66"/>
        <w:jc w:val="both"/>
        <w:rPr>
          <w:sz w:val="22"/>
          <w:szCs w:val="22"/>
        </w:rPr>
      </w:pPr>
    </w:p>
    <w:p w:rsidR="00473440" w:rsidRPr="00473440" w:rsidRDefault="00473440" w:rsidP="002A431D">
      <w:pPr>
        <w:spacing w:line="280" w:lineRule="exact"/>
        <w:ind w:left="66"/>
        <w:jc w:val="both"/>
        <w:rPr>
          <w:i/>
          <w:sz w:val="22"/>
          <w:szCs w:val="22"/>
        </w:rPr>
      </w:pPr>
      <w:r w:rsidRPr="00473440">
        <w:rPr>
          <w:i/>
          <w:sz w:val="22"/>
          <w:szCs w:val="22"/>
        </w:rPr>
        <w:t>Key synergies</w:t>
      </w:r>
    </w:p>
    <w:p w:rsidR="000D6B5D" w:rsidRDefault="00473440" w:rsidP="002A431D">
      <w:pPr>
        <w:spacing w:line="280" w:lineRule="exact"/>
        <w:ind w:left="66"/>
        <w:jc w:val="both"/>
        <w:rPr>
          <w:sz w:val="22"/>
          <w:szCs w:val="22"/>
        </w:rPr>
      </w:pPr>
      <w:r>
        <w:rPr>
          <w:sz w:val="22"/>
          <w:szCs w:val="22"/>
        </w:rPr>
        <w:t>As with the new opportunities, the potential key synergies remain vague and lacks the requisite details that explains how the Department would give effect to the synergies that were identified. Furthermore, it is also unclear as to whether the synergies identified were intended for the 2019/20 financial year or for the next 5 years.</w:t>
      </w:r>
      <w:r w:rsidR="000D6B5D">
        <w:rPr>
          <w:sz w:val="22"/>
          <w:szCs w:val="22"/>
        </w:rPr>
        <w:t xml:space="preserve"> To this end, as the newly formed Department is a merger of women, youth and disability structures the synergies should then not only be outward looking but internally too as a cohesive, well-coordinated Government structure is required to effectively mainstream women, youth and disability into policy and programmes. These three focus areas have functioned independently of each other in separate departments prior to the merger. It will be important for the Committee to establish </w:t>
      </w:r>
      <w:r w:rsidR="00021860">
        <w:rPr>
          <w:sz w:val="22"/>
          <w:szCs w:val="22"/>
        </w:rPr>
        <w:t>what measures the Department has put in place to ensure that the programmes within the department do not work in silos.</w:t>
      </w:r>
    </w:p>
    <w:p w:rsidR="000D6B5D" w:rsidRDefault="000D6B5D" w:rsidP="002A431D">
      <w:pPr>
        <w:spacing w:line="280" w:lineRule="exact"/>
        <w:ind w:left="66"/>
        <w:jc w:val="both"/>
        <w:rPr>
          <w:sz w:val="22"/>
          <w:szCs w:val="22"/>
        </w:rPr>
      </w:pPr>
    </w:p>
    <w:p w:rsidR="00473440" w:rsidRPr="00021860" w:rsidRDefault="00021860" w:rsidP="001A5E84">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exact"/>
        <w:ind w:left="66"/>
        <w:jc w:val="both"/>
        <w:rPr>
          <w:b/>
          <w:sz w:val="22"/>
          <w:szCs w:val="22"/>
        </w:rPr>
      </w:pPr>
      <w:r w:rsidRPr="00021860">
        <w:rPr>
          <w:b/>
          <w:sz w:val="22"/>
          <w:szCs w:val="22"/>
        </w:rPr>
        <w:t xml:space="preserve">Questions for consideration </w:t>
      </w:r>
    </w:p>
    <w:p w:rsidR="00FB036C" w:rsidRPr="000D6B5D" w:rsidRDefault="00021860" w:rsidP="00210103">
      <w:pPr>
        <w:numPr>
          <w:ilvl w:val="0"/>
          <w:numId w:val="4"/>
        </w:numPr>
        <w:pBdr>
          <w:top w:val="single" w:sz="4" w:space="1" w:color="auto"/>
          <w:left w:val="single" w:sz="4" w:space="4" w:color="auto"/>
          <w:bottom w:val="single" w:sz="4" w:space="1" w:color="auto"/>
          <w:right w:val="single" w:sz="4" w:space="4" w:color="auto"/>
        </w:pBdr>
        <w:spacing w:line="280" w:lineRule="exact"/>
        <w:jc w:val="both"/>
        <w:rPr>
          <w:sz w:val="22"/>
          <w:szCs w:val="22"/>
        </w:rPr>
      </w:pPr>
      <w:r>
        <w:rPr>
          <w:sz w:val="22"/>
          <w:szCs w:val="22"/>
        </w:rPr>
        <w:t>How will the Department ensure that the “</w:t>
      </w:r>
      <w:r w:rsidR="00D60566" w:rsidRPr="000D6B5D">
        <w:rPr>
          <w:sz w:val="22"/>
          <w:szCs w:val="22"/>
        </w:rPr>
        <w:t>Mainstreaming of women, youth and persons with disabilities within policy and programming, specifically within planning, budgeting, monitoring and evaluation</w:t>
      </w:r>
      <w:r>
        <w:rPr>
          <w:sz w:val="22"/>
          <w:szCs w:val="22"/>
        </w:rPr>
        <w:t xml:space="preserve"> systems across state machinery” is achieved?</w:t>
      </w:r>
    </w:p>
    <w:p w:rsidR="00FB036C" w:rsidRDefault="00021860" w:rsidP="00210103">
      <w:pPr>
        <w:numPr>
          <w:ilvl w:val="0"/>
          <w:numId w:val="4"/>
        </w:numPr>
        <w:pBdr>
          <w:top w:val="single" w:sz="4" w:space="1" w:color="auto"/>
          <w:left w:val="single" w:sz="4" w:space="4" w:color="auto"/>
          <w:bottom w:val="single" w:sz="4" w:space="1" w:color="auto"/>
          <w:right w:val="single" w:sz="4" w:space="4" w:color="auto"/>
        </w:pBdr>
        <w:spacing w:line="280" w:lineRule="exact"/>
        <w:jc w:val="both"/>
        <w:rPr>
          <w:sz w:val="22"/>
          <w:szCs w:val="22"/>
        </w:rPr>
      </w:pPr>
      <w:r>
        <w:rPr>
          <w:sz w:val="22"/>
          <w:szCs w:val="22"/>
        </w:rPr>
        <w:t>Realistically how will the Department undertake “</w:t>
      </w:r>
      <w:r w:rsidR="00D60566" w:rsidRPr="000D6B5D">
        <w:rPr>
          <w:sz w:val="22"/>
          <w:szCs w:val="22"/>
        </w:rPr>
        <w:t>Performance reviews and scorecards for public entities and private sector to</w:t>
      </w:r>
      <w:r>
        <w:rPr>
          <w:sz w:val="22"/>
          <w:szCs w:val="22"/>
        </w:rPr>
        <w:t xml:space="preserve"> point to areas for improvement” with its existing workforce?</w:t>
      </w:r>
    </w:p>
    <w:p w:rsidR="007F4EC4" w:rsidRPr="000D6B5D" w:rsidRDefault="007F4EC4" w:rsidP="00210103">
      <w:pPr>
        <w:numPr>
          <w:ilvl w:val="0"/>
          <w:numId w:val="4"/>
        </w:numPr>
        <w:pBdr>
          <w:top w:val="single" w:sz="4" w:space="1" w:color="auto"/>
          <w:left w:val="single" w:sz="4" w:space="4" w:color="auto"/>
          <w:bottom w:val="single" w:sz="4" w:space="1" w:color="auto"/>
          <w:right w:val="single" w:sz="4" w:space="4" w:color="auto"/>
        </w:pBdr>
        <w:spacing w:line="280" w:lineRule="exact"/>
        <w:jc w:val="both"/>
        <w:rPr>
          <w:sz w:val="22"/>
          <w:szCs w:val="22"/>
        </w:rPr>
      </w:pPr>
      <w:r>
        <w:rPr>
          <w:sz w:val="22"/>
          <w:szCs w:val="22"/>
        </w:rPr>
        <w:t>What has the Department done to ensure synergy within the Department between the various programmes</w:t>
      </w:r>
      <w:r w:rsidR="003F0827">
        <w:rPr>
          <w:sz w:val="22"/>
          <w:szCs w:val="22"/>
        </w:rPr>
        <w:t xml:space="preserve"> with particular reference to mainstreaming, M&amp;E, treaty compliance and awareness raising</w:t>
      </w:r>
      <w:r>
        <w:rPr>
          <w:sz w:val="22"/>
          <w:szCs w:val="22"/>
        </w:rPr>
        <w:t>?</w:t>
      </w:r>
    </w:p>
    <w:p w:rsidR="000D6B5D" w:rsidRDefault="000D6B5D" w:rsidP="002A431D">
      <w:pPr>
        <w:spacing w:line="280" w:lineRule="exact"/>
        <w:ind w:left="66"/>
        <w:jc w:val="both"/>
        <w:rPr>
          <w:sz w:val="22"/>
          <w:szCs w:val="22"/>
        </w:rPr>
      </w:pPr>
    </w:p>
    <w:p w:rsidR="000D6B5D" w:rsidRPr="00C04C70" w:rsidRDefault="00632F3D" w:rsidP="002A431D">
      <w:pPr>
        <w:spacing w:line="280" w:lineRule="exact"/>
        <w:ind w:left="66"/>
        <w:jc w:val="both"/>
        <w:rPr>
          <w:i/>
          <w:sz w:val="22"/>
          <w:szCs w:val="22"/>
        </w:rPr>
      </w:pPr>
      <w:r w:rsidRPr="00C04C70">
        <w:rPr>
          <w:i/>
          <w:sz w:val="22"/>
          <w:szCs w:val="22"/>
        </w:rPr>
        <w:t>Key Priorities</w:t>
      </w:r>
    </w:p>
    <w:p w:rsidR="000D6B5D" w:rsidRDefault="00C04C70" w:rsidP="002A431D">
      <w:pPr>
        <w:spacing w:line="280" w:lineRule="exact"/>
        <w:ind w:left="66"/>
        <w:jc w:val="both"/>
        <w:rPr>
          <w:sz w:val="22"/>
          <w:szCs w:val="22"/>
        </w:rPr>
      </w:pPr>
      <w:r>
        <w:rPr>
          <w:sz w:val="22"/>
          <w:szCs w:val="22"/>
        </w:rPr>
        <w:t>The Department lists 11 key priorities for women, youth and persons with disabilities in addition to key performance areas for 2019/20 as well</w:t>
      </w:r>
      <w:r w:rsidR="007F4EC4">
        <w:rPr>
          <w:sz w:val="22"/>
          <w:szCs w:val="22"/>
        </w:rPr>
        <w:t xml:space="preserve"> in the power-point presentation</w:t>
      </w:r>
      <w:r>
        <w:rPr>
          <w:sz w:val="22"/>
          <w:szCs w:val="22"/>
        </w:rPr>
        <w:t>. For ease of reference these have been tabulated below.</w:t>
      </w:r>
    </w:p>
    <w:p w:rsidR="00C04C70" w:rsidRDefault="00C04C70" w:rsidP="002A431D">
      <w:pPr>
        <w:spacing w:line="280" w:lineRule="exact"/>
        <w:ind w:left="66"/>
        <w:jc w:val="both"/>
        <w:rPr>
          <w:sz w:val="22"/>
          <w:szCs w:val="22"/>
        </w:rPr>
      </w:pPr>
    </w:p>
    <w:p w:rsidR="003F0827" w:rsidRDefault="003F0827" w:rsidP="002A431D">
      <w:pPr>
        <w:spacing w:line="280" w:lineRule="exact"/>
        <w:ind w:left="66"/>
        <w:jc w:val="both"/>
        <w:rPr>
          <w:sz w:val="22"/>
          <w:szCs w:val="22"/>
        </w:rPr>
      </w:pPr>
    </w:p>
    <w:p w:rsidR="003F0827" w:rsidRDefault="003F0827" w:rsidP="002A431D">
      <w:pPr>
        <w:spacing w:line="280" w:lineRule="exact"/>
        <w:ind w:left="66"/>
        <w:jc w:val="both"/>
        <w:rPr>
          <w:sz w:val="22"/>
          <w:szCs w:val="22"/>
        </w:rPr>
      </w:pPr>
    </w:p>
    <w:p w:rsidR="006B23D3" w:rsidRPr="006B23D3" w:rsidRDefault="006B23D3" w:rsidP="002A431D">
      <w:pPr>
        <w:spacing w:line="280" w:lineRule="exact"/>
        <w:ind w:left="66"/>
        <w:jc w:val="both"/>
        <w:rPr>
          <w:b/>
          <w:sz w:val="22"/>
          <w:szCs w:val="22"/>
        </w:rPr>
      </w:pPr>
      <w:r w:rsidRPr="006B23D3">
        <w:rPr>
          <w:b/>
          <w:sz w:val="22"/>
          <w:szCs w:val="22"/>
        </w:rPr>
        <w:t>Table 2: Priorities</w:t>
      </w:r>
    </w:p>
    <w:tbl>
      <w:tblPr>
        <w:tblStyle w:val="TableGrid"/>
        <w:tblW w:w="0" w:type="auto"/>
        <w:tblInd w:w="66" w:type="dxa"/>
        <w:tblLook w:val="04A0"/>
      </w:tblPr>
      <w:tblGrid>
        <w:gridCol w:w="2056"/>
        <w:gridCol w:w="2698"/>
        <w:gridCol w:w="2403"/>
        <w:gridCol w:w="2405"/>
      </w:tblGrid>
      <w:tr w:rsidR="00C04C70" w:rsidRPr="00C04C70" w:rsidTr="007F4EC4">
        <w:trPr>
          <w:tblHeader/>
        </w:trPr>
        <w:tc>
          <w:tcPr>
            <w:tcW w:w="2056" w:type="dxa"/>
            <w:shd w:val="clear" w:color="auto" w:fill="BFBFBF" w:themeFill="background1" w:themeFillShade="BF"/>
          </w:tcPr>
          <w:p w:rsidR="00C04C70" w:rsidRPr="00C04C70" w:rsidRDefault="00C04C70" w:rsidP="00C04C70">
            <w:pPr>
              <w:spacing w:line="280" w:lineRule="exact"/>
              <w:jc w:val="center"/>
              <w:rPr>
                <w:b/>
                <w:sz w:val="22"/>
                <w:szCs w:val="22"/>
              </w:rPr>
            </w:pPr>
          </w:p>
        </w:tc>
        <w:tc>
          <w:tcPr>
            <w:tcW w:w="2698" w:type="dxa"/>
            <w:shd w:val="clear" w:color="auto" w:fill="BFBFBF" w:themeFill="background1" w:themeFillShade="BF"/>
          </w:tcPr>
          <w:p w:rsidR="00C04C70" w:rsidRPr="00C04C70" w:rsidRDefault="00C04C70" w:rsidP="00C04C70">
            <w:pPr>
              <w:spacing w:line="280" w:lineRule="exact"/>
              <w:jc w:val="center"/>
              <w:rPr>
                <w:b/>
                <w:sz w:val="22"/>
                <w:szCs w:val="22"/>
              </w:rPr>
            </w:pPr>
            <w:r w:rsidRPr="00C04C70">
              <w:rPr>
                <w:b/>
                <w:sz w:val="22"/>
                <w:szCs w:val="22"/>
              </w:rPr>
              <w:t>WOMEN</w:t>
            </w:r>
          </w:p>
        </w:tc>
        <w:tc>
          <w:tcPr>
            <w:tcW w:w="2403" w:type="dxa"/>
            <w:shd w:val="clear" w:color="auto" w:fill="BFBFBF" w:themeFill="background1" w:themeFillShade="BF"/>
          </w:tcPr>
          <w:p w:rsidR="00C04C70" w:rsidRPr="00C04C70" w:rsidRDefault="00C04C70" w:rsidP="00C04C70">
            <w:pPr>
              <w:spacing w:line="280" w:lineRule="exact"/>
              <w:jc w:val="center"/>
              <w:rPr>
                <w:b/>
                <w:sz w:val="22"/>
                <w:szCs w:val="22"/>
              </w:rPr>
            </w:pPr>
            <w:r w:rsidRPr="00C04C70">
              <w:rPr>
                <w:b/>
                <w:sz w:val="22"/>
                <w:szCs w:val="22"/>
              </w:rPr>
              <w:t>YOUTH</w:t>
            </w:r>
          </w:p>
        </w:tc>
        <w:tc>
          <w:tcPr>
            <w:tcW w:w="2405" w:type="dxa"/>
            <w:shd w:val="clear" w:color="auto" w:fill="BFBFBF" w:themeFill="background1" w:themeFillShade="BF"/>
          </w:tcPr>
          <w:p w:rsidR="00C04C70" w:rsidRPr="00C04C70" w:rsidRDefault="00C04C70" w:rsidP="00C04C70">
            <w:pPr>
              <w:spacing w:line="280" w:lineRule="exact"/>
              <w:jc w:val="center"/>
              <w:rPr>
                <w:b/>
                <w:sz w:val="22"/>
                <w:szCs w:val="22"/>
              </w:rPr>
            </w:pPr>
            <w:r w:rsidRPr="00C04C70">
              <w:rPr>
                <w:b/>
                <w:sz w:val="22"/>
                <w:szCs w:val="22"/>
              </w:rPr>
              <w:t>DISABILITY</w:t>
            </w:r>
          </w:p>
        </w:tc>
      </w:tr>
      <w:tr w:rsidR="0001230F" w:rsidTr="007F4EC4">
        <w:tc>
          <w:tcPr>
            <w:tcW w:w="2056" w:type="dxa"/>
            <w:vMerge w:val="restart"/>
          </w:tcPr>
          <w:p w:rsidR="0001230F" w:rsidRPr="00C04C70" w:rsidRDefault="0001230F" w:rsidP="002A431D">
            <w:pPr>
              <w:spacing w:line="280" w:lineRule="exact"/>
              <w:jc w:val="both"/>
              <w:rPr>
                <w:b/>
                <w:sz w:val="22"/>
                <w:szCs w:val="22"/>
              </w:rPr>
            </w:pPr>
            <w:r w:rsidRPr="00C04C70">
              <w:rPr>
                <w:b/>
                <w:sz w:val="22"/>
                <w:szCs w:val="22"/>
              </w:rPr>
              <w:t>KEY PRIORITIES</w:t>
            </w:r>
          </w:p>
        </w:tc>
        <w:tc>
          <w:tcPr>
            <w:tcW w:w="2698" w:type="dxa"/>
          </w:tcPr>
          <w:p w:rsidR="0001230F" w:rsidRPr="00C04C70" w:rsidRDefault="0001230F" w:rsidP="00210103">
            <w:pPr>
              <w:numPr>
                <w:ilvl w:val="0"/>
                <w:numId w:val="6"/>
              </w:numPr>
              <w:tabs>
                <w:tab w:val="clear" w:pos="720"/>
                <w:tab w:val="num" w:pos="406"/>
              </w:tabs>
              <w:spacing w:line="280" w:lineRule="exact"/>
              <w:ind w:left="301"/>
              <w:rPr>
                <w:sz w:val="22"/>
                <w:szCs w:val="22"/>
              </w:rPr>
            </w:pPr>
            <w:r w:rsidRPr="00C04C70">
              <w:rPr>
                <w:sz w:val="22"/>
                <w:szCs w:val="22"/>
              </w:rPr>
              <w:t>Eradication of GBV</w:t>
            </w:r>
          </w:p>
          <w:p w:rsidR="0001230F" w:rsidRPr="00C04C70" w:rsidRDefault="0001230F" w:rsidP="00210103">
            <w:pPr>
              <w:numPr>
                <w:ilvl w:val="0"/>
                <w:numId w:val="6"/>
              </w:numPr>
              <w:tabs>
                <w:tab w:val="clear" w:pos="720"/>
                <w:tab w:val="num" w:pos="406"/>
              </w:tabs>
              <w:spacing w:line="280" w:lineRule="exact"/>
              <w:ind w:left="301"/>
              <w:rPr>
                <w:sz w:val="22"/>
                <w:szCs w:val="22"/>
              </w:rPr>
            </w:pPr>
            <w:r w:rsidRPr="00C04C70">
              <w:rPr>
                <w:sz w:val="22"/>
                <w:szCs w:val="22"/>
              </w:rPr>
              <w:t xml:space="preserve">Multi-sectoral body </w:t>
            </w:r>
            <w:r>
              <w:rPr>
                <w:sz w:val="22"/>
                <w:szCs w:val="22"/>
              </w:rPr>
              <w:t>-</w:t>
            </w:r>
            <w:r w:rsidRPr="00C04C70">
              <w:rPr>
                <w:sz w:val="22"/>
                <w:szCs w:val="22"/>
              </w:rPr>
              <w:t xml:space="preserve"> GBVF Summit and NSP</w:t>
            </w:r>
          </w:p>
          <w:p w:rsidR="0001230F" w:rsidRPr="00C04C70" w:rsidRDefault="0001230F" w:rsidP="00210103">
            <w:pPr>
              <w:numPr>
                <w:ilvl w:val="0"/>
                <w:numId w:val="6"/>
              </w:numPr>
              <w:tabs>
                <w:tab w:val="clear" w:pos="720"/>
                <w:tab w:val="num" w:pos="406"/>
              </w:tabs>
              <w:spacing w:line="280" w:lineRule="exact"/>
              <w:ind w:left="301"/>
              <w:rPr>
                <w:sz w:val="22"/>
                <w:szCs w:val="22"/>
              </w:rPr>
            </w:pPr>
            <w:r w:rsidRPr="00C04C70">
              <w:rPr>
                <w:sz w:val="22"/>
                <w:szCs w:val="22"/>
              </w:rPr>
              <w:t>M</w:t>
            </w:r>
            <w:r>
              <w:rPr>
                <w:sz w:val="22"/>
                <w:szCs w:val="22"/>
              </w:rPr>
              <w:t xml:space="preserve">&amp;E </w:t>
            </w:r>
            <w:r w:rsidRPr="00C04C70">
              <w:rPr>
                <w:sz w:val="22"/>
                <w:szCs w:val="22"/>
              </w:rPr>
              <w:t xml:space="preserve">implementation of GRPBMEA and integration of youth and disability rights priorities in plans and budgets at all levels </w:t>
            </w:r>
          </w:p>
          <w:p w:rsidR="0001230F" w:rsidRPr="009070EC" w:rsidRDefault="0001230F" w:rsidP="00210103">
            <w:pPr>
              <w:numPr>
                <w:ilvl w:val="0"/>
                <w:numId w:val="6"/>
              </w:numPr>
              <w:tabs>
                <w:tab w:val="clear" w:pos="720"/>
                <w:tab w:val="num" w:pos="406"/>
              </w:tabs>
              <w:spacing w:line="280" w:lineRule="exact"/>
              <w:ind w:left="301"/>
              <w:rPr>
                <w:sz w:val="22"/>
                <w:szCs w:val="22"/>
              </w:rPr>
            </w:pPr>
            <w:r>
              <w:rPr>
                <w:sz w:val="22"/>
                <w:szCs w:val="22"/>
                <w:lang w:val="en-US"/>
              </w:rPr>
              <w:t>M&amp;E</w:t>
            </w:r>
            <w:r w:rsidRPr="00C04C70">
              <w:rPr>
                <w:sz w:val="22"/>
                <w:szCs w:val="22"/>
                <w:lang w:val="en-US"/>
              </w:rPr>
              <w:t xml:space="preserve"> Sanitary Dignity project </w:t>
            </w:r>
            <w:r>
              <w:rPr>
                <w:sz w:val="22"/>
                <w:szCs w:val="22"/>
                <w:lang w:val="en-US"/>
              </w:rPr>
              <w:t>-</w:t>
            </w:r>
            <w:r w:rsidRPr="00C04C70">
              <w:rPr>
                <w:sz w:val="22"/>
                <w:szCs w:val="22"/>
                <w:lang w:val="en-US"/>
              </w:rPr>
              <w:t xml:space="preserve"> 9 Provinces</w:t>
            </w:r>
            <w:r>
              <w:rPr>
                <w:sz w:val="22"/>
                <w:szCs w:val="22"/>
                <w:lang w:val="en-US"/>
              </w:rPr>
              <w:t>, R</w:t>
            </w:r>
            <w:r w:rsidRPr="00C04C70">
              <w:rPr>
                <w:sz w:val="22"/>
                <w:szCs w:val="22"/>
                <w:lang w:val="en-US"/>
              </w:rPr>
              <w:t xml:space="preserve">ollout of Sanitary Dignity Implementation Framework </w:t>
            </w:r>
          </w:p>
        </w:tc>
        <w:tc>
          <w:tcPr>
            <w:tcW w:w="2403" w:type="dxa"/>
          </w:tcPr>
          <w:p w:rsidR="0001230F" w:rsidRPr="00C04C70" w:rsidRDefault="0001230F" w:rsidP="00210103">
            <w:pPr>
              <w:numPr>
                <w:ilvl w:val="0"/>
                <w:numId w:val="5"/>
              </w:numPr>
              <w:tabs>
                <w:tab w:val="clear" w:pos="720"/>
                <w:tab w:val="num" w:pos="364"/>
              </w:tabs>
              <w:spacing w:line="280" w:lineRule="exact"/>
              <w:ind w:left="364"/>
              <w:jc w:val="both"/>
              <w:rPr>
                <w:sz w:val="22"/>
                <w:szCs w:val="22"/>
              </w:rPr>
            </w:pPr>
            <w:r>
              <w:rPr>
                <w:sz w:val="22"/>
                <w:szCs w:val="22"/>
              </w:rPr>
              <w:t>Y</w:t>
            </w:r>
            <w:r w:rsidRPr="00C04C70">
              <w:rPr>
                <w:sz w:val="22"/>
                <w:szCs w:val="22"/>
              </w:rPr>
              <w:t>outh Not in Employment, Education and Training (NEET)</w:t>
            </w:r>
          </w:p>
          <w:p w:rsidR="0001230F" w:rsidRPr="00C04C70" w:rsidRDefault="0001230F" w:rsidP="00210103">
            <w:pPr>
              <w:numPr>
                <w:ilvl w:val="0"/>
                <w:numId w:val="5"/>
              </w:numPr>
              <w:tabs>
                <w:tab w:val="clear" w:pos="720"/>
                <w:tab w:val="num" w:pos="364"/>
              </w:tabs>
              <w:spacing w:line="280" w:lineRule="exact"/>
              <w:ind w:left="364"/>
              <w:jc w:val="both"/>
              <w:rPr>
                <w:sz w:val="22"/>
                <w:szCs w:val="22"/>
              </w:rPr>
            </w:pPr>
            <w:r w:rsidRPr="00C04C70">
              <w:rPr>
                <w:sz w:val="22"/>
                <w:szCs w:val="22"/>
              </w:rPr>
              <w:t>Youth Employment Strategy</w:t>
            </w:r>
          </w:p>
          <w:p w:rsidR="0001230F" w:rsidRPr="00C04C70" w:rsidRDefault="0001230F" w:rsidP="00210103">
            <w:pPr>
              <w:numPr>
                <w:ilvl w:val="0"/>
                <w:numId w:val="5"/>
              </w:numPr>
              <w:tabs>
                <w:tab w:val="clear" w:pos="720"/>
                <w:tab w:val="num" w:pos="364"/>
              </w:tabs>
              <w:spacing w:line="280" w:lineRule="exact"/>
              <w:ind w:left="364"/>
              <w:jc w:val="both"/>
              <w:rPr>
                <w:sz w:val="22"/>
                <w:szCs w:val="22"/>
              </w:rPr>
            </w:pPr>
            <w:r w:rsidRPr="00C04C70">
              <w:rPr>
                <w:sz w:val="22"/>
                <w:szCs w:val="22"/>
              </w:rPr>
              <w:t>National Youth Service</w:t>
            </w:r>
          </w:p>
          <w:p w:rsidR="0001230F" w:rsidRPr="00C04C70" w:rsidRDefault="0001230F" w:rsidP="00210103">
            <w:pPr>
              <w:numPr>
                <w:ilvl w:val="0"/>
                <w:numId w:val="5"/>
              </w:numPr>
              <w:tabs>
                <w:tab w:val="clear" w:pos="720"/>
                <w:tab w:val="num" w:pos="364"/>
              </w:tabs>
              <w:spacing w:line="280" w:lineRule="exact"/>
              <w:ind w:left="364"/>
              <w:jc w:val="both"/>
              <w:rPr>
                <w:sz w:val="22"/>
                <w:szCs w:val="22"/>
              </w:rPr>
            </w:pPr>
            <w:r w:rsidRPr="00C04C70">
              <w:rPr>
                <w:sz w:val="22"/>
                <w:szCs w:val="22"/>
              </w:rPr>
              <w:t>Youth Entrepreneurship</w:t>
            </w:r>
          </w:p>
          <w:p w:rsidR="0001230F" w:rsidRDefault="0001230F" w:rsidP="002A431D">
            <w:pPr>
              <w:spacing w:line="280" w:lineRule="exact"/>
              <w:jc w:val="both"/>
              <w:rPr>
                <w:sz w:val="22"/>
                <w:szCs w:val="22"/>
              </w:rPr>
            </w:pPr>
          </w:p>
        </w:tc>
        <w:tc>
          <w:tcPr>
            <w:tcW w:w="2405" w:type="dxa"/>
          </w:tcPr>
          <w:p w:rsidR="0001230F" w:rsidRPr="00C04C70" w:rsidRDefault="0001230F" w:rsidP="00210103">
            <w:pPr>
              <w:numPr>
                <w:ilvl w:val="0"/>
                <w:numId w:val="7"/>
              </w:numPr>
              <w:tabs>
                <w:tab w:val="clear" w:pos="720"/>
                <w:tab w:val="num" w:pos="463"/>
              </w:tabs>
              <w:spacing w:line="280" w:lineRule="exact"/>
              <w:ind w:left="321"/>
              <w:jc w:val="both"/>
              <w:rPr>
                <w:sz w:val="22"/>
                <w:szCs w:val="22"/>
              </w:rPr>
            </w:pPr>
            <w:r w:rsidRPr="00C04C70">
              <w:rPr>
                <w:sz w:val="22"/>
                <w:szCs w:val="22"/>
                <w:lang w:val="en-US"/>
              </w:rPr>
              <w:t xml:space="preserve">Universal access and design  </w:t>
            </w:r>
          </w:p>
          <w:p w:rsidR="0001230F" w:rsidRDefault="0001230F" w:rsidP="002A431D">
            <w:pPr>
              <w:spacing w:line="280" w:lineRule="exact"/>
              <w:jc w:val="both"/>
              <w:rPr>
                <w:sz w:val="22"/>
                <w:szCs w:val="22"/>
              </w:rPr>
            </w:pPr>
          </w:p>
        </w:tc>
      </w:tr>
      <w:tr w:rsidR="0001230F" w:rsidTr="007F4EC4">
        <w:tc>
          <w:tcPr>
            <w:tcW w:w="2056" w:type="dxa"/>
            <w:vMerge/>
          </w:tcPr>
          <w:p w:rsidR="0001230F" w:rsidRPr="00C04C70" w:rsidRDefault="0001230F" w:rsidP="002A431D">
            <w:pPr>
              <w:spacing w:line="280" w:lineRule="exact"/>
              <w:jc w:val="both"/>
              <w:rPr>
                <w:b/>
                <w:sz w:val="22"/>
                <w:szCs w:val="22"/>
              </w:rPr>
            </w:pPr>
          </w:p>
        </w:tc>
        <w:tc>
          <w:tcPr>
            <w:tcW w:w="7506" w:type="dxa"/>
            <w:gridSpan w:val="3"/>
          </w:tcPr>
          <w:p w:rsidR="0001230F" w:rsidRPr="009070EC" w:rsidRDefault="0001230F" w:rsidP="00210103">
            <w:pPr>
              <w:numPr>
                <w:ilvl w:val="0"/>
                <w:numId w:val="7"/>
              </w:numPr>
              <w:tabs>
                <w:tab w:val="clear" w:pos="720"/>
                <w:tab w:val="num" w:pos="428"/>
              </w:tabs>
              <w:spacing w:line="280" w:lineRule="exact"/>
              <w:ind w:left="428"/>
              <w:jc w:val="both"/>
              <w:rPr>
                <w:sz w:val="22"/>
                <w:szCs w:val="22"/>
              </w:rPr>
            </w:pPr>
            <w:r w:rsidRPr="009070EC">
              <w:rPr>
                <w:sz w:val="22"/>
                <w:szCs w:val="22"/>
                <w:lang w:val="en-US"/>
              </w:rPr>
              <w:t xml:space="preserve">Revitalising and Strengthening the National Machineries </w:t>
            </w:r>
          </w:p>
          <w:p w:rsidR="0001230F" w:rsidRPr="009070EC" w:rsidRDefault="0001230F" w:rsidP="00210103">
            <w:pPr>
              <w:numPr>
                <w:ilvl w:val="0"/>
                <w:numId w:val="7"/>
              </w:numPr>
              <w:tabs>
                <w:tab w:val="clear" w:pos="720"/>
                <w:tab w:val="num" w:pos="428"/>
              </w:tabs>
              <w:spacing w:line="280" w:lineRule="exact"/>
              <w:ind w:left="428"/>
              <w:jc w:val="both"/>
              <w:rPr>
                <w:sz w:val="22"/>
                <w:szCs w:val="22"/>
              </w:rPr>
            </w:pPr>
            <w:r w:rsidRPr="009070EC">
              <w:rPr>
                <w:sz w:val="22"/>
                <w:szCs w:val="22"/>
                <w:lang w:val="en-US"/>
              </w:rPr>
              <w:t>Support and Coordinate the Presidential Working Groups on Women, Youth and Persons with Disabilities</w:t>
            </w:r>
          </w:p>
        </w:tc>
      </w:tr>
      <w:tr w:rsidR="00C04C70" w:rsidTr="007F4EC4">
        <w:tc>
          <w:tcPr>
            <w:tcW w:w="2056" w:type="dxa"/>
          </w:tcPr>
          <w:p w:rsidR="00C04C70" w:rsidRPr="00C04C70" w:rsidRDefault="00C04C70" w:rsidP="002A431D">
            <w:pPr>
              <w:spacing w:line="280" w:lineRule="exact"/>
              <w:jc w:val="both"/>
              <w:rPr>
                <w:b/>
                <w:sz w:val="22"/>
                <w:szCs w:val="22"/>
              </w:rPr>
            </w:pPr>
            <w:r w:rsidRPr="00C04C70">
              <w:rPr>
                <w:b/>
                <w:sz w:val="22"/>
                <w:szCs w:val="22"/>
              </w:rPr>
              <w:t>KEY PERFORMANCE AREAS 2019/20</w:t>
            </w:r>
          </w:p>
        </w:tc>
        <w:tc>
          <w:tcPr>
            <w:tcW w:w="2698" w:type="dxa"/>
          </w:tcPr>
          <w:p w:rsidR="00FB036C" w:rsidRPr="009070EC" w:rsidRDefault="00D60566" w:rsidP="00210103">
            <w:pPr>
              <w:numPr>
                <w:ilvl w:val="0"/>
                <w:numId w:val="9"/>
              </w:numPr>
              <w:tabs>
                <w:tab w:val="clear" w:pos="720"/>
                <w:tab w:val="num" w:pos="428"/>
              </w:tabs>
              <w:spacing w:line="280" w:lineRule="exact"/>
              <w:ind w:left="286"/>
              <w:rPr>
                <w:sz w:val="22"/>
                <w:szCs w:val="22"/>
              </w:rPr>
            </w:pPr>
            <w:r w:rsidRPr="009070EC">
              <w:rPr>
                <w:sz w:val="22"/>
                <w:szCs w:val="22"/>
              </w:rPr>
              <w:t xml:space="preserve">Sanitary Dignity Framework to be submitted to Cabinet for consideration and approval </w:t>
            </w:r>
          </w:p>
          <w:p w:rsidR="00FB036C" w:rsidRDefault="00D60566" w:rsidP="00210103">
            <w:pPr>
              <w:numPr>
                <w:ilvl w:val="0"/>
                <w:numId w:val="9"/>
              </w:numPr>
              <w:tabs>
                <w:tab w:val="clear" w:pos="720"/>
                <w:tab w:val="num" w:pos="428"/>
              </w:tabs>
              <w:spacing w:line="280" w:lineRule="exact"/>
              <w:ind w:left="286"/>
              <w:rPr>
                <w:sz w:val="22"/>
                <w:szCs w:val="22"/>
              </w:rPr>
            </w:pPr>
            <w:r w:rsidRPr="009070EC">
              <w:rPr>
                <w:sz w:val="22"/>
                <w:szCs w:val="22"/>
              </w:rPr>
              <w:t xml:space="preserve">Collaborate with key strategic partners – DPME on infusing the current </w:t>
            </w:r>
            <w:r w:rsidR="009070EC">
              <w:rPr>
                <w:sz w:val="22"/>
                <w:szCs w:val="22"/>
              </w:rPr>
              <w:t xml:space="preserve">M&amp;E </w:t>
            </w:r>
            <w:r w:rsidRPr="009070EC">
              <w:rPr>
                <w:sz w:val="22"/>
                <w:szCs w:val="22"/>
              </w:rPr>
              <w:t xml:space="preserve">framework of Government </w:t>
            </w:r>
            <w:r w:rsidR="009070EC">
              <w:rPr>
                <w:sz w:val="22"/>
                <w:szCs w:val="22"/>
              </w:rPr>
              <w:t>(</w:t>
            </w:r>
            <w:r w:rsidRPr="009070EC">
              <w:rPr>
                <w:sz w:val="22"/>
                <w:szCs w:val="22"/>
              </w:rPr>
              <w:t xml:space="preserve">indicators </w:t>
            </w:r>
            <w:r w:rsidR="009070EC">
              <w:rPr>
                <w:sz w:val="22"/>
                <w:szCs w:val="22"/>
              </w:rPr>
              <w:t xml:space="preserve">- </w:t>
            </w:r>
            <w:r w:rsidRPr="009070EC">
              <w:rPr>
                <w:sz w:val="22"/>
                <w:szCs w:val="22"/>
              </w:rPr>
              <w:t>empowerment and equality for women and ensure that before each budget policy speech</w:t>
            </w:r>
          </w:p>
          <w:p w:rsidR="0001230F" w:rsidRDefault="0001230F" w:rsidP="00210103">
            <w:pPr>
              <w:numPr>
                <w:ilvl w:val="0"/>
                <w:numId w:val="9"/>
              </w:numPr>
              <w:tabs>
                <w:tab w:val="clear" w:pos="720"/>
                <w:tab w:val="num" w:pos="428"/>
              </w:tabs>
              <w:spacing w:line="280" w:lineRule="exact"/>
              <w:ind w:left="286"/>
              <w:rPr>
                <w:sz w:val="22"/>
                <w:szCs w:val="22"/>
              </w:rPr>
            </w:pPr>
            <w:r>
              <w:rPr>
                <w:sz w:val="22"/>
                <w:szCs w:val="22"/>
              </w:rPr>
              <w:t>NGM</w:t>
            </w:r>
          </w:p>
          <w:p w:rsidR="0001230F" w:rsidRDefault="0001230F" w:rsidP="00210103">
            <w:pPr>
              <w:numPr>
                <w:ilvl w:val="0"/>
                <w:numId w:val="9"/>
              </w:numPr>
              <w:tabs>
                <w:tab w:val="clear" w:pos="720"/>
                <w:tab w:val="num" w:pos="428"/>
              </w:tabs>
              <w:spacing w:line="280" w:lineRule="exact"/>
              <w:ind w:left="286"/>
              <w:rPr>
                <w:sz w:val="22"/>
                <w:szCs w:val="22"/>
              </w:rPr>
            </w:pPr>
            <w:r>
              <w:rPr>
                <w:sz w:val="22"/>
                <w:szCs w:val="22"/>
              </w:rPr>
              <w:t>NCGBV</w:t>
            </w:r>
          </w:p>
          <w:p w:rsidR="0001230F" w:rsidRDefault="0001230F" w:rsidP="00210103">
            <w:pPr>
              <w:numPr>
                <w:ilvl w:val="0"/>
                <w:numId w:val="9"/>
              </w:numPr>
              <w:tabs>
                <w:tab w:val="clear" w:pos="720"/>
                <w:tab w:val="num" w:pos="428"/>
              </w:tabs>
              <w:spacing w:line="280" w:lineRule="exact"/>
              <w:ind w:left="286"/>
              <w:rPr>
                <w:sz w:val="22"/>
                <w:szCs w:val="22"/>
              </w:rPr>
            </w:pPr>
            <w:r>
              <w:rPr>
                <w:sz w:val="22"/>
                <w:szCs w:val="22"/>
              </w:rPr>
              <w:t>GRB</w:t>
            </w:r>
          </w:p>
          <w:p w:rsidR="0001230F" w:rsidRDefault="0001230F" w:rsidP="00210103">
            <w:pPr>
              <w:numPr>
                <w:ilvl w:val="0"/>
                <w:numId w:val="9"/>
              </w:numPr>
              <w:tabs>
                <w:tab w:val="clear" w:pos="720"/>
                <w:tab w:val="num" w:pos="428"/>
              </w:tabs>
              <w:spacing w:line="280" w:lineRule="exact"/>
              <w:ind w:left="286"/>
              <w:rPr>
                <w:sz w:val="22"/>
                <w:szCs w:val="22"/>
              </w:rPr>
            </w:pPr>
            <w:r>
              <w:rPr>
                <w:sz w:val="22"/>
                <w:szCs w:val="22"/>
              </w:rPr>
              <w:t>Country Gender Indicator Framework</w:t>
            </w:r>
          </w:p>
          <w:p w:rsidR="0001230F" w:rsidRDefault="0001230F" w:rsidP="00210103">
            <w:pPr>
              <w:numPr>
                <w:ilvl w:val="0"/>
                <w:numId w:val="9"/>
              </w:numPr>
              <w:tabs>
                <w:tab w:val="clear" w:pos="720"/>
                <w:tab w:val="num" w:pos="428"/>
              </w:tabs>
              <w:spacing w:line="280" w:lineRule="exact"/>
              <w:ind w:left="286"/>
              <w:rPr>
                <w:sz w:val="22"/>
                <w:szCs w:val="22"/>
              </w:rPr>
            </w:pPr>
            <w:r>
              <w:rPr>
                <w:sz w:val="22"/>
                <w:szCs w:val="22"/>
              </w:rPr>
              <w:t xml:space="preserve">Reports performance </w:t>
            </w:r>
            <w:r>
              <w:rPr>
                <w:sz w:val="22"/>
                <w:szCs w:val="22"/>
              </w:rPr>
              <w:lastRenderedPageBreak/>
              <w:t>monitoring reviews – WEGE</w:t>
            </w:r>
          </w:p>
          <w:p w:rsidR="0001230F" w:rsidRDefault="0001230F" w:rsidP="00210103">
            <w:pPr>
              <w:numPr>
                <w:ilvl w:val="0"/>
                <w:numId w:val="9"/>
              </w:numPr>
              <w:tabs>
                <w:tab w:val="clear" w:pos="720"/>
                <w:tab w:val="num" w:pos="428"/>
              </w:tabs>
              <w:spacing w:line="280" w:lineRule="exact"/>
              <w:ind w:left="286"/>
              <w:rPr>
                <w:sz w:val="22"/>
                <w:szCs w:val="22"/>
              </w:rPr>
            </w:pPr>
            <w:r>
              <w:rPr>
                <w:sz w:val="22"/>
                <w:szCs w:val="22"/>
              </w:rPr>
              <w:t>NSP GBVF</w:t>
            </w:r>
          </w:p>
          <w:p w:rsidR="0001230F" w:rsidRDefault="0001230F" w:rsidP="00210103">
            <w:pPr>
              <w:numPr>
                <w:ilvl w:val="0"/>
                <w:numId w:val="9"/>
              </w:numPr>
              <w:tabs>
                <w:tab w:val="clear" w:pos="720"/>
                <w:tab w:val="num" w:pos="428"/>
              </w:tabs>
              <w:spacing w:line="280" w:lineRule="exact"/>
              <w:ind w:left="286"/>
              <w:rPr>
                <w:sz w:val="22"/>
                <w:szCs w:val="22"/>
              </w:rPr>
            </w:pPr>
            <w:r>
              <w:rPr>
                <w:sz w:val="22"/>
                <w:szCs w:val="22"/>
              </w:rPr>
              <w:t>Monitor implementation – GBV Summit</w:t>
            </w:r>
          </w:p>
          <w:p w:rsidR="0001230F" w:rsidRDefault="0001230F" w:rsidP="00210103">
            <w:pPr>
              <w:numPr>
                <w:ilvl w:val="0"/>
                <w:numId w:val="9"/>
              </w:numPr>
              <w:tabs>
                <w:tab w:val="clear" w:pos="720"/>
                <w:tab w:val="num" w:pos="428"/>
              </w:tabs>
              <w:spacing w:line="280" w:lineRule="exact"/>
              <w:ind w:left="286"/>
              <w:rPr>
                <w:sz w:val="22"/>
                <w:szCs w:val="22"/>
              </w:rPr>
            </w:pPr>
            <w:r>
              <w:rPr>
                <w:sz w:val="22"/>
                <w:szCs w:val="22"/>
              </w:rPr>
              <w:t>Social Campaigns dialogues</w:t>
            </w:r>
          </w:p>
          <w:p w:rsidR="0001230F" w:rsidRDefault="0001230F" w:rsidP="00210103">
            <w:pPr>
              <w:numPr>
                <w:ilvl w:val="0"/>
                <w:numId w:val="9"/>
              </w:numPr>
              <w:tabs>
                <w:tab w:val="clear" w:pos="720"/>
                <w:tab w:val="num" w:pos="428"/>
              </w:tabs>
              <w:spacing w:line="280" w:lineRule="exact"/>
              <w:ind w:left="286"/>
              <w:rPr>
                <w:sz w:val="22"/>
                <w:szCs w:val="22"/>
              </w:rPr>
            </w:pPr>
            <w:r>
              <w:rPr>
                <w:sz w:val="22"/>
                <w:szCs w:val="22"/>
              </w:rPr>
              <w:t>SADC Protocol on Gender &amp; Dev.</w:t>
            </w:r>
          </w:p>
          <w:p w:rsidR="00C04C70" w:rsidRPr="00B643E2" w:rsidRDefault="0001230F" w:rsidP="00210103">
            <w:pPr>
              <w:numPr>
                <w:ilvl w:val="0"/>
                <w:numId w:val="9"/>
              </w:numPr>
              <w:tabs>
                <w:tab w:val="clear" w:pos="720"/>
                <w:tab w:val="num" w:pos="428"/>
              </w:tabs>
              <w:spacing w:line="280" w:lineRule="exact"/>
              <w:ind w:left="286"/>
              <w:rPr>
                <w:sz w:val="22"/>
                <w:szCs w:val="22"/>
              </w:rPr>
            </w:pPr>
            <w:r>
              <w:rPr>
                <w:sz w:val="22"/>
                <w:szCs w:val="22"/>
              </w:rPr>
              <w:t>CEDAW country report</w:t>
            </w:r>
          </w:p>
        </w:tc>
        <w:tc>
          <w:tcPr>
            <w:tcW w:w="2403" w:type="dxa"/>
          </w:tcPr>
          <w:p w:rsidR="00C04C70" w:rsidRDefault="0001230F" w:rsidP="00210103">
            <w:pPr>
              <w:pStyle w:val="ListParagraph"/>
              <w:numPr>
                <w:ilvl w:val="0"/>
                <w:numId w:val="9"/>
              </w:numPr>
              <w:tabs>
                <w:tab w:val="clear" w:pos="720"/>
                <w:tab w:val="num" w:pos="453"/>
              </w:tabs>
              <w:spacing w:line="280" w:lineRule="exact"/>
              <w:ind w:left="311"/>
              <w:rPr>
                <w:sz w:val="22"/>
                <w:szCs w:val="22"/>
              </w:rPr>
            </w:pPr>
            <w:r w:rsidRPr="0001230F">
              <w:rPr>
                <w:sz w:val="22"/>
                <w:szCs w:val="22"/>
              </w:rPr>
              <w:lastRenderedPageBreak/>
              <w:t>Develop &amp; Review youth development polices and legislation</w:t>
            </w:r>
          </w:p>
          <w:p w:rsidR="0001230F" w:rsidRDefault="0001230F" w:rsidP="00210103">
            <w:pPr>
              <w:pStyle w:val="ListParagraph"/>
              <w:numPr>
                <w:ilvl w:val="0"/>
                <w:numId w:val="9"/>
              </w:numPr>
              <w:tabs>
                <w:tab w:val="clear" w:pos="720"/>
                <w:tab w:val="num" w:pos="453"/>
              </w:tabs>
              <w:spacing w:line="280" w:lineRule="exact"/>
              <w:ind w:left="311"/>
              <w:rPr>
                <w:sz w:val="22"/>
                <w:szCs w:val="22"/>
              </w:rPr>
            </w:pPr>
            <w:r>
              <w:rPr>
                <w:sz w:val="22"/>
                <w:szCs w:val="22"/>
              </w:rPr>
              <w:t>Guidelines &amp; frameworks – NYP, NYS</w:t>
            </w:r>
          </w:p>
          <w:p w:rsidR="00B643E2" w:rsidRPr="00B643E2" w:rsidRDefault="00D60566" w:rsidP="00210103">
            <w:pPr>
              <w:pStyle w:val="ListParagraph"/>
              <w:numPr>
                <w:ilvl w:val="0"/>
                <w:numId w:val="9"/>
              </w:numPr>
              <w:tabs>
                <w:tab w:val="clear" w:pos="720"/>
                <w:tab w:val="num" w:pos="453"/>
              </w:tabs>
              <w:spacing w:line="280" w:lineRule="exact"/>
              <w:ind w:left="311"/>
              <w:rPr>
                <w:sz w:val="22"/>
                <w:szCs w:val="22"/>
              </w:rPr>
            </w:pPr>
            <w:r w:rsidRPr="0001230F">
              <w:rPr>
                <w:sz w:val="22"/>
                <w:szCs w:val="22"/>
                <w:lang w:val="en-US"/>
              </w:rPr>
              <w:t xml:space="preserve">Support government departments </w:t>
            </w:r>
            <w:r w:rsidR="00B643E2">
              <w:rPr>
                <w:sz w:val="22"/>
                <w:szCs w:val="22"/>
                <w:lang w:val="en-US"/>
              </w:rPr>
              <w:t>-</w:t>
            </w:r>
            <w:r w:rsidRPr="0001230F">
              <w:rPr>
                <w:sz w:val="22"/>
                <w:szCs w:val="22"/>
                <w:lang w:val="en-US"/>
              </w:rPr>
              <w:t>mainstreaming youth development</w:t>
            </w:r>
          </w:p>
          <w:p w:rsidR="00B643E2" w:rsidRPr="00B643E2" w:rsidRDefault="00D60566" w:rsidP="00210103">
            <w:pPr>
              <w:pStyle w:val="ListParagraph"/>
              <w:numPr>
                <w:ilvl w:val="0"/>
                <w:numId w:val="9"/>
              </w:numPr>
              <w:tabs>
                <w:tab w:val="clear" w:pos="720"/>
                <w:tab w:val="num" w:pos="453"/>
              </w:tabs>
              <w:spacing w:line="280" w:lineRule="exact"/>
              <w:ind w:left="311"/>
              <w:rPr>
                <w:sz w:val="22"/>
                <w:szCs w:val="22"/>
              </w:rPr>
            </w:pPr>
            <w:r w:rsidRPr="0001230F">
              <w:rPr>
                <w:sz w:val="22"/>
                <w:szCs w:val="22"/>
                <w:lang w:val="en-US"/>
              </w:rPr>
              <w:t>Ensure alignment of sector specific strategic plans and annual performance plans to the NYP.</w:t>
            </w:r>
          </w:p>
          <w:p w:rsidR="0001230F" w:rsidRPr="0001230F" w:rsidRDefault="00B643E2" w:rsidP="00210103">
            <w:pPr>
              <w:pStyle w:val="ListParagraph"/>
              <w:numPr>
                <w:ilvl w:val="0"/>
                <w:numId w:val="9"/>
              </w:numPr>
              <w:tabs>
                <w:tab w:val="clear" w:pos="720"/>
                <w:tab w:val="num" w:pos="453"/>
              </w:tabs>
              <w:spacing w:line="280" w:lineRule="exact"/>
              <w:ind w:left="311"/>
              <w:rPr>
                <w:sz w:val="22"/>
                <w:szCs w:val="22"/>
              </w:rPr>
            </w:pPr>
            <w:r>
              <w:rPr>
                <w:sz w:val="22"/>
                <w:szCs w:val="22"/>
                <w:lang w:val="en-US"/>
              </w:rPr>
              <w:t>O</w:t>
            </w:r>
            <w:r w:rsidR="00D60566" w:rsidRPr="0001230F">
              <w:rPr>
                <w:sz w:val="22"/>
                <w:szCs w:val="22"/>
                <w:lang w:val="en-US"/>
              </w:rPr>
              <w:t xml:space="preserve">versight </w:t>
            </w:r>
            <w:r>
              <w:rPr>
                <w:sz w:val="22"/>
                <w:szCs w:val="22"/>
                <w:lang w:val="en-US"/>
              </w:rPr>
              <w:t>NYDA – perf. &amp; finance</w:t>
            </w:r>
          </w:p>
          <w:p w:rsidR="00FB036C" w:rsidRPr="0001230F" w:rsidRDefault="00D60566" w:rsidP="00210103">
            <w:pPr>
              <w:pStyle w:val="ListParagraph"/>
              <w:numPr>
                <w:ilvl w:val="0"/>
                <w:numId w:val="9"/>
              </w:numPr>
              <w:tabs>
                <w:tab w:val="clear" w:pos="720"/>
                <w:tab w:val="num" w:pos="453"/>
              </w:tabs>
              <w:spacing w:line="280" w:lineRule="exact"/>
              <w:ind w:left="311"/>
              <w:rPr>
                <w:sz w:val="22"/>
                <w:szCs w:val="22"/>
              </w:rPr>
            </w:pPr>
            <w:r w:rsidRPr="0001230F">
              <w:rPr>
                <w:sz w:val="22"/>
                <w:szCs w:val="22"/>
                <w:lang w:val="en-US"/>
              </w:rPr>
              <w:t xml:space="preserve">Support civil </w:t>
            </w:r>
            <w:r w:rsidRPr="0001230F">
              <w:rPr>
                <w:sz w:val="22"/>
                <w:szCs w:val="22"/>
                <w:lang w:val="en-US"/>
              </w:rPr>
              <w:lastRenderedPageBreak/>
              <w:t>society and private sectors on youth development initiatives.</w:t>
            </w:r>
          </w:p>
          <w:p w:rsidR="0001230F" w:rsidRPr="0001230F" w:rsidRDefault="0001230F" w:rsidP="00210103">
            <w:pPr>
              <w:pStyle w:val="ListParagraph"/>
              <w:numPr>
                <w:ilvl w:val="0"/>
                <w:numId w:val="9"/>
              </w:numPr>
              <w:tabs>
                <w:tab w:val="clear" w:pos="720"/>
                <w:tab w:val="num" w:pos="453"/>
              </w:tabs>
              <w:spacing w:line="280" w:lineRule="exact"/>
              <w:ind w:left="311"/>
              <w:rPr>
                <w:sz w:val="22"/>
                <w:szCs w:val="22"/>
              </w:rPr>
            </w:pPr>
            <w:r>
              <w:rPr>
                <w:sz w:val="22"/>
                <w:szCs w:val="22"/>
                <w:lang w:val="en-US"/>
              </w:rPr>
              <w:t>Research</w:t>
            </w:r>
          </w:p>
          <w:p w:rsidR="0001230F" w:rsidRPr="0001230F" w:rsidRDefault="00D60566" w:rsidP="00210103">
            <w:pPr>
              <w:pStyle w:val="ListParagraph"/>
              <w:numPr>
                <w:ilvl w:val="0"/>
                <w:numId w:val="9"/>
              </w:numPr>
              <w:tabs>
                <w:tab w:val="clear" w:pos="720"/>
                <w:tab w:val="num" w:pos="453"/>
              </w:tabs>
              <w:spacing w:line="280" w:lineRule="exact"/>
              <w:ind w:left="311"/>
              <w:rPr>
                <w:sz w:val="22"/>
                <w:szCs w:val="22"/>
              </w:rPr>
            </w:pPr>
            <w:r w:rsidRPr="0001230F">
              <w:rPr>
                <w:sz w:val="22"/>
                <w:szCs w:val="22"/>
                <w:lang w:val="en-US"/>
              </w:rPr>
              <w:t xml:space="preserve">Support </w:t>
            </w:r>
            <w:r w:rsidR="00B643E2">
              <w:rPr>
                <w:sz w:val="22"/>
                <w:szCs w:val="22"/>
                <w:lang w:val="en-US"/>
              </w:rPr>
              <w:t>-</w:t>
            </w:r>
            <w:r w:rsidRPr="0001230F">
              <w:rPr>
                <w:sz w:val="22"/>
                <w:szCs w:val="22"/>
                <w:lang w:val="en-US"/>
              </w:rPr>
              <w:t xml:space="preserve"> political principals on stakeholder engagements </w:t>
            </w:r>
          </w:p>
        </w:tc>
        <w:tc>
          <w:tcPr>
            <w:tcW w:w="2405" w:type="dxa"/>
          </w:tcPr>
          <w:p w:rsidR="00FB036C" w:rsidRPr="0001230F" w:rsidRDefault="00D60566" w:rsidP="00210103">
            <w:pPr>
              <w:numPr>
                <w:ilvl w:val="0"/>
                <w:numId w:val="10"/>
              </w:numPr>
              <w:tabs>
                <w:tab w:val="clear" w:pos="720"/>
                <w:tab w:val="num" w:pos="502"/>
              </w:tabs>
              <w:spacing w:line="280" w:lineRule="exact"/>
              <w:ind w:left="426"/>
              <w:rPr>
                <w:sz w:val="22"/>
                <w:szCs w:val="22"/>
              </w:rPr>
            </w:pPr>
            <w:r w:rsidRPr="0001230F">
              <w:rPr>
                <w:sz w:val="22"/>
                <w:szCs w:val="22"/>
              </w:rPr>
              <w:lastRenderedPageBreak/>
              <w:t>To contribute to the effective and coordinated implementation of the White Paper on the Rights of Persons with Disabilities and mainstream disability rights into government-wide monitoring systems and monitor compliance.</w:t>
            </w:r>
          </w:p>
          <w:p w:rsidR="00C04C70" w:rsidRDefault="00C04C70" w:rsidP="002A431D">
            <w:pPr>
              <w:spacing w:line="280" w:lineRule="exact"/>
              <w:jc w:val="both"/>
              <w:rPr>
                <w:sz w:val="22"/>
                <w:szCs w:val="22"/>
              </w:rPr>
            </w:pPr>
          </w:p>
        </w:tc>
      </w:tr>
    </w:tbl>
    <w:p w:rsidR="00DC7119" w:rsidRDefault="00DC7119" w:rsidP="002A431D">
      <w:pPr>
        <w:spacing w:line="280" w:lineRule="exact"/>
        <w:ind w:left="66"/>
        <w:jc w:val="both"/>
        <w:rPr>
          <w:sz w:val="22"/>
          <w:szCs w:val="22"/>
        </w:rPr>
      </w:pPr>
    </w:p>
    <w:p w:rsidR="009070EC" w:rsidRPr="009070EC" w:rsidRDefault="009070EC" w:rsidP="009070EC">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exact"/>
        <w:ind w:left="66"/>
        <w:jc w:val="both"/>
        <w:rPr>
          <w:b/>
          <w:sz w:val="22"/>
          <w:szCs w:val="22"/>
        </w:rPr>
      </w:pPr>
      <w:r w:rsidRPr="009070EC">
        <w:rPr>
          <w:b/>
          <w:sz w:val="22"/>
          <w:szCs w:val="22"/>
        </w:rPr>
        <w:t>Questions for consideration</w:t>
      </w:r>
    </w:p>
    <w:p w:rsidR="009070EC" w:rsidRDefault="009070EC" w:rsidP="00210103">
      <w:pPr>
        <w:pStyle w:val="ListParagraph"/>
        <w:numPr>
          <w:ilvl w:val="0"/>
          <w:numId w:val="8"/>
        </w:numPr>
        <w:pBdr>
          <w:top w:val="single" w:sz="4" w:space="1" w:color="auto"/>
          <w:left w:val="single" w:sz="4" w:space="4" w:color="auto"/>
          <w:bottom w:val="single" w:sz="4" w:space="1" w:color="auto"/>
          <w:right w:val="single" w:sz="4" w:space="4" w:color="auto"/>
        </w:pBdr>
        <w:spacing w:line="280" w:lineRule="exact"/>
        <w:jc w:val="both"/>
        <w:rPr>
          <w:sz w:val="22"/>
          <w:szCs w:val="22"/>
        </w:rPr>
      </w:pPr>
      <w:r w:rsidRPr="009070EC">
        <w:rPr>
          <w:sz w:val="22"/>
          <w:szCs w:val="22"/>
        </w:rPr>
        <w:t>Are these 11 priorities listed by the Department meant for 2019/20 or the new MTEF period?</w:t>
      </w:r>
    </w:p>
    <w:p w:rsidR="00D32104" w:rsidRPr="00D32104" w:rsidRDefault="00B643E2" w:rsidP="00D32104">
      <w:pPr>
        <w:pStyle w:val="ListParagraph"/>
        <w:numPr>
          <w:ilvl w:val="0"/>
          <w:numId w:val="8"/>
        </w:numPr>
        <w:pBdr>
          <w:top w:val="single" w:sz="4" w:space="1" w:color="auto"/>
          <w:left w:val="single" w:sz="4" w:space="4" w:color="auto"/>
          <w:bottom w:val="single" w:sz="4" w:space="1" w:color="auto"/>
          <w:right w:val="single" w:sz="4" w:space="4" w:color="auto"/>
        </w:pBdr>
        <w:spacing w:line="280" w:lineRule="exact"/>
        <w:jc w:val="both"/>
        <w:rPr>
          <w:sz w:val="22"/>
          <w:szCs w:val="22"/>
        </w:rPr>
      </w:pPr>
      <w:r>
        <w:rPr>
          <w:sz w:val="22"/>
          <w:szCs w:val="22"/>
        </w:rPr>
        <w:t>Given the separation of powers between the Executive and Parliament, how does the Department see its oversight role over the NYDA?</w:t>
      </w:r>
    </w:p>
    <w:p w:rsidR="00D32104" w:rsidRDefault="00D32104" w:rsidP="00D32104">
      <w:pPr>
        <w:pStyle w:val="ListParagraph"/>
        <w:spacing w:line="280" w:lineRule="exact"/>
        <w:ind w:left="426"/>
        <w:jc w:val="both"/>
        <w:rPr>
          <w:b/>
          <w:sz w:val="22"/>
          <w:szCs w:val="22"/>
        </w:rPr>
      </w:pPr>
    </w:p>
    <w:p w:rsidR="002A431D" w:rsidRPr="002A431D" w:rsidRDefault="002A431D" w:rsidP="00210103">
      <w:pPr>
        <w:pStyle w:val="ListParagraph"/>
        <w:numPr>
          <w:ilvl w:val="1"/>
          <w:numId w:val="1"/>
        </w:numPr>
        <w:spacing w:line="280" w:lineRule="exact"/>
        <w:ind w:left="426"/>
        <w:jc w:val="both"/>
        <w:rPr>
          <w:b/>
          <w:sz w:val="22"/>
          <w:szCs w:val="22"/>
        </w:rPr>
      </w:pPr>
      <w:r w:rsidRPr="002A431D">
        <w:rPr>
          <w:b/>
          <w:sz w:val="22"/>
          <w:szCs w:val="22"/>
        </w:rPr>
        <w:t xml:space="preserve">Budgetary Overview </w:t>
      </w:r>
    </w:p>
    <w:p w:rsidR="002A431D" w:rsidRDefault="002A431D" w:rsidP="002A431D">
      <w:pPr>
        <w:spacing w:line="280" w:lineRule="exact"/>
        <w:jc w:val="both"/>
        <w:rPr>
          <w:b/>
          <w:sz w:val="22"/>
          <w:szCs w:val="22"/>
        </w:rPr>
      </w:pPr>
    </w:p>
    <w:p w:rsidR="007F4EC4" w:rsidRDefault="007F4EC4" w:rsidP="002A431D">
      <w:pPr>
        <w:spacing w:line="280" w:lineRule="exact"/>
        <w:jc w:val="both"/>
        <w:rPr>
          <w:sz w:val="22"/>
          <w:szCs w:val="22"/>
        </w:rPr>
      </w:pPr>
      <w:r w:rsidRPr="007F4EC4">
        <w:rPr>
          <w:sz w:val="22"/>
          <w:szCs w:val="22"/>
        </w:rPr>
        <w:t xml:space="preserve">The </w:t>
      </w:r>
      <w:r>
        <w:rPr>
          <w:sz w:val="22"/>
          <w:szCs w:val="22"/>
        </w:rPr>
        <w:t xml:space="preserve">budget which appeared in the initial APP 2019/20 is the same as that in the revised APP of 2019/20 insofar as Programme 1-3 is concerned. </w:t>
      </w:r>
      <w:r w:rsidR="002F03FB">
        <w:rPr>
          <w:sz w:val="22"/>
          <w:szCs w:val="22"/>
        </w:rPr>
        <w:t>Vote 13, for the Department received an allocation of R244.398 million for 2019/20 of which R85.188 million is the transfer to the Commission for Gender Equality thus leaving the Department with an operating budget of R159.210 million. Thus the slide 72 of the Department under Programme 2 is inclusive of the CGE’s allocation before the transfer has been made. The table below which was presented to the Committee b</w:t>
      </w:r>
      <w:r w:rsidR="00CE34B2">
        <w:rPr>
          <w:sz w:val="22"/>
          <w:szCs w:val="22"/>
        </w:rPr>
        <w:t>efore reflects the Department’s operating budget excluding the CGE’s allocation.</w:t>
      </w:r>
    </w:p>
    <w:p w:rsidR="00CE34B2" w:rsidRPr="007F4EC4" w:rsidRDefault="00CE34B2" w:rsidP="002A431D">
      <w:pPr>
        <w:spacing w:line="280" w:lineRule="exact"/>
        <w:jc w:val="both"/>
        <w:rPr>
          <w:sz w:val="22"/>
          <w:szCs w:val="22"/>
        </w:rPr>
      </w:pPr>
    </w:p>
    <w:p w:rsidR="007F4EC4" w:rsidRDefault="00CE34B2" w:rsidP="002A431D">
      <w:pPr>
        <w:spacing w:line="280" w:lineRule="exact"/>
        <w:jc w:val="both"/>
        <w:rPr>
          <w:b/>
          <w:sz w:val="22"/>
          <w:szCs w:val="22"/>
        </w:rPr>
      </w:pPr>
      <w:r>
        <w:rPr>
          <w:b/>
          <w:sz w:val="22"/>
          <w:szCs w:val="22"/>
        </w:rPr>
        <w:t>Table</w:t>
      </w:r>
      <w:r w:rsidR="006B23D3">
        <w:rPr>
          <w:b/>
          <w:sz w:val="22"/>
          <w:szCs w:val="22"/>
        </w:rPr>
        <w:t xml:space="preserve"> 3</w:t>
      </w:r>
      <w:r>
        <w:rPr>
          <w:b/>
          <w:sz w:val="22"/>
          <w:szCs w:val="22"/>
        </w:rPr>
        <w:t>: Department of Women, Youth and Persons with Disabilities MTEF funding allocation</w:t>
      </w:r>
    </w:p>
    <w:tbl>
      <w:tblPr>
        <w:tblStyle w:val="TableGrid"/>
        <w:tblW w:w="0" w:type="auto"/>
        <w:tblLook w:val="04A0"/>
      </w:tblPr>
      <w:tblGrid>
        <w:gridCol w:w="1978"/>
        <w:gridCol w:w="937"/>
        <w:gridCol w:w="938"/>
        <w:gridCol w:w="938"/>
        <w:gridCol w:w="914"/>
        <w:gridCol w:w="1079"/>
        <w:gridCol w:w="908"/>
        <w:gridCol w:w="950"/>
        <w:gridCol w:w="986"/>
      </w:tblGrid>
      <w:tr w:rsidR="00330F9D" w:rsidRPr="00330F9D" w:rsidTr="001140CA">
        <w:tc>
          <w:tcPr>
            <w:tcW w:w="1978" w:type="dxa"/>
            <w:shd w:val="clear" w:color="auto" w:fill="D9D9D9" w:themeFill="background1" w:themeFillShade="D9"/>
          </w:tcPr>
          <w:p w:rsidR="00330F9D" w:rsidRPr="00330F9D" w:rsidRDefault="00330F9D" w:rsidP="00330F9D">
            <w:pPr>
              <w:spacing w:line="280" w:lineRule="exact"/>
              <w:jc w:val="both"/>
              <w:rPr>
                <w:rFonts w:ascii="Arial Narrow" w:hAnsi="Arial Narrow"/>
                <w:b/>
                <w:sz w:val="20"/>
                <w:szCs w:val="20"/>
                <w:lang w:val="en-US"/>
              </w:rPr>
            </w:pPr>
            <w:r w:rsidRPr="00330F9D">
              <w:rPr>
                <w:rFonts w:ascii="Arial Narrow" w:hAnsi="Arial Narrow"/>
                <w:b/>
                <w:sz w:val="20"/>
                <w:szCs w:val="20"/>
                <w:lang w:val="en-US"/>
              </w:rPr>
              <w:t>Programme</w:t>
            </w:r>
          </w:p>
        </w:tc>
        <w:tc>
          <w:tcPr>
            <w:tcW w:w="3727" w:type="dxa"/>
            <w:gridSpan w:val="4"/>
            <w:shd w:val="clear" w:color="auto" w:fill="D9D9D9" w:themeFill="background1" w:themeFillShade="D9"/>
          </w:tcPr>
          <w:p w:rsidR="00330F9D" w:rsidRPr="00330F9D" w:rsidRDefault="00330F9D" w:rsidP="00330F9D">
            <w:pPr>
              <w:spacing w:line="280" w:lineRule="exact"/>
              <w:jc w:val="both"/>
              <w:rPr>
                <w:rFonts w:ascii="Arial Narrow" w:hAnsi="Arial Narrow"/>
                <w:b/>
                <w:sz w:val="20"/>
                <w:szCs w:val="20"/>
                <w:lang w:val="en-US"/>
              </w:rPr>
            </w:pPr>
            <w:r w:rsidRPr="00330F9D">
              <w:rPr>
                <w:rFonts w:ascii="Arial Narrow" w:hAnsi="Arial Narrow"/>
                <w:b/>
                <w:sz w:val="20"/>
                <w:szCs w:val="20"/>
                <w:lang w:val="en-US"/>
              </w:rPr>
              <w:t>Budget</w:t>
            </w:r>
          </w:p>
        </w:tc>
        <w:tc>
          <w:tcPr>
            <w:tcW w:w="1079" w:type="dxa"/>
            <w:shd w:val="clear" w:color="auto" w:fill="D9D9D9" w:themeFill="background1" w:themeFillShade="D9"/>
          </w:tcPr>
          <w:p w:rsidR="00330F9D" w:rsidRPr="00330F9D" w:rsidRDefault="00330F9D" w:rsidP="00330F9D">
            <w:pPr>
              <w:spacing w:line="280" w:lineRule="exact"/>
              <w:jc w:val="both"/>
              <w:rPr>
                <w:rFonts w:ascii="Arial Narrow" w:hAnsi="Arial Narrow"/>
                <w:b/>
                <w:sz w:val="20"/>
                <w:szCs w:val="20"/>
                <w:lang w:val="en-US"/>
              </w:rPr>
            </w:pPr>
            <w:r w:rsidRPr="00330F9D">
              <w:rPr>
                <w:rFonts w:ascii="Arial Narrow" w:hAnsi="Arial Narrow"/>
                <w:b/>
                <w:sz w:val="20"/>
                <w:szCs w:val="20"/>
                <w:lang w:val="en-US"/>
              </w:rPr>
              <w:t>Nominal Rand change</w:t>
            </w:r>
          </w:p>
        </w:tc>
        <w:tc>
          <w:tcPr>
            <w:tcW w:w="908" w:type="dxa"/>
            <w:shd w:val="clear" w:color="auto" w:fill="D9D9D9" w:themeFill="background1" w:themeFillShade="D9"/>
          </w:tcPr>
          <w:p w:rsidR="00330F9D" w:rsidRPr="00330F9D" w:rsidRDefault="00330F9D" w:rsidP="00330F9D">
            <w:pPr>
              <w:spacing w:line="280" w:lineRule="exact"/>
              <w:jc w:val="both"/>
              <w:rPr>
                <w:rFonts w:ascii="Arial Narrow" w:hAnsi="Arial Narrow"/>
                <w:b/>
                <w:sz w:val="20"/>
                <w:szCs w:val="20"/>
                <w:lang w:val="en-US"/>
              </w:rPr>
            </w:pPr>
            <w:r w:rsidRPr="00330F9D">
              <w:rPr>
                <w:rFonts w:ascii="Arial Narrow" w:hAnsi="Arial Narrow"/>
                <w:b/>
                <w:sz w:val="20"/>
                <w:szCs w:val="20"/>
                <w:lang w:val="en-US"/>
              </w:rPr>
              <w:t xml:space="preserve">Real Rand Change </w:t>
            </w:r>
          </w:p>
        </w:tc>
        <w:tc>
          <w:tcPr>
            <w:tcW w:w="950" w:type="dxa"/>
            <w:shd w:val="clear" w:color="auto" w:fill="D9D9D9" w:themeFill="background1" w:themeFillShade="D9"/>
          </w:tcPr>
          <w:p w:rsidR="00330F9D" w:rsidRPr="00330F9D" w:rsidRDefault="00330F9D" w:rsidP="00330F9D">
            <w:pPr>
              <w:spacing w:line="280" w:lineRule="exact"/>
              <w:jc w:val="both"/>
              <w:rPr>
                <w:rFonts w:ascii="Arial Narrow" w:hAnsi="Arial Narrow"/>
                <w:b/>
                <w:sz w:val="20"/>
                <w:szCs w:val="20"/>
                <w:lang w:val="en-US"/>
              </w:rPr>
            </w:pPr>
            <w:r w:rsidRPr="00330F9D">
              <w:rPr>
                <w:rFonts w:ascii="Arial Narrow" w:hAnsi="Arial Narrow"/>
                <w:b/>
                <w:sz w:val="20"/>
                <w:szCs w:val="20"/>
                <w:lang w:val="en-US"/>
              </w:rPr>
              <w:t>Nominal % change</w:t>
            </w:r>
          </w:p>
        </w:tc>
        <w:tc>
          <w:tcPr>
            <w:tcW w:w="986" w:type="dxa"/>
            <w:shd w:val="clear" w:color="auto" w:fill="D9D9D9" w:themeFill="background1" w:themeFillShade="D9"/>
          </w:tcPr>
          <w:p w:rsidR="00330F9D" w:rsidRPr="00330F9D" w:rsidRDefault="00330F9D" w:rsidP="00330F9D">
            <w:pPr>
              <w:spacing w:line="280" w:lineRule="exact"/>
              <w:jc w:val="both"/>
              <w:rPr>
                <w:rFonts w:ascii="Arial Narrow" w:hAnsi="Arial Narrow"/>
                <w:b/>
                <w:sz w:val="20"/>
                <w:szCs w:val="20"/>
                <w:lang w:val="en-US"/>
              </w:rPr>
            </w:pPr>
            <w:r w:rsidRPr="00330F9D">
              <w:rPr>
                <w:rFonts w:ascii="Arial Narrow" w:hAnsi="Arial Narrow"/>
                <w:b/>
                <w:sz w:val="20"/>
                <w:szCs w:val="20"/>
                <w:lang w:val="en-US"/>
              </w:rPr>
              <w:t>Real% change</w:t>
            </w:r>
          </w:p>
        </w:tc>
      </w:tr>
      <w:tr w:rsidR="00330F9D" w:rsidRPr="00330F9D" w:rsidTr="001140CA">
        <w:tc>
          <w:tcPr>
            <w:tcW w:w="1978" w:type="dxa"/>
          </w:tcPr>
          <w:p w:rsidR="00330F9D" w:rsidRPr="00330F9D" w:rsidRDefault="00330F9D" w:rsidP="00330F9D">
            <w:pPr>
              <w:spacing w:line="280" w:lineRule="exact"/>
              <w:jc w:val="both"/>
              <w:rPr>
                <w:rFonts w:ascii="Arial Narrow" w:hAnsi="Arial Narrow"/>
                <w:b/>
                <w:sz w:val="20"/>
                <w:szCs w:val="20"/>
                <w:lang w:val="en-US"/>
              </w:rPr>
            </w:pPr>
            <w:r w:rsidRPr="00330F9D">
              <w:rPr>
                <w:rFonts w:ascii="Arial Narrow" w:hAnsi="Arial Narrow"/>
                <w:b/>
                <w:sz w:val="20"/>
                <w:szCs w:val="20"/>
                <w:lang w:val="en-US"/>
              </w:rPr>
              <w:t>R million</w:t>
            </w:r>
          </w:p>
        </w:tc>
        <w:tc>
          <w:tcPr>
            <w:tcW w:w="937" w:type="dxa"/>
          </w:tcPr>
          <w:p w:rsidR="00330F9D" w:rsidRPr="00330F9D" w:rsidRDefault="00330F9D" w:rsidP="00330F9D">
            <w:pPr>
              <w:spacing w:line="280" w:lineRule="exact"/>
              <w:jc w:val="both"/>
              <w:rPr>
                <w:rFonts w:ascii="Arial Narrow" w:hAnsi="Arial Narrow"/>
                <w:b/>
                <w:sz w:val="20"/>
                <w:szCs w:val="20"/>
                <w:lang w:val="en-US"/>
              </w:rPr>
            </w:pPr>
            <w:r w:rsidRPr="00330F9D">
              <w:rPr>
                <w:rFonts w:ascii="Arial Narrow" w:hAnsi="Arial Narrow"/>
                <w:b/>
                <w:sz w:val="20"/>
                <w:szCs w:val="20"/>
                <w:lang w:val="en-US"/>
              </w:rPr>
              <w:t>2018/19</w:t>
            </w:r>
          </w:p>
        </w:tc>
        <w:tc>
          <w:tcPr>
            <w:tcW w:w="938" w:type="dxa"/>
          </w:tcPr>
          <w:p w:rsidR="00330F9D" w:rsidRPr="00330F9D" w:rsidRDefault="00330F9D" w:rsidP="00330F9D">
            <w:pPr>
              <w:spacing w:line="280" w:lineRule="exact"/>
              <w:jc w:val="both"/>
              <w:rPr>
                <w:rFonts w:ascii="Arial Narrow" w:hAnsi="Arial Narrow"/>
                <w:b/>
                <w:sz w:val="20"/>
                <w:szCs w:val="20"/>
                <w:lang w:val="en-US"/>
              </w:rPr>
            </w:pPr>
            <w:r w:rsidRPr="00330F9D">
              <w:rPr>
                <w:rFonts w:ascii="Arial Narrow" w:hAnsi="Arial Narrow"/>
                <w:b/>
                <w:sz w:val="20"/>
                <w:szCs w:val="20"/>
                <w:lang w:val="en-US"/>
              </w:rPr>
              <w:t>2019/20</w:t>
            </w:r>
          </w:p>
        </w:tc>
        <w:tc>
          <w:tcPr>
            <w:tcW w:w="938" w:type="dxa"/>
          </w:tcPr>
          <w:p w:rsidR="00330F9D" w:rsidRPr="00330F9D" w:rsidRDefault="00330F9D" w:rsidP="00330F9D">
            <w:pPr>
              <w:spacing w:line="280" w:lineRule="exact"/>
              <w:jc w:val="both"/>
              <w:rPr>
                <w:rFonts w:ascii="Arial Narrow" w:hAnsi="Arial Narrow"/>
                <w:b/>
                <w:sz w:val="20"/>
                <w:szCs w:val="20"/>
                <w:lang w:val="en-US"/>
              </w:rPr>
            </w:pPr>
            <w:r w:rsidRPr="00330F9D">
              <w:rPr>
                <w:rFonts w:ascii="Arial Narrow" w:hAnsi="Arial Narrow"/>
                <w:b/>
                <w:sz w:val="20"/>
                <w:szCs w:val="20"/>
                <w:lang w:val="en-US"/>
              </w:rPr>
              <w:t>2020/21</w:t>
            </w:r>
          </w:p>
        </w:tc>
        <w:tc>
          <w:tcPr>
            <w:tcW w:w="914" w:type="dxa"/>
          </w:tcPr>
          <w:p w:rsidR="00330F9D" w:rsidRPr="00330F9D" w:rsidRDefault="00330F9D" w:rsidP="00330F9D">
            <w:pPr>
              <w:spacing w:line="280" w:lineRule="exact"/>
              <w:jc w:val="both"/>
              <w:rPr>
                <w:rFonts w:ascii="Arial Narrow" w:hAnsi="Arial Narrow"/>
                <w:b/>
                <w:sz w:val="20"/>
                <w:szCs w:val="20"/>
                <w:lang w:val="en-US"/>
              </w:rPr>
            </w:pPr>
            <w:r w:rsidRPr="00330F9D">
              <w:rPr>
                <w:rFonts w:ascii="Arial Narrow" w:hAnsi="Arial Narrow"/>
                <w:b/>
                <w:sz w:val="20"/>
                <w:szCs w:val="20"/>
                <w:lang w:val="en-US"/>
              </w:rPr>
              <w:t>2021/22</w:t>
            </w:r>
          </w:p>
        </w:tc>
        <w:tc>
          <w:tcPr>
            <w:tcW w:w="1987" w:type="dxa"/>
            <w:gridSpan w:val="2"/>
          </w:tcPr>
          <w:p w:rsidR="00330F9D" w:rsidRPr="00330F9D" w:rsidRDefault="00330F9D" w:rsidP="00330F9D">
            <w:pPr>
              <w:spacing w:line="280" w:lineRule="exact"/>
              <w:jc w:val="both"/>
              <w:rPr>
                <w:rFonts w:ascii="Arial Narrow" w:hAnsi="Arial Narrow"/>
                <w:b/>
                <w:sz w:val="20"/>
                <w:szCs w:val="20"/>
                <w:lang w:val="en-US"/>
              </w:rPr>
            </w:pPr>
            <w:r w:rsidRPr="00330F9D">
              <w:rPr>
                <w:rFonts w:ascii="Arial Narrow" w:hAnsi="Arial Narrow"/>
                <w:b/>
                <w:sz w:val="20"/>
                <w:szCs w:val="20"/>
                <w:lang w:val="en-US"/>
              </w:rPr>
              <w:t>2018/19-2019/20</w:t>
            </w:r>
          </w:p>
        </w:tc>
        <w:tc>
          <w:tcPr>
            <w:tcW w:w="1936" w:type="dxa"/>
            <w:gridSpan w:val="2"/>
          </w:tcPr>
          <w:p w:rsidR="00330F9D" w:rsidRPr="00330F9D" w:rsidRDefault="00330F9D" w:rsidP="00330F9D">
            <w:pPr>
              <w:spacing w:line="280" w:lineRule="exact"/>
              <w:jc w:val="both"/>
              <w:rPr>
                <w:rFonts w:ascii="Arial Narrow" w:hAnsi="Arial Narrow"/>
                <w:b/>
                <w:sz w:val="20"/>
                <w:szCs w:val="20"/>
                <w:lang w:val="en-US"/>
              </w:rPr>
            </w:pPr>
            <w:r w:rsidRPr="00330F9D">
              <w:rPr>
                <w:rFonts w:ascii="Arial Narrow" w:hAnsi="Arial Narrow"/>
                <w:b/>
                <w:sz w:val="20"/>
                <w:szCs w:val="20"/>
                <w:lang w:val="en-US"/>
              </w:rPr>
              <w:t>2018/19-2019/20</w:t>
            </w:r>
          </w:p>
        </w:tc>
      </w:tr>
      <w:tr w:rsidR="00330F9D" w:rsidRPr="00330F9D" w:rsidTr="001140CA">
        <w:tc>
          <w:tcPr>
            <w:tcW w:w="1978" w:type="dxa"/>
          </w:tcPr>
          <w:p w:rsidR="00330F9D" w:rsidRPr="00330F9D" w:rsidRDefault="00330F9D" w:rsidP="003F0827">
            <w:pPr>
              <w:numPr>
                <w:ilvl w:val="0"/>
                <w:numId w:val="16"/>
              </w:numPr>
              <w:spacing w:line="280" w:lineRule="exact"/>
              <w:ind w:left="315"/>
              <w:jc w:val="both"/>
              <w:rPr>
                <w:rFonts w:ascii="Arial Narrow" w:hAnsi="Arial Narrow"/>
                <w:b/>
                <w:sz w:val="20"/>
                <w:szCs w:val="20"/>
                <w:lang w:val="en-US"/>
              </w:rPr>
            </w:pPr>
            <w:r w:rsidRPr="00330F9D">
              <w:rPr>
                <w:rFonts w:ascii="Arial Narrow" w:hAnsi="Arial Narrow"/>
                <w:b/>
                <w:sz w:val="20"/>
                <w:szCs w:val="20"/>
                <w:lang w:val="en-US"/>
              </w:rPr>
              <w:t>Administration</w:t>
            </w:r>
          </w:p>
        </w:tc>
        <w:tc>
          <w:tcPr>
            <w:tcW w:w="937" w:type="dxa"/>
          </w:tcPr>
          <w:p w:rsidR="00330F9D" w:rsidRPr="00330F9D" w:rsidRDefault="00330F9D" w:rsidP="00330F9D">
            <w:pPr>
              <w:spacing w:line="280" w:lineRule="exact"/>
              <w:jc w:val="both"/>
              <w:rPr>
                <w:rFonts w:ascii="Arial Narrow" w:hAnsi="Arial Narrow"/>
                <w:b/>
                <w:sz w:val="20"/>
                <w:szCs w:val="20"/>
              </w:rPr>
            </w:pPr>
            <w:r w:rsidRPr="00330F9D">
              <w:rPr>
                <w:rFonts w:ascii="Arial Narrow" w:hAnsi="Arial Narrow"/>
                <w:b/>
                <w:sz w:val="20"/>
                <w:szCs w:val="20"/>
              </w:rPr>
              <w:t>79.4</w:t>
            </w:r>
          </w:p>
        </w:tc>
        <w:tc>
          <w:tcPr>
            <w:tcW w:w="938" w:type="dxa"/>
          </w:tcPr>
          <w:p w:rsidR="00330F9D" w:rsidRPr="00330F9D" w:rsidRDefault="00330F9D" w:rsidP="00330F9D">
            <w:pPr>
              <w:spacing w:line="280" w:lineRule="exact"/>
              <w:jc w:val="both"/>
              <w:rPr>
                <w:rFonts w:ascii="Arial Narrow" w:hAnsi="Arial Narrow"/>
                <w:b/>
                <w:sz w:val="20"/>
                <w:szCs w:val="20"/>
              </w:rPr>
            </w:pPr>
            <w:r w:rsidRPr="00330F9D">
              <w:rPr>
                <w:rFonts w:ascii="Arial Narrow" w:hAnsi="Arial Narrow"/>
                <w:b/>
                <w:sz w:val="20"/>
                <w:szCs w:val="20"/>
              </w:rPr>
              <w:t>84.4</w:t>
            </w:r>
          </w:p>
        </w:tc>
        <w:tc>
          <w:tcPr>
            <w:tcW w:w="938" w:type="dxa"/>
          </w:tcPr>
          <w:p w:rsidR="00330F9D" w:rsidRPr="00330F9D" w:rsidRDefault="00330F9D" w:rsidP="00330F9D">
            <w:pPr>
              <w:spacing w:line="280" w:lineRule="exact"/>
              <w:jc w:val="both"/>
              <w:rPr>
                <w:rFonts w:ascii="Arial Narrow" w:hAnsi="Arial Narrow"/>
                <w:b/>
                <w:sz w:val="20"/>
                <w:szCs w:val="20"/>
              </w:rPr>
            </w:pPr>
            <w:r w:rsidRPr="00330F9D">
              <w:rPr>
                <w:rFonts w:ascii="Arial Narrow" w:hAnsi="Arial Narrow"/>
                <w:b/>
                <w:sz w:val="20"/>
                <w:szCs w:val="20"/>
              </w:rPr>
              <w:t>91.5</w:t>
            </w:r>
          </w:p>
        </w:tc>
        <w:tc>
          <w:tcPr>
            <w:tcW w:w="914" w:type="dxa"/>
          </w:tcPr>
          <w:p w:rsidR="00330F9D" w:rsidRPr="00330F9D" w:rsidRDefault="00330F9D" w:rsidP="00330F9D">
            <w:pPr>
              <w:spacing w:line="280" w:lineRule="exact"/>
              <w:jc w:val="both"/>
              <w:rPr>
                <w:rFonts w:ascii="Arial Narrow" w:hAnsi="Arial Narrow"/>
                <w:b/>
                <w:sz w:val="20"/>
                <w:szCs w:val="20"/>
              </w:rPr>
            </w:pPr>
            <w:r w:rsidRPr="00330F9D">
              <w:rPr>
                <w:rFonts w:ascii="Arial Narrow" w:hAnsi="Arial Narrow"/>
                <w:b/>
                <w:sz w:val="20"/>
                <w:szCs w:val="20"/>
              </w:rPr>
              <w:t>96.9</w:t>
            </w:r>
          </w:p>
        </w:tc>
        <w:tc>
          <w:tcPr>
            <w:tcW w:w="1079" w:type="dxa"/>
          </w:tcPr>
          <w:p w:rsidR="00330F9D" w:rsidRPr="00330F9D" w:rsidRDefault="00330F9D" w:rsidP="00330F9D">
            <w:pPr>
              <w:spacing w:line="280" w:lineRule="exact"/>
              <w:jc w:val="both"/>
              <w:rPr>
                <w:rFonts w:ascii="Arial Narrow" w:hAnsi="Arial Narrow"/>
                <w:b/>
                <w:sz w:val="20"/>
                <w:szCs w:val="20"/>
              </w:rPr>
            </w:pPr>
            <w:r w:rsidRPr="00330F9D">
              <w:rPr>
                <w:rFonts w:ascii="Arial Narrow" w:hAnsi="Arial Narrow"/>
                <w:b/>
                <w:sz w:val="20"/>
                <w:szCs w:val="20"/>
              </w:rPr>
              <w:t>5.0</w:t>
            </w:r>
          </w:p>
        </w:tc>
        <w:tc>
          <w:tcPr>
            <w:tcW w:w="908" w:type="dxa"/>
          </w:tcPr>
          <w:p w:rsidR="00330F9D" w:rsidRPr="00330F9D" w:rsidRDefault="00330F9D" w:rsidP="00330F9D">
            <w:pPr>
              <w:spacing w:line="280" w:lineRule="exact"/>
              <w:jc w:val="both"/>
              <w:rPr>
                <w:rFonts w:ascii="Arial Narrow" w:hAnsi="Arial Narrow"/>
                <w:b/>
                <w:sz w:val="20"/>
                <w:szCs w:val="20"/>
              </w:rPr>
            </w:pPr>
            <w:r w:rsidRPr="00330F9D">
              <w:rPr>
                <w:rFonts w:ascii="Arial Narrow" w:hAnsi="Arial Narrow"/>
                <w:b/>
                <w:sz w:val="20"/>
                <w:szCs w:val="20"/>
              </w:rPr>
              <w:t>0.8</w:t>
            </w:r>
          </w:p>
        </w:tc>
        <w:tc>
          <w:tcPr>
            <w:tcW w:w="950" w:type="dxa"/>
            <w:shd w:val="clear" w:color="auto" w:fill="auto"/>
            <w:vAlign w:val="bottom"/>
          </w:tcPr>
          <w:p w:rsidR="00330F9D" w:rsidRPr="00330F9D" w:rsidRDefault="00330F9D" w:rsidP="00330F9D">
            <w:pPr>
              <w:spacing w:line="280" w:lineRule="exact"/>
              <w:jc w:val="both"/>
              <w:rPr>
                <w:rFonts w:ascii="Arial Narrow" w:hAnsi="Arial Narrow"/>
                <w:b/>
                <w:sz w:val="20"/>
                <w:szCs w:val="20"/>
                <w:lang w:val="en-GB"/>
              </w:rPr>
            </w:pPr>
            <w:r w:rsidRPr="00330F9D">
              <w:rPr>
                <w:rFonts w:ascii="Arial Narrow" w:hAnsi="Arial Narrow"/>
                <w:b/>
                <w:sz w:val="20"/>
                <w:szCs w:val="20"/>
                <w:lang w:val="en-GB"/>
              </w:rPr>
              <w:t>6.30 %</w:t>
            </w:r>
          </w:p>
        </w:tc>
        <w:tc>
          <w:tcPr>
            <w:tcW w:w="986" w:type="dxa"/>
            <w:shd w:val="clear" w:color="auto" w:fill="auto"/>
            <w:vAlign w:val="bottom"/>
          </w:tcPr>
          <w:p w:rsidR="00330F9D" w:rsidRPr="00330F9D" w:rsidRDefault="00330F9D" w:rsidP="00330F9D">
            <w:pPr>
              <w:spacing w:line="280" w:lineRule="exact"/>
              <w:jc w:val="both"/>
              <w:rPr>
                <w:rFonts w:ascii="Arial Narrow" w:hAnsi="Arial Narrow"/>
                <w:b/>
                <w:sz w:val="20"/>
                <w:szCs w:val="20"/>
                <w:lang w:val="en-GB"/>
              </w:rPr>
            </w:pPr>
            <w:r w:rsidRPr="00330F9D">
              <w:rPr>
                <w:rFonts w:ascii="Arial Narrow" w:hAnsi="Arial Narrow"/>
                <w:b/>
                <w:sz w:val="20"/>
                <w:szCs w:val="20"/>
                <w:lang w:val="en-GB"/>
              </w:rPr>
              <w:t>1.04 %</w:t>
            </w:r>
          </w:p>
        </w:tc>
      </w:tr>
      <w:tr w:rsidR="00330F9D" w:rsidRPr="00330F9D" w:rsidTr="001140CA">
        <w:tc>
          <w:tcPr>
            <w:tcW w:w="1978" w:type="dxa"/>
            <w:tcBorders>
              <w:top w:val="single" w:sz="2" w:space="0" w:color="000000"/>
              <w:left w:val="single" w:sz="2" w:space="0" w:color="000000"/>
              <w:bottom w:val="single" w:sz="2" w:space="0" w:color="000000"/>
              <w:right w:val="single" w:sz="2" w:space="0" w:color="000000"/>
            </w:tcBorders>
            <w:shd w:val="clear" w:color="auto" w:fill="auto"/>
          </w:tcPr>
          <w:p w:rsidR="00330F9D" w:rsidRPr="00330F9D" w:rsidRDefault="00330F9D" w:rsidP="003F0827">
            <w:pPr>
              <w:numPr>
                <w:ilvl w:val="0"/>
                <w:numId w:val="16"/>
              </w:numPr>
              <w:spacing w:line="280" w:lineRule="exact"/>
              <w:ind w:left="315"/>
              <w:jc w:val="both"/>
              <w:rPr>
                <w:rFonts w:ascii="Arial Narrow" w:hAnsi="Arial Narrow"/>
                <w:b/>
                <w:sz w:val="20"/>
                <w:szCs w:val="20"/>
              </w:rPr>
            </w:pPr>
            <w:r w:rsidRPr="00330F9D">
              <w:rPr>
                <w:rFonts w:ascii="Arial Narrow" w:hAnsi="Arial Narrow"/>
                <w:b/>
                <w:sz w:val="20"/>
                <w:szCs w:val="20"/>
              </w:rPr>
              <w:t>Social Transformation and Economic Empowerment</w:t>
            </w:r>
          </w:p>
        </w:tc>
        <w:tc>
          <w:tcPr>
            <w:tcW w:w="937" w:type="dxa"/>
          </w:tcPr>
          <w:p w:rsidR="00330F9D" w:rsidRPr="00330F9D" w:rsidRDefault="00330F9D" w:rsidP="00330F9D">
            <w:pPr>
              <w:spacing w:line="280" w:lineRule="exact"/>
              <w:jc w:val="both"/>
              <w:rPr>
                <w:rFonts w:ascii="Arial Narrow" w:hAnsi="Arial Narrow"/>
                <w:b/>
                <w:sz w:val="20"/>
                <w:szCs w:val="20"/>
              </w:rPr>
            </w:pPr>
            <w:r w:rsidRPr="00330F9D">
              <w:rPr>
                <w:rFonts w:ascii="Arial Narrow" w:hAnsi="Arial Narrow"/>
                <w:b/>
                <w:sz w:val="20"/>
                <w:szCs w:val="20"/>
              </w:rPr>
              <w:t>28.8</w:t>
            </w:r>
          </w:p>
        </w:tc>
        <w:tc>
          <w:tcPr>
            <w:tcW w:w="938" w:type="dxa"/>
          </w:tcPr>
          <w:p w:rsidR="00330F9D" w:rsidRPr="00330F9D" w:rsidRDefault="00330F9D" w:rsidP="00330F9D">
            <w:pPr>
              <w:spacing w:line="280" w:lineRule="exact"/>
              <w:jc w:val="both"/>
              <w:rPr>
                <w:rFonts w:ascii="Arial Narrow" w:hAnsi="Arial Narrow"/>
                <w:b/>
                <w:sz w:val="20"/>
                <w:szCs w:val="20"/>
              </w:rPr>
            </w:pPr>
            <w:r w:rsidRPr="00330F9D">
              <w:rPr>
                <w:rFonts w:ascii="Arial Narrow" w:hAnsi="Arial Narrow"/>
                <w:b/>
                <w:sz w:val="20"/>
                <w:szCs w:val="20"/>
              </w:rPr>
              <w:t>24.0</w:t>
            </w:r>
          </w:p>
        </w:tc>
        <w:tc>
          <w:tcPr>
            <w:tcW w:w="938" w:type="dxa"/>
          </w:tcPr>
          <w:p w:rsidR="00330F9D" w:rsidRPr="00330F9D" w:rsidRDefault="00330F9D" w:rsidP="00330F9D">
            <w:pPr>
              <w:spacing w:line="280" w:lineRule="exact"/>
              <w:jc w:val="both"/>
              <w:rPr>
                <w:rFonts w:ascii="Arial Narrow" w:hAnsi="Arial Narrow"/>
                <w:b/>
                <w:sz w:val="20"/>
                <w:szCs w:val="20"/>
              </w:rPr>
            </w:pPr>
            <w:r w:rsidRPr="00330F9D">
              <w:rPr>
                <w:rFonts w:ascii="Arial Narrow" w:hAnsi="Arial Narrow"/>
                <w:b/>
                <w:sz w:val="20"/>
                <w:szCs w:val="20"/>
              </w:rPr>
              <w:t>26.2</w:t>
            </w:r>
          </w:p>
        </w:tc>
        <w:tc>
          <w:tcPr>
            <w:tcW w:w="914" w:type="dxa"/>
          </w:tcPr>
          <w:p w:rsidR="00330F9D" w:rsidRPr="00330F9D" w:rsidRDefault="00330F9D" w:rsidP="00330F9D">
            <w:pPr>
              <w:spacing w:line="280" w:lineRule="exact"/>
              <w:jc w:val="both"/>
              <w:rPr>
                <w:rFonts w:ascii="Arial Narrow" w:hAnsi="Arial Narrow"/>
                <w:b/>
                <w:sz w:val="20"/>
                <w:szCs w:val="20"/>
              </w:rPr>
            </w:pPr>
            <w:r w:rsidRPr="00330F9D">
              <w:rPr>
                <w:rFonts w:ascii="Arial Narrow" w:hAnsi="Arial Narrow"/>
                <w:b/>
                <w:sz w:val="20"/>
                <w:szCs w:val="20"/>
              </w:rPr>
              <w:t>27.5</w:t>
            </w:r>
          </w:p>
        </w:tc>
        <w:tc>
          <w:tcPr>
            <w:tcW w:w="1079" w:type="dxa"/>
          </w:tcPr>
          <w:p w:rsidR="00330F9D" w:rsidRPr="00330F9D" w:rsidRDefault="00330F9D" w:rsidP="00330F9D">
            <w:pPr>
              <w:spacing w:line="280" w:lineRule="exact"/>
              <w:jc w:val="both"/>
              <w:rPr>
                <w:rFonts w:ascii="Arial Narrow" w:hAnsi="Arial Narrow"/>
                <w:b/>
                <w:sz w:val="20"/>
                <w:szCs w:val="20"/>
              </w:rPr>
            </w:pPr>
            <w:r w:rsidRPr="00330F9D">
              <w:rPr>
                <w:rFonts w:ascii="Arial Narrow" w:hAnsi="Arial Narrow"/>
                <w:b/>
                <w:sz w:val="20"/>
                <w:szCs w:val="20"/>
              </w:rPr>
              <w:t>- 4.8</w:t>
            </w:r>
          </w:p>
        </w:tc>
        <w:tc>
          <w:tcPr>
            <w:tcW w:w="908" w:type="dxa"/>
          </w:tcPr>
          <w:p w:rsidR="00330F9D" w:rsidRPr="00330F9D" w:rsidRDefault="00330F9D" w:rsidP="00330F9D">
            <w:pPr>
              <w:spacing w:line="280" w:lineRule="exact"/>
              <w:jc w:val="both"/>
              <w:rPr>
                <w:rFonts w:ascii="Arial Narrow" w:hAnsi="Arial Narrow"/>
                <w:b/>
                <w:sz w:val="20"/>
                <w:szCs w:val="20"/>
              </w:rPr>
            </w:pPr>
            <w:r w:rsidRPr="00330F9D">
              <w:rPr>
                <w:rFonts w:ascii="Arial Narrow" w:hAnsi="Arial Narrow"/>
                <w:b/>
                <w:sz w:val="20"/>
                <w:szCs w:val="20"/>
              </w:rPr>
              <w:t>- 6.0</w:t>
            </w:r>
          </w:p>
        </w:tc>
        <w:tc>
          <w:tcPr>
            <w:tcW w:w="950" w:type="dxa"/>
            <w:shd w:val="clear" w:color="auto" w:fill="auto"/>
            <w:vAlign w:val="bottom"/>
          </w:tcPr>
          <w:p w:rsidR="00330F9D" w:rsidRPr="00330F9D" w:rsidRDefault="00330F9D" w:rsidP="00330F9D">
            <w:pPr>
              <w:spacing w:line="280" w:lineRule="exact"/>
              <w:jc w:val="both"/>
              <w:rPr>
                <w:rFonts w:ascii="Arial Narrow" w:hAnsi="Arial Narrow"/>
                <w:b/>
                <w:sz w:val="20"/>
                <w:szCs w:val="20"/>
                <w:lang w:val="en-GB"/>
              </w:rPr>
            </w:pPr>
            <w:r w:rsidRPr="00330F9D">
              <w:rPr>
                <w:rFonts w:ascii="Arial Narrow" w:hAnsi="Arial Narrow"/>
                <w:b/>
                <w:sz w:val="20"/>
                <w:szCs w:val="20"/>
                <w:lang w:val="en-GB"/>
              </w:rPr>
              <w:t>-16.67 %</w:t>
            </w:r>
          </w:p>
        </w:tc>
        <w:tc>
          <w:tcPr>
            <w:tcW w:w="986" w:type="dxa"/>
            <w:shd w:val="clear" w:color="auto" w:fill="auto"/>
            <w:vAlign w:val="bottom"/>
          </w:tcPr>
          <w:p w:rsidR="00330F9D" w:rsidRPr="00330F9D" w:rsidRDefault="00330F9D" w:rsidP="00330F9D">
            <w:pPr>
              <w:spacing w:line="280" w:lineRule="exact"/>
              <w:jc w:val="both"/>
              <w:rPr>
                <w:rFonts w:ascii="Arial Narrow" w:hAnsi="Arial Narrow"/>
                <w:b/>
                <w:sz w:val="20"/>
                <w:szCs w:val="20"/>
                <w:lang w:val="en-GB"/>
              </w:rPr>
            </w:pPr>
            <w:r w:rsidRPr="00330F9D">
              <w:rPr>
                <w:rFonts w:ascii="Arial Narrow" w:hAnsi="Arial Narrow"/>
                <w:b/>
                <w:sz w:val="20"/>
                <w:szCs w:val="20"/>
                <w:lang w:val="en-GB"/>
              </w:rPr>
              <w:t>-20.79 %</w:t>
            </w:r>
          </w:p>
        </w:tc>
      </w:tr>
      <w:tr w:rsidR="00330F9D" w:rsidRPr="00330F9D" w:rsidTr="001140CA">
        <w:tc>
          <w:tcPr>
            <w:tcW w:w="19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330F9D" w:rsidRPr="00330F9D" w:rsidRDefault="00330F9D" w:rsidP="003F0827">
            <w:pPr>
              <w:numPr>
                <w:ilvl w:val="0"/>
                <w:numId w:val="16"/>
              </w:numPr>
              <w:spacing w:line="280" w:lineRule="exact"/>
              <w:ind w:left="315"/>
              <w:jc w:val="both"/>
              <w:rPr>
                <w:rFonts w:ascii="Arial Narrow" w:hAnsi="Arial Narrow"/>
                <w:b/>
                <w:sz w:val="20"/>
                <w:szCs w:val="20"/>
              </w:rPr>
            </w:pPr>
            <w:r w:rsidRPr="00330F9D">
              <w:rPr>
                <w:rFonts w:ascii="Arial Narrow" w:hAnsi="Arial Narrow"/>
                <w:b/>
                <w:sz w:val="20"/>
                <w:szCs w:val="20"/>
              </w:rPr>
              <w:t xml:space="preserve">Policy  Stakeholder, Coordination and Knowledge </w:t>
            </w:r>
            <w:r w:rsidRPr="00330F9D">
              <w:rPr>
                <w:rFonts w:ascii="Arial Narrow" w:hAnsi="Arial Narrow"/>
                <w:b/>
                <w:sz w:val="20"/>
                <w:szCs w:val="20"/>
              </w:rPr>
              <w:lastRenderedPageBreak/>
              <w:t>Management</w:t>
            </w:r>
          </w:p>
        </w:tc>
        <w:tc>
          <w:tcPr>
            <w:tcW w:w="937" w:type="dxa"/>
          </w:tcPr>
          <w:p w:rsidR="00330F9D" w:rsidRPr="00330F9D" w:rsidRDefault="00330F9D" w:rsidP="00330F9D">
            <w:pPr>
              <w:spacing w:line="280" w:lineRule="exact"/>
              <w:jc w:val="both"/>
              <w:rPr>
                <w:rFonts w:ascii="Arial Narrow" w:hAnsi="Arial Narrow"/>
                <w:b/>
                <w:sz w:val="20"/>
                <w:szCs w:val="20"/>
                <w:lang w:val="en-US"/>
              </w:rPr>
            </w:pPr>
            <w:r w:rsidRPr="00330F9D">
              <w:rPr>
                <w:rFonts w:ascii="Arial Narrow" w:hAnsi="Arial Narrow"/>
                <w:b/>
                <w:sz w:val="20"/>
                <w:szCs w:val="20"/>
                <w:lang w:val="en-US"/>
              </w:rPr>
              <w:lastRenderedPageBreak/>
              <w:t>41.3</w:t>
            </w:r>
          </w:p>
        </w:tc>
        <w:tc>
          <w:tcPr>
            <w:tcW w:w="938" w:type="dxa"/>
          </w:tcPr>
          <w:p w:rsidR="00330F9D" w:rsidRPr="00330F9D" w:rsidRDefault="00330F9D" w:rsidP="00330F9D">
            <w:pPr>
              <w:spacing w:line="280" w:lineRule="exact"/>
              <w:jc w:val="both"/>
              <w:rPr>
                <w:rFonts w:ascii="Arial Narrow" w:hAnsi="Arial Narrow"/>
                <w:b/>
                <w:sz w:val="20"/>
                <w:szCs w:val="20"/>
              </w:rPr>
            </w:pPr>
            <w:r w:rsidRPr="00330F9D">
              <w:rPr>
                <w:rFonts w:ascii="Arial Narrow" w:hAnsi="Arial Narrow"/>
                <w:b/>
                <w:sz w:val="20"/>
                <w:szCs w:val="20"/>
              </w:rPr>
              <w:t>50.9</w:t>
            </w:r>
          </w:p>
        </w:tc>
        <w:tc>
          <w:tcPr>
            <w:tcW w:w="938" w:type="dxa"/>
          </w:tcPr>
          <w:p w:rsidR="00330F9D" w:rsidRPr="00330F9D" w:rsidRDefault="00330F9D" w:rsidP="00330F9D">
            <w:pPr>
              <w:spacing w:line="280" w:lineRule="exact"/>
              <w:jc w:val="both"/>
              <w:rPr>
                <w:rFonts w:ascii="Arial Narrow" w:hAnsi="Arial Narrow"/>
                <w:b/>
                <w:sz w:val="20"/>
                <w:szCs w:val="20"/>
              </w:rPr>
            </w:pPr>
            <w:r w:rsidRPr="00330F9D">
              <w:rPr>
                <w:rFonts w:ascii="Arial Narrow" w:hAnsi="Arial Narrow"/>
                <w:b/>
                <w:sz w:val="20"/>
                <w:szCs w:val="20"/>
              </w:rPr>
              <w:t>52.1</w:t>
            </w:r>
          </w:p>
        </w:tc>
        <w:tc>
          <w:tcPr>
            <w:tcW w:w="914" w:type="dxa"/>
          </w:tcPr>
          <w:p w:rsidR="00330F9D" w:rsidRPr="00330F9D" w:rsidRDefault="00330F9D" w:rsidP="00330F9D">
            <w:pPr>
              <w:spacing w:line="280" w:lineRule="exact"/>
              <w:jc w:val="both"/>
              <w:rPr>
                <w:rFonts w:ascii="Arial Narrow" w:hAnsi="Arial Narrow"/>
                <w:b/>
                <w:sz w:val="20"/>
                <w:szCs w:val="20"/>
              </w:rPr>
            </w:pPr>
            <w:r w:rsidRPr="00330F9D">
              <w:rPr>
                <w:rFonts w:ascii="Arial Narrow" w:hAnsi="Arial Narrow"/>
                <w:b/>
                <w:sz w:val="20"/>
                <w:szCs w:val="20"/>
              </w:rPr>
              <w:t>55.3</w:t>
            </w:r>
          </w:p>
        </w:tc>
        <w:tc>
          <w:tcPr>
            <w:tcW w:w="1079" w:type="dxa"/>
          </w:tcPr>
          <w:p w:rsidR="00330F9D" w:rsidRPr="00330F9D" w:rsidRDefault="00330F9D" w:rsidP="00330F9D">
            <w:pPr>
              <w:spacing w:line="280" w:lineRule="exact"/>
              <w:jc w:val="both"/>
              <w:rPr>
                <w:rFonts w:ascii="Arial Narrow" w:hAnsi="Arial Narrow"/>
                <w:b/>
                <w:sz w:val="20"/>
                <w:szCs w:val="20"/>
              </w:rPr>
            </w:pPr>
            <w:r w:rsidRPr="00330F9D">
              <w:rPr>
                <w:rFonts w:ascii="Arial Narrow" w:hAnsi="Arial Narrow"/>
                <w:b/>
                <w:sz w:val="20"/>
                <w:szCs w:val="20"/>
              </w:rPr>
              <w:t>9.6</w:t>
            </w:r>
          </w:p>
        </w:tc>
        <w:tc>
          <w:tcPr>
            <w:tcW w:w="908" w:type="dxa"/>
          </w:tcPr>
          <w:p w:rsidR="00330F9D" w:rsidRPr="00330F9D" w:rsidRDefault="00330F9D" w:rsidP="00330F9D">
            <w:pPr>
              <w:spacing w:line="280" w:lineRule="exact"/>
              <w:jc w:val="both"/>
              <w:rPr>
                <w:rFonts w:ascii="Arial Narrow" w:hAnsi="Arial Narrow"/>
                <w:b/>
                <w:sz w:val="20"/>
                <w:szCs w:val="20"/>
              </w:rPr>
            </w:pPr>
            <w:r w:rsidRPr="00330F9D">
              <w:rPr>
                <w:rFonts w:ascii="Arial Narrow" w:hAnsi="Arial Narrow"/>
                <w:b/>
                <w:sz w:val="20"/>
                <w:szCs w:val="20"/>
              </w:rPr>
              <w:t>7.1</w:t>
            </w:r>
          </w:p>
        </w:tc>
        <w:tc>
          <w:tcPr>
            <w:tcW w:w="950" w:type="dxa"/>
            <w:shd w:val="clear" w:color="auto" w:fill="auto"/>
            <w:vAlign w:val="bottom"/>
          </w:tcPr>
          <w:p w:rsidR="00330F9D" w:rsidRPr="00330F9D" w:rsidRDefault="00330F9D" w:rsidP="00330F9D">
            <w:pPr>
              <w:spacing w:line="280" w:lineRule="exact"/>
              <w:jc w:val="both"/>
              <w:rPr>
                <w:rFonts w:ascii="Arial Narrow" w:hAnsi="Arial Narrow"/>
                <w:b/>
                <w:sz w:val="20"/>
                <w:szCs w:val="20"/>
                <w:lang w:val="en-GB"/>
              </w:rPr>
            </w:pPr>
            <w:r w:rsidRPr="00330F9D">
              <w:rPr>
                <w:rFonts w:ascii="Arial Narrow" w:hAnsi="Arial Narrow"/>
                <w:b/>
                <w:sz w:val="20"/>
                <w:szCs w:val="20"/>
                <w:lang w:val="en-GB"/>
              </w:rPr>
              <w:t>23.24 %</w:t>
            </w:r>
          </w:p>
        </w:tc>
        <w:tc>
          <w:tcPr>
            <w:tcW w:w="986" w:type="dxa"/>
            <w:shd w:val="clear" w:color="auto" w:fill="auto"/>
            <w:vAlign w:val="bottom"/>
          </w:tcPr>
          <w:p w:rsidR="00330F9D" w:rsidRPr="00330F9D" w:rsidRDefault="00330F9D" w:rsidP="00330F9D">
            <w:pPr>
              <w:spacing w:line="280" w:lineRule="exact"/>
              <w:jc w:val="both"/>
              <w:rPr>
                <w:rFonts w:ascii="Arial Narrow" w:hAnsi="Arial Narrow"/>
                <w:b/>
                <w:sz w:val="20"/>
                <w:szCs w:val="20"/>
                <w:lang w:val="en-GB"/>
              </w:rPr>
            </w:pPr>
            <w:r w:rsidRPr="00330F9D">
              <w:rPr>
                <w:rFonts w:ascii="Arial Narrow" w:hAnsi="Arial Narrow"/>
                <w:b/>
                <w:sz w:val="20"/>
                <w:szCs w:val="20"/>
                <w:lang w:val="en-GB"/>
              </w:rPr>
              <w:t>17.15 %</w:t>
            </w:r>
          </w:p>
        </w:tc>
      </w:tr>
      <w:tr w:rsidR="00330F9D" w:rsidRPr="00330F9D" w:rsidTr="001140CA">
        <w:tc>
          <w:tcPr>
            <w:tcW w:w="1978" w:type="dxa"/>
            <w:shd w:val="clear" w:color="auto" w:fill="D9D9D9" w:themeFill="background1" w:themeFillShade="D9"/>
          </w:tcPr>
          <w:p w:rsidR="00330F9D" w:rsidRPr="00330F9D" w:rsidRDefault="00330F9D" w:rsidP="00330F9D">
            <w:pPr>
              <w:spacing w:line="280" w:lineRule="exact"/>
              <w:jc w:val="both"/>
              <w:rPr>
                <w:rFonts w:ascii="Arial Narrow" w:hAnsi="Arial Narrow"/>
                <w:b/>
                <w:sz w:val="20"/>
                <w:szCs w:val="20"/>
                <w:lang w:val="en-US"/>
              </w:rPr>
            </w:pPr>
            <w:r w:rsidRPr="00330F9D">
              <w:rPr>
                <w:rFonts w:ascii="Arial Narrow" w:hAnsi="Arial Narrow"/>
                <w:b/>
                <w:sz w:val="20"/>
                <w:szCs w:val="20"/>
                <w:lang w:val="en-US"/>
              </w:rPr>
              <w:lastRenderedPageBreak/>
              <w:t>TOTAL</w:t>
            </w:r>
          </w:p>
        </w:tc>
        <w:tc>
          <w:tcPr>
            <w:tcW w:w="937" w:type="dxa"/>
            <w:shd w:val="clear" w:color="auto" w:fill="D9D9D9" w:themeFill="background1" w:themeFillShade="D9"/>
          </w:tcPr>
          <w:p w:rsidR="00330F9D" w:rsidRPr="00330F9D" w:rsidRDefault="00330F9D" w:rsidP="00330F9D">
            <w:pPr>
              <w:spacing w:line="280" w:lineRule="exact"/>
              <w:jc w:val="both"/>
              <w:rPr>
                <w:rFonts w:ascii="Arial Narrow" w:hAnsi="Arial Narrow"/>
                <w:b/>
                <w:sz w:val="20"/>
                <w:szCs w:val="20"/>
                <w:lang w:val="en-US"/>
              </w:rPr>
            </w:pPr>
            <w:r w:rsidRPr="00330F9D">
              <w:rPr>
                <w:rFonts w:ascii="Arial Narrow" w:hAnsi="Arial Narrow"/>
                <w:b/>
                <w:sz w:val="20"/>
                <w:szCs w:val="20"/>
                <w:lang w:val="en-US"/>
              </w:rPr>
              <w:t>149.5</w:t>
            </w:r>
          </w:p>
        </w:tc>
        <w:tc>
          <w:tcPr>
            <w:tcW w:w="938" w:type="dxa"/>
            <w:shd w:val="clear" w:color="auto" w:fill="D9D9D9" w:themeFill="background1" w:themeFillShade="D9"/>
          </w:tcPr>
          <w:p w:rsidR="00330F9D" w:rsidRPr="00330F9D" w:rsidRDefault="00330F9D" w:rsidP="00330F9D">
            <w:pPr>
              <w:spacing w:line="280" w:lineRule="exact"/>
              <w:jc w:val="both"/>
              <w:rPr>
                <w:rFonts w:ascii="Arial Narrow" w:hAnsi="Arial Narrow"/>
                <w:b/>
                <w:sz w:val="20"/>
                <w:szCs w:val="20"/>
              </w:rPr>
            </w:pPr>
            <w:r w:rsidRPr="00330F9D">
              <w:rPr>
                <w:rFonts w:ascii="Arial Narrow" w:hAnsi="Arial Narrow"/>
                <w:b/>
                <w:bCs/>
                <w:sz w:val="20"/>
                <w:szCs w:val="20"/>
              </w:rPr>
              <w:t>159.3</w:t>
            </w:r>
          </w:p>
        </w:tc>
        <w:tc>
          <w:tcPr>
            <w:tcW w:w="938" w:type="dxa"/>
            <w:shd w:val="clear" w:color="auto" w:fill="D9D9D9" w:themeFill="background1" w:themeFillShade="D9"/>
          </w:tcPr>
          <w:p w:rsidR="00330F9D" w:rsidRPr="00330F9D" w:rsidRDefault="00330F9D" w:rsidP="00330F9D">
            <w:pPr>
              <w:spacing w:line="280" w:lineRule="exact"/>
              <w:jc w:val="both"/>
              <w:rPr>
                <w:rFonts w:ascii="Arial Narrow" w:hAnsi="Arial Narrow"/>
                <w:b/>
                <w:sz w:val="20"/>
                <w:szCs w:val="20"/>
              </w:rPr>
            </w:pPr>
            <w:r w:rsidRPr="00330F9D">
              <w:rPr>
                <w:rFonts w:ascii="Arial Narrow" w:hAnsi="Arial Narrow"/>
                <w:b/>
                <w:bCs/>
                <w:sz w:val="20"/>
                <w:szCs w:val="20"/>
              </w:rPr>
              <w:t>169.8</w:t>
            </w:r>
          </w:p>
        </w:tc>
        <w:tc>
          <w:tcPr>
            <w:tcW w:w="914" w:type="dxa"/>
            <w:shd w:val="clear" w:color="auto" w:fill="D9D9D9" w:themeFill="background1" w:themeFillShade="D9"/>
          </w:tcPr>
          <w:p w:rsidR="00330F9D" w:rsidRPr="00330F9D" w:rsidRDefault="00330F9D" w:rsidP="00330F9D">
            <w:pPr>
              <w:spacing w:line="280" w:lineRule="exact"/>
              <w:jc w:val="both"/>
              <w:rPr>
                <w:rFonts w:ascii="Arial Narrow" w:hAnsi="Arial Narrow"/>
                <w:b/>
                <w:sz w:val="20"/>
                <w:szCs w:val="20"/>
              </w:rPr>
            </w:pPr>
            <w:r w:rsidRPr="00330F9D">
              <w:rPr>
                <w:rFonts w:ascii="Arial Narrow" w:hAnsi="Arial Narrow"/>
                <w:b/>
                <w:bCs/>
                <w:sz w:val="20"/>
                <w:szCs w:val="20"/>
              </w:rPr>
              <w:t>179.7</w:t>
            </w:r>
          </w:p>
        </w:tc>
        <w:tc>
          <w:tcPr>
            <w:tcW w:w="1079" w:type="dxa"/>
            <w:shd w:val="clear" w:color="auto" w:fill="D9D9D9" w:themeFill="background1" w:themeFillShade="D9"/>
          </w:tcPr>
          <w:p w:rsidR="00330F9D" w:rsidRPr="00330F9D" w:rsidRDefault="00330F9D" w:rsidP="00330F9D">
            <w:pPr>
              <w:spacing w:line="280" w:lineRule="exact"/>
              <w:jc w:val="both"/>
              <w:rPr>
                <w:rFonts w:ascii="Arial Narrow" w:hAnsi="Arial Narrow"/>
                <w:b/>
                <w:sz w:val="20"/>
                <w:szCs w:val="20"/>
              </w:rPr>
            </w:pPr>
            <w:r w:rsidRPr="00330F9D">
              <w:rPr>
                <w:rFonts w:ascii="Arial Narrow" w:hAnsi="Arial Narrow"/>
                <w:b/>
                <w:sz w:val="20"/>
                <w:szCs w:val="20"/>
              </w:rPr>
              <w:t>9.8</w:t>
            </w:r>
          </w:p>
        </w:tc>
        <w:tc>
          <w:tcPr>
            <w:tcW w:w="908" w:type="dxa"/>
            <w:shd w:val="clear" w:color="auto" w:fill="D9D9D9" w:themeFill="background1" w:themeFillShade="D9"/>
          </w:tcPr>
          <w:p w:rsidR="00330F9D" w:rsidRPr="00330F9D" w:rsidRDefault="00330F9D" w:rsidP="00330F9D">
            <w:pPr>
              <w:spacing w:line="280" w:lineRule="exact"/>
              <w:jc w:val="both"/>
              <w:rPr>
                <w:rFonts w:ascii="Arial Narrow" w:hAnsi="Arial Narrow"/>
                <w:b/>
                <w:sz w:val="20"/>
                <w:szCs w:val="20"/>
                <w:lang w:val="en-US"/>
              </w:rPr>
            </w:pPr>
            <w:r w:rsidRPr="00330F9D">
              <w:rPr>
                <w:rFonts w:ascii="Arial Narrow" w:hAnsi="Arial Narrow"/>
                <w:b/>
                <w:sz w:val="20"/>
                <w:szCs w:val="20"/>
                <w:lang w:val="en-US"/>
              </w:rPr>
              <w:t>1.9</w:t>
            </w:r>
          </w:p>
        </w:tc>
        <w:tc>
          <w:tcPr>
            <w:tcW w:w="950" w:type="dxa"/>
            <w:shd w:val="clear" w:color="auto" w:fill="BFBFBF" w:themeFill="background1" w:themeFillShade="BF"/>
            <w:vAlign w:val="bottom"/>
          </w:tcPr>
          <w:p w:rsidR="00330F9D" w:rsidRPr="00330F9D" w:rsidRDefault="00330F9D" w:rsidP="00330F9D">
            <w:pPr>
              <w:spacing w:line="280" w:lineRule="exact"/>
              <w:jc w:val="both"/>
              <w:rPr>
                <w:rFonts w:ascii="Arial Narrow" w:hAnsi="Arial Narrow"/>
                <w:b/>
                <w:bCs/>
                <w:sz w:val="20"/>
                <w:szCs w:val="20"/>
                <w:lang w:val="en-GB"/>
              </w:rPr>
            </w:pPr>
            <w:r w:rsidRPr="00330F9D">
              <w:rPr>
                <w:rFonts w:ascii="Arial Narrow" w:hAnsi="Arial Narrow"/>
                <w:b/>
                <w:bCs/>
                <w:sz w:val="20"/>
                <w:szCs w:val="20"/>
                <w:lang w:val="en-GB"/>
              </w:rPr>
              <w:t>6.56 %</w:t>
            </w:r>
          </w:p>
        </w:tc>
        <w:tc>
          <w:tcPr>
            <w:tcW w:w="986" w:type="dxa"/>
            <w:shd w:val="clear" w:color="auto" w:fill="BFBFBF" w:themeFill="background1" w:themeFillShade="BF"/>
            <w:vAlign w:val="bottom"/>
          </w:tcPr>
          <w:p w:rsidR="00330F9D" w:rsidRPr="00330F9D" w:rsidRDefault="00330F9D" w:rsidP="00330F9D">
            <w:pPr>
              <w:spacing w:line="280" w:lineRule="exact"/>
              <w:jc w:val="both"/>
              <w:rPr>
                <w:rFonts w:ascii="Arial Narrow" w:hAnsi="Arial Narrow"/>
                <w:b/>
                <w:bCs/>
                <w:sz w:val="20"/>
                <w:szCs w:val="20"/>
                <w:lang w:val="en-GB"/>
              </w:rPr>
            </w:pPr>
            <w:r w:rsidRPr="00330F9D">
              <w:rPr>
                <w:rFonts w:ascii="Arial Narrow" w:hAnsi="Arial Narrow"/>
                <w:b/>
                <w:bCs/>
                <w:sz w:val="20"/>
                <w:szCs w:val="20"/>
                <w:lang w:val="en-GB"/>
              </w:rPr>
              <w:t>1.29 %</w:t>
            </w:r>
          </w:p>
        </w:tc>
      </w:tr>
    </w:tbl>
    <w:p w:rsidR="00CE34B2" w:rsidRDefault="00CE34B2" w:rsidP="002A431D">
      <w:pPr>
        <w:spacing w:line="280" w:lineRule="exact"/>
        <w:jc w:val="both"/>
        <w:rPr>
          <w:sz w:val="22"/>
          <w:szCs w:val="22"/>
        </w:rPr>
      </w:pPr>
    </w:p>
    <w:p w:rsidR="00CE34B2" w:rsidRPr="00CE34B2" w:rsidRDefault="00CE34B2" w:rsidP="00CE34B2">
      <w:pPr>
        <w:spacing w:line="280" w:lineRule="exact"/>
        <w:jc w:val="both"/>
        <w:rPr>
          <w:sz w:val="22"/>
          <w:szCs w:val="22"/>
        </w:rPr>
      </w:pPr>
      <w:r w:rsidRPr="00CE34B2">
        <w:rPr>
          <w:sz w:val="22"/>
          <w:szCs w:val="22"/>
        </w:rPr>
        <w:t xml:space="preserve">The key cost drivers as noted in the Budget Vote Report of 5 July 2019 is still the same </w:t>
      </w:r>
    </w:p>
    <w:p w:rsidR="00CE34B2" w:rsidRDefault="00CE34B2" w:rsidP="00CE34B2">
      <w:pPr>
        <w:pStyle w:val="ListParagraph"/>
        <w:numPr>
          <w:ilvl w:val="0"/>
          <w:numId w:val="24"/>
        </w:numPr>
        <w:spacing w:line="280" w:lineRule="exact"/>
        <w:jc w:val="both"/>
        <w:rPr>
          <w:sz w:val="22"/>
          <w:szCs w:val="22"/>
        </w:rPr>
      </w:pPr>
      <w:r w:rsidRPr="00CE34B2">
        <w:rPr>
          <w:sz w:val="22"/>
          <w:szCs w:val="22"/>
        </w:rPr>
        <w:t>Compensation of Employees</w:t>
      </w:r>
      <w:r>
        <w:rPr>
          <w:sz w:val="22"/>
          <w:szCs w:val="22"/>
        </w:rPr>
        <w:t xml:space="preserve"> consumes 57% (R91.435 million) of the Department’s operating budget of R159.210 million for 2019/20; and</w:t>
      </w:r>
    </w:p>
    <w:p w:rsidR="00CE34B2" w:rsidRPr="00CE34B2" w:rsidRDefault="00CE34B2" w:rsidP="00CE34B2">
      <w:pPr>
        <w:pStyle w:val="ListParagraph"/>
        <w:numPr>
          <w:ilvl w:val="0"/>
          <w:numId w:val="24"/>
        </w:numPr>
        <w:spacing w:line="280" w:lineRule="exact"/>
        <w:jc w:val="both"/>
        <w:rPr>
          <w:sz w:val="22"/>
          <w:szCs w:val="22"/>
        </w:rPr>
      </w:pPr>
      <w:r>
        <w:rPr>
          <w:sz w:val="22"/>
          <w:szCs w:val="22"/>
        </w:rPr>
        <w:t xml:space="preserve">Goods and Services consumes 41% (R64.571 million) of the Department’s operating budget </w:t>
      </w:r>
      <w:r w:rsidR="006B23D3">
        <w:rPr>
          <w:sz w:val="22"/>
          <w:szCs w:val="22"/>
        </w:rPr>
        <w:t>of R159.210 million for 2019/20.</w:t>
      </w:r>
    </w:p>
    <w:p w:rsidR="006B23D3" w:rsidRDefault="006B23D3" w:rsidP="002A431D">
      <w:pPr>
        <w:spacing w:line="280" w:lineRule="exact"/>
        <w:jc w:val="both"/>
        <w:rPr>
          <w:sz w:val="22"/>
          <w:szCs w:val="22"/>
        </w:rPr>
      </w:pPr>
    </w:p>
    <w:p w:rsidR="006026F9" w:rsidRDefault="006B23D3" w:rsidP="002A431D">
      <w:pPr>
        <w:spacing w:line="280" w:lineRule="exact"/>
        <w:jc w:val="both"/>
        <w:rPr>
          <w:sz w:val="22"/>
          <w:szCs w:val="22"/>
        </w:rPr>
      </w:pPr>
      <w:r>
        <w:rPr>
          <w:sz w:val="22"/>
          <w:szCs w:val="22"/>
        </w:rPr>
        <w:t xml:space="preserve">The Committee had adopted the Budget Vote Report for the Department and it was passed in the House. This means the budget which was voted on and agreed to was linked to objectives, key performance indicators and targets that appeared in the initial APP. </w:t>
      </w:r>
      <w:r w:rsidR="006026F9">
        <w:rPr>
          <w:sz w:val="22"/>
          <w:szCs w:val="22"/>
        </w:rPr>
        <w:t>Of importance to note is that the revised APP has incorporated new targets and discarded other targets when compared to the initial APP of 2019/20. It would be important for the Committee to establish what are the implications for having changed and discarded targets.</w:t>
      </w:r>
    </w:p>
    <w:p w:rsidR="006026F9" w:rsidRDefault="006026F9" w:rsidP="002A431D">
      <w:pPr>
        <w:spacing w:line="280" w:lineRule="exact"/>
        <w:jc w:val="both"/>
        <w:rPr>
          <w:sz w:val="22"/>
          <w:szCs w:val="22"/>
        </w:rPr>
      </w:pPr>
    </w:p>
    <w:p w:rsidR="00CE34B2" w:rsidRDefault="006B23D3" w:rsidP="002A431D">
      <w:pPr>
        <w:spacing w:line="280" w:lineRule="exact"/>
        <w:jc w:val="both"/>
        <w:rPr>
          <w:sz w:val="22"/>
          <w:szCs w:val="22"/>
        </w:rPr>
      </w:pPr>
      <w:r>
        <w:rPr>
          <w:sz w:val="22"/>
          <w:szCs w:val="22"/>
        </w:rPr>
        <w:t xml:space="preserve">The Department </w:t>
      </w:r>
      <w:r w:rsidR="006026F9">
        <w:rPr>
          <w:sz w:val="22"/>
          <w:szCs w:val="22"/>
        </w:rPr>
        <w:t>stipulates</w:t>
      </w:r>
      <w:r>
        <w:rPr>
          <w:sz w:val="22"/>
          <w:szCs w:val="22"/>
        </w:rPr>
        <w:t xml:space="preserve"> in its revised APP that </w:t>
      </w:r>
      <w:r w:rsidR="006026F9">
        <w:rPr>
          <w:sz w:val="22"/>
          <w:szCs w:val="22"/>
        </w:rPr>
        <w:t xml:space="preserve">the financial </w:t>
      </w:r>
      <w:r>
        <w:rPr>
          <w:sz w:val="22"/>
          <w:szCs w:val="22"/>
        </w:rPr>
        <w:t xml:space="preserve">resources for Programme 4 and 5 </w:t>
      </w:r>
      <w:r w:rsidR="006026F9">
        <w:rPr>
          <w:sz w:val="22"/>
          <w:szCs w:val="22"/>
        </w:rPr>
        <w:t xml:space="preserve">still resides with the Department of Performance Monitoring and Evaluation and the Department of Social Development respectively. Furthermore, the transfer of these financial resources </w:t>
      </w:r>
      <w:r>
        <w:rPr>
          <w:sz w:val="22"/>
          <w:szCs w:val="22"/>
        </w:rPr>
        <w:t xml:space="preserve">will only </w:t>
      </w:r>
      <w:r w:rsidR="006026F9">
        <w:rPr>
          <w:sz w:val="22"/>
          <w:szCs w:val="22"/>
        </w:rPr>
        <w:t xml:space="preserve">occur in the financial year </w:t>
      </w:r>
      <w:r>
        <w:rPr>
          <w:sz w:val="22"/>
          <w:szCs w:val="22"/>
        </w:rPr>
        <w:t>2020/21.</w:t>
      </w:r>
    </w:p>
    <w:p w:rsidR="006B23D3" w:rsidRPr="00CE34B2" w:rsidRDefault="006B23D3" w:rsidP="002A431D">
      <w:pPr>
        <w:spacing w:line="280" w:lineRule="exact"/>
        <w:jc w:val="both"/>
        <w:rPr>
          <w:sz w:val="22"/>
          <w:szCs w:val="22"/>
        </w:rPr>
      </w:pPr>
    </w:p>
    <w:p w:rsidR="00AA5BC8" w:rsidRPr="002A431D" w:rsidRDefault="00AA5BC8" w:rsidP="00210103">
      <w:pPr>
        <w:pStyle w:val="ListParagraph"/>
        <w:numPr>
          <w:ilvl w:val="0"/>
          <w:numId w:val="1"/>
        </w:numPr>
        <w:spacing w:line="280" w:lineRule="exact"/>
        <w:ind w:left="426"/>
        <w:jc w:val="both"/>
        <w:rPr>
          <w:b/>
          <w:sz w:val="22"/>
          <w:szCs w:val="22"/>
        </w:rPr>
      </w:pPr>
      <w:r w:rsidRPr="002A431D">
        <w:rPr>
          <w:b/>
          <w:sz w:val="22"/>
          <w:szCs w:val="22"/>
        </w:rPr>
        <w:t>Programme 1: Administration</w:t>
      </w:r>
    </w:p>
    <w:p w:rsidR="001140CA" w:rsidRDefault="001140CA" w:rsidP="001140CA">
      <w:pPr>
        <w:ind w:left="66"/>
        <w:rPr>
          <w:sz w:val="22"/>
          <w:szCs w:val="22"/>
        </w:rPr>
      </w:pPr>
    </w:p>
    <w:p w:rsidR="001140CA" w:rsidRPr="001140CA" w:rsidRDefault="001140CA" w:rsidP="001140CA">
      <w:pPr>
        <w:spacing w:line="280" w:lineRule="exact"/>
        <w:ind w:left="66"/>
        <w:jc w:val="both"/>
        <w:rPr>
          <w:sz w:val="22"/>
          <w:szCs w:val="22"/>
        </w:rPr>
      </w:pPr>
      <w:r w:rsidRPr="001140CA">
        <w:rPr>
          <w:sz w:val="22"/>
          <w:szCs w:val="22"/>
        </w:rPr>
        <w:t>The purpose of the Administration programme is to provide strategic leadership, management and support services to the Department. The sub-programme objectives are:</w:t>
      </w:r>
    </w:p>
    <w:p w:rsidR="001140CA" w:rsidRPr="001140CA" w:rsidRDefault="001140CA" w:rsidP="001140CA">
      <w:pPr>
        <w:spacing w:line="280" w:lineRule="exact"/>
        <w:ind w:left="66"/>
        <w:jc w:val="both"/>
        <w:rPr>
          <w:sz w:val="22"/>
          <w:szCs w:val="22"/>
        </w:rPr>
      </w:pPr>
    </w:p>
    <w:p w:rsidR="001140CA" w:rsidRPr="001140CA" w:rsidRDefault="001140CA" w:rsidP="001140CA">
      <w:pPr>
        <w:pStyle w:val="ListParagraph"/>
        <w:numPr>
          <w:ilvl w:val="0"/>
          <w:numId w:val="28"/>
        </w:numPr>
        <w:spacing w:line="280" w:lineRule="exact"/>
        <w:jc w:val="both"/>
        <w:rPr>
          <w:sz w:val="22"/>
          <w:szCs w:val="22"/>
        </w:rPr>
      </w:pPr>
      <w:r w:rsidRPr="001140CA">
        <w:rPr>
          <w:sz w:val="22"/>
          <w:szCs w:val="22"/>
        </w:rPr>
        <w:t xml:space="preserve">Strengthened good governance that ensure the Department of Women in the Presidency delivers on its mandate </w:t>
      </w:r>
    </w:p>
    <w:p w:rsidR="001140CA" w:rsidRPr="001140CA" w:rsidRDefault="001140CA" w:rsidP="001140CA">
      <w:pPr>
        <w:pStyle w:val="ListParagraph"/>
        <w:numPr>
          <w:ilvl w:val="0"/>
          <w:numId w:val="28"/>
        </w:numPr>
        <w:spacing w:line="280" w:lineRule="exact"/>
        <w:jc w:val="both"/>
        <w:rPr>
          <w:sz w:val="22"/>
          <w:szCs w:val="22"/>
        </w:rPr>
      </w:pPr>
      <w:r w:rsidRPr="001140CA">
        <w:rPr>
          <w:sz w:val="22"/>
          <w:szCs w:val="22"/>
        </w:rPr>
        <w:t xml:space="preserve">Improved strategic financial management system in the Department of Women in the Presidency, enabling delivery on the mandate </w:t>
      </w:r>
    </w:p>
    <w:p w:rsidR="00AA5BC8" w:rsidRPr="001140CA" w:rsidRDefault="001140CA" w:rsidP="001140CA">
      <w:pPr>
        <w:pStyle w:val="ListParagraph"/>
        <w:numPr>
          <w:ilvl w:val="0"/>
          <w:numId w:val="28"/>
        </w:numPr>
        <w:spacing w:line="280" w:lineRule="exact"/>
        <w:jc w:val="both"/>
        <w:rPr>
          <w:sz w:val="22"/>
          <w:szCs w:val="22"/>
        </w:rPr>
      </w:pPr>
      <w:r w:rsidRPr="001140CA">
        <w:rPr>
          <w:sz w:val="22"/>
          <w:szCs w:val="22"/>
        </w:rPr>
        <w:t>Effective and appropriate Human and ICT and Physical Resource management, enabling delivery on its mandate</w:t>
      </w:r>
    </w:p>
    <w:p w:rsidR="001140CA" w:rsidRDefault="001140CA" w:rsidP="001140CA">
      <w:pPr>
        <w:ind w:left="66"/>
        <w:rPr>
          <w:sz w:val="22"/>
          <w:szCs w:val="22"/>
        </w:rPr>
      </w:pPr>
    </w:p>
    <w:p w:rsidR="001140CA" w:rsidRDefault="001140CA" w:rsidP="001140CA">
      <w:pPr>
        <w:ind w:left="66"/>
        <w:rPr>
          <w:sz w:val="22"/>
          <w:szCs w:val="22"/>
        </w:rPr>
      </w:pPr>
      <w:r>
        <w:rPr>
          <w:sz w:val="22"/>
          <w:szCs w:val="22"/>
        </w:rPr>
        <w:t>The Key Performance Indicators and Targets have remained largely the same between the initial APP 2019/20 and the revised APP except for the following:</w:t>
      </w:r>
    </w:p>
    <w:p w:rsidR="001140CA" w:rsidRDefault="001140CA" w:rsidP="001140CA">
      <w:pPr>
        <w:ind w:left="66"/>
        <w:rPr>
          <w:sz w:val="22"/>
          <w:szCs w:val="22"/>
        </w:rPr>
      </w:pPr>
    </w:p>
    <w:p w:rsidR="001140CA" w:rsidRPr="001140CA" w:rsidRDefault="001140CA" w:rsidP="001140CA">
      <w:pPr>
        <w:rPr>
          <w:sz w:val="22"/>
          <w:szCs w:val="22"/>
          <w:u w:val="single"/>
        </w:rPr>
      </w:pPr>
      <w:r w:rsidRPr="001140CA">
        <w:rPr>
          <w:sz w:val="22"/>
          <w:szCs w:val="22"/>
          <w:u w:val="single"/>
        </w:rPr>
        <w:t>KPI: DWYPD Strategic Plan and Annual Performance Plan produced</w:t>
      </w:r>
    </w:p>
    <w:p w:rsidR="001140CA" w:rsidRPr="001140CA" w:rsidRDefault="001140CA" w:rsidP="001140CA">
      <w:pPr>
        <w:pStyle w:val="ListParagraph"/>
        <w:numPr>
          <w:ilvl w:val="0"/>
          <w:numId w:val="27"/>
        </w:numPr>
        <w:rPr>
          <w:sz w:val="22"/>
          <w:szCs w:val="22"/>
        </w:rPr>
      </w:pPr>
      <w:r>
        <w:rPr>
          <w:sz w:val="22"/>
          <w:szCs w:val="22"/>
        </w:rPr>
        <w:t>The initial APP 2019/20 had its 1</w:t>
      </w:r>
      <w:r w:rsidRPr="001140CA">
        <w:rPr>
          <w:sz w:val="22"/>
          <w:szCs w:val="22"/>
          <w:vertAlign w:val="superscript"/>
        </w:rPr>
        <w:t>st</w:t>
      </w:r>
      <w:r>
        <w:rPr>
          <w:sz w:val="22"/>
          <w:szCs w:val="22"/>
        </w:rPr>
        <w:t xml:space="preserve"> draft APP listed as a target in Q2 and the 2</w:t>
      </w:r>
      <w:r w:rsidRPr="001140CA">
        <w:rPr>
          <w:sz w:val="22"/>
          <w:szCs w:val="22"/>
          <w:vertAlign w:val="superscript"/>
        </w:rPr>
        <w:t>nd</w:t>
      </w:r>
      <w:r>
        <w:rPr>
          <w:sz w:val="22"/>
          <w:szCs w:val="22"/>
        </w:rPr>
        <w:t xml:space="preserve"> draft of the APP in Q3. The revised APP </w:t>
      </w:r>
      <w:r w:rsidR="001966E4">
        <w:rPr>
          <w:sz w:val="22"/>
          <w:szCs w:val="22"/>
        </w:rPr>
        <w:t>only has a 1</w:t>
      </w:r>
      <w:r w:rsidR="001966E4" w:rsidRPr="001966E4">
        <w:rPr>
          <w:sz w:val="22"/>
          <w:szCs w:val="22"/>
          <w:vertAlign w:val="superscript"/>
        </w:rPr>
        <w:t>st</w:t>
      </w:r>
      <w:r w:rsidR="001966E4">
        <w:rPr>
          <w:sz w:val="22"/>
          <w:szCs w:val="22"/>
        </w:rPr>
        <w:t xml:space="preserve"> draft of the APP in Q3 and no 2</w:t>
      </w:r>
      <w:r w:rsidR="001966E4" w:rsidRPr="001966E4">
        <w:rPr>
          <w:sz w:val="22"/>
          <w:szCs w:val="22"/>
          <w:vertAlign w:val="superscript"/>
        </w:rPr>
        <w:t>nd</w:t>
      </w:r>
      <w:r w:rsidR="001966E4">
        <w:rPr>
          <w:sz w:val="22"/>
          <w:szCs w:val="22"/>
        </w:rPr>
        <w:t xml:space="preserve"> draft.</w:t>
      </w:r>
    </w:p>
    <w:p w:rsidR="001140CA" w:rsidRDefault="001140CA" w:rsidP="001140CA">
      <w:pPr>
        <w:rPr>
          <w:sz w:val="22"/>
          <w:szCs w:val="22"/>
        </w:rPr>
      </w:pPr>
    </w:p>
    <w:p w:rsidR="001966E4" w:rsidRPr="001966E4" w:rsidRDefault="001966E4" w:rsidP="001140CA">
      <w:pPr>
        <w:rPr>
          <w:sz w:val="22"/>
          <w:szCs w:val="22"/>
          <w:u w:val="single"/>
        </w:rPr>
      </w:pPr>
      <w:r w:rsidRPr="001966E4">
        <w:rPr>
          <w:sz w:val="22"/>
          <w:szCs w:val="22"/>
          <w:u w:val="single"/>
        </w:rPr>
        <w:t>KPI: Draft WEGE Bill</w:t>
      </w:r>
    </w:p>
    <w:p w:rsidR="00330F9D" w:rsidRDefault="001966E4" w:rsidP="001966E4">
      <w:pPr>
        <w:pStyle w:val="ListParagraph"/>
        <w:numPr>
          <w:ilvl w:val="0"/>
          <w:numId w:val="15"/>
        </w:numPr>
        <w:spacing w:line="280" w:lineRule="exact"/>
        <w:jc w:val="both"/>
        <w:rPr>
          <w:sz w:val="22"/>
          <w:szCs w:val="22"/>
        </w:rPr>
      </w:pPr>
      <w:r>
        <w:rPr>
          <w:sz w:val="22"/>
          <w:szCs w:val="22"/>
        </w:rPr>
        <w:t>This is a new target</w:t>
      </w:r>
      <w:r w:rsidR="00330F9D">
        <w:rPr>
          <w:sz w:val="22"/>
          <w:szCs w:val="22"/>
        </w:rPr>
        <w:t>.</w:t>
      </w:r>
    </w:p>
    <w:p w:rsidR="00330F9D" w:rsidRDefault="00330F9D" w:rsidP="001966E4">
      <w:pPr>
        <w:pStyle w:val="ListParagraph"/>
        <w:numPr>
          <w:ilvl w:val="0"/>
          <w:numId w:val="15"/>
        </w:numPr>
        <w:spacing w:line="280" w:lineRule="exact"/>
        <w:jc w:val="both"/>
        <w:rPr>
          <w:sz w:val="22"/>
          <w:szCs w:val="22"/>
        </w:rPr>
      </w:pPr>
      <w:r>
        <w:rPr>
          <w:sz w:val="22"/>
          <w:szCs w:val="22"/>
        </w:rPr>
        <w:t xml:space="preserve">The Department has reintroduced the WEGE Bill as one of its 5 year targets in the Administration Programme. However, it is unclear what the exact time frames are in this regard and who within the Department will be responsible for the development of this Bill as there is at no present no legal unit within the existing structure of the Department. Furthermore, more clarity also needs to be sought in terms of prioritising </w:t>
      </w:r>
      <w:r>
        <w:rPr>
          <w:sz w:val="22"/>
          <w:szCs w:val="22"/>
        </w:rPr>
        <w:lastRenderedPageBreak/>
        <w:t>potential legislation related to disability as there is only a White Paper on the Rights of Persons with Disabilities at present.</w:t>
      </w:r>
    </w:p>
    <w:p w:rsidR="00330F9D" w:rsidRPr="001966E4" w:rsidRDefault="001966E4" w:rsidP="001966E4">
      <w:pPr>
        <w:spacing w:line="280" w:lineRule="exact"/>
        <w:jc w:val="both"/>
        <w:rPr>
          <w:sz w:val="22"/>
          <w:szCs w:val="22"/>
        </w:rPr>
      </w:pPr>
      <w:r w:rsidRPr="001966E4">
        <w:rPr>
          <w:sz w:val="22"/>
          <w:szCs w:val="22"/>
        </w:rPr>
        <w:t>Other matters which have been raised before in the initial APP include:</w:t>
      </w:r>
    </w:p>
    <w:p w:rsidR="001966E4" w:rsidRDefault="001966E4" w:rsidP="001966E4">
      <w:pPr>
        <w:pStyle w:val="ListParagraph"/>
        <w:numPr>
          <w:ilvl w:val="0"/>
          <w:numId w:val="15"/>
        </w:numPr>
        <w:spacing w:line="280" w:lineRule="exact"/>
        <w:jc w:val="both"/>
        <w:rPr>
          <w:sz w:val="22"/>
          <w:szCs w:val="22"/>
        </w:rPr>
      </w:pPr>
      <w:r>
        <w:rPr>
          <w:sz w:val="22"/>
          <w:szCs w:val="22"/>
        </w:rPr>
        <w:t>100% DC cases – The Department has been challenged with long standing disciplinary cases in the past that far exceed the 90-day target to resolve matters. It is unclear as to how many outstanding cases there are at present and how realistic it is for the Department to achieve this target.</w:t>
      </w:r>
    </w:p>
    <w:p w:rsidR="00E46FF3" w:rsidRPr="00330F9D" w:rsidRDefault="00E46FF3" w:rsidP="001966E4">
      <w:pPr>
        <w:pStyle w:val="ListParagraph"/>
        <w:numPr>
          <w:ilvl w:val="0"/>
          <w:numId w:val="15"/>
        </w:numPr>
        <w:spacing w:line="280" w:lineRule="exact"/>
        <w:jc w:val="both"/>
        <w:rPr>
          <w:sz w:val="22"/>
          <w:szCs w:val="22"/>
        </w:rPr>
      </w:pPr>
      <w:r>
        <w:rPr>
          <w:sz w:val="22"/>
          <w:szCs w:val="22"/>
        </w:rPr>
        <w:t>Quarterly Reports on gender communications – It is unclear why the communications reports are limited to gender only when the Department’s mandate is inclusive of youth and disability.</w:t>
      </w:r>
    </w:p>
    <w:p w:rsidR="00330F9D" w:rsidRDefault="00330F9D" w:rsidP="002A431D">
      <w:pPr>
        <w:rPr>
          <w:sz w:val="22"/>
          <w:szCs w:val="22"/>
        </w:rPr>
      </w:pPr>
    </w:p>
    <w:p w:rsidR="00330F9D" w:rsidRPr="00330F9D" w:rsidRDefault="00330F9D" w:rsidP="00330F9D">
      <w:pPr>
        <w:pBdr>
          <w:top w:val="single" w:sz="4" w:space="1" w:color="auto"/>
          <w:left w:val="single" w:sz="4" w:space="4" w:color="auto"/>
          <w:bottom w:val="single" w:sz="4" w:space="1" w:color="auto"/>
          <w:right w:val="single" w:sz="4" w:space="4" w:color="auto"/>
        </w:pBdr>
        <w:shd w:val="clear" w:color="auto" w:fill="BFBFBF" w:themeFill="background1" w:themeFillShade="BF"/>
        <w:rPr>
          <w:b/>
          <w:sz w:val="22"/>
          <w:szCs w:val="22"/>
        </w:rPr>
      </w:pPr>
      <w:r w:rsidRPr="00330F9D">
        <w:rPr>
          <w:b/>
          <w:sz w:val="22"/>
          <w:szCs w:val="22"/>
        </w:rPr>
        <w:t>Questions for consideration</w:t>
      </w:r>
    </w:p>
    <w:p w:rsidR="00330F9D" w:rsidRDefault="00330F9D" w:rsidP="00210103">
      <w:pPr>
        <w:pStyle w:val="ListParagraph"/>
        <w:numPr>
          <w:ilvl w:val="0"/>
          <w:numId w:val="14"/>
        </w:numPr>
        <w:pBdr>
          <w:top w:val="single" w:sz="4" w:space="1" w:color="auto"/>
          <w:left w:val="single" w:sz="4" w:space="4" w:color="auto"/>
          <w:bottom w:val="single" w:sz="4" w:space="1" w:color="auto"/>
          <w:right w:val="single" w:sz="4" w:space="4" w:color="auto"/>
        </w:pBdr>
        <w:rPr>
          <w:sz w:val="22"/>
          <w:szCs w:val="22"/>
        </w:rPr>
      </w:pPr>
      <w:r w:rsidRPr="00330F9D">
        <w:rPr>
          <w:sz w:val="22"/>
          <w:szCs w:val="22"/>
        </w:rPr>
        <w:t>How will the Internal Audit Committee manage with the inclusion of youth and disability structures into the Department?</w:t>
      </w:r>
    </w:p>
    <w:p w:rsidR="001966E4" w:rsidRDefault="001966E4" w:rsidP="00210103">
      <w:pPr>
        <w:pStyle w:val="ListParagraph"/>
        <w:numPr>
          <w:ilvl w:val="0"/>
          <w:numId w:val="14"/>
        </w:numPr>
        <w:pBdr>
          <w:top w:val="single" w:sz="4" w:space="1" w:color="auto"/>
          <w:left w:val="single" w:sz="4" w:space="4" w:color="auto"/>
          <w:bottom w:val="single" w:sz="4" w:space="1" w:color="auto"/>
          <w:right w:val="single" w:sz="4" w:space="4" w:color="auto"/>
        </w:pBdr>
        <w:rPr>
          <w:sz w:val="22"/>
          <w:szCs w:val="22"/>
        </w:rPr>
      </w:pPr>
      <w:r>
        <w:rPr>
          <w:sz w:val="22"/>
          <w:szCs w:val="22"/>
        </w:rPr>
        <w:t>How many DC cases are still outstanding and why? By when will these be resolved if any.</w:t>
      </w:r>
    </w:p>
    <w:p w:rsidR="00E46FF3" w:rsidRDefault="00E46FF3" w:rsidP="00210103">
      <w:pPr>
        <w:pStyle w:val="ListParagraph"/>
        <w:numPr>
          <w:ilvl w:val="0"/>
          <w:numId w:val="14"/>
        </w:numPr>
        <w:pBdr>
          <w:top w:val="single" w:sz="4" w:space="1" w:color="auto"/>
          <w:left w:val="single" w:sz="4" w:space="4" w:color="auto"/>
          <w:bottom w:val="single" w:sz="4" w:space="1" w:color="auto"/>
          <w:right w:val="single" w:sz="4" w:space="4" w:color="auto"/>
        </w:pBdr>
        <w:rPr>
          <w:sz w:val="22"/>
          <w:szCs w:val="22"/>
        </w:rPr>
      </w:pPr>
      <w:r>
        <w:rPr>
          <w:sz w:val="22"/>
          <w:szCs w:val="22"/>
        </w:rPr>
        <w:t>Why are the communications reports limited to a focus on gender only?</w:t>
      </w:r>
    </w:p>
    <w:p w:rsidR="001966E4" w:rsidRPr="00330F9D" w:rsidRDefault="001966E4" w:rsidP="00210103">
      <w:pPr>
        <w:pStyle w:val="ListParagraph"/>
        <w:numPr>
          <w:ilvl w:val="0"/>
          <w:numId w:val="14"/>
        </w:numPr>
        <w:pBdr>
          <w:top w:val="single" w:sz="4" w:space="1" w:color="auto"/>
          <w:left w:val="single" w:sz="4" w:space="4" w:color="auto"/>
          <w:bottom w:val="single" w:sz="4" w:space="1" w:color="auto"/>
          <w:right w:val="single" w:sz="4" w:space="4" w:color="auto"/>
        </w:pBdr>
        <w:rPr>
          <w:sz w:val="22"/>
          <w:szCs w:val="22"/>
        </w:rPr>
      </w:pPr>
      <w:r>
        <w:rPr>
          <w:sz w:val="22"/>
          <w:szCs w:val="22"/>
        </w:rPr>
        <w:t>Who will be responsible for the drafting of the WEGE Bill within the Department? What are the time frames for introducing the Bill into Parliament?</w:t>
      </w:r>
    </w:p>
    <w:p w:rsidR="00330F9D" w:rsidRDefault="00330F9D" w:rsidP="002A431D">
      <w:pPr>
        <w:rPr>
          <w:sz w:val="22"/>
          <w:szCs w:val="22"/>
        </w:rPr>
      </w:pPr>
    </w:p>
    <w:p w:rsidR="00AA5BC8" w:rsidRDefault="00AA5BC8" w:rsidP="008D31A4">
      <w:pPr>
        <w:rPr>
          <w:sz w:val="22"/>
          <w:szCs w:val="22"/>
        </w:rPr>
      </w:pPr>
    </w:p>
    <w:p w:rsidR="00031BB4" w:rsidRPr="00F25B89" w:rsidRDefault="00AA5BC8" w:rsidP="00210103">
      <w:pPr>
        <w:pStyle w:val="ListParagraph"/>
        <w:numPr>
          <w:ilvl w:val="0"/>
          <w:numId w:val="1"/>
        </w:numPr>
        <w:ind w:left="426"/>
        <w:rPr>
          <w:b/>
          <w:sz w:val="22"/>
          <w:szCs w:val="22"/>
        </w:rPr>
      </w:pPr>
      <w:r w:rsidRPr="00F25B89">
        <w:rPr>
          <w:b/>
          <w:sz w:val="22"/>
          <w:szCs w:val="22"/>
        </w:rPr>
        <w:t>Programme 5: Rights of Persons with Disabilities</w:t>
      </w:r>
    </w:p>
    <w:p w:rsidR="00AA5BC8" w:rsidRDefault="00AA5BC8" w:rsidP="008D31A4">
      <w:pPr>
        <w:rPr>
          <w:sz w:val="22"/>
          <w:szCs w:val="22"/>
        </w:rPr>
      </w:pPr>
    </w:p>
    <w:p w:rsidR="00E46FF3" w:rsidRDefault="00E46FF3" w:rsidP="00E46FF3">
      <w:pPr>
        <w:spacing w:line="280" w:lineRule="exact"/>
        <w:jc w:val="both"/>
        <w:rPr>
          <w:sz w:val="22"/>
          <w:szCs w:val="22"/>
        </w:rPr>
      </w:pPr>
      <w:r>
        <w:rPr>
          <w:sz w:val="22"/>
          <w:szCs w:val="22"/>
        </w:rPr>
        <w:t>The purpose of this programme is to promote, protect and empower persons with disabilities through the development and implementation of legislation, policies and programmes. It has two sub-programmes namely Advocacy and Mainstreaming and Governance and Compliance (Monitoring and Evaluation). The sub-programme objectives are:</w:t>
      </w:r>
    </w:p>
    <w:p w:rsidR="00E46FF3" w:rsidRDefault="00E46FF3" w:rsidP="00E46FF3">
      <w:pPr>
        <w:spacing w:line="280" w:lineRule="exact"/>
        <w:jc w:val="both"/>
        <w:rPr>
          <w:sz w:val="22"/>
          <w:szCs w:val="22"/>
        </w:rPr>
      </w:pPr>
    </w:p>
    <w:p w:rsidR="00E46FF3" w:rsidRPr="00E46FF3" w:rsidRDefault="00E46FF3" w:rsidP="00E46FF3">
      <w:pPr>
        <w:pStyle w:val="ListParagraph"/>
        <w:numPr>
          <w:ilvl w:val="0"/>
          <w:numId w:val="29"/>
        </w:numPr>
        <w:spacing w:line="280" w:lineRule="exact"/>
        <w:ind w:left="714" w:hanging="357"/>
        <w:jc w:val="both"/>
        <w:rPr>
          <w:sz w:val="22"/>
          <w:szCs w:val="22"/>
        </w:rPr>
      </w:pPr>
      <w:r w:rsidRPr="00E46FF3">
        <w:rPr>
          <w:sz w:val="22"/>
          <w:szCs w:val="22"/>
        </w:rPr>
        <w:t>To promote, protect and empower persons with disabilities through the development and implementation of legislation, policies and programmes</w:t>
      </w:r>
    </w:p>
    <w:p w:rsidR="00E46FF3" w:rsidRPr="00E46FF3" w:rsidRDefault="00E46FF3" w:rsidP="00E46FF3">
      <w:pPr>
        <w:pStyle w:val="ListParagraph"/>
        <w:numPr>
          <w:ilvl w:val="0"/>
          <w:numId w:val="29"/>
        </w:numPr>
        <w:spacing w:line="280" w:lineRule="exact"/>
        <w:ind w:left="714" w:hanging="357"/>
        <w:jc w:val="both"/>
        <w:rPr>
          <w:sz w:val="22"/>
          <w:szCs w:val="22"/>
        </w:rPr>
      </w:pPr>
      <w:r w:rsidRPr="00E46FF3">
        <w:rPr>
          <w:sz w:val="22"/>
          <w:szCs w:val="22"/>
        </w:rPr>
        <w:t>Strengthening of International Relations to promote the rights of persons with disabilities.</w:t>
      </w:r>
    </w:p>
    <w:p w:rsidR="00E46FF3" w:rsidRDefault="00E46FF3" w:rsidP="00E46FF3">
      <w:pPr>
        <w:spacing w:line="280" w:lineRule="exact"/>
        <w:rPr>
          <w:sz w:val="22"/>
          <w:szCs w:val="22"/>
        </w:rPr>
      </w:pPr>
    </w:p>
    <w:p w:rsidR="00DE0A3E" w:rsidRDefault="00DE0A3E" w:rsidP="00E46FF3">
      <w:pPr>
        <w:spacing w:line="280" w:lineRule="exact"/>
        <w:rPr>
          <w:sz w:val="22"/>
          <w:szCs w:val="22"/>
        </w:rPr>
      </w:pPr>
      <w:r>
        <w:rPr>
          <w:sz w:val="22"/>
          <w:szCs w:val="22"/>
        </w:rPr>
        <w:t>This programme has a total of 3 KPIs and 3 related Annual Targets for 2019/20. (Refer to table below) Two of the KPIs for this programme which was previously located in the Department of Social Development appear to have been discarded. Clarity needs to be sought in this regard.</w:t>
      </w:r>
    </w:p>
    <w:p w:rsidR="00DE0A3E" w:rsidRDefault="00DE0A3E" w:rsidP="00E46FF3">
      <w:pPr>
        <w:spacing w:line="280" w:lineRule="exact"/>
        <w:rPr>
          <w:sz w:val="22"/>
          <w:szCs w:val="22"/>
        </w:rPr>
      </w:pPr>
    </w:p>
    <w:p w:rsidR="003604E0" w:rsidRDefault="003604E0" w:rsidP="00E46FF3">
      <w:pPr>
        <w:spacing w:line="280" w:lineRule="exact"/>
        <w:rPr>
          <w:sz w:val="22"/>
          <w:szCs w:val="22"/>
        </w:rPr>
        <w:sectPr w:rsidR="003604E0" w:rsidSect="00D81758">
          <w:footerReference w:type="default" r:id="rId10"/>
          <w:pgSz w:w="11906" w:h="16838" w:code="9"/>
          <w:pgMar w:top="2336" w:right="1134" w:bottom="1191" w:left="1134" w:header="1134" w:footer="680" w:gutter="0"/>
          <w:cols w:space="708"/>
          <w:titlePg/>
          <w:docGrid w:linePitch="360"/>
        </w:sectPr>
      </w:pPr>
    </w:p>
    <w:p w:rsidR="003604E0" w:rsidRDefault="003604E0" w:rsidP="00E46FF3">
      <w:pPr>
        <w:spacing w:line="280" w:lineRule="exact"/>
        <w:rPr>
          <w:sz w:val="22"/>
          <w:szCs w:val="22"/>
        </w:rPr>
      </w:pPr>
    </w:p>
    <w:tbl>
      <w:tblPr>
        <w:tblW w:w="13800" w:type="dxa"/>
        <w:tblCellMar>
          <w:left w:w="0" w:type="dxa"/>
          <w:right w:w="0" w:type="dxa"/>
        </w:tblCellMar>
        <w:tblLook w:val="0420"/>
      </w:tblPr>
      <w:tblGrid>
        <w:gridCol w:w="2017"/>
        <w:gridCol w:w="1439"/>
        <w:gridCol w:w="2017"/>
        <w:gridCol w:w="2135"/>
        <w:gridCol w:w="279"/>
        <w:gridCol w:w="1738"/>
        <w:gridCol w:w="220"/>
        <w:gridCol w:w="1798"/>
        <w:gridCol w:w="200"/>
        <w:gridCol w:w="1957"/>
      </w:tblGrid>
      <w:tr w:rsidR="003604E0" w:rsidRPr="003604E0" w:rsidTr="009A7655">
        <w:trPr>
          <w:trHeight w:val="336"/>
          <w:tblHeader/>
        </w:trPr>
        <w:tc>
          <w:tcPr>
            <w:tcW w:w="2017" w:type="dxa"/>
            <w:vMerge w:val="restart"/>
            <w:tcBorders>
              <w:top w:val="single" w:sz="8" w:space="0" w:color="FFFFFF"/>
              <w:left w:val="single" w:sz="8" w:space="0" w:color="FFFFFF"/>
              <w:bottom w:val="single" w:sz="24" w:space="0" w:color="FFFFFF"/>
              <w:right w:val="single" w:sz="8" w:space="0" w:color="FFFFFF"/>
            </w:tcBorders>
            <w:shd w:val="clear" w:color="auto" w:fill="99CB38"/>
            <w:tcMar>
              <w:top w:w="72" w:type="dxa"/>
              <w:left w:w="144" w:type="dxa"/>
              <w:bottom w:w="72" w:type="dxa"/>
              <w:right w:w="144" w:type="dxa"/>
            </w:tcMar>
            <w:hideMark/>
          </w:tcPr>
          <w:p w:rsidR="003604E0" w:rsidRPr="003604E0" w:rsidRDefault="003604E0" w:rsidP="00705DA9">
            <w:pPr>
              <w:rPr>
                <w:rFonts w:cs="Arial"/>
                <w:color w:val="auto"/>
                <w:spacing w:val="0"/>
                <w:sz w:val="36"/>
                <w:szCs w:val="36"/>
                <w:lang w:eastAsia="en-ZA"/>
              </w:rPr>
            </w:pPr>
            <w:r>
              <w:rPr>
                <w:sz w:val="22"/>
                <w:szCs w:val="22"/>
              </w:rPr>
              <w:br w:type="page"/>
            </w:r>
            <w:r w:rsidRPr="003604E0">
              <w:rPr>
                <w:rFonts w:cs="Arial"/>
                <w:b/>
                <w:bCs/>
                <w:color w:val="000000"/>
                <w:spacing w:val="0"/>
                <w:kern w:val="24"/>
                <w:sz w:val="22"/>
                <w:szCs w:val="22"/>
                <w:lang w:eastAsia="en-ZA"/>
              </w:rPr>
              <w:t>Key Performance Indicator</w:t>
            </w:r>
          </w:p>
        </w:tc>
        <w:tc>
          <w:tcPr>
            <w:tcW w:w="1439" w:type="dxa"/>
            <w:vMerge w:val="restart"/>
            <w:tcBorders>
              <w:top w:val="single" w:sz="8" w:space="0" w:color="FFFFFF"/>
              <w:left w:val="single" w:sz="8" w:space="0" w:color="FFFFFF"/>
              <w:bottom w:val="single" w:sz="24" w:space="0" w:color="FFFFFF"/>
              <w:right w:val="single" w:sz="8" w:space="0" w:color="FFFFFF"/>
            </w:tcBorders>
            <w:shd w:val="clear" w:color="auto" w:fill="99CB38"/>
            <w:tcMar>
              <w:top w:w="72" w:type="dxa"/>
              <w:left w:w="144" w:type="dxa"/>
              <w:bottom w:w="72" w:type="dxa"/>
              <w:right w:w="144" w:type="dxa"/>
            </w:tcMar>
            <w:hideMark/>
          </w:tcPr>
          <w:p w:rsidR="003604E0" w:rsidRPr="003604E0" w:rsidRDefault="003604E0" w:rsidP="00705DA9">
            <w:pPr>
              <w:rPr>
                <w:rFonts w:cs="Arial"/>
                <w:color w:val="auto"/>
                <w:spacing w:val="0"/>
                <w:sz w:val="36"/>
                <w:szCs w:val="36"/>
                <w:lang w:eastAsia="en-ZA"/>
              </w:rPr>
            </w:pPr>
            <w:r w:rsidRPr="003604E0">
              <w:rPr>
                <w:rFonts w:eastAsia="Calibri" w:cs="Arial"/>
                <w:b/>
                <w:bCs/>
                <w:color w:val="000000"/>
                <w:spacing w:val="0"/>
                <w:kern w:val="24"/>
                <w:sz w:val="22"/>
                <w:szCs w:val="22"/>
                <w:lang w:val="en-US" w:eastAsia="en-ZA"/>
              </w:rPr>
              <w:t>Reporting Period</w:t>
            </w:r>
          </w:p>
        </w:tc>
        <w:tc>
          <w:tcPr>
            <w:tcW w:w="2017" w:type="dxa"/>
            <w:vMerge w:val="restart"/>
            <w:tcBorders>
              <w:top w:val="single" w:sz="8" w:space="0" w:color="FFFFFF"/>
              <w:left w:val="single" w:sz="8" w:space="0" w:color="FFFFFF"/>
              <w:bottom w:val="single" w:sz="24" w:space="0" w:color="FFFFFF"/>
              <w:right w:val="single" w:sz="8" w:space="0" w:color="FFFFFF"/>
            </w:tcBorders>
            <w:shd w:val="clear" w:color="auto" w:fill="99CB38"/>
            <w:tcMar>
              <w:top w:w="72" w:type="dxa"/>
              <w:left w:w="144" w:type="dxa"/>
              <w:bottom w:w="72" w:type="dxa"/>
              <w:right w:w="144" w:type="dxa"/>
            </w:tcMar>
            <w:hideMark/>
          </w:tcPr>
          <w:p w:rsidR="003604E0" w:rsidRPr="003604E0" w:rsidRDefault="003604E0" w:rsidP="00705DA9">
            <w:pPr>
              <w:rPr>
                <w:rFonts w:cs="Arial"/>
                <w:color w:val="auto"/>
                <w:spacing w:val="0"/>
                <w:sz w:val="36"/>
                <w:szCs w:val="36"/>
                <w:lang w:eastAsia="en-ZA"/>
              </w:rPr>
            </w:pPr>
            <w:r w:rsidRPr="003604E0">
              <w:rPr>
                <w:rFonts w:cs="Arial"/>
                <w:b/>
                <w:bCs/>
                <w:color w:val="000000"/>
                <w:spacing w:val="0"/>
                <w:kern w:val="24"/>
                <w:sz w:val="22"/>
                <w:szCs w:val="22"/>
                <w:lang w:val="en-US" w:eastAsia="en-ZA"/>
              </w:rPr>
              <w:t>Annual Target 2019/20</w:t>
            </w:r>
          </w:p>
        </w:tc>
        <w:tc>
          <w:tcPr>
            <w:tcW w:w="8327" w:type="dxa"/>
            <w:gridSpan w:val="7"/>
            <w:tcBorders>
              <w:top w:val="single" w:sz="8" w:space="0" w:color="FFFFFF"/>
              <w:left w:val="single" w:sz="8" w:space="0" w:color="FFFFFF"/>
              <w:bottom w:val="single" w:sz="8" w:space="0" w:color="000000"/>
              <w:right w:val="single" w:sz="8" w:space="0" w:color="FFFFFF"/>
            </w:tcBorders>
            <w:shd w:val="clear" w:color="auto" w:fill="99CB38"/>
            <w:tcMar>
              <w:top w:w="72" w:type="dxa"/>
              <w:left w:w="144" w:type="dxa"/>
              <w:bottom w:w="72" w:type="dxa"/>
              <w:right w:w="144" w:type="dxa"/>
            </w:tcMar>
            <w:hideMark/>
          </w:tcPr>
          <w:p w:rsidR="003604E0" w:rsidRPr="003604E0" w:rsidRDefault="003604E0" w:rsidP="00705DA9">
            <w:pPr>
              <w:jc w:val="center"/>
              <w:rPr>
                <w:rFonts w:cs="Arial"/>
                <w:color w:val="auto"/>
                <w:spacing w:val="0"/>
                <w:sz w:val="36"/>
                <w:szCs w:val="36"/>
                <w:lang w:eastAsia="en-ZA"/>
              </w:rPr>
            </w:pPr>
            <w:r w:rsidRPr="003604E0">
              <w:rPr>
                <w:rFonts w:eastAsia="Calibri" w:cs="Arial"/>
                <w:b/>
                <w:bCs/>
                <w:color w:val="000000"/>
                <w:spacing w:val="0"/>
                <w:kern w:val="24"/>
                <w:sz w:val="22"/>
                <w:szCs w:val="22"/>
                <w:lang w:val="en-US" w:eastAsia="en-ZA"/>
              </w:rPr>
              <w:t>Quarterly Targets</w:t>
            </w:r>
          </w:p>
        </w:tc>
      </w:tr>
      <w:tr w:rsidR="003604E0" w:rsidRPr="003604E0" w:rsidTr="00705DA9">
        <w:trPr>
          <w:trHeight w:val="134"/>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3604E0" w:rsidRPr="003604E0" w:rsidRDefault="003604E0" w:rsidP="00705DA9">
            <w:pPr>
              <w:rPr>
                <w:rFonts w:cs="Arial"/>
                <w:color w:val="auto"/>
                <w:spacing w:val="0"/>
                <w:sz w:val="36"/>
                <w:szCs w:val="36"/>
                <w:lang w:eastAsia="en-ZA"/>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3604E0" w:rsidRPr="003604E0" w:rsidRDefault="003604E0" w:rsidP="00705DA9">
            <w:pPr>
              <w:rPr>
                <w:rFonts w:cs="Arial"/>
                <w:color w:val="auto"/>
                <w:spacing w:val="0"/>
                <w:sz w:val="36"/>
                <w:szCs w:val="36"/>
                <w:lang w:eastAsia="en-ZA"/>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3604E0" w:rsidRPr="003604E0" w:rsidRDefault="003604E0" w:rsidP="00705DA9">
            <w:pPr>
              <w:rPr>
                <w:rFonts w:cs="Arial"/>
                <w:color w:val="auto"/>
                <w:spacing w:val="0"/>
                <w:sz w:val="36"/>
                <w:szCs w:val="36"/>
                <w:lang w:eastAsia="en-ZA"/>
              </w:rPr>
            </w:pPr>
          </w:p>
        </w:tc>
        <w:tc>
          <w:tcPr>
            <w:tcW w:w="2414" w:type="dxa"/>
            <w:gridSpan w:val="2"/>
            <w:tcBorders>
              <w:top w:val="single" w:sz="8" w:space="0" w:color="000000"/>
              <w:left w:val="single" w:sz="24" w:space="0" w:color="FFFFFF"/>
              <w:bottom w:val="single" w:sz="8" w:space="0" w:color="FFFFFF"/>
              <w:right w:val="single" w:sz="8" w:space="0" w:color="FFFFFF"/>
            </w:tcBorders>
            <w:shd w:val="clear" w:color="auto" w:fill="99CB38"/>
            <w:tcMar>
              <w:top w:w="72" w:type="dxa"/>
              <w:left w:w="144" w:type="dxa"/>
              <w:bottom w:w="72" w:type="dxa"/>
              <w:right w:w="144" w:type="dxa"/>
            </w:tcMar>
            <w:hideMark/>
          </w:tcPr>
          <w:p w:rsidR="003604E0" w:rsidRPr="003604E0" w:rsidRDefault="003604E0" w:rsidP="00705DA9">
            <w:pPr>
              <w:rPr>
                <w:rFonts w:cs="Arial"/>
                <w:color w:val="auto"/>
                <w:spacing w:val="0"/>
                <w:sz w:val="36"/>
                <w:szCs w:val="36"/>
                <w:lang w:eastAsia="en-ZA"/>
              </w:rPr>
            </w:pPr>
            <w:r w:rsidRPr="003604E0">
              <w:rPr>
                <w:rFonts w:cs="Arial"/>
                <w:b/>
                <w:bCs/>
                <w:color w:val="000000"/>
                <w:spacing w:val="0"/>
                <w:kern w:val="24"/>
                <w:sz w:val="22"/>
                <w:szCs w:val="22"/>
                <w:lang w:eastAsia="en-ZA"/>
              </w:rPr>
              <w:t>Q1</w:t>
            </w:r>
          </w:p>
        </w:tc>
        <w:tc>
          <w:tcPr>
            <w:tcW w:w="1958" w:type="dxa"/>
            <w:gridSpan w:val="2"/>
            <w:tcBorders>
              <w:top w:val="single" w:sz="8" w:space="0" w:color="000000"/>
              <w:left w:val="single" w:sz="8" w:space="0" w:color="FFFFFF"/>
              <w:bottom w:val="single" w:sz="8" w:space="0" w:color="FFFFFF"/>
              <w:right w:val="single" w:sz="8" w:space="0" w:color="FFFFFF"/>
            </w:tcBorders>
            <w:shd w:val="clear" w:color="auto" w:fill="99CB38"/>
            <w:tcMar>
              <w:top w:w="72" w:type="dxa"/>
              <w:left w:w="144" w:type="dxa"/>
              <w:bottom w:w="72" w:type="dxa"/>
              <w:right w:w="144" w:type="dxa"/>
            </w:tcMar>
            <w:hideMark/>
          </w:tcPr>
          <w:p w:rsidR="003604E0" w:rsidRPr="003604E0" w:rsidRDefault="003604E0" w:rsidP="00705DA9">
            <w:pPr>
              <w:rPr>
                <w:rFonts w:cs="Arial"/>
                <w:color w:val="auto"/>
                <w:spacing w:val="0"/>
                <w:sz w:val="36"/>
                <w:szCs w:val="36"/>
                <w:lang w:eastAsia="en-ZA"/>
              </w:rPr>
            </w:pPr>
            <w:r w:rsidRPr="003604E0">
              <w:rPr>
                <w:rFonts w:cs="Arial"/>
                <w:b/>
                <w:bCs/>
                <w:color w:val="000000"/>
                <w:spacing w:val="0"/>
                <w:kern w:val="24"/>
                <w:sz w:val="22"/>
                <w:szCs w:val="22"/>
                <w:lang w:eastAsia="en-ZA"/>
              </w:rPr>
              <w:t>Q2</w:t>
            </w:r>
          </w:p>
        </w:tc>
        <w:tc>
          <w:tcPr>
            <w:tcW w:w="1998" w:type="dxa"/>
            <w:gridSpan w:val="2"/>
            <w:tcBorders>
              <w:top w:val="single" w:sz="8" w:space="0" w:color="000000"/>
              <w:left w:val="single" w:sz="8" w:space="0" w:color="FFFFFF"/>
              <w:bottom w:val="single" w:sz="8" w:space="0" w:color="FFFFFF"/>
              <w:right w:val="single" w:sz="8" w:space="0" w:color="FFFFFF"/>
            </w:tcBorders>
            <w:shd w:val="clear" w:color="auto" w:fill="99CB38"/>
            <w:tcMar>
              <w:top w:w="72" w:type="dxa"/>
              <w:left w:w="144" w:type="dxa"/>
              <w:bottom w:w="72" w:type="dxa"/>
              <w:right w:w="144" w:type="dxa"/>
            </w:tcMar>
            <w:hideMark/>
          </w:tcPr>
          <w:p w:rsidR="003604E0" w:rsidRPr="003604E0" w:rsidRDefault="003604E0" w:rsidP="00705DA9">
            <w:pPr>
              <w:rPr>
                <w:rFonts w:cs="Arial"/>
                <w:color w:val="auto"/>
                <w:spacing w:val="0"/>
                <w:sz w:val="36"/>
                <w:szCs w:val="36"/>
                <w:lang w:eastAsia="en-ZA"/>
              </w:rPr>
            </w:pPr>
            <w:r w:rsidRPr="003604E0">
              <w:rPr>
                <w:rFonts w:cs="Arial"/>
                <w:b/>
                <w:bCs/>
                <w:color w:val="000000"/>
                <w:spacing w:val="0"/>
                <w:kern w:val="24"/>
                <w:sz w:val="22"/>
                <w:szCs w:val="22"/>
                <w:lang w:eastAsia="en-ZA"/>
              </w:rPr>
              <w:t>Q3</w:t>
            </w:r>
          </w:p>
        </w:tc>
        <w:tc>
          <w:tcPr>
            <w:tcW w:w="1957" w:type="dxa"/>
            <w:tcBorders>
              <w:top w:val="single" w:sz="8" w:space="0" w:color="000000"/>
              <w:left w:val="single" w:sz="8" w:space="0" w:color="FFFFFF"/>
              <w:bottom w:val="single" w:sz="8" w:space="0" w:color="FFFFFF"/>
              <w:right w:val="single" w:sz="8" w:space="0" w:color="FFFFFF"/>
            </w:tcBorders>
            <w:shd w:val="clear" w:color="auto" w:fill="99CB38"/>
            <w:tcMar>
              <w:top w:w="72" w:type="dxa"/>
              <w:left w:w="144" w:type="dxa"/>
              <w:bottom w:w="72" w:type="dxa"/>
              <w:right w:w="144" w:type="dxa"/>
            </w:tcMar>
            <w:hideMark/>
          </w:tcPr>
          <w:p w:rsidR="003604E0" w:rsidRPr="003604E0" w:rsidRDefault="003604E0" w:rsidP="00705DA9">
            <w:pPr>
              <w:rPr>
                <w:rFonts w:cs="Arial"/>
                <w:color w:val="auto"/>
                <w:spacing w:val="0"/>
                <w:sz w:val="36"/>
                <w:szCs w:val="36"/>
                <w:lang w:eastAsia="en-ZA"/>
              </w:rPr>
            </w:pPr>
            <w:r w:rsidRPr="003604E0">
              <w:rPr>
                <w:rFonts w:cs="Arial"/>
                <w:b/>
                <w:bCs/>
                <w:color w:val="000000"/>
                <w:spacing w:val="0"/>
                <w:kern w:val="24"/>
                <w:sz w:val="22"/>
                <w:szCs w:val="22"/>
                <w:lang w:eastAsia="en-ZA"/>
              </w:rPr>
              <w:t>Q4</w:t>
            </w:r>
          </w:p>
        </w:tc>
      </w:tr>
      <w:tr w:rsidR="003604E0" w:rsidRPr="003604E0" w:rsidTr="00705DA9">
        <w:trPr>
          <w:trHeight w:val="380"/>
        </w:trPr>
        <w:tc>
          <w:tcPr>
            <w:tcW w:w="13800" w:type="dxa"/>
            <w:gridSpan w:val="10"/>
            <w:tcBorders>
              <w:top w:val="single" w:sz="24" w:space="0" w:color="FFFFFF"/>
              <w:left w:val="single" w:sz="8" w:space="0" w:color="FFFFFF"/>
              <w:bottom w:val="single" w:sz="8" w:space="0" w:color="FFFFFF"/>
              <w:right w:val="single" w:sz="8" w:space="0" w:color="FFFFFF"/>
            </w:tcBorders>
            <w:shd w:val="clear" w:color="auto" w:fill="EFF6E8"/>
            <w:tcMar>
              <w:top w:w="15" w:type="dxa"/>
              <w:left w:w="108" w:type="dxa"/>
              <w:bottom w:w="0" w:type="dxa"/>
              <w:right w:w="108" w:type="dxa"/>
            </w:tcMar>
            <w:hideMark/>
          </w:tcPr>
          <w:p w:rsidR="003604E0" w:rsidRPr="003604E0" w:rsidRDefault="003604E0" w:rsidP="00705DA9">
            <w:pPr>
              <w:jc w:val="both"/>
              <w:rPr>
                <w:rFonts w:cs="Arial"/>
                <w:color w:val="auto"/>
                <w:spacing w:val="0"/>
                <w:sz w:val="36"/>
                <w:szCs w:val="36"/>
                <w:lang w:eastAsia="en-ZA"/>
              </w:rPr>
            </w:pPr>
            <w:r w:rsidRPr="003604E0">
              <w:rPr>
                <w:rFonts w:eastAsia="Calibri"/>
                <w:b/>
                <w:bCs/>
                <w:color w:val="000000"/>
                <w:spacing w:val="0"/>
                <w:kern w:val="24"/>
                <w:sz w:val="22"/>
                <w:szCs w:val="22"/>
                <w:lang w:eastAsia="en-ZA"/>
              </w:rPr>
              <w:t>Sub-programme: Advocacy and Mainstreaming</w:t>
            </w:r>
          </w:p>
        </w:tc>
      </w:tr>
      <w:tr w:rsidR="009A7655" w:rsidRPr="003604E0" w:rsidTr="00705DA9">
        <w:trPr>
          <w:trHeight w:val="2723"/>
        </w:trPr>
        <w:tc>
          <w:tcPr>
            <w:tcW w:w="2017" w:type="dxa"/>
            <w:tcBorders>
              <w:top w:val="single" w:sz="8" w:space="0" w:color="FFFFFF"/>
              <w:left w:val="single" w:sz="8" w:space="0" w:color="FFFFFF"/>
              <w:bottom w:val="single" w:sz="8" w:space="0" w:color="FFFFFF"/>
              <w:right w:val="single" w:sz="8" w:space="0" w:color="FFFFFF"/>
            </w:tcBorders>
            <w:shd w:val="clear" w:color="auto" w:fill="DEECCE"/>
            <w:tcMar>
              <w:top w:w="15" w:type="dxa"/>
              <w:left w:w="108" w:type="dxa"/>
              <w:bottom w:w="0" w:type="dxa"/>
              <w:right w:w="108" w:type="dxa"/>
            </w:tcMar>
            <w:hideMark/>
          </w:tcPr>
          <w:p w:rsidR="003604E0" w:rsidRPr="003604E0" w:rsidRDefault="003604E0" w:rsidP="00705DA9">
            <w:pPr>
              <w:spacing w:before="40"/>
              <w:rPr>
                <w:rFonts w:cs="Arial"/>
                <w:color w:val="auto"/>
                <w:spacing w:val="0"/>
                <w:sz w:val="36"/>
                <w:szCs w:val="36"/>
                <w:lang w:eastAsia="en-ZA"/>
              </w:rPr>
            </w:pPr>
            <w:r w:rsidRPr="003604E0">
              <w:rPr>
                <w:rFonts w:eastAsia="Calibri"/>
                <w:color w:val="000000"/>
                <w:spacing w:val="0"/>
                <w:kern w:val="24"/>
                <w:sz w:val="22"/>
                <w:szCs w:val="22"/>
                <w:lang w:eastAsia="en-ZA"/>
              </w:rPr>
              <w:t> </w:t>
            </w:r>
          </w:p>
          <w:p w:rsidR="003604E0" w:rsidRPr="003604E0" w:rsidRDefault="003604E0" w:rsidP="00705DA9">
            <w:pPr>
              <w:rPr>
                <w:rFonts w:cs="Arial"/>
                <w:color w:val="auto"/>
                <w:spacing w:val="0"/>
                <w:sz w:val="36"/>
                <w:szCs w:val="36"/>
                <w:lang w:eastAsia="en-ZA"/>
              </w:rPr>
            </w:pPr>
            <w:r w:rsidRPr="003604E0">
              <w:rPr>
                <w:rFonts w:eastAsia="Calibri"/>
                <w:color w:val="000000"/>
                <w:spacing w:val="0"/>
                <w:kern w:val="24"/>
                <w:sz w:val="22"/>
                <w:szCs w:val="22"/>
                <w:lang w:eastAsia="en-ZA"/>
              </w:rPr>
              <w:t>White Paper</w:t>
            </w:r>
          </w:p>
          <w:p w:rsidR="003604E0" w:rsidRPr="003604E0" w:rsidRDefault="003604E0" w:rsidP="00705DA9">
            <w:pPr>
              <w:rPr>
                <w:rFonts w:cs="Arial"/>
                <w:color w:val="auto"/>
                <w:spacing w:val="0"/>
                <w:sz w:val="36"/>
                <w:szCs w:val="36"/>
                <w:lang w:eastAsia="en-ZA"/>
              </w:rPr>
            </w:pPr>
            <w:r w:rsidRPr="003604E0">
              <w:rPr>
                <w:rFonts w:eastAsia="Calibri"/>
                <w:color w:val="000000"/>
                <w:spacing w:val="0"/>
                <w:kern w:val="24"/>
                <w:sz w:val="22"/>
                <w:szCs w:val="22"/>
                <w:lang w:eastAsia="en-ZA"/>
              </w:rPr>
              <w:t>on the Rights</w:t>
            </w:r>
          </w:p>
          <w:p w:rsidR="003604E0" w:rsidRPr="003604E0" w:rsidRDefault="003604E0" w:rsidP="00705DA9">
            <w:pPr>
              <w:rPr>
                <w:rFonts w:cs="Arial"/>
                <w:color w:val="auto"/>
                <w:spacing w:val="0"/>
                <w:sz w:val="36"/>
                <w:szCs w:val="36"/>
                <w:lang w:eastAsia="en-ZA"/>
              </w:rPr>
            </w:pPr>
            <w:r w:rsidRPr="003604E0">
              <w:rPr>
                <w:rFonts w:eastAsia="Calibri"/>
                <w:color w:val="000000"/>
                <w:spacing w:val="0"/>
                <w:kern w:val="24"/>
                <w:sz w:val="22"/>
                <w:szCs w:val="22"/>
                <w:lang w:eastAsia="en-ZA"/>
              </w:rPr>
              <w:t>of Persons with</w:t>
            </w:r>
          </w:p>
          <w:p w:rsidR="003604E0" w:rsidRPr="003604E0" w:rsidRDefault="003604E0" w:rsidP="00705DA9">
            <w:pPr>
              <w:rPr>
                <w:rFonts w:cs="Arial"/>
                <w:color w:val="auto"/>
                <w:spacing w:val="0"/>
                <w:sz w:val="36"/>
                <w:szCs w:val="36"/>
                <w:lang w:eastAsia="en-ZA"/>
              </w:rPr>
            </w:pPr>
            <w:r w:rsidRPr="003604E0">
              <w:rPr>
                <w:rFonts w:eastAsia="Calibri"/>
                <w:color w:val="000000"/>
                <w:spacing w:val="0"/>
                <w:kern w:val="24"/>
                <w:sz w:val="22"/>
                <w:szCs w:val="22"/>
                <w:lang w:eastAsia="en-ZA"/>
              </w:rPr>
              <w:t>Disabilities</w:t>
            </w:r>
          </w:p>
          <w:p w:rsidR="003604E0" w:rsidRPr="003604E0" w:rsidRDefault="003604E0" w:rsidP="00705DA9">
            <w:pPr>
              <w:rPr>
                <w:rFonts w:cs="Arial"/>
                <w:color w:val="auto"/>
                <w:spacing w:val="0"/>
                <w:sz w:val="36"/>
                <w:szCs w:val="36"/>
                <w:lang w:eastAsia="en-ZA"/>
              </w:rPr>
            </w:pPr>
            <w:r w:rsidRPr="003604E0">
              <w:rPr>
                <w:rFonts w:eastAsia="Calibri"/>
                <w:color w:val="000000"/>
                <w:spacing w:val="0"/>
                <w:kern w:val="24"/>
                <w:sz w:val="22"/>
                <w:szCs w:val="22"/>
                <w:lang w:eastAsia="en-ZA"/>
              </w:rPr>
              <w:t>(WPRPD)</w:t>
            </w:r>
          </w:p>
          <w:p w:rsidR="003604E0" w:rsidRPr="003604E0" w:rsidRDefault="003F0827" w:rsidP="00705DA9">
            <w:pPr>
              <w:spacing w:before="40"/>
              <w:rPr>
                <w:rFonts w:cs="Arial"/>
                <w:color w:val="auto"/>
                <w:spacing w:val="0"/>
                <w:sz w:val="36"/>
                <w:szCs w:val="36"/>
                <w:lang w:eastAsia="en-ZA"/>
              </w:rPr>
            </w:pPr>
            <w:r w:rsidRPr="003604E0">
              <w:rPr>
                <w:rFonts w:eastAsia="Calibri"/>
                <w:color w:val="000000"/>
                <w:spacing w:val="0"/>
                <w:kern w:val="24"/>
                <w:sz w:val="22"/>
                <w:szCs w:val="22"/>
                <w:lang w:eastAsia="en-ZA"/>
              </w:rPr>
              <w:t>I</w:t>
            </w:r>
            <w:r w:rsidR="003604E0" w:rsidRPr="003604E0">
              <w:rPr>
                <w:rFonts w:eastAsia="Calibri"/>
                <w:color w:val="000000"/>
                <w:spacing w:val="0"/>
                <w:kern w:val="24"/>
                <w:sz w:val="22"/>
                <w:szCs w:val="22"/>
                <w:lang w:eastAsia="en-ZA"/>
              </w:rPr>
              <w:t>mplemented</w:t>
            </w:r>
          </w:p>
        </w:tc>
        <w:tc>
          <w:tcPr>
            <w:tcW w:w="1439" w:type="dxa"/>
            <w:tcBorders>
              <w:top w:val="single" w:sz="8" w:space="0" w:color="FFFFFF"/>
              <w:left w:val="single" w:sz="8" w:space="0" w:color="FFFFFF"/>
              <w:bottom w:val="single" w:sz="8" w:space="0" w:color="FFFFFF"/>
              <w:right w:val="single" w:sz="8" w:space="0" w:color="FFFFFF"/>
            </w:tcBorders>
            <w:shd w:val="clear" w:color="auto" w:fill="DEECCE"/>
            <w:tcMar>
              <w:top w:w="15" w:type="dxa"/>
              <w:left w:w="108" w:type="dxa"/>
              <w:bottom w:w="0" w:type="dxa"/>
              <w:right w:w="108" w:type="dxa"/>
            </w:tcMar>
            <w:hideMark/>
          </w:tcPr>
          <w:p w:rsidR="003604E0" w:rsidRPr="003604E0" w:rsidRDefault="003604E0" w:rsidP="00705DA9">
            <w:pPr>
              <w:spacing w:before="120"/>
              <w:rPr>
                <w:rFonts w:cs="Arial"/>
                <w:color w:val="auto"/>
                <w:spacing w:val="0"/>
                <w:sz w:val="36"/>
                <w:szCs w:val="36"/>
                <w:lang w:eastAsia="en-ZA"/>
              </w:rPr>
            </w:pPr>
            <w:r w:rsidRPr="003604E0">
              <w:rPr>
                <w:rFonts w:eastAsia="Calibri"/>
                <w:color w:val="000000"/>
                <w:spacing w:val="0"/>
                <w:kern w:val="24"/>
                <w:sz w:val="22"/>
                <w:szCs w:val="22"/>
                <w:lang w:eastAsia="en-ZA"/>
              </w:rPr>
              <w:t>Quarterly</w:t>
            </w:r>
          </w:p>
        </w:tc>
        <w:tc>
          <w:tcPr>
            <w:tcW w:w="2017" w:type="dxa"/>
            <w:tcBorders>
              <w:top w:val="single" w:sz="8" w:space="0" w:color="FFFFFF"/>
              <w:left w:val="single" w:sz="8" w:space="0" w:color="FFFFFF"/>
              <w:bottom w:val="single" w:sz="8" w:space="0" w:color="FFFFFF"/>
              <w:right w:val="single" w:sz="8" w:space="0" w:color="FFFFFF"/>
            </w:tcBorders>
            <w:shd w:val="clear" w:color="auto" w:fill="DEECCE"/>
            <w:tcMar>
              <w:top w:w="15" w:type="dxa"/>
              <w:left w:w="108" w:type="dxa"/>
              <w:bottom w:w="0" w:type="dxa"/>
              <w:right w:w="108" w:type="dxa"/>
            </w:tcMar>
            <w:hideMark/>
          </w:tcPr>
          <w:p w:rsidR="003604E0" w:rsidRPr="003604E0" w:rsidRDefault="003604E0" w:rsidP="00705DA9">
            <w:pPr>
              <w:rPr>
                <w:rFonts w:cs="Arial"/>
                <w:color w:val="auto"/>
                <w:spacing w:val="0"/>
                <w:sz w:val="36"/>
                <w:szCs w:val="36"/>
                <w:lang w:eastAsia="en-ZA"/>
              </w:rPr>
            </w:pPr>
            <w:r w:rsidRPr="003604E0">
              <w:rPr>
                <w:rFonts w:eastAsia="Calibri"/>
                <w:color w:val="000000"/>
                <w:spacing w:val="0"/>
                <w:kern w:val="24"/>
                <w:sz w:val="22"/>
                <w:szCs w:val="22"/>
                <w:lang w:eastAsia="en-ZA"/>
              </w:rPr>
              <w:t>Frameworks on Disability Rights Awareness Campaigns, as well as Self-Representation by Persons with Disabilities developed</w:t>
            </w:r>
          </w:p>
        </w:tc>
        <w:tc>
          <w:tcPr>
            <w:tcW w:w="2135" w:type="dxa"/>
            <w:tcBorders>
              <w:top w:val="single" w:sz="8" w:space="0" w:color="FFFFFF"/>
              <w:left w:val="single" w:sz="8" w:space="0" w:color="FFFFFF"/>
              <w:bottom w:val="single" w:sz="8" w:space="0" w:color="FFFFFF"/>
              <w:right w:val="single" w:sz="8" w:space="0" w:color="FFFFFF"/>
            </w:tcBorders>
            <w:shd w:val="clear" w:color="auto" w:fill="DEECCE"/>
            <w:tcMar>
              <w:top w:w="15" w:type="dxa"/>
              <w:left w:w="108" w:type="dxa"/>
              <w:bottom w:w="0" w:type="dxa"/>
              <w:right w:w="108" w:type="dxa"/>
            </w:tcMar>
            <w:hideMark/>
          </w:tcPr>
          <w:p w:rsidR="003604E0" w:rsidRPr="003604E0" w:rsidRDefault="003604E0" w:rsidP="00705DA9">
            <w:pPr>
              <w:spacing w:before="120"/>
              <w:rPr>
                <w:rFonts w:cs="Arial"/>
                <w:color w:val="auto"/>
                <w:spacing w:val="0"/>
                <w:sz w:val="36"/>
                <w:szCs w:val="36"/>
                <w:lang w:eastAsia="en-ZA"/>
              </w:rPr>
            </w:pPr>
            <w:r w:rsidRPr="003604E0">
              <w:rPr>
                <w:rFonts w:cs="Arial"/>
                <w:color w:val="000000"/>
                <w:spacing w:val="0"/>
                <w:kern w:val="24"/>
                <w:sz w:val="22"/>
                <w:szCs w:val="22"/>
                <w:lang w:val="en-GB" w:eastAsia="en-ZA"/>
              </w:rPr>
              <w:t>4 virtual think tanks or Disability Awareness Framework established</w:t>
            </w:r>
          </w:p>
        </w:tc>
        <w:tc>
          <w:tcPr>
            <w:tcW w:w="2017" w:type="dxa"/>
            <w:gridSpan w:val="2"/>
            <w:tcBorders>
              <w:top w:val="single" w:sz="8" w:space="0" w:color="FFFFFF"/>
              <w:left w:val="single" w:sz="8" w:space="0" w:color="FFFFFF"/>
              <w:bottom w:val="single" w:sz="8" w:space="0" w:color="FFFFFF"/>
              <w:right w:val="single" w:sz="8" w:space="0" w:color="FFFFFF"/>
            </w:tcBorders>
            <w:shd w:val="clear" w:color="auto" w:fill="DEECCE"/>
            <w:tcMar>
              <w:top w:w="15" w:type="dxa"/>
              <w:left w:w="108" w:type="dxa"/>
              <w:bottom w:w="0" w:type="dxa"/>
              <w:right w:w="108" w:type="dxa"/>
            </w:tcMar>
            <w:hideMark/>
          </w:tcPr>
          <w:p w:rsidR="003604E0" w:rsidRPr="003604E0" w:rsidRDefault="003604E0" w:rsidP="00705DA9">
            <w:pPr>
              <w:spacing w:before="120"/>
              <w:rPr>
                <w:rFonts w:cs="Arial"/>
                <w:color w:val="auto"/>
                <w:spacing w:val="0"/>
                <w:sz w:val="36"/>
                <w:szCs w:val="36"/>
                <w:lang w:eastAsia="en-ZA"/>
              </w:rPr>
            </w:pPr>
            <w:r w:rsidRPr="003604E0">
              <w:rPr>
                <w:rFonts w:cs="Arial"/>
                <w:color w:val="000000"/>
                <w:spacing w:val="0"/>
                <w:kern w:val="24"/>
                <w:sz w:val="22"/>
                <w:szCs w:val="22"/>
                <w:lang w:eastAsia="en-ZA"/>
              </w:rPr>
              <w:t>Public comments on discussion documents incorporated and draft National Frameworks on Disability Rights Awareness and Self-Representation developed</w:t>
            </w:r>
          </w:p>
        </w:tc>
        <w:tc>
          <w:tcPr>
            <w:tcW w:w="2018" w:type="dxa"/>
            <w:gridSpan w:val="2"/>
            <w:tcBorders>
              <w:top w:val="single" w:sz="8" w:space="0" w:color="FFFFFF"/>
              <w:left w:val="single" w:sz="8" w:space="0" w:color="FFFFFF"/>
              <w:bottom w:val="single" w:sz="8" w:space="0" w:color="FFFFFF"/>
              <w:right w:val="single" w:sz="8" w:space="0" w:color="FFFFFF"/>
            </w:tcBorders>
            <w:shd w:val="clear" w:color="auto" w:fill="DEECCE"/>
            <w:tcMar>
              <w:top w:w="15" w:type="dxa"/>
              <w:left w:w="108" w:type="dxa"/>
              <w:bottom w:w="0" w:type="dxa"/>
              <w:right w:w="108" w:type="dxa"/>
            </w:tcMar>
            <w:hideMark/>
          </w:tcPr>
          <w:p w:rsidR="003604E0" w:rsidRPr="003604E0" w:rsidRDefault="003604E0" w:rsidP="00705DA9">
            <w:pPr>
              <w:spacing w:before="40" w:after="40"/>
              <w:rPr>
                <w:rFonts w:cs="Arial"/>
                <w:color w:val="auto"/>
                <w:spacing w:val="0"/>
                <w:sz w:val="36"/>
                <w:szCs w:val="36"/>
                <w:lang w:eastAsia="en-ZA"/>
              </w:rPr>
            </w:pPr>
            <w:r w:rsidRPr="003604E0">
              <w:rPr>
                <w:rFonts w:eastAsia="Calibri"/>
                <w:color w:val="000000"/>
                <w:spacing w:val="0"/>
                <w:kern w:val="24"/>
                <w:sz w:val="22"/>
                <w:szCs w:val="22"/>
                <w:lang w:eastAsia="en-ZA"/>
              </w:rPr>
              <w:t xml:space="preserve">Draft National Frameworks on Disability Rights Awareness and Self-Representation validated </w:t>
            </w:r>
          </w:p>
        </w:tc>
        <w:tc>
          <w:tcPr>
            <w:tcW w:w="2157" w:type="dxa"/>
            <w:gridSpan w:val="2"/>
            <w:tcBorders>
              <w:top w:val="single" w:sz="8" w:space="0" w:color="FFFFFF"/>
              <w:left w:val="single" w:sz="8" w:space="0" w:color="FFFFFF"/>
              <w:bottom w:val="single" w:sz="8" w:space="0" w:color="FFFFFF"/>
              <w:right w:val="single" w:sz="8" w:space="0" w:color="FFFFFF"/>
            </w:tcBorders>
            <w:shd w:val="clear" w:color="auto" w:fill="DEECCE"/>
            <w:tcMar>
              <w:top w:w="15" w:type="dxa"/>
              <w:left w:w="108" w:type="dxa"/>
              <w:bottom w:w="0" w:type="dxa"/>
              <w:right w:w="108" w:type="dxa"/>
            </w:tcMar>
            <w:hideMark/>
          </w:tcPr>
          <w:p w:rsidR="003604E0" w:rsidRPr="003604E0" w:rsidRDefault="003604E0" w:rsidP="00705DA9">
            <w:pPr>
              <w:spacing w:before="40" w:after="40"/>
              <w:rPr>
                <w:rFonts w:cs="Arial"/>
                <w:color w:val="auto"/>
                <w:spacing w:val="0"/>
                <w:sz w:val="36"/>
                <w:szCs w:val="36"/>
                <w:lang w:eastAsia="en-ZA"/>
              </w:rPr>
            </w:pPr>
            <w:r w:rsidRPr="003604E0">
              <w:rPr>
                <w:rFonts w:eastAsia="Calibri"/>
                <w:color w:val="000000"/>
                <w:spacing w:val="0"/>
                <w:kern w:val="24"/>
                <w:sz w:val="22"/>
                <w:szCs w:val="22"/>
                <w:lang w:eastAsia="en-ZA"/>
              </w:rPr>
              <w:t>National Frameworks on Disability Rights Awareness and Self-Representation submitted for approval</w:t>
            </w:r>
          </w:p>
        </w:tc>
      </w:tr>
      <w:tr w:rsidR="003604E0" w:rsidRPr="003604E0" w:rsidTr="00705DA9">
        <w:trPr>
          <w:trHeight w:val="2508"/>
        </w:trPr>
        <w:tc>
          <w:tcPr>
            <w:tcW w:w="2017" w:type="dxa"/>
            <w:tcBorders>
              <w:top w:val="single" w:sz="8" w:space="0" w:color="FFFFFF"/>
              <w:left w:val="single" w:sz="8" w:space="0" w:color="FFFFFF"/>
              <w:bottom w:val="single" w:sz="8" w:space="0" w:color="FFFFFF"/>
              <w:right w:val="single" w:sz="8" w:space="0" w:color="FFFFFF"/>
            </w:tcBorders>
            <w:shd w:val="clear" w:color="auto" w:fill="EFF6E8"/>
            <w:tcMar>
              <w:top w:w="15" w:type="dxa"/>
              <w:left w:w="108" w:type="dxa"/>
              <w:bottom w:w="0" w:type="dxa"/>
              <w:right w:w="108" w:type="dxa"/>
            </w:tcMar>
          </w:tcPr>
          <w:p w:rsidR="003604E0" w:rsidRPr="003604E0" w:rsidRDefault="003604E0" w:rsidP="00705DA9">
            <w:pPr>
              <w:rPr>
                <w:rFonts w:eastAsia="Calibri"/>
                <w:color w:val="000000"/>
                <w:spacing w:val="0"/>
                <w:kern w:val="24"/>
                <w:sz w:val="22"/>
                <w:szCs w:val="22"/>
                <w:lang w:eastAsia="en-ZA"/>
              </w:rPr>
            </w:pPr>
            <w:r w:rsidRPr="00705DA9">
              <w:rPr>
                <w:rFonts w:eastAsia="Calibri"/>
                <w:b/>
                <w:color w:val="000000"/>
                <w:spacing w:val="0"/>
                <w:kern w:val="24"/>
                <w:sz w:val="22"/>
                <w:szCs w:val="22"/>
                <w:lang w:eastAsia="en-ZA"/>
              </w:rPr>
              <w:t>DSD</w:t>
            </w:r>
            <w:r>
              <w:rPr>
                <w:rFonts w:eastAsia="Calibri"/>
                <w:color w:val="000000"/>
                <w:spacing w:val="0"/>
                <w:kern w:val="24"/>
                <w:sz w:val="22"/>
                <w:szCs w:val="22"/>
                <w:lang w:eastAsia="en-ZA"/>
              </w:rPr>
              <w:t>: Policy instruments (tools, guidelines, policy briefs, discussion papers &amp; research reports) developed to support domestication of international treaties</w:t>
            </w:r>
          </w:p>
        </w:tc>
        <w:tc>
          <w:tcPr>
            <w:tcW w:w="1439" w:type="dxa"/>
            <w:tcBorders>
              <w:top w:val="single" w:sz="8" w:space="0" w:color="FFFFFF"/>
              <w:left w:val="single" w:sz="8" w:space="0" w:color="FFFFFF"/>
              <w:bottom w:val="single" w:sz="8" w:space="0" w:color="FFFFFF"/>
              <w:right w:val="single" w:sz="8" w:space="0" w:color="FFFFFF"/>
            </w:tcBorders>
            <w:shd w:val="clear" w:color="auto" w:fill="EFF6E8"/>
            <w:tcMar>
              <w:top w:w="15" w:type="dxa"/>
              <w:left w:w="108" w:type="dxa"/>
              <w:bottom w:w="0" w:type="dxa"/>
              <w:right w:w="108" w:type="dxa"/>
            </w:tcMar>
          </w:tcPr>
          <w:p w:rsidR="003604E0" w:rsidRPr="003604E0" w:rsidRDefault="003604E0" w:rsidP="00705DA9">
            <w:pPr>
              <w:rPr>
                <w:rFonts w:eastAsia="Calibri"/>
                <w:color w:val="000000"/>
                <w:spacing w:val="0"/>
                <w:kern w:val="24"/>
                <w:sz w:val="22"/>
                <w:szCs w:val="22"/>
                <w:lang w:eastAsia="en-ZA"/>
              </w:rPr>
            </w:pPr>
            <w:r>
              <w:rPr>
                <w:rFonts w:eastAsia="Calibri"/>
                <w:color w:val="000000"/>
                <w:spacing w:val="0"/>
                <w:kern w:val="24"/>
                <w:sz w:val="22"/>
                <w:szCs w:val="22"/>
                <w:lang w:eastAsia="en-ZA"/>
              </w:rPr>
              <w:t>same</w:t>
            </w:r>
          </w:p>
        </w:tc>
        <w:tc>
          <w:tcPr>
            <w:tcW w:w="2017" w:type="dxa"/>
            <w:tcBorders>
              <w:top w:val="single" w:sz="8" w:space="0" w:color="FFFFFF"/>
              <w:left w:val="single" w:sz="8" w:space="0" w:color="FFFFFF"/>
              <w:bottom w:val="single" w:sz="8" w:space="0" w:color="FFFFFF"/>
              <w:right w:val="single" w:sz="8" w:space="0" w:color="FFFFFF"/>
            </w:tcBorders>
            <w:shd w:val="clear" w:color="auto" w:fill="EFF6E8"/>
            <w:tcMar>
              <w:top w:w="15" w:type="dxa"/>
              <w:left w:w="108" w:type="dxa"/>
              <w:bottom w:w="0" w:type="dxa"/>
              <w:right w:w="108" w:type="dxa"/>
            </w:tcMar>
          </w:tcPr>
          <w:p w:rsidR="003604E0" w:rsidRPr="003604E0" w:rsidRDefault="00705DA9" w:rsidP="00705DA9">
            <w:pPr>
              <w:rPr>
                <w:rFonts w:eastAsia="Calibri"/>
                <w:color w:val="000000"/>
                <w:spacing w:val="0"/>
                <w:kern w:val="24"/>
                <w:sz w:val="22"/>
                <w:szCs w:val="22"/>
                <w:lang w:eastAsia="en-ZA"/>
              </w:rPr>
            </w:pPr>
            <w:r>
              <w:rPr>
                <w:rFonts w:eastAsia="Calibri"/>
                <w:color w:val="000000"/>
                <w:spacing w:val="0"/>
                <w:kern w:val="24"/>
                <w:sz w:val="22"/>
                <w:szCs w:val="22"/>
                <w:lang w:eastAsia="en-ZA"/>
              </w:rPr>
              <w:t>same</w:t>
            </w:r>
          </w:p>
        </w:tc>
        <w:tc>
          <w:tcPr>
            <w:tcW w:w="2135" w:type="dxa"/>
            <w:tcBorders>
              <w:top w:val="single" w:sz="8" w:space="0" w:color="FFFFFF"/>
              <w:left w:val="single" w:sz="8" w:space="0" w:color="FFFFFF"/>
              <w:bottom w:val="single" w:sz="8" w:space="0" w:color="FFFFFF"/>
              <w:right w:val="single" w:sz="8" w:space="0" w:color="FFFFFF"/>
            </w:tcBorders>
            <w:shd w:val="clear" w:color="auto" w:fill="EFF6E8"/>
            <w:tcMar>
              <w:top w:w="15" w:type="dxa"/>
              <w:left w:w="108" w:type="dxa"/>
              <w:bottom w:w="0" w:type="dxa"/>
              <w:right w:w="108" w:type="dxa"/>
            </w:tcMar>
          </w:tcPr>
          <w:p w:rsidR="003604E0" w:rsidRPr="003604E0" w:rsidRDefault="00705DA9" w:rsidP="00705DA9">
            <w:pPr>
              <w:rPr>
                <w:rFonts w:eastAsia="Calibri"/>
                <w:color w:val="000000"/>
                <w:spacing w:val="0"/>
                <w:kern w:val="24"/>
                <w:sz w:val="22"/>
                <w:szCs w:val="22"/>
                <w:lang w:eastAsia="en-ZA"/>
              </w:rPr>
            </w:pPr>
            <w:r>
              <w:rPr>
                <w:rFonts w:eastAsia="Calibri"/>
                <w:color w:val="000000"/>
                <w:spacing w:val="0"/>
                <w:kern w:val="24"/>
                <w:sz w:val="22"/>
                <w:szCs w:val="22"/>
                <w:lang w:eastAsia="en-ZA"/>
              </w:rPr>
              <w:t>-</w:t>
            </w:r>
          </w:p>
        </w:tc>
        <w:tc>
          <w:tcPr>
            <w:tcW w:w="2017" w:type="dxa"/>
            <w:gridSpan w:val="2"/>
            <w:tcBorders>
              <w:top w:val="single" w:sz="8" w:space="0" w:color="FFFFFF"/>
              <w:left w:val="single" w:sz="8" w:space="0" w:color="FFFFFF"/>
              <w:bottom w:val="single" w:sz="8" w:space="0" w:color="FFFFFF"/>
              <w:right w:val="single" w:sz="8" w:space="0" w:color="FFFFFF"/>
            </w:tcBorders>
            <w:shd w:val="clear" w:color="auto" w:fill="EFF6E8"/>
            <w:tcMar>
              <w:top w:w="15" w:type="dxa"/>
              <w:left w:w="108" w:type="dxa"/>
              <w:bottom w:w="0" w:type="dxa"/>
              <w:right w:w="108" w:type="dxa"/>
            </w:tcMar>
          </w:tcPr>
          <w:p w:rsidR="003604E0" w:rsidRPr="003604E0" w:rsidRDefault="00705DA9" w:rsidP="00705DA9">
            <w:pPr>
              <w:rPr>
                <w:rFonts w:eastAsia="Calibri"/>
                <w:color w:val="000000"/>
                <w:spacing w:val="0"/>
                <w:kern w:val="24"/>
                <w:sz w:val="22"/>
                <w:szCs w:val="22"/>
                <w:lang w:eastAsia="en-ZA"/>
              </w:rPr>
            </w:pPr>
            <w:r w:rsidRPr="00705DA9">
              <w:rPr>
                <w:rFonts w:eastAsia="Calibri"/>
                <w:color w:val="000000"/>
                <w:spacing w:val="0"/>
                <w:kern w:val="24"/>
                <w:sz w:val="22"/>
                <w:szCs w:val="22"/>
                <w:lang w:eastAsia="en-ZA"/>
              </w:rPr>
              <w:t>National Frameworks on Disability Rights Awareness and Self-Representation validated</w:t>
            </w:r>
            <w:r>
              <w:rPr>
                <w:rFonts w:eastAsia="Calibri"/>
                <w:color w:val="000000"/>
                <w:spacing w:val="0"/>
                <w:kern w:val="24"/>
                <w:sz w:val="22"/>
                <w:szCs w:val="22"/>
                <w:lang w:eastAsia="en-ZA"/>
              </w:rPr>
              <w:t xml:space="preserve"> by National Disability Machinery</w:t>
            </w:r>
          </w:p>
        </w:tc>
        <w:tc>
          <w:tcPr>
            <w:tcW w:w="2018" w:type="dxa"/>
            <w:gridSpan w:val="2"/>
            <w:tcBorders>
              <w:top w:val="single" w:sz="8" w:space="0" w:color="FFFFFF"/>
              <w:left w:val="single" w:sz="8" w:space="0" w:color="FFFFFF"/>
              <w:bottom w:val="single" w:sz="8" w:space="0" w:color="FFFFFF"/>
              <w:right w:val="single" w:sz="8" w:space="0" w:color="FFFFFF"/>
            </w:tcBorders>
            <w:shd w:val="clear" w:color="auto" w:fill="EFF6E8"/>
            <w:tcMar>
              <w:top w:w="15" w:type="dxa"/>
              <w:left w:w="108" w:type="dxa"/>
              <w:bottom w:w="0" w:type="dxa"/>
              <w:right w:w="108" w:type="dxa"/>
            </w:tcMar>
          </w:tcPr>
          <w:p w:rsidR="003604E0" w:rsidRPr="003604E0" w:rsidRDefault="00705DA9" w:rsidP="00705DA9">
            <w:pPr>
              <w:rPr>
                <w:rFonts w:eastAsia="Calibri"/>
                <w:color w:val="000000"/>
                <w:spacing w:val="0"/>
                <w:kern w:val="24"/>
                <w:sz w:val="22"/>
                <w:szCs w:val="22"/>
                <w:lang w:eastAsia="en-ZA"/>
              </w:rPr>
            </w:pPr>
            <w:r w:rsidRPr="00705DA9">
              <w:rPr>
                <w:rFonts w:eastAsia="Calibri"/>
                <w:color w:val="000000"/>
                <w:spacing w:val="0"/>
                <w:kern w:val="24"/>
                <w:sz w:val="22"/>
                <w:szCs w:val="22"/>
                <w:lang w:eastAsia="en-ZA"/>
              </w:rPr>
              <w:t>National Frameworks on Disability Rights Awareness and Self-Representation validated</w:t>
            </w:r>
            <w:r>
              <w:rPr>
                <w:rFonts w:eastAsia="Calibri"/>
                <w:color w:val="000000"/>
                <w:spacing w:val="0"/>
                <w:kern w:val="24"/>
                <w:sz w:val="22"/>
                <w:szCs w:val="22"/>
                <w:lang w:eastAsia="en-ZA"/>
              </w:rPr>
              <w:t xml:space="preserve"> submitted for approval</w:t>
            </w:r>
          </w:p>
        </w:tc>
        <w:tc>
          <w:tcPr>
            <w:tcW w:w="2157" w:type="dxa"/>
            <w:gridSpan w:val="2"/>
            <w:tcBorders>
              <w:top w:val="single" w:sz="8" w:space="0" w:color="FFFFFF"/>
              <w:left w:val="single" w:sz="8" w:space="0" w:color="FFFFFF"/>
              <w:bottom w:val="single" w:sz="8" w:space="0" w:color="FFFFFF"/>
              <w:right w:val="single" w:sz="8" w:space="0" w:color="FFFFFF"/>
            </w:tcBorders>
            <w:shd w:val="clear" w:color="auto" w:fill="EFF6E8"/>
            <w:tcMar>
              <w:top w:w="15" w:type="dxa"/>
              <w:left w:w="108" w:type="dxa"/>
              <w:bottom w:w="0" w:type="dxa"/>
              <w:right w:w="108" w:type="dxa"/>
            </w:tcMar>
          </w:tcPr>
          <w:p w:rsidR="003604E0" w:rsidRPr="003604E0" w:rsidRDefault="00705DA9" w:rsidP="00705DA9">
            <w:pPr>
              <w:rPr>
                <w:rFonts w:eastAsia="Calibri"/>
                <w:color w:val="000000"/>
                <w:spacing w:val="0"/>
                <w:kern w:val="24"/>
                <w:sz w:val="22"/>
                <w:szCs w:val="22"/>
                <w:lang w:eastAsia="en-ZA"/>
              </w:rPr>
            </w:pPr>
            <w:r>
              <w:rPr>
                <w:rFonts w:eastAsia="Calibri"/>
                <w:color w:val="000000"/>
                <w:spacing w:val="0"/>
                <w:kern w:val="24"/>
                <w:sz w:val="22"/>
                <w:szCs w:val="22"/>
                <w:lang w:eastAsia="en-ZA"/>
              </w:rPr>
              <w:t>-</w:t>
            </w:r>
          </w:p>
        </w:tc>
      </w:tr>
      <w:tr w:rsidR="009A7655" w:rsidRPr="003604E0" w:rsidTr="00705DA9">
        <w:trPr>
          <w:trHeight w:val="1949"/>
        </w:trPr>
        <w:tc>
          <w:tcPr>
            <w:tcW w:w="2017" w:type="dxa"/>
            <w:tcBorders>
              <w:top w:val="single" w:sz="8" w:space="0" w:color="FFFFFF"/>
              <w:left w:val="single" w:sz="8" w:space="0" w:color="FFFFFF"/>
              <w:bottom w:val="single" w:sz="8" w:space="0" w:color="FFFFFF"/>
              <w:right w:val="single" w:sz="8" w:space="0" w:color="FFFFFF"/>
            </w:tcBorders>
            <w:shd w:val="clear" w:color="auto" w:fill="EFF6E8"/>
            <w:tcMar>
              <w:top w:w="15" w:type="dxa"/>
              <w:left w:w="108" w:type="dxa"/>
              <w:bottom w:w="0" w:type="dxa"/>
              <w:right w:w="108" w:type="dxa"/>
            </w:tcMar>
            <w:hideMark/>
          </w:tcPr>
          <w:p w:rsidR="003604E0" w:rsidRPr="003604E0" w:rsidRDefault="003604E0" w:rsidP="00705DA9">
            <w:pPr>
              <w:rPr>
                <w:rFonts w:cs="Arial"/>
                <w:color w:val="auto"/>
                <w:spacing w:val="0"/>
                <w:sz w:val="36"/>
                <w:szCs w:val="36"/>
                <w:lang w:eastAsia="en-ZA"/>
              </w:rPr>
            </w:pPr>
            <w:r w:rsidRPr="003604E0">
              <w:rPr>
                <w:rFonts w:eastAsia="Calibri"/>
                <w:color w:val="000000"/>
                <w:spacing w:val="0"/>
                <w:kern w:val="24"/>
                <w:sz w:val="22"/>
                <w:szCs w:val="22"/>
                <w:lang w:eastAsia="en-ZA"/>
              </w:rPr>
              <w:t>National Disability Rights Machinery (NDRM) strengthened</w:t>
            </w:r>
          </w:p>
        </w:tc>
        <w:tc>
          <w:tcPr>
            <w:tcW w:w="1439" w:type="dxa"/>
            <w:tcBorders>
              <w:top w:val="single" w:sz="8" w:space="0" w:color="FFFFFF"/>
              <w:left w:val="single" w:sz="8" w:space="0" w:color="FFFFFF"/>
              <w:bottom w:val="single" w:sz="8" w:space="0" w:color="FFFFFF"/>
              <w:right w:val="single" w:sz="8" w:space="0" w:color="FFFFFF"/>
            </w:tcBorders>
            <w:shd w:val="clear" w:color="auto" w:fill="EFF6E8"/>
            <w:tcMar>
              <w:top w:w="15" w:type="dxa"/>
              <w:left w:w="108" w:type="dxa"/>
              <w:bottom w:w="0" w:type="dxa"/>
              <w:right w:w="108" w:type="dxa"/>
            </w:tcMar>
            <w:hideMark/>
          </w:tcPr>
          <w:p w:rsidR="003604E0" w:rsidRPr="003604E0" w:rsidRDefault="003604E0" w:rsidP="00705DA9">
            <w:pPr>
              <w:rPr>
                <w:rFonts w:cs="Arial"/>
                <w:color w:val="auto"/>
                <w:spacing w:val="0"/>
                <w:sz w:val="36"/>
                <w:szCs w:val="36"/>
                <w:lang w:eastAsia="en-ZA"/>
              </w:rPr>
            </w:pPr>
            <w:r w:rsidRPr="003604E0">
              <w:rPr>
                <w:rFonts w:eastAsia="Calibri"/>
                <w:color w:val="000000"/>
                <w:spacing w:val="0"/>
                <w:kern w:val="24"/>
                <w:sz w:val="22"/>
                <w:szCs w:val="22"/>
                <w:lang w:eastAsia="en-ZA"/>
              </w:rPr>
              <w:t>Quarterly</w:t>
            </w:r>
          </w:p>
        </w:tc>
        <w:tc>
          <w:tcPr>
            <w:tcW w:w="2017" w:type="dxa"/>
            <w:tcBorders>
              <w:top w:val="single" w:sz="8" w:space="0" w:color="FFFFFF"/>
              <w:left w:val="single" w:sz="8" w:space="0" w:color="FFFFFF"/>
              <w:bottom w:val="single" w:sz="8" w:space="0" w:color="FFFFFF"/>
              <w:right w:val="single" w:sz="8" w:space="0" w:color="FFFFFF"/>
            </w:tcBorders>
            <w:shd w:val="clear" w:color="auto" w:fill="EFF6E8"/>
            <w:tcMar>
              <w:top w:w="15" w:type="dxa"/>
              <w:left w:w="108" w:type="dxa"/>
              <w:bottom w:w="0" w:type="dxa"/>
              <w:right w:w="108" w:type="dxa"/>
            </w:tcMar>
            <w:hideMark/>
          </w:tcPr>
          <w:p w:rsidR="003604E0" w:rsidRPr="003604E0" w:rsidRDefault="003604E0" w:rsidP="00705DA9">
            <w:pPr>
              <w:rPr>
                <w:rFonts w:cs="Arial"/>
                <w:color w:val="auto"/>
                <w:spacing w:val="0"/>
                <w:sz w:val="36"/>
                <w:szCs w:val="36"/>
                <w:lang w:eastAsia="en-ZA"/>
              </w:rPr>
            </w:pPr>
            <w:r w:rsidRPr="003604E0">
              <w:rPr>
                <w:rFonts w:eastAsia="Calibri"/>
                <w:color w:val="000000"/>
                <w:spacing w:val="0"/>
                <w:kern w:val="24"/>
                <w:sz w:val="22"/>
                <w:szCs w:val="22"/>
                <w:lang w:eastAsia="en-ZA"/>
              </w:rPr>
              <w:t>Disability Inclusion embedded in Government-wide Institutional Arrangements</w:t>
            </w:r>
          </w:p>
        </w:tc>
        <w:tc>
          <w:tcPr>
            <w:tcW w:w="2135" w:type="dxa"/>
            <w:tcBorders>
              <w:top w:val="single" w:sz="8" w:space="0" w:color="FFFFFF"/>
              <w:left w:val="single" w:sz="8" w:space="0" w:color="FFFFFF"/>
              <w:bottom w:val="single" w:sz="8" w:space="0" w:color="FFFFFF"/>
              <w:right w:val="single" w:sz="8" w:space="0" w:color="FFFFFF"/>
            </w:tcBorders>
            <w:shd w:val="clear" w:color="auto" w:fill="EFF6E8"/>
            <w:tcMar>
              <w:top w:w="15" w:type="dxa"/>
              <w:left w:w="108" w:type="dxa"/>
              <w:bottom w:w="0" w:type="dxa"/>
              <w:right w:w="108" w:type="dxa"/>
            </w:tcMar>
            <w:hideMark/>
          </w:tcPr>
          <w:p w:rsidR="003604E0" w:rsidRPr="003604E0" w:rsidRDefault="003604E0" w:rsidP="00705DA9">
            <w:pPr>
              <w:rPr>
                <w:rFonts w:cs="Arial"/>
                <w:color w:val="auto"/>
                <w:spacing w:val="0"/>
                <w:sz w:val="36"/>
                <w:szCs w:val="36"/>
                <w:lang w:eastAsia="en-ZA"/>
              </w:rPr>
            </w:pPr>
            <w:r w:rsidRPr="003604E0">
              <w:rPr>
                <w:rFonts w:eastAsia="Calibri"/>
                <w:color w:val="000000"/>
                <w:spacing w:val="0"/>
                <w:kern w:val="24"/>
                <w:sz w:val="22"/>
                <w:szCs w:val="22"/>
                <w:lang w:eastAsia="en-ZA"/>
              </w:rPr>
              <w:t>Consultations with Disability Focal Points concluded</w:t>
            </w:r>
          </w:p>
        </w:tc>
        <w:tc>
          <w:tcPr>
            <w:tcW w:w="2017" w:type="dxa"/>
            <w:gridSpan w:val="2"/>
            <w:tcBorders>
              <w:top w:val="single" w:sz="8" w:space="0" w:color="FFFFFF"/>
              <w:left w:val="single" w:sz="8" w:space="0" w:color="FFFFFF"/>
              <w:bottom w:val="single" w:sz="8" w:space="0" w:color="FFFFFF"/>
              <w:right w:val="single" w:sz="8" w:space="0" w:color="FFFFFF"/>
            </w:tcBorders>
            <w:shd w:val="clear" w:color="auto" w:fill="EFF6E8"/>
            <w:tcMar>
              <w:top w:w="15" w:type="dxa"/>
              <w:left w:w="108" w:type="dxa"/>
              <w:bottom w:w="0" w:type="dxa"/>
              <w:right w:w="108" w:type="dxa"/>
            </w:tcMar>
            <w:hideMark/>
          </w:tcPr>
          <w:p w:rsidR="003604E0" w:rsidRPr="003604E0" w:rsidRDefault="003604E0" w:rsidP="00705DA9">
            <w:pPr>
              <w:rPr>
                <w:rFonts w:cs="Arial"/>
                <w:color w:val="auto"/>
                <w:spacing w:val="0"/>
                <w:sz w:val="36"/>
                <w:szCs w:val="36"/>
                <w:lang w:eastAsia="en-ZA"/>
              </w:rPr>
            </w:pPr>
            <w:r w:rsidRPr="003604E0">
              <w:rPr>
                <w:rFonts w:eastAsia="Calibri"/>
                <w:color w:val="000000"/>
                <w:spacing w:val="0"/>
                <w:kern w:val="24"/>
                <w:sz w:val="22"/>
                <w:szCs w:val="22"/>
                <w:lang w:eastAsia="en-ZA"/>
              </w:rPr>
              <w:t xml:space="preserve">Framework for National and Provincial Disability Inclusion Institutional Arrangements finalised </w:t>
            </w:r>
          </w:p>
        </w:tc>
        <w:tc>
          <w:tcPr>
            <w:tcW w:w="2018" w:type="dxa"/>
            <w:gridSpan w:val="2"/>
            <w:tcBorders>
              <w:top w:val="single" w:sz="8" w:space="0" w:color="FFFFFF"/>
              <w:left w:val="single" w:sz="8" w:space="0" w:color="FFFFFF"/>
              <w:bottom w:val="single" w:sz="8" w:space="0" w:color="FFFFFF"/>
              <w:right w:val="single" w:sz="8" w:space="0" w:color="FFFFFF"/>
            </w:tcBorders>
            <w:shd w:val="clear" w:color="auto" w:fill="EFF6E8"/>
            <w:tcMar>
              <w:top w:w="15" w:type="dxa"/>
              <w:left w:w="108" w:type="dxa"/>
              <w:bottom w:w="0" w:type="dxa"/>
              <w:right w:w="108" w:type="dxa"/>
            </w:tcMar>
            <w:hideMark/>
          </w:tcPr>
          <w:p w:rsidR="003604E0" w:rsidRPr="003604E0" w:rsidRDefault="003604E0" w:rsidP="00705DA9">
            <w:pPr>
              <w:rPr>
                <w:rFonts w:cs="Arial"/>
                <w:color w:val="auto"/>
                <w:spacing w:val="0"/>
                <w:sz w:val="36"/>
                <w:szCs w:val="36"/>
                <w:lang w:eastAsia="en-ZA"/>
              </w:rPr>
            </w:pPr>
            <w:r w:rsidRPr="003604E0">
              <w:rPr>
                <w:rFonts w:eastAsia="Calibri"/>
                <w:color w:val="000000"/>
                <w:spacing w:val="0"/>
                <w:kern w:val="24"/>
                <w:sz w:val="22"/>
                <w:szCs w:val="22"/>
                <w:lang w:eastAsia="en-ZA"/>
              </w:rPr>
              <w:t>Guidelines for District and Local Disability Inclusion Institutional Arrangements finalised</w:t>
            </w:r>
          </w:p>
        </w:tc>
        <w:tc>
          <w:tcPr>
            <w:tcW w:w="2157" w:type="dxa"/>
            <w:gridSpan w:val="2"/>
            <w:tcBorders>
              <w:top w:val="single" w:sz="8" w:space="0" w:color="FFFFFF"/>
              <w:left w:val="single" w:sz="8" w:space="0" w:color="FFFFFF"/>
              <w:bottom w:val="single" w:sz="8" w:space="0" w:color="FFFFFF"/>
              <w:right w:val="single" w:sz="8" w:space="0" w:color="FFFFFF"/>
            </w:tcBorders>
            <w:shd w:val="clear" w:color="auto" w:fill="EFF6E8"/>
            <w:tcMar>
              <w:top w:w="15" w:type="dxa"/>
              <w:left w:w="108" w:type="dxa"/>
              <w:bottom w:w="0" w:type="dxa"/>
              <w:right w:w="108" w:type="dxa"/>
            </w:tcMar>
            <w:hideMark/>
          </w:tcPr>
          <w:p w:rsidR="003604E0" w:rsidRPr="003604E0" w:rsidRDefault="003604E0" w:rsidP="00705DA9">
            <w:pPr>
              <w:rPr>
                <w:rFonts w:cs="Arial"/>
                <w:color w:val="auto"/>
                <w:spacing w:val="0"/>
                <w:sz w:val="36"/>
                <w:szCs w:val="36"/>
                <w:lang w:eastAsia="en-ZA"/>
              </w:rPr>
            </w:pPr>
            <w:r w:rsidRPr="003604E0">
              <w:rPr>
                <w:rFonts w:eastAsia="Calibri"/>
                <w:color w:val="000000"/>
                <w:spacing w:val="0"/>
                <w:kern w:val="24"/>
                <w:sz w:val="22"/>
                <w:szCs w:val="22"/>
                <w:lang w:eastAsia="en-ZA"/>
              </w:rPr>
              <w:t>Guidelines for embedding of Disability Inclusion in Government-wide Institutional Arrangements submitted for approval</w:t>
            </w:r>
          </w:p>
        </w:tc>
      </w:tr>
      <w:tr w:rsidR="00705DA9" w:rsidRPr="003604E0" w:rsidTr="00705DA9">
        <w:trPr>
          <w:trHeight w:val="2232"/>
        </w:trPr>
        <w:tc>
          <w:tcPr>
            <w:tcW w:w="2017" w:type="dxa"/>
            <w:tcBorders>
              <w:top w:val="single" w:sz="8" w:space="0" w:color="FFFFFF"/>
              <w:left w:val="single" w:sz="8" w:space="0" w:color="FFFFFF"/>
              <w:bottom w:val="single" w:sz="8" w:space="0" w:color="FFFFFF"/>
              <w:right w:val="single" w:sz="8" w:space="0" w:color="FFFFFF"/>
            </w:tcBorders>
            <w:shd w:val="clear" w:color="auto" w:fill="EFF6E8"/>
            <w:tcMar>
              <w:top w:w="15" w:type="dxa"/>
              <w:left w:w="108" w:type="dxa"/>
              <w:bottom w:w="0" w:type="dxa"/>
              <w:right w:w="108" w:type="dxa"/>
            </w:tcMar>
          </w:tcPr>
          <w:p w:rsidR="00705DA9" w:rsidRPr="003604E0" w:rsidRDefault="00705DA9" w:rsidP="00705DA9">
            <w:pPr>
              <w:rPr>
                <w:rFonts w:eastAsia="Calibri"/>
                <w:color w:val="000000"/>
                <w:spacing w:val="0"/>
                <w:kern w:val="24"/>
                <w:sz w:val="22"/>
                <w:szCs w:val="22"/>
                <w:lang w:eastAsia="en-ZA"/>
              </w:rPr>
            </w:pPr>
            <w:r w:rsidRPr="00705DA9">
              <w:rPr>
                <w:rFonts w:eastAsia="Calibri"/>
                <w:b/>
                <w:color w:val="000000"/>
                <w:spacing w:val="0"/>
                <w:kern w:val="24"/>
                <w:sz w:val="22"/>
                <w:szCs w:val="22"/>
                <w:lang w:eastAsia="en-ZA"/>
              </w:rPr>
              <w:lastRenderedPageBreak/>
              <w:t>DSD</w:t>
            </w:r>
            <w:r>
              <w:rPr>
                <w:rFonts w:eastAsia="Calibri"/>
                <w:color w:val="000000"/>
                <w:spacing w:val="0"/>
                <w:kern w:val="24"/>
                <w:sz w:val="22"/>
                <w:szCs w:val="22"/>
                <w:lang w:eastAsia="en-ZA"/>
              </w:rPr>
              <w:t>: same</w:t>
            </w:r>
          </w:p>
        </w:tc>
        <w:tc>
          <w:tcPr>
            <w:tcW w:w="1439" w:type="dxa"/>
            <w:tcBorders>
              <w:top w:val="single" w:sz="8" w:space="0" w:color="FFFFFF"/>
              <w:left w:val="single" w:sz="8" w:space="0" w:color="FFFFFF"/>
              <w:bottom w:val="single" w:sz="8" w:space="0" w:color="FFFFFF"/>
              <w:right w:val="single" w:sz="8" w:space="0" w:color="FFFFFF"/>
            </w:tcBorders>
            <w:shd w:val="clear" w:color="auto" w:fill="EFF6E8"/>
            <w:tcMar>
              <w:top w:w="15" w:type="dxa"/>
              <w:left w:w="108" w:type="dxa"/>
              <w:bottom w:w="0" w:type="dxa"/>
              <w:right w:w="108" w:type="dxa"/>
            </w:tcMar>
          </w:tcPr>
          <w:p w:rsidR="00705DA9" w:rsidRPr="003604E0" w:rsidRDefault="00705DA9" w:rsidP="00705DA9">
            <w:pPr>
              <w:rPr>
                <w:rFonts w:eastAsia="Calibri"/>
                <w:color w:val="000000"/>
                <w:spacing w:val="0"/>
                <w:kern w:val="24"/>
                <w:sz w:val="22"/>
                <w:szCs w:val="22"/>
                <w:lang w:eastAsia="en-ZA"/>
              </w:rPr>
            </w:pPr>
            <w:r>
              <w:rPr>
                <w:rFonts w:eastAsia="Calibri"/>
                <w:color w:val="000000"/>
                <w:spacing w:val="0"/>
                <w:kern w:val="24"/>
                <w:sz w:val="22"/>
                <w:szCs w:val="22"/>
                <w:lang w:eastAsia="en-ZA"/>
              </w:rPr>
              <w:t>same</w:t>
            </w:r>
          </w:p>
        </w:tc>
        <w:tc>
          <w:tcPr>
            <w:tcW w:w="2017" w:type="dxa"/>
            <w:tcBorders>
              <w:top w:val="single" w:sz="8" w:space="0" w:color="FFFFFF"/>
              <w:left w:val="single" w:sz="8" w:space="0" w:color="FFFFFF"/>
              <w:bottom w:val="single" w:sz="8" w:space="0" w:color="FFFFFF"/>
              <w:right w:val="single" w:sz="8" w:space="0" w:color="FFFFFF"/>
            </w:tcBorders>
            <w:shd w:val="clear" w:color="auto" w:fill="EFF6E8"/>
            <w:tcMar>
              <w:top w:w="15" w:type="dxa"/>
              <w:left w:w="108" w:type="dxa"/>
              <w:bottom w:w="0" w:type="dxa"/>
              <w:right w:w="108" w:type="dxa"/>
            </w:tcMar>
          </w:tcPr>
          <w:p w:rsidR="00705DA9" w:rsidRPr="003604E0" w:rsidRDefault="00705DA9" w:rsidP="00705DA9">
            <w:pPr>
              <w:rPr>
                <w:rFonts w:eastAsia="Calibri"/>
                <w:color w:val="000000"/>
                <w:spacing w:val="0"/>
                <w:kern w:val="24"/>
                <w:sz w:val="22"/>
                <w:szCs w:val="22"/>
                <w:lang w:eastAsia="en-ZA"/>
              </w:rPr>
            </w:pPr>
            <w:r>
              <w:rPr>
                <w:rFonts w:eastAsia="Calibri"/>
                <w:color w:val="000000"/>
                <w:spacing w:val="0"/>
                <w:kern w:val="24"/>
                <w:sz w:val="22"/>
                <w:szCs w:val="22"/>
                <w:lang w:eastAsia="en-ZA"/>
              </w:rPr>
              <w:t>same</w:t>
            </w:r>
          </w:p>
        </w:tc>
        <w:tc>
          <w:tcPr>
            <w:tcW w:w="2135" w:type="dxa"/>
            <w:tcBorders>
              <w:top w:val="single" w:sz="8" w:space="0" w:color="FFFFFF"/>
              <w:left w:val="single" w:sz="8" w:space="0" w:color="FFFFFF"/>
              <w:bottom w:val="single" w:sz="8" w:space="0" w:color="FFFFFF"/>
              <w:right w:val="single" w:sz="8" w:space="0" w:color="FFFFFF"/>
            </w:tcBorders>
            <w:shd w:val="clear" w:color="auto" w:fill="EFF6E8"/>
            <w:tcMar>
              <w:top w:w="15" w:type="dxa"/>
              <w:left w:w="108" w:type="dxa"/>
              <w:bottom w:w="0" w:type="dxa"/>
              <w:right w:w="108" w:type="dxa"/>
            </w:tcMar>
          </w:tcPr>
          <w:p w:rsidR="00705DA9" w:rsidRPr="003604E0" w:rsidRDefault="00705DA9" w:rsidP="00705DA9">
            <w:pPr>
              <w:rPr>
                <w:rFonts w:eastAsia="Calibri"/>
                <w:color w:val="000000"/>
                <w:spacing w:val="0"/>
                <w:kern w:val="24"/>
                <w:sz w:val="22"/>
                <w:szCs w:val="22"/>
                <w:lang w:eastAsia="en-ZA"/>
              </w:rPr>
            </w:pPr>
            <w:r w:rsidRPr="00705DA9">
              <w:rPr>
                <w:rFonts w:eastAsia="Calibri"/>
                <w:color w:val="000000"/>
                <w:spacing w:val="0"/>
                <w:kern w:val="24"/>
                <w:sz w:val="22"/>
                <w:szCs w:val="22"/>
                <w:lang w:eastAsia="en-ZA"/>
              </w:rPr>
              <w:t>Framework for National and Provincial Disability Inclusion Institutional Arrangements finalised</w:t>
            </w:r>
          </w:p>
        </w:tc>
        <w:tc>
          <w:tcPr>
            <w:tcW w:w="2017" w:type="dxa"/>
            <w:gridSpan w:val="2"/>
            <w:tcBorders>
              <w:top w:val="single" w:sz="8" w:space="0" w:color="FFFFFF"/>
              <w:left w:val="single" w:sz="8" w:space="0" w:color="FFFFFF"/>
              <w:bottom w:val="single" w:sz="8" w:space="0" w:color="FFFFFF"/>
              <w:right w:val="single" w:sz="8" w:space="0" w:color="FFFFFF"/>
            </w:tcBorders>
            <w:shd w:val="clear" w:color="auto" w:fill="EFF6E8"/>
            <w:tcMar>
              <w:top w:w="15" w:type="dxa"/>
              <w:left w:w="108" w:type="dxa"/>
              <w:bottom w:w="0" w:type="dxa"/>
              <w:right w:w="108" w:type="dxa"/>
            </w:tcMar>
          </w:tcPr>
          <w:p w:rsidR="00705DA9" w:rsidRPr="003604E0" w:rsidRDefault="00705DA9" w:rsidP="00705DA9">
            <w:pPr>
              <w:rPr>
                <w:rFonts w:eastAsia="Calibri"/>
                <w:color w:val="000000"/>
                <w:spacing w:val="0"/>
                <w:kern w:val="24"/>
                <w:sz w:val="22"/>
                <w:szCs w:val="22"/>
                <w:lang w:eastAsia="en-ZA"/>
              </w:rPr>
            </w:pPr>
            <w:r>
              <w:rPr>
                <w:rFonts w:eastAsia="Calibri"/>
                <w:color w:val="000000"/>
                <w:spacing w:val="0"/>
                <w:kern w:val="24"/>
                <w:sz w:val="22"/>
                <w:szCs w:val="22"/>
                <w:lang w:eastAsia="en-ZA"/>
              </w:rPr>
              <w:t>Guidelines for Disability Inclusion in Strategic Plans, Annual Performance Plans and IDPs for 2020-2025 finalised</w:t>
            </w:r>
          </w:p>
        </w:tc>
        <w:tc>
          <w:tcPr>
            <w:tcW w:w="2018" w:type="dxa"/>
            <w:gridSpan w:val="2"/>
            <w:tcBorders>
              <w:top w:val="single" w:sz="8" w:space="0" w:color="FFFFFF"/>
              <w:left w:val="single" w:sz="8" w:space="0" w:color="FFFFFF"/>
              <w:bottom w:val="single" w:sz="8" w:space="0" w:color="FFFFFF"/>
              <w:right w:val="single" w:sz="8" w:space="0" w:color="FFFFFF"/>
            </w:tcBorders>
            <w:shd w:val="clear" w:color="auto" w:fill="EFF6E8"/>
            <w:tcMar>
              <w:top w:w="15" w:type="dxa"/>
              <w:left w:w="108" w:type="dxa"/>
              <w:bottom w:w="0" w:type="dxa"/>
              <w:right w:w="108" w:type="dxa"/>
            </w:tcMar>
          </w:tcPr>
          <w:p w:rsidR="00705DA9" w:rsidRPr="003604E0" w:rsidRDefault="00705DA9" w:rsidP="00705DA9">
            <w:pPr>
              <w:rPr>
                <w:rFonts w:eastAsia="Calibri"/>
                <w:color w:val="000000"/>
                <w:spacing w:val="0"/>
                <w:kern w:val="24"/>
                <w:sz w:val="22"/>
                <w:szCs w:val="22"/>
                <w:lang w:eastAsia="en-ZA"/>
              </w:rPr>
            </w:pPr>
            <w:r>
              <w:rPr>
                <w:rFonts w:eastAsia="Calibri"/>
                <w:color w:val="000000"/>
                <w:spacing w:val="0"/>
                <w:kern w:val="24"/>
                <w:sz w:val="22"/>
                <w:szCs w:val="22"/>
                <w:lang w:eastAsia="en-ZA"/>
              </w:rPr>
              <w:t>Guidelines for District and Local Disability Inclusion Institutional Arrangements finalised</w:t>
            </w:r>
          </w:p>
        </w:tc>
        <w:tc>
          <w:tcPr>
            <w:tcW w:w="2157" w:type="dxa"/>
            <w:gridSpan w:val="2"/>
            <w:tcBorders>
              <w:top w:val="single" w:sz="8" w:space="0" w:color="FFFFFF"/>
              <w:left w:val="single" w:sz="8" w:space="0" w:color="FFFFFF"/>
              <w:bottom w:val="single" w:sz="8" w:space="0" w:color="FFFFFF"/>
              <w:right w:val="single" w:sz="8" w:space="0" w:color="FFFFFF"/>
            </w:tcBorders>
            <w:shd w:val="clear" w:color="auto" w:fill="EFF6E8"/>
            <w:tcMar>
              <w:top w:w="15" w:type="dxa"/>
              <w:left w:w="108" w:type="dxa"/>
              <w:bottom w:w="0" w:type="dxa"/>
              <w:right w:w="108" w:type="dxa"/>
            </w:tcMar>
          </w:tcPr>
          <w:p w:rsidR="00705DA9" w:rsidRPr="003604E0" w:rsidRDefault="00705DA9" w:rsidP="00705DA9">
            <w:pPr>
              <w:rPr>
                <w:rFonts w:eastAsia="Calibri"/>
                <w:color w:val="000000"/>
                <w:spacing w:val="0"/>
                <w:kern w:val="24"/>
                <w:sz w:val="22"/>
                <w:szCs w:val="22"/>
                <w:lang w:eastAsia="en-ZA"/>
              </w:rPr>
            </w:pPr>
            <w:r>
              <w:rPr>
                <w:rFonts w:eastAsia="Calibri"/>
                <w:color w:val="000000"/>
                <w:spacing w:val="0"/>
                <w:kern w:val="24"/>
                <w:sz w:val="22"/>
                <w:szCs w:val="22"/>
                <w:lang w:eastAsia="en-ZA"/>
              </w:rPr>
              <w:t>Guidelines for embedding of Disability Inclusion in Government-wide Institutional Arrangements submitted for approval</w:t>
            </w:r>
          </w:p>
        </w:tc>
      </w:tr>
      <w:tr w:rsidR="000E7DF3" w:rsidRPr="003604E0" w:rsidTr="000E7DF3">
        <w:trPr>
          <w:trHeight w:val="209"/>
        </w:trPr>
        <w:tc>
          <w:tcPr>
            <w:tcW w:w="13800" w:type="dxa"/>
            <w:gridSpan w:val="10"/>
            <w:tcBorders>
              <w:top w:val="single" w:sz="8" w:space="0" w:color="FFFFFF"/>
              <w:left w:val="single" w:sz="8" w:space="0" w:color="FFFFFF"/>
              <w:bottom w:val="single" w:sz="8" w:space="0" w:color="FFFFFF"/>
              <w:right w:val="single" w:sz="8" w:space="0" w:color="FFFFFF"/>
            </w:tcBorders>
            <w:shd w:val="clear" w:color="auto" w:fill="92D050"/>
            <w:tcMar>
              <w:top w:w="15" w:type="dxa"/>
              <w:left w:w="108" w:type="dxa"/>
              <w:bottom w:w="0" w:type="dxa"/>
              <w:right w:w="108" w:type="dxa"/>
            </w:tcMar>
          </w:tcPr>
          <w:p w:rsidR="000E7DF3" w:rsidRDefault="000E7DF3" w:rsidP="00705DA9">
            <w:pPr>
              <w:rPr>
                <w:rFonts w:eastAsia="Calibri"/>
                <w:color w:val="000000"/>
                <w:spacing w:val="0"/>
                <w:kern w:val="24"/>
                <w:sz w:val="22"/>
                <w:szCs w:val="22"/>
                <w:lang w:eastAsia="en-ZA"/>
              </w:rPr>
            </w:pPr>
            <w:r>
              <w:rPr>
                <w:rFonts w:eastAsia="Calibri"/>
                <w:b/>
                <w:color w:val="000000"/>
                <w:spacing w:val="0"/>
                <w:kern w:val="24"/>
                <w:sz w:val="22"/>
                <w:szCs w:val="22"/>
                <w:lang w:eastAsia="en-ZA"/>
              </w:rPr>
              <w:t>Sub-programme: Governance and Compliance</w:t>
            </w:r>
          </w:p>
        </w:tc>
      </w:tr>
      <w:tr w:rsidR="000E7DF3" w:rsidRPr="003604E0" w:rsidTr="009A7655">
        <w:trPr>
          <w:trHeight w:val="2041"/>
        </w:trPr>
        <w:tc>
          <w:tcPr>
            <w:tcW w:w="20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15" w:type="dxa"/>
              <w:left w:w="108" w:type="dxa"/>
              <w:bottom w:w="0" w:type="dxa"/>
              <w:right w:w="108" w:type="dxa"/>
            </w:tcMar>
          </w:tcPr>
          <w:p w:rsidR="000E7DF3" w:rsidRPr="000E7DF3" w:rsidRDefault="000E7DF3" w:rsidP="009A7655">
            <w:pPr>
              <w:pStyle w:val="NormalWeb"/>
              <w:spacing w:before="0" w:beforeAutospacing="0" w:after="0" w:afterAutospacing="0"/>
              <w:rPr>
                <w:sz w:val="36"/>
                <w:szCs w:val="36"/>
                <w:lang w:eastAsia="en-ZA"/>
              </w:rPr>
            </w:pPr>
            <w:r w:rsidRPr="000E7DF3">
              <w:rPr>
                <w:rFonts w:eastAsiaTheme="minorEastAsia"/>
                <w:bCs/>
                <w:kern w:val="24"/>
                <w:sz w:val="22"/>
                <w:szCs w:val="22"/>
              </w:rPr>
              <w:t>Number of national Performance Compliance reports developed</w:t>
            </w:r>
          </w:p>
        </w:tc>
        <w:tc>
          <w:tcPr>
            <w:tcW w:w="1439"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15" w:type="dxa"/>
              <w:left w:w="108" w:type="dxa"/>
              <w:bottom w:w="0" w:type="dxa"/>
              <w:right w:w="108" w:type="dxa"/>
            </w:tcMar>
          </w:tcPr>
          <w:p w:rsidR="000E7DF3" w:rsidRPr="000E7DF3" w:rsidRDefault="000E7DF3" w:rsidP="009A7655">
            <w:pPr>
              <w:pStyle w:val="NormalWeb"/>
              <w:spacing w:before="0" w:beforeAutospacing="0" w:after="0" w:afterAutospacing="0"/>
              <w:rPr>
                <w:sz w:val="36"/>
                <w:szCs w:val="36"/>
              </w:rPr>
            </w:pPr>
            <w:r w:rsidRPr="000E7DF3">
              <w:rPr>
                <w:bCs/>
                <w:kern w:val="24"/>
                <w:sz w:val="22"/>
                <w:szCs w:val="22"/>
              </w:rPr>
              <w:t xml:space="preserve">Quarterly </w:t>
            </w:r>
          </w:p>
        </w:tc>
        <w:tc>
          <w:tcPr>
            <w:tcW w:w="20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15" w:type="dxa"/>
              <w:left w:w="108" w:type="dxa"/>
              <w:bottom w:w="0" w:type="dxa"/>
              <w:right w:w="108" w:type="dxa"/>
            </w:tcMar>
          </w:tcPr>
          <w:p w:rsidR="000E7DF3" w:rsidRPr="000E7DF3" w:rsidRDefault="000E7DF3" w:rsidP="009A7655">
            <w:pPr>
              <w:pStyle w:val="NormalWeb"/>
              <w:spacing w:before="0" w:beforeAutospacing="0" w:after="0" w:afterAutospacing="0"/>
              <w:rPr>
                <w:sz w:val="36"/>
                <w:szCs w:val="36"/>
              </w:rPr>
            </w:pPr>
            <w:r w:rsidRPr="000E7DF3">
              <w:rPr>
                <w:rFonts w:eastAsiaTheme="minorEastAsia"/>
                <w:bCs/>
                <w:kern w:val="24"/>
                <w:sz w:val="22"/>
                <w:szCs w:val="22"/>
              </w:rPr>
              <w:t>One Progress Report on Implementation of the White Paper on the Rights of Persons with Disabilities developed</w:t>
            </w:r>
          </w:p>
        </w:tc>
        <w:tc>
          <w:tcPr>
            <w:tcW w:w="2135"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15" w:type="dxa"/>
              <w:left w:w="108" w:type="dxa"/>
              <w:bottom w:w="0" w:type="dxa"/>
              <w:right w:w="108" w:type="dxa"/>
            </w:tcMar>
          </w:tcPr>
          <w:p w:rsidR="000E7DF3" w:rsidRPr="000E7DF3" w:rsidRDefault="000E7DF3" w:rsidP="009A7655">
            <w:pPr>
              <w:pStyle w:val="NormalWeb"/>
              <w:spacing w:before="0" w:beforeAutospacing="0" w:after="0" w:afterAutospacing="0"/>
              <w:rPr>
                <w:sz w:val="36"/>
                <w:szCs w:val="36"/>
              </w:rPr>
            </w:pPr>
            <w:r w:rsidRPr="000E7DF3">
              <w:rPr>
                <w:bCs/>
                <w:kern w:val="24"/>
                <w:sz w:val="22"/>
                <w:szCs w:val="22"/>
              </w:rPr>
              <w:t>Feedback provided to Departments on quality of reports received on Year 2 of implementation of WPRPD</w:t>
            </w:r>
          </w:p>
        </w:tc>
        <w:tc>
          <w:tcPr>
            <w:tcW w:w="2017" w:type="dxa"/>
            <w:gridSpan w:val="2"/>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15" w:type="dxa"/>
              <w:left w:w="108" w:type="dxa"/>
              <w:bottom w:w="0" w:type="dxa"/>
              <w:right w:w="108" w:type="dxa"/>
            </w:tcMar>
          </w:tcPr>
          <w:p w:rsidR="000E7DF3" w:rsidRPr="000E7DF3" w:rsidRDefault="000E7DF3" w:rsidP="009A7655">
            <w:pPr>
              <w:pStyle w:val="NormalWeb"/>
              <w:spacing w:before="0" w:beforeAutospacing="0" w:after="0" w:afterAutospacing="0"/>
              <w:rPr>
                <w:sz w:val="36"/>
                <w:szCs w:val="36"/>
              </w:rPr>
            </w:pPr>
            <w:r w:rsidRPr="000E7DF3">
              <w:rPr>
                <w:bCs/>
                <w:kern w:val="24"/>
                <w:sz w:val="22"/>
                <w:szCs w:val="22"/>
              </w:rPr>
              <w:t>Support departments in developing costed 5 year disability inclusion plans/strategies</w:t>
            </w:r>
          </w:p>
        </w:tc>
        <w:tc>
          <w:tcPr>
            <w:tcW w:w="2018" w:type="dxa"/>
            <w:gridSpan w:val="2"/>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15" w:type="dxa"/>
              <w:left w:w="108" w:type="dxa"/>
              <w:bottom w:w="0" w:type="dxa"/>
              <w:right w:w="108" w:type="dxa"/>
            </w:tcMar>
          </w:tcPr>
          <w:p w:rsidR="000E7DF3" w:rsidRPr="000E7DF3" w:rsidRDefault="000E7DF3" w:rsidP="009A7655">
            <w:pPr>
              <w:pStyle w:val="NormalWeb"/>
              <w:spacing w:before="0" w:beforeAutospacing="0" w:after="0" w:afterAutospacing="0"/>
              <w:rPr>
                <w:sz w:val="36"/>
                <w:szCs w:val="36"/>
              </w:rPr>
            </w:pPr>
            <w:r w:rsidRPr="000E7DF3">
              <w:rPr>
                <w:bCs/>
                <w:kern w:val="24"/>
                <w:sz w:val="22"/>
                <w:szCs w:val="22"/>
              </w:rPr>
              <w:t>Support departments in developing costed 5 year disability inclusion plans/strategies</w:t>
            </w:r>
          </w:p>
        </w:tc>
        <w:tc>
          <w:tcPr>
            <w:tcW w:w="2157" w:type="dxa"/>
            <w:gridSpan w:val="2"/>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15" w:type="dxa"/>
              <w:left w:w="108" w:type="dxa"/>
              <w:bottom w:w="0" w:type="dxa"/>
              <w:right w:w="108" w:type="dxa"/>
            </w:tcMar>
          </w:tcPr>
          <w:p w:rsidR="000E7DF3" w:rsidRPr="000E7DF3" w:rsidRDefault="000E7DF3" w:rsidP="009A7655">
            <w:pPr>
              <w:pStyle w:val="NormalWeb"/>
              <w:spacing w:before="0" w:beforeAutospacing="0" w:after="0" w:afterAutospacing="0"/>
              <w:rPr>
                <w:sz w:val="36"/>
                <w:szCs w:val="36"/>
              </w:rPr>
            </w:pPr>
            <w:r w:rsidRPr="000E7DF3">
              <w:rPr>
                <w:bCs/>
                <w:kern w:val="24"/>
                <w:sz w:val="22"/>
                <w:szCs w:val="22"/>
              </w:rPr>
              <w:t>1 performance report on Disability Inclusion in Departmental Strategic Plans and APPs for 2019-2024 MTSF developed</w:t>
            </w:r>
          </w:p>
        </w:tc>
      </w:tr>
      <w:tr w:rsidR="000E7DF3" w:rsidRPr="003604E0" w:rsidTr="009A7655">
        <w:trPr>
          <w:trHeight w:val="1336"/>
        </w:trPr>
        <w:tc>
          <w:tcPr>
            <w:tcW w:w="20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15" w:type="dxa"/>
              <w:left w:w="108" w:type="dxa"/>
              <w:bottom w:w="0" w:type="dxa"/>
              <w:right w:w="108" w:type="dxa"/>
            </w:tcMar>
          </w:tcPr>
          <w:p w:rsidR="000E7DF3" w:rsidRPr="000E7DF3" w:rsidRDefault="000E7DF3" w:rsidP="009A7655">
            <w:pPr>
              <w:pStyle w:val="NormalWeb"/>
              <w:spacing w:before="0" w:beforeAutospacing="0" w:after="0" w:afterAutospacing="0"/>
              <w:rPr>
                <w:rFonts w:eastAsiaTheme="minorEastAsia"/>
                <w:bCs/>
                <w:kern w:val="24"/>
                <w:sz w:val="22"/>
                <w:szCs w:val="22"/>
              </w:rPr>
            </w:pPr>
            <w:r w:rsidRPr="000E7DF3">
              <w:rPr>
                <w:rFonts w:eastAsiaTheme="minorEastAsia"/>
                <w:b/>
                <w:bCs/>
                <w:kern w:val="24"/>
                <w:sz w:val="22"/>
                <w:szCs w:val="22"/>
              </w:rPr>
              <w:t>DSD:</w:t>
            </w:r>
            <w:r>
              <w:rPr>
                <w:rFonts w:eastAsiaTheme="minorEastAsia"/>
                <w:bCs/>
                <w:kern w:val="24"/>
                <w:sz w:val="22"/>
                <w:szCs w:val="22"/>
              </w:rPr>
              <w:t xml:space="preserve"> Performance Reports on implementation of WPRDP</w:t>
            </w:r>
          </w:p>
        </w:tc>
        <w:tc>
          <w:tcPr>
            <w:tcW w:w="1439"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15" w:type="dxa"/>
              <w:left w:w="108" w:type="dxa"/>
              <w:bottom w:w="0" w:type="dxa"/>
              <w:right w:w="108" w:type="dxa"/>
            </w:tcMar>
          </w:tcPr>
          <w:p w:rsidR="000E7DF3" w:rsidRPr="000E7DF3" w:rsidRDefault="000E7DF3" w:rsidP="009A7655">
            <w:pPr>
              <w:pStyle w:val="NormalWeb"/>
              <w:spacing w:before="0" w:beforeAutospacing="0" w:after="0" w:afterAutospacing="0"/>
              <w:rPr>
                <w:bCs/>
                <w:kern w:val="24"/>
                <w:sz w:val="22"/>
                <w:szCs w:val="22"/>
              </w:rPr>
            </w:pPr>
            <w:r>
              <w:rPr>
                <w:bCs/>
                <w:kern w:val="24"/>
                <w:sz w:val="22"/>
                <w:szCs w:val="22"/>
              </w:rPr>
              <w:t>Annual</w:t>
            </w:r>
          </w:p>
        </w:tc>
        <w:tc>
          <w:tcPr>
            <w:tcW w:w="20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15" w:type="dxa"/>
              <w:left w:w="108" w:type="dxa"/>
              <w:bottom w:w="0" w:type="dxa"/>
              <w:right w:w="108" w:type="dxa"/>
            </w:tcMar>
          </w:tcPr>
          <w:p w:rsidR="000E7DF3" w:rsidRPr="000E7DF3" w:rsidRDefault="000E7DF3" w:rsidP="009A7655">
            <w:pPr>
              <w:pStyle w:val="NormalWeb"/>
              <w:spacing w:before="0" w:beforeAutospacing="0" w:after="0" w:afterAutospacing="0"/>
              <w:rPr>
                <w:rFonts w:eastAsiaTheme="minorEastAsia"/>
                <w:bCs/>
                <w:kern w:val="24"/>
                <w:sz w:val="22"/>
                <w:szCs w:val="22"/>
              </w:rPr>
            </w:pPr>
            <w:r>
              <w:rPr>
                <w:rFonts w:eastAsiaTheme="minorEastAsia"/>
                <w:bCs/>
                <w:kern w:val="24"/>
                <w:sz w:val="22"/>
                <w:szCs w:val="22"/>
              </w:rPr>
              <w:t>Annual Progress Report on Implementation of WPRPD developed</w:t>
            </w:r>
          </w:p>
        </w:tc>
        <w:tc>
          <w:tcPr>
            <w:tcW w:w="2135"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15" w:type="dxa"/>
              <w:left w:w="108" w:type="dxa"/>
              <w:bottom w:w="0" w:type="dxa"/>
              <w:right w:w="108" w:type="dxa"/>
            </w:tcMar>
          </w:tcPr>
          <w:p w:rsidR="000E7DF3" w:rsidRPr="000E7DF3" w:rsidRDefault="000E7DF3" w:rsidP="009A7655">
            <w:pPr>
              <w:pStyle w:val="NormalWeb"/>
              <w:spacing w:before="0" w:beforeAutospacing="0" w:after="0" w:afterAutospacing="0"/>
              <w:rPr>
                <w:bCs/>
                <w:kern w:val="24"/>
                <w:sz w:val="22"/>
                <w:szCs w:val="22"/>
              </w:rPr>
            </w:pPr>
            <w:r>
              <w:rPr>
                <w:bCs/>
                <w:kern w:val="24"/>
                <w:sz w:val="22"/>
                <w:szCs w:val="22"/>
              </w:rPr>
              <w:t xml:space="preserve">Design and Develop model for automated reporting </w:t>
            </w:r>
          </w:p>
        </w:tc>
        <w:tc>
          <w:tcPr>
            <w:tcW w:w="2017" w:type="dxa"/>
            <w:gridSpan w:val="2"/>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15" w:type="dxa"/>
              <w:left w:w="108" w:type="dxa"/>
              <w:bottom w:w="0" w:type="dxa"/>
              <w:right w:w="108" w:type="dxa"/>
            </w:tcMar>
          </w:tcPr>
          <w:p w:rsidR="000E7DF3" w:rsidRPr="000E7DF3" w:rsidRDefault="000E7DF3" w:rsidP="009A7655">
            <w:pPr>
              <w:pStyle w:val="NormalWeb"/>
              <w:spacing w:before="0" w:beforeAutospacing="0" w:after="0" w:afterAutospacing="0"/>
              <w:rPr>
                <w:bCs/>
                <w:kern w:val="24"/>
                <w:sz w:val="22"/>
                <w:szCs w:val="22"/>
              </w:rPr>
            </w:pPr>
            <w:r>
              <w:rPr>
                <w:bCs/>
                <w:kern w:val="24"/>
                <w:sz w:val="22"/>
                <w:szCs w:val="22"/>
              </w:rPr>
              <w:t>Implementation plan for automated reporting developed</w:t>
            </w:r>
          </w:p>
        </w:tc>
        <w:tc>
          <w:tcPr>
            <w:tcW w:w="2018" w:type="dxa"/>
            <w:gridSpan w:val="2"/>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15" w:type="dxa"/>
              <w:left w:w="108" w:type="dxa"/>
              <w:bottom w:w="0" w:type="dxa"/>
              <w:right w:w="108" w:type="dxa"/>
            </w:tcMar>
          </w:tcPr>
          <w:p w:rsidR="000E7DF3" w:rsidRPr="000E7DF3" w:rsidRDefault="000E7DF3" w:rsidP="009A7655">
            <w:pPr>
              <w:pStyle w:val="NormalWeb"/>
              <w:spacing w:before="0" w:beforeAutospacing="0" w:after="0" w:afterAutospacing="0"/>
              <w:rPr>
                <w:bCs/>
                <w:kern w:val="24"/>
                <w:sz w:val="22"/>
                <w:szCs w:val="22"/>
              </w:rPr>
            </w:pPr>
            <w:r>
              <w:rPr>
                <w:bCs/>
                <w:kern w:val="24"/>
                <w:sz w:val="22"/>
                <w:szCs w:val="22"/>
              </w:rPr>
              <w:t>Automated reporting piloted in 1 Department and province</w:t>
            </w:r>
          </w:p>
        </w:tc>
        <w:tc>
          <w:tcPr>
            <w:tcW w:w="2157" w:type="dxa"/>
            <w:gridSpan w:val="2"/>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15" w:type="dxa"/>
              <w:left w:w="108" w:type="dxa"/>
              <w:bottom w:w="0" w:type="dxa"/>
              <w:right w:w="108" w:type="dxa"/>
            </w:tcMar>
          </w:tcPr>
          <w:p w:rsidR="000E7DF3" w:rsidRPr="000E7DF3" w:rsidRDefault="000E7DF3" w:rsidP="009A7655">
            <w:pPr>
              <w:pStyle w:val="NormalWeb"/>
              <w:spacing w:before="0" w:beforeAutospacing="0" w:after="0" w:afterAutospacing="0"/>
              <w:rPr>
                <w:bCs/>
                <w:kern w:val="24"/>
                <w:sz w:val="22"/>
                <w:szCs w:val="22"/>
              </w:rPr>
            </w:pPr>
            <w:r>
              <w:rPr>
                <w:bCs/>
                <w:kern w:val="24"/>
                <w:sz w:val="22"/>
                <w:szCs w:val="22"/>
              </w:rPr>
              <w:t>Annual Progress Report on Implementation of WPRPD submitted for approval</w:t>
            </w:r>
          </w:p>
        </w:tc>
      </w:tr>
      <w:tr w:rsidR="000E7DF3" w:rsidRPr="003604E0" w:rsidTr="000E7DF3">
        <w:trPr>
          <w:trHeight w:val="2232"/>
        </w:trPr>
        <w:tc>
          <w:tcPr>
            <w:tcW w:w="20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15" w:type="dxa"/>
              <w:left w:w="108" w:type="dxa"/>
              <w:bottom w:w="0" w:type="dxa"/>
              <w:right w:w="108" w:type="dxa"/>
            </w:tcMar>
          </w:tcPr>
          <w:p w:rsidR="000E7DF3" w:rsidRPr="000E7DF3" w:rsidRDefault="000E7DF3" w:rsidP="009A7655">
            <w:pPr>
              <w:pStyle w:val="NormalWeb"/>
              <w:spacing w:before="0" w:beforeAutospacing="0" w:after="0" w:afterAutospacing="0"/>
              <w:rPr>
                <w:rFonts w:eastAsiaTheme="minorEastAsia"/>
                <w:b/>
                <w:bCs/>
                <w:kern w:val="24"/>
                <w:sz w:val="22"/>
                <w:szCs w:val="22"/>
              </w:rPr>
            </w:pPr>
            <w:r>
              <w:rPr>
                <w:rFonts w:eastAsiaTheme="minorEastAsia"/>
                <w:b/>
                <w:bCs/>
                <w:kern w:val="24"/>
                <w:sz w:val="22"/>
                <w:szCs w:val="22"/>
              </w:rPr>
              <w:t xml:space="preserve">DSD: </w:t>
            </w:r>
            <w:r w:rsidRPr="009A7655">
              <w:rPr>
                <w:rFonts w:eastAsiaTheme="minorEastAsia"/>
                <w:bCs/>
                <w:kern w:val="24"/>
                <w:sz w:val="22"/>
                <w:szCs w:val="22"/>
              </w:rPr>
              <w:t>Policy and legal instruments that support services to persons with disabilities and their families developed</w:t>
            </w:r>
          </w:p>
        </w:tc>
        <w:tc>
          <w:tcPr>
            <w:tcW w:w="1439"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15" w:type="dxa"/>
              <w:left w:w="108" w:type="dxa"/>
              <w:bottom w:w="0" w:type="dxa"/>
              <w:right w:w="108" w:type="dxa"/>
            </w:tcMar>
          </w:tcPr>
          <w:p w:rsidR="000E7DF3" w:rsidRDefault="000E7DF3" w:rsidP="009A7655">
            <w:pPr>
              <w:pStyle w:val="NormalWeb"/>
              <w:spacing w:before="0" w:beforeAutospacing="0" w:after="0" w:afterAutospacing="0"/>
              <w:rPr>
                <w:bCs/>
                <w:kern w:val="24"/>
                <w:sz w:val="22"/>
                <w:szCs w:val="22"/>
              </w:rPr>
            </w:pPr>
            <w:r>
              <w:rPr>
                <w:bCs/>
                <w:kern w:val="24"/>
                <w:sz w:val="22"/>
                <w:szCs w:val="22"/>
              </w:rPr>
              <w:t>Quarterly</w:t>
            </w:r>
          </w:p>
        </w:tc>
        <w:tc>
          <w:tcPr>
            <w:tcW w:w="20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15" w:type="dxa"/>
              <w:left w:w="108" w:type="dxa"/>
              <w:bottom w:w="0" w:type="dxa"/>
              <w:right w:w="108" w:type="dxa"/>
            </w:tcMar>
          </w:tcPr>
          <w:p w:rsidR="000E7DF3" w:rsidRDefault="000E7DF3" w:rsidP="009A7655">
            <w:pPr>
              <w:pStyle w:val="NormalWeb"/>
              <w:spacing w:before="0" w:beforeAutospacing="0" w:after="0" w:afterAutospacing="0"/>
              <w:rPr>
                <w:rFonts w:eastAsiaTheme="minorEastAsia"/>
                <w:bCs/>
                <w:kern w:val="24"/>
                <w:sz w:val="22"/>
                <w:szCs w:val="22"/>
              </w:rPr>
            </w:pPr>
            <w:r>
              <w:rPr>
                <w:rFonts w:eastAsiaTheme="minorEastAsia"/>
                <w:bCs/>
                <w:kern w:val="24"/>
                <w:sz w:val="22"/>
                <w:szCs w:val="22"/>
              </w:rPr>
              <w:t>Draft Policy on Services to Persons with Disabilities and their families submitted for approval for public comment</w:t>
            </w:r>
          </w:p>
        </w:tc>
        <w:tc>
          <w:tcPr>
            <w:tcW w:w="2135"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15" w:type="dxa"/>
              <w:left w:w="108" w:type="dxa"/>
              <w:bottom w:w="0" w:type="dxa"/>
              <w:right w:w="108" w:type="dxa"/>
            </w:tcMar>
          </w:tcPr>
          <w:p w:rsidR="000E7DF3" w:rsidRDefault="000E7DF3" w:rsidP="009A7655">
            <w:pPr>
              <w:pStyle w:val="NormalWeb"/>
              <w:spacing w:before="0" w:beforeAutospacing="0" w:after="0" w:afterAutospacing="0"/>
              <w:rPr>
                <w:bCs/>
                <w:kern w:val="24"/>
                <w:sz w:val="22"/>
                <w:szCs w:val="22"/>
              </w:rPr>
            </w:pPr>
            <w:r w:rsidRPr="000E7DF3">
              <w:rPr>
                <w:bCs/>
                <w:kern w:val="24"/>
                <w:sz w:val="22"/>
                <w:szCs w:val="22"/>
                <w:lang w:val="en-ZA"/>
              </w:rPr>
              <w:t>Policy on Services to Persons with Disabilities and their families submitted for approval for public comment</w:t>
            </w:r>
          </w:p>
        </w:tc>
        <w:tc>
          <w:tcPr>
            <w:tcW w:w="2017" w:type="dxa"/>
            <w:gridSpan w:val="2"/>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15" w:type="dxa"/>
              <w:left w:w="108" w:type="dxa"/>
              <w:bottom w:w="0" w:type="dxa"/>
              <w:right w:w="108" w:type="dxa"/>
            </w:tcMar>
          </w:tcPr>
          <w:p w:rsidR="000E7DF3" w:rsidRDefault="000E7DF3" w:rsidP="009A7655">
            <w:pPr>
              <w:pStyle w:val="NormalWeb"/>
              <w:spacing w:before="0" w:beforeAutospacing="0" w:after="0" w:afterAutospacing="0"/>
              <w:rPr>
                <w:bCs/>
                <w:kern w:val="24"/>
                <w:sz w:val="22"/>
                <w:szCs w:val="22"/>
              </w:rPr>
            </w:pPr>
            <w:r>
              <w:rPr>
                <w:bCs/>
                <w:kern w:val="24"/>
                <w:sz w:val="22"/>
                <w:szCs w:val="22"/>
              </w:rPr>
              <w:t>-</w:t>
            </w:r>
          </w:p>
        </w:tc>
        <w:tc>
          <w:tcPr>
            <w:tcW w:w="2018" w:type="dxa"/>
            <w:gridSpan w:val="2"/>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15" w:type="dxa"/>
              <w:left w:w="108" w:type="dxa"/>
              <w:bottom w:w="0" w:type="dxa"/>
              <w:right w:w="108" w:type="dxa"/>
            </w:tcMar>
          </w:tcPr>
          <w:p w:rsidR="000E7DF3" w:rsidRDefault="000E7DF3" w:rsidP="009A7655">
            <w:pPr>
              <w:pStyle w:val="NormalWeb"/>
              <w:spacing w:before="0" w:beforeAutospacing="0" w:after="0" w:afterAutospacing="0"/>
              <w:rPr>
                <w:bCs/>
                <w:kern w:val="24"/>
                <w:sz w:val="22"/>
                <w:szCs w:val="22"/>
              </w:rPr>
            </w:pPr>
            <w:r>
              <w:rPr>
                <w:bCs/>
                <w:kern w:val="24"/>
                <w:sz w:val="22"/>
                <w:szCs w:val="22"/>
              </w:rPr>
              <w:t>Consolidate comments received</w:t>
            </w:r>
          </w:p>
        </w:tc>
        <w:tc>
          <w:tcPr>
            <w:tcW w:w="2157" w:type="dxa"/>
            <w:gridSpan w:val="2"/>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15" w:type="dxa"/>
              <w:left w:w="108" w:type="dxa"/>
              <w:bottom w:w="0" w:type="dxa"/>
              <w:right w:w="108" w:type="dxa"/>
            </w:tcMar>
          </w:tcPr>
          <w:p w:rsidR="000E7DF3" w:rsidRDefault="009A7655" w:rsidP="009A7655">
            <w:pPr>
              <w:pStyle w:val="NormalWeb"/>
              <w:spacing w:before="0" w:beforeAutospacing="0" w:after="0" w:afterAutospacing="0"/>
              <w:rPr>
                <w:bCs/>
                <w:kern w:val="24"/>
                <w:sz w:val="22"/>
                <w:szCs w:val="22"/>
              </w:rPr>
            </w:pPr>
            <w:r w:rsidRPr="009A7655">
              <w:rPr>
                <w:bCs/>
                <w:kern w:val="24"/>
                <w:sz w:val="22"/>
                <w:szCs w:val="22"/>
                <w:lang w:val="en-ZA"/>
              </w:rPr>
              <w:t xml:space="preserve">Policy on Services to Persons with Disabilities and their families submitted for approval for </w:t>
            </w:r>
            <w:r>
              <w:rPr>
                <w:bCs/>
                <w:kern w:val="24"/>
                <w:sz w:val="22"/>
                <w:szCs w:val="22"/>
                <w:lang w:val="en-ZA"/>
              </w:rPr>
              <w:t>final approval</w:t>
            </w:r>
          </w:p>
        </w:tc>
      </w:tr>
      <w:tr w:rsidR="000E7DF3" w:rsidRPr="003604E0" w:rsidTr="009A7655">
        <w:trPr>
          <w:trHeight w:val="1240"/>
        </w:trPr>
        <w:tc>
          <w:tcPr>
            <w:tcW w:w="2017" w:type="dxa"/>
            <w:tcBorders>
              <w:top w:val="single" w:sz="8" w:space="0" w:color="FFFFFF"/>
              <w:left w:val="single" w:sz="8" w:space="0" w:color="FFFFFF"/>
              <w:bottom w:val="single" w:sz="24" w:space="0" w:color="FFFFFF"/>
              <w:right w:val="single" w:sz="8" w:space="0" w:color="FFFFFF"/>
            </w:tcBorders>
            <w:shd w:val="clear" w:color="auto" w:fill="C2D69B" w:themeFill="accent3" w:themeFillTint="99"/>
            <w:tcMar>
              <w:top w:w="15" w:type="dxa"/>
              <w:left w:w="108" w:type="dxa"/>
              <w:bottom w:w="0" w:type="dxa"/>
              <w:right w:w="108" w:type="dxa"/>
            </w:tcMar>
          </w:tcPr>
          <w:p w:rsidR="000E7DF3" w:rsidRPr="000E7DF3" w:rsidRDefault="009A7655" w:rsidP="009A7655">
            <w:pPr>
              <w:pStyle w:val="NormalWeb"/>
              <w:spacing w:before="0" w:beforeAutospacing="0" w:after="0" w:afterAutospacing="0"/>
              <w:rPr>
                <w:rFonts w:eastAsiaTheme="minorEastAsia"/>
                <w:b/>
                <w:bCs/>
                <w:kern w:val="24"/>
                <w:sz w:val="22"/>
                <w:szCs w:val="22"/>
              </w:rPr>
            </w:pPr>
            <w:r>
              <w:rPr>
                <w:rFonts w:eastAsiaTheme="minorEastAsia"/>
                <w:b/>
                <w:bCs/>
                <w:kern w:val="24"/>
                <w:sz w:val="22"/>
                <w:szCs w:val="22"/>
              </w:rPr>
              <w:lastRenderedPageBreak/>
              <w:t xml:space="preserve">DSD: </w:t>
            </w:r>
            <w:r w:rsidR="000E7DF3">
              <w:rPr>
                <w:rFonts w:eastAsiaTheme="minorEastAsia"/>
                <w:b/>
                <w:bCs/>
                <w:kern w:val="24"/>
                <w:sz w:val="22"/>
                <w:szCs w:val="22"/>
              </w:rPr>
              <w:t>Community-Based Disability Inclusive Development Programme piloted</w:t>
            </w:r>
          </w:p>
        </w:tc>
        <w:tc>
          <w:tcPr>
            <w:tcW w:w="1439" w:type="dxa"/>
            <w:tcBorders>
              <w:top w:val="single" w:sz="8" w:space="0" w:color="FFFFFF"/>
              <w:left w:val="single" w:sz="8" w:space="0" w:color="FFFFFF"/>
              <w:bottom w:val="single" w:sz="24" w:space="0" w:color="FFFFFF"/>
              <w:right w:val="single" w:sz="8" w:space="0" w:color="FFFFFF"/>
            </w:tcBorders>
            <w:shd w:val="clear" w:color="auto" w:fill="C2D69B" w:themeFill="accent3" w:themeFillTint="99"/>
            <w:tcMar>
              <w:top w:w="15" w:type="dxa"/>
              <w:left w:w="108" w:type="dxa"/>
              <w:bottom w:w="0" w:type="dxa"/>
              <w:right w:w="108" w:type="dxa"/>
            </w:tcMar>
          </w:tcPr>
          <w:p w:rsidR="000E7DF3" w:rsidRDefault="000E7DF3" w:rsidP="009A7655">
            <w:pPr>
              <w:pStyle w:val="NormalWeb"/>
              <w:spacing w:before="0" w:beforeAutospacing="0" w:after="0" w:afterAutospacing="0"/>
              <w:rPr>
                <w:bCs/>
                <w:kern w:val="24"/>
                <w:sz w:val="22"/>
                <w:szCs w:val="22"/>
              </w:rPr>
            </w:pPr>
            <w:r>
              <w:rPr>
                <w:bCs/>
                <w:kern w:val="24"/>
                <w:sz w:val="22"/>
                <w:szCs w:val="22"/>
              </w:rPr>
              <w:t>Quarterly</w:t>
            </w:r>
          </w:p>
        </w:tc>
        <w:tc>
          <w:tcPr>
            <w:tcW w:w="2017" w:type="dxa"/>
            <w:tcBorders>
              <w:top w:val="single" w:sz="8" w:space="0" w:color="FFFFFF"/>
              <w:left w:val="single" w:sz="8" w:space="0" w:color="FFFFFF"/>
              <w:bottom w:val="single" w:sz="24" w:space="0" w:color="FFFFFF"/>
              <w:right w:val="single" w:sz="8" w:space="0" w:color="FFFFFF"/>
            </w:tcBorders>
            <w:shd w:val="clear" w:color="auto" w:fill="C2D69B" w:themeFill="accent3" w:themeFillTint="99"/>
            <w:tcMar>
              <w:top w:w="15" w:type="dxa"/>
              <w:left w:w="108" w:type="dxa"/>
              <w:bottom w:w="0" w:type="dxa"/>
              <w:right w:w="108" w:type="dxa"/>
            </w:tcMar>
          </w:tcPr>
          <w:p w:rsidR="000E7DF3" w:rsidRDefault="009A7655" w:rsidP="009A7655">
            <w:pPr>
              <w:pStyle w:val="NormalWeb"/>
              <w:spacing w:before="0" w:beforeAutospacing="0" w:after="0" w:afterAutospacing="0"/>
              <w:rPr>
                <w:rFonts w:eastAsiaTheme="minorEastAsia"/>
                <w:bCs/>
                <w:kern w:val="24"/>
                <w:sz w:val="22"/>
                <w:szCs w:val="22"/>
              </w:rPr>
            </w:pPr>
            <w:r>
              <w:rPr>
                <w:rFonts w:eastAsiaTheme="minorEastAsia"/>
                <w:bCs/>
                <w:kern w:val="24"/>
                <w:sz w:val="22"/>
                <w:szCs w:val="22"/>
              </w:rPr>
              <w:t>Community-Based Disability Inclusive Development (CBID) developed</w:t>
            </w:r>
          </w:p>
        </w:tc>
        <w:tc>
          <w:tcPr>
            <w:tcW w:w="2135" w:type="dxa"/>
            <w:tcBorders>
              <w:top w:val="single" w:sz="8" w:space="0" w:color="FFFFFF"/>
              <w:left w:val="single" w:sz="8" w:space="0" w:color="FFFFFF"/>
              <w:bottom w:val="single" w:sz="24" w:space="0" w:color="FFFFFF"/>
              <w:right w:val="single" w:sz="8" w:space="0" w:color="FFFFFF"/>
            </w:tcBorders>
            <w:shd w:val="clear" w:color="auto" w:fill="C2D69B" w:themeFill="accent3" w:themeFillTint="99"/>
            <w:tcMar>
              <w:top w:w="15" w:type="dxa"/>
              <w:left w:w="108" w:type="dxa"/>
              <w:bottom w:w="0" w:type="dxa"/>
              <w:right w:w="108" w:type="dxa"/>
            </w:tcMar>
          </w:tcPr>
          <w:p w:rsidR="000E7DF3" w:rsidRDefault="009A7655" w:rsidP="009A7655">
            <w:pPr>
              <w:pStyle w:val="NormalWeb"/>
              <w:spacing w:before="0" w:beforeAutospacing="0" w:after="0" w:afterAutospacing="0"/>
              <w:rPr>
                <w:bCs/>
                <w:kern w:val="24"/>
                <w:sz w:val="22"/>
                <w:szCs w:val="22"/>
              </w:rPr>
            </w:pPr>
            <w:r>
              <w:rPr>
                <w:bCs/>
                <w:kern w:val="24"/>
                <w:sz w:val="22"/>
                <w:szCs w:val="22"/>
              </w:rPr>
              <w:t>Baseline survey and activity plan on CBID developed in 2 provinces</w:t>
            </w:r>
          </w:p>
        </w:tc>
        <w:tc>
          <w:tcPr>
            <w:tcW w:w="2017" w:type="dxa"/>
            <w:gridSpan w:val="2"/>
            <w:tcBorders>
              <w:top w:val="single" w:sz="8" w:space="0" w:color="FFFFFF"/>
              <w:left w:val="single" w:sz="8" w:space="0" w:color="FFFFFF"/>
              <w:bottom w:val="single" w:sz="24" w:space="0" w:color="FFFFFF"/>
              <w:right w:val="single" w:sz="8" w:space="0" w:color="FFFFFF"/>
            </w:tcBorders>
            <w:shd w:val="clear" w:color="auto" w:fill="C2D69B" w:themeFill="accent3" w:themeFillTint="99"/>
            <w:tcMar>
              <w:top w:w="15" w:type="dxa"/>
              <w:left w:w="108" w:type="dxa"/>
              <w:bottom w:w="0" w:type="dxa"/>
              <w:right w:w="108" w:type="dxa"/>
            </w:tcMar>
          </w:tcPr>
          <w:p w:rsidR="000E7DF3" w:rsidRDefault="009A7655" w:rsidP="009A7655">
            <w:pPr>
              <w:pStyle w:val="NormalWeb"/>
              <w:spacing w:before="0" w:beforeAutospacing="0" w:after="0" w:afterAutospacing="0"/>
              <w:rPr>
                <w:bCs/>
                <w:kern w:val="24"/>
                <w:sz w:val="22"/>
                <w:szCs w:val="22"/>
              </w:rPr>
            </w:pPr>
            <w:r>
              <w:rPr>
                <w:bCs/>
                <w:kern w:val="24"/>
                <w:sz w:val="22"/>
                <w:szCs w:val="22"/>
              </w:rPr>
              <w:t>Good practice models on CBID developed in 4 provinces</w:t>
            </w:r>
          </w:p>
        </w:tc>
        <w:tc>
          <w:tcPr>
            <w:tcW w:w="2018" w:type="dxa"/>
            <w:gridSpan w:val="2"/>
            <w:tcBorders>
              <w:top w:val="single" w:sz="8" w:space="0" w:color="FFFFFF"/>
              <w:left w:val="single" w:sz="8" w:space="0" w:color="FFFFFF"/>
              <w:bottom w:val="single" w:sz="24" w:space="0" w:color="FFFFFF"/>
              <w:right w:val="single" w:sz="8" w:space="0" w:color="FFFFFF"/>
            </w:tcBorders>
            <w:shd w:val="clear" w:color="auto" w:fill="C2D69B" w:themeFill="accent3" w:themeFillTint="99"/>
            <w:tcMar>
              <w:top w:w="15" w:type="dxa"/>
              <w:left w:w="108" w:type="dxa"/>
              <w:bottom w:w="0" w:type="dxa"/>
              <w:right w:w="108" w:type="dxa"/>
            </w:tcMar>
          </w:tcPr>
          <w:p w:rsidR="000E7DF3" w:rsidRDefault="009A7655" w:rsidP="009A7655">
            <w:pPr>
              <w:pStyle w:val="NormalWeb"/>
              <w:spacing w:before="0" w:beforeAutospacing="0" w:after="0" w:afterAutospacing="0"/>
              <w:rPr>
                <w:bCs/>
                <w:kern w:val="24"/>
                <w:sz w:val="22"/>
                <w:szCs w:val="22"/>
              </w:rPr>
            </w:pPr>
            <w:r>
              <w:rPr>
                <w:bCs/>
                <w:kern w:val="24"/>
                <w:sz w:val="22"/>
                <w:szCs w:val="22"/>
              </w:rPr>
              <w:t>Draft Guidelines on CBID developed</w:t>
            </w:r>
          </w:p>
        </w:tc>
        <w:tc>
          <w:tcPr>
            <w:tcW w:w="2157" w:type="dxa"/>
            <w:gridSpan w:val="2"/>
            <w:tcBorders>
              <w:top w:val="single" w:sz="8" w:space="0" w:color="FFFFFF"/>
              <w:left w:val="single" w:sz="8" w:space="0" w:color="FFFFFF"/>
              <w:bottom w:val="single" w:sz="24" w:space="0" w:color="FFFFFF"/>
              <w:right w:val="single" w:sz="8" w:space="0" w:color="FFFFFF"/>
            </w:tcBorders>
            <w:shd w:val="clear" w:color="auto" w:fill="C2D69B" w:themeFill="accent3" w:themeFillTint="99"/>
            <w:tcMar>
              <w:top w:w="15" w:type="dxa"/>
              <w:left w:w="108" w:type="dxa"/>
              <w:bottom w:w="0" w:type="dxa"/>
              <w:right w:w="108" w:type="dxa"/>
            </w:tcMar>
          </w:tcPr>
          <w:p w:rsidR="000E7DF3" w:rsidRDefault="009A7655" w:rsidP="009A7655">
            <w:pPr>
              <w:pStyle w:val="NormalWeb"/>
              <w:spacing w:before="0" w:beforeAutospacing="0" w:after="0" w:afterAutospacing="0"/>
              <w:rPr>
                <w:bCs/>
                <w:kern w:val="24"/>
                <w:sz w:val="22"/>
                <w:szCs w:val="22"/>
              </w:rPr>
            </w:pPr>
            <w:r>
              <w:rPr>
                <w:bCs/>
                <w:kern w:val="24"/>
                <w:sz w:val="22"/>
                <w:szCs w:val="22"/>
              </w:rPr>
              <w:t>Guidelines on CBID submitted for approval</w:t>
            </w:r>
          </w:p>
        </w:tc>
      </w:tr>
    </w:tbl>
    <w:p w:rsidR="002A431D" w:rsidRDefault="002A431D" w:rsidP="008D31A4">
      <w:pPr>
        <w:rPr>
          <w:sz w:val="22"/>
          <w:szCs w:val="22"/>
        </w:rPr>
      </w:pPr>
    </w:p>
    <w:p w:rsidR="003604E0" w:rsidRDefault="003604E0" w:rsidP="008D31A4">
      <w:pPr>
        <w:rPr>
          <w:b/>
          <w:sz w:val="22"/>
          <w:szCs w:val="22"/>
        </w:rPr>
      </w:pPr>
    </w:p>
    <w:p w:rsidR="003604E0" w:rsidRDefault="003604E0" w:rsidP="008D31A4">
      <w:pPr>
        <w:rPr>
          <w:b/>
          <w:sz w:val="22"/>
          <w:szCs w:val="22"/>
        </w:rPr>
      </w:pPr>
    </w:p>
    <w:p w:rsidR="003604E0" w:rsidRDefault="009A7655" w:rsidP="00221FF3">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exact"/>
        <w:jc w:val="both"/>
        <w:rPr>
          <w:b/>
          <w:sz w:val="22"/>
          <w:szCs w:val="22"/>
        </w:rPr>
      </w:pPr>
      <w:r>
        <w:rPr>
          <w:b/>
          <w:sz w:val="22"/>
          <w:szCs w:val="22"/>
        </w:rPr>
        <w:t>Questions for consideration</w:t>
      </w:r>
    </w:p>
    <w:p w:rsidR="00221FF3" w:rsidRPr="00221FF3" w:rsidRDefault="009A7655" w:rsidP="00221FF3">
      <w:pPr>
        <w:pStyle w:val="ListParagraph"/>
        <w:numPr>
          <w:ilvl w:val="0"/>
          <w:numId w:val="30"/>
        </w:numPr>
        <w:pBdr>
          <w:top w:val="single" w:sz="4" w:space="1" w:color="auto"/>
          <w:left w:val="single" w:sz="4" w:space="4" w:color="auto"/>
          <w:bottom w:val="single" w:sz="4" w:space="1" w:color="auto"/>
          <w:right w:val="single" w:sz="4" w:space="4" w:color="auto"/>
        </w:pBdr>
        <w:spacing w:line="280" w:lineRule="exact"/>
        <w:jc w:val="both"/>
        <w:rPr>
          <w:b/>
          <w:sz w:val="22"/>
          <w:szCs w:val="22"/>
        </w:rPr>
      </w:pPr>
      <w:r>
        <w:rPr>
          <w:sz w:val="22"/>
          <w:szCs w:val="22"/>
        </w:rPr>
        <w:t>Why have certain key perfo</w:t>
      </w:r>
      <w:r w:rsidR="00221FF3">
        <w:rPr>
          <w:sz w:val="22"/>
          <w:szCs w:val="22"/>
        </w:rPr>
        <w:t xml:space="preserve">rmance indicators and targets </w:t>
      </w:r>
      <w:r>
        <w:rPr>
          <w:sz w:val="22"/>
          <w:szCs w:val="22"/>
        </w:rPr>
        <w:t>either been changed and or discarded from that which initially appeared in the Department of Social Development’s Annual Performance Plan 2019/20 and that of the Department of Women, Youth and Persons with Disability’s revised Annual Performance Plan of 2019/20?</w:t>
      </w:r>
      <w:r w:rsidR="00221FF3" w:rsidRPr="00221FF3">
        <w:rPr>
          <w:rFonts w:eastAsia="Calibri"/>
          <w:color w:val="000000"/>
          <w:spacing w:val="0"/>
          <w:kern w:val="24"/>
          <w:sz w:val="22"/>
          <w:szCs w:val="22"/>
          <w:lang w:eastAsia="en-ZA"/>
        </w:rPr>
        <w:t xml:space="preserve"> </w:t>
      </w:r>
    </w:p>
    <w:p w:rsidR="003604E0" w:rsidRPr="00221FF3" w:rsidRDefault="00221FF3" w:rsidP="00221FF3">
      <w:pPr>
        <w:pStyle w:val="ListParagraph"/>
        <w:numPr>
          <w:ilvl w:val="0"/>
          <w:numId w:val="30"/>
        </w:numPr>
        <w:pBdr>
          <w:top w:val="single" w:sz="4" w:space="1" w:color="auto"/>
          <w:left w:val="single" w:sz="4" w:space="4" w:color="auto"/>
          <w:bottom w:val="single" w:sz="4" w:space="1" w:color="auto"/>
          <w:right w:val="single" w:sz="4" w:space="4" w:color="auto"/>
        </w:pBdr>
        <w:spacing w:line="280" w:lineRule="exact"/>
        <w:jc w:val="both"/>
        <w:rPr>
          <w:b/>
          <w:sz w:val="22"/>
          <w:szCs w:val="22"/>
        </w:rPr>
      </w:pPr>
      <w:r>
        <w:rPr>
          <w:rFonts w:eastAsia="Calibri"/>
          <w:color w:val="000000"/>
          <w:spacing w:val="0"/>
          <w:kern w:val="24"/>
          <w:sz w:val="22"/>
          <w:szCs w:val="22"/>
          <w:lang w:eastAsia="en-ZA"/>
        </w:rPr>
        <w:t xml:space="preserve">How does </w:t>
      </w:r>
      <w:r w:rsidRPr="00221FF3">
        <w:rPr>
          <w:sz w:val="22"/>
          <w:szCs w:val="22"/>
        </w:rPr>
        <w:t>National Frameworks on Disability Rights Awareness and Self-Representation</w:t>
      </w:r>
      <w:r>
        <w:rPr>
          <w:sz w:val="22"/>
          <w:szCs w:val="22"/>
        </w:rPr>
        <w:t xml:space="preserve"> give effect to the implementation of the White Paper on the Rights of Persons with Disabilities?</w:t>
      </w:r>
    </w:p>
    <w:p w:rsidR="003604E0" w:rsidRPr="00221FF3" w:rsidRDefault="00221FF3" w:rsidP="00221FF3">
      <w:pPr>
        <w:pStyle w:val="ListParagraph"/>
        <w:numPr>
          <w:ilvl w:val="0"/>
          <w:numId w:val="30"/>
        </w:numPr>
        <w:pBdr>
          <w:top w:val="single" w:sz="4" w:space="1" w:color="auto"/>
          <w:left w:val="single" w:sz="4" w:space="4" w:color="auto"/>
          <w:bottom w:val="single" w:sz="4" w:space="1" w:color="auto"/>
          <w:right w:val="single" w:sz="4" w:space="4" w:color="auto"/>
        </w:pBdr>
        <w:spacing w:line="280" w:lineRule="exact"/>
        <w:jc w:val="both"/>
        <w:rPr>
          <w:b/>
          <w:sz w:val="22"/>
          <w:szCs w:val="22"/>
        </w:rPr>
      </w:pPr>
      <w:r>
        <w:rPr>
          <w:sz w:val="22"/>
          <w:szCs w:val="22"/>
        </w:rPr>
        <w:t>How do the targets relate to the KPI on strengthening the national Disability Machinery?</w:t>
      </w:r>
    </w:p>
    <w:p w:rsidR="00221FF3" w:rsidRPr="00221FF3" w:rsidRDefault="00221FF3" w:rsidP="00221FF3">
      <w:pPr>
        <w:pStyle w:val="ListParagraph"/>
        <w:numPr>
          <w:ilvl w:val="0"/>
          <w:numId w:val="30"/>
        </w:numPr>
        <w:pBdr>
          <w:top w:val="single" w:sz="4" w:space="1" w:color="auto"/>
          <w:left w:val="single" w:sz="4" w:space="4" w:color="auto"/>
          <w:bottom w:val="single" w:sz="4" w:space="1" w:color="auto"/>
          <w:right w:val="single" w:sz="4" w:space="4" w:color="auto"/>
        </w:pBdr>
        <w:spacing w:line="280" w:lineRule="exact"/>
        <w:jc w:val="both"/>
        <w:rPr>
          <w:b/>
          <w:sz w:val="22"/>
          <w:szCs w:val="22"/>
        </w:rPr>
      </w:pPr>
      <w:r>
        <w:rPr>
          <w:sz w:val="22"/>
          <w:szCs w:val="22"/>
        </w:rPr>
        <w:t>Given the Programmes limited financial and human resources, how does it intend supporting government departments implement the WPRPD?</w:t>
      </w:r>
    </w:p>
    <w:p w:rsidR="003604E0" w:rsidRDefault="003604E0" w:rsidP="008D31A4">
      <w:pPr>
        <w:rPr>
          <w:b/>
          <w:sz w:val="22"/>
          <w:szCs w:val="22"/>
        </w:rPr>
      </w:pPr>
    </w:p>
    <w:p w:rsidR="00221FF3" w:rsidRPr="00221FF3" w:rsidRDefault="00221FF3" w:rsidP="00221FF3">
      <w:pPr>
        <w:rPr>
          <w:b/>
          <w:sz w:val="22"/>
          <w:szCs w:val="22"/>
        </w:rPr>
      </w:pPr>
      <w:r w:rsidRPr="00221FF3">
        <w:rPr>
          <w:b/>
          <w:sz w:val="22"/>
          <w:szCs w:val="22"/>
        </w:rPr>
        <w:t>Other matters for consideration:</w:t>
      </w:r>
    </w:p>
    <w:p w:rsidR="003604E0" w:rsidRDefault="003604E0" w:rsidP="008D31A4">
      <w:pPr>
        <w:rPr>
          <w:b/>
          <w:sz w:val="22"/>
          <w:szCs w:val="22"/>
        </w:rPr>
      </w:pPr>
    </w:p>
    <w:p w:rsidR="00221FF3" w:rsidRPr="009C48E2" w:rsidRDefault="00221FF3" w:rsidP="00221FF3">
      <w:pPr>
        <w:spacing w:line="280" w:lineRule="exact"/>
        <w:jc w:val="both"/>
        <w:rPr>
          <w:sz w:val="22"/>
          <w:szCs w:val="22"/>
          <w:u w:val="single"/>
        </w:rPr>
      </w:pPr>
      <w:r w:rsidRPr="009C48E2">
        <w:rPr>
          <w:sz w:val="22"/>
          <w:szCs w:val="22"/>
          <w:u w:val="single"/>
        </w:rPr>
        <w:t>UNCRPD: Initial Country Report (26 November 2014)</w:t>
      </w:r>
    </w:p>
    <w:p w:rsidR="00221FF3" w:rsidRPr="00221FF3" w:rsidRDefault="00221FF3" w:rsidP="00221FF3">
      <w:pPr>
        <w:spacing w:line="280" w:lineRule="exact"/>
        <w:jc w:val="both"/>
        <w:rPr>
          <w:sz w:val="22"/>
          <w:szCs w:val="22"/>
        </w:rPr>
      </w:pPr>
    </w:p>
    <w:p w:rsidR="00221FF3" w:rsidRPr="00221FF3" w:rsidRDefault="00221FF3" w:rsidP="00221FF3">
      <w:pPr>
        <w:spacing w:line="280" w:lineRule="exact"/>
        <w:jc w:val="both"/>
        <w:rPr>
          <w:sz w:val="22"/>
          <w:szCs w:val="22"/>
        </w:rPr>
      </w:pPr>
      <w:r w:rsidRPr="00221FF3">
        <w:rPr>
          <w:sz w:val="22"/>
          <w:szCs w:val="22"/>
        </w:rPr>
        <w:t xml:space="preserve">The Initial Country Report on the UNCRPD </w:t>
      </w:r>
      <w:r w:rsidR="009C48E2">
        <w:rPr>
          <w:sz w:val="22"/>
          <w:szCs w:val="22"/>
        </w:rPr>
        <w:t xml:space="preserve">was </w:t>
      </w:r>
      <w:r w:rsidRPr="00221FF3">
        <w:rPr>
          <w:sz w:val="22"/>
          <w:szCs w:val="22"/>
        </w:rPr>
        <w:t>submitted on 26 November 2014</w:t>
      </w:r>
      <w:r w:rsidR="009C48E2">
        <w:rPr>
          <w:sz w:val="22"/>
          <w:szCs w:val="22"/>
        </w:rPr>
        <w:t xml:space="preserve"> and noted the following</w:t>
      </w:r>
      <w:r w:rsidRPr="00221FF3">
        <w:rPr>
          <w:sz w:val="22"/>
          <w:szCs w:val="22"/>
        </w:rPr>
        <w:t xml:space="preserve">, </w:t>
      </w:r>
      <w:r w:rsidR="009C48E2">
        <w:rPr>
          <w:sz w:val="22"/>
          <w:szCs w:val="22"/>
        </w:rPr>
        <w:t xml:space="preserve">that the South African </w:t>
      </w:r>
      <w:r w:rsidRPr="00221FF3">
        <w:rPr>
          <w:sz w:val="22"/>
          <w:szCs w:val="22"/>
        </w:rPr>
        <w:t>Government remained committed to accelerating its national agenda for the progressive realisation of rights of persons with disabilities by, among others:</w:t>
      </w:r>
    </w:p>
    <w:p w:rsidR="00221FF3" w:rsidRPr="00221FF3" w:rsidRDefault="00221FF3" w:rsidP="00221FF3">
      <w:pPr>
        <w:spacing w:line="280" w:lineRule="exact"/>
        <w:jc w:val="both"/>
        <w:rPr>
          <w:sz w:val="22"/>
          <w:szCs w:val="22"/>
        </w:rPr>
      </w:pPr>
    </w:p>
    <w:p w:rsidR="00221FF3" w:rsidRPr="00221FF3" w:rsidRDefault="00221FF3" w:rsidP="00221FF3">
      <w:pPr>
        <w:numPr>
          <w:ilvl w:val="0"/>
          <w:numId w:val="2"/>
        </w:numPr>
        <w:spacing w:line="280" w:lineRule="exact"/>
        <w:jc w:val="both"/>
        <w:rPr>
          <w:sz w:val="22"/>
          <w:szCs w:val="22"/>
        </w:rPr>
      </w:pPr>
      <w:r w:rsidRPr="00221FF3">
        <w:rPr>
          <w:sz w:val="22"/>
          <w:szCs w:val="22"/>
        </w:rPr>
        <w:t>Strengthening baseline information for every article of the CRPD;</w:t>
      </w:r>
    </w:p>
    <w:p w:rsidR="00221FF3" w:rsidRPr="00221FF3" w:rsidRDefault="00221FF3" w:rsidP="00221FF3">
      <w:pPr>
        <w:numPr>
          <w:ilvl w:val="0"/>
          <w:numId w:val="2"/>
        </w:numPr>
        <w:spacing w:line="280" w:lineRule="exact"/>
        <w:jc w:val="both"/>
        <w:rPr>
          <w:sz w:val="22"/>
          <w:szCs w:val="22"/>
        </w:rPr>
      </w:pPr>
      <w:r w:rsidRPr="00221FF3">
        <w:rPr>
          <w:sz w:val="22"/>
          <w:szCs w:val="22"/>
        </w:rPr>
        <w:t>Strengthening its mainstreamed legislative and policy framework;</w:t>
      </w:r>
    </w:p>
    <w:p w:rsidR="00221FF3" w:rsidRPr="00221FF3" w:rsidRDefault="00221FF3" w:rsidP="00221FF3">
      <w:pPr>
        <w:numPr>
          <w:ilvl w:val="0"/>
          <w:numId w:val="2"/>
        </w:numPr>
        <w:spacing w:line="280" w:lineRule="exact"/>
        <w:jc w:val="both"/>
        <w:rPr>
          <w:sz w:val="22"/>
          <w:szCs w:val="22"/>
        </w:rPr>
      </w:pPr>
      <w:r w:rsidRPr="00221FF3">
        <w:rPr>
          <w:sz w:val="22"/>
          <w:szCs w:val="22"/>
        </w:rPr>
        <w:t>Targeting interventions in a co-ordinated and integrated manner through transversal policy and legislation as well as monitoring mechanisms;</w:t>
      </w:r>
    </w:p>
    <w:p w:rsidR="00221FF3" w:rsidRPr="00221FF3" w:rsidRDefault="00221FF3" w:rsidP="00221FF3">
      <w:pPr>
        <w:numPr>
          <w:ilvl w:val="0"/>
          <w:numId w:val="2"/>
        </w:numPr>
        <w:spacing w:line="280" w:lineRule="exact"/>
        <w:jc w:val="both"/>
        <w:rPr>
          <w:sz w:val="22"/>
          <w:szCs w:val="22"/>
        </w:rPr>
      </w:pPr>
      <w:r w:rsidRPr="00221FF3">
        <w:rPr>
          <w:sz w:val="22"/>
          <w:szCs w:val="22"/>
        </w:rPr>
        <w:lastRenderedPageBreak/>
        <w:t>Strengthening its national disability rights machinery, including creating more enabling environments for organisations of persons with disabilities;</w:t>
      </w:r>
    </w:p>
    <w:p w:rsidR="00221FF3" w:rsidRPr="00221FF3" w:rsidRDefault="00221FF3" w:rsidP="00221FF3">
      <w:pPr>
        <w:numPr>
          <w:ilvl w:val="0"/>
          <w:numId w:val="2"/>
        </w:numPr>
        <w:spacing w:line="280" w:lineRule="exact"/>
        <w:jc w:val="both"/>
        <w:rPr>
          <w:sz w:val="22"/>
          <w:szCs w:val="22"/>
        </w:rPr>
      </w:pPr>
      <w:r w:rsidRPr="00221FF3">
        <w:rPr>
          <w:sz w:val="22"/>
          <w:szCs w:val="22"/>
        </w:rPr>
        <w:t xml:space="preserve">Strengthening accountability and monitoring through the introduction of disability rights-based indicators into the government-wide monitoring and evaluation system, and above all, </w:t>
      </w:r>
    </w:p>
    <w:p w:rsidR="00221FF3" w:rsidRPr="00221FF3" w:rsidRDefault="00221FF3" w:rsidP="00221FF3">
      <w:pPr>
        <w:numPr>
          <w:ilvl w:val="0"/>
          <w:numId w:val="2"/>
        </w:numPr>
        <w:spacing w:line="280" w:lineRule="exact"/>
        <w:jc w:val="both"/>
        <w:rPr>
          <w:sz w:val="22"/>
          <w:szCs w:val="22"/>
        </w:rPr>
      </w:pPr>
      <w:r w:rsidRPr="00221FF3">
        <w:rPr>
          <w:sz w:val="22"/>
          <w:szCs w:val="22"/>
        </w:rPr>
        <w:t>Accelerating implementation of policies and programmes that aim to provide equal access to persons with disabilities, including disability-specific programmes aimed at addressing barriers to participation.</w:t>
      </w:r>
    </w:p>
    <w:p w:rsidR="00221FF3" w:rsidRPr="00221FF3" w:rsidRDefault="00221FF3" w:rsidP="00221FF3">
      <w:pPr>
        <w:spacing w:line="280" w:lineRule="exact"/>
        <w:jc w:val="both"/>
        <w:rPr>
          <w:sz w:val="22"/>
          <w:szCs w:val="22"/>
        </w:rPr>
      </w:pPr>
    </w:p>
    <w:p w:rsidR="00221FF3" w:rsidRPr="00221FF3" w:rsidRDefault="00221FF3" w:rsidP="00221FF3">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exact"/>
        <w:jc w:val="both"/>
        <w:rPr>
          <w:b/>
          <w:sz w:val="22"/>
          <w:szCs w:val="22"/>
        </w:rPr>
      </w:pPr>
      <w:r w:rsidRPr="00221FF3">
        <w:rPr>
          <w:b/>
          <w:sz w:val="22"/>
          <w:szCs w:val="22"/>
        </w:rPr>
        <w:t>Questions for consideration</w:t>
      </w:r>
    </w:p>
    <w:p w:rsidR="009C48E2" w:rsidRDefault="009C48E2" w:rsidP="00221FF3">
      <w:pPr>
        <w:numPr>
          <w:ilvl w:val="0"/>
          <w:numId w:val="2"/>
        </w:numPr>
        <w:pBdr>
          <w:top w:val="single" w:sz="4" w:space="1" w:color="auto"/>
          <w:left w:val="single" w:sz="4" w:space="4" w:color="auto"/>
          <w:bottom w:val="single" w:sz="4" w:space="1" w:color="auto"/>
          <w:right w:val="single" w:sz="4" w:space="4" w:color="auto"/>
        </w:pBdr>
        <w:spacing w:line="280" w:lineRule="exact"/>
        <w:jc w:val="both"/>
        <w:rPr>
          <w:sz w:val="22"/>
          <w:szCs w:val="22"/>
        </w:rPr>
      </w:pPr>
      <w:r>
        <w:rPr>
          <w:sz w:val="22"/>
          <w:szCs w:val="22"/>
        </w:rPr>
        <w:t>How has Programme 5 given effect to the commitments made cited above?</w:t>
      </w:r>
    </w:p>
    <w:p w:rsidR="00221FF3" w:rsidRPr="00221FF3" w:rsidRDefault="00221FF3" w:rsidP="00221FF3">
      <w:pPr>
        <w:numPr>
          <w:ilvl w:val="0"/>
          <w:numId w:val="2"/>
        </w:numPr>
        <w:pBdr>
          <w:top w:val="single" w:sz="4" w:space="1" w:color="auto"/>
          <w:left w:val="single" w:sz="4" w:space="4" w:color="auto"/>
          <w:bottom w:val="single" w:sz="4" w:space="1" w:color="auto"/>
          <w:right w:val="single" w:sz="4" w:space="4" w:color="auto"/>
        </w:pBdr>
        <w:spacing w:line="280" w:lineRule="exact"/>
        <w:jc w:val="both"/>
        <w:rPr>
          <w:sz w:val="22"/>
          <w:szCs w:val="22"/>
        </w:rPr>
      </w:pPr>
      <w:r w:rsidRPr="00221FF3">
        <w:rPr>
          <w:sz w:val="22"/>
          <w:szCs w:val="22"/>
        </w:rPr>
        <w:t>What if any are the plans post the development of the White Paper on the Rights of Persons with Disabilities?</w:t>
      </w:r>
    </w:p>
    <w:p w:rsidR="00221FF3" w:rsidRPr="00221FF3" w:rsidRDefault="00221FF3" w:rsidP="00221FF3">
      <w:pPr>
        <w:numPr>
          <w:ilvl w:val="0"/>
          <w:numId w:val="2"/>
        </w:numPr>
        <w:pBdr>
          <w:top w:val="single" w:sz="4" w:space="1" w:color="auto"/>
          <w:left w:val="single" w:sz="4" w:space="4" w:color="auto"/>
          <w:bottom w:val="single" w:sz="4" w:space="1" w:color="auto"/>
          <w:right w:val="single" w:sz="4" w:space="4" w:color="auto"/>
        </w:pBdr>
        <w:spacing w:line="280" w:lineRule="exact"/>
        <w:jc w:val="both"/>
        <w:rPr>
          <w:sz w:val="22"/>
          <w:szCs w:val="22"/>
        </w:rPr>
      </w:pPr>
      <w:r w:rsidRPr="00221FF3">
        <w:rPr>
          <w:sz w:val="22"/>
          <w:szCs w:val="22"/>
        </w:rPr>
        <w:t>The United Nations Committee Rights of Persons with Disabilities, issued an extensive list of Concluding Observations in response to the country’ initial country report on 23 October 2018. How has the Department taken these concluding observations into consideration in the programme of activities for 2019/20?</w:t>
      </w:r>
    </w:p>
    <w:p w:rsidR="00221FF3" w:rsidRDefault="00221FF3" w:rsidP="008D31A4">
      <w:pPr>
        <w:rPr>
          <w:b/>
          <w:sz w:val="22"/>
          <w:szCs w:val="22"/>
        </w:rPr>
      </w:pPr>
    </w:p>
    <w:p w:rsidR="00221FF3" w:rsidRDefault="00221FF3" w:rsidP="008D31A4">
      <w:pPr>
        <w:rPr>
          <w:b/>
          <w:sz w:val="22"/>
          <w:szCs w:val="22"/>
        </w:rPr>
      </w:pPr>
    </w:p>
    <w:p w:rsidR="003604E0" w:rsidRPr="009C48E2" w:rsidRDefault="009C48E2" w:rsidP="008D31A4">
      <w:pPr>
        <w:rPr>
          <w:sz w:val="22"/>
          <w:szCs w:val="22"/>
          <w:u w:val="single"/>
        </w:rPr>
      </w:pPr>
      <w:r w:rsidRPr="009C48E2">
        <w:rPr>
          <w:sz w:val="22"/>
          <w:szCs w:val="22"/>
          <w:u w:val="single"/>
        </w:rPr>
        <w:t xml:space="preserve">2% Employment Equity Target </w:t>
      </w:r>
    </w:p>
    <w:p w:rsidR="003604E0" w:rsidRDefault="003604E0" w:rsidP="008D31A4">
      <w:pPr>
        <w:rPr>
          <w:b/>
          <w:sz w:val="22"/>
          <w:szCs w:val="22"/>
        </w:rPr>
      </w:pPr>
    </w:p>
    <w:p w:rsidR="009C48E2" w:rsidRPr="009C48E2" w:rsidRDefault="009C48E2" w:rsidP="009C48E2">
      <w:pPr>
        <w:spacing w:line="280" w:lineRule="exact"/>
        <w:jc w:val="both"/>
        <w:rPr>
          <w:sz w:val="22"/>
          <w:szCs w:val="22"/>
        </w:rPr>
      </w:pPr>
      <w:r w:rsidRPr="009C48E2">
        <w:rPr>
          <w:sz w:val="22"/>
          <w:szCs w:val="22"/>
        </w:rPr>
        <w:t>Progress in achieving the 2% employment target for persons with disabilities within the public sector has been dismal due to a lack of enforcement, general non-compliance and lack of awareness.</w:t>
      </w:r>
    </w:p>
    <w:p w:rsidR="003604E0" w:rsidRDefault="003604E0" w:rsidP="008D31A4">
      <w:pPr>
        <w:rPr>
          <w:b/>
          <w:sz w:val="22"/>
          <w:szCs w:val="22"/>
        </w:rPr>
      </w:pPr>
    </w:p>
    <w:p w:rsidR="003604E0" w:rsidRDefault="009C48E2" w:rsidP="009C48E2">
      <w:pPr>
        <w:pBdr>
          <w:top w:val="single" w:sz="4" w:space="1" w:color="auto"/>
          <w:left w:val="single" w:sz="4" w:space="4" w:color="auto"/>
          <w:bottom w:val="single" w:sz="4" w:space="1" w:color="auto"/>
          <w:right w:val="single" w:sz="4" w:space="4" w:color="auto"/>
        </w:pBdr>
        <w:shd w:val="clear" w:color="auto" w:fill="BFBFBF" w:themeFill="background1" w:themeFillShade="BF"/>
        <w:rPr>
          <w:b/>
          <w:sz w:val="22"/>
          <w:szCs w:val="22"/>
        </w:rPr>
      </w:pPr>
      <w:r>
        <w:rPr>
          <w:b/>
          <w:sz w:val="22"/>
          <w:szCs w:val="22"/>
        </w:rPr>
        <w:t>Question for consideration</w:t>
      </w:r>
    </w:p>
    <w:p w:rsidR="009C48E2" w:rsidRDefault="009C48E2" w:rsidP="009C48E2">
      <w:pPr>
        <w:pStyle w:val="ListParagraph"/>
        <w:numPr>
          <w:ilvl w:val="0"/>
          <w:numId w:val="31"/>
        </w:numPr>
        <w:pBdr>
          <w:top w:val="single" w:sz="4" w:space="1" w:color="auto"/>
          <w:left w:val="single" w:sz="4" w:space="4" w:color="auto"/>
          <w:bottom w:val="single" w:sz="4" w:space="1" w:color="auto"/>
          <w:right w:val="single" w:sz="4" w:space="4" w:color="auto"/>
        </w:pBdr>
        <w:rPr>
          <w:sz w:val="22"/>
          <w:szCs w:val="22"/>
        </w:rPr>
      </w:pPr>
      <w:r>
        <w:rPr>
          <w:sz w:val="22"/>
          <w:szCs w:val="22"/>
        </w:rPr>
        <w:t>What is the current status of this policy imperative?</w:t>
      </w:r>
    </w:p>
    <w:p w:rsidR="009C48E2" w:rsidRDefault="009C48E2" w:rsidP="009C48E2">
      <w:pPr>
        <w:pStyle w:val="ListParagraph"/>
        <w:numPr>
          <w:ilvl w:val="0"/>
          <w:numId w:val="31"/>
        </w:numPr>
        <w:pBdr>
          <w:top w:val="single" w:sz="4" w:space="1" w:color="auto"/>
          <w:left w:val="single" w:sz="4" w:space="4" w:color="auto"/>
          <w:bottom w:val="single" w:sz="4" w:space="1" w:color="auto"/>
          <w:right w:val="single" w:sz="4" w:space="4" w:color="auto"/>
        </w:pBdr>
        <w:rPr>
          <w:sz w:val="22"/>
          <w:szCs w:val="22"/>
        </w:rPr>
      </w:pPr>
      <w:r>
        <w:rPr>
          <w:sz w:val="22"/>
          <w:szCs w:val="22"/>
        </w:rPr>
        <w:t>Is it being monitored? If so by whom if not, why not.</w:t>
      </w:r>
    </w:p>
    <w:p w:rsidR="009C48E2" w:rsidRPr="009C48E2" w:rsidRDefault="009C48E2" w:rsidP="009C48E2">
      <w:pPr>
        <w:pStyle w:val="ListParagraph"/>
        <w:numPr>
          <w:ilvl w:val="0"/>
          <w:numId w:val="31"/>
        </w:numPr>
        <w:pBdr>
          <w:top w:val="single" w:sz="4" w:space="1" w:color="auto"/>
          <w:left w:val="single" w:sz="4" w:space="4" w:color="auto"/>
          <w:bottom w:val="single" w:sz="4" w:space="1" w:color="auto"/>
          <w:right w:val="single" w:sz="4" w:space="4" w:color="auto"/>
        </w:pBdr>
        <w:rPr>
          <w:sz w:val="22"/>
          <w:szCs w:val="22"/>
        </w:rPr>
      </w:pPr>
      <w:r w:rsidRPr="009C48E2">
        <w:rPr>
          <w:sz w:val="22"/>
          <w:szCs w:val="22"/>
        </w:rPr>
        <w:t xml:space="preserve">What if anything is being done to address the </w:t>
      </w:r>
      <w:r>
        <w:rPr>
          <w:sz w:val="22"/>
          <w:szCs w:val="22"/>
        </w:rPr>
        <w:t>non-compliance with the 2% target?</w:t>
      </w:r>
    </w:p>
    <w:p w:rsidR="003604E0" w:rsidRDefault="003604E0" w:rsidP="008D31A4">
      <w:pPr>
        <w:rPr>
          <w:b/>
          <w:sz w:val="22"/>
          <w:szCs w:val="22"/>
        </w:rPr>
      </w:pPr>
    </w:p>
    <w:p w:rsidR="003604E0" w:rsidRDefault="003604E0" w:rsidP="008D31A4">
      <w:pPr>
        <w:rPr>
          <w:b/>
          <w:sz w:val="22"/>
          <w:szCs w:val="22"/>
        </w:rPr>
      </w:pPr>
    </w:p>
    <w:p w:rsidR="003604E0" w:rsidRDefault="003604E0" w:rsidP="008D31A4">
      <w:pPr>
        <w:rPr>
          <w:b/>
          <w:sz w:val="22"/>
          <w:szCs w:val="22"/>
        </w:rPr>
      </w:pPr>
    </w:p>
    <w:p w:rsidR="003604E0" w:rsidRDefault="003604E0" w:rsidP="008D31A4">
      <w:pPr>
        <w:rPr>
          <w:b/>
          <w:sz w:val="22"/>
          <w:szCs w:val="22"/>
        </w:rPr>
      </w:pPr>
    </w:p>
    <w:p w:rsidR="003604E0" w:rsidRDefault="003604E0" w:rsidP="008D31A4">
      <w:pPr>
        <w:rPr>
          <w:b/>
          <w:sz w:val="22"/>
          <w:szCs w:val="22"/>
        </w:rPr>
      </w:pPr>
    </w:p>
    <w:p w:rsidR="003604E0" w:rsidRDefault="003604E0" w:rsidP="008D31A4">
      <w:pPr>
        <w:rPr>
          <w:b/>
          <w:sz w:val="22"/>
          <w:szCs w:val="22"/>
        </w:rPr>
      </w:pPr>
    </w:p>
    <w:p w:rsidR="009A7655" w:rsidRDefault="009A7655" w:rsidP="008D31A4">
      <w:pPr>
        <w:rPr>
          <w:b/>
          <w:sz w:val="22"/>
          <w:szCs w:val="22"/>
        </w:rPr>
      </w:pPr>
    </w:p>
    <w:p w:rsidR="009A7655" w:rsidRDefault="009A7655" w:rsidP="008D31A4">
      <w:pPr>
        <w:rPr>
          <w:b/>
          <w:sz w:val="22"/>
          <w:szCs w:val="22"/>
        </w:rPr>
        <w:sectPr w:rsidR="009A7655" w:rsidSect="003604E0">
          <w:pgSz w:w="16838" w:h="11906" w:orient="landscape" w:code="9"/>
          <w:pgMar w:top="1134" w:right="1191" w:bottom="1134" w:left="2336" w:header="1134" w:footer="680" w:gutter="0"/>
          <w:cols w:space="708"/>
          <w:titlePg/>
          <w:docGrid w:linePitch="360"/>
        </w:sectPr>
      </w:pPr>
    </w:p>
    <w:p w:rsidR="00EA5DD2" w:rsidRPr="00A67B72" w:rsidRDefault="00A67B72" w:rsidP="00A67B72">
      <w:pPr>
        <w:jc w:val="center"/>
        <w:rPr>
          <w:b/>
          <w:sz w:val="22"/>
          <w:szCs w:val="22"/>
        </w:rPr>
      </w:pPr>
      <w:r w:rsidRPr="00A67B72">
        <w:rPr>
          <w:b/>
          <w:sz w:val="22"/>
          <w:szCs w:val="22"/>
        </w:rPr>
        <w:lastRenderedPageBreak/>
        <w:t>Appendix A</w:t>
      </w:r>
    </w:p>
    <w:p w:rsidR="00A67B72" w:rsidRDefault="00A67B72" w:rsidP="00AA5BC8">
      <w:pPr>
        <w:rPr>
          <w:sz w:val="22"/>
          <w:szCs w:val="22"/>
        </w:rPr>
      </w:pPr>
    </w:p>
    <w:p w:rsidR="008D7593" w:rsidRPr="008D7593" w:rsidRDefault="008D7593" w:rsidP="00E37DF5">
      <w:pPr>
        <w:jc w:val="center"/>
        <w:rPr>
          <w:b/>
          <w:sz w:val="22"/>
          <w:szCs w:val="22"/>
        </w:rPr>
      </w:pPr>
      <w:r w:rsidRPr="008D7593">
        <w:rPr>
          <w:b/>
          <w:sz w:val="22"/>
          <w:szCs w:val="22"/>
        </w:rPr>
        <w:t>BRIEFING NOTE</w:t>
      </w:r>
    </w:p>
    <w:p w:rsidR="008D7593" w:rsidRPr="008D7593" w:rsidRDefault="008D7593" w:rsidP="008D7593">
      <w:pPr>
        <w:rPr>
          <w:b/>
          <w:sz w:val="22"/>
          <w:szCs w:val="22"/>
        </w:rPr>
      </w:pPr>
    </w:p>
    <w:p w:rsidR="008D7593" w:rsidRPr="008D7593" w:rsidRDefault="008D7593" w:rsidP="008D7593">
      <w:pPr>
        <w:rPr>
          <w:sz w:val="22"/>
          <w:szCs w:val="22"/>
        </w:rPr>
      </w:pPr>
      <w:r w:rsidRPr="008D7593">
        <w:rPr>
          <w:b/>
          <w:sz w:val="22"/>
          <w:szCs w:val="22"/>
        </w:rPr>
        <w:t>To:</w:t>
      </w:r>
      <w:r w:rsidRPr="008D7593">
        <w:rPr>
          <w:b/>
          <w:sz w:val="22"/>
          <w:szCs w:val="22"/>
        </w:rPr>
        <w:tab/>
      </w:r>
      <w:r w:rsidRPr="008D7593">
        <w:rPr>
          <w:b/>
          <w:sz w:val="22"/>
          <w:szCs w:val="22"/>
        </w:rPr>
        <w:tab/>
      </w:r>
      <w:r w:rsidRPr="008D7593">
        <w:rPr>
          <w:sz w:val="22"/>
          <w:szCs w:val="22"/>
        </w:rPr>
        <w:t>Department of Women, Youth and Persons with Disabilities</w:t>
      </w:r>
      <w:r w:rsidRPr="008D7593">
        <w:rPr>
          <w:b/>
          <w:sz w:val="22"/>
          <w:szCs w:val="22"/>
        </w:rPr>
        <w:t xml:space="preserve"> </w:t>
      </w:r>
    </w:p>
    <w:p w:rsidR="008D7593" w:rsidRPr="008D7593" w:rsidRDefault="008D7593" w:rsidP="00E37DF5">
      <w:pPr>
        <w:ind w:left="1440" w:hanging="1440"/>
        <w:rPr>
          <w:b/>
          <w:sz w:val="22"/>
          <w:szCs w:val="22"/>
        </w:rPr>
      </w:pPr>
      <w:r w:rsidRPr="008D7593">
        <w:rPr>
          <w:b/>
          <w:sz w:val="22"/>
          <w:szCs w:val="22"/>
        </w:rPr>
        <w:t xml:space="preserve">RE: </w:t>
      </w:r>
      <w:r w:rsidRPr="008D7593">
        <w:rPr>
          <w:b/>
          <w:sz w:val="22"/>
          <w:szCs w:val="22"/>
        </w:rPr>
        <w:tab/>
      </w:r>
      <w:r w:rsidRPr="008D7593">
        <w:rPr>
          <w:b/>
          <w:sz w:val="22"/>
          <w:szCs w:val="22"/>
          <w:u w:val="single"/>
        </w:rPr>
        <w:t>Briefing to PC on Women, Youth and Persons with Disabilities re Draft Strategic Plan 2020-2025 and updated APP 2019/20</w:t>
      </w:r>
    </w:p>
    <w:p w:rsidR="008D7593" w:rsidRPr="008D7593" w:rsidRDefault="008D7593" w:rsidP="008D7593">
      <w:pPr>
        <w:rPr>
          <w:sz w:val="22"/>
          <w:szCs w:val="22"/>
        </w:rPr>
      </w:pPr>
      <w:r w:rsidRPr="008D7593">
        <w:rPr>
          <w:b/>
          <w:sz w:val="22"/>
          <w:szCs w:val="22"/>
        </w:rPr>
        <w:t>Date</w:t>
      </w:r>
      <w:r w:rsidRPr="008D7593">
        <w:rPr>
          <w:sz w:val="22"/>
          <w:szCs w:val="22"/>
        </w:rPr>
        <w:t xml:space="preserve">: </w:t>
      </w:r>
      <w:r w:rsidRPr="008D7593">
        <w:rPr>
          <w:sz w:val="22"/>
          <w:szCs w:val="22"/>
        </w:rPr>
        <w:tab/>
      </w:r>
      <w:r w:rsidRPr="008D7593">
        <w:rPr>
          <w:sz w:val="22"/>
          <w:szCs w:val="22"/>
        </w:rPr>
        <w:tab/>
        <w:t xml:space="preserve">31 July 2019 </w:t>
      </w:r>
    </w:p>
    <w:p w:rsidR="008D7593" w:rsidRPr="008D7593" w:rsidRDefault="008D7593" w:rsidP="008D7593">
      <w:pPr>
        <w:rPr>
          <w:sz w:val="22"/>
          <w:szCs w:val="22"/>
        </w:rPr>
      </w:pPr>
    </w:p>
    <w:p w:rsidR="008D7593" w:rsidRPr="008D7593" w:rsidRDefault="008D7593" w:rsidP="008D7593">
      <w:pPr>
        <w:rPr>
          <w:sz w:val="22"/>
          <w:szCs w:val="22"/>
        </w:rPr>
      </w:pPr>
      <w:r w:rsidRPr="008D7593">
        <w:rPr>
          <w:sz w:val="22"/>
          <w:szCs w:val="22"/>
        </w:rPr>
        <w:t>In preparation for the briefing to the Committee on the Department’s Draft Strategic Plan, the briefing must cover (</w:t>
      </w:r>
      <w:r w:rsidRPr="008D7593">
        <w:rPr>
          <w:sz w:val="22"/>
          <w:szCs w:val="22"/>
          <w:u w:val="single"/>
        </w:rPr>
        <w:t>but not limited to</w:t>
      </w:r>
      <w:r w:rsidRPr="008D7593">
        <w:rPr>
          <w:sz w:val="22"/>
          <w:szCs w:val="22"/>
        </w:rPr>
        <w:t>):</w:t>
      </w:r>
    </w:p>
    <w:p w:rsidR="008D7593" w:rsidRPr="008D7593" w:rsidRDefault="008D7593" w:rsidP="008D7593">
      <w:pPr>
        <w:rPr>
          <w:sz w:val="22"/>
          <w:szCs w:val="22"/>
        </w:rPr>
      </w:pPr>
    </w:p>
    <w:p w:rsidR="008D7593" w:rsidRPr="008D7593" w:rsidRDefault="008D7593" w:rsidP="00210103">
      <w:pPr>
        <w:numPr>
          <w:ilvl w:val="0"/>
          <w:numId w:val="19"/>
        </w:numPr>
        <w:ind w:left="426"/>
        <w:rPr>
          <w:b/>
          <w:sz w:val="22"/>
          <w:szCs w:val="22"/>
        </w:rPr>
      </w:pPr>
      <w:r w:rsidRPr="008D7593">
        <w:rPr>
          <w:b/>
          <w:sz w:val="22"/>
          <w:szCs w:val="22"/>
        </w:rPr>
        <w:t>Transitional Arrangements</w:t>
      </w:r>
    </w:p>
    <w:p w:rsidR="008D7593" w:rsidRPr="008D7593" w:rsidRDefault="008D7593" w:rsidP="00210103">
      <w:pPr>
        <w:numPr>
          <w:ilvl w:val="0"/>
          <w:numId w:val="18"/>
        </w:numPr>
        <w:rPr>
          <w:sz w:val="22"/>
          <w:szCs w:val="22"/>
        </w:rPr>
      </w:pPr>
      <w:r w:rsidRPr="008D7593">
        <w:rPr>
          <w:sz w:val="22"/>
          <w:szCs w:val="22"/>
        </w:rPr>
        <w:t>Clearly outline the process to deal with the inclusion of youth and disability related structures from the Department of Planning Monitoring and Evaluation, the National Youth Development Agency and Social Development respectively. (This should include transfer of funds, human resources, assets etc.)</w:t>
      </w:r>
    </w:p>
    <w:p w:rsidR="008D7593" w:rsidRPr="008D7593" w:rsidRDefault="008D7593" w:rsidP="00210103">
      <w:pPr>
        <w:numPr>
          <w:ilvl w:val="0"/>
          <w:numId w:val="18"/>
        </w:numPr>
        <w:rPr>
          <w:sz w:val="22"/>
          <w:szCs w:val="22"/>
        </w:rPr>
      </w:pPr>
      <w:r w:rsidRPr="008D7593">
        <w:rPr>
          <w:sz w:val="22"/>
          <w:szCs w:val="22"/>
        </w:rPr>
        <w:t>Indicate what the plan is to house all staff in terms office space</w:t>
      </w:r>
    </w:p>
    <w:p w:rsidR="008D7593" w:rsidRPr="008D7593" w:rsidRDefault="008D7593" w:rsidP="00210103">
      <w:pPr>
        <w:numPr>
          <w:ilvl w:val="0"/>
          <w:numId w:val="18"/>
        </w:numPr>
        <w:rPr>
          <w:sz w:val="22"/>
          <w:szCs w:val="22"/>
        </w:rPr>
      </w:pPr>
      <w:r w:rsidRPr="008D7593">
        <w:rPr>
          <w:sz w:val="22"/>
          <w:szCs w:val="22"/>
        </w:rPr>
        <w:t>Provide clear time frames as to when the process will be concluded.</w:t>
      </w:r>
    </w:p>
    <w:p w:rsidR="008D7593" w:rsidRPr="008D7593" w:rsidRDefault="008D7593" w:rsidP="008D7593">
      <w:pPr>
        <w:rPr>
          <w:sz w:val="22"/>
          <w:szCs w:val="22"/>
        </w:rPr>
      </w:pPr>
    </w:p>
    <w:p w:rsidR="008D7593" w:rsidRPr="008D7593" w:rsidRDefault="008D7593" w:rsidP="008D7593">
      <w:pPr>
        <w:rPr>
          <w:sz w:val="22"/>
          <w:szCs w:val="22"/>
        </w:rPr>
      </w:pPr>
    </w:p>
    <w:p w:rsidR="008D7593" w:rsidRPr="008D7593" w:rsidRDefault="008D7593" w:rsidP="00210103">
      <w:pPr>
        <w:numPr>
          <w:ilvl w:val="0"/>
          <w:numId w:val="19"/>
        </w:numPr>
        <w:ind w:left="426"/>
        <w:rPr>
          <w:b/>
          <w:sz w:val="22"/>
          <w:szCs w:val="22"/>
        </w:rPr>
      </w:pPr>
      <w:r w:rsidRPr="008D7593">
        <w:rPr>
          <w:b/>
          <w:sz w:val="22"/>
          <w:szCs w:val="22"/>
        </w:rPr>
        <w:t>Draft Strategic Plan 2020-2025</w:t>
      </w:r>
    </w:p>
    <w:p w:rsidR="008D7593" w:rsidRPr="008D7593" w:rsidRDefault="008D7593" w:rsidP="008D7593">
      <w:pPr>
        <w:rPr>
          <w:sz w:val="22"/>
          <w:szCs w:val="22"/>
        </w:rPr>
      </w:pPr>
      <w:r w:rsidRPr="008D7593">
        <w:rPr>
          <w:sz w:val="22"/>
          <w:szCs w:val="22"/>
        </w:rPr>
        <w:t>The briefing on the draft Strategic Plan should include but not be limited to the following:</w:t>
      </w:r>
    </w:p>
    <w:p w:rsidR="008D7593" w:rsidRPr="008D7593" w:rsidRDefault="008D7593" w:rsidP="008D7593">
      <w:pPr>
        <w:rPr>
          <w:sz w:val="22"/>
          <w:szCs w:val="22"/>
        </w:rPr>
      </w:pPr>
    </w:p>
    <w:p w:rsidR="008D7593" w:rsidRPr="008D7593" w:rsidRDefault="008D7593" w:rsidP="008D7593">
      <w:pPr>
        <w:rPr>
          <w:b/>
          <w:sz w:val="22"/>
          <w:szCs w:val="22"/>
        </w:rPr>
      </w:pPr>
      <w:r w:rsidRPr="008D7593">
        <w:rPr>
          <w:b/>
          <w:sz w:val="22"/>
          <w:szCs w:val="22"/>
        </w:rPr>
        <w:t>Non-financial Matters</w:t>
      </w:r>
    </w:p>
    <w:p w:rsidR="008D7593" w:rsidRPr="008D7593" w:rsidRDefault="008D7593" w:rsidP="00210103">
      <w:pPr>
        <w:numPr>
          <w:ilvl w:val="0"/>
          <w:numId w:val="20"/>
        </w:numPr>
        <w:rPr>
          <w:sz w:val="22"/>
          <w:szCs w:val="22"/>
        </w:rPr>
      </w:pPr>
      <w:r w:rsidRPr="008D7593">
        <w:rPr>
          <w:sz w:val="22"/>
          <w:szCs w:val="22"/>
        </w:rPr>
        <w:t>Indicate mandate, vision and mission of the new Department</w:t>
      </w:r>
    </w:p>
    <w:p w:rsidR="008D7593" w:rsidRPr="008D7593" w:rsidRDefault="008D7593" w:rsidP="00210103">
      <w:pPr>
        <w:numPr>
          <w:ilvl w:val="0"/>
          <w:numId w:val="20"/>
        </w:numPr>
        <w:rPr>
          <w:sz w:val="22"/>
          <w:szCs w:val="22"/>
        </w:rPr>
      </w:pPr>
      <w:r w:rsidRPr="008D7593">
        <w:rPr>
          <w:sz w:val="22"/>
          <w:szCs w:val="22"/>
        </w:rPr>
        <w:t>What is the Department’s Strategic focus?</w:t>
      </w:r>
    </w:p>
    <w:p w:rsidR="008D7593" w:rsidRPr="008D7593" w:rsidRDefault="008D7593" w:rsidP="00210103">
      <w:pPr>
        <w:numPr>
          <w:ilvl w:val="0"/>
          <w:numId w:val="20"/>
        </w:numPr>
        <w:rPr>
          <w:sz w:val="22"/>
          <w:szCs w:val="22"/>
        </w:rPr>
      </w:pPr>
      <w:r w:rsidRPr="008D7593">
        <w:rPr>
          <w:sz w:val="22"/>
          <w:szCs w:val="22"/>
        </w:rPr>
        <w:t>Indicate how the Department has factored the relevant Government Priorities, State of the Nation Address (2019), Sustainable Development Goals, Agenda 2063 and other key policy and legislative provisions into the development of the draft Strategic Plan for the next 5 years</w:t>
      </w:r>
    </w:p>
    <w:p w:rsidR="008D7593" w:rsidRPr="008D7593" w:rsidRDefault="008D7593" w:rsidP="00210103">
      <w:pPr>
        <w:numPr>
          <w:ilvl w:val="0"/>
          <w:numId w:val="20"/>
        </w:numPr>
        <w:rPr>
          <w:sz w:val="22"/>
          <w:szCs w:val="22"/>
        </w:rPr>
      </w:pPr>
      <w:r w:rsidRPr="008D7593">
        <w:rPr>
          <w:sz w:val="22"/>
          <w:szCs w:val="22"/>
        </w:rPr>
        <w:t>Indicate how the Department has taken into consideration if at all the BRRRs of the 5</w:t>
      </w:r>
      <w:r w:rsidRPr="008D7593">
        <w:rPr>
          <w:sz w:val="22"/>
          <w:szCs w:val="22"/>
          <w:vertAlign w:val="superscript"/>
        </w:rPr>
        <w:t>th</w:t>
      </w:r>
      <w:r w:rsidRPr="008D7593">
        <w:rPr>
          <w:sz w:val="22"/>
          <w:szCs w:val="22"/>
        </w:rPr>
        <w:t xml:space="preserve"> </w:t>
      </w:r>
      <w:bookmarkStart w:id="0" w:name="_GoBack"/>
      <w:bookmarkEnd w:id="0"/>
      <w:r w:rsidRPr="008D7593">
        <w:rPr>
          <w:sz w:val="22"/>
          <w:szCs w:val="22"/>
        </w:rPr>
        <w:t>Parliament of the Portfolio Committee on Women, Public Service and Administration and Social Development in developing the draft Strategic Plan.</w:t>
      </w:r>
    </w:p>
    <w:p w:rsidR="008D7593" w:rsidRPr="008D7593" w:rsidRDefault="008D7593" w:rsidP="00210103">
      <w:pPr>
        <w:numPr>
          <w:ilvl w:val="0"/>
          <w:numId w:val="20"/>
        </w:numPr>
        <w:rPr>
          <w:sz w:val="22"/>
          <w:szCs w:val="22"/>
        </w:rPr>
      </w:pPr>
      <w:r w:rsidRPr="008D7593">
        <w:rPr>
          <w:sz w:val="22"/>
          <w:szCs w:val="22"/>
        </w:rPr>
        <w:t>HR: Outline in detail the Department’s organogram and update on the process from DPSA in terms of what has been signed off and approved w.r.t funded and unfunded posts.</w:t>
      </w:r>
    </w:p>
    <w:p w:rsidR="008D7593" w:rsidRPr="008D7593" w:rsidRDefault="008D7593" w:rsidP="00210103">
      <w:pPr>
        <w:numPr>
          <w:ilvl w:val="0"/>
          <w:numId w:val="20"/>
        </w:numPr>
        <w:rPr>
          <w:sz w:val="22"/>
          <w:szCs w:val="22"/>
        </w:rPr>
      </w:pPr>
      <w:r w:rsidRPr="008D7593">
        <w:rPr>
          <w:sz w:val="22"/>
          <w:szCs w:val="22"/>
        </w:rPr>
        <w:t>Governance: Outline governance structure within the Department</w:t>
      </w:r>
    </w:p>
    <w:p w:rsidR="008D7593" w:rsidRPr="008D7593" w:rsidRDefault="008D7593" w:rsidP="00210103">
      <w:pPr>
        <w:numPr>
          <w:ilvl w:val="0"/>
          <w:numId w:val="20"/>
        </w:numPr>
        <w:rPr>
          <w:sz w:val="22"/>
          <w:szCs w:val="22"/>
        </w:rPr>
      </w:pPr>
      <w:r w:rsidRPr="008D7593">
        <w:rPr>
          <w:sz w:val="22"/>
          <w:szCs w:val="22"/>
        </w:rPr>
        <w:t>Indicate link between draft Strategic Plan and APP</w:t>
      </w:r>
    </w:p>
    <w:p w:rsidR="008D7593" w:rsidRPr="008D7593" w:rsidRDefault="008D7593" w:rsidP="00210103">
      <w:pPr>
        <w:numPr>
          <w:ilvl w:val="0"/>
          <w:numId w:val="20"/>
        </w:numPr>
        <w:rPr>
          <w:sz w:val="22"/>
          <w:szCs w:val="22"/>
        </w:rPr>
      </w:pPr>
      <w:r w:rsidRPr="008D7593">
        <w:rPr>
          <w:sz w:val="22"/>
          <w:szCs w:val="22"/>
        </w:rPr>
        <w:t>Indicate how programmes and sub-programmes are interlinked particularly with youth and disability to ensure coordination, effectiveness, efficiency, optimal use of resources and to avoid duplication of work undertaken</w:t>
      </w:r>
    </w:p>
    <w:p w:rsidR="008D7593" w:rsidRPr="008D7593" w:rsidRDefault="008D7593" w:rsidP="00210103">
      <w:pPr>
        <w:numPr>
          <w:ilvl w:val="0"/>
          <w:numId w:val="20"/>
        </w:numPr>
        <w:rPr>
          <w:sz w:val="22"/>
          <w:szCs w:val="22"/>
        </w:rPr>
      </w:pPr>
      <w:r w:rsidRPr="008D7593">
        <w:rPr>
          <w:sz w:val="22"/>
          <w:szCs w:val="22"/>
          <w:lang w:val="en-GB"/>
        </w:rPr>
        <w:t>Provide break down of international activities over the next 5 years per programme.</w:t>
      </w:r>
    </w:p>
    <w:p w:rsidR="008D7593" w:rsidRPr="008D7593" w:rsidRDefault="008D7593" w:rsidP="008D7593">
      <w:pPr>
        <w:rPr>
          <w:sz w:val="22"/>
          <w:szCs w:val="22"/>
        </w:rPr>
      </w:pPr>
    </w:p>
    <w:p w:rsidR="008D7593" w:rsidRPr="008D7593" w:rsidRDefault="008D7593" w:rsidP="008D7593">
      <w:pPr>
        <w:rPr>
          <w:b/>
          <w:sz w:val="22"/>
          <w:szCs w:val="22"/>
        </w:rPr>
      </w:pPr>
      <w:r w:rsidRPr="008D7593">
        <w:rPr>
          <w:b/>
          <w:sz w:val="22"/>
          <w:szCs w:val="22"/>
        </w:rPr>
        <w:t>Financial Matters</w:t>
      </w:r>
    </w:p>
    <w:p w:rsidR="008D7593" w:rsidRPr="008D7593" w:rsidRDefault="008D7593" w:rsidP="00210103">
      <w:pPr>
        <w:numPr>
          <w:ilvl w:val="0"/>
          <w:numId w:val="21"/>
        </w:numPr>
        <w:rPr>
          <w:sz w:val="22"/>
          <w:szCs w:val="22"/>
        </w:rPr>
      </w:pPr>
      <w:r w:rsidRPr="008D7593">
        <w:rPr>
          <w:sz w:val="22"/>
          <w:szCs w:val="22"/>
        </w:rPr>
        <w:t>What measures have been put in place to contain costs with the merger of youth and disability structures into the Department?</w:t>
      </w:r>
    </w:p>
    <w:p w:rsidR="008D7593" w:rsidRPr="008D7593" w:rsidRDefault="008D7593" w:rsidP="00210103">
      <w:pPr>
        <w:numPr>
          <w:ilvl w:val="0"/>
          <w:numId w:val="21"/>
        </w:numPr>
        <w:rPr>
          <w:sz w:val="22"/>
          <w:szCs w:val="22"/>
        </w:rPr>
      </w:pPr>
      <w:r w:rsidRPr="008D7593">
        <w:rPr>
          <w:sz w:val="22"/>
          <w:szCs w:val="22"/>
        </w:rPr>
        <w:t xml:space="preserve">How did the Department derive at a budget forecast for the next 5 years? Were Strategic Objectives and targets costed? If not, why not. If yes, provide financial breakdown per programme i.e. resource considerations </w:t>
      </w:r>
    </w:p>
    <w:p w:rsidR="008D7593" w:rsidRPr="008D7593" w:rsidRDefault="008D7593" w:rsidP="00210103">
      <w:pPr>
        <w:numPr>
          <w:ilvl w:val="0"/>
          <w:numId w:val="21"/>
        </w:numPr>
        <w:rPr>
          <w:sz w:val="22"/>
          <w:szCs w:val="22"/>
        </w:rPr>
      </w:pPr>
      <w:r w:rsidRPr="008D7593">
        <w:rPr>
          <w:sz w:val="22"/>
          <w:szCs w:val="22"/>
        </w:rPr>
        <w:lastRenderedPageBreak/>
        <w:t>Office and Accommodation: Outline forecast for office space – will the department be renting if so where and for how long?</w:t>
      </w:r>
    </w:p>
    <w:p w:rsidR="008D7593" w:rsidRPr="008D7593" w:rsidRDefault="008D7593" w:rsidP="00210103">
      <w:pPr>
        <w:numPr>
          <w:ilvl w:val="0"/>
          <w:numId w:val="21"/>
        </w:numPr>
        <w:rPr>
          <w:sz w:val="22"/>
          <w:szCs w:val="22"/>
        </w:rPr>
      </w:pPr>
      <w:r w:rsidRPr="008D7593">
        <w:rPr>
          <w:sz w:val="22"/>
          <w:szCs w:val="22"/>
        </w:rPr>
        <w:t>Cost of Employment (CoE): Provide total CoE for the entire department and breakdown per programme</w:t>
      </w:r>
    </w:p>
    <w:p w:rsidR="008D7593" w:rsidRPr="008D7593" w:rsidRDefault="008D7593" w:rsidP="00210103">
      <w:pPr>
        <w:numPr>
          <w:ilvl w:val="0"/>
          <w:numId w:val="21"/>
        </w:numPr>
        <w:rPr>
          <w:sz w:val="22"/>
          <w:szCs w:val="22"/>
        </w:rPr>
      </w:pPr>
      <w:r w:rsidRPr="008D7593">
        <w:rPr>
          <w:sz w:val="22"/>
          <w:szCs w:val="22"/>
        </w:rPr>
        <w:t>Consultants: Provide financial forecast of the use of consultants. Indicate clearly per programme when the services of consultants will be procured, the purpose and duration.</w:t>
      </w:r>
    </w:p>
    <w:p w:rsidR="008D7593" w:rsidRPr="008D7593" w:rsidRDefault="008D7593" w:rsidP="00210103">
      <w:pPr>
        <w:numPr>
          <w:ilvl w:val="0"/>
          <w:numId w:val="21"/>
        </w:numPr>
        <w:rPr>
          <w:sz w:val="22"/>
          <w:szCs w:val="22"/>
        </w:rPr>
      </w:pPr>
      <w:r w:rsidRPr="008D7593">
        <w:rPr>
          <w:sz w:val="22"/>
          <w:szCs w:val="22"/>
        </w:rPr>
        <w:t>Events/campaigns: Provide detailed outline of events/campaigns the Department intends hosting over the next 5 years along with a financial forecast for each initiative (estimated cost and what this entails), intended number of beneficiaries to be targeted, location of initiative, purpose and expected outcomes and how these will be monitored and evaluated</w:t>
      </w:r>
    </w:p>
    <w:p w:rsidR="008D7593" w:rsidRPr="008D7593" w:rsidRDefault="008D7593" w:rsidP="00210103">
      <w:pPr>
        <w:numPr>
          <w:ilvl w:val="0"/>
          <w:numId w:val="21"/>
        </w:numPr>
        <w:rPr>
          <w:sz w:val="22"/>
          <w:szCs w:val="22"/>
        </w:rPr>
      </w:pPr>
      <w:r w:rsidRPr="008D7593">
        <w:rPr>
          <w:sz w:val="22"/>
          <w:szCs w:val="22"/>
        </w:rPr>
        <w:t>International activities:</w:t>
      </w:r>
      <w:r w:rsidRPr="008D7593">
        <w:rPr>
          <w:sz w:val="22"/>
          <w:szCs w:val="22"/>
          <w:lang w:val="en-GB"/>
        </w:rPr>
        <w:t xml:space="preserve"> Provide break down of international activities over the next 5 years, size of delegation, estimated cost per trip (breakdown of costs), purpose and expected outcomes and how these will be monitored and evaluated</w:t>
      </w:r>
    </w:p>
    <w:p w:rsidR="008D7593" w:rsidRPr="008D7593" w:rsidRDefault="008D7593" w:rsidP="008D7593">
      <w:pPr>
        <w:rPr>
          <w:sz w:val="22"/>
          <w:szCs w:val="22"/>
        </w:rPr>
      </w:pPr>
    </w:p>
    <w:p w:rsidR="008D7593" w:rsidRPr="008D7593" w:rsidRDefault="008D7593" w:rsidP="008D7593">
      <w:pPr>
        <w:rPr>
          <w:sz w:val="22"/>
          <w:szCs w:val="22"/>
        </w:rPr>
      </w:pPr>
    </w:p>
    <w:p w:rsidR="008D7593" w:rsidRPr="008D7593" w:rsidRDefault="008D7593" w:rsidP="00210103">
      <w:pPr>
        <w:numPr>
          <w:ilvl w:val="0"/>
          <w:numId w:val="19"/>
        </w:numPr>
        <w:ind w:left="426"/>
        <w:rPr>
          <w:b/>
          <w:sz w:val="22"/>
          <w:szCs w:val="22"/>
        </w:rPr>
      </w:pPr>
      <w:r w:rsidRPr="008D7593">
        <w:rPr>
          <w:b/>
          <w:sz w:val="22"/>
          <w:szCs w:val="22"/>
        </w:rPr>
        <w:t>Updated APP 2019/20</w:t>
      </w:r>
    </w:p>
    <w:p w:rsidR="008D7593" w:rsidRPr="008D7593" w:rsidRDefault="008D7593" w:rsidP="008D7593">
      <w:pPr>
        <w:rPr>
          <w:sz w:val="22"/>
          <w:szCs w:val="22"/>
        </w:rPr>
      </w:pPr>
    </w:p>
    <w:p w:rsidR="008D7593" w:rsidRPr="008D7593" w:rsidRDefault="008D7593" w:rsidP="008D7593">
      <w:pPr>
        <w:rPr>
          <w:sz w:val="22"/>
          <w:szCs w:val="22"/>
        </w:rPr>
      </w:pPr>
      <w:r w:rsidRPr="008D7593">
        <w:rPr>
          <w:sz w:val="22"/>
          <w:szCs w:val="22"/>
        </w:rPr>
        <w:t>The briefing on the updated Annual Performance Plan 2019/20 should include but not be limited to the following:</w:t>
      </w:r>
    </w:p>
    <w:p w:rsidR="008D7593" w:rsidRPr="008D7593" w:rsidRDefault="008D7593" w:rsidP="008D7593">
      <w:pPr>
        <w:rPr>
          <w:sz w:val="22"/>
          <w:szCs w:val="22"/>
        </w:rPr>
      </w:pPr>
    </w:p>
    <w:p w:rsidR="008D7593" w:rsidRPr="008D7593" w:rsidRDefault="008D7593" w:rsidP="008D7593">
      <w:pPr>
        <w:rPr>
          <w:b/>
          <w:sz w:val="22"/>
          <w:szCs w:val="22"/>
        </w:rPr>
      </w:pPr>
      <w:r w:rsidRPr="008D7593">
        <w:rPr>
          <w:b/>
          <w:sz w:val="22"/>
          <w:szCs w:val="22"/>
        </w:rPr>
        <w:t>Non-financial Matters</w:t>
      </w:r>
    </w:p>
    <w:p w:rsidR="008D7593" w:rsidRPr="008D7593" w:rsidRDefault="008D7593" w:rsidP="00210103">
      <w:pPr>
        <w:numPr>
          <w:ilvl w:val="0"/>
          <w:numId w:val="20"/>
        </w:numPr>
        <w:rPr>
          <w:sz w:val="22"/>
          <w:szCs w:val="22"/>
        </w:rPr>
      </w:pPr>
      <w:r w:rsidRPr="008D7593">
        <w:rPr>
          <w:sz w:val="22"/>
          <w:szCs w:val="22"/>
        </w:rPr>
        <w:t>Indicate key priorities for 2019/20</w:t>
      </w:r>
    </w:p>
    <w:p w:rsidR="008D7593" w:rsidRPr="008D7593" w:rsidRDefault="008D7593" w:rsidP="00210103">
      <w:pPr>
        <w:numPr>
          <w:ilvl w:val="0"/>
          <w:numId w:val="20"/>
        </w:numPr>
        <w:rPr>
          <w:sz w:val="22"/>
          <w:szCs w:val="22"/>
        </w:rPr>
      </w:pPr>
      <w:r w:rsidRPr="008D7593">
        <w:rPr>
          <w:sz w:val="22"/>
          <w:szCs w:val="22"/>
        </w:rPr>
        <w:t>What is the Department’s Strategic focus?</w:t>
      </w:r>
    </w:p>
    <w:p w:rsidR="008D7593" w:rsidRPr="008D7593" w:rsidRDefault="008D7593" w:rsidP="00210103">
      <w:pPr>
        <w:numPr>
          <w:ilvl w:val="0"/>
          <w:numId w:val="20"/>
        </w:numPr>
        <w:rPr>
          <w:sz w:val="22"/>
          <w:szCs w:val="22"/>
        </w:rPr>
      </w:pPr>
      <w:r w:rsidRPr="008D7593">
        <w:rPr>
          <w:sz w:val="22"/>
          <w:szCs w:val="22"/>
        </w:rPr>
        <w:t>Indicate how the Department has factored the relevant Government Priorities, State of the Nation Address (2019), Sustainable Development Goals, Agenda 2063 and other key policy and legislative provisions into the development of the updated Annual Performance Plan for 2019/20</w:t>
      </w:r>
    </w:p>
    <w:p w:rsidR="008D7593" w:rsidRPr="008D7593" w:rsidRDefault="008D7593" w:rsidP="00210103">
      <w:pPr>
        <w:numPr>
          <w:ilvl w:val="0"/>
          <w:numId w:val="20"/>
        </w:numPr>
        <w:rPr>
          <w:sz w:val="22"/>
          <w:szCs w:val="22"/>
        </w:rPr>
      </w:pPr>
      <w:r w:rsidRPr="008D7593">
        <w:rPr>
          <w:sz w:val="22"/>
          <w:szCs w:val="22"/>
        </w:rPr>
        <w:t>Indicate how the Department has taken into consideration if at all the BRRR 2018 of the Parliament of the Portfolio Committee on Women, Public Service and Administration and Social Development in developing the updated Annual Performance Plan 2019/20.</w:t>
      </w:r>
    </w:p>
    <w:p w:rsidR="008D7593" w:rsidRPr="008D7593" w:rsidRDefault="008D7593" w:rsidP="00210103">
      <w:pPr>
        <w:numPr>
          <w:ilvl w:val="0"/>
          <w:numId w:val="20"/>
        </w:numPr>
        <w:rPr>
          <w:sz w:val="22"/>
          <w:szCs w:val="22"/>
        </w:rPr>
      </w:pPr>
      <w:r w:rsidRPr="008D7593">
        <w:rPr>
          <w:sz w:val="22"/>
          <w:szCs w:val="22"/>
        </w:rPr>
        <w:t>Indicate link between draft Strategic Plan and APP</w:t>
      </w:r>
    </w:p>
    <w:p w:rsidR="008D7593" w:rsidRPr="008D7593" w:rsidRDefault="008D7593" w:rsidP="00210103">
      <w:pPr>
        <w:numPr>
          <w:ilvl w:val="0"/>
          <w:numId w:val="20"/>
        </w:numPr>
        <w:rPr>
          <w:sz w:val="22"/>
          <w:szCs w:val="22"/>
        </w:rPr>
      </w:pPr>
      <w:r w:rsidRPr="008D7593">
        <w:rPr>
          <w:sz w:val="22"/>
          <w:szCs w:val="22"/>
        </w:rPr>
        <w:t>Indicate how programmes and sub-programmes are interlinked particularly with youth and disability to ensure coordination, effectiveness, efficiency, optimal use of resources and to avoid duplication of work undertaken.</w:t>
      </w:r>
    </w:p>
    <w:p w:rsidR="008D7593" w:rsidRPr="008D7593" w:rsidRDefault="008D7593" w:rsidP="00210103">
      <w:pPr>
        <w:numPr>
          <w:ilvl w:val="0"/>
          <w:numId w:val="20"/>
        </w:numPr>
        <w:rPr>
          <w:sz w:val="22"/>
          <w:szCs w:val="22"/>
        </w:rPr>
      </w:pPr>
      <w:r w:rsidRPr="008D7593">
        <w:rPr>
          <w:sz w:val="22"/>
          <w:szCs w:val="22"/>
        </w:rPr>
        <w:t>Outline each programme with sub-programmes.</w:t>
      </w:r>
    </w:p>
    <w:p w:rsidR="008D7593" w:rsidRPr="008D7593" w:rsidRDefault="008D7593" w:rsidP="00210103">
      <w:pPr>
        <w:numPr>
          <w:ilvl w:val="0"/>
          <w:numId w:val="20"/>
        </w:numPr>
        <w:rPr>
          <w:sz w:val="22"/>
          <w:szCs w:val="22"/>
        </w:rPr>
      </w:pPr>
      <w:r w:rsidRPr="008D7593">
        <w:rPr>
          <w:sz w:val="22"/>
          <w:szCs w:val="22"/>
          <w:lang w:val="en-GB"/>
        </w:rPr>
        <w:t>Provide break down of international activities for 2019/20</w:t>
      </w:r>
    </w:p>
    <w:p w:rsidR="008D7593" w:rsidRPr="008D7593" w:rsidRDefault="008D7593" w:rsidP="008D7593">
      <w:pPr>
        <w:rPr>
          <w:sz w:val="22"/>
          <w:szCs w:val="22"/>
        </w:rPr>
      </w:pPr>
    </w:p>
    <w:p w:rsidR="008D7593" w:rsidRPr="008D7593" w:rsidRDefault="008D7593" w:rsidP="008D7593">
      <w:pPr>
        <w:rPr>
          <w:b/>
          <w:sz w:val="22"/>
          <w:szCs w:val="22"/>
        </w:rPr>
      </w:pPr>
      <w:r w:rsidRPr="008D7593">
        <w:rPr>
          <w:b/>
          <w:sz w:val="22"/>
          <w:szCs w:val="22"/>
        </w:rPr>
        <w:t>Financial Matters</w:t>
      </w:r>
    </w:p>
    <w:p w:rsidR="008D7593" w:rsidRPr="008D7593" w:rsidRDefault="008D7593" w:rsidP="00210103">
      <w:pPr>
        <w:numPr>
          <w:ilvl w:val="0"/>
          <w:numId w:val="21"/>
        </w:numPr>
        <w:rPr>
          <w:sz w:val="22"/>
          <w:szCs w:val="22"/>
        </w:rPr>
      </w:pPr>
      <w:r w:rsidRPr="008D7593">
        <w:rPr>
          <w:sz w:val="22"/>
          <w:szCs w:val="22"/>
        </w:rPr>
        <w:t>What measures have been put in place to contain costs with the merger of youth and disability structures into the Department?</w:t>
      </w:r>
    </w:p>
    <w:p w:rsidR="008D7593" w:rsidRPr="008D7593" w:rsidRDefault="008D7593" w:rsidP="00210103">
      <w:pPr>
        <w:numPr>
          <w:ilvl w:val="0"/>
          <w:numId w:val="21"/>
        </w:numPr>
        <w:rPr>
          <w:sz w:val="22"/>
          <w:szCs w:val="22"/>
        </w:rPr>
      </w:pPr>
      <w:r w:rsidRPr="008D7593">
        <w:rPr>
          <w:sz w:val="22"/>
          <w:szCs w:val="22"/>
        </w:rPr>
        <w:t xml:space="preserve">How did the Department derive at a budget forecast for 2019/20? Were Strategic Objectives and targets costed? If not, why not. If yes, provide financial breakdown per programme and sub-programme i.e. resource considerations </w:t>
      </w:r>
    </w:p>
    <w:p w:rsidR="008D7593" w:rsidRPr="008D7593" w:rsidRDefault="008D7593" w:rsidP="00210103">
      <w:pPr>
        <w:numPr>
          <w:ilvl w:val="0"/>
          <w:numId w:val="21"/>
        </w:numPr>
        <w:rPr>
          <w:sz w:val="22"/>
          <w:szCs w:val="22"/>
        </w:rPr>
      </w:pPr>
      <w:r w:rsidRPr="008D7593">
        <w:rPr>
          <w:sz w:val="22"/>
          <w:szCs w:val="22"/>
        </w:rPr>
        <w:t>Office and Accommodation: Outline total cost for office accommodation for the Department for 2019/20</w:t>
      </w:r>
    </w:p>
    <w:p w:rsidR="008D7593" w:rsidRPr="008D7593" w:rsidRDefault="008D7593" w:rsidP="00210103">
      <w:pPr>
        <w:numPr>
          <w:ilvl w:val="0"/>
          <w:numId w:val="21"/>
        </w:numPr>
        <w:rPr>
          <w:sz w:val="22"/>
          <w:szCs w:val="22"/>
        </w:rPr>
      </w:pPr>
      <w:r w:rsidRPr="008D7593">
        <w:rPr>
          <w:sz w:val="22"/>
          <w:szCs w:val="22"/>
        </w:rPr>
        <w:t>Cost of Employment (CoE): Provide total CoE for the entire department and breakdown per programme</w:t>
      </w:r>
    </w:p>
    <w:p w:rsidR="008D7593" w:rsidRPr="008D7593" w:rsidRDefault="008D7593" w:rsidP="00210103">
      <w:pPr>
        <w:numPr>
          <w:ilvl w:val="0"/>
          <w:numId w:val="21"/>
        </w:numPr>
        <w:rPr>
          <w:sz w:val="22"/>
          <w:szCs w:val="22"/>
        </w:rPr>
      </w:pPr>
      <w:r w:rsidRPr="008D7593">
        <w:rPr>
          <w:sz w:val="22"/>
          <w:szCs w:val="22"/>
        </w:rPr>
        <w:lastRenderedPageBreak/>
        <w:t>Consultants: Provide financial forecast of the use of consultants. Indicate clearly per programme when the services of consultants will be procured, the purpose and duration. In addition, indicate measures in place for skills transfer by the consultant.</w:t>
      </w:r>
    </w:p>
    <w:p w:rsidR="008D7593" w:rsidRPr="008D7593" w:rsidRDefault="008D7593" w:rsidP="00210103">
      <w:pPr>
        <w:numPr>
          <w:ilvl w:val="0"/>
          <w:numId w:val="21"/>
        </w:numPr>
        <w:rPr>
          <w:sz w:val="22"/>
          <w:szCs w:val="22"/>
        </w:rPr>
      </w:pPr>
      <w:r w:rsidRPr="008D7593">
        <w:rPr>
          <w:sz w:val="22"/>
          <w:szCs w:val="22"/>
        </w:rPr>
        <w:t>Events/campaigns: Provide detailed outline of events/campaigns the Department intends hosting for 2019/20 along with a financial forecast of each initiative (estimated cost and what this entails), intended number of beneficiaries to be targeted, location of initiative, purpose and expected outcomes and how these will be monitored and evaluated</w:t>
      </w:r>
    </w:p>
    <w:p w:rsidR="008D7593" w:rsidRPr="008D7593" w:rsidRDefault="008D7593" w:rsidP="00210103">
      <w:pPr>
        <w:numPr>
          <w:ilvl w:val="0"/>
          <w:numId w:val="21"/>
        </w:numPr>
        <w:rPr>
          <w:sz w:val="22"/>
          <w:szCs w:val="22"/>
        </w:rPr>
      </w:pPr>
      <w:r w:rsidRPr="008D7593">
        <w:rPr>
          <w:sz w:val="22"/>
          <w:szCs w:val="22"/>
        </w:rPr>
        <w:t>International activities:</w:t>
      </w:r>
      <w:r w:rsidRPr="008D7593">
        <w:rPr>
          <w:sz w:val="22"/>
          <w:szCs w:val="22"/>
          <w:lang w:val="en-GB"/>
        </w:rPr>
        <w:t xml:space="preserve"> Provide break down of international activities for 2019/20, size of delegation, estimated cost per trip (breakdown of costs), purpose and expected outcomes and how these will be monitored and evaluated</w:t>
      </w:r>
    </w:p>
    <w:p w:rsidR="008D7593" w:rsidRPr="008D7593" w:rsidRDefault="008D7593" w:rsidP="008D7593">
      <w:pPr>
        <w:rPr>
          <w:sz w:val="22"/>
          <w:szCs w:val="22"/>
        </w:rPr>
      </w:pPr>
    </w:p>
    <w:p w:rsidR="008D7593" w:rsidRPr="008D7593" w:rsidRDefault="008D7593" w:rsidP="008D7593">
      <w:pPr>
        <w:rPr>
          <w:i/>
          <w:sz w:val="22"/>
          <w:szCs w:val="22"/>
          <w:lang w:val="en-US"/>
        </w:rPr>
      </w:pPr>
    </w:p>
    <w:p w:rsidR="008D7593" w:rsidRPr="008D7593" w:rsidRDefault="008D7593" w:rsidP="008D7593">
      <w:pPr>
        <w:rPr>
          <w:i/>
          <w:sz w:val="22"/>
          <w:szCs w:val="22"/>
          <w:lang w:val="en-US"/>
        </w:rPr>
      </w:pPr>
    </w:p>
    <w:p w:rsidR="008D7593" w:rsidRPr="008D7593" w:rsidRDefault="008D7593" w:rsidP="008D7593">
      <w:pPr>
        <w:rPr>
          <w:i/>
          <w:sz w:val="22"/>
          <w:szCs w:val="22"/>
          <w:lang w:val="en-US"/>
        </w:rPr>
      </w:pPr>
    </w:p>
    <w:p w:rsidR="008D7593" w:rsidRPr="008D7593" w:rsidRDefault="008D7593" w:rsidP="008D7593">
      <w:pPr>
        <w:rPr>
          <w:i/>
          <w:sz w:val="22"/>
          <w:szCs w:val="22"/>
        </w:rPr>
      </w:pPr>
      <w:r w:rsidRPr="008D7593">
        <w:rPr>
          <w:i/>
          <w:sz w:val="22"/>
          <w:szCs w:val="22"/>
          <w:lang w:val="en-US"/>
        </w:rPr>
        <w:t>Additionally, within the presentation the following should be included. This is to be done BRIEFLY and needs not be highlighted if part of the overall presentation.</w:t>
      </w:r>
    </w:p>
    <w:p w:rsidR="008D7593" w:rsidRPr="008D7593" w:rsidRDefault="008D7593" w:rsidP="00210103">
      <w:pPr>
        <w:numPr>
          <w:ilvl w:val="0"/>
          <w:numId w:val="17"/>
        </w:numPr>
        <w:rPr>
          <w:sz w:val="22"/>
          <w:szCs w:val="22"/>
        </w:rPr>
      </w:pPr>
      <w:r w:rsidRPr="008D7593">
        <w:rPr>
          <w:sz w:val="22"/>
          <w:szCs w:val="22"/>
          <w:lang w:val="en-US"/>
        </w:rPr>
        <w:t>An update on progress of key policies for women, youth and persons with disabilities insofar as what needs to be finalised/reviewed/updated within the next 5 years</w:t>
      </w:r>
    </w:p>
    <w:p w:rsidR="00A67B72" w:rsidRPr="00AA5BC8" w:rsidRDefault="00A67B72" w:rsidP="00AA5BC8">
      <w:pPr>
        <w:rPr>
          <w:sz w:val="22"/>
          <w:szCs w:val="22"/>
        </w:rPr>
      </w:pPr>
    </w:p>
    <w:sectPr w:rsidR="00A67B72" w:rsidRPr="00AA5BC8" w:rsidSect="009A7655">
      <w:pgSz w:w="11906" w:h="16838" w:code="9"/>
      <w:pgMar w:top="2336" w:right="1134" w:bottom="1191" w:left="1134"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E1D" w:rsidRDefault="00C34E1D">
      <w:r>
        <w:separator/>
      </w:r>
    </w:p>
  </w:endnote>
  <w:endnote w:type="continuationSeparator" w:id="0">
    <w:p w:rsidR="00C34E1D" w:rsidRDefault="00C34E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194421"/>
      <w:docPartObj>
        <w:docPartGallery w:val="Page Numbers (Bottom of Page)"/>
        <w:docPartUnique/>
      </w:docPartObj>
    </w:sdtPr>
    <w:sdtEndPr>
      <w:rPr>
        <w:noProof/>
        <w:sz w:val="20"/>
        <w:szCs w:val="20"/>
      </w:rPr>
    </w:sdtEndPr>
    <w:sdtContent>
      <w:p w:rsidR="001140CA" w:rsidRPr="008D7593" w:rsidRDefault="007071DB">
        <w:pPr>
          <w:pStyle w:val="Footer"/>
          <w:jc w:val="right"/>
          <w:rPr>
            <w:sz w:val="20"/>
            <w:szCs w:val="20"/>
          </w:rPr>
        </w:pPr>
        <w:r w:rsidRPr="008D7593">
          <w:rPr>
            <w:sz w:val="20"/>
            <w:szCs w:val="20"/>
          </w:rPr>
          <w:fldChar w:fldCharType="begin"/>
        </w:r>
        <w:r w:rsidR="001140CA" w:rsidRPr="008D7593">
          <w:rPr>
            <w:sz w:val="20"/>
            <w:szCs w:val="20"/>
          </w:rPr>
          <w:instrText xml:space="preserve"> PAGE   \* MERGEFORMAT </w:instrText>
        </w:r>
        <w:r w:rsidRPr="008D7593">
          <w:rPr>
            <w:sz w:val="20"/>
            <w:szCs w:val="20"/>
          </w:rPr>
          <w:fldChar w:fldCharType="separate"/>
        </w:r>
        <w:r w:rsidR="000F429F">
          <w:rPr>
            <w:noProof/>
            <w:sz w:val="20"/>
            <w:szCs w:val="20"/>
          </w:rPr>
          <w:t>2</w:t>
        </w:r>
        <w:r w:rsidRPr="008D7593">
          <w:rPr>
            <w:noProof/>
            <w:sz w:val="20"/>
            <w:szCs w:val="20"/>
          </w:rPr>
          <w:fldChar w:fldCharType="end"/>
        </w:r>
      </w:p>
    </w:sdtContent>
  </w:sdt>
  <w:p w:rsidR="001140CA" w:rsidRDefault="001140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E1D" w:rsidRDefault="00C34E1D">
      <w:r>
        <w:separator/>
      </w:r>
    </w:p>
  </w:footnote>
  <w:footnote w:type="continuationSeparator" w:id="0">
    <w:p w:rsidR="00C34E1D" w:rsidRDefault="00C34E1D">
      <w:r>
        <w:continuationSeparator/>
      </w:r>
    </w:p>
  </w:footnote>
  <w:footnote w:id="1">
    <w:p w:rsidR="001140CA" w:rsidRDefault="001140CA">
      <w:pPr>
        <w:pStyle w:val="FootnoteText"/>
      </w:pPr>
      <w:r>
        <w:rPr>
          <w:rStyle w:val="FootnoteReference"/>
        </w:rPr>
        <w:footnoteRef/>
      </w:r>
      <w:r>
        <w:t xml:space="preserve"> Refer to resolution of Committee Minutes of 3 July 2019</w:t>
      </w:r>
    </w:p>
  </w:footnote>
  <w:footnote w:id="2">
    <w:p w:rsidR="001140CA" w:rsidRPr="00DD2792" w:rsidRDefault="001140CA" w:rsidP="00DD2792">
      <w:pPr>
        <w:pStyle w:val="FootnoteText"/>
      </w:pPr>
      <w:r>
        <w:rPr>
          <w:rStyle w:val="FootnoteReference"/>
        </w:rPr>
        <w:footnoteRef/>
      </w:r>
      <w:r>
        <w:t xml:space="preserve"> </w:t>
      </w:r>
      <w:r w:rsidRPr="00DD2792">
        <w:t>Economic transformation and job creation</w:t>
      </w:r>
      <w:r>
        <w:t xml:space="preserve">; </w:t>
      </w:r>
      <w:r w:rsidRPr="00DD2792">
        <w:t>Education, skills and health</w:t>
      </w:r>
      <w:r>
        <w:t xml:space="preserve">; </w:t>
      </w:r>
      <w:r w:rsidRPr="00DD2792">
        <w:t>Consolidating the social wage through reliable and quality basic services</w:t>
      </w:r>
      <w:r>
        <w:t xml:space="preserve">; </w:t>
      </w:r>
      <w:r w:rsidRPr="00DD2792">
        <w:t>Spatial integration, human settlements and local government</w:t>
      </w:r>
      <w:r>
        <w:t xml:space="preserve">; </w:t>
      </w:r>
      <w:r w:rsidRPr="00DD2792">
        <w:t>Social cohesion and safe communities</w:t>
      </w:r>
      <w:r>
        <w:t xml:space="preserve">; </w:t>
      </w:r>
      <w:r w:rsidRPr="00DD2792">
        <w:t>A capable, ethical and developmental state</w:t>
      </w:r>
      <w:r>
        <w:t xml:space="preserve">&amp; A better Africa and World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541"/>
    <w:multiLevelType w:val="hybridMultilevel"/>
    <w:tmpl w:val="5E009A5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
    <w:nsid w:val="08573254"/>
    <w:multiLevelType w:val="hybridMultilevel"/>
    <w:tmpl w:val="04A6B0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A9432F"/>
    <w:multiLevelType w:val="hybridMultilevel"/>
    <w:tmpl w:val="3A600210"/>
    <w:lvl w:ilvl="0" w:tplc="6DA26EE6">
      <w:start w:val="1"/>
      <w:numFmt w:val="bullet"/>
      <w:lvlText w:val="•"/>
      <w:lvlJc w:val="left"/>
      <w:pPr>
        <w:tabs>
          <w:tab w:val="num" w:pos="720"/>
        </w:tabs>
        <w:ind w:left="720" w:hanging="360"/>
      </w:pPr>
      <w:rPr>
        <w:rFonts w:ascii="Arial" w:hAnsi="Arial" w:hint="default"/>
      </w:rPr>
    </w:lvl>
    <w:lvl w:ilvl="1" w:tplc="E60606F4" w:tentative="1">
      <w:start w:val="1"/>
      <w:numFmt w:val="bullet"/>
      <w:lvlText w:val="•"/>
      <w:lvlJc w:val="left"/>
      <w:pPr>
        <w:tabs>
          <w:tab w:val="num" w:pos="1440"/>
        </w:tabs>
        <w:ind w:left="1440" w:hanging="360"/>
      </w:pPr>
      <w:rPr>
        <w:rFonts w:ascii="Arial" w:hAnsi="Arial" w:hint="default"/>
      </w:rPr>
    </w:lvl>
    <w:lvl w:ilvl="2" w:tplc="03EE0254" w:tentative="1">
      <w:start w:val="1"/>
      <w:numFmt w:val="bullet"/>
      <w:lvlText w:val="•"/>
      <w:lvlJc w:val="left"/>
      <w:pPr>
        <w:tabs>
          <w:tab w:val="num" w:pos="2160"/>
        </w:tabs>
        <w:ind w:left="2160" w:hanging="360"/>
      </w:pPr>
      <w:rPr>
        <w:rFonts w:ascii="Arial" w:hAnsi="Arial" w:hint="default"/>
      </w:rPr>
    </w:lvl>
    <w:lvl w:ilvl="3" w:tplc="AFB679FE" w:tentative="1">
      <w:start w:val="1"/>
      <w:numFmt w:val="bullet"/>
      <w:lvlText w:val="•"/>
      <w:lvlJc w:val="left"/>
      <w:pPr>
        <w:tabs>
          <w:tab w:val="num" w:pos="2880"/>
        </w:tabs>
        <w:ind w:left="2880" w:hanging="360"/>
      </w:pPr>
      <w:rPr>
        <w:rFonts w:ascii="Arial" w:hAnsi="Arial" w:hint="default"/>
      </w:rPr>
    </w:lvl>
    <w:lvl w:ilvl="4" w:tplc="79ECECD0" w:tentative="1">
      <w:start w:val="1"/>
      <w:numFmt w:val="bullet"/>
      <w:lvlText w:val="•"/>
      <w:lvlJc w:val="left"/>
      <w:pPr>
        <w:tabs>
          <w:tab w:val="num" w:pos="3600"/>
        </w:tabs>
        <w:ind w:left="3600" w:hanging="360"/>
      </w:pPr>
      <w:rPr>
        <w:rFonts w:ascii="Arial" w:hAnsi="Arial" w:hint="default"/>
      </w:rPr>
    </w:lvl>
    <w:lvl w:ilvl="5" w:tplc="6DDABD2E" w:tentative="1">
      <w:start w:val="1"/>
      <w:numFmt w:val="bullet"/>
      <w:lvlText w:val="•"/>
      <w:lvlJc w:val="left"/>
      <w:pPr>
        <w:tabs>
          <w:tab w:val="num" w:pos="4320"/>
        </w:tabs>
        <w:ind w:left="4320" w:hanging="360"/>
      </w:pPr>
      <w:rPr>
        <w:rFonts w:ascii="Arial" w:hAnsi="Arial" w:hint="default"/>
      </w:rPr>
    </w:lvl>
    <w:lvl w:ilvl="6" w:tplc="2324766C" w:tentative="1">
      <w:start w:val="1"/>
      <w:numFmt w:val="bullet"/>
      <w:lvlText w:val="•"/>
      <w:lvlJc w:val="left"/>
      <w:pPr>
        <w:tabs>
          <w:tab w:val="num" w:pos="5040"/>
        </w:tabs>
        <w:ind w:left="5040" w:hanging="360"/>
      </w:pPr>
      <w:rPr>
        <w:rFonts w:ascii="Arial" w:hAnsi="Arial" w:hint="default"/>
      </w:rPr>
    </w:lvl>
    <w:lvl w:ilvl="7" w:tplc="960242DE" w:tentative="1">
      <w:start w:val="1"/>
      <w:numFmt w:val="bullet"/>
      <w:lvlText w:val="•"/>
      <w:lvlJc w:val="left"/>
      <w:pPr>
        <w:tabs>
          <w:tab w:val="num" w:pos="5760"/>
        </w:tabs>
        <w:ind w:left="5760" w:hanging="360"/>
      </w:pPr>
      <w:rPr>
        <w:rFonts w:ascii="Arial" w:hAnsi="Arial" w:hint="default"/>
      </w:rPr>
    </w:lvl>
    <w:lvl w:ilvl="8" w:tplc="897261BE" w:tentative="1">
      <w:start w:val="1"/>
      <w:numFmt w:val="bullet"/>
      <w:lvlText w:val="•"/>
      <w:lvlJc w:val="left"/>
      <w:pPr>
        <w:tabs>
          <w:tab w:val="num" w:pos="6480"/>
        </w:tabs>
        <w:ind w:left="6480" w:hanging="360"/>
      </w:pPr>
      <w:rPr>
        <w:rFonts w:ascii="Arial" w:hAnsi="Arial" w:hint="default"/>
      </w:rPr>
    </w:lvl>
  </w:abstractNum>
  <w:abstractNum w:abstractNumId="3">
    <w:nsid w:val="0A3C5AF2"/>
    <w:multiLevelType w:val="hybridMultilevel"/>
    <w:tmpl w:val="A6BCEF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CA430DC"/>
    <w:multiLevelType w:val="hybridMultilevel"/>
    <w:tmpl w:val="36129A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E115021"/>
    <w:multiLevelType w:val="hybridMultilevel"/>
    <w:tmpl w:val="AA0E5482"/>
    <w:lvl w:ilvl="0" w:tplc="1C090001">
      <w:start w:val="1"/>
      <w:numFmt w:val="bullet"/>
      <w:lvlText w:val=""/>
      <w:lvlJc w:val="left"/>
      <w:pPr>
        <w:ind w:left="789" w:hanging="360"/>
      </w:pPr>
      <w:rPr>
        <w:rFonts w:ascii="Symbol" w:hAnsi="Symbol" w:hint="default"/>
      </w:rPr>
    </w:lvl>
    <w:lvl w:ilvl="1" w:tplc="1C090003" w:tentative="1">
      <w:start w:val="1"/>
      <w:numFmt w:val="bullet"/>
      <w:lvlText w:val="o"/>
      <w:lvlJc w:val="left"/>
      <w:pPr>
        <w:ind w:left="1509" w:hanging="360"/>
      </w:pPr>
      <w:rPr>
        <w:rFonts w:ascii="Courier New" w:hAnsi="Courier New" w:cs="Courier New" w:hint="default"/>
      </w:rPr>
    </w:lvl>
    <w:lvl w:ilvl="2" w:tplc="1C090005" w:tentative="1">
      <w:start w:val="1"/>
      <w:numFmt w:val="bullet"/>
      <w:lvlText w:val=""/>
      <w:lvlJc w:val="left"/>
      <w:pPr>
        <w:ind w:left="2229" w:hanging="360"/>
      </w:pPr>
      <w:rPr>
        <w:rFonts w:ascii="Wingdings" w:hAnsi="Wingdings" w:hint="default"/>
      </w:rPr>
    </w:lvl>
    <w:lvl w:ilvl="3" w:tplc="1C090001" w:tentative="1">
      <w:start w:val="1"/>
      <w:numFmt w:val="bullet"/>
      <w:lvlText w:val=""/>
      <w:lvlJc w:val="left"/>
      <w:pPr>
        <w:ind w:left="2949" w:hanging="360"/>
      </w:pPr>
      <w:rPr>
        <w:rFonts w:ascii="Symbol" w:hAnsi="Symbol" w:hint="default"/>
      </w:rPr>
    </w:lvl>
    <w:lvl w:ilvl="4" w:tplc="1C090003" w:tentative="1">
      <w:start w:val="1"/>
      <w:numFmt w:val="bullet"/>
      <w:lvlText w:val="o"/>
      <w:lvlJc w:val="left"/>
      <w:pPr>
        <w:ind w:left="3669" w:hanging="360"/>
      </w:pPr>
      <w:rPr>
        <w:rFonts w:ascii="Courier New" w:hAnsi="Courier New" w:cs="Courier New" w:hint="default"/>
      </w:rPr>
    </w:lvl>
    <w:lvl w:ilvl="5" w:tplc="1C090005" w:tentative="1">
      <w:start w:val="1"/>
      <w:numFmt w:val="bullet"/>
      <w:lvlText w:val=""/>
      <w:lvlJc w:val="left"/>
      <w:pPr>
        <w:ind w:left="4389" w:hanging="360"/>
      </w:pPr>
      <w:rPr>
        <w:rFonts w:ascii="Wingdings" w:hAnsi="Wingdings" w:hint="default"/>
      </w:rPr>
    </w:lvl>
    <w:lvl w:ilvl="6" w:tplc="1C090001" w:tentative="1">
      <w:start w:val="1"/>
      <w:numFmt w:val="bullet"/>
      <w:lvlText w:val=""/>
      <w:lvlJc w:val="left"/>
      <w:pPr>
        <w:ind w:left="5109" w:hanging="360"/>
      </w:pPr>
      <w:rPr>
        <w:rFonts w:ascii="Symbol" w:hAnsi="Symbol" w:hint="default"/>
      </w:rPr>
    </w:lvl>
    <w:lvl w:ilvl="7" w:tplc="1C090003" w:tentative="1">
      <w:start w:val="1"/>
      <w:numFmt w:val="bullet"/>
      <w:lvlText w:val="o"/>
      <w:lvlJc w:val="left"/>
      <w:pPr>
        <w:ind w:left="5829" w:hanging="360"/>
      </w:pPr>
      <w:rPr>
        <w:rFonts w:ascii="Courier New" w:hAnsi="Courier New" w:cs="Courier New" w:hint="default"/>
      </w:rPr>
    </w:lvl>
    <w:lvl w:ilvl="8" w:tplc="1C090005" w:tentative="1">
      <w:start w:val="1"/>
      <w:numFmt w:val="bullet"/>
      <w:lvlText w:val=""/>
      <w:lvlJc w:val="left"/>
      <w:pPr>
        <w:ind w:left="6549" w:hanging="360"/>
      </w:pPr>
      <w:rPr>
        <w:rFonts w:ascii="Wingdings" w:hAnsi="Wingdings" w:hint="default"/>
      </w:rPr>
    </w:lvl>
  </w:abstractNum>
  <w:abstractNum w:abstractNumId="6">
    <w:nsid w:val="0E8D7569"/>
    <w:multiLevelType w:val="hybridMultilevel"/>
    <w:tmpl w:val="885212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1FE71FC"/>
    <w:multiLevelType w:val="hybridMultilevel"/>
    <w:tmpl w:val="2AF44560"/>
    <w:lvl w:ilvl="0" w:tplc="FE9E76EA">
      <w:start w:val="1"/>
      <w:numFmt w:val="bullet"/>
      <w:lvlText w:val="•"/>
      <w:lvlJc w:val="left"/>
      <w:pPr>
        <w:tabs>
          <w:tab w:val="num" w:pos="720"/>
        </w:tabs>
        <w:ind w:left="720" w:hanging="360"/>
      </w:pPr>
      <w:rPr>
        <w:rFonts w:ascii="Arial" w:hAnsi="Arial" w:hint="default"/>
      </w:rPr>
    </w:lvl>
    <w:lvl w:ilvl="1" w:tplc="637C013C" w:tentative="1">
      <w:start w:val="1"/>
      <w:numFmt w:val="bullet"/>
      <w:lvlText w:val="•"/>
      <w:lvlJc w:val="left"/>
      <w:pPr>
        <w:tabs>
          <w:tab w:val="num" w:pos="1440"/>
        </w:tabs>
        <w:ind w:left="1440" w:hanging="360"/>
      </w:pPr>
      <w:rPr>
        <w:rFonts w:ascii="Arial" w:hAnsi="Arial" w:hint="default"/>
      </w:rPr>
    </w:lvl>
    <w:lvl w:ilvl="2" w:tplc="D1E01D1C" w:tentative="1">
      <w:start w:val="1"/>
      <w:numFmt w:val="bullet"/>
      <w:lvlText w:val="•"/>
      <w:lvlJc w:val="left"/>
      <w:pPr>
        <w:tabs>
          <w:tab w:val="num" w:pos="2160"/>
        </w:tabs>
        <w:ind w:left="2160" w:hanging="360"/>
      </w:pPr>
      <w:rPr>
        <w:rFonts w:ascii="Arial" w:hAnsi="Arial" w:hint="default"/>
      </w:rPr>
    </w:lvl>
    <w:lvl w:ilvl="3" w:tplc="36C6DD26" w:tentative="1">
      <w:start w:val="1"/>
      <w:numFmt w:val="bullet"/>
      <w:lvlText w:val="•"/>
      <w:lvlJc w:val="left"/>
      <w:pPr>
        <w:tabs>
          <w:tab w:val="num" w:pos="2880"/>
        </w:tabs>
        <w:ind w:left="2880" w:hanging="360"/>
      </w:pPr>
      <w:rPr>
        <w:rFonts w:ascii="Arial" w:hAnsi="Arial" w:hint="default"/>
      </w:rPr>
    </w:lvl>
    <w:lvl w:ilvl="4" w:tplc="9F46E8FA" w:tentative="1">
      <w:start w:val="1"/>
      <w:numFmt w:val="bullet"/>
      <w:lvlText w:val="•"/>
      <w:lvlJc w:val="left"/>
      <w:pPr>
        <w:tabs>
          <w:tab w:val="num" w:pos="3600"/>
        </w:tabs>
        <w:ind w:left="3600" w:hanging="360"/>
      </w:pPr>
      <w:rPr>
        <w:rFonts w:ascii="Arial" w:hAnsi="Arial" w:hint="default"/>
      </w:rPr>
    </w:lvl>
    <w:lvl w:ilvl="5" w:tplc="43CA0ABE" w:tentative="1">
      <w:start w:val="1"/>
      <w:numFmt w:val="bullet"/>
      <w:lvlText w:val="•"/>
      <w:lvlJc w:val="left"/>
      <w:pPr>
        <w:tabs>
          <w:tab w:val="num" w:pos="4320"/>
        </w:tabs>
        <w:ind w:left="4320" w:hanging="360"/>
      </w:pPr>
      <w:rPr>
        <w:rFonts w:ascii="Arial" w:hAnsi="Arial" w:hint="default"/>
      </w:rPr>
    </w:lvl>
    <w:lvl w:ilvl="6" w:tplc="54F83B32" w:tentative="1">
      <w:start w:val="1"/>
      <w:numFmt w:val="bullet"/>
      <w:lvlText w:val="•"/>
      <w:lvlJc w:val="left"/>
      <w:pPr>
        <w:tabs>
          <w:tab w:val="num" w:pos="5040"/>
        </w:tabs>
        <w:ind w:left="5040" w:hanging="360"/>
      </w:pPr>
      <w:rPr>
        <w:rFonts w:ascii="Arial" w:hAnsi="Arial" w:hint="default"/>
      </w:rPr>
    </w:lvl>
    <w:lvl w:ilvl="7" w:tplc="509AB2F6" w:tentative="1">
      <w:start w:val="1"/>
      <w:numFmt w:val="bullet"/>
      <w:lvlText w:val="•"/>
      <w:lvlJc w:val="left"/>
      <w:pPr>
        <w:tabs>
          <w:tab w:val="num" w:pos="5760"/>
        </w:tabs>
        <w:ind w:left="5760" w:hanging="360"/>
      </w:pPr>
      <w:rPr>
        <w:rFonts w:ascii="Arial" w:hAnsi="Arial" w:hint="default"/>
      </w:rPr>
    </w:lvl>
    <w:lvl w:ilvl="8" w:tplc="335EF28A" w:tentative="1">
      <w:start w:val="1"/>
      <w:numFmt w:val="bullet"/>
      <w:lvlText w:val="•"/>
      <w:lvlJc w:val="left"/>
      <w:pPr>
        <w:tabs>
          <w:tab w:val="num" w:pos="6480"/>
        </w:tabs>
        <w:ind w:left="6480" w:hanging="360"/>
      </w:pPr>
      <w:rPr>
        <w:rFonts w:ascii="Arial" w:hAnsi="Arial" w:hint="default"/>
      </w:rPr>
    </w:lvl>
  </w:abstractNum>
  <w:abstractNum w:abstractNumId="8">
    <w:nsid w:val="155E653F"/>
    <w:multiLevelType w:val="hybridMultilevel"/>
    <w:tmpl w:val="C0CABD14"/>
    <w:lvl w:ilvl="0" w:tplc="1C090001">
      <w:start w:val="1"/>
      <w:numFmt w:val="bullet"/>
      <w:lvlText w:val=""/>
      <w:lvlJc w:val="left"/>
      <w:pPr>
        <w:tabs>
          <w:tab w:val="num" w:pos="720"/>
        </w:tabs>
        <w:ind w:left="720" w:hanging="360"/>
      </w:pPr>
      <w:rPr>
        <w:rFonts w:ascii="Symbol" w:hAnsi="Symbol" w:hint="default"/>
      </w:rPr>
    </w:lvl>
    <w:lvl w:ilvl="1" w:tplc="2588375A" w:tentative="1">
      <w:start w:val="1"/>
      <w:numFmt w:val="bullet"/>
      <w:lvlText w:val="•"/>
      <w:lvlJc w:val="left"/>
      <w:pPr>
        <w:tabs>
          <w:tab w:val="num" w:pos="1440"/>
        </w:tabs>
        <w:ind w:left="1440" w:hanging="360"/>
      </w:pPr>
      <w:rPr>
        <w:rFonts w:ascii="Arial" w:hAnsi="Arial" w:hint="default"/>
      </w:rPr>
    </w:lvl>
    <w:lvl w:ilvl="2" w:tplc="C902C5CA" w:tentative="1">
      <w:start w:val="1"/>
      <w:numFmt w:val="bullet"/>
      <w:lvlText w:val="•"/>
      <w:lvlJc w:val="left"/>
      <w:pPr>
        <w:tabs>
          <w:tab w:val="num" w:pos="2160"/>
        </w:tabs>
        <w:ind w:left="2160" w:hanging="360"/>
      </w:pPr>
      <w:rPr>
        <w:rFonts w:ascii="Arial" w:hAnsi="Arial" w:hint="default"/>
      </w:rPr>
    </w:lvl>
    <w:lvl w:ilvl="3" w:tplc="857C4DC8" w:tentative="1">
      <w:start w:val="1"/>
      <w:numFmt w:val="bullet"/>
      <w:lvlText w:val="•"/>
      <w:lvlJc w:val="left"/>
      <w:pPr>
        <w:tabs>
          <w:tab w:val="num" w:pos="2880"/>
        </w:tabs>
        <w:ind w:left="2880" w:hanging="360"/>
      </w:pPr>
      <w:rPr>
        <w:rFonts w:ascii="Arial" w:hAnsi="Arial" w:hint="default"/>
      </w:rPr>
    </w:lvl>
    <w:lvl w:ilvl="4" w:tplc="76D66F8A" w:tentative="1">
      <w:start w:val="1"/>
      <w:numFmt w:val="bullet"/>
      <w:lvlText w:val="•"/>
      <w:lvlJc w:val="left"/>
      <w:pPr>
        <w:tabs>
          <w:tab w:val="num" w:pos="3600"/>
        </w:tabs>
        <w:ind w:left="3600" w:hanging="360"/>
      </w:pPr>
      <w:rPr>
        <w:rFonts w:ascii="Arial" w:hAnsi="Arial" w:hint="default"/>
      </w:rPr>
    </w:lvl>
    <w:lvl w:ilvl="5" w:tplc="7E9C9B8E" w:tentative="1">
      <w:start w:val="1"/>
      <w:numFmt w:val="bullet"/>
      <w:lvlText w:val="•"/>
      <w:lvlJc w:val="left"/>
      <w:pPr>
        <w:tabs>
          <w:tab w:val="num" w:pos="4320"/>
        </w:tabs>
        <w:ind w:left="4320" w:hanging="360"/>
      </w:pPr>
      <w:rPr>
        <w:rFonts w:ascii="Arial" w:hAnsi="Arial" w:hint="default"/>
      </w:rPr>
    </w:lvl>
    <w:lvl w:ilvl="6" w:tplc="06CAAFCE" w:tentative="1">
      <w:start w:val="1"/>
      <w:numFmt w:val="bullet"/>
      <w:lvlText w:val="•"/>
      <w:lvlJc w:val="left"/>
      <w:pPr>
        <w:tabs>
          <w:tab w:val="num" w:pos="5040"/>
        </w:tabs>
        <w:ind w:left="5040" w:hanging="360"/>
      </w:pPr>
      <w:rPr>
        <w:rFonts w:ascii="Arial" w:hAnsi="Arial" w:hint="default"/>
      </w:rPr>
    </w:lvl>
    <w:lvl w:ilvl="7" w:tplc="0754920E" w:tentative="1">
      <w:start w:val="1"/>
      <w:numFmt w:val="bullet"/>
      <w:lvlText w:val="•"/>
      <w:lvlJc w:val="left"/>
      <w:pPr>
        <w:tabs>
          <w:tab w:val="num" w:pos="5760"/>
        </w:tabs>
        <w:ind w:left="5760" w:hanging="360"/>
      </w:pPr>
      <w:rPr>
        <w:rFonts w:ascii="Arial" w:hAnsi="Arial" w:hint="default"/>
      </w:rPr>
    </w:lvl>
    <w:lvl w:ilvl="8" w:tplc="8AB27266" w:tentative="1">
      <w:start w:val="1"/>
      <w:numFmt w:val="bullet"/>
      <w:lvlText w:val="•"/>
      <w:lvlJc w:val="left"/>
      <w:pPr>
        <w:tabs>
          <w:tab w:val="num" w:pos="6480"/>
        </w:tabs>
        <w:ind w:left="6480" w:hanging="360"/>
      </w:pPr>
      <w:rPr>
        <w:rFonts w:ascii="Arial" w:hAnsi="Arial" w:hint="default"/>
      </w:rPr>
    </w:lvl>
  </w:abstractNum>
  <w:abstractNum w:abstractNumId="9">
    <w:nsid w:val="15F459A3"/>
    <w:multiLevelType w:val="hybridMultilevel"/>
    <w:tmpl w:val="27DA2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74C7CCF"/>
    <w:multiLevelType w:val="multilevel"/>
    <w:tmpl w:val="8EE08A3C"/>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410283F"/>
    <w:multiLevelType w:val="hybridMultilevel"/>
    <w:tmpl w:val="4726D1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4285EAA"/>
    <w:multiLevelType w:val="hybridMultilevel"/>
    <w:tmpl w:val="E9EC821C"/>
    <w:lvl w:ilvl="0" w:tplc="1298B298">
      <w:start w:val="1"/>
      <w:numFmt w:val="bullet"/>
      <w:lvlText w:val="•"/>
      <w:lvlJc w:val="left"/>
      <w:pPr>
        <w:tabs>
          <w:tab w:val="num" w:pos="786"/>
        </w:tabs>
        <w:ind w:left="786" w:hanging="360"/>
      </w:pPr>
      <w:rPr>
        <w:rFonts w:ascii="Arial" w:hAnsi="Aria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3">
    <w:nsid w:val="275F2E3A"/>
    <w:multiLevelType w:val="hybridMultilevel"/>
    <w:tmpl w:val="4066F5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1095C62"/>
    <w:multiLevelType w:val="hybridMultilevel"/>
    <w:tmpl w:val="AD5AF378"/>
    <w:lvl w:ilvl="0" w:tplc="F1365314">
      <w:start w:val="1"/>
      <w:numFmt w:val="bullet"/>
      <w:lvlText w:val="•"/>
      <w:lvlJc w:val="left"/>
      <w:pPr>
        <w:tabs>
          <w:tab w:val="num" w:pos="720"/>
        </w:tabs>
        <w:ind w:left="720" w:hanging="360"/>
      </w:pPr>
      <w:rPr>
        <w:rFonts w:ascii="Arial" w:hAnsi="Arial" w:hint="default"/>
      </w:rPr>
    </w:lvl>
    <w:lvl w:ilvl="1" w:tplc="7F06AAA6" w:tentative="1">
      <w:start w:val="1"/>
      <w:numFmt w:val="bullet"/>
      <w:lvlText w:val="•"/>
      <w:lvlJc w:val="left"/>
      <w:pPr>
        <w:tabs>
          <w:tab w:val="num" w:pos="1440"/>
        </w:tabs>
        <w:ind w:left="1440" w:hanging="360"/>
      </w:pPr>
      <w:rPr>
        <w:rFonts w:ascii="Arial" w:hAnsi="Arial" w:hint="default"/>
      </w:rPr>
    </w:lvl>
    <w:lvl w:ilvl="2" w:tplc="4648C76E" w:tentative="1">
      <w:start w:val="1"/>
      <w:numFmt w:val="bullet"/>
      <w:lvlText w:val="•"/>
      <w:lvlJc w:val="left"/>
      <w:pPr>
        <w:tabs>
          <w:tab w:val="num" w:pos="2160"/>
        </w:tabs>
        <w:ind w:left="2160" w:hanging="360"/>
      </w:pPr>
      <w:rPr>
        <w:rFonts w:ascii="Arial" w:hAnsi="Arial" w:hint="default"/>
      </w:rPr>
    </w:lvl>
    <w:lvl w:ilvl="3" w:tplc="80247D44" w:tentative="1">
      <w:start w:val="1"/>
      <w:numFmt w:val="bullet"/>
      <w:lvlText w:val="•"/>
      <w:lvlJc w:val="left"/>
      <w:pPr>
        <w:tabs>
          <w:tab w:val="num" w:pos="2880"/>
        </w:tabs>
        <w:ind w:left="2880" w:hanging="360"/>
      </w:pPr>
      <w:rPr>
        <w:rFonts w:ascii="Arial" w:hAnsi="Arial" w:hint="default"/>
      </w:rPr>
    </w:lvl>
    <w:lvl w:ilvl="4" w:tplc="15608AA6" w:tentative="1">
      <w:start w:val="1"/>
      <w:numFmt w:val="bullet"/>
      <w:lvlText w:val="•"/>
      <w:lvlJc w:val="left"/>
      <w:pPr>
        <w:tabs>
          <w:tab w:val="num" w:pos="3600"/>
        </w:tabs>
        <w:ind w:left="3600" w:hanging="360"/>
      </w:pPr>
      <w:rPr>
        <w:rFonts w:ascii="Arial" w:hAnsi="Arial" w:hint="default"/>
      </w:rPr>
    </w:lvl>
    <w:lvl w:ilvl="5" w:tplc="768685D2" w:tentative="1">
      <w:start w:val="1"/>
      <w:numFmt w:val="bullet"/>
      <w:lvlText w:val="•"/>
      <w:lvlJc w:val="left"/>
      <w:pPr>
        <w:tabs>
          <w:tab w:val="num" w:pos="4320"/>
        </w:tabs>
        <w:ind w:left="4320" w:hanging="360"/>
      </w:pPr>
      <w:rPr>
        <w:rFonts w:ascii="Arial" w:hAnsi="Arial" w:hint="default"/>
      </w:rPr>
    </w:lvl>
    <w:lvl w:ilvl="6" w:tplc="42FC20D6" w:tentative="1">
      <w:start w:val="1"/>
      <w:numFmt w:val="bullet"/>
      <w:lvlText w:val="•"/>
      <w:lvlJc w:val="left"/>
      <w:pPr>
        <w:tabs>
          <w:tab w:val="num" w:pos="5040"/>
        </w:tabs>
        <w:ind w:left="5040" w:hanging="360"/>
      </w:pPr>
      <w:rPr>
        <w:rFonts w:ascii="Arial" w:hAnsi="Arial" w:hint="default"/>
      </w:rPr>
    </w:lvl>
    <w:lvl w:ilvl="7" w:tplc="240E748E" w:tentative="1">
      <w:start w:val="1"/>
      <w:numFmt w:val="bullet"/>
      <w:lvlText w:val="•"/>
      <w:lvlJc w:val="left"/>
      <w:pPr>
        <w:tabs>
          <w:tab w:val="num" w:pos="5760"/>
        </w:tabs>
        <w:ind w:left="5760" w:hanging="360"/>
      </w:pPr>
      <w:rPr>
        <w:rFonts w:ascii="Arial" w:hAnsi="Arial" w:hint="default"/>
      </w:rPr>
    </w:lvl>
    <w:lvl w:ilvl="8" w:tplc="FFC010B8" w:tentative="1">
      <w:start w:val="1"/>
      <w:numFmt w:val="bullet"/>
      <w:lvlText w:val="•"/>
      <w:lvlJc w:val="left"/>
      <w:pPr>
        <w:tabs>
          <w:tab w:val="num" w:pos="6480"/>
        </w:tabs>
        <w:ind w:left="6480" w:hanging="360"/>
      </w:pPr>
      <w:rPr>
        <w:rFonts w:ascii="Arial" w:hAnsi="Arial" w:hint="default"/>
      </w:rPr>
    </w:lvl>
  </w:abstractNum>
  <w:abstractNum w:abstractNumId="15">
    <w:nsid w:val="35943C22"/>
    <w:multiLevelType w:val="hybridMultilevel"/>
    <w:tmpl w:val="7A7091B8"/>
    <w:lvl w:ilvl="0" w:tplc="1C090001">
      <w:start w:val="1"/>
      <w:numFmt w:val="bullet"/>
      <w:lvlText w:val=""/>
      <w:lvlJc w:val="left"/>
      <w:pPr>
        <w:tabs>
          <w:tab w:val="num" w:pos="720"/>
        </w:tabs>
        <w:ind w:left="720" w:hanging="360"/>
      </w:pPr>
      <w:rPr>
        <w:rFonts w:ascii="Symbol" w:hAnsi="Symbol" w:hint="default"/>
      </w:rPr>
    </w:lvl>
    <w:lvl w:ilvl="1" w:tplc="8E109784" w:tentative="1">
      <w:start w:val="1"/>
      <w:numFmt w:val="bullet"/>
      <w:lvlText w:val=""/>
      <w:lvlJc w:val="left"/>
      <w:pPr>
        <w:tabs>
          <w:tab w:val="num" w:pos="1440"/>
        </w:tabs>
        <w:ind w:left="1440" w:hanging="360"/>
      </w:pPr>
      <w:rPr>
        <w:rFonts w:ascii="Wingdings" w:hAnsi="Wingdings" w:hint="default"/>
      </w:rPr>
    </w:lvl>
    <w:lvl w:ilvl="2" w:tplc="1D3CDA6E" w:tentative="1">
      <w:start w:val="1"/>
      <w:numFmt w:val="bullet"/>
      <w:lvlText w:val=""/>
      <w:lvlJc w:val="left"/>
      <w:pPr>
        <w:tabs>
          <w:tab w:val="num" w:pos="2160"/>
        </w:tabs>
        <w:ind w:left="2160" w:hanging="360"/>
      </w:pPr>
      <w:rPr>
        <w:rFonts w:ascii="Wingdings" w:hAnsi="Wingdings" w:hint="default"/>
      </w:rPr>
    </w:lvl>
    <w:lvl w:ilvl="3" w:tplc="3F2611FC" w:tentative="1">
      <w:start w:val="1"/>
      <w:numFmt w:val="bullet"/>
      <w:lvlText w:val=""/>
      <w:lvlJc w:val="left"/>
      <w:pPr>
        <w:tabs>
          <w:tab w:val="num" w:pos="2880"/>
        </w:tabs>
        <w:ind w:left="2880" w:hanging="360"/>
      </w:pPr>
      <w:rPr>
        <w:rFonts w:ascii="Wingdings" w:hAnsi="Wingdings" w:hint="default"/>
      </w:rPr>
    </w:lvl>
    <w:lvl w:ilvl="4" w:tplc="442A893E" w:tentative="1">
      <w:start w:val="1"/>
      <w:numFmt w:val="bullet"/>
      <w:lvlText w:val=""/>
      <w:lvlJc w:val="left"/>
      <w:pPr>
        <w:tabs>
          <w:tab w:val="num" w:pos="3600"/>
        </w:tabs>
        <w:ind w:left="3600" w:hanging="360"/>
      </w:pPr>
      <w:rPr>
        <w:rFonts w:ascii="Wingdings" w:hAnsi="Wingdings" w:hint="default"/>
      </w:rPr>
    </w:lvl>
    <w:lvl w:ilvl="5" w:tplc="8244FFB0" w:tentative="1">
      <w:start w:val="1"/>
      <w:numFmt w:val="bullet"/>
      <w:lvlText w:val=""/>
      <w:lvlJc w:val="left"/>
      <w:pPr>
        <w:tabs>
          <w:tab w:val="num" w:pos="4320"/>
        </w:tabs>
        <w:ind w:left="4320" w:hanging="360"/>
      </w:pPr>
      <w:rPr>
        <w:rFonts w:ascii="Wingdings" w:hAnsi="Wingdings" w:hint="default"/>
      </w:rPr>
    </w:lvl>
    <w:lvl w:ilvl="6" w:tplc="CCECEEF8" w:tentative="1">
      <w:start w:val="1"/>
      <w:numFmt w:val="bullet"/>
      <w:lvlText w:val=""/>
      <w:lvlJc w:val="left"/>
      <w:pPr>
        <w:tabs>
          <w:tab w:val="num" w:pos="5040"/>
        </w:tabs>
        <w:ind w:left="5040" w:hanging="360"/>
      </w:pPr>
      <w:rPr>
        <w:rFonts w:ascii="Wingdings" w:hAnsi="Wingdings" w:hint="default"/>
      </w:rPr>
    </w:lvl>
    <w:lvl w:ilvl="7" w:tplc="326EF0C2" w:tentative="1">
      <w:start w:val="1"/>
      <w:numFmt w:val="bullet"/>
      <w:lvlText w:val=""/>
      <w:lvlJc w:val="left"/>
      <w:pPr>
        <w:tabs>
          <w:tab w:val="num" w:pos="5760"/>
        </w:tabs>
        <w:ind w:left="5760" w:hanging="360"/>
      </w:pPr>
      <w:rPr>
        <w:rFonts w:ascii="Wingdings" w:hAnsi="Wingdings" w:hint="default"/>
      </w:rPr>
    </w:lvl>
    <w:lvl w:ilvl="8" w:tplc="D27ECF76" w:tentative="1">
      <w:start w:val="1"/>
      <w:numFmt w:val="bullet"/>
      <w:lvlText w:val=""/>
      <w:lvlJc w:val="left"/>
      <w:pPr>
        <w:tabs>
          <w:tab w:val="num" w:pos="6480"/>
        </w:tabs>
        <w:ind w:left="6480" w:hanging="360"/>
      </w:pPr>
      <w:rPr>
        <w:rFonts w:ascii="Wingdings" w:hAnsi="Wingdings" w:hint="default"/>
      </w:rPr>
    </w:lvl>
  </w:abstractNum>
  <w:abstractNum w:abstractNumId="16">
    <w:nsid w:val="395062A1"/>
    <w:multiLevelType w:val="hybridMultilevel"/>
    <w:tmpl w:val="0D92E5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B0873BF"/>
    <w:multiLevelType w:val="hybridMultilevel"/>
    <w:tmpl w:val="382437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CDA345D"/>
    <w:multiLevelType w:val="hybridMultilevel"/>
    <w:tmpl w:val="3C665F64"/>
    <w:lvl w:ilvl="0" w:tplc="1298B298">
      <w:start w:val="1"/>
      <w:numFmt w:val="bullet"/>
      <w:lvlText w:val="•"/>
      <w:lvlJc w:val="left"/>
      <w:pPr>
        <w:tabs>
          <w:tab w:val="num" w:pos="720"/>
        </w:tabs>
        <w:ind w:left="720" w:hanging="360"/>
      </w:pPr>
      <w:rPr>
        <w:rFonts w:ascii="Arial" w:hAnsi="Arial" w:hint="default"/>
      </w:rPr>
    </w:lvl>
    <w:lvl w:ilvl="1" w:tplc="2588375A" w:tentative="1">
      <w:start w:val="1"/>
      <w:numFmt w:val="bullet"/>
      <w:lvlText w:val="•"/>
      <w:lvlJc w:val="left"/>
      <w:pPr>
        <w:tabs>
          <w:tab w:val="num" w:pos="1440"/>
        </w:tabs>
        <w:ind w:left="1440" w:hanging="360"/>
      </w:pPr>
      <w:rPr>
        <w:rFonts w:ascii="Arial" w:hAnsi="Arial" w:hint="default"/>
      </w:rPr>
    </w:lvl>
    <w:lvl w:ilvl="2" w:tplc="C902C5CA" w:tentative="1">
      <w:start w:val="1"/>
      <w:numFmt w:val="bullet"/>
      <w:lvlText w:val="•"/>
      <w:lvlJc w:val="left"/>
      <w:pPr>
        <w:tabs>
          <w:tab w:val="num" w:pos="2160"/>
        </w:tabs>
        <w:ind w:left="2160" w:hanging="360"/>
      </w:pPr>
      <w:rPr>
        <w:rFonts w:ascii="Arial" w:hAnsi="Arial" w:hint="default"/>
      </w:rPr>
    </w:lvl>
    <w:lvl w:ilvl="3" w:tplc="857C4DC8" w:tentative="1">
      <w:start w:val="1"/>
      <w:numFmt w:val="bullet"/>
      <w:lvlText w:val="•"/>
      <w:lvlJc w:val="left"/>
      <w:pPr>
        <w:tabs>
          <w:tab w:val="num" w:pos="2880"/>
        </w:tabs>
        <w:ind w:left="2880" w:hanging="360"/>
      </w:pPr>
      <w:rPr>
        <w:rFonts w:ascii="Arial" w:hAnsi="Arial" w:hint="default"/>
      </w:rPr>
    </w:lvl>
    <w:lvl w:ilvl="4" w:tplc="76D66F8A" w:tentative="1">
      <w:start w:val="1"/>
      <w:numFmt w:val="bullet"/>
      <w:lvlText w:val="•"/>
      <w:lvlJc w:val="left"/>
      <w:pPr>
        <w:tabs>
          <w:tab w:val="num" w:pos="3600"/>
        </w:tabs>
        <w:ind w:left="3600" w:hanging="360"/>
      </w:pPr>
      <w:rPr>
        <w:rFonts w:ascii="Arial" w:hAnsi="Arial" w:hint="default"/>
      </w:rPr>
    </w:lvl>
    <w:lvl w:ilvl="5" w:tplc="7E9C9B8E" w:tentative="1">
      <w:start w:val="1"/>
      <w:numFmt w:val="bullet"/>
      <w:lvlText w:val="•"/>
      <w:lvlJc w:val="left"/>
      <w:pPr>
        <w:tabs>
          <w:tab w:val="num" w:pos="4320"/>
        </w:tabs>
        <w:ind w:left="4320" w:hanging="360"/>
      </w:pPr>
      <w:rPr>
        <w:rFonts w:ascii="Arial" w:hAnsi="Arial" w:hint="default"/>
      </w:rPr>
    </w:lvl>
    <w:lvl w:ilvl="6" w:tplc="06CAAFCE" w:tentative="1">
      <w:start w:val="1"/>
      <w:numFmt w:val="bullet"/>
      <w:lvlText w:val="•"/>
      <w:lvlJc w:val="left"/>
      <w:pPr>
        <w:tabs>
          <w:tab w:val="num" w:pos="5040"/>
        </w:tabs>
        <w:ind w:left="5040" w:hanging="360"/>
      </w:pPr>
      <w:rPr>
        <w:rFonts w:ascii="Arial" w:hAnsi="Arial" w:hint="default"/>
      </w:rPr>
    </w:lvl>
    <w:lvl w:ilvl="7" w:tplc="0754920E" w:tentative="1">
      <w:start w:val="1"/>
      <w:numFmt w:val="bullet"/>
      <w:lvlText w:val="•"/>
      <w:lvlJc w:val="left"/>
      <w:pPr>
        <w:tabs>
          <w:tab w:val="num" w:pos="5760"/>
        </w:tabs>
        <w:ind w:left="5760" w:hanging="360"/>
      </w:pPr>
      <w:rPr>
        <w:rFonts w:ascii="Arial" w:hAnsi="Arial" w:hint="default"/>
      </w:rPr>
    </w:lvl>
    <w:lvl w:ilvl="8" w:tplc="8AB27266" w:tentative="1">
      <w:start w:val="1"/>
      <w:numFmt w:val="bullet"/>
      <w:lvlText w:val="•"/>
      <w:lvlJc w:val="left"/>
      <w:pPr>
        <w:tabs>
          <w:tab w:val="num" w:pos="6480"/>
        </w:tabs>
        <w:ind w:left="6480" w:hanging="360"/>
      </w:pPr>
      <w:rPr>
        <w:rFonts w:ascii="Arial" w:hAnsi="Arial" w:hint="default"/>
      </w:rPr>
    </w:lvl>
  </w:abstractNum>
  <w:abstractNum w:abstractNumId="19">
    <w:nsid w:val="432933C3"/>
    <w:multiLevelType w:val="hybridMultilevel"/>
    <w:tmpl w:val="E06404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5714505"/>
    <w:multiLevelType w:val="hybridMultilevel"/>
    <w:tmpl w:val="041C25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C19244A"/>
    <w:multiLevelType w:val="hybridMultilevel"/>
    <w:tmpl w:val="BB94AD4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22">
    <w:nsid w:val="4DCD726D"/>
    <w:multiLevelType w:val="hybridMultilevel"/>
    <w:tmpl w:val="2F147E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8F299C"/>
    <w:multiLevelType w:val="hybridMultilevel"/>
    <w:tmpl w:val="DEB2FE8A"/>
    <w:lvl w:ilvl="0" w:tplc="A3FA26A6">
      <w:start w:val="1"/>
      <w:numFmt w:val="bullet"/>
      <w:lvlText w:val="•"/>
      <w:lvlJc w:val="left"/>
      <w:pPr>
        <w:tabs>
          <w:tab w:val="num" w:pos="720"/>
        </w:tabs>
        <w:ind w:left="720" w:hanging="360"/>
      </w:pPr>
      <w:rPr>
        <w:rFonts w:ascii="Arial" w:hAnsi="Arial" w:hint="default"/>
      </w:rPr>
    </w:lvl>
    <w:lvl w:ilvl="1" w:tplc="052CAA92" w:tentative="1">
      <w:start w:val="1"/>
      <w:numFmt w:val="bullet"/>
      <w:lvlText w:val="•"/>
      <w:lvlJc w:val="left"/>
      <w:pPr>
        <w:tabs>
          <w:tab w:val="num" w:pos="1440"/>
        </w:tabs>
        <w:ind w:left="1440" w:hanging="360"/>
      </w:pPr>
      <w:rPr>
        <w:rFonts w:ascii="Arial" w:hAnsi="Arial" w:hint="default"/>
      </w:rPr>
    </w:lvl>
    <w:lvl w:ilvl="2" w:tplc="31C02190" w:tentative="1">
      <w:start w:val="1"/>
      <w:numFmt w:val="bullet"/>
      <w:lvlText w:val="•"/>
      <w:lvlJc w:val="left"/>
      <w:pPr>
        <w:tabs>
          <w:tab w:val="num" w:pos="2160"/>
        </w:tabs>
        <w:ind w:left="2160" w:hanging="360"/>
      </w:pPr>
      <w:rPr>
        <w:rFonts w:ascii="Arial" w:hAnsi="Arial" w:hint="default"/>
      </w:rPr>
    </w:lvl>
    <w:lvl w:ilvl="3" w:tplc="081A3206" w:tentative="1">
      <w:start w:val="1"/>
      <w:numFmt w:val="bullet"/>
      <w:lvlText w:val="•"/>
      <w:lvlJc w:val="left"/>
      <w:pPr>
        <w:tabs>
          <w:tab w:val="num" w:pos="2880"/>
        </w:tabs>
        <w:ind w:left="2880" w:hanging="360"/>
      </w:pPr>
      <w:rPr>
        <w:rFonts w:ascii="Arial" w:hAnsi="Arial" w:hint="default"/>
      </w:rPr>
    </w:lvl>
    <w:lvl w:ilvl="4" w:tplc="727A126C" w:tentative="1">
      <w:start w:val="1"/>
      <w:numFmt w:val="bullet"/>
      <w:lvlText w:val="•"/>
      <w:lvlJc w:val="left"/>
      <w:pPr>
        <w:tabs>
          <w:tab w:val="num" w:pos="3600"/>
        </w:tabs>
        <w:ind w:left="3600" w:hanging="360"/>
      </w:pPr>
      <w:rPr>
        <w:rFonts w:ascii="Arial" w:hAnsi="Arial" w:hint="default"/>
      </w:rPr>
    </w:lvl>
    <w:lvl w:ilvl="5" w:tplc="25FE0880" w:tentative="1">
      <w:start w:val="1"/>
      <w:numFmt w:val="bullet"/>
      <w:lvlText w:val="•"/>
      <w:lvlJc w:val="left"/>
      <w:pPr>
        <w:tabs>
          <w:tab w:val="num" w:pos="4320"/>
        </w:tabs>
        <w:ind w:left="4320" w:hanging="360"/>
      </w:pPr>
      <w:rPr>
        <w:rFonts w:ascii="Arial" w:hAnsi="Arial" w:hint="default"/>
      </w:rPr>
    </w:lvl>
    <w:lvl w:ilvl="6" w:tplc="7102FDCA" w:tentative="1">
      <w:start w:val="1"/>
      <w:numFmt w:val="bullet"/>
      <w:lvlText w:val="•"/>
      <w:lvlJc w:val="left"/>
      <w:pPr>
        <w:tabs>
          <w:tab w:val="num" w:pos="5040"/>
        </w:tabs>
        <w:ind w:left="5040" w:hanging="360"/>
      </w:pPr>
      <w:rPr>
        <w:rFonts w:ascii="Arial" w:hAnsi="Arial" w:hint="default"/>
      </w:rPr>
    </w:lvl>
    <w:lvl w:ilvl="7" w:tplc="D7A0D284" w:tentative="1">
      <w:start w:val="1"/>
      <w:numFmt w:val="bullet"/>
      <w:lvlText w:val="•"/>
      <w:lvlJc w:val="left"/>
      <w:pPr>
        <w:tabs>
          <w:tab w:val="num" w:pos="5760"/>
        </w:tabs>
        <w:ind w:left="5760" w:hanging="360"/>
      </w:pPr>
      <w:rPr>
        <w:rFonts w:ascii="Arial" w:hAnsi="Arial" w:hint="default"/>
      </w:rPr>
    </w:lvl>
    <w:lvl w:ilvl="8" w:tplc="9C7E2F7C" w:tentative="1">
      <w:start w:val="1"/>
      <w:numFmt w:val="bullet"/>
      <w:lvlText w:val="•"/>
      <w:lvlJc w:val="left"/>
      <w:pPr>
        <w:tabs>
          <w:tab w:val="num" w:pos="6480"/>
        </w:tabs>
        <w:ind w:left="6480" w:hanging="360"/>
      </w:pPr>
      <w:rPr>
        <w:rFonts w:ascii="Arial" w:hAnsi="Arial" w:hint="default"/>
      </w:rPr>
    </w:lvl>
  </w:abstractNum>
  <w:abstractNum w:abstractNumId="24">
    <w:nsid w:val="60696F32"/>
    <w:multiLevelType w:val="hybridMultilevel"/>
    <w:tmpl w:val="3EB87A82"/>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25">
    <w:nsid w:val="68955D5E"/>
    <w:multiLevelType w:val="hybridMultilevel"/>
    <w:tmpl w:val="57DE65EA"/>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26">
    <w:nsid w:val="6CA42084"/>
    <w:multiLevelType w:val="hybridMultilevel"/>
    <w:tmpl w:val="1B2EFF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32C1D8A"/>
    <w:multiLevelType w:val="hybridMultilevel"/>
    <w:tmpl w:val="DAA820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65A3288"/>
    <w:multiLevelType w:val="hybridMultilevel"/>
    <w:tmpl w:val="7278EC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AE7511D"/>
    <w:multiLevelType w:val="hybridMultilevel"/>
    <w:tmpl w:val="19D669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D754C8C"/>
    <w:multiLevelType w:val="hybridMultilevel"/>
    <w:tmpl w:val="CCEE6122"/>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num w:numId="1">
    <w:abstractNumId w:val="10"/>
  </w:num>
  <w:num w:numId="2">
    <w:abstractNumId w:val="30"/>
  </w:num>
  <w:num w:numId="3">
    <w:abstractNumId w:val="25"/>
  </w:num>
  <w:num w:numId="4">
    <w:abstractNumId w:val="14"/>
  </w:num>
  <w:num w:numId="5">
    <w:abstractNumId w:val="23"/>
  </w:num>
  <w:num w:numId="6">
    <w:abstractNumId w:val="2"/>
  </w:num>
  <w:num w:numId="7">
    <w:abstractNumId w:val="7"/>
  </w:num>
  <w:num w:numId="8">
    <w:abstractNumId w:val="0"/>
  </w:num>
  <w:num w:numId="9">
    <w:abstractNumId w:val="15"/>
  </w:num>
  <w:num w:numId="10">
    <w:abstractNumId w:val="18"/>
  </w:num>
  <w:num w:numId="11">
    <w:abstractNumId w:val="22"/>
  </w:num>
  <w:num w:numId="12">
    <w:abstractNumId w:val="28"/>
  </w:num>
  <w:num w:numId="13">
    <w:abstractNumId w:val="9"/>
  </w:num>
  <w:num w:numId="14">
    <w:abstractNumId w:val="11"/>
  </w:num>
  <w:num w:numId="15">
    <w:abstractNumId w:val="17"/>
  </w:num>
  <w:num w:numId="16">
    <w:abstractNumId w:val="16"/>
  </w:num>
  <w:num w:numId="17">
    <w:abstractNumId w:val="29"/>
  </w:num>
  <w:num w:numId="18">
    <w:abstractNumId w:val="13"/>
  </w:num>
  <w:num w:numId="19">
    <w:abstractNumId w:val="3"/>
  </w:num>
  <w:num w:numId="20">
    <w:abstractNumId w:val="19"/>
  </w:num>
  <w:num w:numId="21">
    <w:abstractNumId w:val="6"/>
  </w:num>
  <w:num w:numId="22">
    <w:abstractNumId w:val="21"/>
  </w:num>
  <w:num w:numId="23">
    <w:abstractNumId w:val="20"/>
  </w:num>
  <w:num w:numId="24">
    <w:abstractNumId w:val="5"/>
  </w:num>
  <w:num w:numId="25">
    <w:abstractNumId w:val="24"/>
  </w:num>
  <w:num w:numId="26">
    <w:abstractNumId w:val="12"/>
  </w:num>
  <w:num w:numId="27">
    <w:abstractNumId w:val="1"/>
  </w:num>
  <w:num w:numId="28">
    <w:abstractNumId w:val="8"/>
  </w:num>
  <w:num w:numId="29">
    <w:abstractNumId w:val="26"/>
  </w:num>
  <w:num w:numId="30">
    <w:abstractNumId w:val="4"/>
  </w:num>
  <w:num w:numId="31">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20"/>
  <w:drawingGridHorizontalSpacing w:val="93"/>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D5AB0"/>
    <w:rsid w:val="00011980"/>
    <w:rsid w:val="0001230F"/>
    <w:rsid w:val="00017FCE"/>
    <w:rsid w:val="000211EB"/>
    <w:rsid w:val="00021860"/>
    <w:rsid w:val="00023005"/>
    <w:rsid w:val="000302CA"/>
    <w:rsid w:val="00030B89"/>
    <w:rsid w:val="00031BB4"/>
    <w:rsid w:val="00035406"/>
    <w:rsid w:val="00057510"/>
    <w:rsid w:val="00057CC1"/>
    <w:rsid w:val="00070681"/>
    <w:rsid w:val="000834DE"/>
    <w:rsid w:val="00087173"/>
    <w:rsid w:val="0009547C"/>
    <w:rsid w:val="000A1DFA"/>
    <w:rsid w:val="000A3604"/>
    <w:rsid w:val="000A4B8F"/>
    <w:rsid w:val="000C118A"/>
    <w:rsid w:val="000C1FB8"/>
    <w:rsid w:val="000C4600"/>
    <w:rsid w:val="000D6B5D"/>
    <w:rsid w:val="000E2646"/>
    <w:rsid w:val="000E4C1E"/>
    <w:rsid w:val="000E7DF3"/>
    <w:rsid w:val="000F429F"/>
    <w:rsid w:val="001014C3"/>
    <w:rsid w:val="00102A41"/>
    <w:rsid w:val="0010437F"/>
    <w:rsid w:val="00113F4A"/>
    <w:rsid w:val="001140CA"/>
    <w:rsid w:val="001144E8"/>
    <w:rsid w:val="00116E97"/>
    <w:rsid w:val="00117C42"/>
    <w:rsid w:val="0012140E"/>
    <w:rsid w:val="00153911"/>
    <w:rsid w:val="0015752E"/>
    <w:rsid w:val="00162DFD"/>
    <w:rsid w:val="00163C1C"/>
    <w:rsid w:val="001677C9"/>
    <w:rsid w:val="00167D94"/>
    <w:rsid w:val="00170810"/>
    <w:rsid w:val="001837FC"/>
    <w:rsid w:val="001860DB"/>
    <w:rsid w:val="001966E4"/>
    <w:rsid w:val="001A253E"/>
    <w:rsid w:val="001A2D28"/>
    <w:rsid w:val="001A5E84"/>
    <w:rsid w:val="001A7DB4"/>
    <w:rsid w:val="001B0522"/>
    <w:rsid w:val="001B1A33"/>
    <w:rsid w:val="001B4786"/>
    <w:rsid w:val="001B6936"/>
    <w:rsid w:val="001B7EAA"/>
    <w:rsid w:val="001C35FC"/>
    <w:rsid w:val="001C37F2"/>
    <w:rsid w:val="001D712D"/>
    <w:rsid w:val="001D7378"/>
    <w:rsid w:val="001E017F"/>
    <w:rsid w:val="001E1838"/>
    <w:rsid w:val="001E712D"/>
    <w:rsid w:val="001F1284"/>
    <w:rsid w:val="001F2450"/>
    <w:rsid w:val="001F2E01"/>
    <w:rsid w:val="001F4D4B"/>
    <w:rsid w:val="001F7067"/>
    <w:rsid w:val="001F7262"/>
    <w:rsid w:val="002037AD"/>
    <w:rsid w:val="00207446"/>
    <w:rsid w:val="00210103"/>
    <w:rsid w:val="002156E1"/>
    <w:rsid w:val="00216A76"/>
    <w:rsid w:val="00220CC3"/>
    <w:rsid w:val="00221FF3"/>
    <w:rsid w:val="0022284A"/>
    <w:rsid w:val="00223786"/>
    <w:rsid w:val="00243661"/>
    <w:rsid w:val="002561CB"/>
    <w:rsid w:val="002568A2"/>
    <w:rsid w:val="00267DFD"/>
    <w:rsid w:val="0027172A"/>
    <w:rsid w:val="00277E7B"/>
    <w:rsid w:val="002802C8"/>
    <w:rsid w:val="002820EE"/>
    <w:rsid w:val="00284E50"/>
    <w:rsid w:val="002864AD"/>
    <w:rsid w:val="00296E2F"/>
    <w:rsid w:val="00297AD4"/>
    <w:rsid w:val="002A1D18"/>
    <w:rsid w:val="002A2223"/>
    <w:rsid w:val="002A431D"/>
    <w:rsid w:val="002A6C87"/>
    <w:rsid w:val="002C0E78"/>
    <w:rsid w:val="002D0A80"/>
    <w:rsid w:val="002D682F"/>
    <w:rsid w:val="002E3236"/>
    <w:rsid w:val="002E50E5"/>
    <w:rsid w:val="002E70FC"/>
    <w:rsid w:val="002E738F"/>
    <w:rsid w:val="002F03FB"/>
    <w:rsid w:val="002F06EA"/>
    <w:rsid w:val="002F363A"/>
    <w:rsid w:val="00313833"/>
    <w:rsid w:val="00323D01"/>
    <w:rsid w:val="00323D40"/>
    <w:rsid w:val="00330579"/>
    <w:rsid w:val="00330F9D"/>
    <w:rsid w:val="00331208"/>
    <w:rsid w:val="00332D4B"/>
    <w:rsid w:val="0033300F"/>
    <w:rsid w:val="003352CF"/>
    <w:rsid w:val="003557C9"/>
    <w:rsid w:val="00357178"/>
    <w:rsid w:val="003604E0"/>
    <w:rsid w:val="0036056A"/>
    <w:rsid w:val="00361018"/>
    <w:rsid w:val="00367315"/>
    <w:rsid w:val="00371C89"/>
    <w:rsid w:val="003748AD"/>
    <w:rsid w:val="00380AE8"/>
    <w:rsid w:val="00385507"/>
    <w:rsid w:val="00385DDE"/>
    <w:rsid w:val="003869A6"/>
    <w:rsid w:val="0039409B"/>
    <w:rsid w:val="003A68C7"/>
    <w:rsid w:val="003B2012"/>
    <w:rsid w:val="003B3571"/>
    <w:rsid w:val="003B3ECD"/>
    <w:rsid w:val="003C06C5"/>
    <w:rsid w:val="003C4ED0"/>
    <w:rsid w:val="003D003E"/>
    <w:rsid w:val="003D1E04"/>
    <w:rsid w:val="003D5F92"/>
    <w:rsid w:val="003D6B27"/>
    <w:rsid w:val="003D728A"/>
    <w:rsid w:val="003E35B1"/>
    <w:rsid w:val="003E481D"/>
    <w:rsid w:val="003F0827"/>
    <w:rsid w:val="003F35B5"/>
    <w:rsid w:val="003F3B4B"/>
    <w:rsid w:val="0040509D"/>
    <w:rsid w:val="0040535C"/>
    <w:rsid w:val="0040712E"/>
    <w:rsid w:val="004071C5"/>
    <w:rsid w:val="0041274F"/>
    <w:rsid w:val="00416B50"/>
    <w:rsid w:val="004239AB"/>
    <w:rsid w:val="00443DCD"/>
    <w:rsid w:val="004570E4"/>
    <w:rsid w:val="00464FB9"/>
    <w:rsid w:val="004673EC"/>
    <w:rsid w:val="00470CF3"/>
    <w:rsid w:val="00473440"/>
    <w:rsid w:val="00476A14"/>
    <w:rsid w:val="00484FE3"/>
    <w:rsid w:val="00486731"/>
    <w:rsid w:val="00486E5C"/>
    <w:rsid w:val="004876D8"/>
    <w:rsid w:val="00496B72"/>
    <w:rsid w:val="00497CD6"/>
    <w:rsid w:val="004A51D1"/>
    <w:rsid w:val="004A7188"/>
    <w:rsid w:val="004B251E"/>
    <w:rsid w:val="004C272D"/>
    <w:rsid w:val="004D5554"/>
    <w:rsid w:val="004D7F79"/>
    <w:rsid w:val="004E65BA"/>
    <w:rsid w:val="004E75D2"/>
    <w:rsid w:val="005024EA"/>
    <w:rsid w:val="00502CFD"/>
    <w:rsid w:val="00517082"/>
    <w:rsid w:val="00530EEE"/>
    <w:rsid w:val="0053650D"/>
    <w:rsid w:val="00543DFE"/>
    <w:rsid w:val="00546157"/>
    <w:rsid w:val="0054641B"/>
    <w:rsid w:val="00550057"/>
    <w:rsid w:val="00556F4E"/>
    <w:rsid w:val="00557687"/>
    <w:rsid w:val="00560A46"/>
    <w:rsid w:val="00566683"/>
    <w:rsid w:val="005700DE"/>
    <w:rsid w:val="00570D39"/>
    <w:rsid w:val="0058465B"/>
    <w:rsid w:val="005A2837"/>
    <w:rsid w:val="005B4CF4"/>
    <w:rsid w:val="005C2640"/>
    <w:rsid w:val="005C7FC7"/>
    <w:rsid w:val="005D0739"/>
    <w:rsid w:val="005D23B1"/>
    <w:rsid w:val="005D356C"/>
    <w:rsid w:val="005D385E"/>
    <w:rsid w:val="005D5775"/>
    <w:rsid w:val="005E20E4"/>
    <w:rsid w:val="006026F9"/>
    <w:rsid w:val="00602E1A"/>
    <w:rsid w:val="0060367D"/>
    <w:rsid w:val="00605301"/>
    <w:rsid w:val="00607B37"/>
    <w:rsid w:val="00610A9E"/>
    <w:rsid w:val="0061490F"/>
    <w:rsid w:val="0061519D"/>
    <w:rsid w:val="00632F3D"/>
    <w:rsid w:val="00632FAE"/>
    <w:rsid w:val="00635839"/>
    <w:rsid w:val="00635B19"/>
    <w:rsid w:val="006371A8"/>
    <w:rsid w:val="00642BCE"/>
    <w:rsid w:val="00645E6A"/>
    <w:rsid w:val="00647C91"/>
    <w:rsid w:val="00657BA3"/>
    <w:rsid w:val="00660342"/>
    <w:rsid w:val="00660646"/>
    <w:rsid w:val="0067332A"/>
    <w:rsid w:val="00676739"/>
    <w:rsid w:val="006808E1"/>
    <w:rsid w:val="00686B61"/>
    <w:rsid w:val="006952AB"/>
    <w:rsid w:val="006968FB"/>
    <w:rsid w:val="006971B4"/>
    <w:rsid w:val="00697BDC"/>
    <w:rsid w:val="006A01D0"/>
    <w:rsid w:val="006B23D3"/>
    <w:rsid w:val="006C0827"/>
    <w:rsid w:val="006C1B71"/>
    <w:rsid w:val="006C435D"/>
    <w:rsid w:val="006D309F"/>
    <w:rsid w:val="006D4A96"/>
    <w:rsid w:val="006E0D05"/>
    <w:rsid w:val="006E1805"/>
    <w:rsid w:val="006E1F38"/>
    <w:rsid w:val="006E4517"/>
    <w:rsid w:val="006F661F"/>
    <w:rsid w:val="006F6D11"/>
    <w:rsid w:val="0070063C"/>
    <w:rsid w:val="00705DA9"/>
    <w:rsid w:val="007071DB"/>
    <w:rsid w:val="00715424"/>
    <w:rsid w:val="00716CF6"/>
    <w:rsid w:val="00735046"/>
    <w:rsid w:val="00752AE4"/>
    <w:rsid w:val="00756648"/>
    <w:rsid w:val="00756AC5"/>
    <w:rsid w:val="00757B88"/>
    <w:rsid w:val="00757D03"/>
    <w:rsid w:val="00763B27"/>
    <w:rsid w:val="00765B6F"/>
    <w:rsid w:val="0076634B"/>
    <w:rsid w:val="00767C91"/>
    <w:rsid w:val="00772630"/>
    <w:rsid w:val="00783159"/>
    <w:rsid w:val="00792EE4"/>
    <w:rsid w:val="00797775"/>
    <w:rsid w:val="007A6BBB"/>
    <w:rsid w:val="007B40CF"/>
    <w:rsid w:val="007B4213"/>
    <w:rsid w:val="007B6CF6"/>
    <w:rsid w:val="007C2FBD"/>
    <w:rsid w:val="007C553F"/>
    <w:rsid w:val="007C6539"/>
    <w:rsid w:val="007D5E72"/>
    <w:rsid w:val="007D67BB"/>
    <w:rsid w:val="007E2963"/>
    <w:rsid w:val="007E565A"/>
    <w:rsid w:val="007F4EC4"/>
    <w:rsid w:val="007F6500"/>
    <w:rsid w:val="007F6BB3"/>
    <w:rsid w:val="00810934"/>
    <w:rsid w:val="00812018"/>
    <w:rsid w:val="00812B66"/>
    <w:rsid w:val="00816AA8"/>
    <w:rsid w:val="00816D25"/>
    <w:rsid w:val="00817CD6"/>
    <w:rsid w:val="00820E7D"/>
    <w:rsid w:val="00821152"/>
    <w:rsid w:val="0084236F"/>
    <w:rsid w:val="00845A76"/>
    <w:rsid w:val="00846FBB"/>
    <w:rsid w:val="00853939"/>
    <w:rsid w:val="0085684D"/>
    <w:rsid w:val="00862EF8"/>
    <w:rsid w:val="00870883"/>
    <w:rsid w:val="00874381"/>
    <w:rsid w:val="0088053B"/>
    <w:rsid w:val="0088728E"/>
    <w:rsid w:val="00896ACC"/>
    <w:rsid w:val="008A738D"/>
    <w:rsid w:val="008B27F5"/>
    <w:rsid w:val="008C0C5D"/>
    <w:rsid w:val="008D25F0"/>
    <w:rsid w:val="008D31A4"/>
    <w:rsid w:val="008D42BE"/>
    <w:rsid w:val="008D4ACE"/>
    <w:rsid w:val="008D7593"/>
    <w:rsid w:val="008E38D4"/>
    <w:rsid w:val="008E4E07"/>
    <w:rsid w:val="008E4EE5"/>
    <w:rsid w:val="008E6190"/>
    <w:rsid w:val="008E7AA6"/>
    <w:rsid w:val="009022F1"/>
    <w:rsid w:val="009070EC"/>
    <w:rsid w:val="00907EB4"/>
    <w:rsid w:val="00912946"/>
    <w:rsid w:val="00912C45"/>
    <w:rsid w:val="0091498A"/>
    <w:rsid w:val="00915EF5"/>
    <w:rsid w:val="0092403B"/>
    <w:rsid w:val="00934C56"/>
    <w:rsid w:val="00935C0E"/>
    <w:rsid w:val="0093683D"/>
    <w:rsid w:val="00937E6B"/>
    <w:rsid w:val="00944166"/>
    <w:rsid w:val="009513DB"/>
    <w:rsid w:val="00954052"/>
    <w:rsid w:val="00954E5D"/>
    <w:rsid w:val="00962B0F"/>
    <w:rsid w:val="0096307F"/>
    <w:rsid w:val="00973B7B"/>
    <w:rsid w:val="009823A4"/>
    <w:rsid w:val="009851C7"/>
    <w:rsid w:val="0099411A"/>
    <w:rsid w:val="00996079"/>
    <w:rsid w:val="009A3F47"/>
    <w:rsid w:val="009A487C"/>
    <w:rsid w:val="009A7655"/>
    <w:rsid w:val="009A7810"/>
    <w:rsid w:val="009B0A71"/>
    <w:rsid w:val="009B1321"/>
    <w:rsid w:val="009B3468"/>
    <w:rsid w:val="009C062D"/>
    <w:rsid w:val="009C48E2"/>
    <w:rsid w:val="009C7DD4"/>
    <w:rsid w:val="009D0C68"/>
    <w:rsid w:val="009D0E5F"/>
    <w:rsid w:val="009D329F"/>
    <w:rsid w:val="009D4B55"/>
    <w:rsid w:val="009D7C35"/>
    <w:rsid w:val="009F36CE"/>
    <w:rsid w:val="00A1272B"/>
    <w:rsid w:val="00A25B2A"/>
    <w:rsid w:val="00A30DD4"/>
    <w:rsid w:val="00A46774"/>
    <w:rsid w:val="00A47D82"/>
    <w:rsid w:val="00A508CB"/>
    <w:rsid w:val="00A51CAF"/>
    <w:rsid w:val="00A578C3"/>
    <w:rsid w:val="00A62513"/>
    <w:rsid w:val="00A63948"/>
    <w:rsid w:val="00A66831"/>
    <w:rsid w:val="00A67B72"/>
    <w:rsid w:val="00A712F9"/>
    <w:rsid w:val="00A80B2F"/>
    <w:rsid w:val="00A8205E"/>
    <w:rsid w:val="00A8258A"/>
    <w:rsid w:val="00A826C5"/>
    <w:rsid w:val="00A838BE"/>
    <w:rsid w:val="00A8739C"/>
    <w:rsid w:val="00A90035"/>
    <w:rsid w:val="00A91879"/>
    <w:rsid w:val="00A95CF7"/>
    <w:rsid w:val="00A96E75"/>
    <w:rsid w:val="00AA1B5D"/>
    <w:rsid w:val="00AA3525"/>
    <w:rsid w:val="00AA5BC8"/>
    <w:rsid w:val="00AB28EC"/>
    <w:rsid w:val="00AB4467"/>
    <w:rsid w:val="00AB6982"/>
    <w:rsid w:val="00AC0210"/>
    <w:rsid w:val="00AC7AAB"/>
    <w:rsid w:val="00AE544E"/>
    <w:rsid w:val="00AE6414"/>
    <w:rsid w:val="00AE6D7D"/>
    <w:rsid w:val="00AF08CC"/>
    <w:rsid w:val="00AF198E"/>
    <w:rsid w:val="00AF1D49"/>
    <w:rsid w:val="00AF6208"/>
    <w:rsid w:val="00B02470"/>
    <w:rsid w:val="00B03256"/>
    <w:rsid w:val="00B0623C"/>
    <w:rsid w:val="00B1275C"/>
    <w:rsid w:val="00B134DB"/>
    <w:rsid w:val="00B15CEB"/>
    <w:rsid w:val="00B17834"/>
    <w:rsid w:val="00B21417"/>
    <w:rsid w:val="00B26E9A"/>
    <w:rsid w:val="00B3655A"/>
    <w:rsid w:val="00B40F53"/>
    <w:rsid w:val="00B412BF"/>
    <w:rsid w:val="00B521BC"/>
    <w:rsid w:val="00B643E2"/>
    <w:rsid w:val="00B6489D"/>
    <w:rsid w:val="00B65E80"/>
    <w:rsid w:val="00B7027B"/>
    <w:rsid w:val="00B70C2C"/>
    <w:rsid w:val="00B724BD"/>
    <w:rsid w:val="00B72A9B"/>
    <w:rsid w:val="00B82ABE"/>
    <w:rsid w:val="00B940CD"/>
    <w:rsid w:val="00B94421"/>
    <w:rsid w:val="00B9779B"/>
    <w:rsid w:val="00BA4034"/>
    <w:rsid w:val="00BA5B5A"/>
    <w:rsid w:val="00BA6370"/>
    <w:rsid w:val="00BB6744"/>
    <w:rsid w:val="00BC0343"/>
    <w:rsid w:val="00BC0553"/>
    <w:rsid w:val="00BC653B"/>
    <w:rsid w:val="00BD32CD"/>
    <w:rsid w:val="00BD5AB0"/>
    <w:rsid w:val="00BD62D0"/>
    <w:rsid w:val="00BF4B68"/>
    <w:rsid w:val="00BF4E50"/>
    <w:rsid w:val="00C01204"/>
    <w:rsid w:val="00C04C70"/>
    <w:rsid w:val="00C05583"/>
    <w:rsid w:val="00C077F8"/>
    <w:rsid w:val="00C202ED"/>
    <w:rsid w:val="00C22CC8"/>
    <w:rsid w:val="00C23667"/>
    <w:rsid w:val="00C34E1D"/>
    <w:rsid w:val="00C44C8E"/>
    <w:rsid w:val="00C4706B"/>
    <w:rsid w:val="00C477C6"/>
    <w:rsid w:val="00C47E54"/>
    <w:rsid w:val="00C53E94"/>
    <w:rsid w:val="00C561EA"/>
    <w:rsid w:val="00C6621B"/>
    <w:rsid w:val="00C749CA"/>
    <w:rsid w:val="00C852BF"/>
    <w:rsid w:val="00CA2CB7"/>
    <w:rsid w:val="00CA4F61"/>
    <w:rsid w:val="00CB59D4"/>
    <w:rsid w:val="00CB6D96"/>
    <w:rsid w:val="00CC1935"/>
    <w:rsid w:val="00CC4826"/>
    <w:rsid w:val="00CD2102"/>
    <w:rsid w:val="00CD3CD1"/>
    <w:rsid w:val="00CD401E"/>
    <w:rsid w:val="00CD65CE"/>
    <w:rsid w:val="00CD7844"/>
    <w:rsid w:val="00CE0AF8"/>
    <w:rsid w:val="00CE34B2"/>
    <w:rsid w:val="00CE39AC"/>
    <w:rsid w:val="00CE50EF"/>
    <w:rsid w:val="00CE53EB"/>
    <w:rsid w:val="00CE5A27"/>
    <w:rsid w:val="00CF4720"/>
    <w:rsid w:val="00CF6BDF"/>
    <w:rsid w:val="00CF6FAD"/>
    <w:rsid w:val="00D03340"/>
    <w:rsid w:val="00D041D0"/>
    <w:rsid w:val="00D06A4D"/>
    <w:rsid w:val="00D13C10"/>
    <w:rsid w:val="00D1447D"/>
    <w:rsid w:val="00D20D48"/>
    <w:rsid w:val="00D262A4"/>
    <w:rsid w:val="00D32104"/>
    <w:rsid w:val="00D37C04"/>
    <w:rsid w:val="00D43999"/>
    <w:rsid w:val="00D43DE7"/>
    <w:rsid w:val="00D53C82"/>
    <w:rsid w:val="00D5505A"/>
    <w:rsid w:val="00D60566"/>
    <w:rsid w:val="00D63E77"/>
    <w:rsid w:val="00D64AB5"/>
    <w:rsid w:val="00D81758"/>
    <w:rsid w:val="00D81976"/>
    <w:rsid w:val="00D8380C"/>
    <w:rsid w:val="00D90276"/>
    <w:rsid w:val="00DA26F1"/>
    <w:rsid w:val="00DA4699"/>
    <w:rsid w:val="00DA4D17"/>
    <w:rsid w:val="00DA671B"/>
    <w:rsid w:val="00DA7189"/>
    <w:rsid w:val="00DA7A16"/>
    <w:rsid w:val="00DC7119"/>
    <w:rsid w:val="00DD10C7"/>
    <w:rsid w:val="00DD2779"/>
    <w:rsid w:val="00DD2792"/>
    <w:rsid w:val="00DE0A3E"/>
    <w:rsid w:val="00DF20A8"/>
    <w:rsid w:val="00E0456E"/>
    <w:rsid w:val="00E04F77"/>
    <w:rsid w:val="00E22025"/>
    <w:rsid w:val="00E308CB"/>
    <w:rsid w:val="00E33C22"/>
    <w:rsid w:val="00E34564"/>
    <w:rsid w:val="00E35123"/>
    <w:rsid w:val="00E37DF5"/>
    <w:rsid w:val="00E46FF3"/>
    <w:rsid w:val="00E478B3"/>
    <w:rsid w:val="00E5724C"/>
    <w:rsid w:val="00E57A97"/>
    <w:rsid w:val="00E61B7D"/>
    <w:rsid w:val="00E64ACB"/>
    <w:rsid w:val="00E6528C"/>
    <w:rsid w:val="00E712EC"/>
    <w:rsid w:val="00E7238D"/>
    <w:rsid w:val="00E7334D"/>
    <w:rsid w:val="00E824C4"/>
    <w:rsid w:val="00EA03C3"/>
    <w:rsid w:val="00EA3A27"/>
    <w:rsid w:val="00EA5DD2"/>
    <w:rsid w:val="00EA6710"/>
    <w:rsid w:val="00EC18C6"/>
    <w:rsid w:val="00EE0417"/>
    <w:rsid w:val="00EE492E"/>
    <w:rsid w:val="00EE5DA8"/>
    <w:rsid w:val="00EF7624"/>
    <w:rsid w:val="00F00343"/>
    <w:rsid w:val="00F024AC"/>
    <w:rsid w:val="00F104E5"/>
    <w:rsid w:val="00F25B89"/>
    <w:rsid w:val="00F26EF9"/>
    <w:rsid w:val="00F2753D"/>
    <w:rsid w:val="00F307E3"/>
    <w:rsid w:val="00F33267"/>
    <w:rsid w:val="00F347B9"/>
    <w:rsid w:val="00F36F02"/>
    <w:rsid w:val="00F40A29"/>
    <w:rsid w:val="00F47732"/>
    <w:rsid w:val="00F57B7D"/>
    <w:rsid w:val="00F71E0E"/>
    <w:rsid w:val="00F727FC"/>
    <w:rsid w:val="00F7742C"/>
    <w:rsid w:val="00F776A7"/>
    <w:rsid w:val="00F815E3"/>
    <w:rsid w:val="00F82355"/>
    <w:rsid w:val="00F87467"/>
    <w:rsid w:val="00F932CC"/>
    <w:rsid w:val="00F94944"/>
    <w:rsid w:val="00FA4707"/>
    <w:rsid w:val="00FB036C"/>
    <w:rsid w:val="00FB5D9A"/>
    <w:rsid w:val="00FB62DB"/>
    <w:rsid w:val="00FC0401"/>
    <w:rsid w:val="00FC09EF"/>
    <w:rsid w:val="00FC5664"/>
    <w:rsid w:val="00FD1380"/>
    <w:rsid w:val="00FD489E"/>
    <w:rsid w:val="00FD68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 type="connector" idref="#Straight Arrow Connector 12"/>
        <o:r id="V:Rule2" type="connector" idref="#Straight Arrow Connector 11"/>
        <o:r id="V:Rule3" type="connector" idref="#Straight Arrow Connector 10"/>
        <o:r id="V:Rule4"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EB"/>
    <w:rPr>
      <w:rFonts w:ascii="Arial" w:hAnsi="Arial"/>
      <w:color w:val="001F00"/>
      <w:spacing w:val="6"/>
      <w:sz w:val="18"/>
      <w:szCs w:val="18"/>
      <w:lang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uiPriority w:val="99"/>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uiPriority w:val="99"/>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basedOn w:val="Normal"/>
    <w:uiPriority w:val="34"/>
    <w:qFormat/>
    <w:rsid w:val="00A46774"/>
    <w:pPr>
      <w:ind w:left="720"/>
      <w:contextualSpacing/>
    </w:pPr>
  </w:style>
  <w:style w:type="paragraph" w:customStyle="1" w:styleId="Default">
    <w:name w:val="Default"/>
    <w:rsid w:val="00476A14"/>
    <w:pPr>
      <w:autoSpaceDE w:val="0"/>
      <w:autoSpaceDN w:val="0"/>
      <w:adjustRightInd w:val="0"/>
    </w:pPr>
    <w:rPr>
      <w:rFonts w:ascii="Calibri" w:hAnsi="Calibri" w:cs="Calibri"/>
      <w:color w:val="000000"/>
      <w:sz w:val="24"/>
      <w:szCs w:val="24"/>
    </w:rPr>
  </w:style>
  <w:style w:type="paragraph" w:styleId="FootnoteText">
    <w:name w:val="footnote text"/>
    <w:aliases w:val="Footnote Text Char1,Footnote Text Char Char"/>
    <w:basedOn w:val="Normal"/>
    <w:link w:val="FootnoteTextChar"/>
    <w:rsid w:val="00476A14"/>
    <w:rPr>
      <w:sz w:val="20"/>
      <w:szCs w:val="20"/>
    </w:rPr>
  </w:style>
  <w:style w:type="character" w:customStyle="1" w:styleId="FootnoteTextChar">
    <w:name w:val="Footnote Text Char"/>
    <w:aliases w:val="Footnote Text Char1 Char,Footnote Text Char Char Char"/>
    <w:basedOn w:val="DefaultParagraphFont"/>
    <w:link w:val="FootnoteText"/>
    <w:rsid w:val="00476A14"/>
    <w:rPr>
      <w:rFonts w:ascii="Arial" w:hAnsi="Arial"/>
      <w:color w:val="001F00"/>
      <w:spacing w:val="6"/>
      <w:lang w:eastAsia="en-GB"/>
    </w:rPr>
  </w:style>
  <w:style w:type="character" w:styleId="FootnoteReference">
    <w:name w:val="footnote reference"/>
    <w:basedOn w:val="DefaultParagraphFont"/>
    <w:rsid w:val="00476A14"/>
    <w:rPr>
      <w:vertAlign w:val="superscript"/>
    </w:rPr>
  </w:style>
  <w:style w:type="paragraph" w:styleId="NormalWeb">
    <w:name w:val="Normal (Web)"/>
    <w:basedOn w:val="Normal"/>
    <w:uiPriority w:val="99"/>
    <w:rsid w:val="001B4786"/>
    <w:pPr>
      <w:spacing w:before="100" w:beforeAutospacing="1" w:after="100" w:afterAutospacing="1"/>
    </w:pPr>
    <w:rPr>
      <w:rFonts w:cs="Arial"/>
      <w:color w:val="auto"/>
      <w:spacing w:val="0"/>
      <w:sz w:val="20"/>
      <w:szCs w:val="20"/>
      <w:lang w:val="en-GB"/>
    </w:rPr>
  </w:style>
  <w:style w:type="character" w:styleId="Strong">
    <w:name w:val="Strong"/>
    <w:basedOn w:val="DefaultParagraphFont"/>
    <w:uiPriority w:val="22"/>
    <w:qFormat/>
    <w:rsid w:val="00CD401E"/>
    <w:rPr>
      <w:b/>
      <w:bCs/>
    </w:rPr>
  </w:style>
  <w:style w:type="paragraph" w:styleId="NoSpacing">
    <w:name w:val="No Spacing"/>
    <w:uiPriority w:val="1"/>
    <w:qFormat/>
    <w:rsid w:val="002C0E78"/>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6902323">
      <w:bodyDiv w:val="1"/>
      <w:marLeft w:val="0"/>
      <w:marRight w:val="0"/>
      <w:marTop w:val="0"/>
      <w:marBottom w:val="0"/>
      <w:divBdr>
        <w:top w:val="none" w:sz="0" w:space="0" w:color="auto"/>
        <w:left w:val="none" w:sz="0" w:space="0" w:color="auto"/>
        <w:bottom w:val="none" w:sz="0" w:space="0" w:color="auto"/>
        <w:right w:val="none" w:sz="0" w:space="0" w:color="auto"/>
      </w:divBdr>
      <w:divsChild>
        <w:div w:id="396321025">
          <w:marLeft w:val="0"/>
          <w:marRight w:val="0"/>
          <w:marTop w:val="0"/>
          <w:marBottom w:val="0"/>
          <w:divBdr>
            <w:top w:val="none" w:sz="0" w:space="0" w:color="auto"/>
            <w:left w:val="none" w:sz="0" w:space="0" w:color="auto"/>
            <w:bottom w:val="none" w:sz="0" w:space="0" w:color="auto"/>
            <w:right w:val="none" w:sz="0" w:space="0" w:color="auto"/>
          </w:divBdr>
          <w:divsChild>
            <w:div w:id="1843350193">
              <w:marLeft w:val="0"/>
              <w:marRight w:val="0"/>
              <w:marTop w:val="0"/>
              <w:marBottom w:val="0"/>
              <w:divBdr>
                <w:top w:val="none" w:sz="0" w:space="0" w:color="auto"/>
                <w:left w:val="none" w:sz="0" w:space="0" w:color="auto"/>
                <w:bottom w:val="none" w:sz="0" w:space="0" w:color="auto"/>
                <w:right w:val="none" w:sz="0" w:space="0" w:color="auto"/>
              </w:divBdr>
              <w:divsChild>
                <w:div w:id="1100611804">
                  <w:marLeft w:val="0"/>
                  <w:marRight w:val="0"/>
                  <w:marTop w:val="0"/>
                  <w:marBottom w:val="0"/>
                  <w:divBdr>
                    <w:top w:val="none" w:sz="0" w:space="0" w:color="auto"/>
                    <w:left w:val="none" w:sz="0" w:space="0" w:color="auto"/>
                    <w:bottom w:val="none" w:sz="0" w:space="0" w:color="auto"/>
                    <w:right w:val="none" w:sz="0" w:space="0" w:color="auto"/>
                  </w:divBdr>
                  <w:divsChild>
                    <w:div w:id="1869905370">
                      <w:marLeft w:val="0"/>
                      <w:marRight w:val="0"/>
                      <w:marTop w:val="0"/>
                      <w:marBottom w:val="0"/>
                      <w:divBdr>
                        <w:top w:val="none" w:sz="0" w:space="0" w:color="auto"/>
                        <w:left w:val="none" w:sz="0" w:space="0" w:color="auto"/>
                        <w:bottom w:val="none" w:sz="0" w:space="0" w:color="auto"/>
                        <w:right w:val="none" w:sz="0" w:space="0" w:color="auto"/>
                      </w:divBdr>
                      <w:divsChild>
                        <w:div w:id="918565337">
                          <w:marLeft w:val="0"/>
                          <w:marRight w:val="0"/>
                          <w:marTop w:val="0"/>
                          <w:marBottom w:val="0"/>
                          <w:divBdr>
                            <w:top w:val="none" w:sz="0" w:space="0" w:color="auto"/>
                            <w:left w:val="none" w:sz="0" w:space="0" w:color="auto"/>
                            <w:bottom w:val="none" w:sz="0" w:space="0" w:color="auto"/>
                            <w:right w:val="none" w:sz="0" w:space="0" w:color="auto"/>
                          </w:divBdr>
                          <w:divsChild>
                            <w:div w:id="1730374972">
                              <w:marLeft w:val="0"/>
                              <w:marRight w:val="0"/>
                              <w:marTop w:val="0"/>
                              <w:marBottom w:val="0"/>
                              <w:divBdr>
                                <w:top w:val="none" w:sz="0" w:space="0" w:color="auto"/>
                                <w:left w:val="none" w:sz="0" w:space="0" w:color="auto"/>
                                <w:bottom w:val="none" w:sz="0" w:space="0" w:color="auto"/>
                                <w:right w:val="none" w:sz="0" w:space="0" w:color="auto"/>
                              </w:divBdr>
                              <w:divsChild>
                                <w:div w:id="1782987412">
                                  <w:marLeft w:val="0"/>
                                  <w:marRight w:val="0"/>
                                  <w:marTop w:val="0"/>
                                  <w:marBottom w:val="0"/>
                                  <w:divBdr>
                                    <w:top w:val="none" w:sz="0" w:space="0" w:color="auto"/>
                                    <w:left w:val="none" w:sz="0" w:space="0" w:color="auto"/>
                                    <w:bottom w:val="none" w:sz="0" w:space="0" w:color="auto"/>
                                    <w:right w:val="none" w:sz="0" w:space="0" w:color="auto"/>
                                  </w:divBdr>
                                  <w:divsChild>
                                    <w:div w:id="316610281">
                                      <w:marLeft w:val="0"/>
                                      <w:marRight w:val="0"/>
                                      <w:marTop w:val="0"/>
                                      <w:marBottom w:val="0"/>
                                      <w:divBdr>
                                        <w:top w:val="none" w:sz="0" w:space="0" w:color="auto"/>
                                        <w:left w:val="none" w:sz="0" w:space="0" w:color="auto"/>
                                        <w:bottom w:val="none" w:sz="0" w:space="0" w:color="auto"/>
                                        <w:right w:val="none" w:sz="0" w:space="0" w:color="auto"/>
                                      </w:divBdr>
                                      <w:divsChild>
                                        <w:div w:id="641470005">
                                          <w:marLeft w:val="0"/>
                                          <w:marRight w:val="0"/>
                                          <w:marTop w:val="0"/>
                                          <w:marBottom w:val="0"/>
                                          <w:divBdr>
                                            <w:top w:val="none" w:sz="0" w:space="0" w:color="auto"/>
                                            <w:left w:val="none" w:sz="0" w:space="0" w:color="auto"/>
                                            <w:bottom w:val="none" w:sz="0" w:space="0" w:color="auto"/>
                                            <w:right w:val="none" w:sz="0" w:space="0" w:color="auto"/>
                                          </w:divBdr>
                                          <w:divsChild>
                                            <w:div w:id="311914558">
                                              <w:marLeft w:val="0"/>
                                              <w:marRight w:val="0"/>
                                              <w:marTop w:val="0"/>
                                              <w:marBottom w:val="0"/>
                                              <w:divBdr>
                                                <w:top w:val="none" w:sz="0" w:space="0" w:color="auto"/>
                                                <w:left w:val="none" w:sz="0" w:space="0" w:color="auto"/>
                                                <w:bottom w:val="none" w:sz="0" w:space="0" w:color="auto"/>
                                                <w:right w:val="none" w:sz="0" w:space="0" w:color="auto"/>
                                              </w:divBdr>
                                              <w:divsChild>
                                                <w:div w:id="1549605603">
                                                  <w:marLeft w:val="0"/>
                                                  <w:marRight w:val="0"/>
                                                  <w:marTop w:val="0"/>
                                                  <w:marBottom w:val="0"/>
                                                  <w:divBdr>
                                                    <w:top w:val="none" w:sz="0" w:space="0" w:color="auto"/>
                                                    <w:left w:val="none" w:sz="0" w:space="0" w:color="auto"/>
                                                    <w:bottom w:val="none" w:sz="0" w:space="0" w:color="auto"/>
                                                    <w:right w:val="none" w:sz="0" w:space="0" w:color="auto"/>
                                                  </w:divBdr>
                                                  <w:divsChild>
                                                    <w:div w:id="70320991">
                                                      <w:marLeft w:val="0"/>
                                                      <w:marRight w:val="0"/>
                                                      <w:marTop w:val="0"/>
                                                      <w:marBottom w:val="0"/>
                                                      <w:divBdr>
                                                        <w:top w:val="none" w:sz="0" w:space="0" w:color="auto"/>
                                                        <w:left w:val="none" w:sz="0" w:space="0" w:color="auto"/>
                                                        <w:bottom w:val="none" w:sz="0" w:space="0" w:color="auto"/>
                                                        <w:right w:val="none" w:sz="0" w:space="0" w:color="auto"/>
                                                      </w:divBdr>
                                                      <w:divsChild>
                                                        <w:div w:id="1015183535">
                                                          <w:marLeft w:val="0"/>
                                                          <w:marRight w:val="0"/>
                                                          <w:marTop w:val="0"/>
                                                          <w:marBottom w:val="0"/>
                                                          <w:divBdr>
                                                            <w:top w:val="none" w:sz="0" w:space="0" w:color="auto"/>
                                                            <w:left w:val="none" w:sz="0" w:space="0" w:color="auto"/>
                                                            <w:bottom w:val="none" w:sz="0" w:space="0" w:color="auto"/>
                                                            <w:right w:val="none" w:sz="0" w:space="0" w:color="auto"/>
                                                          </w:divBdr>
                                                          <w:divsChild>
                                                            <w:div w:id="911699714">
                                                              <w:marLeft w:val="0"/>
                                                              <w:marRight w:val="0"/>
                                                              <w:marTop w:val="0"/>
                                                              <w:marBottom w:val="0"/>
                                                              <w:divBdr>
                                                                <w:top w:val="none" w:sz="0" w:space="0" w:color="auto"/>
                                                                <w:left w:val="none" w:sz="0" w:space="0" w:color="auto"/>
                                                                <w:bottom w:val="none" w:sz="0" w:space="0" w:color="auto"/>
                                                                <w:right w:val="none" w:sz="0" w:space="0" w:color="auto"/>
                                                              </w:divBdr>
                                                              <w:divsChild>
                                                                <w:div w:id="1791590370">
                                                                  <w:marLeft w:val="0"/>
                                                                  <w:marRight w:val="0"/>
                                                                  <w:marTop w:val="0"/>
                                                                  <w:marBottom w:val="0"/>
                                                                  <w:divBdr>
                                                                    <w:top w:val="none" w:sz="0" w:space="0" w:color="auto"/>
                                                                    <w:left w:val="none" w:sz="0" w:space="0" w:color="auto"/>
                                                                    <w:bottom w:val="none" w:sz="0" w:space="0" w:color="auto"/>
                                                                    <w:right w:val="none" w:sz="0" w:space="0" w:color="auto"/>
                                                                  </w:divBdr>
                                                                  <w:divsChild>
                                                                    <w:div w:id="818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608711">
      <w:bodyDiv w:val="1"/>
      <w:marLeft w:val="0"/>
      <w:marRight w:val="0"/>
      <w:marTop w:val="0"/>
      <w:marBottom w:val="0"/>
      <w:divBdr>
        <w:top w:val="none" w:sz="0" w:space="0" w:color="auto"/>
        <w:left w:val="none" w:sz="0" w:space="0" w:color="auto"/>
        <w:bottom w:val="none" w:sz="0" w:space="0" w:color="auto"/>
        <w:right w:val="none" w:sz="0" w:space="0" w:color="auto"/>
      </w:divBdr>
    </w:div>
    <w:div w:id="537397689">
      <w:bodyDiv w:val="1"/>
      <w:marLeft w:val="0"/>
      <w:marRight w:val="0"/>
      <w:marTop w:val="0"/>
      <w:marBottom w:val="0"/>
      <w:divBdr>
        <w:top w:val="none" w:sz="0" w:space="0" w:color="auto"/>
        <w:left w:val="none" w:sz="0" w:space="0" w:color="auto"/>
        <w:bottom w:val="none" w:sz="0" w:space="0" w:color="auto"/>
        <w:right w:val="none" w:sz="0" w:space="0" w:color="auto"/>
      </w:divBdr>
      <w:divsChild>
        <w:div w:id="996417319">
          <w:marLeft w:val="360"/>
          <w:marRight w:val="0"/>
          <w:marTop w:val="0"/>
          <w:marBottom w:val="0"/>
          <w:divBdr>
            <w:top w:val="none" w:sz="0" w:space="0" w:color="auto"/>
            <w:left w:val="none" w:sz="0" w:space="0" w:color="auto"/>
            <w:bottom w:val="none" w:sz="0" w:space="0" w:color="auto"/>
            <w:right w:val="none" w:sz="0" w:space="0" w:color="auto"/>
          </w:divBdr>
        </w:div>
      </w:divsChild>
    </w:div>
    <w:div w:id="653484708">
      <w:bodyDiv w:val="1"/>
      <w:marLeft w:val="0"/>
      <w:marRight w:val="0"/>
      <w:marTop w:val="0"/>
      <w:marBottom w:val="0"/>
      <w:divBdr>
        <w:top w:val="none" w:sz="0" w:space="0" w:color="auto"/>
        <w:left w:val="none" w:sz="0" w:space="0" w:color="auto"/>
        <w:bottom w:val="none" w:sz="0" w:space="0" w:color="auto"/>
        <w:right w:val="none" w:sz="0" w:space="0" w:color="auto"/>
      </w:divBdr>
      <w:divsChild>
        <w:div w:id="112017283">
          <w:marLeft w:val="720"/>
          <w:marRight w:val="0"/>
          <w:marTop w:val="200"/>
          <w:marBottom w:val="0"/>
          <w:divBdr>
            <w:top w:val="none" w:sz="0" w:space="0" w:color="auto"/>
            <w:left w:val="none" w:sz="0" w:space="0" w:color="auto"/>
            <w:bottom w:val="none" w:sz="0" w:space="0" w:color="auto"/>
            <w:right w:val="none" w:sz="0" w:space="0" w:color="auto"/>
          </w:divBdr>
        </w:div>
        <w:div w:id="1236284581">
          <w:marLeft w:val="720"/>
          <w:marRight w:val="0"/>
          <w:marTop w:val="200"/>
          <w:marBottom w:val="0"/>
          <w:divBdr>
            <w:top w:val="none" w:sz="0" w:space="0" w:color="auto"/>
            <w:left w:val="none" w:sz="0" w:space="0" w:color="auto"/>
            <w:bottom w:val="none" w:sz="0" w:space="0" w:color="auto"/>
            <w:right w:val="none" w:sz="0" w:space="0" w:color="auto"/>
          </w:divBdr>
        </w:div>
        <w:div w:id="764035935">
          <w:marLeft w:val="720"/>
          <w:marRight w:val="0"/>
          <w:marTop w:val="200"/>
          <w:marBottom w:val="0"/>
          <w:divBdr>
            <w:top w:val="none" w:sz="0" w:space="0" w:color="auto"/>
            <w:left w:val="none" w:sz="0" w:space="0" w:color="auto"/>
            <w:bottom w:val="none" w:sz="0" w:space="0" w:color="auto"/>
            <w:right w:val="none" w:sz="0" w:space="0" w:color="auto"/>
          </w:divBdr>
        </w:div>
      </w:divsChild>
    </w:div>
    <w:div w:id="764300063">
      <w:bodyDiv w:val="1"/>
      <w:marLeft w:val="0"/>
      <w:marRight w:val="0"/>
      <w:marTop w:val="0"/>
      <w:marBottom w:val="0"/>
      <w:divBdr>
        <w:top w:val="none" w:sz="0" w:space="0" w:color="auto"/>
        <w:left w:val="none" w:sz="0" w:space="0" w:color="auto"/>
        <w:bottom w:val="none" w:sz="0" w:space="0" w:color="auto"/>
        <w:right w:val="none" w:sz="0" w:space="0" w:color="auto"/>
      </w:divBdr>
    </w:div>
    <w:div w:id="1012413846">
      <w:bodyDiv w:val="1"/>
      <w:marLeft w:val="0"/>
      <w:marRight w:val="0"/>
      <w:marTop w:val="0"/>
      <w:marBottom w:val="0"/>
      <w:divBdr>
        <w:top w:val="none" w:sz="0" w:space="0" w:color="auto"/>
        <w:left w:val="none" w:sz="0" w:space="0" w:color="auto"/>
        <w:bottom w:val="none" w:sz="0" w:space="0" w:color="auto"/>
        <w:right w:val="none" w:sz="0" w:space="0" w:color="auto"/>
      </w:divBdr>
      <w:divsChild>
        <w:div w:id="1144350821">
          <w:marLeft w:val="360"/>
          <w:marRight w:val="0"/>
          <w:marTop w:val="200"/>
          <w:marBottom w:val="0"/>
          <w:divBdr>
            <w:top w:val="none" w:sz="0" w:space="0" w:color="auto"/>
            <w:left w:val="none" w:sz="0" w:space="0" w:color="auto"/>
            <w:bottom w:val="none" w:sz="0" w:space="0" w:color="auto"/>
            <w:right w:val="none" w:sz="0" w:space="0" w:color="auto"/>
          </w:divBdr>
        </w:div>
        <w:div w:id="360715487">
          <w:marLeft w:val="360"/>
          <w:marRight w:val="0"/>
          <w:marTop w:val="200"/>
          <w:marBottom w:val="0"/>
          <w:divBdr>
            <w:top w:val="none" w:sz="0" w:space="0" w:color="auto"/>
            <w:left w:val="none" w:sz="0" w:space="0" w:color="auto"/>
            <w:bottom w:val="none" w:sz="0" w:space="0" w:color="auto"/>
            <w:right w:val="none" w:sz="0" w:space="0" w:color="auto"/>
          </w:divBdr>
        </w:div>
      </w:divsChild>
    </w:div>
    <w:div w:id="1054891451">
      <w:bodyDiv w:val="1"/>
      <w:marLeft w:val="0"/>
      <w:marRight w:val="0"/>
      <w:marTop w:val="0"/>
      <w:marBottom w:val="0"/>
      <w:divBdr>
        <w:top w:val="none" w:sz="0" w:space="0" w:color="auto"/>
        <w:left w:val="none" w:sz="0" w:space="0" w:color="auto"/>
        <w:bottom w:val="none" w:sz="0" w:space="0" w:color="auto"/>
        <w:right w:val="none" w:sz="0" w:space="0" w:color="auto"/>
      </w:divBdr>
    </w:div>
    <w:div w:id="1078475580">
      <w:bodyDiv w:val="1"/>
      <w:marLeft w:val="0"/>
      <w:marRight w:val="0"/>
      <w:marTop w:val="0"/>
      <w:marBottom w:val="0"/>
      <w:divBdr>
        <w:top w:val="none" w:sz="0" w:space="0" w:color="auto"/>
        <w:left w:val="none" w:sz="0" w:space="0" w:color="auto"/>
        <w:bottom w:val="none" w:sz="0" w:space="0" w:color="auto"/>
        <w:right w:val="none" w:sz="0" w:space="0" w:color="auto"/>
      </w:divBdr>
      <w:divsChild>
        <w:div w:id="542714887">
          <w:marLeft w:val="360"/>
          <w:marRight w:val="0"/>
          <w:marTop w:val="200"/>
          <w:marBottom w:val="0"/>
          <w:divBdr>
            <w:top w:val="none" w:sz="0" w:space="0" w:color="auto"/>
            <w:left w:val="none" w:sz="0" w:space="0" w:color="auto"/>
            <w:bottom w:val="none" w:sz="0" w:space="0" w:color="auto"/>
            <w:right w:val="none" w:sz="0" w:space="0" w:color="auto"/>
          </w:divBdr>
        </w:div>
        <w:div w:id="292567482">
          <w:marLeft w:val="360"/>
          <w:marRight w:val="0"/>
          <w:marTop w:val="200"/>
          <w:marBottom w:val="0"/>
          <w:divBdr>
            <w:top w:val="none" w:sz="0" w:space="0" w:color="auto"/>
            <w:left w:val="none" w:sz="0" w:space="0" w:color="auto"/>
            <w:bottom w:val="none" w:sz="0" w:space="0" w:color="auto"/>
            <w:right w:val="none" w:sz="0" w:space="0" w:color="auto"/>
          </w:divBdr>
        </w:div>
        <w:div w:id="2118257907">
          <w:marLeft w:val="360"/>
          <w:marRight w:val="0"/>
          <w:marTop w:val="200"/>
          <w:marBottom w:val="0"/>
          <w:divBdr>
            <w:top w:val="none" w:sz="0" w:space="0" w:color="auto"/>
            <w:left w:val="none" w:sz="0" w:space="0" w:color="auto"/>
            <w:bottom w:val="none" w:sz="0" w:space="0" w:color="auto"/>
            <w:right w:val="none" w:sz="0" w:space="0" w:color="auto"/>
          </w:divBdr>
        </w:div>
      </w:divsChild>
    </w:div>
    <w:div w:id="1161652814">
      <w:bodyDiv w:val="1"/>
      <w:marLeft w:val="0"/>
      <w:marRight w:val="0"/>
      <w:marTop w:val="0"/>
      <w:marBottom w:val="0"/>
      <w:divBdr>
        <w:top w:val="none" w:sz="0" w:space="0" w:color="auto"/>
        <w:left w:val="none" w:sz="0" w:space="0" w:color="auto"/>
        <w:bottom w:val="none" w:sz="0" w:space="0" w:color="auto"/>
        <w:right w:val="none" w:sz="0" w:space="0" w:color="auto"/>
      </w:divBdr>
      <w:divsChild>
        <w:div w:id="1457599737">
          <w:marLeft w:val="360"/>
          <w:marRight w:val="0"/>
          <w:marTop w:val="200"/>
          <w:marBottom w:val="0"/>
          <w:divBdr>
            <w:top w:val="none" w:sz="0" w:space="0" w:color="auto"/>
            <w:left w:val="none" w:sz="0" w:space="0" w:color="auto"/>
            <w:bottom w:val="none" w:sz="0" w:space="0" w:color="auto"/>
            <w:right w:val="none" w:sz="0" w:space="0" w:color="auto"/>
          </w:divBdr>
        </w:div>
      </w:divsChild>
    </w:div>
    <w:div w:id="1271468318">
      <w:bodyDiv w:val="1"/>
      <w:marLeft w:val="0"/>
      <w:marRight w:val="0"/>
      <w:marTop w:val="0"/>
      <w:marBottom w:val="0"/>
      <w:divBdr>
        <w:top w:val="none" w:sz="0" w:space="0" w:color="auto"/>
        <w:left w:val="none" w:sz="0" w:space="0" w:color="auto"/>
        <w:bottom w:val="none" w:sz="0" w:space="0" w:color="auto"/>
        <w:right w:val="none" w:sz="0" w:space="0" w:color="auto"/>
      </w:divBdr>
      <w:divsChild>
        <w:div w:id="2140101711">
          <w:marLeft w:val="360"/>
          <w:marRight w:val="0"/>
          <w:marTop w:val="200"/>
          <w:marBottom w:val="0"/>
          <w:divBdr>
            <w:top w:val="none" w:sz="0" w:space="0" w:color="auto"/>
            <w:left w:val="none" w:sz="0" w:space="0" w:color="auto"/>
            <w:bottom w:val="none" w:sz="0" w:space="0" w:color="auto"/>
            <w:right w:val="none" w:sz="0" w:space="0" w:color="auto"/>
          </w:divBdr>
        </w:div>
        <w:div w:id="1264729885">
          <w:marLeft w:val="360"/>
          <w:marRight w:val="0"/>
          <w:marTop w:val="0"/>
          <w:marBottom w:val="0"/>
          <w:divBdr>
            <w:top w:val="none" w:sz="0" w:space="0" w:color="auto"/>
            <w:left w:val="none" w:sz="0" w:space="0" w:color="auto"/>
            <w:bottom w:val="none" w:sz="0" w:space="0" w:color="auto"/>
            <w:right w:val="none" w:sz="0" w:space="0" w:color="auto"/>
          </w:divBdr>
        </w:div>
      </w:divsChild>
    </w:div>
    <w:div w:id="1295209007">
      <w:bodyDiv w:val="1"/>
      <w:marLeft w:val="0"/>
      <w:marRight w:val="0"/>
      <w:marTop w:val="0"/>
      <w:marBottom w:val="0"/>
      <w:divBdr>
        <w:top w:val="none" w:sz="0" w:space="0" w:color="auto"/>
        <w:left w:val="none" w:sz="0" w:space="0" w:color="auto"/>
        <w:bottom w:val="none" w:sz="0" w:space="0" w:color="auto"/>
        <w:right w:val="none" w:sz="0" w:space="0" w:color="auto"/>
      </w:divBdr>
      <w:divsChild>
        <w:div w:id="1806506798">
          <w:marLeft w:val="360"/>
          <w:marRight w:val="0"/>
          <w:marTop w:val="200"/>
          <w:marBottom w:val="0"/>
          <w:divBdr>
            <w:top w:val="none" w:sz="0" w:space="0" w:color="auto"/>
            <w:left w:val="none" w:sz="0" w:space="0" w:color="auto"/>
            <w:bottom w:val="none" w:sz="0" w:space="0" w:color="auto"/>
            <w:right w:val="none" w:sz="0" w:space="0" w:color="auto"/>
          </w:divBdr>
        </w:div>
        <w:div w:id="1469974737">
          <w:marLeft w:val="360"/>
          <w:marRight w:val="0"/>
          <w:marTop w:val="200"/>
          <w:marBottom w:val="0"/>
          <w:divBdr>
            <w:top w:val="none" w:sz="0" w:space="0" w:color="auto"/>
            <w:left w:val="none" w:sz="0" w:space="0" w:color="auto"/>
            <w:bottom w:val="none" w:sz="0" w:space="0" w:color="auto"/>
            <w:right w:val="none" w:sz="0" w:space="0" w:color="auto"/>
          </w:divBdr>
        </w:div>
        <w:div w:id="488207967">
          <w:marLeft w:val="360"/>
          <w:marRight w:val="0"/>
          <w:marTop w:val="200"/>
          <w:marBottom w:val="0"/>
          <w:divBdr>
            <w:top w:val="none" w:sz="0" w:space="0" w:color="auto"/>
            <w:left w:val="none" w:sz="0" w:space="0" w:color="auto"/>
            <w:bottom w:val="none" w:sz="0" w:space="0" w:color="auto"/>
            <w:right w:val="none" w:sz="0" w:space="0" w:color="auto"/>
          </w:divBdr>
        </w:div>
        <w:div w:id="332923739">
          <w:marLeft w:val="360"/>
          <w:marRight w:val="0"/>
          <w:marTop w:val="200"/>
          <w:marBottom w:val="0"/>
          <w:divBdr>
            <w:top w:val="none" w:sz="0" w:space="0" w:color="auto"/>
            <w:left w:val="none" w:sz="0" w:space="0" w:color="auto"/>
            <w:bottom w:val="none" w:sz="0" w:space="0" w:color="auto"/>
            <w:right w:val="none" w:sz="0" w:space="0" w:color="auto"/>
          </w:divBdr>
        </w:div>
      </w:divsChild>
    </w:div>
    <w:div w:id="1333605315">
      <w:bodyDiv w:val="1"/>
      <w:marLeft w:val="0"/>
      <w:marRight w:val="0"/>
      <w:marTop w:val="0"/>
      <w:marBottom w:val="0"/>
      <w:divBdr>
        <w:top w:val="none" w:sz="0" w:space="0" w:color="auto"/>
        <w:left w:val="none" w:sz="0" w:space="0" w:color="auto"/>
        <w:bottom w:val="none" w:sz="0" w:space="0" w:color="auto"/>
        <w:right w:val="none" w:sz="0" w:space="0" w:color="auto"/>
      </w:divBdr>
      <w:divsChild>
        <w:div w:id="1110973880">
          <w:marLeft w:val="0"/>
          <w:marRight w:val="0"/>
          <w:marTop w:val="0"/>
          <w:marBottom w:val="0"/>
          <w:divBdr>
            <w:top w:val="none" w:sz="0" w:space="0" w:color="auto"/>
            <w:left w:val="none" w:sz="0" w:space="0" w:color="auto"/>
            <w:bottom w:val="none" w:sz="0" w:space="0" w:color="auto"/>
            <w:right w:val="none" w:sz="0" w:space="0" w:color="auto"/>
          </w:divBdr>
        </w:div>
        <w:div w:id="1065448030">
          <w:marLeft w:val="0"/>
          <w:marRight w:val="0"/>
          <w:marTop w:val="0"/>
          <w:marBottom w:val="0"/>
          <w:divBdr>
            <w:top w:val="none" w:sz="0" w:space="0" w:color="auto"/>
            <w:left w:val="none" w:sz="0" w:space="0" w:color="auto"/>
            <w:bottom w:val="none" w:sz="0" w:space="0" w:color="auto"/>
            <w:right w:val="none" w:sz="0" w:space="0" w:color="auto"/>
          </w:divBdr>
        </w:div>
        <w:div w:id="1005936571">
          <w:marLeft w:val="0"/>
          <w:marRight w:val="0"/>
          <w:marTop w:val="0"/>
          <w:marBottom w:val="0"/>
          <w:divBdr>
            <w:top w:val="none" w:sz="0" w:space="0" w:color="auto"/>
            <w:left w:val="none" w:sz="0" w:space="0" w:color="auto"/>
            <w:bottom w:val="none" w:sz="0" w:space="0" w:color="auto"/>
            <w:right w:val="none" w:sz="0" w:space="0" w:color="auto"/>
          </w:divBdr>
        </w:div>
        <w:div w:id="948849600">
          <w:marLeft w:val="0"/>
          <w:marRight w:val="0"/>
          <w:marTop w:val="0"/>
          <w:marBottom w:val="0"/>
          <w:divBdr>
            <w:top w:val="none" w:sz="0" w:space="0" w:color="auto"/>
            <w:left w:val="none" w:sz="0" w:space="0" w:color="auto"/>
            <w:bottom w:val="none" w:sz="0" w:space="0" w:color="auto"/>
            <w:right w:val="none" w:sz="0" w:space="0" w:color="auto"/>
          </w:divBdr>
        </w:div>
        <w:div w:id="775833300">
          <w:marLeft w:val="0"/>
          <w:marRight w:val="0"/>
          <w:marTop w:val="0"/>
          <w:marBottom w:val="0"/>
          <w:divBdr>
            <w:top w:val="none" w:sz="0" w:space="0" w:color="auto"/>
            <w:left w:val="none" w:sz="0" w:space="0" w:color="auto"/>
            <w:bottom w:val="none" w:sz="0" w:space="0" w:color="auto"/>
            <w:right w:val="none" w:sz="0" w:space="0" w:color="auto"/>
          </w:divBdr>
        </w:div>
      </w:divsChild>
    </w:div>
    <w:div w:id="1601375179">
      <w:bodyDiv w:val="1"/>
      <w:marLeft w:val="0"/>
      <w:marRight w:val="0"/>
      <w:marTop w:val="0"/>
      <w:marBottom w:val="0"/>
      <w:divBdr>
        <w:top w:val="none" w:sz="0" w:space="0" w:color="auto"/>
        <w:left w:val="none" w:sz="0" w:space="0" w:color="auto"/>
        <w:bottom w:val="none" w:sz="0" w:space="0" w:color="auto"/>
        <w:right w:val="none" w:sz="0" w:space="0" w:color="auto"/>
      </w:divBdr>
    </w:div>
    <w:div w:id="1725593743">
      <w:bodyDiv w:val="1"/>
      <w:marLeft w:val="0"/>
      <w:marRight w:val="0"/>
      <w:marTop w:val="0"/>
      <w:marBottom w:val="0"/>
      <w:divBdr>
        <w:top w:val="none" w:sz="0" w:space="0" w:color="auto"/>
        <w:left w:val="none" w:sz="0" w:space="0" w:color="auto"/>
        <w:bottom w:val="none" w:sz="0" w:space="0" w:color="auto"/>
        <w:right w:val="none" w:sz="0" w:space="0" w:color="auto"/>
      </w:divBdr>
      <w:divsChild>
        <w:div w:id="144010864">
          <w:marLeft w:val="0"/>
          <w:marRight w:val="0"/>
          <w:marTop w:val="0"/>
          <w:marBottom w:val="0"/>
          <w:divBdr>
            <w:top w:val="none" w:sz="0" w:space="0" w:color="auto"/>
            <w:left w:val="none" w:sz="0" w:space="0" w:color="auto"/>
            <w:bottom w:val="none" w:sz="0" w:space="0" w:color="auto"/>
            <w:right w:val="none" w:sz="0" w:space="0" w:color="auto"/>
          </w:divBdr>
          <w:divsChild>
            <w:div w:id="1631546272">
              <w:marLeft w:val="0"/>
              <w:marRight w:val="0"/>
              <w:marTop w:val="0"/>
              <w:marBottom w:val="0"/>
              <w:divBdr>
                <w:top w:val="none" w:sz="0" w:space="0" w:color="auto"/>
                <w:left w:val="none" w:sz="0" w:space="0" w:color="auto"/>
                <w:bottom w:val="none" w:sz="0" w:space="0" w:color="auto"/>
                <w:right w:val="none" w:sz="0" w:space="0" w:color="auto"/>
              </w:divBdr>
              <w:divsChild>
                <w:div w:id="1632860057">
                  <w:marLeft w:val="0"/>
                  <w:marRight w:val="0"/>
                  <w:marTop w:val="0"/>
                  <w:marBottom w:val="0"/>
                  <w:divBdr>
                    <w:top w:val="none" w:sz="0" w:space="0" w:color="auto"/>
                    <w:left w:val="none" w:sz="0" w:space="0" w:color="auto"/>
                    <w:bottom w:val="none" w:sz="0" w:space="0" w:color="auto"/>
                    <w:right w:val="none" w:sz="0" w:space="0" w:color="auto"/>
                  </w:divBdr>
                  <w:divsChild>
                    <w:div w:id="1986003901">
                      <w:marLeft w:val="0"/>
                      <w:marRight w:val="0"/>
                      <w:marTop w:val="0"/>
                      <w:marBottom w:val="0"/>
                      <w:divBdr>
                        <w:top w:val="none" w:sz="0" w:space="0" w:color="auto"/>
                        <w:left w:val="none" w:sz="0" w:space="0" w:color="auto"/>
                        <w:bottom w:val="none" w:sz="0" w:space="0" w:color="auto"/>
                        <w:right w:val="none" w:sz="0" w:space="0" w:color="auto"/>
                      </w:divBdr>
                      <w:divsChild>
                        <w:div w:id="596065284">
                          <w:marLeft w:val="0"/>
                          <w:marRight w:val="0"/>
                          <w:marTop w:val="0"/>
                          <w:marBottom w:val="0"/>
                          <w:divBdr>
                            <w:top w:val="none" w:sz="0" w:space="0" w:color="auto"/>
                            <w:left w:val="none" w:sz="0" w:space="0" w:color="auto"/>
                            <w:bottom w:val="none" w:sz="0" w:space="0" w:color="auto"/>
                            <w:right w:val="none" w:sz="0" w:space="0" w:color="auto"/>
                          </w:divBdr>
                          <w:divsChild>
                            <w:div w:id="1935167955">
                              <w:marLeft w:val="0"/>
                              <w:marRight w:val="0"/>
                              <w:marTop w:val="0"/>
                              <w:marBottom w:val="0"/>
                              <w:divBdr>
                                <w:top w:val="none" w:sz="0" w:space="0" w:color="auto"/>
                                <w:left w:val="none" w:sz="0" w:space="0" w:color="auto"/>
                                <w:bottom w:val="none" w:sz="0" w:space="0" w:color="auto"/>
                                <w:right w:val="none" w:sz="0" w:space="0" w:color="auto"/>
                              </w:divBdr>
                              <w:divsChild>
                                <w:div w:id="1083452185">
                                  <w:marLeft w:val="0"/>
                                  <w:marRight w:val="0"/>
                                  <w:marTop w:val="0"/>
                                  <w:marBottom w:val="0"/>
                                  <w:divBdr>
                                    <w:top w:val="none" w:sz="0" w:space="0" w:color="auto"/>
                                    <w:left w:val="none" w:sz="0" w:space="0" w:color="auto"/>
                                    <w:bottom w:val="none" w:sz="0" w:space="0" w:color="auto"/>
                                    <w:right w:val="none" w:sz="0" w:space="0" w:color="auto"/>
                                  </w:divBdr>
                                  <w:divsChild>
                                    <w:div w:id="1816339176">
                                      <w:marLeft w:val="0"/>
                                      <w:marRight w:val="0"/>
                                      <w:marTop w:val="0"/>
                                      <w:marBottom w:val="0"/>
                                      <w:divBdr>
                                        <w:top w:val="none" w:sz="0" w:space="0" w:color="auto"/>
                                        <w:left w:val="none" w:sz="0" w:space="0" w:color="auto"/>
                                        <w:bottom w:val="none" w:sz="0" w:space="0" w:color="auto"/>
                                        <w:right w:val="none" w:sz="0" w:space="0" w:color="auto"/>
                                      </w:divBdr>
                                      <w:divsChild>
                                        <w:div w:id="1411191495">
                                          <w:marLeft w:val="0"/>
                                          <w:marRight w:val="0"/>
                                          <w:marTop w:val="0"/>
                                          <w:marBottom w:val="0"/>
                                          <w:divBdr>
                                            <w:top w:val="none" w:sz="0" w:space="0" w:color="auto"/>
                                            <w:left w:val="none" w:sz="0" w:space="0" w:color="auto"/>
                                            <w:bottom w:val="none" w:sz="0" w:space="0" w:color="auto"/>
                                            <w:right w:val="none" w:sz="0" w:space="0" w:color="auto"/>
                                          </w:divBdr>
                                          <w:divsChild>
                                            <w:div w:id="1493597035">
                                              <w:marLeft w:val="0"/>
                                              <w:marRight w:val="0"/>
                                              <w:marTop w:val="0"/>
                                              <w:marBottom w:val="0"/>
                                              <w:divBdr>
                                                <w:top w:val="none" w:sz="0" w:space="0" w:color="auto"/>
                                                <w:left w:val="none" w:sz="0" w:space="0" w:color="auto"/>
                                                <w:bottom w:val="none" w:sz="0" w:space="0" w:color="auto"/>
                                                <w:right w:val="none" w:sz="0" w:space="0" w:color="auto"/>
                                              </w:divBdr>
                                              <w:divsChild>
                                                <w:div w:id="567304755">
                                                  <w:marLeft w:val="0"/>
                                                  <w:marRight w:val="0"/>
                                                  <w:marTop w:val="0"/>
                                                  <w:marBottom w:val="0"/>
                                                  <w:divBdr>
                                                    <w:top w:val="none" w:sz="0" w:space="0" w:color="auto"/>
                                                    <w:left w:val="none" w:sz="0" w:space="0" w:color="auto"/>
                                                    <w:bottom w:val="none" w:sz="0" w:space="0" w:color="auto"/>
                                                    <w:right w:val="none" w:sz="0" w:space="0" w:color="auto"/>
                                                  </w:divBdr>
                                                  <w:divsChild>
                                                    <w:div w:id="1043092393">
                                                      <w:marLeft w:val="0"/>
                                                      <w:marRight w:val="0"/>
                                                      <w:marTop w:val="0"/>
                                                      <w:marBottom w:val="0"/>
                                                      <w:divBdr>
                                                        <w:top w:val="none" w:sz="0" w:space="0" w:color="auto"/>
                                                        <w:left w:val="none" w:sz="0" w:space="0" w:color="auto"/>
                                                        <w:bottom w:val="none" w:sz="0" w:space="0" w:color="auto"/>
                                                        <w:right w:val="none" w:sz="0" w:space="0" w:color="auto"/>
                                                      </w:divBdr>
                                                      <w:divsChild>
                                                        <w:div w:id="1576167219">
                                                          <w:marLeft w:val="0"/>
                                                          <w:marRight w:val="0"/>
                                                          <w:marTop w:val="0"/>
                                                          <w:marBottom w:val="0"/>
                                                          <w:divBdr>
                                                            <w:top w:val="none" w:sz="0" w:space="0" w:color="auto"/>
                                                            <w:left w:val="none" w:sz="0" w:space="0" w:color="auto"/>
                                                            <w:bottom w:val="none" w:sz="0" w:space="0" w:color="auto"/>
                                                            <w:right w:val="none" w:sz="0" w:space="0" w:color="auto"/>
                                                          </w:divBdr>
                                                          <w:divsChild>
                                                            <w:div w:id="1387290393">
                                                              <w:marLeft w:val="0"/>
                                                              <w:marRight w:val="0"/>
                                                              <w:marTop w:val="0"/>
                                                              <w:marBottom w:val="0"/>
                                                              <w:divBdr>
                                                                <w:top w:val="none" w:sz="0" w:space="0" w:color="auto"/>
                                                                <w:left w:val="none" w:sz="0" w:space="0" w:color="auto"/>
                                                                <w:bottom w:val="none" w:sz="0" w:space="0" w:color="auto"/>
                                                                <w:right w:val="none" w:sz="0" w:space="0" w:color="auto"/>
                                                              </w:divBdr>
                                                              <w:divsChild>
                                                                <w:div w:id="1974671851">
                                                                  <w:marLeft w:val="0"/>
                                                                  <w:marRight w:val="0"/>
                                                                  <w:marTop w:val="0"/>
                                                                  <w:marBottom w:val="0"/>
                                                                  <w:divBdr>
                                                                    <w:top w:val="none" w:sz="0" w:space="0" w:color="auto"/>
                                                                    <w:left w:val="none" w:sz="0" w:space="0" w:color="auto"/>
                                                                    <w:bottom w:val="none" w:sz="0" w:space="0" w:color="auto"/>
                                                                    <w:right w:val="none" w:sz="0" w:space="0" w:color="auto"/>
                                                                  </w:divBdr>
                                                                  <w:divsChild>
                                                                    <w:div w:id="10704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5652662">
      <w:bodyDiv w:val="1"/>
      <w:marLeft w:val="0"/>
      <w:marRight w:val="0"/>
      <w:marTop w:val="0"/>
      <w:marBottom w:val="0"/>
      <w:divBdr>
        <w:top w:val="none" w:sz="0" w:space="0" w:color="auto"/>
        <w:left w:val="none" w:sz="0" w:space="0" w:color="auto"/>
        <w:bottom w:val="none" w:sz="0" w:space="0" w:color="auto"/>
        <w:right w:val="none" w:sz="0" w:space="0" w:color="auto"/>
      </w:divBdr>
      <w:divsChild>
        <w:div w:id="1410888781">
          <w:marLeft w:val="360"/>
          <w:marRight w:val="0"/>
          <w:marTop w:val="200"/>
          <w:marBottom w:val="0"/>
          <w:divBdr>
            <w:top w:val="none" w:sz="0" w:space="0" w:color="auto"/>
            <w:left w:val="none" w:sz="0" w:space="0" w:color="auto"/>
            <w:bottom w:val="none" w:sz="0" w:space="0" w:color="auto"/>
            <w:right w:val="none" w:sz="0" w:space="0" w:color="auto"/>
          </w:divBdr>
        </w:div>
        <w:div w:id="875193602">
          <w:marLeft w:val="360"/>
          <w:marRight w:val="0"/>
          <w:marTop w:val="200"/>
          <w:marBottom w:val="0"/>
          <w:divBdr>
            <w:top w:val="none" w:sz="0" w:space="0" w:color="auto"/>
            <w:left w:val="none" w:sz="0" w:space="0" w:color="auto"/>
            <w:bottom w:val="none" w:sz="0" w:space="0" w:color="auto"/>
            <w:right w:val="none" w:sz="0" w:space="0" w:color="auto"/>
          </w:divBdr>
        </w:div>
        <w:div w:id="807430379">
          <w:marLeft w:val="360"/>
          <w:marRight w:val="0"/>
          <w:marTop w:val="200"/>
          <w:marBottom w:val="0"/>
          <w:divBdr>
            <w:top w:val="none" w:sz="0" w:space="0" w:color="auto"/>
            <w:left w:val="none" w:sz="0" w:space="0" w:color="auto"/>
            <w:bottom w:val="none" w:sz="0" w:space="0" w:color="auto"/>
            <w:right w:val="none" w:sz="0" w:space="0" w:color="auto"/>
          </w:divBdr>
        </w:div>
        <w:div w:id="955940115">
          <w:marLeft w:val="360"/>
          <w:marRight w:val="0"/>
          <w:marTop w:val="200"/>
          <w:marBottom w:val="0"/>
          <w:divBdr>
            <w:top w:val="none" w:sz="0" w:space="0" w:color="auto"/>
            <w:left w:val="none" w:sz="0" w:space="0" w:color="auto"/>
            <w:bottom w:val="none" w:sz="0" w:space="0" w:color="auto"/>
            <w:right w:val="none" w:sz="0" w:space="0" w:color="auto"/>
          </w:divBdr>
        </w:div>
      </w:divsChild>
    </w:div>
    <w:div w:id="1953246341">
      <w:bodyDiv w:val="1"/>
      <w:marLeft w:val="0"/>
      <w:marRight w:val="0"/>
      <w:marTop w:val="0"/>
      <w:marBottom w:val="0"/>
      <w:divBdr>
        <w:top w:val="none" w:sz="0" w:space="0" w:color="auto"/>
        <w:left w:val="none" w:sz="0" w:space="0" w:color="auto"/>
        <w:bottom w:val="none" w:sz="0" w:space="0" w:color="auto"/>
        <w:right w:val="none" w:sz="0" w:space="0" w:color="auto"/>
      </w:divBdr>
      <w:divsChild>
        <w:div w:id="1484856942">
          <w:marLeft w:val="0"/>
          <w:marRight w:val="0"/>
          <w:marTop w:val="0"/>
          <w:marBottom w:val="0"/>
          <w:divBdr>
            <w:top w:val="none" w:sz="0" w:space="0" w:color="auto"/>
            <w:left w:val="none" w:sz="0" w:space="0" w:color="auto"/>
            <w:bottom w:val="none" w:sz="0" w:space="0" w:color="auto"/>
            <w:right w:val="none" w:sz="0" w:space="0" w:color="auto"/>
          </w:divBdr>
        </w:div>
        <w:div w:id="2137603551">
          <w:marLeft w:val="0"/>
          <w:marRight w:val="0"/>
          <w:marTop w:val="0"/>
          <w:marBottom w:val="0"/>
          <w:divBdr>
            <w:top w:val="none" w:sz="0" w:space="0" w:color="auto"/>
            <w:left w:val="none" w:sz="0" w:space="0" w:color="auto"/>
            <w:bottom w:val="none" w:sz="0" w:space="0" w:color="auto"/>
            <w:right w:val="none" w:sz="0" w:space="0" w:color="auto"/>
          </w:divBdr>
        </w:div>
        <w:div w:id="584916629">
          <w:marLeft w:val="0"/>
          <w:marRight w:val="0"/>
          <w:marTop w:val="0"/>
          <w:marBottom w:val="0"/>
          <w:divBdr>
            <w:top w:val="none" w:sz="0" w:space="0" w:color="auto"/>
            <w:left w:val="none" w:sz="0" w:space="0" w:color="auto"/>
            <w:bottom w:val="none" w:sz="0" w:space="0" w:color="auto"/>
            <w:right w:val="none" w:sz="0" w:space="0" w:color="auto"/>
          </w:divBdr>
        </w:div>
        <w:div w:id="1358459731">
          <w:marLeft w:val="0"/>
          <w:marRight w:val="0"/>
          <w:marTop w:val="0"/>
          <w:marBottom w:val="0"/>
          <w:divBdr>
            <w:top w:val="none" w:sz="0" w:space="0" w:color="auto"/>
            <w:left w:val="none" w:sz="0" w:space="0" w:color="auto"/>
            <w:bottom w:val="none" w:sz="0" w:space="0" w:color="auto"/>
            <w:right w:val="none" w:sz="0" w:space="0" w:color="auto"/>
          </w:divBdr>
        </w:div>
        <w:div w:id="1461458765">
          <w:marLeft w:val="0"/>
          <w:marRight w:val="0"/>
          <w:marTop w:val="0"/>
          <w:marBottom w:val="0"/>
          <w:divBdr>
            <w:top w:val="none" w:sz="0" w:space="0" w:color="auto"/>
            <w:left w:val="none" w:sz="0" w:space="0" w:color="auto"/>
            <w:bottom w:val="none" w:sz="0" w:space="0" w:color="auto"/>
            <w:right w:val="none" w:sz="0" w:space="0" w:color="auto"/>
          </w:divBdr>
        </w:div>
        <w:div w:id="1919359996">
          <w:marLeft w:val="0"/>
          <w:marRight w:val="0"/>
          <w:marTop w:val="0"/>
          <w:marBottom w:val="0"/>
          <w:divBdr>
            <w:top w:val="none" w:sz="0" w:space="0" w:color="auto"/>
            <w:left w:val="none" w:sz="0" w:space="0" w:color="auto"/>
            <w:bottom w:val="none" w:sz="0" w:space="0" w:color="auto"/>
            <w:right w:val="none" w:sz="0" w:space="0" w:color="auto"/>
          </w:divBdr>
        </w:div>
        <w:div w:id="446893894">
          <w:marLeft w:val="0"/>
          <w:marRight w:val="0"/>
          <w:marTop w:val="0"/>
          <w:marBottom w:val="0"/>
          <w:divBdr>
            <w:top w:val="none" w:sz="0" w:space="0" w:color="auto"/>
            <w:left w:val="none" w:sz="0" w:space="0" w:color="auto"/>
            <w:bottom w:val="none" w:sz="0" w:space="0" w:color="auto"/>
            <w:right w:val="none" w:sz="0" w:space="0" w:color="auto"/>
          </w:divBdr>
        </w:div>
      </w:divsChild>
    </w:div>
    <w:div w:id="1964076147">
      <w:bodyDiv w:val="1"/>
      <w:marLeft w:val="0"/>
      <w:marRight w:val="0"/>
      <w:marTop w:val="0"/>
      <w:marBottom w:val="375"/>
      <w:divBdr>
        <w:top w:val="none" w:sz="0" w:space="0" w:color="auto"/>
        <w:left w:val="none" w:sz="0" w:space="0" w:color="auto"/>
        <w:bottom w:val="none" w:sz="0" w:space="0" w:color="auto"/>
        <w:right w:val="none" w:sz="0" w:space="0" w:color="auto"/>
      </w:divBdr>
      <w:divsChild>
        <w:div w:id="923875582">
          <w:marLeft w:val="0"/>
          <w:marRight w:val="0"/>
          <w:marTop w:val="0"/>
          <w:marBottom w:val="0"/>
          <w:divBdr>
            <w:top w:val="none" w:sz="0" w:space="0" w:color="auto"/>
            <w:left w:val="none" w:sz="0" w:space="0" w:color="auto"/>
            <w:bottom w:val="none" w:sz="0" w:space="0" w:color="auto"/>
            <w:right w:val="none" w:sz="0" w:space="0" w:color="auto"/>
          </w:divBdr>
          <w:divsChild>
            <w:div w:id="1838768490">
              <w:marLeft w:val="0"/>
              <w:marRight w:val="450"/>
              <w:marTop w:val="0"/>
              <w:marBottom w:val="0"/>
              <w:divBdr>
                <w:top w:val="none" w:sz="0" w:space="0" w:color="333333"/>
                <w:left w:val="none" w:sz="0" w:space="0" w:color="333333"/>
                <w:bottom w:val="none" w:sz="0" w:space="0" w:color="333333"/>
                <w:right w:val="none" w:sz="0" w:space="0" w:color="333333"/>
              </w:divBdr>
            </w:div>
          </w:divsChild>
        </w:div>
      </w:divsChild>
    </w:div>
    <w:div w:id="2008899959">
      <w:bodyDiv w:val="1"/>
      <w:marLeft w:val="0"/>
      <w:marRight w:val="0"/>
      <w:marTop w:val="0"/>
      <w:marBottom w:val="0"/>
      <w:divBdr>
        <w:top w:val="none" w:sz="0" w:space="0" w:color="auto"/>
        <w:left w:val="none" w:sz="0" w:space="0" w:color="auto"/>
        <w:bottom w:val="none" w:sz="0" w:space="0" w:color="auto"/>
        <w:right w:val="none" w:sz="0" w:space="0" w:color="auto"/>
      </w:divBdr>
      <w:divsChild>
        <w:div w:id="933628302">
          <w:marLeft w:val="0"/>
          <w:marRight w:val="0"/>
          <w:marTop w:val="0"/>
          <w:marBottom w:val="0"/>
          <w:divBdr>
            <w:top w:val="none" w:sz="0" w:space="0" w:color="auto"/>
            <w:left w:val="none" w:sz="0" w:space="0" w:color="auto"/>
            <w:bottom w:val="none" w:sz="0" w:space="0" w:color="auto"/>
            <w:right w:val="none" w:sz="0" w:space="0" w:color="auto"/>
          </w:divBdr>
        </w:div>
        <w:div w:id="487675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F2C87-2046-41EF-964E-BEAE32E9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5100</Words>
  <Characters>28654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33687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PUMZA</cp:lastModifiedBy>
  <cp:revision>2</cp:revision>
  <cp:lastPrinted>2010-08-17T09:55:00Z</cp:lastPrinted>
  <dcterms:created xsi:type="dcterms:W3CDTF">2019-08-22T12:35:00Z</dcterms:created>
  <dcterms:modified xsi:type="dcterms:W3CDTF">2019-08-22T12:35:00Z</dcterms:modified>
</cp:coreProperties>
</file>