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D24F" w14:textId="77777777" w:rsidR="006A7D0D" w:rsidRPr="007E33ED" w:rsidRDefault="009760B8" w:rsidP="009760B8">
      <w:pPr>
        <w:pStyle w:val="Heading1"/>
        <w:spacing w:line="240" w:lineRule="auto"/>
        <w:ind w:left="630" w:hanging="63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10</w:t>
      </w:r>
      <w:r>
        <w:rPr>
          <w:rFonts w:ascii="Times New Roman" w:hAnsi="Times New Roman" w:cs="Times New Roman"/>
          <w:sz w:val="28"/>
          <w:szCs w:val="28"/>
        </w:rPr>
        <w:tab/>
      </w:r>
      <w:r w:rsidR="006A7D0D" w:rsidRPr="007E33ED">
        <w:rPr>
          <w:rFonts w:ascii="Times New Roman" w:hAnsi="Times New Roman" w:cs="Times New Roman"/>
          <w:sz w:val="28"/>
          <w:szCs w:val="28"/>
        </w:rPr>
        <w:t>Report of the Portfolio Committee on Trade and Industry on Budget Vote 25: Economic Development and on Budget Vote</w:t>
      </w:r>
      <w:r w:rsidR="00225F88" w:rsidRPr="007E33ED">
        <w:rPr>
          <w:rFonts w:ascii="Times New Roman" w:hAnsi="Times New Roman" w:cs="Times New Roman"/>
          <w:sz w:val="28"/>
          <w:szCs w:val="28"/>
        </w:rPr>
        <w:t xml:space="preserve"> 34: Trade and Industry, dated 10</w:t>
      </w:r>
      <w:r w:rsidR="006A7D0D" w:rsidRPr="007E33ED">
        <w:rPr>
          <w:rFonts w:ascii="Times New Roman" w:hAnsi="Times New Roman" w:cs="Times New Roman"/>
          <w:sz w:val="28"/>
          <w:szCs w:val="28"/>
        </w:rPr>
        <w:t xml:space="preserve"> July 2019</w:t>
      </w:r>
    </w:p>
    <w:p w14:paraId="397B1417" w14:textId="77777777" w:rsidR="006A7D0D" w:rsidRPr="00A07B1C" w:rsidRDefault="006A7D0D" w:rsidP="00E40757">
      <w:pPr>
        <w:spacing w:line="360" w:lineRule="auto"/>
        <w:jc w:val="both"/>
        <w:rPr>
          <w:rFonts w:ascii="Times New Roman" w:hAnsi="Times New Roman"/>
          <w:sz w:val="24"/>
          <w:szCs w:val="24"/>
        </w:rPr>
      </w:pPr>
    </w:p>
    <w:p w14:paraId="41BE85B4" w14:textId="77777777" w:rsidR="006A7D0D" w:rsidRPr="00A07B1C" w:rsidRDefault="006A7D0D" w:rsidP="00E40757">
      <w:pPr>
        <w:spacing w:line="360" w:lineRule="auto"/>
        <w:jc w:val="both"/>
        <w:rPr>
          <w:rFonts w:ascii="Times New Roman" w:hAnsi="Times New Roman"/>
          <w:sz w:val="24"/>
          <w:szCs w:val="24"/>
        </w:rPr>
      </w:pPr>
      <w:r w:rsidRPr="00A07B1C">
        <w:rPr>
          <w:rFonts w:ascii="Times New Roman" w:hAnsi="Times New Roman"/>
          <w:sz w:val="24"/>
          <w:szCs w:val="24"/>
        </w:rPr>
        <w:t xml:space="preserve">The Portfolio Committee having considered Budget Vote 25: Economic Development and Budget Vote 34: Trade and Industry, reports as follows: </w:t>
      </w:r>
    </w:p>
    <w:p w14:paraId="451C31F1" w14:textId="77777777" w:rsidR="006A7D0D" w:rsidRPr="00A07B1C" w:rsidRDefault="006A7D0D" w:rsidP="00E40757">
      <w:pPr>
        <w:spacing w:line="360" w:lineRule="auto"/>
        <w:jc w:val="both"/>
        <w:rPr>
          <w:rFonts w:ascii="Times New Roman" w:hAnsi="Times New Roman"/>
          <w:b/>
          <w:sz w:val="24"/>
          <w:szCs w:val="24"/>
        </w:rPr>
      </w:pPr>
    </w:p>
    <w:p w14:paraId="65B4C570" w14:textId="77777777" w:rsidR="006A7D0D" w:rsidRPr="00A07B1C" w:rsidRDefault="006A7D0D" w:rsidP="00E40757">
      <w:pPr>
        <w:numPr>
          <w:ilvl w:val="0"/>
          <w:numId w:val="1"/>
        </w:numPr>
        <w:spacing w:line="360" w:lineRule="auto"/>
        <w:jc w:val="both"/>
        <w:rPr>
          <w:rFonts w:ascii="Times New Roman" w:hAnsi="Times New Roman"/>
          <w:b/>
          <w:sz w:val="24"/>
          <w:szCs w:val="24"/>
        </w:rPr>
      </w:pPr>
      <w:r w:rsidRPr="00A07B1C">
        <w:rPr>
          <w:rFonts w:ascii="Times New Roman" w:hAnsi="Times New Roman"/>
          <w:b/>
          <w:sz w:val="24"/>
          <w:szCs w:val="24"/>
        </w:rPr>
        <w:t>Introduction</w:t>
      </w:r>
    </w:p>
    <w:p w14:paraId="63074030" w14:textId="77777777" w:rsidR="00626940" w:rsidRPr="00A07B1C" w:rsidRDefault="00626940" w:rsidP="00E40757">
      <w:pPr>
        <w:spacing w:line="360" w:lineRule="auto"/>
        <w:jc w:val="both"/>
        <w:rPr>
          <w:rFonts w:ascii="Times New Roman" w:hAnsi="Times New Roman"/>
          <w:sz w:val="24"/>
          <w:szCs w:val="24"/>
        </w:rPr>
      </w:pPr>
      <w:r w:rsidRPr="00A07B1C">
        <w:rPr>
          <w:rFonts w:ascii="Times New Roman" w:hAnsi="Times New Roman"/>
          <w:sz w:val="24"/>
          <w:szCs w:val="24"/>
        </w:rPr>
        <w:t xml:space="preserve"> </w:t>
      </w:r>
    </w:p>
    <w:p w14:paraId="28365DDC" w14:textId="77777777" w:rsidR="009248D4" w:rsidRPr="00A07B1C" w:rsidRDefault="009248D4" w:rsidP="003F0A91">
      <w:pPr>
        <w:spacing w:line="360" w:lineRule="auto"/>
        <w:jc w:val="both"/>
        <w:rPr>
          <w:rFonts w:ascii="Times New Roman" w:hAnsi="Times New Roman"/>
          <w:sz w:val="24"/>
          <w:szCs w:val="24"/>
        </w:rPr>
      </w:pPr>
      <w:r w:rsidRPr="00A07B1C">
        <w:rPr>
          <w:rFonts w:ascii="Times New Roman" w:hAnsi="Times New Roman"/>
          <w:sz w:val="24"/>
          <w:szCs w:val="24"/>
        </w:rPr>
        <w:t>In the</w:t>
      </w:r>
      <w:r w:rsidR="00225F88">
        <w:rPr>
          <w:rFonts w:ascii="Times New Roman" w:hAnsi="Times New Roman"/>
          <w:sz w:val="24"/>
          <w:szCs w:val="24"/>
        </w:rPr>
        <w:t xml:space="preserve"> State of Nation Address</w:t>
      </w:r>
      <w:r w:rsidR="0051112C">
        <w:rPr>
          <w:rFonts w:ascii="Times New Roman" w:hAnsi="Times New Roman"/>
          <w:sz w:val="24"/>
          <w:szCs w:val="24"/>
        </w:rPr>
        <w:t xml:space="preserve"> (SONA)</w:t>
      </w:r>
      <w:r w:rsidR="00225F88">
        <w:rPr>
          <w:rFonts w:ascii="Times New Roman" w:hAnsi="Times New Roman"/>
          <w:sz w:val="24"/>
          <w:szCs w:val="24"/>
        </w:rPr>
        <w:t xml:space="preserve"> in 20 June</w:t>
      </w:r>
      <w:r w:rsidRPr="00A07B1C">
        <w:rPr>
          <w:rFonts w:ascii="Times New Roman" w:hAnsi="Times New Roman"/>
          <w:sz w:val="24"/>
          <w:szCs w:val="24"/>
        </w:rPr>
        <w:t xml:space="preserve"> 2019, President M C </w:t>
      </w:r>
      <w:proofErr w:type="spellStart"/>
      <w:r w:rsidRPr="00A07B1C">
        <w:rPr>
          <w:rFonts w:ascii="Times New Roman" w:hAnsi="Times New Roman"/>
          <w:sz w:val="24"/>
          <w:szCs w:val="24"/>
        </w:rPr>
        <w:t>Ramaphosa</w:t>
      </w:r>
      <w:proofErr w:type="spellEnd"/>
      <w:r w:rsidRPr="00A07B1C">
        <w:rPr>
          <w:rFonts w:ascii="Times New Roman" w:hAnsi="Times New Roman"/>
          <w:sz w:val="24"/>
          <w:szCs w:val="24"/>
        </w:rPr>
        <w:t xml:space="preserve"> recognised the challenges facing the economy, and that to address these challenges would require a significant structural change with a clear focus on the productive sectors of the economy. He outlined seven priorities, with the key focus area aligned to the Department of Trade and Industry’s</w:t>
      </w:r>
      <w:r w:rsidR="003817E3" w:rsidRPr="00A07B1C">
        <w:rPr>
          <w:rFonts w:ascii="Times New Roman" w:hAnsi="Times New Roman"/>
          <w:sz w:val="24"/>
          <w:szCs w:val="24"/>
        </w:rPr>
        <w:t xml:space="preserve"> (DTI)</w:t>
      </w:r>
      <w:r w:rsidRPr="00A07B1C">
        <w:rPr>
          <w:rFonts w:ascii="Times New Roman" w:hAnsi="Times New Roman"/>
          <w:sz w:val="24"/>
          <w:szCs w:val="24"/>
        </w:rPr>
        <w:t xml:space="preserve"> mandate being “economic transformation and job creation” and “a better Africa and world”</w:t>
      </w:r>
      <w:r w:rsidR="00225F88">
        <w:rPr>
          <w:rStyle w:val="FootnoteReference"/>
          <w:rFonts w:ascii="Times New Roman" w:hAnsi="Times New Roman"/>
          <w:sz w:val="24"/>
          <w:szCs w:val="24"/>
        </w:rPr>
        <w:footnoteReference w:id="1"/>
      </w:r>
      <w:r w:rsidRPr="00A07B1C">
        <w:rPr>
          <w:rFonts w:ascii="Times New Roman" w:hAnsi="Times New Roman"/>
          <w:sz w:val="24"/>
          <w:szCs w:val="24"/>
        </w:rPr>
        <w:t>.</w:t>
      </w:r>
    </w:p>
    <w:p w14:paraId="48BB9464" w14:textId="77777777" w:rsidR="003F0A91" w:rsidRPr="00A07B1C" w:rsidRDefault="003F0A91" w:rsidP="003F0A91">
      <w:pPr>
        <w:spacing w:line="360" w:lineRule="auto"/>
        <w:jc w:val="both"/>
        <w:rPr>
          <w:rFonts w:ascii="Times New Roman" w:hAnsi="Times New Roman"/>
          <w:sz w:val="24"/>
          <w:szCs w:val="24"/>
        </w:rPr>
      </w:pPr>
    </w:p>
    <w:p w14:paraId="5F38A781" w14:textId="77777777" w:rsidR="009248D4" w:rsidRPr="00A07B1C" w:rsidRDefault="009248D4" w:rsidP="003F0A91">
      <w:pPr>
        <w:spacing w:line="360" w:lineRule="auto"/>
        <w:jc w:val="both"/>
        <w:rPr>
          <w:rFonts w:ascii="Times New Roman" w:hAnsi="Times New Roman"/>
          <w:sz w:val="24"/>
          <w:szCs w:val="24"/>
        </w:rPr>
      </w:pPr>
      <w:r w:rsidRPr="00A07B1C">
        <w:rPr>
          <w:rFonts w:ascii="Times New Roman" w:hAnsi="Times New Roman"/>
          <w:sz w:val="24"/>
          <w:szCs w:val="24"/>
        </w:rPr>
        <w:t xml:space="preserve">The government recognised the manufacturing sector as a key catalyst in addressing the triple challenge of poverty, income inequality and unemployment given its multiplier effect on jobs and its ability to integrate domestic upstream and downstream industries. This value chain integration </w:t>
      </w:r>
      <w:r w:rsidR="00225F88">
        <w:rPr>
          <w:rFonts w:ascii="Times New Roman" w:hAnsi="Times New Roman"/>
          <w:sz w:val="24"/>
          <w:szCs w:val="24"/>
        </w:rPr>
        <w:t xml:space="preserve">is expected to </w:t>
      </w:r>
      <w:r w:rsidRPr="00A07B1C">
        <w:rPr>
          <w:rFonts w:ascii="Times New Roman" w:hAnsi="Times New Roman"/>
          <w:sz w:val="24"/>
          <w:szCs w:val="24"/>
        </w:rPr>
        <w:t>also contribute to economic transformation. A re</w:t>
      </w:r>
      <w:r w:rsidR="0053085F">
        <w:rPr>
          <w:rFonts w:ascii="Times New Roman" w:hAnsi="Times New Roman"/>
          <w:sz w:val="24"/>
          <w:szCs w:val="24"/>
        </w:rPr>
        <w:t>-</w:t>
      </w:r>
      <w:r w:rsidRPr="00A07B1C">
        <w:rPr>
          <w:rFonts w:ascii="Times New Roman" w:hAnsi="Times New Roman"/>
          <w:sz w:val="24"/>
          <w:szCs w:val="24"/>
        </w:rPr>
        <w:t xml:space="preserve">imagined industrial strategy, underpinned by a strong social compact between government, the private sector and labour, would provide the foundation for increased productivity and private and foreign direct investment. In this regard, the DTI is developing sectoral masterplans, in consultation with the social partners, based on the lessons learnt from </w:t>
      </w:r>
      <w:r w:rsidR="00225F88">
        <w:rPr>
          <w:rFonts w:ascii="Times New Roman" w:hAnsi="Times New Roman"/>
          <w:sz w:val="24"/>
          <w:szCs w:val="24"/>
        </w:rPr>
        <w:t xml:space="preserve">the implementation of the </w:t>
      </w:r>
      <w:r w:rsidRPr="00A07B1C">
        <w:rPr>
          <w:rFonts w:ascii="Times New Roman" w:hAnsi="Times New Roman"/>
          <w:sz w:val="24"/>
          <w:szCs w:val="24"/>
        </w:rPr>
        <w:t>Industrial Policy Action Plan</w:t>
      </w:r>
      <w:r w:rsidR="00A07B1C">
        <w:rPr>
          <w:rFonts w:ascii="Times New Roman" w:hAnsi="Times New Roman"/>
          <w:sz w:val="24"/>
          <w:szCs w:val="24"/>
        </w:rPr>
        <w:t xml:space="preserve"> (IPAP)</w:t>
      </w:r>
      <w:r w:rsidRPr="00A07B1C">
        <w:rPr>
          <w:rFonts w:ascii="Times New Roman" w:hAnsi="Times New Roman"/>
          <w:sz w:val="24"/>
          <w:szCs w:val="24"/>
        </w:rPr>
        <w:t xml:space="preserve"> and </w:t>
      </w:r>
      <w:r w:rsidR="00225F88">
        <w:rPr>
          <w:rFonts w:ascii="Times New Roman" w:hAnsi="Times New Roman"/>
          <w:sz w:val="24"/>
          <w:szCs w:val="24"/>
        </w:rPr>
        <w:t xml:space="preserve">its </w:t>
      </w:r>
      <w:r w:rsidRPr="00A07B1C">
        <w:rPr>
          <w:rFonts w:ascii="Times New Roman" w:hAnsi="Times New Roman"/>
          <w:sz w:val="24"/>
          <w:szCs w:val="24"/>
        </w:rPr>
        <w:t>incentive programmes.</w:t>
      </w:r>
    </w:p>
    <w:p w14:paraId="1B7EDE47" w14:textId="77777777" w:rsidR="003F0A91" w:rsidRPr="00A07B1C" w:rsidRDefault="003F0A91" w:rsidP="003F0A91">
      <w:pPr>
        <w:spacing w:line="360" w:lineRule="auto"/>
        <w:jc w:val="both"/>
        <w:rPr>
          <w:rFonts w:ascii="Times New Roman" w:hAnsi="Times New Roman"/>
          <w:sz w:val="24"/>
          <w:szCs w:val="24"/>
        </w:rPr>
      </w:pPr>
    </w:p>
    <w:p w14:paraId="6D21F82C" w14:textId="77777777" w:rsidR="009248D4" w:rsidRPr="00A07B1C" w:rsidRDefault="009248D4" w:rsidP="003F0A91">
      <w:pPr>
        <w:spacing w:line="360" w:lineRule="auto"/>
        <w:jc w:val="both"/>
        <w:rPr>
          <w:rFonts w:ascii="Times New Roman" w:hAnsi="Times New Roman"/>
          <w:sz w:val="24"/>
          <w:szCs w:val="24"/>
        </w:rPr>
      </w:pPr>
      <w:r w:rsidRPr="00A07B1C">
        <w:rPr>
          <w:rFonts w:ascii="Times New Roman" w:hAnsi="Times New Roman"/>
          <w:sz w:val="24"/>
          <w:szCs w:val="24"/>
        </w:rPr>
        <w:t xml:space="preserve">The strengthening of intra-African trade and economic integration forms a key </w:t>
      </w:r>
      <w:r w:rsidR="00225F88">
        <w:rPr>
          <w:rFonts w:ascii="Times New Roman" w:hAnsi="Times New Roman"/>
          <w:sz w:val="24"/>
          <w:szCs w:val="24"/>
        </w:rPr>
        <w:t>part</w:t>
      </w:r>
      <w:r w:rsidRPr="00A07B1C">
        <w:rPr>
          <w:rFonts w:ascii="Times New Roman" w:hAnsi="Times New Roman"/>
          <w:sz w:val="24"/>
          <w:szCs w:val="24"/>
        </w:rPr>
        <w:t xml:space="preserve"> of the government’s growth strategy. The conclusion of the African Continental and Tripartite Free Trade Areas provides the foundation for African economic integration and increased intra-African trade that would benefit the South African economy. Furthermore, other bilateral and multilateral trade relations remain important for South Africa and these relationships should be consolidated. However, there is a need to diversify its exports to include higher value-</w:t>
      </w:r>
      <w:r w:rsidRPr="00A07B1C">
        <w:rPr>
          <w:rFonts w:ascii="Times New Roman" w:hAnsi="Times New Roman"/>
          <w:sz w:val="24"/>
          <w:szCs w:val="24"/>
        </w:rPr>
        <w:lastRenderedPageBreak/>
        <w:t xml:space="preserve">added manufactured products and </w:t>
      </w:r>
      <w:r w:rsidR="00225F88">
        <w:rPr>
          <w:rFonts w:ascii="Times New Roman" w:hAnsi="Times New Roman"/>
          <w:sz w:val="24"/>
          <w:szCs w:val="24"/>
        </w:rPr>
        <w:t xml:space="preserve">for South African components and products </w:t>
      </w:r>
      <w:r w:rsidRPr="00A07B1C">
        <w:rPr>
          <w:rFonts w:ascii="Times New Roman" w:hAnsi="Times New Roman"/>
          <w:sz w:val="24"/>
          <w:szCs w:val="24"/>
        </w:rPr>
        <w:t xml:space="preserve">to form part of global value chains. </w:t>
      </w:r>
    </w:p>
    <w:p w14:paraId="4B3A9A88" w14:textId="77777777" w:rsidR="003F0A91" w:rsidRPr="00A07B1C" w:rsidRDefault="003F0A91" w:rsidP="003F0A91">
      <w:pPr>
        <w:spacing w:line="360" w:lineRule="auto"/>
        <w:jc w:val="both"/>
        <w:rPr>
          <w:rFonts w:ascii="Times New Roman" w:hAnsi="Times New Roman"/>
          <w:sz w:val="24"/>
          <w:szCs w:val="24"/>
        </w:rPr>
      </w:pPr>
    </w:p>
    <w:p w14:paraId="224738A3" w14:textId="77777777" w:rsidR="009248D4" w:rsidRPr="00A07B1C" w:rsidRDefault="009248D4" w:rsidP="009248D4">
      <w:pPr>
        <w:spacing w:line="360" w:lineRule="auto"/>
        <w:jc w:val="both"/>
        <w:rPr>
          <w:rFonts w:ascii="Times New Roman" w:hAnsi="Times New Roman"/>
          <w:sz w:val="24"/>
          <w:szCs w:val="24"/>
        </w:rPr>
      </w:pPr>
      <w:r w:rsidRPr="00A07B1C">
        <w:rPr>
          <w:rFonts w:ascii="Times New Roman" w:hAnsi="Times New Roman"/>
          <w:sz w:val="24"/>
          <w:szCs w:val="24"/>
        </w:rPr>
        <w:t>In addition, the President announced the reconfiguration of government to promote coherence, better coordination and improve efficiency. This included a merger between the Ministries of Trade and Industry and of Economic Development. This merger can assist in reducing policy uncertainty, and enhancing capabilities between the two, while leading to a more efficient use of financial and other resources in this</w:t>
      </w:r>
      <w:r w:rsidR="00225F88">
        <w:rPr>
          <w:rFonts w:ascii="Times New Roman" w:hAnsi="Times New Roman"/>
          <w:sz w:val="24"/>
          <w:szCs w:val="24"/>
        </w:rPr>
        <w:t xml:space="preserve"> constrained</w:t>
      </w:r>
      <w:r w:rsidRPr="00A07B1C">
        <w:rPr>
          <w:rFonts w:ascii="Times New Roman" w:hAnsi="Times New Roman"/>
          <w:sz w:val="24"/>
          <w:szCs w:val="24"/>
        </w:rPr>
        <w:t xml:space="preserve"> fiscal climate.</w:t>
      </w:r>
    </w:p>
    <w:p w14:paraId="215487E7" w14:textId="77777777" w:rsidR="00810B3A" w:rsidRPr="00A07B1C" w:rsidRDefault="00810B3A" w:rsidP="003F0A91">
      <w:pPr>
        <w:spacing w:line="360" w:lineRule="auto"/>
        <w:jc w:val="both"/>
        <w:rPr>
          <w:rFonts w:ascii="Times New Roman" w:hAnsi="Times New Roman"/>
          <w:sz w:val="24"/>
          <w:szCs w:val="24"/>
        </w:rPr>
      </w:pPr>
    </w:p>
    <w:p w14:paraId="42EE75B8" w14:textId="77777777" w:rsidR="006A7D0D" w:rsidRPr="00A07B1C" w:rsidRDefault="006A7D0D" w:rsidP="00E40757">
      <w:pPr>
        <w:numPr>
          <w:ilvl w:val="1"/>
          <w:numId w:val="6"/>
        </w:numPr>
        <w:spacing w:line="360" w:lineRule="auto"/>
        <w:jc w:val="both"/>
        <w:rPr>
          <w:rFonts w:ascii="Times New Roman" w:hAnsi="Times New Roman"/>
          <w:b/>
          <w:sz w:val="24"/>
          <w:szCs w:val="24"/>
        </w:rPr>
      </w:pPr>
      <w:r w:rsidRPr="00A07B1C">
        <w:rPr>
          <w:rFonts w:ascii="Times New Roman" w:hAnsi="Times New Roman"/>
          <w:b/>
          <w:sz w:val="24"/>
          <w:szCs w:val="24"/>
        </w:rPr>
        <w:t>Constitutional Mandate of the Committee</w:t>
      </w:r>
    </w:p>
    <w:p w14:paraId="5126F4A6" w14:textId="77777777" w:rsidR="006A7D0D" w:rsidRPr="00A07B1C" w:rsidRDefault="006A7D0D" w:rsidP="00E40757">
      <w:pPr>
        <w:spacing w:line="360" w:lineRule="auto"/>
        <w:jc w:val="both"/>
        <w:rPr>
          <w:rFonts w:ascii="Times New Roman" w:hAnsi="Times New Roman"/>
          <w:sz w:val="24"/>
          <w:szCs w:val="24"/>
        </w:rPr>
      </w:pPr>
    </w:p>
    <w:p w14:paraId="5E847838" w14:textId="77777777" w:rsidR="006A7D0D" w:rsidRPr="00A07B1C" w:rsidRDefault="006A7D0D" w:rsidP="00E40757">
      <w:pPr>
        <w:pStyle w:val="BodyTextIndent"/>
        <w:spacing w:after="0" w:line="360" w:lineRule="auto"/>
        <w:ind w:left="0"/>
        <w:jc w:val="both"/>
        <w:rPr>
          <w:rFonts w:ascii="Times New Roman" w:hAnsi="Times New Roman"/>
          <w:color w:val="auto"/>
          <w:sz w:val="24"/>
          <w:szCs w:val="24"/>
        </w:rPr>
      </w:pPr>
      <w:r w:rsidRPr="00A07B1C">
        <w:rPr>
          <w:rFonts w:ascii="Times New Roman" w:hAnsi="Times New Roman"/>
          <w:color w:val="auto"/>
          <w:sz w:val="24"/>
          <w:szCs w:val="24"/>
        </w:rPr>
        <w:t xml:space="preserve">Portfolio Committees exercise oversight over their respective departments and agencies in line with their Constitutional mandate set out in section 55(2) of the Constitution of </w:t>
      </w:r>
      <w:r w:rsidR="007821C4" w:rsidRPr="00A07B1C">
        <w:rPr>
          <w:rFonts w:ascii="Times New Roman" w:hAnsi="Times New Roman"/>
          <w:color w:val="auto"/>
          <w:sz w:val="24"/>
          <w:szCs w:val="24"/>
        </w:rPr>
        <w:t xml:space="preserve">the Republic of South Africa, </w:t>
      </w:r>
      <w:r w:rsidRPr="00A07B1C">
        <w:rPr>
          <w:rFonts w:ascii="Times New Roman" w:hAnsi="Times New Roman"/>
          <w:color w:val="auto"/>
          <w:sz w:val="24"/>
          <w:szCs w:val="24"/>
        </w:rPr>
        <w:t>1996 and section 27(4) of the Public Finance Management Act (No. 1 of 1999). In addition, the Money Bills Amendment Procedure and Related Matters Act (No. 9 of 2009) also requires committees to consider and report on their department and entities’ strategic</w:t>
      </w:r>
      <w:r w:rsidR="00225F88">
        <w:rPr>
          <w:rFonts w:ascii="Times New Roman" w:hAnsi="Times New Roman"/>
          <w:color w:val="auto"/>
          <w:sz w:val="24"/>
          <w:szCs w:val="24"/>
        </w:rPr>
        <w:t xml:space="preserve"> and annual performance</w:t>
      </w:r>
      <w:r w:rsidRPr="00A07B1C">
        <w:rPr>
          <w:rFonts w:ascii="Times New Roman" w:hAnsi="Times New Roman"/>
          <w:color w:val="auto"/>
          <w:sz w:val="24"/>
          <w:szCs w:val="24"/>
        </w:rPr>
        <w:t xml:space="preserve"> plans. Portfolio committees may also advise the Standing Committee on Appropriations in the National Assembly regarding possible amendments</w:t>
      </w:r>
      <w:r w:rsidR="00225F88">
        <w:rPr>
          <w:rFonts w:ascii="Times New Roman" w:hAnsi="Times New Roman"/>
          <w:color w:val="auto"/>
          <w:sz w:val="24"/>
          <w:szCs w:val="24"/>
        </w:rPr>
        <w:t>,</w:t>
      </w:r>
      <w:r w:rsidRPr="00A07B1C">
        <w:rPr>
          <w:rFonts w:ascii="Times New Roman" w:hAnsi="Times New Roman"/>
          <w:color w:val="auto"/>
          <w:sz w:val="24"/>
          <w:szCs w:val="24"/>
        </w:rPr>
        <w:t xml:space="preserve"> within a budget vote</w:t>
      </w:r>
      <w:r w:rsidR="00225F88">
        <w:rPr>
          <w:rFonts w:ascii="Times New Roman" w:hAnsi="Times New Roman"/>
          <w:color w:val="auto"/>
          <w:sz w:val="24"/>
          <w:szCs w:val="24"/>
        </w:rPr>
        <w:t>,</w:t>
      </w:r>
      <w:r w:rsidRPr="00A07B1C">
        <w:rPr>
          <w:rFonts w:ascii="Times New Roman" w:hAnsi="Times New Roman"/>
          <w:color w:val="auto"/>
          <w:sz w:val="24"/>
          <w:szCs w:val="24"/>
        </w:rPr>
        <w:t xml:space="preserve"> for its consideration. </w:t>
      </w:r>
    </w:p>
    <w:p w14:paraId="1B04D61C" w14:textId="77777777" w:rsidR="006A7D0D" w:rsidRPr="00A07B1C" w:rsidRDefault="006A7D0D" w:rsidP="00E40757">
      <w:pPr>
        <w:spacing w:line="360" w:lineRule="auto"/>
        <w:jc w:val="both"/>
        <w:rPr>
          <w:rFonts w:ascii="Times New Roman" w:hAnsi="Times New Roman"/>
          <w:sz w:val="24"/>
          <w:szCs w:val="24"/>
        </w:rPr>
      </w:pPr>
    </w:p>
    <w:p w14:paraId="2396BAE1" w14:textId="77777777" w:rsidR="006A7D0D" w:rsidRPr="00A07B1C" w:rsidRDefault="006A7D0D" w:rsidP="00E40757">
      <w:pPr>
        <w:numPr>
          <w:ilvl w:val="1"/>
          <w:numId w:val="6"/>
        </w:numPr>
        <w:spacing w:line="360" w:lineRule="auto"/>
        <w:jc w:val="both"/>
        <w:rPr>
          <w:rFonts w:ascii="Times New Roman" w:hAnsi="Times New Roman"/>
          <w:b/>
          <w:sz w:val="24"/>
          <w:szCs w:val="24"/>
        </w:rPr>
      </w:pPr>
      <w:r w:rsidRPr="00A07B1C">
        <w:rPr>
          <w:rFonts w:ascii="Times New Roman" w:hAnsi="Times New Roman"/>
          <w:b/>
          <w:sz w:val="24"/>
          <w:szCs w:val="24"/>
        </w:rPr>
        <w:t>Purpose</w:t>
      </w:r>
    </w:p>
    <w:p w14:paraId="688C00E2" w14:textId="77777777" w:rsidR="006A7D0D" w:rsidRPr="00A07B1C" w:rsidRDefault="006A7D0D" w:rsidP="00EE0880">
      <w:pPr>
        <w:spacing w:line="360" w:lineRule="auto"/>
        <w:jc w:val="both"/>
        <w:rPr>
          <w:rFonts w:ascii="Times New Roman" w:hAnsi="Times New Roman"/>
          <w:sz w:val="24"/>
          <w:szCs w:val="24"/>
        </w:rPr>
      </w:pPr>
    </w:p>
    <w:p w14:paraId="5E0AD250" w14:textId="77777777" w:rsidR="006A7D0D" w:rsidRPr="00A07B1C" w:rsidRDefault="006A7D0D" w:rsidP="00E40757">
      <w:pPr>
        <w:spacing w:line="360" w:lineRule="auto"/>
        <w:jc w:val="both"/>
        <w:rPr>
          <w:rFonts w:ascii="Times New Roman" w:hAnsi="Times New Roman"/>
          <w:sz w:val="24"/>
          <w:szCs w:val="24"/>
        </w:rPr>
      </w:pPr>
      <w:r w:rsidRPr="00A07B1C">
        <w:rPr>
          <w:rFonts w:ascii="Times New Roman" w:hAnsi="Times New Roman"/>
          <w:sz w:val="24"/>
          <w:szCs w:val="24"/>
        </w:rPr>
        <w:t>The purpose of this report is for the Portfolio Committee on Trade and Industry to report on its deliberations and consideration</w:t>
      </w:r>
      <w:r w:rsidR="00266FB3" w:rsidRPr="00A07B1C">
        <w:rPr>
          <w:rFonts w:ascii="Times New Roman" w:hAnsi="Times New Roman"/>
          <w:sz w:val="24"/>
          <w:szCs w:val="24"/>
        </w:rPr>
        <w:t xml:space="preserve"> </w:t>
      </w:r>
      <w:r w:rsidRPr="00A07B1C">
        <w:rPr>
          <w:rFonts w:ascii="Times New Roman" w:hAnsi="Times New Roman"/>
          <w:sz w:val="24"/>
          <w:szCs w:val="24"/>
        </w:rPr>
        <w:t xml:space="preserve">of the </w:t>
      </w:r>
      <w:r w:rsidR="003817E3" w:rsidRPr="00A07B1C">
        <w:rPr>
          <w:rFonts w:ascii="Times New Roman" w:hAnsi="Times New Roman"/>
          <w:sz w:val="24"/>
          <w:szCs w:val="24"/>
        </w:rPr>
        <w:t>Economic Development Department (</w:t>
      </w:r>
      <w:r w:rsidR="00266FB3" w:rsidRPr="00A07B1C">
        <w:rPr>
          <w:rFonts w:ascii="Times New Roman" w:hAnsi="Times New Roman"/>
          <w:sz w:val="24"/>
          <w:szCs w:val="24"/>
        </w:rPr>
        <w:t>EDD</w:t>
      </w:r>
      <w:r w:rsidR="003817E3" w:rsidRPr="00A07B1C">
        <w:rPr>
          <w:rFonts w:ascii="Times New Roman" w:hAnsi="Times New Roman"/>
          <w:sz w:val="24"/>
          <w:szCs w:val="24"/>
        </w:rPr>
        <w:t>)</w:t>
      </w:r>
      <w:r w:rsidR="00266FB3" w:rsidRPr="00A07B1C">
        <w:rPr>
          <w:rFonts w:ascii="Times New Roman" w:hAnsi="Times New Roman"/>
          <w:sz w:val="24"/>
          <w:szCs w:val="24"/>
        </w:rPr>
        <w:t xml:space="preserve"> and </w:t>
      </w:r>
      <w:r w:rsidRPr="00A07B1C">
        <w:rPr>
          <w:rFonts w:ascii="Times New Roman" w:hAnsi="Times New Roman"/>
          <w:sz w:val="24"/>
          <w:szCs w:val="24"/>
        </w:rPr>
        <w:t xml:space="preserve">DTI’s </w:t>
      </w:r>
      <w:r w:rsidR="00266FB3" w:rsidRPr="00A07B1C">
        <w:rPr>
          <w:rFonts w:ascii="Times New Roman" w:hAnsi="Times New Roman"/>
          <w:sz w:val="24"/>
          <w:szCs w:val="24"/>
        </w:rPr>
        <w:t xml:space="preserve">annual performance </w:t>
      </w:r>
      <w:r w:rsidRPr="00A07B1C">
        <w:rPr>
          <w:rFonts w:ascii="Times New Roman" w:hAnsi="Times New Roman"/>
          <w:sz w:val="24"/>
          <w:szCs w:val="24"/>
        </w:rPr>
        <w:t>plan</w:t>
      </w:r>
      <w:r w:rsidR="00266FB3" w:rsidRPr="00A07B1C">
        <w:rPr>
          <w:rFonts w:ascii="Times New Roman" w:hAnsi="Times New Roman"/>
          <w:sz w:val="24"/>
          <w:szCs w:val="24"/>
        </w:rPr>
        <w:t>s</w:t>
      </w:r>
      <w:r w:rsidRPr="00A07B1C">
        <w:rPr>
          <w:rFonts w:ascii="Times New Roman" w:hAnsi="Times New Roman"/>
          <w:sz w:val="24"/>
          <w:szCs w:val="24"/>
        </w:rPr>
        <w:t xml:space="preserve"> and </w:t>
      </w:r>
      <w:r w:rsidR="00266FB3" w:rsidRPr="00A07B1C">
        <w:rPr>
          <w:rFonts w:ascii="Times New Roman" w:hAnsi="Times New Roman"/>
          <w:sz w:val="24"/>
          <w:szCs w:val="24"/>
        </w:rPr>
        <w:t xml:space="preserve">their </w:t>
      </w:r>
      <w:r w:rsidRPr="00A07B1C">
        <w:rPr>
          <w:rFonts w:ascii="Times New Roman" w:hAnsi="Times New Roman"/>
          <w:sz w:val="24"/>
          <w:szCs w:val="24"/>
        </w:rPr>
        <w:t>associated budget vote</w:t>
      </w:r>
      <w:r w:rsidR="00266FB3" w:rsidRPr="00A07B1C">
        <w:rPr>
          <w:rFonts w:ascii="Times New Roman" w:hAnsi="Times New Roman"/>
          <w:sz w:val="24"/>
          <w:szCs w:val="24"/>
        </w:rPr>
        <w:t>s</w:t>
      </w:r>
      <w:r w:rsidRPr="00A07B1C">
        <w:rPr>
          <w:rFonts w:ascii="Times New Roman" w:hAnsi="Times New Roman"/>
          <w:sz w:val="24"/>
          <w:szCs w:val="24"/>
        </w:rPr>
        <w:t xml:space="preserve"> (Budget Vote</w:t>
      </w:r>
      <w:r w:rsidR="00266FB3" w:rsidRPr="00A07B1C">
        <w:rPr>
          <w:rFonts w:ascii="Times New Roman" w:hAnsi="Times New Roman"/>
          <w:sz w:val="24"/>
          <w:szCs w:val="24"/>
        </w:rPr>
        <w:t>s</w:t>
      </w:r>
      <w:r w:rsidRPr="00A07B1C">
        <w:rPr>
          <w:rFonts w:ascii="Times New Roman" w:hAnsi="Times New Roman"/>
          <w:sz w:val="24"/>
          <w:szCs w:val="24"/>
        </w:rPr>
        <w:t xml:space="preserve"> </w:t>
      </w:r>
      <w:r w:rsidR="00266FB3" w:rsidRPr="00A07B1C">
        <w:rPr>
          <w:rFonts w:ascii="Times New Roman" w:hAnsi="Times New Roman"/>
          <w:sz w:val="24"/>
          <w:szCs w:val="24"/>
        </w:rPr>
        <w:t>25 and 34 respectively</w:t>
      </w:r>
      <w:r w:rsidRPr="00A07B1C">
        <w:rPr>
          <w:rFonts w:ascii="Times New Roman" w:hAnsi="Times New Roman"/>
          <w:sz w:val="24"/>
          <w:szCs w:val="24"/>
        </w:rPr>
        <w:t>). Furthermore, to make recommendations regarding the approval, amendmen</w:t>
      </w:r>
      <w:r w:rsidR="00266FB3" w:rsidRPr="00A07B1C">
        <w:rPr>
          <w:rFonts w:ascii="Times New Roman" w:hAnsi="Times New Roman"/>
          <w:sz w:val="24"/>
          <w:szCs w:val="24"/>
        </w:rPr>
        <w:t>t or rejection of Budget Votes 25 and 34, as well as</w:t>
      </w:r>
      <w:r w:rsidRPr="00A07B1C">
        <w:rPr>
          <w:rFonts w:ascii="Times New Roman" w:hAnsi="Times New Roman"/>
          <w:sz w:val="24"/>
          <w:szCs w:val="24"/>
        </w:rPr>
        <w:t xml:space="preserve"> any other recommendation regarding the implementation of the </w:t>
      </w:r>
      <w:r w:rsidR="00266FB3" w:rsidRPr="00A07B1C">
        <w:rPr>
          <w:rFonts w:ascii="Times New Roman" w:hAnsi="Times New Roman"/>
          <w:sz w:val="24"/>
          <w:szCs w:val="24"/>
        </w:rPr>
        <w:t xml:space="preserve">annual performance </w:t>
      </w:r>
      <w:r w:rsidRPr="00A07B1C">
        <w:rPr>
          <w:rFonts w:ascii="Times New Roman" w:hAnsi="Times New Roman"/>
          <w:sz w:val="24"/>
          <w:szCs w:val="24"/>
        </w:rPr>
        <w:t>plan</w:t>
      </w:r>
      <w:r w:rsidR="00266FB3" w:rsidRPr="00A07B1C">
        <w:rPr>
          <w:rFonts w:ascii="Times New Roman" w:hAnsi="Times New Roman"/>
          <w:sz w:val="24"/>
          <w:szCs w:val="24"/>
        </w:rPr>
        <w:t>s of the EDD and the DTI</w:t>
      </w:r>
      <w:r w:rsidRPr="00A07B1C">
        <w:rPr>
          <w:rFonts w:ascii="Times New Roman" w:hAnsi="Times New Roman"/>
          <w:sz w:val="24"/>
          <w:szCs w:val="24"/>
        </w:rPr>
        <w:t>.</w:t>
      </w:r>
    </w:p>
    <w:p w14:paraId="60333CB3" w14:textId="77777777" w:rsidR="006A7D0D" w:rsidRPr="00A07B1C" w:rsidRDefault="006A7D0D" w:rsidP="00E40757">
      <w:pPr>
        <w:spacing w:line="360" w:lineRule="auto"/>
        <w:jc w:val="both"/>
        <w:rPr>
          <w:rFonts w:ascii="Times New Roman" w:hAnsi="Times New Roman"/>
          <w:sz w:val="24"/>
          <w:szCs w:val="24"/>
        </w:rPr>
      </w:pPr>
    </w:p>
    <w:p w14:paraId="28AC7F9D" w14:textId="77777777" w:rsidR="006A7D0D" w:rsidRPr="00A07B1C" w:rsidRDefault="006A7D0D" w:rsidP="00E40757">
      <w:pPr>
        <w:numPr>
          <w:ilvl w:val="1"/>
          <w:numId w:val="6"/>
        </w:numPr>
        <w:spacing w:line="360" w:lineRule="auto"/>
        <w:jc w:val="both"/>
        <w:rPr>
          <w:rFonts w:ascii="Times New Roman" w:hAnsi="Times New Roman"/>
          <w:b/>
          <w:sz w:val="24"/>
          <w:szCs w:val="24"/>
        </w:rPr>
      </w:pPr>
      <w:r w:rsidRPr="00A07B1C">
        <w:rPr>
          <w:rFonts w:ascii="Times New Roman" w:hAnsi="Times New Roman"/>
          <w:b/>
          <w:sz w:val="24"/>
          <w:szCs w:val="24"/>
        </w:rPr>
        <w:t>Process</w:t>
      </w:r>
    </w:p>
    <w:p w14:paraId="7CA862AD" w14:textId="77777777" w:rsidR="006A7D0D" w:rsidRPr="00A07B1C" w:rsidRDefault="006A7D0D" w:rsidP="00E40757">
      <w:pPr>
        <w:spacing w:line="360" w:lineRule="auto"/>
        <w:jc w:val="both"/>
        <w:rPr>
          <w:rFonts w:ascii="Times New Roman" w:hAnsi="Times New Roman"/>
          <w:sz w:val="24"/>
          <w:szCs w:val="24"/>
        </w:rPr>
      </w:pPr>
    </w:p>
    <w:p w14:paraId="62DE9356" w14:textId="77777777" w:rsidR="006A7D0D" w:rsidRPr="00A07B1C" w:rsidRDefault="006A7D0D" w:rsidP="00E40757">
      <w:pPr>
        <w:spacing w:line="360" w:lineRule="auto"/>
        <w:jc w:val="both"/>
        <w:rPr>
          <w:rFonts w:ascii="Times New Roman" w:hAnsi="Times New Roman"/>
          <w:sz w:val="24"/>
          <w:szCs w:val="24"/>
        </w:rPr>
      </w:pPr>
      <w:r w:rsidRPr="00A07B1C">
        <w:rPr>
          <w:rFonts w:ascii="Times New Roman" w:hAnsi="Times New Roman"/>
          <w:sz w:val="24"/>
          <w:szCs w:val="24"/>
        </w:rPr>
        <w:t xml:space="preserve">The </w:t>
      </w:r>
      <w:r w:rsidR="00266FB3" w:rsidRPr="00A07B1C">
        <w:rPr>
          <w:rFonts w:ascii="Times New Roman" w:hAnsi="Times New Roman"/>
          <w:sz w:val="24"/>
          <w:szCs w:val="24"/>
        </w:rPr>
        <w:t>C</w:t>
      </w:r>
      <w:r w:rsidRPr="00A07B1C">
        <w:rPr>
          <w:rFonts w:ascii="Times New Roman" w:hAnsi="Times New Roman"/>
          <w:sz w:val="24"/>
          <w:szCs w:val="24"/>
        </w:rPr>
        <w:t>ommittee’s consideration of Vote</w:t>
      </w:r>
      <w:r w:rsidR="00266FB3" w:rsidRPr="00A07B1C">
        <w:rPr>
          <w:rFonts w:ascii="Times New Roman" w:hAnsi="Times New Roman"/>
          <w:sz w:val="24"/>
          <w:szCs w:val="24"/>
        </w:rPr>
        <w:t>s 25 and 34</w:t>
      </w:r>
      <w:r w:rsidR="00225F88">
        <w:rPr>
          <w:rFonts w:ascii="Times New Roman" w:hAnsi="Times New Roman"/>
          <w:sz w:val="24"/>
          <w:szCs w:val="24"/>
        </w:rPr>
        <w:t xml:space="preserve"> respectively</w:t>
      </w:r>
      <w:r w:rsidRPr="00A07B1C">
        <w:rPr>
          <w:rFonts w:ascii="Times New Roman" w:hAnsi="Times New Roman"/>
          <w:sz w:val="24"/>
          <w:szCs w:val="24"/>
        </w:rPr>
        <w:t xml:space="preserve"> involved a</w:t>
      </w:r>
      <w:r w:rsidR="001562C5" w:rsidRPr="00A07B1C">
        <w:rPr>
          <w:rFonts w:ascii="Times New Roman" w:hAnsi="Times New Roman"/>
          <w:sz w:val="24"/>
          <w:szCs w:val="24"/>
        </w:rPr>
        <w:t>n</w:t>
      </w:r>
      <w:r w:rsidR="00266FB3" w:rsidRPr="00A07B1C">
        <w:rPr>
          <w:rFonts w:ascii="Times New Roman" w:hAnsi="Times New Roman"/>
          <w:sz w:val="24"/>
          <w:szCs w:val="24"/>
        </w:rPr>
        <w:t xml:space="preserve"> engagement with </w:t>
      </w:r>
      <w:r w:rsidR="00225F88" w:rsidRPr="00A07B1C">
        <w:rPr>
          <w:rFonts w:ascii="Times New Roman" w:hAnsi="Times New Roman"/>
          <w:sz w:val="24"/>
          <w:szCs w:val="24"/>
        </w:rPr>
        <w:t>Mr E Patel</w:t>
      </w:r>
      <w:r w:rsidR="00225F88">
        <w:rPr>
          <w:rFonts w:ascii="Times New Roman" w:hAnsi="Times New Roman"/>
          <w:sz w:val="24"/>
          <w:szCs w:val="24"/>
        </w:rPr>
        <w:t>,</w:t>
      </w:r>
      <w:r w:rsidR="00225F88" w:rsidRPr="00A07B1C">
        <w:rPr>
          <w:rFonts w:ascii="Times New Roman" w:hAnsi="Times New Roman"/>
          <w:sz w:val="24"/>
          <w:szCs w:val="24"/>
        </w:rPr>
        <w:t xml:space="preserve"> </w:t>
      </w:r>
      <w:r w:rsidR="00266FB3" w:rsidRPr="00A07B1C">
        <w:rPr>
          <w:rFonts w:ascii="Times New Roman" w:hAnsi="Times New Roman"/>
          <w:sz w:val="24"/>
          <w:szCs w:val="24"/>
        </w:rPr>
        <w:t>the Minister of Trade and Industry,</w:t>
      </w:r>
      <w:r w:rsidRPr="00A07B1C">
        <w:rPr>
          <w:rFonts w:ascii="Times New Roman" w:hAnsi="Times New Roman"/>
          <w:sz w:val="24"/>
          <w:szCs w:val="24"/>
        </w:rPr>
        <w:t xml:space="preserve"> </w:t>
      </w:r>
      <w:r w:rsidR="00225F88">
        <w:rPr>
          <w:rFonts w:ascii="Times New Roman" w:hAnsi="Times New Roman"/>
          <w:sz w:val="24"/>
          <w:szCs w:val="24"/>
        </w:rPr>
        <w:t>Mr L</w:t>
      </w:r>
      <w:r w:rsidR="00225F88" w:rsidRPr="00A07B1C">
        <w:rPr>
          <w:rFonts w:ascii="Times New Roman" w:hAnsi="Times New Roman"/>
          <w:sz w:val="24"/>
          <w:szCs w:val="24"/>
        </w:rPr>
        <w:t xml:space="preserve"> October</w:t>
      </w:r>
      <w:r w:rsidR="00225F88">
        <w:rPr>
          <w:rFonts w:ascii="Times New Roman" w:hAnsi="Times New Roman"/>
          <w:sz w:val="24"/>
          <w:szCs w:val="24"/>
        </w:rPr>
        <w:t>,</w:t>
      </w:r>
      <w:r w:rsidR="00225F88" w:rsidRPr="00A07B1C">
        <w:rPr>
          <w:rFonts w:ascii="Times New Roman" w:hAnsi="Times New Roman"/>
          <w:sz w:val="24"/>
          <w:szCs w:val="24"/>
        </w:rPr>
        <w:t xml:space="preserve"> </w:t>
      </w:r>
      <w:r w:rsidR="001562C5" w:rsidRPr="00A07B1C">
        <w:rPr>
          <w:rFonts w:ascii="Times New Roman" w:hAnsi="Times New Roman"/>
          <w:sz w:val="24"/>
          <w:szCs w:val="24"/>
        </w:rPr>
        <w:t xml:space="preserve">the Director-General of Trade </w:t>
      </w:r>
      <w:r w:rsidR="001562C5" w:rsidRPr="00A07B1C">
        <w:rPr>
          <w:rFonts w:ascii="Times New Roman" w:hAnsi="Times New Roman"/>
          <w:sz w:val="24"/>
          <w:szCs w:val="24"/>
        </w:rPr>
        <w:lastRenderedPageBreak/>
        <w:t>and Industry,</w:t>
      </w:r>
      <w:r w:rsidRPr="00A07B1C">
        <w:rPr>
          <w:rFonts w:ascii="Times New Roman" w:hAnsi="Times New Roman"/>
          <w:sz w:val="24"/>
          <w:szCs w:val="24"/>
        </w:rPr>
        <w:t xml:space="preserve"> </w:t>
      </w:r>
      <w:r w:rsidR="00266FB3" w:rsidRPr="00A07B1C">
        <w:rPr>
          <w:rFonts w:ascii="Times New Roman" w:hAnsi="Times New Roman"/>
          <w:sz w:val="24"/>
          <w:szCs w:val="24"/>
        </w:rPr>
        <w:t xml:space="preserve">and </w:t>
      </w:r>
      <w:r w:rsidR="00225F88">
        <w:rPr>
          <w:rFonts w:ascii="Times New Roman" w:hAnsi="Times New Roman"/>
          <w:sz w:val="24"/>
          <w:szCs w:val="24"/>
        </w:rPr>
        <w:t xml:space="preserve">Dr M </w:t>
      </w:r>
      <w:r w:rsidR="00225F88" w:rsidRPr="00A07B1C">
        <w:rPr>
          <w:rFonts w:ascii="Times New Roman" w:hAnsi="Times New Roman"/>
          <w:sz w:val="24"/>
          <w:szCs w:val="24"/>
        </w:rPr>
        <w:t>Tom</w:t>
      </w:r>
      <w:r w:rsidR="00225F88">
        <w:rPr>
          <w:rFonts w:ascii="Times New Roman" w:hAnsi="Times New Roman"/>
          <w:sz w:val="24"/>
          <w:szCs w:val="24"/>
        </w:rPr>
        <w:t>,</w:t>
      </w:r>
      <w:r w:rsidR="00225F88" w:rsidRPr="00A07B1C">
        <w:rPr>
          <w:rFonts w:ascii="Times New Roman" w:hAnsi="Times New Roman"/>
          <w:sz w:val="24"/>
          <w:szCs w:val="24"/>
        </w:rPr>
        <w:t xml:space="preserve"> </w:t>
      </w:r>
      <w:r w:rsidR="001562C5" w:rsidRPr="00A07B1C">
        <w:rPr>
          <w:rFonts w:ascii="Times New Roman" w:hAnsi="Times New Roman"/>
          <w:sz w:val="24"/>
          <w:szCs w:val="24"/>
        </w:rPr>
        <w:t>the Acting Director-General of Economic Development,</w:t>
      </w:r>
      <w:r w:rsidR="00266FB3" w:rsidRPr="00A07B1C">
        <w:rPr>
          <w:rFonts w:ascii="Times New Roman" w:hAnsi="Times New Roman"/>
          <w:sz w:val="24"/>
          <w:szCs w:val="24"/>
        </w:rPr>
        <w:t xml:space="preserve"> </w:t>
      </w:r>
      <w:r w:rsidRPr="00A07B1C">
        <w:rPr>
          <w:rFonts w:ascii="Times New Roman" w:hAnsi="Times New Roman"/>
          <w:sz w:val="24"/>
          <w:szCs w:val="24"/>
        </w:rPr>
        <w:t xml:space="preserve">on </w:t>
      </w:r>
      <w:r w:rsidR="00266FB3" w:rsidRPr="00A07B1C">
        <w:rPr>
          <w:rFonts w:ascii="Times New Roman" w:hAnsi="Times New Roman"/>
          <w:sz w:val="24"/>
          <w:szCs w:val="24"/>
        </w:rPr>
        <w:t>4</w:t>
      </w:r>
      <w:r w:rsidRPr="00A07B1C">
        <w:rPr>
          <w:rFonts w:ascii="Times New Roman" w:hAnsi="Times New Roman"/>
          <w:sz w:val="24"/>
          <w:szCs w:val="24"/>
        </w:rPr>
        <w:t xml:space="preserve"> </w:t>
      </w:r>
      <w:r w:rsidR="00266FB3" w:rsidRPr="00A07B1C">
        <w:rPr>
          <w:rFonts w:ascii="Times New Roman" w:hAnsi="Times New Roman"/>
          <w:sz w:val="24"/>
          <w:szCs w:val="24"/>
        </w:rPr>
        <w:t>July 2019</w:t>
      </w:r>
      <w:r w:rsidR="001562C5" w:rsidRPr="00A07B1C">
        <w:rPr>
          <w:rFonts w:ascii="Times New Roman" w:hAnsi="Times New Roman"/>
          <w:sz w:val="24"/>
          <w:szCs w:val="24"/>
        </w:rPr>
        <w:t>.</w:t>
      </w:r>
      <w:r w:rsidRPr="00A07B1C">
        <w:rPr>
          <w:rFonts w:ascii="Times New Roman" w:hAnsi="Times New Roman"/>
          <w:sz w:val="24"/>
          <w:szCs w:val="24"/>
        </w:rPr>
        <w:t xml:space="preserve"> </w:t>
      </w:r>
      <w:r w:rsidR="001562C5" w:rsidRPr="00A07B1C">
        <w:rPr>
          <w:rFonts w:ascii="Times New Roman" w:hAnsi="Times New Roman"/>
          <w:sz w:val="24"/>
          <w:szCs w:val="24"/>
        </w:rPr>
        <w:t xml:space="preserve">Mr Patel </w:t>
      </w:r>
      <w:r w:rsidRPr="00A07B1C">
        <w:rPr>
          <w:rFonts w:ascii="Times New Roman" w:hAnsi="Times New Roman"/>
          <w:sz w:val="24"/>
          <w:szCs w:val="24"/>
        </w:rPr>
        <w:t xml:space="preserve">provided </w:t>
      </w:r>
      <w:r w:rsidR="001562C5" w:rsidRPr="00A07B1C">
        <w:rPr>
          <w:rFonts w:ascii="Times New Roman" w:hAnsi="Times New Roman"/>
          <w:sz w:val="24"/>
          <w:szCs w:val="24"/>
        </w:rPr>
        <w:t xml:space="preserve">an overview of the merger between the EDD and the DTI and </w:t>
      </w:r>
      <w:r w:rsidRPr="00A07B1C">
        <w:rPr>
          <w:rFonts w:ascii="Times New Roman" w:hAnsi="Times New Roman"/>
          <w:sz w:val="24"/>
          <w:szCs w:val="24"/>
        </w:rPr>
        <w:t xml:space="preserve">the </w:t>
      </w:r>
      <w:r w:rsidR="001562C5" w:rsidRPr="00A07B1C">
        <w:rPr>
          <w:rFonts w:ascii="Times New Roman" w:hAnsi="Times New Roman"/>
          <w:sz w:val="24"/>
          <w:szCs w:val="24"/>
        </w:rPr>
        <w:t xml:space="preserve">economic </w:t>
      </w:r>
      <w:r w:rsidRPr="00A07B1C">
        <w:rPr>
          <w:rFonts w:ascii="Times New Roman" w:hAnsi="Times New Roman"/>
          <w:sz w:val="24"/>
          <w:szCs w:val="24"/>
        </w:rPr>
        <w:t>context within which the</w:t>
      </w:r>
      <w:r w:rsidR="001562C5" w:rsidRPr="00A07B1C">
        <w:rPr>
          <w:rFonts w:ascii="Times New Roman" w:hAnsi="Times New Roman"/>
          <w:sz w:val="24"/>
          <w:szCs w:val="24"/>
        </w:rPr>
        <w:t xml:space="preserve"> EDD and</w:t>
      </w:r>
      <w:r w:rsidRPr="00A07B1C">
        <w:rPr>
          <w:rFonts w:ascii="Times New Roman" w:hAnsi="Times New Roman"/>
          <w:sz w:val="24"/>
          <w:szCs w:val="24"/>
        </w:rPr>
        <w:t xml:space="preserve"> DTI’s </w:t>
      </w:r>
      <w:r w:rsidR="001562C5" w:rsidRPr="00A07B1C">
        <w:rPr>
          <w:rFonts w:ascii="Times New Roman" w:hAnsi="Times New Roman"/>
          <w:sz w:val="24"/>
          <w:szCs w:val="24"/>
        </w:rPr>
        <w:t xml:space="preserve">Annual Performance </w:t>
      </w:r>
      <w:r w:rsidRPr="00A07B1C">
        <w:rPr>
          <w:rFonts w:ascii="Times New Roman" w:hAnsi="Times New Roman"/>
          <w:sz w:val="24"/>
          <w:szCs w:val="24"/>
        </w:rPr>
        <w:t>Plan</w:t>
      </w:r>
      <w:r w:rsidR="001562C5" w:rsidRPr="00A07B1C">
        <w:rPr>
          <w:rFonts w:ascii="Times New Roman" w:hAnsi="Times New Roman"/>
          <w:sz w:val="24"/>
          <w:szCs w:val="24"/>
        </w:rPr>
        <w:t>s</w:t>
      </w:r>
      <w:r w:rsidRPr="00A07B1C">
        <w:rPr>
          <w:rFonts w:ascii="Times New Roman" w:hAnsi="Times New Roman"/>
          <w:sz w:val="24"/>
          <w:szCs w:val="24"/>
        </w:rPr>
        <w:t xml:space="preserve"> had been developed</w:t>
      </w:r>
      <w:r w:rsidR="001562C5" w:rsidRPr="00A07B1C">
        <w:rPr>
          <w:rFonts w:ascii="Times New Roman" w:hAnsi="Times New Roman"/>
          <w:sz w:val="24"/>
          <w:szCs w:val="24"/>
        </w:rPr>
        <w:t xml:space="preserve">. The two Director-Generals then </w:t>
      </w:r>
      <w:r w:rsidRPr="00A07B1C">
        <w:rPr>
          <w:rFonts w:ascii="Times New Roman" w:hAnsi="Times New Roman"/>
          <w:sz w:val="24"/>
          <w:szCs w:val="24"/>
        </w:rPr>
        <w:t xml:space="preserve">presented </w:t>
      </w:r>
      <w:r w:rsidR="001562C5" w:rsidRPr="00A07B1C">
        <w:rPr>
          <w:rFonts w:ascii="Times New Roman" w:hAnsi="Times New Roman"/>
          <w:sz w:val="24"/>
          <w:szCs w:val="24"/>
        </w:rPr>
        <w:t xml:space="preserve">their </w:t>
      </w:r>
      <w:r w:rsidR="00225F88">
        <w:rPr>
          <w:rFonts w:ascii="Times New Roman" w:hAnsi="Times New Roman"/>
          <w:sz w:val="24"/>
          <w:szCs w:val="24"/>
        </w:rPr>
        <w:t xml:space="preserve">department’s respective </w:t>
      </w:r>
      <w:r w:rsidRPr="00A07B1C">
        <w:rPr>
          <w:rFonts w:ascii="Times New Roman" w:hAnsi="Times New Roman"/>
          <w:sz w:val="24"/>
          <w:szCs w:val="24"/>
        </w:rPr>
        <w:t>Annual Performance Plan</w:t>
      </w:r>
      <w:r w:rsidR="001562C5" w:rsidRPr="00A07B1C">
        <w:rPr>
          <w:rFonts w:ascii="Times New Roman" w:hAnsi="Times New Roman"/>
          <w:sz w:val="24"/>
          <w:szCs w:val="24"/>
        </w:rPr>
        <w:t>s and an overview of their budgets</w:t>
      </w:r>
      <w:r w:rsidRPr="00A07B1C">
        <w:rPr>
          <w:rFonts w:ascii="Times New Roman" w:hAnsi="Times New Roman"/>
          <w:sz w:val="24"/>
          <w:szCs w:val="24"/>
        </w:rPr>
        <w:t>. The DTI’s plans were discussed in relation to its mandate, which covers five key intervention areas, namely</w:t>
      </w:r>
      <w:r w:rsidRPr="00A07B1C">
        <w:rPr>
          <w:rStyle w:val="FootnoteReference"/>
          <w:rFonts w:ascii="Times New Roman" w:hAnsi="Times New Roman"/>
          <w:sz w:val="24"/>
          <w:szCs w:val="24"/>
        </w:rPr>
        <w:footnoteReference w:id="2"/>
      </w:r>
      <w:r w:rsidRPr="00A07B1C">
        <w:rPr>
          <w:rFonts w:ascii="Times New Roman" w:hAnsi="Times New Roman"/>
          <w:sz w:val="24"/>
          <w:szCs w:val="24"/>
        </w:rPr>
        <w:t>:</w:t>
      </w:r>
    </w:p>
    <w:p w14:paraId="0FC73A43" w14:textId="77777777" w:rsidR="006A7D0D" w:rsidRPr="00A07B1C" w:rsidRDefault="001562C5" w:rsidP="00E40757">
      <w:pPr>
        <w:pStyle w:val="ListParagraph"/>
        <w:numPr>
          <w:ilvl w:val="0"/>
          <w:numId w:val="7"/>
        </w:numPr>
        <w:spacing w:line="360" w:lineRule="auto"/>
        <w:contextualSpacing/>
        <w:jc w:val="both"/>
      </w:pPr>
      <w:r w:rsidRPr="00A07B1C">
        <w:t>Industrial development,</w:t>
      </w:r>
    </w:p>
    <w:p w14:paraId="6912E505" w14:textId="77777777" w:rsidR="006A7D0D" w:rsidRPr="00A07B1C" w:rsidRDefault="001562C5" w:rsidP="00E40757">
      <w:pPr>
        <w:pStyle w:val="ListParagraph"/>
        <w:numPr>
          <w:ilvl w:val="0"/>
          <w:numId w:val="7"/>
        </w:numPr>
        <w:spacing w:line="360" w:lineRule="auto"/>
        <w:contextualSpacing/>
        <w:jc w:val="both"/>
      </w:pPr>
      <w:r w:rsidRPr="00A07B1C">
        <w:t>Trade, investment and exports,</w:t>
      </w:r>
    </w:p>
    <w:p w14:paraId="14E8D200" w14:textId="77777777" w:rsidR="006A7D0D" w:rsidRPr="00A07B1C" w:rsidRDefault="001562C5" w:rsidP="00E40757">
      <w:pPr>
        <w:pStyle w:val="ListParagraph"/>
        <w:numPr>
          <w:ilvl w:val="0"/>
          <w:numId w:val="7"/>
        </w:numPr>
        <w:spacing w:line="360" w:lineRule="auto"/>
        <w:contextualSpacing/>
        <w:jc w:val="both"/>
      </w:pPr>
      <w:r w:rsidRPr="00A07B1C">
        <w:t>Broadening participation,</w:t>
      </w:r>
    </w:p>
    <w:p w14:paraId="42CD1408" w14:textId="77777777" w:rsidR="006A7D0D" w:rsidRPr="00A07B1C" w:rsidRDefault="001562C5" w:rsidP="00E40757">
      <w:pPr>
        <w:pStyle w:val="ListParagraph"/>
        <w:numPr>
          <w:ilvl w:val="0"/>
          <w:numId w:val="7"/>
        </w:numPr>
        <w:spacing w:line="360" w:lineRule="auto"/>
        <w:contextualSpacing/>
        <w:jc w:val="both"/>
      </w:pPr>
      <w:r w:rsidRPr="00A07B1C">
        <w:t>Regulation, and</w:t>
      </w:r>
    </w:p>
    <w:p w14:paraId="50863C10" w14:textId="77777777" w:rsidR="006A7D0D" w:rsidRPr="00A07B1C" w:rsidRDefault="006A7D0D" w:rsidP="00E40757">
      <w:pPr>
        <w:pStyle w:val="ListParagraph"/>
        <w:numPr>
          <w:ilvl w:val="0"/>
          <w:numId w:val="7"/>
        </w:numPr>
        <w:spacing w:line="360" w:lineRule="auto"/>
        <w:contextualSpacing/>
        <w:jc w:val="both"/>
      </w:pPr>
      <w:r w:rsidRPr="00A07B1C">
        <w:t>Administration.</w:t>
      </w:r>
    </w:p>
    <w:p w14:paraId="48BB24C1" w14:textId="77777777" w:rsidR="006A7D0D" w:rsidRPr="00A07B1C" w:rsidRDefault="006A7D0D" w:rsidP="00E40757">
      <w:pPr>
        <w:spacing w:line="360" w:lineRule="auto"/>
        <w:jc w:val="both"/>
        <w:rPr>
          <w:rFonts w:ascii="Times New Roman" w:hAnsi="Times New Roman"/>
          <w:sz w:val="24"/>
          <w:szCs w:val="24"/>
        </w:rPr>
      </w:pPr>
    </w:p>
    <w:p w14:paraId="4E7DCC04" w14:textId="77777777" w:rsidR="001562C5" w:rsidRPr="00A07B1C" w:rsidRDefault="001562C5" w:rsidP="00E40757">
      <w:pPr>
        <w:spacing w:line="360" w:lineRule="auto"/>
        <w:jc w:val="both"/>
        <w:rPr>
          <w:rFonts w:ascii="Times New Roman" w:hAnsi="Times New Roman"/>
          <w:sz w:val="24"/>
          <w:szCs w:val="24"/>
        </w:rPr>
      </w:pPr>
      <w:r w:rsidRPr="00A07B1C">
        <w:rPr>
          <w:rFonts w:ascii="Times New Roman" w:hAnsi="Times New Roman"/>
          <w:sz w:val="24"/>
          <w:szCs w:val="24"/>
        </w:rPr>
        <w:t>While the EDD’s plans were discussed in relation to its mandate, which covers six key intervention areas, namely</w:t>
      </w:r>
      <w:r w:rsidRPr="00A07B1C">
        <w:rPr>
          <w:rStyle w:val="FootnoteReference"/>
          <w:rFonts w:ascii="Times New Roman" w:hAnsi="Times New Roman"/>
          <w:sz w:val="24"/>
          <w:szCs w:val="24"/>
        </w:rPr>
        <w:footnoteReference w:id="3"/>
      </w:r>
      <w:r w:rsidRPr="00A07B1C">
        <w:rPr>
          <w:rFonts w:ascii="Times New Roman" w:hAnsi="Times New Roman"/>
          <w:sz w:val="24"/>
          <w:szCs w:val="24"/>
        </w:rPr>
        <w:t>:</w:t>
      </w:r>
    </w:p>
    <w:p w14:paraId="4B088F5E" w14:textId="77777777" w:rsidR="001562C5" w:rsidRPr="00A07B1C" w:rsidRDefault="001562C5" w:rsidP="001562C5">
      <w:pPr>
        <w:pStyle w:val="ListParagraph"/>
        <w:numPr>
          <w:ilvl w:val="0"/>
          <w:numId w:val="29"/>
        </w:numPr>
        <w:spacing w:line="360" w:lineRule="auto"/>
        <w:jc w:val="both"/>
      </w:pPr>
      <w:r w:rsidRPr="00A07B1C">
        <w:t>Administration,</w:t>
      </w:r>
    </w:p>
    <w:p w14:paraId="2270E1CA" w14:textId="77777777" w:rsidR="001562C5" w:rsidRPr="00A07B1C" w:rsidRDefault="001562C5" w:rsidP="001562C5">
      <w:pPr>
        <w:pStyle w:val="ListParagraph"/>
        <w:numPr>
          <w:ilvl w:val="0"/>
          <w:numId w:val="29"/>
        </w:numPr>
        <w:spacing w:line="360" w:lineRule="auto"/>
        <w:jc w:val="both"/>
      </w:pPr>
      <w:r w:rsidRPr="00A07B1C">
        <w:t xml:space="preserve">Implementation of the New Growth Path, </w:t>
      </w:r>
    </w:p>
    <w:p w14:paraId="5F92D7A6" w14:textId="77777777" w:rsidR="001562C5" w:rsidRPr="00A07B1C" w:rsidRDefault="001562C5" w:rsidP="001562C5">
      <w:pPr>
        <w:pStyle w:val="ListParagraph"/>
        <w:numPr>
          <w:ilvl w:val="0"/>
          <w:numId w:val="29"/>
        </w:numPr>
        <w:spacing w:line="360" w:lineRule="auto"/>
        <w:jc w:val="both"/>
      </w:pPr>
      <w:r w:rsidRPr="00A07B1C">
        <w:t>Social dialogue,</w:t>
      </w:r>
    </w:p>
    <w:p w14:paraId="1F67F045" w14:textId="77777777" w:rsidR="001562C5" w:rsidRPr="00A07B1C" w:rsidRDefault="001562C5" w:rsidP="001562C5">
      <w:pPr>
        <w:pStyle w:val="ListParagraph"/>
        <w:numPr>
          <w:ilvl w:val="0"/>
          <w:numId w:val="29"/>
        </w:numPr>
        <w:spacing w:line="360" w:lineRule="auto"/>
        <w:jc w:val="both"/>
      </w:pPr>
      <w:r w:rsidRPr="00A07B1C">
        <w:t>Infrastructure development,</w:t>
      </w:r>
    </w:p>
    <w:p w14:paraId="71794F4B" w14:textId="77777777" w:rsidR="001562C5" w:rsidRPr="00A07B1C" w:rsidRDefault="001562C5" w:rsidP="001562C5">
      <w:pPr>
        <w:pStyle w:val="ListParagraph"/>
        <w:numPr>
          <w:ilvl w:val="0"/>
          <w:numId w:val="29"/>
        </w:numPr>
        <w:spacing w:line="360" w:lineRule="auto"/>
        <w:jc w:val="both"/>
      </w:pPr>
      <w:r w:rsidRPr="00A07B1C">
        <w:t>Industrial financing, and</w:t>
      </w:r>
    </w:p>
    <w:p w14:paraId="55E3F458" w14:textId="77777777" w:rsidR="001562C5" w:rsidRPr="00A07B1C" w:rsidRDefault="001562C5" w:rsidP="001562C5">
      <w:pPr>
        <w:pStyle w:val="ListParagraph"/>
        <w:numPr>
          <w:ilvl w:val="0"/>
          <w:numId w:val="29"/>
        </w:numPr>
        <w:spacing w:line="360" w:lineRule="auto"/>
        <w:jc w:val="both"/>
      </w:pPr>
      <w:r w:rsidRPr="00A07B1C">
        <w:t>Economic regulators.</w:t>
      </w:r>
    </w:p>
    <w:p w14:paraId="2521B6CD" w14:textId="77777777" w:rsidR="006A7D0D" w:rsidRPr="00A07B1C" w:rsidRDefault="006A7D0D" w:rsidP="00E40757">
      <w:pPr>
        <w:spacing w:line="360" w:lineRule="auto"/>
        <w:jc w:val="both"/>
        <w:rPr>
          <w:rFonts w:ascii="Times New Roman" w:hAnsi="Times New Roman"/>
          <w:sz w:val="24"/>
          <w:szCs w:val="24"/>
        </w:rPr>
      </w:pPr>
    </w:p>
    <w:p w14:paraId="196EA05B" w14:textId="77777777" w:rsidR="006A7D0D" w:rsidRPr="00A07B1C" w:rsidRDefault="00741DE9" w:rsidP="00E40757">
      <w:pPr>
        <w:numPr>
          <w:ilvl w:val="0"/>
          <w:numId w:val="6"/>
        </w:numPr>
        <w:spacing w:line="360" w:lineRule="auto"/>
        <w:jc w:val="both"/>
        <w:rPr>
          <w:rFonts w:ascii="Times New Roman" w:hAnsi="Times New Roman"/>
          <w:b/>
          <w:sz w:val="24"/>
          <w:szCs w:val="24"/>
        </w:rPr>
      </w:pPr>
      <w:r w:rsidRPr="00A07B1C">
        <w:rPr>
          <w:rFonts w:ascii="Times New Roman" w:hAnsi="Times New Roman"/>
          <w:b/>
          <w:sz w:val="24"/>
          <w:szCs w:val="24"/>
        </w:rPr>
        <w:t>Policy priorities for 2019/20</w:t>
      </w:r>
    </w:p>
    <w:p w14:paraId="440A7A48" w14:textId="77777777" w:rsidR="00741DE9" w:rsidRPr="00A07B1C" w:rsidRDefault="00741DE9" w:rsidP="00741DE9">
      <w:pPr>
        <w:spacing w:line="360" w:lineRule="auto"/>
        <w:jc w:val="both"/>
        <w:rPr>
          <w:rFonts w:ascii="Times New Roman" w:hAnsi="Times New Roman"/>
          <w:sz w:val="24"/>
          <w:szCs w:val="24"/>
        </w:rPr>
      </w:pPr>
    </w:p>
    <w:p w14:paraId="6101F0F9" w14:textId="77777777" w:rsidR="00741DE9" w:rsidRPr="00A07B1C" w:rsidRDefault="00741DE9" w:rsidP="00741DE9">
      <w:pPr>
        <w:numPr>
          <w:ilvl w:val="1"/>
          <w:numId w:val="6"/>
        </w:numPr>
        <w:spacing w:line="360" w:lineRule="auto"/>
        <w:jc w:val="both"/>
        <w:rPr>
          <w:rFonts w:ascii="Times New Roman" w:hAnsi="Times New Roman"/>
          <w:b/>
          <w:sz w:val="24"/>
          <w:szCs w:val="24"/>
        </w:rPr>
      </w:pPr>
      <w:r w:rsidRPr="00A07B1C">
        <w:rPr>
          <w:rFonts w:ascii="Times New Roman" w:hAnsi="Times New Roman"/>
          <w:b/>
          <w:sz w:val="24"/>
          <w:szCs w:val="24"/>
        </w:rPr>
        <w:t>State of the Nation Address</w:t>
      </w:r>
    </w:p>
    <w:p w14:paraId="228671FA" w14:textId="77777777" w:rsidR="006A7D0D" w:rsidRPr="00A07B1C" w:rsidRDefault="006A7D0D" w:rsidP="00E40757">
      <w:pPr>
        <w:spacing w:line="360" w:lineRule="auto"/>
        <w:jc w:val="both"/>
        <w:rPr>
          <w:rFonts w:ascii="Times New Roman" w:hAnsi="Times New Roman"/>
          <w:sz w:val="24"/>
          <w:szCs w:val="24"/>
        </w:rPr>
      </w:pPr>
    </w:p>
    <w:p w14:paraId="1ACF3E6B" w14:textId="77777777" w:rsidR="004E492C" w:rsidRPr="00A07B1C" w:rsidRDefault="004E492C" w:rsidP="004E492C">
      <w:pPr>
        <w:spacing w:line="360" w:lineRule="auto"/>
        <w:jc w:val="both"/>
        <w:rPr>
          <w:rFonts w:ascii="Times New Roman" w:hAnsi="Times New Roman"/>
          <w:sz w:val="24"/>
          <w:szCs w:val="24"/>
        </w:rPr>
      </w:pPr>
      <w:r w:rsidRPr="00A07B1C">
        <w:rPr>
          <w:rFonts w:ascii="Times New Roman" w:hAnsi="Times New Roman"/>
          <w:sz w:val="24"/>
          <w:szCs w:val="24"/>
        </w:rPr>
        <w:t xml:space="preserve">The </w:t>
      </w:r>
      <w:r w:rsidR="0051112C">
        <w:rPr>
          <w:rFonts w:ascii="Times New Roman" w:hAnsi="Times New Roman"/>
          <w:sz w:val="24"/>
          <w:szCs w:val="24"/>
        </w:rPr>
        <w:t>SONA</w:t>
      </w:r>
      <w:r w:rsidRPr="00A07B1C">
        <w:rPr>
          <w:rFonts w:ascii="Times New Roman" w:hAnsi="Times New Roman"/>
          <w:sz w:val="24"/>
          <w:szCs w:val="24"/>
        </w:rPr>
        <w:t xml:space="preserve"> delivered by President </w:t>
      </w:r>
      <w:proofErr w:type="spellStart"/>
      <w:r w:rsidRPr="00A07B1C">
        <w:rPr>
          <w:rFonts w:ascii="Times New Roman" w:hAnsi="Times New Roman"/>
          <w:sz w:val="24"/>
          <w:szCs w:val="24"/>
        </w:rPr>
        <w:t>Ramaphosa</w:t>
      </w:r>
      <w:proofErr w:type="spellEnd"/>
      <w:r w:rsidRPr="00A07B1C">
        <w:rPr>
          <w:rFonts w:ascii="Times New Roman" w:hAnsi="Times New Roman"/>
          <w:sz w:val="24"/>
          <w:szCs w:val="24"/>
        </w:rPr>
        <w:t xml:space="preserve"> outlined seven priorities for Government. The</w:t>
      </w:r>
      <w:r w:rsidR="002A77D6" w:rsidRPr="00A07B1C">
        <w:rPr>
          <w:rFonts w:ascii="Times New Roman" w:hAnsi="Times New Roman"/>
          <w:sz w:val="24"/>
          <w:szCs w:val="24"/>
        </w:rPr>
        <w:t>se</w:t>
      </w:r>
      <w:r w:rsidRPr="00A07B1C">
        <w:rPr>
          <w:rFonts w:ascii="Times New Roman" w:hAnsi="Times New Roman"/>
          <w:sz w:val="24"/>
          <w:szCs w:val="24"/>
        </w:rPr>
        <w:t xml:space="preserve"> priorities include</w:t>
      </w:r>
      <w:r w:rsidR="002A77D6" w:rsidRPr="00A07B1C">
        <w:rPr>
          <w:rFonts w:ascii="Times New Roman" w:hAnsi="Times New Roman"/>
          <w:sz w:val="24"/>
          <w:szCs w:val="24"/>
        </w:rPr>
        <w:t>d</w:t>
      </w:r>
      <w:r w:rsidRPr="00A07B1C">
        <w:rPr>
          <w:rFonts w:ascii="Times New Roman" w:hAnsi="Times New Roman"/>
          <w:sz w:val="24"/>
          <w:szCs w:val="24"/>
        </w:rPr>
        <w:t xml:space="preserve"> (</w:t>
      </w:r>
      <w:proofErr w:type="spellStart"/>
      <w:r w:rsidRPr="00A07B1C">
        <w:rPr>
          <w:rFonts w:ascii="Times New Roman" w:hAnsi="Times New Roman"/>
          <w:sz w:val="24"/>
          <w:szCs w:val="24"/>
        </w:rPr>
        <w:t>i</w:t>
      </w:r>
      <w:proofErr w:type="spellEnd"/>
      <w:r w:rsidRPr="00A07B1C">
        <w:rPr>
          <w:rFonts w:ascii="Times New Roman" w:hAnsi="Times New Roman"/>
          <w:sz w:val="24"/>
          <w:szCs w:val="24"/>
        </w:rPr>
        <w:t xml:space="preserve">) economic transformation and job creation; (ii) education, skills and health; (iii) consolidating the social wage through reliable and quality basic services; (iv) spatial integration, human settlements and local government; (v) social cohesion and safe communities; (vi) a capable, ethical and developmental state; and (vii) a better Africa and </w:t>
      </w:r>
      <w:r w:rsidRPr="00A07B1C">
        <w:rPr>
          <w:rFonts w:ascii="Times New Roman" w:hAnsi="Times New Roman"/>
          <w:sz w:val="24"/>
          <w:szCs w:val="24"/>
        </w:rPr>
        <w:lastRenderedPageBreak/>
        <w:t>world</w:t>
      </w:r>
      <w:r w:rsidR="00AE0C62" w:rsidRPr="00A07B1C">
        <w:rPr>
          <w:rStyle w:val="FootnoteReference"/>
          <w:rFonts w:ascii="Times New Roman" w:hAnsi="Times New Roman"/>
          <w:sz w:val="24"/>
          <w:szCs w:val="24"/>
        </w:rPr>
        <w:footnoteReference w:id="4"/>
      </w:r>
      <w:r w:rsidRPr="00A07B1C">
        <w:rPr>
          <w:rFonts w:ascii="Times New Roman" w:hAnsi="Times New Roman"/>
          <w:sz w:val="24"/>
          <w:szCs w:val="24"/>
        </w:rPr>
        <w:t>.  These priorities will inform the implementation of mandates of each of the Government departments</w:t>
      </w:r>
      <w:r w:rsidR="002A77D6" w:rsidRPr="00A07B1C">
        <w:rPr>
          <w:rFonts w:ascii="Times New Roman" w:hAnsi="Times New Roman"/>
          <w:sz w:val="24"/>
          <w:szCs w:val="24"/>
        </w:rPr>
        <w:t xml:space="preserve"> in the sixth </w:t>
      </w:r>
      <w:r w:rsidR="003817E3" w:rsidRPr="00A07B1C">
        <w:rPr>
          <w:rFonts w:ascii="Times New Roman" w:hAnsi="Times New Roman"/>
          <w:sz w:val="24"/>
          <w:szCs w:val="24"/>
        </w:rPr>
        <w:t>a</w:t>
      </w:r>
      <w:r w:rsidR="002A77D6" w:rsidRPr="00A07B1C">
        <w:rPr>
          <w:rFonts w:ascii="Times New Roman" w:hAnsi="Times New Roman"/>
          <w:sz w:val="24"/>
          <w:szCs w:val="24"/>
        </w:rPr>
        <w:t>dministration</w:t>
      </w:r>
      <w:r w:rsidRPr="00A07B1C">
        <w:rPr>
          <w:rFonts w:ascii="Times New Roman" w:hAnsi="Times New Roman"/>
          <w:sz w:val="24"/>
          <w:szCs w:val="24"/>
        </w:rPr>
        <w:t>. The priorities that are linked to the work of the Department</w:t>
      </w:r>
      <w:r w:rsidR="000D1B82">
        <w:rPr>
          <w:rFonts w:ascii="Times New Roman" w:hAnsi="Times New Roman"/>
          <w:sz w:val="24"/>
          <w:szCs w:val="24"/>
        </w:rPr>
        <w:t>s</w:t>
      </w:r>
      <w:r w:rsidRPr="00A07B1C">
        <w:rPr>
          <w:rFonts w:ascii="Times New Roman" w:hAnsi="Times New Roman"/>
          <w:sz w:val="24"/>
          <w:szCs w:val="24"/>
        </w:rPr>
        <w:t xml:space="preserve"> of Trade and Industry </w:t>
      </w:r>
      <w:r w:rsidR="002A77D6" w:rsidRPr="00A07B1C">
        <w:rPr>
          <w:rFonts w:ascii="Times New Roman" w:hAnsi="Times New Roman"/>
          <w:sz w:val="24"/>
          <w:szCs w:val="24"/>
        </w:rPr>
        <w:t xml:space="preserve">and </w:t>
      </w:r>
      <w:r w:rsidR="000D1B82">
        <w:rPr>
          <w:rFonts w:ascii="Times New Roman" w:hAnsi="Times New Roman"/>
          <w:sz w:val="24"/>
          <w:szCs w:val="24"/>
        </w:rPr>
        <w:t>of</w:t>
      </w:r>
      <w:r w:rsidR="002A77D6" w:rsidRPr="00A07B1C">
        <w:rPr>
          <w:rFonts w:ascii="Times New Roman" w:hAnsi="Times New Roman"/>
          <w:sz w:val="24"/>
          <w:szCs w:val="24"/>
        </w:rPr>
        <w:t xml:space="preserve"> Economic Development </w:t>
      </w:r>
      <w:r w:rsidRPr="00A07B1C">
        <w:rPr>
          <w:rFonts w:ascii="Times New Roman" w:hAnsi="Times New Roman"/>
          <w:sz w:val="24"/>
          <w:szCs w:val="24"/>
        </w:rPr>
        <w:t>are “economic transformation and job creation”</w:t>
      </w:r>
      <w:r w:rsidR="002A77D6" w:rsidRPr="00A07B1C">
        <w:rPr>
          <w:rFonts w:ascii="Times New Roman" w:hAnsi="Times New Roman"/>
          <w:sz w:val="24"/>
          <w:szCs w:val="24"/>
        </w:rPr>
        <w:t>, “a capable, ethical and developmental state”</w:t>
      </w:r>
      <w:r w:rsidRPr="00A07B1C">
        <w:rPr>
          <w:rFonts w:ascii="Times New Roman" w:hAnsi="Times New Roman"/>
          <w:sz w:val="24"/>
          <w:szCs w:val="24"/>
        </w:rPr>
        <w:t xml:space="preserve"> and “a better Africa and world”. </w:t>
      </w:r>
    </w:p>
    <w:p w14:paraId="1B9A43FF" w14:textId="77777777" w:rsidR="004E492C" w:rsidRPr="00A07B1C" w:rsidRDefault="004E492C" w:rsidP="004E492C">
      <w:pPr>
        <w:spacing w:line="360" w:lineRule="auto"/>
        <w:jc w:val="both"/>
        <w:rPr>
          <w:rFonts w:ascii="Times New Roman" w:hAnsi="Times New Roman"/>
          <w:sz w:val="24"/>
          <w:szCs w:val="24"/>
        </w:rPr>
      </w:pPr>
    </w:p>
    <w:p w14:paraId="082F5F2A" w14:textId="77777777" w:rsidR="00626940" w:rsidRPr="00A07B1C" w:rsidRDefault="004E492C" w:rsidP="000258CB">
      <w:pPr>
        <w:spacing w:line="360" w:lineRule="auto"/>
        <w:jc w:val="both"/>
        <w:rPr>
          <w:rFonts w:ascii="Times New Roman" w:hAnsi="Times New Roman"/>
          <w:sz w:val="24"/>
          <w:szCs w:val="24"/>
        </w:rPr>
      </w:pPr>
      <w:r w:rsidRPr="00A07B1C">
        <w:rPr>
          <w:rFonts w:ascii="Times New Roman" w:hAnsi="Times New Roman"/>
          <w:sz w:val="24"/>
          <w:szCs w:val="24"/>
        </w:rPr>
        <w:t xml:space="preserve">In terms of the trade and industry and economic development mandates, the President reiterated the need to increase efforts to grow the South African economy and create jobs in line with the National Development Plan (NDP). </w:t>
      </w:r>
      <w:r w:rsidR="000258CB" w:rsidRPr="00A07B1C">
        <w:rPr>
          <w:rFonts w:ascii="Times New Roman" w:hAnsi="Times New Roman"/>
          <w:sz w:val="24"/>
          <w:szCs w:val="24"/>
        </w:rPr>
        <w:t>These priorities are in line with Outcome 4 (decent employment through inclusive growth) and Outcome 11 (creating a better South Africa and contribute to a better Africa and a better world) of the 2014-19 Medium Term Strategic Framework (MTSF), as well as the NDP outcomes. The table below provides further detail in this regard.</w:t>
      </w:r>
    </w:p>
    <w:p w14:paraId="1C62735A" w14:textId="77777777" w:rsidR="004274F4" w:rsidRPr="00A07B1C" w:rsidRDefault="004274F4" w:rsidP="00E40757">
      <w:pPr>
        <w:spacing w:line="360" w:lineRule="auto"/>
        <w:jc w:val="both"/>
        <w:rPr>
          <w:rFonts w:ascii="Times New Roman" w:hAnsi="Times New Roman"/>
          <w:sz w:val="24"/>
          <w:szCs w:val="24"/>
        </w:rPr>
      </w:pPr>
    </w:p>
    <w:p w14:paraId="07EFF3CE" w14:textId="77777777" w:rsidR="00626940" w:rsidRPr="00A07B1C" w:rsidRDefault="004274F4" w:rsidP="00E40757">
      <w:pPr>
        <w:spacing w:line="360" w:lineRule="auto"/>
        <w:jc w:val="both"/>
        <w:rPr>
          <w:rFonts w:ascii="Times New Roman" w:hAnsi="Times New Roman"/>
          <w:b/>
          <w:sz w:val="24"/>
          <w:szCs w:val="24"/>
        </w:rPr>
      </w:pPr>
      <w:r w:rsidRPr="00A07B1C">
        <w:rPr>
          <w:rFonts w:ascii="Times New Roman" w:hAnsi="Times New Roman"/>
          <w:b/>
          <w:sz w:val="24"/>
          <w:szCs w:val="24"/>
        </w:rPr>
        <w:t>Table 1:</w:t>
      </w:r>
      <w:r w:rsidR="003331F7" w:rsidRPr="00A07B1C">
        <w:rPr>
          <w:rFonts w:ascii="Times New Roman" w:hAnsi="Times New Roman"/>
          <w:b/>
          <w:sz w:val="24"/>
          <w:szCs w:val="24"/>
        </w:rPr>
        <w:t xml:space="preserve"> </w:t>
      </w:r>
      <w:r w:rsidR="003817E3" w:rsidRPr="00A07B1C">
        <w:rPr>
          <w:rFonts w:ascii="Times New Roman" w:hAnsi="Times New Roman"/>
          <w:b/>
          <w:sz w:val="24"/>
          <w:szCs w:val="24"/>
        </w:rPr>
        <w:t>DTI policy priorities in relation to the MTSF and the SONA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237"/>
      </w:tblGrid>
      <w:tr w:rsidR="00626940" w:rsidRPr="00A07B1C" w14:paraId="2BD15656" w14:textId="77777777" w:rsidTr="004B3ADD">
        <w:trPr>
          <w:tblHeader/>
        </w:trPr>
        <w:tc>
          <w:tcPr>
            <w:tcW w:w="3681" w:type="dxa"/>
            <w:shd w:val="clear" w:color="auto" w:fill="BFBFBF" w:themeFill="background1" w:themeFillShade="BF"/>
          </w:tcPr>
          <w:p w14:paraId="1B68CA7A" w14:textId="77777777" w:rsidR="00626940" w:rsidRPr="00A07B1C" w:rsidRDefault="00626940" w:rsidP="00E40757">
            <w:pPr>
              <w:spacing w:line="360" w:lineRule="auto"/>
              <w:jc w:val="center"/>
              <w:rPr>
                <w:rFonts w:ascii="Times New Roman" w:hAnsi="Times New Roman"/>
                <w:b/>
                <w:sz w:val="22"/>
                <w:szCs w:val="24"/>
              </w:rPr>
            </w:pPr>
            <w:r w:rsidRPr="00A07B1C">
              <w:rPr>
                <w:rFonts w:ascii="Times New Roman" w:hAnsi="Times New Roman"/>
                <w:b/>
                <w:sz w:val="22"/>
                <w:szCs w:val="24"/>
              </w:rPr>
              <w:t>MTSF Priorities</w:t>
            </w:r>
            <w:r w:rsidR="00FD6144" w:rsidRPr="00A07B1C">
              <w:rPr>
                <w:rStyle w:val="FootnoteReference"/>
                <w:rFonts w:ascii="Times New Roman" w:hAnsi="Times New Roman"/>
                <w:b/>
                <w:sz w:val="22"/>
                <w:szCs w:val="24"/>
              </w:rPr>
              <w:footnoteReference w:id="5"/>
            </w:r>
          </w:p>
        </w:tc>
        <w:tc>
          <w:tcPr>
            <w:tcW w:w="6237" w:type="dxa"/>
            <w:shd w:val="clear" w:color="auto" w:fill="BFBFBF" w:themeFill="background1" w:themeFillShade="BF"/>
          </w:tcPr>
          <w:p w14:paraId="1E2C7D58" w14:textId="77777777" w:rsidR="00626940" w:rsidRPr="00A07B1C" w:rsidRDefault="00626940" w:rsidP="00E40757">
            <w:pPr>
              <w:spacing w:line="360" w:lineRule="auto"/>
              <w:jc w:val="center"/>
              <w:rPr>
                <w:rFonts w:ascii="Times New Roman" w:hAnsi="Times New Roman"/>
                <w:b/>
                <w:sz w:val="22"/>
                <w:szCs w:val="24"/>
              </w:rPr>
            </w:pPr>
            <w:r w:rsidRPr="00A07B1C">
              <w:rPr>
                <w:rFonts w:ascii="Times New Roman" w:hAnsi="Times New Roman"/>
                <w:b/>
                <w:sz w:val="22"/>
                <w:szCs w:val="24"/>
              </w:rPr>
              <w:t>June 2019 SONA</w:t>
            </w:r>
            <w:r w:rsidR="00EF27B8" w:rsidRPr="00A07B1C">
              <w:rPr>
                <w:rStyle w:val="FootnoteReference"/>
                <w:rFonts w:ascii="Times New Roman" w:hAnsi="Times New Roman"/>
                <w:b/>
                <w:sz w:val="22"/>
                <w:szCs w:val="24"/>
              </w:rPr>
              <w:footnoteReference w:id="6"/>
            </w:r>
          </w:p>
        </w:tc>
      </w:tr>
      <w:tr w:rsidR="00626940" w:rsidRPr="00A07B1C" w14:paraId="61F655F3" w14:textId="77777777" w:rsidTr="004B3ADD">
        <w:tc>
          <w:tcPr>
            <w:tcW w:w="9918" w:type="dxa"/>
            <w:gridSpan w:val="2"/>
          </w:tcPr>
          <w:p w14:paraId="18E9F205" w14:textId="77777777" w:rsidR="00626940" w:rsidRPr="00A07B1C" w:rsidRDefault="002A77D6" w:rsidP="00E40757">
            <w:pPr>
              <w:spacing w:line="360" w:lineRule="auto"/>
              <w:rPr>
                <w:rFonts w:ascii="Times New Roman" w:hAnsi="Times New Roman"/>
                <w:b/>
                <w:sz w:val="22"/>
                <w:szCs w:val="24"/>
              </w:rPr>
            </w:pPr>
            <w:r w:rsidRPr="00A07B1C">
              <w:rPr>
                <w:rFonts w:ascii="Times New Roman" w:hAnsi="Times New Roman"/>
                <w:b/>
                <w:sz w:val="22"/>
                <w:szCs w:val="24"/>
              </w:rPr>
              <w:t xml:space="preserve">Outcome 4: </w:t>
            </w:r>
            <w:r w:rsidR="00626940" w:rsidRPr="00A07B1C">
              <w:rPr>
                <w:rFonts w:ascii="Times New Roman" w:hAnsi="Times New Roman"/>
                <w:b/>
                <w:sz w:val="22"/>
                <w:szCs w:val="24"/>
              </w:rPr>
              <w:t>Decent employment through inclusive growth</w:t>
            </w:r>
          </w:p>
        </w:tc>
      </w:tr>
      <w:tr w:rsidR="00626940" w:rsidRPr="00A07B1C" w14:paraId="5E79F231" w14:textId="77777777" w:rsidTr="004B3ADD">
        <w:tc>
          <w:tcPr>
            <w:tcW w:w="3681" w:type="dxa"/>
          </w:tcPr>
          <w:p w14:paraId="424C2498" w14:textId="77777777" w:rsidR="00626940" w:rsidRPr="00A07B1C" w:rsidRDefault="00626940" w:rsidP="00E40757">
            <w:pPr>
              <w:spacing w:line="360" w:lineRule="auto"/>
              <w:rPr>
                <w:rFonts w:ascii="Times New Roman" w:hAnsi="Times New Roman"/>
                <w:sz w:val="22"/>
                <w:szCs w:val="24"/>
              </w:rPr>
            </w:pPr>
            <w:r w:rsidRPr="00A07B1C">
              <w:rPr>
                <w:rFonts w:ascii="Times New Roman" w:hAnsi="Times New Roman"/>
                <w:b/>
                <w:sz w:val="22"/>
                <w:szCs w:val="24"/>
              </w:rPr>
              <w:t>Sub-outcome 1</w:t>
            </w:r>
            <w:r w:rsidRPr="00A07B1C">
              <w:rPr>
                <w:rFonts w:ascii="Times New Roman" w:hAnsi="Times New Roman"/>
                <w:sz w:val="22"/>
                <w:szCs w:val="24"/>
              </w:rPr>
              <w:t>: Productive investment is effectively crowded in through the</w:t>
            </w:r>
            <w:r w:rsidR="003331F7" w:rsidRPr="00A07B1C">
              <w:rPr>
                <w:rFonts w:ascii="Times New Roman" w:hAnsi="Times New Roman"/>
                <w:sz w:val="22"/>
                <w:szCs w:val="24"/>
              </w:rPr>
              <w:t xml:space="preserve"> infrastructure build programme</w:t>
            </w:r>
          </w:p>
        </w:tc>
        <w:tc>
          <w:tcPr>
            <w:tcW w:w="6237" w:type="dxa"/>
          </w:tcPr>
          <w:p w14:paraId="7E24A279" w14:textId="77777777" w:rsidR="00626940" w:rsidRPr="00A07B1C" w:rsidRDefault="00626940" w:rsidP="00E40757">
            <w:pPr>
              <w:spacing w:line="360" w:lineRule="auto"/>
              <w:rPr>
                <w:rFonts w:ascii="Times New Roman" w:hAnsi="Times New Roman"/>
                <w:sz w:val="22"/>
                <w:szCs w:val="24"/>
              </w:rPr>
            </w:pPr>
            <w:r w:rsidRPr="00A07B1C">
              <w:rPr>
                <w:rFonts w:ascii="Times New Roman" w:hAnsi="Times New Roman"/>
                <w:sz w:val="22"/>
                <w:szCs w:val="24"/>
              </w:rPr>
              <w:t xml:space="preserve">Increased private investment in the South African economy by attracting both foreign and domestic investors. </w:t>
            </w:r>
          </w:p>
        </w:tc>
      </w:tr>
      <w:tr w:rsidR="00626940" w:rsidRPr="00A07B1C" w14:paraId="63415936" w14:textId="77777777" w:rsidTr="004B3ADD">
        <w:tc>
          <w:tcPr>
            <w:tcW w:w="3681" w:type="dxa"/>
          </w:tcPr>
          <w:p w14:paraId="074D33EC" w14:textId="77777777" w:rsidR="00626940" w:rsidRPr="00A07B1C" w:rsidRDefault="00626940" w:rsidP="000258CB">
            <w:pPr>
              <w:spacing w:line="360" w:lineRule="auto"/>
              <w:rPr>
                <w:rFonts w:ascii="Times New Roman" w:hAnsi="Times New Roman"/>
                <w:sz w:val="22"/>
                <w:szCs w:val="24"/>
              </w:rPr>
            </w:pPr>
            <w:r w:rsidRPr="00A07B1C">
              <w:rPr>
                <w:rFonts w:ascii="Times New Roman" w:hAnsi="Times New Roman"/>
                <w:b/>
                <w:sz w:val="22"/>
                <w:szCs w:val="24"/>
              </w:rPr>
              <w:t>Sub-outcome 2</w:t>
            </w:r>
            <w:r w:rsidRPr="00A07B1C">
              <w:rPr>
                <w:rFonts w:ascii="Times New Roman" w:hAnsi="Times New Roman"/>
                <w:sz w:val="22"/>
                <w:szCs w:val="24"/>
              </w:rPr>
              <w:t>: The productive sectors account for a growing share of production and employment</w:t>
            </w:r>
          </w:p>
        </w:tc>
        <w:tc>
          <w:tcPr>
            <w:tcW w:w="6237" w:type="dxa"/>
          </w:tcPr>
          <w:p w14:paraId="37CD8A59" w14:textId="77777777" w:rsidR="00626940" w:rsidRPr="00A07B1C" w:rsidRDefault="00626940" w:rsidP="00E40757">
            <w:pPr>
              <w:spacing w:line="360" w:lineRule="auto"/>
              <w:rPr>
                <w:rFonts w:ascii="Times New Roman" w:hAnsi="Times New Roman"/>
                <w:sz w:val="22"/>
                <w:szCs w:val="24"/>
              </w:rPr>
            </w:pPr>
            <w:r w:rsidRPr="00A07B1C">
              <w:rPr>
                <w:rFonts w:ascii="Times New Roman" w:hAnsi="Times New Roman"/>
                <w:sz w:val="22"/>
                <w:szCs w:val="24"/>
              </w:rPr>
              <w:t>Cha</w:t>
            </w:r>
            <w:r w:rsidR="003A3748" w:rsidRPr="00A07B1C">
              <w:rPr>
                <w:rFonts w:ascii="Times New Roman" w:hAnsi="Times New Roman"/>
                <w:sz w:val="22"/>
                <w:szCs w:val="24"/>
              </w:rPr>
              <w:t>nnelling investment and support</w:t>
            </w:r>
            <w:r w:rsidRPr="00A07B1C">
              <w:rPr>
                <w:rFonts w:ascii="Times New Roman" w:hAnsi="Times New Roman"/>
                <w:sz w:val="22"/>
                <w:szCs w:val="24"/>
              </w:rPr>
              <w:t xml:space="preserve"> to the manufacturing sector, in particular clothing and textiles; automotive sector; gas; chemicals and plastics; renewables; and steel and metals fabrication sectors.</w:t>
            </w:r>
          </w:p>
        </w:tc>
      </w:tr>
      <w:tr w:rsidR="00626940" w:rsidRPr="00A07B1C" w14:paraId="4EEFA985" w14:textId="77777777" w:rsidTr="004B3ADD">
        <w:tc>
          <w:tcPr>
            <w:tcW w:w="3681" w:type="dxa"/>
          </w:tcPr>
          <w:p w14:paraId="5D086780" w14:textId="77777777" w:rsidR="00626940" w:rsidRPr="00A07B1C" w:rsidRDefault="00626940" w:rsidP="00E40757">
            <w:pPr>
              <w:spacing w:line="360" w:lineRule="auto"/>
              <w:rPr>
                <w:rFonts w:ascii="Times New Roman" w:hAnsi="Times New Roman"/>
                <w:sz w:val="22"/>
                <w:szCs w:val="24"/>
              </w:rPr>
            </w:pPr>
            <w:r w:rsidRPr="00A07B1C">
              <w:rPr>
                <w:rFonts w:ascii="Times New Roman" w:hAnsi="Times New Roman"/>
                <w:b/>
                <w:sz w:val="22"/>
                <w:szCs w:val="24"/>
              </w:rPr>
              <w:t>Sub-outcome 3:</w:t>
            </w:r>
            <w:r w:rsidRPr="00A07B1C">
              <w:rPr>
                <w:rFonts w:ascii="Times New Roman" w:hAnsi="Times New Roman"/>
                <w:sz w:val="22"/>
                <w:szCs w:val="24"/>
              </w:rPr>
              <w:t xml:space="preserve"> The productive sectors account for a growing share of production and employment</w:t>
            </w:r>
          </w:p>
        </w:tc>
        <w:tc>
          <w:tcPr>
            <w:tcW w:w="6237" w:type="dxa"/>
          </w:tcPr>
          <w:p w14:paraId="26776F25" w14:textId="77777777" w:rsidR="00626940" w:rsidRPr="00A07B1C" w:rsidRDefault="00626940" w:rsidP="007D2289">
            <w:pPr>
              <w:spacing w:line="360" w:lineRule="auto"/>
              <w:rPr>
                <w:rFonts w:ascii="Times New Roman" w:hAnsi="Times New Roman"/>
                <w:sz w:val="22"/>
                <w:szCs w:val="24"/>
              </w:rPr>
            </w:pPr>
            <w:r w:rsidRPr="00A07B1C">
              <w:rPr>
                <w:rFonts w:ascii="Times New Roman" w:hAnsi="Times New Roman"/>
                <w:sz w:val="22"/>
                <w:szCs w:val="24"/>
              </w:rPr>
              <w:t xml:space="preserve">Buying locally manufactured goods in order to stimulate local demand and build competitiveness South African products so they can compete in global value chains, consequently creating employment.  </w:t>
            </w:r>
          </w:p>
        </w:tc>
      </w:tr>
      <w:tr w:rsidR="00626940" w:rsidRPr="00A07B1C" w14:paraId="54A1E8F2" w14:textId="77777777" w:rsidTr="004B3ADD">
        <w:tc>
          <w:tcPr>
            <w:tcW w:w="9918" w:type="dxa"/>
            <w:gridSpan w:val="2"/>
          </w:tcPr>
          <w:p w14:paraId="5B472D4E" w14:textId="77777777" w:rsidR="00626940" w:rsidRPr="00A07B1C" w:rsidRDefault="002A77D6" w:rsidP="00E40757">
            <w:pPr>
              <w:spacing w:line="360" w:lineRule="auto"/>
              <w:rPr>
                <w:rFonts w:ascii="Times New Roman" w:hAnsi="Times New Roman"/>
                <w:b/>
                <w:sz w:val="22"/>
                <w:szCs w:val="24"/>
              </w:rPr>
            </w:pPr>
            <w:r w:rsidRPr="00A07B1C">
              <w:rPr>
                <w:rFonts w:ascii="Times New Roman" w:hAnsi="Times New Roman"/>
                <w:b/>
                <w:sz w:val="22"/>
                <w:szCs w:val="24"/>
              </w:rPr>
              <w:t xml:space="preserve">Outcome 11: </w:t>
            </w:r>
            <w:r w:rsidR="00626940" w:rsidRPr="00A07B1C">
              <w:rPr>
                <w:rFonts w:ascii="Times New Roman" w:hAnsi="Times New Roman"/>
                <w:b/>
                <w:sz w:val="22"/>
                <w:szCs w:val="24"/>
              </w:rPr>
              <w:t>Creating a better South Africa and contribute to a better Africa and a better world</w:t>
            </w:r>
          </w:p>
        </w:tc>
      </w:tr>
      <w:tr w:rsidR="00626940" w:rsidRPr="00A07B1C" w14:paraId="4EDCF317" w14:textId="77777777" w:rsidTr="004B3ADD">
        <w:tc>
          <w:tcPr>
            <w:tcW w:w="3681" w:type="dxa"/>
          </w:tcPr>
          <w:p w14:paraId="62725D0F" w14:textId="77777777" w:rsidR="00626940" w:rsidRPr="00A07B1C" w:rsidRDefault="00626940" w:rsidP="007D2289">
            <w:pPr>
              <w:spacing w:line="360" w:lineRule="auto"/>
              <w:rPr>
                <w:rFonts w:ascii="Times New Roman" w:hAnsi="Times New Roman"/>
                <w:sz w:val="22"/>
                <w:szCs w:val="24"/>
              </w:rPr>
            </w:pPr>
            <w:r w:rsidRPr="00A07B1C">
              <w:rPr>
                <w:rFonts w:ascii="Times New Roman" w:hAnsi="Times New Roman"/>
                <w:b/>
                <w:sz w:val="22"/>
                <w:szCs w:val="24"/>
              </w:rPr>
              <w:t>Sub-outcome 2:</w:t>
            </w:r>
            <w:r w:rsidRPr="00A07B1C">
              <w:rPr>
                <w:rFonts w:ascii="Times New Roman" w:hAnsi="Times New Roman"/>
                <w:sz w:val="22"/>
                <w:szCs w:val="24"/>
              </w:rPr>
              <w:t xml:space="preserve"> An economically </w:t>
            </w:r>
            <w:r w:rsidR="007D2289" w:rsidRPr="00A07B1C">
              <w:rPr>
                <w:rFonts w:ascii="Times New Roman" w:hAnsi="Times New Roman"/>
                <w:sz w:val="22"/>
                <w:szCs w:val="24"/>
              </w:rPr>
              <w:t>i</w:t>
            </w:r>
            <w:r w:rsidRPr="00A07B1C">
              <w:rPr>
                <w:rFonts w:ascii="Times New Roman" w:hAnsi="Times New Roman"/>
                <w:sz w:val="22"/>
                <w:szCs w:val="24"/>
              </w:rPr>
              <w:t>ntegrated South Africa</w:t>
            </w:r>
          </w:p>
        </w:tc>
        <w:tc>
          <w:tcPr>
            <w:tcW w:w="6237" w:type="dxa"/>
          </w:tcPr>
          <w:p w14:paraId="5868FDC9" w14:textId="77777777" w:rsidR="00626940" w:rsidRPr="00A07B1C" w:rsidRDefault="00626940" w:rsidP="00A07B1C">
            <w:pPr>
              <w:spacing w:line="360" w:lineRule="auto"/>
              <w:rPr>
                <w:rFonts w:ascii="Times New Roman" w:hAnsi="Times New Roman"/>
                <w:sz w:val="22"/>
                <w:szCs w:val="24"/>
              </w:rPr>
            </w:pPr>
            <w:r w:rsidRPr="00A07B1C">
              <w:rPr>
                <w:rFonts w:ascii="Times New Roman" w:hAnsi="Times New Roman"/>
                <w:sz w:val="22"/>
                <w:szCs w:val="24"/>
              </w:rPr>
              <w:t xml:space="preserve">Promoting industrial parks and supporting </w:t>
            </w:r>
            <w:r w:rsidR="00A07B1C" w:rsidRPr="00A07B1C">
              <w:rPr>
                <w:rFonts w:ascii="Times New Roman" w:hAnsi="Times New Roman"/>
                <w:sz w:val="22"/>
                <w:szCs w:val="24"/>
              </w:rPr>
              <w:t>special economic zone</w:t>
            </w:r>
            <w:r w:rsidRPr="00A07B1C">
              <w:rPr>
                <w:rFonts w:ascii="Times New Roman" w:hAnsi="Times New Roman"/>
                <w:sz w:val="22"/>
                <w:szCs w:val="24"/>
              </w:rPr>
              <w:t>s</w:t>
            </w:r>
            <w:r w:rsidR="003A3748" w:rsidRPr="00A07B1C">
              <w:rPr>
                <w:rFonts w:ascii="Times New Roman" w:hAnsi="Times New Roman"/>
                <w:sz w:val="22"/>
                <w:szCs w:val="24"/>
              </w:rPr>
              <w:t>;</w:t>
            </w:r>
            <w:r w:rsidRPr="00A07B1C">
              <w:rPr>
                <w:rFonts w:ascii="Times New Roman" w:hAnsi="Times New Roman"/>
                <w:sz w:val="22"/>
                <w:szCs w:val="24"/>
              </w:rPr>
              <w:t xml:space="preserve"> therefore</w:t>
            </w:r>
            <w:r w:rsidR="003A3748" w:rsidRPr="00A07B1C">
              <w:rPr>
                <w:rFonts w:ascii="Times New Roman" w:hAnsi="Times New Roman"/>
                <w:sz w:val="22"/>
                <w:szCs w:val="24"/>
              </w:rPr>
              <w:t>,</w:t>
            </w:r>
            <w:r w:rsidRPr="00A07B1C">
              <w:rPr>
                <w:rFonts w:ascii="Times New Roman" w:hAnsi="Times New Roman"/>
                <w:sz w:val="22"/>
                <w:szCs w:val="24"/>
              </w:rPr>
              <w:t xml:space="preserve"> spreading economic opportunities to township </w:t>
            </w:r>
            <w:r w:rsidRPr="00A07B1C">
              <w:rPr>
                <w:rFonts w:ascii="Times New Roman" w:hAnsi="Times New Roman"/>
                <w:sz w:val="22"/>
                <w:szCs w:val="24"/>
              </w:rPr>
              <w:lastRenderedPageBreak/>
              <w:t>economies and to various provinces and towns of the country.</w:t>
            </w:r>
          </w:p>
        </w:tc>
      </w:tr>
      <w:tr w:rsidR="00626940" w:rsidRPr="00A07B1C" w14:paraId="5FD59388" w14:textId="77777777" w:rsidTr="004B3ADD">
        <w:tc>
          <w:tcPr>
            <w:tcW w:w="3681" w:type="dxa"/>
          </w:tcPr>
          <w:p w14:paraId="0D66A8DA" w14:textId="77777777" w:rsidR="00626940" w:rsidRPr="00A07B1C" w:rsidRDefault="00626940" w:rsidP="007D2289">
            <w:pPr>
              <w:spacing w:line="360" w:lineRule="auto"/>
              <w:rPr>
                <w:rFonts w:ascii="Times New Roman" w:hAnsi="Times New Roman"/>
                <w:sz w:val="22"/>
                <w:szCs w:val="24"/>
              </w:rPr>
            </w:pPr>
            <w:r w:rsidRPr="00A07B1C">
              <w:rPr>
                <w:rFonts w:ascii="Times New Roman" w:hAnsi="Times New Roman"/>
                <w:b/>
                <w:sz w:val="22"/>
                <w:szCs w:val="24"/>
              </w:rPr>
              <w:lastRenderedPageBreak/>
              <w:t>Sub-outcome 5:</w:t>
            </w:r>
            <w:r w:rsidRPr="00A07B1C">
              <w:rPr>
                <w:rFonts w:ascii="Times New Roman" w:hAnsi="Times New Roman"/>
                <w:sz w:val="22"/>
                <w:szCs w:val="24"/>
              </w:rPr>
              <w:t xml:space="preserve"> A sustainable developed and economically integrated Africa.</w:t>
            </w:r>
          </w:p>
        </w:tc>
        <w:tc>
          <w:tcPr>
            <w:tcW w:w="6237" w:type="dxa"/>
          </w:tcPr>
          <w:p w14:paraId="36687176" w14:textId="77777777" w:rsidR="00626940" w:rsidRPr="00A07B1C" w:rsidRDefault="00626940" w:rsidP="00E40757">
            <w:pPr>
              <w:spacing w:line="360" w:lineRule="auto"/>
              <w:rPr>
                <w:rFonts w:ascii="Times New Roman" w:hAnsi="Times New Roman"/>
                <w:sz w:val="22"/>
                <w:szCs w:val="24"/>
              </w:rPr>
            </w:pPr>
            <w:r w:rsidRPr="00A07B1C">
              <w:rPr>
                <w:rFonts w:ascii="Times New Roman" w:hAnsi="Times New Roman"/>
                <w:sz w:val="22"/>
                <w:szCs w:val="24"/>
              </w:rPr>
              <w:t>Strengthening trade and investment relations with the rest of the African continent hence using opportunities brought by the African Continental Free Trade Area to improve intra-Africa movement of goods and services, capital and means of production.</w:t>
            </w:r>
          </w:p>
        </w:tc>
      </w:tr>
      <w:tr w:rsidR="00626940" w:rsidRPr="00A07B1C" w14:paraId="12D87A42" w14:textId="77777777" w:rsidTr="004B3ADD">
        <w:tc>
          <w:tcPr>
            <w:tcW w:w="3681" w:type="dxa"/>
          </w:tcPr>
          <w:p w14:paraId="1F89B62E" w14:textId="77777777" w:rsidR="00626940" w:rsidRPr="00A07B1C" w:rsidRDefault="00626940" w:rsidP="007D2289">
            <w:pPr>
              <w:spacing w:line="360" w:lineRule="auto"/>
              <w:rPr>
                <w:rFonts w:ascii="Times New Roman" w:hAnsi="Times New Roman"/>
                <w:sz w:val="22"/>
                <w:szCs w:val="24"/>
              </w:rPr>
            </w:pPr>
            <w:r w:rsidRPr="00A07B1C">
              <w:rPr>
                <w:rFonts w:ascii="Times New Roman" w:hAnsi="Times New Roman"/>
                <w:b/>
                <w:sz w:val="22"/>
                <w:szCs w:val="24"/>
              </w:rPr>
              <w:t>Sub-outcome 7:</w:t>
            </w:r>
            <w:r w:rsidRPr="00A07B1C">
              <w:rPr>
                <w:rFonts w:ascii="Times New Roman" w:hAnsi="Times New Roman"/>
                <w:sz w:val="22"/>
                <w:szCs w:val="24"/>
              </w:rPr>
              <w:t xml:space="preserve"> Strong, mutually beneficial South-South cooperation</w:t>
            </w:r>
          </w:p>
        </w:tc>
        <w:tc>
          <w:tcPr>
            <w:tcW w:w="6237" w:type="dxa"/>
          </w:tcPr>
          <w:p w14:paraId="011EBA29" w14:textId="77777777" w:rsidR="00626940" w:rsidRPr="00A07B1C" w:rsidRDefault="00626940" w:rsidP="00E40757">
            <w:pPr>
              <w:spacing w:line="360" w:lineRule="auto"/>
              <w:rPr>
                <w:rFonts w:ascii="Times New Roman" w:hAnsi="Times New Roman"/>
                <w:sz w:val="22"/>
                <w:szCs w:val="24"/>
              </w:rPr>
            </w:pPr>
            <w:r w:rsidRPr="00A07B1C">
              <w:rPr>
                <w:rFonts w:ascii="Times New Roman" w:hAnsi="Times New Roman"/>
                <w:sz w:val="22"/>
                <w:szCs w:val="24"/>
              </w:rPr>
              <w:t xml:space="preserve">Developing cross-border value chains in sectors such as energy, mining and mineral beneficiation, manufacturing, infrastructure and agro-processing within Southern African Development Community region. </w:t>
            </w:r>
          </w:p>
        </w:tc>
      </w:tr>
    </w:tbl>
    <w:p w14:paraId="15D6F4C5" w14:textId="77777777" w:rsidR="00741DE9" w:rsidRPr="00A07B1C" w:rsidRDefault="00741DE9" w:rsidP="00741DE9">
      <w:pPr>
        <w:pStyle w:val="Heading2"/>
        <w:spacing w:before="0" w:line="360" w:lineRule="auto"/>
        <w:jc w:val="both"/>
        <w:rPr>
          <w:rFonts w:ascii="Times New Roman" w:eastAsiaTheme="minorHAnsi" w:hAnsi="Times New Roman" w:cs="Times New Roman"/>
          <w:color w:val="auto"/>
          <w:sz w:val="24"/>
          <w:szCs w:val="24"/>
          <w:highlight w:val="yellow"/>
        </w:rPr>
      </w:pPr>
      <w:bookmarkStart w:id="1" w:name="_26in1rg" w:colFirst="0" w:colLast="0"/>
      <w:bookmarkStart w:id="2" w:name="_lnxbz9" w:colFirst="0" w:colLast="0"/>
      <w:bookmarkEnd w:id="1"/>
      <w:bookmarkEnd w:id="2"/>
    </w:p>
    <w:p w14:paraId="7278F0C8" w14:textId="77777777" w:rsidR="00741DE9" w:rsidRPr="00A07B1C" w:rsidRDefault="00741DE9" w:rsidP="00456AA4">
      <w:pPr>
        <w:numPr>
          <w:ilvl w:val="1"/>
          <w:numId w:val="6"/>
        </w:numPr>
        <w:spacing w:line="360" w:lineRule="auto"/>
        <w:jc w:val="both"/>
        <w:rPr>
          <w:rFonts w:ascii="Times New Roman" w:hAnsi="Times New Roman"/>
          <w:b/>
          <w:sz w:val="24"/>
          <w:szCs w:val="24"/>
        </w:rPr>
      </w:pPr>
      <w:bookmarkStart w:id="3" w:name="_Toc7510002"/>
      <w:r w:rsidRPr="00A07B1C">
        <w:rPr>
          <w:rFonts w:ascii="Times New Roman" w:hAnsi="Times New Roman"/>
          <w:b/>
          <w:sz w:val="24"/>
          <w:szCs w:val="24"/>
        </w:rPr>
        <w:t>Sustainable Development Goals (SDGs)</w:t>
      </w:r>
      <w:bookmarkEnd w:id="3"/>
    </w:p>
    <w:p w14:paraId="24BA2E98" w14:textId="77777777" w:rsidR="00741DE9" w:rsidRPr="00A07B1C" w:rsidRDefault="00741DE9" w:rsidP="00741DE9">
      <w:pPr>
        <w:spacing w:line="360" w:lineRule="auto"/>
        <w:jc w:val="both"/>
        <w:rPr>
          <w:rFonts w:ascii="Times New Roman" w:hAnsi="Times New Roman"/>
          <w:b/>
          <w:sz w:val="24"/>
          <w:szCs w:val="24"/>
          <w:highlight w:val="yellow"/>
        </w:rPr>
      </w:pPr>
    </w:p>
    <w:p w14:paraId="159A37BE" w14:textId="77777777" w:rsidR="00741DE9" w:rsidRPr="00A07B1C" w:rsidRDefault="000F54D0" w:rsidP="00741DE9">
      <w:pPr>
        <w:spacing w:line="360" w:lineRule="auto"/>
        <w:jc w:val="both"/>
        <w:rPr>
          <w:rFonts w:ascii="Times New Roman" w:hAnsi="Times New Roman"/>
          <w:sz w:val="24"/>
          <w:szCs w:val="24"/>
        </w:rPr>
      </w:pPr>
      <w:r w:rsidRPr="00A07B1C">
        <w:rPr>
          <w:rFonts w:ascii="Times New Roman" w:hAnsi="Times New Roman"/>
          <w:sz w:val="24"/>
          <w:szCs w:val="24"/>
        </w:rPr>
        <w:t xml:space="preserve">The DTI would be primarily responsible for the second target of </w:t>
      </w:r>
      <w:r w:rsidR="00741DE9" w:rsidRPr="00A07B1C">
        <w:rPr>
          <w:rFonts w:ascii="Times New Roman" w:hAnsi="Times New Roman"/>
          <w:sz w:val="24"/>
          <w:szCs w:val="24"/>
        </w:rPr>
        <w:t>SDG 9 (build resilient infrastructure, promote inclusive and sustainable industrialization and foster innovation),</w:t>
      </w:r>
      <w:r w:rsidRPr="00A07B1C">
        <w:rPr>
          <w:rFonts w:ascii="Times New Roman" w:hAnsi="Times New Roman"/>
          <w:sz w:val="24"/>
          <w:szCs w:val="24"/>
        </w:rPr>
        <w:t xml:space="preserve"> namely to “promote inclusive and sustainable industrialization and, by 2030, significantly raise industry’s share of employment and gross domestic product, in line with national circumstances, and double its share in least developed countries”</w:t>
      </w:r>
      <w:r w:rsidR="00EB397C" w:rsidRPr="00A07B1C">
        <w:rPr>
          <w:rStyle w:val="FootnoteReference"/>
          <w:rFonts w:ascii="Times New Roman" w:hAnsi="Times New Roman"/>
          <w:sz w:val="24"/>
          <w:szCs w:val="24"/>
        </w:rPr>
        <w:footnoteReference w:id="7"/>
      </w:r>
      <w:r w:rsidRPr="00A07B1C">
        <w:rPr>
          <w:rFonts w:ascii="Times New Roman" w:hAnsi="Times New Roman"/>
          <w:sz w:val="24"/>
          <w:szCs w:val="24"/>
        </w:rPr>
        <w:t>. In this regard, o</w:t>
      </w:r>
      <w:r w:rsidR="00741DE9" w:rsidRPr="00A07B1C">
        <w:rPr>
          <w:rFonts w:ascii="Times New Roman" w:hAnsi="Times New Roman"/>
          <w:sz w:val="24"/>
          <w:szCs w:val="24"/>
        </w:rPr>
        <w:t xml:space="preserve">ne of the </w:t>
      </w:r>
      <w:r w:rsidRPr="00A07B1C">
        <w:rPr>
          <w:rFonts w:ascii="Times New Roman" w:hAnsi="Times New Roman"/>
          <w:sz w:val="24"/>
          <w:szCs w:val="24"/>
        </w:rPr>
        <w:t>DTI</w:t>
      </w:r>
      <w:r w:rsidR="00741DE9" w:rsidRPr="00A07B1C">
        <w:rPr>
          <w:rFonts w:ascii="Times New Roman" w:hAnsi="Times New Roman"/>
          <w:sz w:val="24"/>
          <w:szCs w:val="24"/>
        </w:rPr>
        <w:t>’s core strategic objective</w:t>
      </w:r>
      <w:r w:rsidRPr="00A07B1C">
        <w:rPr>
          <w:rFonts w:ascii="Times New Roman" w:hAnsi="Times New Roman"/>
          <w:sz w:val="24"/>
          <w:szCs w:val="24"/>
        </w:rPr>
        <w:t>s</w:t>
      </w:r>
      <w:r w:rsidR="00741DE9" w:rsidRPr="00A07B1C">
        <w:rPr>
          <w:rFonts w:ascii="Times New Roman" w:hAnsi="Times New Roman"/>
          <w:sz w:val="24"/>
          <w:szCs w:val="24"/>
        </w:rPr>
        <w:t xml:space="preserve"> </w:t>
      </w:r>
      <w:r w:rsidRPr="00A07B1C">
        <w:rPr>
          <w:rFonts w:ascii="Times New Roman" w:hAnsi="Times New Roman"/>
          <w:sz w:val="24"/>
          <w:szCs w:val="24"/>
        </w:rPr>
        <w:t xml:space="preserve">is to </w:t>
      </w:r>
      <w:r w:rsidR="00741DE9" w:rsidRPr="00A07B1C">
        <w:rPr>
          <w:rFonts w:ascii="Times New Roman" w:hAnsi="Times New Roman"/>
          <w:sz w:val="24"/>
          <w:szCs w:val="24"/>
        </w:rPr>
        <w:t>“facilitate transformation of the economy to promote industrial development, investment, competitiveness and employment creation”</w:t>
      </w:r>
      <w:r w:rsidR="00741DE9" w:rsidRPr="00A07B1C">
        <w:rPr>
          <w:rStyle w:val="FootnoteReference"/>
          <w:rFonts w:ascii="Times New Roman" w:hAnsi="Times New Roman"/>
          <w:sz w:val="24"/>
          <w:szCs w:val="24"/>
        </w:rPr>
        <w:footnoteReference w:id="8"/>
      </w:r>
      <w:r w:rsidRPr="00A07B1C">
        <w:rPr>
          <w:rFonts w:ascii="Times New Roman" w:hAnsi="Times New Roman"/>
          <w:sz w:val="24"/>
          <w:szCs w:val="24"/>
        </w:rPr>
        <w:t>. It develops industrial strategies and provides incentives to improve the competitiveness of the manufacturing sector and increase market access and demands for locally manufactured goods</w:t>
      </w:r>
      <w:r w:rsidR="00741DE9" w:rsidRPr="00A07B1C">
        <w:rPr>
          <w:rFonts w:ascii="Times New Roman" w:hAnsi="Times New Roman"/>
          <w:sz w:val="24"/>
          <w:szCs w:val="24"/>
        </w:rPr>
        <w:t>.</w:t>
      </w:r>
      <w:r w:rsidRPr="00A07B1C">
        <w:rPr>
          <w:rFonts w:ascii="Times New Roman" w:hAnsi="Times New Roman"/>
          <w:sz w:val="24"/>
          <w:szCs w:val="24"/>
        </w:rPr>
        <w:t xml:space="preserve"> The EDD also plays a critical role in </w:t>
      </w:r>
      <w:r w:rsidR="008045E4" w:rsidRPr="00A07B1C">
        <w:rPr>
          <w:rFonts w:ascii="Times New Roman" w:hAnsi="Times New Roman"/>
          <w:sz w:val="24"/>
          <w:szCs w:val="24"/>
        </w:rPr>
        <w:t>coordinating and monitoring industrial development</w:t>
      </w:r>
      <w:r w:rsidR="003C20E6">
        <w:rPr>
          <w:rFonts w:ascii="Times New Roman" w:hAnsi="Times New Roman"/>
          <w:sz w:val="24"/>
          <w:szCs w:val="24"/>
        </w:rPr>
        <w:t>, as well as</w:t>
      </w:r>
      <w:r w:rsidR="008045E4" w:rsidRPr="00A07B1C">
        <w:rPr>
          <w:rFonts w:ascii="Times New Roman" w:hAnsi="Times New Roman"/>
          <w:sz w:val="24"/>
          <w:szCs w:val="24"/>
        </w:rPr>
        <w:t xml:space="preserve"> industrial financing </w:t>
      </w:r>
      <w:r w:rsidR="003C20E6" w:rsidRPr="00A07B1C">
        <w:rPr>
          <w:rFonts w:ascii="Times New Roman" w:hAnsi="Times New Roman"/>
          <w:sz w:val="24"/>
          <w:szCs w:val="24"/>
        </w:rPr>
        <w:t xml:space="preserve">through </w:t>
      </w:r>
      <w:r w:rsidR="008045E4" w:rsidRPr="00A07B1C">
        <w:rPr>
          <w:rFonts w:ascii="Times New Roman" w:hAnsi="Times New Roman"/>
          <w:sz w:val="24"/>
          <w:szCs w:val="24"/>
        </w:rPr>
        <w:t>the Industrial Development Corporation</w:t>
      </w:r>
      <w:r w:rsidR="00A07B1C" w:rsidRPr="00A07B1C">
        <w:rPr>
          <w:rFonts w:ascii="Times New Roman" w:hAnsi="Times New Roman"/>
          <w:sz w:val="24"/>
          <w:szCs w:val="24"/>
        </w:rPr>
        <w:t xml:space="preserve"> (IDC)</w:t>
      </w:r>
      <w:r w:rsidR="008045E4" w:rsidRPr="00A07B1C">
        <w:rPr>
          <w:rFonts w:ascii="Times New Roman" w:hAnsi="Times New Roman"/>
          <w:sz w:val="24"/>
          <w:szCs w:val="24"/>
        </w:rPr>
        <w:t>.</w:t>
      </w:r>
    </w:p>
    <w:p w14:paraId="5859222E" w14:textId="77777777" w:rsidR="009B6A38" w:rsidRPr="00A07B1C" w:rsidRDefault="009B6A38" w:rsidP="00741DE9">
      <w:pPr>
        <w:spacing w:line="360" w:lineRule="auto"/>
        <w:jc w:val="both"/>
        <w:rPr>
          <w:rFonts w:ascii="Times New Roman" w:hAnsi="Times New Roman"/>
          <w:sz w:val="24"/>
          <w:szCs w:val="24"/>
        </w:rPr>
      </w:pPr>
    </w:p>
    <w:p w14:paraId="6E81145A" w14:textId="77777777" w:rsidR="009B6A38" w:rsidRPr="00A07B1C" w:rsidRDefault="009B6A38" w:rsidP="009B6A38">
      <w:pPr>
        <w:spacing w:line="360" w:lineRule="auto"/>
        <w:jc w:val="both"/>
        <w:rPr>
          <w:rFonts w:ascii="Times New Roman" w:hAnsi="Times New Roman"/>
          <w:sz w:val="24"/>
          <w:szCs w:val="24"/>
        </w:rPr>
      </w:pPr>
      <w:r w:rsidRPr="00A07B1C">
        <w:rPr>
          <w:rFonts w:ascii="Times New Roman" w:hAnsi="Times New Roman"/>
          <w:sz w:val="24"/>
          <w:szCs w:val="24"/>
        </w:rPr>
        <w:t>Furthermore, the EDD can contribute to the first target of SDG 9, namely to “develop quality, reliable, sustainable and resilient infrastructure, including regional and trans</w:t>
      </w:r>
      <w:r w:rsidR="003C20E6">
        <w:rPr>
          <w:rFonts w:ascii="Times New Roman" w:hAnsi="Times New Roman"/>
          <w:sz w:val="24"/>
          <w:szCs w:val="24"/>
        </w:rPr>
        <w:t>-</w:t>
      </w:r>
      <w:r w:rsidRPr="00A07B1C">
        <w:rPr>
          <w:rFonts w:ascii="Times New Roman" w:hAnsi="Times New Roman"/>
          <w:sz w:val="24"/>
          <w:szCs w:val="24"/>
        </w:rPr>
        <w:t>border infrastructure, to support economic development and human well-being, with a focus on affordable and equitable access for all”</w:t>
      </w:r>
      <w:r w:rsidR="00C123BA" w:rsidRPr="00A07B1C">
        <w:rPr>
          <w:rStyle w:val="FootnoteReference"/>
          <w:rFonts w:ascii="Times New Roman" w:hAnsi="Times New Roman"/>
          <w:sz w:val="24"/>
          <w:szCs w:val="24"/>
        </w:rPr>
        <w:footnoteReference w:id="9"/>
      </w:r>
      <w:r w:rsidRPr="00A07B1C">
        <w:rPr>
          <w:rFonts w:ascii="Times New Roman" w:hAnsi="Times New Roman"/>
          <w:sz w:val="24"/>
          <w:szCs w:val="24"/>
        </w:rPr>
        <w:t>. It would play a role by providing secretariat services to the Presidential Infrastructure Coordinating Commission</w:t>
      </w:r>
      <w:r w:rsidR="00990EC0" w:rsidRPr="00A07B1C">
        <w:rPr>
          <w:rFonts w:ascii="Times New Roman" w:hAnsi="Times New Roman"/>
          <w:sz w:val="24"/>
          <w:szCs w:val="24"/>
        </w:rPr>
        <w:t xml:space="preserve"> (PICC)</w:t>
      </w:r>
      <w:r w:rsidRPr="00A07B1C">
        <w:rPr>
          <w:rFonts w:ascii="Times New Roman" w:hAnsi="Times New Roman"/>
          <w:sz w:val="24"/>
          <w:szCs w:val="24"/>
        </w:rPr>
        <w:t xml:space="preserve">, monitoring progress of </w:t>
      </w:r>
      <w:r w:rsidRPr="00A07B1C">
        <w:rPr>
          <w:rFonts w:ascii="Times New Roman" w:hAnsi="Times New Roman"/>
          <w:sz w:val="24"/>
          <w:szCs w:val="24"/>
        </w:rPr>
        <w:lastRenderedPageBreak/>
        <w:t>the implementation of 18 strategic infrastructure projects</w:t>
      </w:r>
      <w:r w:rsidR="003C20E6">
        <w:rPr>
          <w:rFonts w:ascii="Times New Roman" w:hAnsi="Times New Roman"/>
          <w:sz w:val="24"/>
          <w:szCs w:val="24"/>
        </w:rPr>
        <w:t>,</w:t>
      </w:r>
      <w:r w:rsidRPr="00A07B1C">
        <w:rPr>
          <w:rFonts w:ascii="Times New Roman" w:hAnsi="Times New Roman"/>
          <w:sz w:val="24"/>
          <w:szCs w:val="24"/>
        </w:rPr>
        <w:t xml:space="preserve"> and unblocking </w:t>
      </w:r>
      <w:r w:rsidR="0019353D" w:rsidRPr="00A07B1C">
        <w:rPr>
          <w:rFonts w:ascii="Times New Roman" w:hAnsi="Times New Roman"/>
          <w:sz w:val="24"/>
          <w:szCs w:val="24"/>
        </w:rPr>
        <w:t>applications or facilitating applications for permits and licences to accelerate the implementation of these</w:t>
      </w:r>
      <w:r w:rsidR="003C20E6">
        <w:rPr>
          <w:rFonts w:ascii="Times New Roman" w:hAnsi="Times New Roman"/>
          <w:sz w:val="24"/>
          <w:szCs w:val="24"/>
        </w:rPr>
        <w:t xml:space="preserve"> projects</w:t>
      </w:r>
      <w:r w:rsidR="0019353D" w:rsidRPr="00A07B1C">
        <w:rPr>
          <w:rFonts w:ascii="Times New Roman" w:hAnsi="Times New Roman"/>
          <w:sz w:val="24"/>
          <w:szCs w:val="24"/>
        </w:rPr>
        <w:t xml:space="preserve">. </w:t>
      </w:r>
    </w:p>
    <w:p w14:paraId="68F6B222" w14:textId="77777777" w:rsidR="009B6A38" w:rsidRPr="00A07B1C" w:rsidRDefault="009B6A38" w:rsidP="00741DE9">
      <w:pPr>
        <w:spacing w:line="360" w:lineRule="auto"/>
        <w:jc w:val="both"/>
        <w:rPr>
          <w:rFonts w:ascii="Times New Roman" w:hAnsi="Times New Roman"/>
          <w:sz w:val="24"/>
          <w:szCs w:val="24"/>
        </w:rPr>
      </w:pPr>
    </w:p>
    <w:p w14:paraId="5B1CC2DA" w14:textId="77777777" w:rsidR="00990EC0" w:rsidRPr="00A07B1C" w:rsidRDefault="00990EC0" w:rsidP="00741DE9">
      <w:pPr>
        <w:spacing w:line="360" w:lineRule="auto"/>
        <w:jc w:val="both"/>
        <w:rPr>
          <w:rFonts w:ascii="Times New Roman" w:hAnsi="Times New Roman"/>
          <w:sz w:val="24"/>
          <w:szCs w:val="24"/>
        </w:rPr>
      </w:pPr>
      <w:r w:rsidRPr="00A07B1C">
        <w:rPr>
          <w:rFonts w:ascii="Times New Roman" w:hAnsi="Times New Roman"/>
          <w:sz w:val="24"/>
          <w:szCs w:val="24"/>
        </w:rPr>
        <w:t>Through its work on the PICC and its coordinating role for economic development policy formulation and planning, the EDD contributes indirectly to a number of SDGs including:</w:t>
      </w:r>
    </w:p>
    <w:p w14:paraId="796C12BD" w14:textId="77777777" w:rsidR="00DE094F" w:rsidRPr="00A07B1C" w:rsidRDefault="00DE094F" w:rsidP="00DE094F">
      <w:pPr>
        <w:pStyle w:val="ListParagraph"/>
        <w:numPr>
          <w:ilvl w:val="0"/>
          <w:numId w:val="30"/>
        </w:numPr>
        <w:spacing w:line="360" w:lineRule="auto"/>
        <w:jc w:val="both"/>
      </w:pPr>
      <w:r w:rsidRPr="00A07B1C">
        <w:rPr>
          <w:lang w:eastAsia="en-ZA"/>
        </w:rPr>
        <w:t>SDG 4 – “Ensure inclusive and equitable quality education and promote lifelong learning opportunities for all”</w:t>
      </w:r>
      <w:r w:rsidR="00C123BA" w:rsidRPr="00A07B1C">
        <w:rPr>
          <w:rStyle w:val="FootnoteReference"/>
          <w:lang w:eastAsia="en-ZA"/>
        </w:rPr>
        <w:footnoteReference w:id="10"/>
      </w:r>
      <w:r w:rsidRPr="00A07B1C">
        <w:rPr>
          <w:lang w:eastAsia="en-ZA"/>
        </w:rPr>
        <w:t xml:space="preserve"> through </w:t>
      </w:r>
      <w:r w:rsidR="009B6A38" w:rsidRPr="00A07B1C">
        <w:rPr>
          <w:lang w:eastAsia="en-ZA"/>
        </w:rPr>
        <w:t>access to an</w:t>
      </w:r>
      <w:r w:rsidRPr="00A07B1C">
        <w:rPr>
          <w:lang w:eastAsia="en-ZA"/>
        </w:rPr>
        <w:t>d quality of education services/infrastructure</w:t>
      </w:r>
      <w:r w:rsidR="009B6A38" w:rsidRPr="00A07B1C">
        <w:rPr>
          <w:lang w:eastAsia="en-ZA"/>
        </w:rPr>
        <w:t>.</w:t>
      </w:r>
      <w:r w:rsidR="009B6A38" w:rsidRPr="00A07B1C">
        <w:rPr>
          <w:rStyle w:val="FootnoteReference"/>
          <w:lang w:eastAsia="en-ZA"/>
        </w:rPr>
        <w:footnoteReference w:id="11"/>
      </w:r>
      <w:r w:rsidR="009B6A38" w:rsidRPr="00A07B1C">
        <w:rPr>
          <w:lang w:eastAsia="en-ZA"/>
        </w:rPr>
        <w:t xml:space="preserve"> </w:t>
      </w:r>
    </w:p>
    <w:p w14:paraId="4217CBEE" w14:textId="77777777" w:rsidR="00FB69A6" w:rsidRPr="00A07B1C" w:rsidRDefault="00DE094F" w:rsidP="00DE094F">
      <w:pPr>
        <w:pStyle w:val="ListParagraph"/>
        <w:numPr>
          <w:ilvl w:val="0"/>
          <w:numId w:val="30"/>
        </w:numPr>
        <w:spacing w:line="360" w:lineRule="auto"/>
        <w:jc w:val="both"/>
      </w:pPr>
      <w:r w:rsidRPr="00A07B1C">
        <w:rPr>
          <w:lang w:eastAsia="en-ZA"/>
        </w:rPr>
        <w:t>SDG 7 – “</w:t>
      </w:r>
      <w:r w:rsidRPr="00A07B1C">
        <w:t>Ensure access to affordable, reliable, sustainable and modern energy for all”</w:t>
      </w:r>
      <w:r w:rsidR="00C123BA" w:rsidRPr="00A07B1C">
        <w:rPr>
          <w:rStyle w:val="FootnoteReference"/>
        </w:rPr>
        <w:footnoteReference w:id="12"/>
      </w:r>
      <w:r w:rsidRPr="00A07B1C">
        <w:t xml:space="preserve"> through investment and upgrade of infrastructure for </w:t>
      </w:r>
      <w:r w:rsidR="009B6A38" w:rsidRPr="00A07B1C">
        <w:rPr>
          <w:lang w:eastAsia="en-ZA"/>
        </w:rPr>
        <w:t xml:space="preserve">sustainable energy supply </w:t>
      </w:r>
      <w:r w:rsidR="00FB69A6" w:rsidRPr="00A07B1C">
        <w:rPr>
          <w:lang w:eastAsia="en-ZA"/>
        </w:rPr>
        <w:t xml:space="preserve">and use, </w:t>
      </w:r>
      <w:r w:rsidR="009B6A38" w:rsidRPr="00A07B1C">
        <w:rPr>
          <w:lang w:eastAsia="en-ZA"/>
        </w:rPr>
        <w:t xml:space="preserve">and </w:t>
      </w:r>
      <w:r w:rsidR="00FB69A6" w:rsidRPr="00A07B1C">
        <w:rPr>
          <w:lang w:eastAsia="en-ZA"/>
        </w:rPr>
        <w:t xml:space="preserve">an </w:t>
      </w:r>
      <w:r w:rsidR="009B6A38" w:rsidRPr="00A07B1C">
        <w:rPr>
          <w:lang w:eastAsia="en-ZA"/>
        </w:rPr>
        <w:t>increase of renewable ener</w:t>
      </w:r>
      <w:r w:rsidR="00FB69A6" w:rsidRPr="00A07B1C">
        <w:rPr>
          <w:lang w:eastAsia="en-ZA"/>
        </w:rPr>
        <w:t>gy in South Africa’s energy mix.</w:t>
      </w:r>
      <w:r w:rsidR="009B6A38" w:rsidRPr="00A07B1C">
        <w:rPr>
          <w:lang w:eastAsia="en-ZA"/>
        </w:rPr>
        <w:t xml:space="preserve"> </w:t>
      </w:r>
    </w:p>
    <w:p w14:paraId="25F73943" w14:textId="77777777" w:rsidR="00FB69A6" w:rsidRPr="00A07B1C" w:rsidRDefault="00FB69A6" w:rsidP="00FB69A6">
      <w:pPr>
        <w:pStyle w:val="ListParagraph"/>
        <w:numPr>
          <w:ilvl w:val="0"/>
          <w:numId w:val="30"/>
        </w:numPr>
        <w:spacing w:line="360" w:lineRule="auto"/>
        <w:jc w:val="both"/>
      </w:pPr>
      <w:r w:rsidRPr="00A07B1C">
        <w:rPr>
          <w:lang w:eastAsia="en-ZA"/>
        </w:rPr>
        <w:t>SDG 8 – “Promote sustained, inclusive and sustainable economic growth, full and productive employment and decent work for all”</w:t>
      </w:r>
      <w:r w:rsidR="00C123BA" w:rsidRPr="00A07B1C">
        <w:rPr>
          <w:rStyle w:val="FootnoteReference"/>
        </w:rPr>
        <w:footnoteReference w:id="13"/>
      </w:r>
      <w:r w:rsidRPr="00A07B1C">
        <w:rPr>
          <w:lang w:eastAsia="en-ZA"/>
        </w:rPr>
        <w:t xml:space="preserve"> by improving access of black women and youth to employment and entrepreneurship opportunities, as well as the coordination of social accords.</w:t>
      </w:r>
    </w:p>
    <w:p w14:paraId="185C83FA" w14:textId="77777777" w:rsidR="009B6A38" w:rsidRPr="00A07B1C" w:rsidRDefault="00FB69A6" w:rsidP="00417C35">
      <w:pPr>
        <w:pStyle w:val="ListParagraph"/>
        <w:numPr>
          <w:ilvl w:val="0"/>
          <w:numId w:val="30"/>
        </w:numPr>
        <w:spacing w:line="360" w:lineRule="auto"/>
        <w:jc w:val="both"/>
      </w:pPr>
      <w:r w:rsidRPr="00A07B1C">
        <w:rPr>
          <w:lang w:eastAsia="en-ZA"/>
        </w:rPr>
        <w:t>SDG 10 – “Reduce inequality within and among countries”</w:t>
      </w:r>
      <w:r w:rsidR="00C123BA" w:rsidRPr="00A07B1C">
        <w:rPr>
          <w:rStyle w:val="FootnoteReference"/>
        </w:rPr>
        <w:footnoteReference w:id="14"/>
      </w:r>
      <w:r w:rsidR="00803671" w:rsidRPr="00A07B1C">
        <w:rPr>
          <w:lang w:eastAsia="en-ZA"/>
        </w:rPr>
        <w:t xml:space="preserve"> through its promotion and facilitation of investment and the role of the International Trade Administration Commission of South Africa’s (ITAC) tariff line investigations and determinations. Furthermore, the DTI also plays a critical role in these aspects through its trade negotiations and work by its Investment South Africa Programme. </w:t>
      </w:r>
    </w:p>
    <w:p w14:paraId="303FCFFC" w14:textId="77777777" w:rsidR="009B6A38" w:rsidRPr="00A07B1C" w:rsidRDefault="009B6A38" w:rsidP="00741DE9">
      <w:pPr>
        <w:spacing w:line="360" w:lineRule="auto"/>
        <w:jc w:val="both"/>
        <w:rPr>
          <w:rFonts w:ascii="Times New Roman" w:hAnsi="Times New Roman"/>
          <w:sz w:val="24"/>
          <w:szCs w:val="24"/>
        </w:rPr>
      </w:pPr>
    </w:p>
    <w:p w14:paraId="1B1AB8F0" w14:textId="77777777" w:rsidR="00741DE9" w:rsidRPr="00A07B1C" w:rsidRDefault="00741DE9" w:rsidP="000B6DCC">
      <w:pPr>
        <w:numPr>
          <w:ilvl w:val="1"/>
          <w:numId w:val="6"/>
        </w:numPr>
        <w:spacing w:line="360" w:lineRule="auto"/>
        <w:jc w:val="both"/>
        <w:rPr>
          <w:rFonts w:ascii="Times New Roman" w:hAnsi="Times New Roman"/>
          <w:b/>
          <w:sz w:val="24"/>
          <w:szCs w:val="24"/>
        </w:rPr>
      </w:pPr>
      <w:bookmarkStart w:id="4" w:name="_Toc7510004"/>
      <w:r w:rsidRPr="00A07B1C">
        <w:rPr>
          <w:rFonts w:ascii="Times New Roman" w:hAnsi="Times New Roman"/>
          <w:b/>
          <w:sz w:val="24"/>
          <w:szCs w:val="24"/>
        </w:rPr>
        <w:t>Agenda 2063</w:t>
      </w:r>
      <w:bookmarkEnd w:id="4"/>
    </w:p>
    <w:p w14:paraId="6B35801D" w14:textId="77777777" w:rsidR="00741DE9" w:rsidRPr="00A07B1C" w:rsidRDefault="00741DE9" w:rsidP="00741DE9">
      <w:pPr>
        <w:spacing w:line="360" w:lineRule="auto"/>
        <w:jc w:val="both"/>
        <w:rPr>
          <w:rFonts w:ascii="Times New Roman" w:hAnsi="Times New Roman"/>
          <w:sz w:val="24"/>
          <w:szCs w:val="24"/>
          <w:highlight w:val="yellow"/>
        </w:rPr>
      </w:pPr>
    </w:p>
    <w:p w14:paraId="7E80C9D3" w14:textId="77777777" w:rsidR="00741DE9" w:rsidRPr="00A07B1C" w:rsidRDefault="00741DE9" w:rsidP="00741DE9">
      <w:pPr>
        <w:spacing w:line="360" w:lineRule="auto"/>
        <w:jc w:val="both"/>
        <w:rPr>
          <w:rFonts w:ascii="Times New Roman" w:hAnsi="Times New Roman"/>
          <w:sz w:val="24"/>
          <w:szCs w:val="24"/>
        </w:rPr>
      </w:pPr>
      <w:r w:rsidRPr="00A07B1C">
        <w:rPr>
          <w:rFonts w:ascii="Times New Roman" w:hAnsi="Times New Roman"/>
          <w:sz w:val="24"/>
          <w:szCs w:val="24"/>
        </w:rPr>
        <w:t xml:space="preserve">The work of the </w:t>
      </w:r>
      <w:r w:rsidR="00417C35" w:rsidRPr="00A07B1C">
        <w:rPr>
          <w:rFonts w:ascii="Times New Roman" w:hAnsi="Times New Roman"/>
          <w:sz w:val="24"/>
          <w:szCs w:val="24"/>
        </w:rPr>
        <w:t>DTI and the EDD</w:t>
      </w:r>
      <w:r w:rsidRPr="00A07B1C">
        <w:rPr>
          <w:rFonts w:ascii="Times New Roman" w:hAnsi="Times New Roman"/>
          <w:sz w:val="24"/>
          <w:szCs w:val="24"/>
        </w:rPr>
        <w:t xml:space="preserve"> is aligned to aspiration 1 of Agenda 2063: “</w:t>
      </w:r>
      <w:r w:rsidRPr="00A07B1C">
        <w:rPr>
          <w:rFonts w:ascii="Times New Roman" w:hAnsi="Times New Roman"/>
          <w:i/>
          <w:sz w:val="24"/>
          <w:szCs w:val="24"/>
        </w:rPr>
        <w:t>A prosperous Africa based on inclusive growth and sustainable development”</w:t>
      </w:r>
      <w:r w:rsidR="00C123BA" w:rsidRPr="00A07B1C">
        <w:rPr>
          <w:rStyle w:val="FootnoteReference"/>
          <w:rFonts w:ascii="Times New Roman" w:hAnsi="Times New Roman"/>
          <w:i/>
          <w:sz w:val="24"/>
          <w:szCs w:val="24"/>
        </w:rPr>
        <w:footnoteReference w:id="15"/>
      </w:r>
      <w:r w:rsidRPr="00A07B1C">
        <w:rPr>
          <w:rFonts w:ascii="Times New Roman" w:hAnsi="Times New Roman"/>
          <w:i/>
          <w:sz w:val="24"/>
          <w:szCs w:val="24"/>
        </w:rPr>
        <w:t xml:space="preserve">. </w:t>
      </w:r>
      <w:r w:rsidRPr="00A07B1C">
        <w:rPr>
          <w:rFonts w:ascii="Times New Roman" w:hAnsi="Times New Roman"/>
          <w:sz w:val="24"/>
          <w:szCs w:val="24"/>
        </w:rPr>
        <w:t>In line with this aspiration, the African continent committed to "eradicating poverty in one generation and build shared prosperity through social and economic transformation….”</w:t>
      </w:r>
      <w:r w:rsidR="00C123BA" w:rsidRPr="00A07B1C">
        <w:rPr>
          <w:rStyle w:val="FootnoteReference"/>
          <w:rFonts w:ascii="Times New Roman" w:hAnsi="Times New Roman"/>
          <w:sz w:val="24"/>
        </w:rPr>
        <w:footnoteReference w:id="16"/>
      </w:r>
      <w:r w:rsidRPr="00A07B1C">
        <w:rPr>
          <w:rFonts w:ascii="Times New Roman" w:hAnsi="Times New Roman"/>
          <w:sz w:val="24"/>
          <w:szCs w:val="24"/>
        </w:rPr>
        <w:t xml:space="preserve">. Strategic objectives of the </w:t>
      </w:r>
      <w:r w:rsidR="00417C35" w:rsidRPr="00A07B1C">
        <w:rPr>
          <w:rFonts w:ascii="Times New Roman" w:hAnsi="Times New Roman"/>
          <w:sz w:val="24"/>
          <w:szCs w:val="24"/>
        </w:rPr>
        <w:t>DTI</w:t>
      </w:r>
      <w:r w:rsidRPr="00A07B1C">
        <w:rPr>
          <w:rFonts w:ascii="Times New Roman" w:hAnsi="Times New Roman"/>
          <w:sz w:val="24"/>
          <w:szCs w:val="24"/>
        </w:rPr>
        <w:t xml:space="preserve"> include: “Facilitating broad-based economic participation through targeted interventions to achieve more inclusive growth”</w:t>
      </w:r>
      <w:r w:rsidRPr="00A07B1C">
        <w:rPr>
          <w:rStyle w:val="FootnoteReference"/>
          <w:rFonts w:ascii="Times New Roman" w:hAnsi="Times New Roman"/>
          <w:sz w:val="24"/>
          <w:szCs w:val="24"/>
        </w:rPr>
        <w:footnoteReference w:id="17"/>
      </w:r>
      <w:r w:rsidRPr="00A07B1C">
        <w:rPr>
          <w:rFonts w:ascii="Times New Roman" w:hAnsi="Times New Roman"/>
          <w:sz w:val="24"/>
          <w:szCs w:val="24"/>
        </w:rPr>
        <w:t>.</w:t>
      </w:r>
    </w:p>
    <w:p w14:paraId="2DCB9612" w14:textId="77777777" w:rsidR="003A42F2" w:rsidRPr="00A07B1C" w:rsidRDefault="003A42F2" w:rsidP="00741DE9">
      <w:pPr>
        <w:spacing w:line="360" w:lineRule="auto"/>
        <w:jc w:val="both"/>
        <w:rPr>
          <w:rFonts w:ascii="Times New Roman" w:hAnsi="Times New Roman"/>
          <w:sz w:val="24"/>
          <w:szCs w:val="24"/>
        </w:rPr>
      </w:pPr>
    </w:p>
    <w:p w14:paraId="7648F219" w14:textId="77777777" w:rsidR="00741DE9" w:rsidRPr="00A07B1C" w:rsidRDefault="00741DE9" w:rsidP="00741DE9">
      <w:pPr>
        <w:spacing w:line="360" w:lineRule="auto"/>
        <w:jc w:val="both"/>
        <w:rPr>
          <w:rFonts w:ascii="Times New Roman" w:hAnsi="Times New Roman"/>
          <w:sz w:val="24"/>
          <w:szCs w:val="24"/>
        </w:rPr>
      </w:pPr>
      <w:r w:rsidRPr="00A07B1C">
        <w:rPr>
          <w:rFonts w:ascii="Times New Roman" w:hAnsi="Times New Roman"/>
          <w:sz w:val="24"/>
          <w:szCs w:val="24"/>
        </w:rPr>
        <w:t xml:space="preserve">Implementing these strategic objectives through </w:t>
      </w:r>
      <w:r w:rsidR="00C123BA" w:rsidRPr="00A07B1C">
        <w:rPr>
          <w:rFonts w:ascii="Times New Roman" w:hAnsi="Times New Roman"/>
          <w:sz w:val="24"/>
          <w:szCs w:val="24"/>
        </w:rPr>
        <w:t>P</w:t>
      </w:r>
      <w:r w:rsidRPr="00A07B1C">
        <w:rPr>
          <w:rFonts w:ascii="Times New Roman" w:hAnsi="Times New Roman"/>
          <w:sz w:val="24"/>
          <w:szCs w:val="24"/>
        </w:rPr>
        <w:t>rogramme 3: Special Economic Zones and Economic Transformation</w:t>
      </w:r>
      <w:r w:rsidR="00C123BA" w:rsidRPr="00A07B1C">
        <w:rPr>
          <w:rFonts w:ascii="Times New Roman" w:hAnsi="Times New Roman"/>
          <w:sz w:val="24"/>
          <w:szCs w:val="24"/>
        </w:rPr>
        <w:t xml:space="preserve"> in the 2019</w:t>
      </w:r>
      <w:r w:rsidRPr="00A07B1C">
        <w:rPr>
          <w:rFonts w:ascii="Times New Roman" w:hAnsi="Times New Roman"/>
          <w:sz w:val="24"/>
          <w:szCs w:val="24"/>
        </w:rPr>
        <w:t>/</w:t>
      </w:r>
      <w:r w:rsidR="00C123BA" w:rsidRPr="00A07B1C">
        <w:rPr>
          <w:rFonts w:ascii="Times New Roman" w:hAnsi="Times New Roman"/>
          <w:sz w:val="24"/>
          <w:szCs w:val="24"/>
        </w:rPr>
        <w:t>20</w:t>
      </w:r>
      <w:r w:rsidRPr="00A07B1C">
        <w:rPr>
          <w:rFonts w:ascii="Times New Roman" w:hAnsi="Times New Roman"/>
          <w:sz w:val="24"/>
          <w:szCs w:val="24"/>
        </w:rPr>
        <w:t xml:space="preserve"> financial year should contribute to the achievement of </w:t>
      </w:r>
      <w:r w:rsidR="00417C35" w:rsidRPr="00A07B1C">
        <w:rPr>
          <w:rFonts w:ascii="Times New Roman" w:hAnsi="Times New Roman"/>
          <w:sz w:val="24"/>
          <w:szCs w:val="24"/>
        </w:rPr>
        <w:t>the A</w:t>
      </w:r>
      <w:r w:rsidRPr="00A07B1C">
        <w:rPr>
          <w:rFonts w:ascii="Times New Roman" w:hAnsi="Times New Roman"/>
          <w:sz w:val="24"/>
          <w:szCs w:val="24"/>
        </w:rPr>
        <w:t xml:space="preserve">genda 2063 aspirations. This programme had been allocated a budget </w:t>
      </w:r>
      <w:r w:rsidR="00DD7C2A">
        <w:rPr>
          <w:rFonts w:ascii="Times New Roman" w:hAnsi="Times New Roman"/>
          <w:sz w:val="24"/>
          <w:szCs w:val="24"/>
        </w:rPr>
        <w:t xml:space="preserve">of </w:t>
      </w:r>
      <w:r w:rsidRPr="00A07B1C">
        <w:rPr>
          <w:rFonts w:ascii="Times New Roman" w:hAnsi="Times New Roman"/>
          <w:sz w:val="24"/>
          <w:szCs w:val="24"/>
        </w:rPr>
        <w:t xml:space="preserve">R171,5 million. </w:t>
      </w:r>
    </w:p>
    <w:p w14:paraId="677CA6CF" w14:textId="77777777" w:rsidR="00417C35" w:rsidRPr="00A07B1C" w:rsidRDefault="00417C35" w:rsidP="00741DE9">
      <w:pPr>
        <w:spacing w:line="360" w:lineRule="auto"/>
        <w:jc w:val="both"/>
        <w:rPr>
          <w:rFonts w:ascii="Times New Roman" w:hAnsi="Times New Roman"/>
          <w:sz w:val="24"/>
          <w:szCs w:val="24"/>
        </w:rPr>
      </w:pPr>
    </w:p>
    <w:p w14:paraId="34184B9C" w14:textId="77777777" w:rsidR="00417C35" w:rsidRPr="00A07B1C" w:rsidRDefault="00417C35" w:rsidP="00741DE9">
      <w:pPr>
        <w:spacing w:line="360" w:lineRule="auto"/>
        <w:jc w:val="both"/>
        <w:rPr>
          <w:rFonts w:ascii="Times New Roman" w:hAnsi="Times New Roman"/>
          <w:sz w:val="24"/>
          <w:szCs w:val="24"/>
        </w:rPr>
      </w:pPr>
      <w:r w:rsidRPr="00A07B1C">
        <w:rPr>
          <w:rFonts w:ascii="Times New Roman" w:hAnsi="Times New Roman"/>
          <w:sz w:val="24"/>
          <w:szCs w:val="24"/>
        </w:rPr>
        <w:t>The EDD has two strategic objectives that would contribute to this Agenda 2063 aspiration, namely: to “coordinate jobs drivers and implementation of the economic strategy in suppo</w:t>
      </w:r>
      <w:r w:rsidR="00BC7CF9" w:rsidRPr="00A07B1C">
        <w:rPr>
          <w:rFonts w:ascii="Times New Roman" w:hAnsi="Times New Roman"/>
          <w:sz w:val="24"/>
          <w:szCs w:val="24"/>
        </w:rPr>
        <w:t xml:space="preserve">rt of the National Development </w:t>
      </w:r>
      <w:r w:rsidRPr="00A07B1C">
        <w:rPr>
          <w:rFonts w:ascii="Times New Roman" w:hAnsi="Times New Roman"/>
          <w:sz w:val="24"/>
          <w:szCs w:val="24"/>
        </w:rPr>
        <w:t>Plan”</w:t>
      </w:r>
      <w:r w:rsidR="00C123BA" w:rsidRPr="00A07B1C">
        <w:rPr>
          <w:rStyle w:val="FootnoteReference"/>
          <w:rFonts w:ascii="Times New Roman" w:hAnsi="Times New Roman"/>
          <w:sz w:val="24"/>
          <w:szCs w:val="24"/>
        </w:rPr>
        <w:footnoteReference w:id="18"/>
      </w:r>
      <w:r w:rsidRPr="00A07B1C">
        <w:rPr>
          <w:rFonts w:ascii="Times New Roman" w:hAnsi="Times New Roman"/>
          <w:sz w:val="24"/>
          <w:szCs w:val="24"/>
        </w:rPr>
        <w:t xml:space="preserve"> and to “promote productive investment, industrial financing and entrepreneurship for jobs and inclusive growth”</w:t>
      </w:r>
      <w:r w:rsidR="00C123BA" w:rsidRPr="00A07B1C">
        <w:rPr>
          <w:rStyle w:val="FootnoteReference"/>
          <w:rFonts w:ascii="Times New Roman" w:hAnsi="Times New Roman"/>
          <w:sz w:val="24"/>
          <w:szCs w:val="24"/>
        </w:rPr>
        <w:footnoteReference w:id="19"/>
      </w:r>
      <w:r w:rsidRPr="00A07B1C">
        <w:rPr>
          <w:rFonts w:ascii="Times New Roman" w:hAnsi="Times New Roman"/>
          <w:sz w:val="24"/>
          <w:szCs w:val="24"/>
        </w:rPr>
        <w:t>.</w:t>
      </w:r>
    </w:p>
    <w:p w14:paraId="2319758B" w14:textId="77777777" w:rsidR="00741DE9" w:rsidRPr="00A07B1C" w:rsidRDefault="00741DE9" w:rsidP="00E40757">
      <w:pPr>
        <w:spacing w:line="360" w:lineRule="auto"/>
        <w:jc w:val="both"/>
        <w:rPr>
          <w:rFonts w:ascii="Times New Roman" w:hAnsi="Times New Roman"/>
          <w:sz w:val="24"/>
          <w:szCs w:val="24"/>
        </w:rPr>
      </w:pPr>
    </w:p>
    <w:p w14:paraId="22BF0F1E" w14:textId="77777777" w:rsidR="000B6DCC" w:rsidRPr="00A07B1C" w:rsidRDefault="000B6DCC" w:rsidP="000B6DCC">
      <w:pPr>
        <w:numPr>
          <w:ilvl w:val="1"/>
          <w:numId w:val="6"/>
        </w:numPr>
        <w:spacing w:line="360" w:lineRule="auto"/>
        <w:jc w:val="both"/>
        <w:rPr>
          <w:rFonts w:ascii="Times New Roman" w:hAnsi="Times New Roman"/>
          <w:b/>
          <w:sz w:val="24"/>
          <w:szCs w:val="24"/>
        </w:rPr>
      </w:pPr>
      <w:bookmarkStart w:id="5" w:name="_Toc7510003"/>
      <w:r w:rsidRPr="00A07B1C">
        <w:rPr>
          <w:rFonts w:ascii="Times New Roman" w:hAnsi="Times New Roman"/>
          <w:b/>
          <w:sz w:val="24"/>
          <w:szCs w:val="24"/>
        </w:rPr>
        <w:t>Industrial Development Action Plan (IPAP) and Southern African Development Community (SADC) Industrialisation Strategy</w:t>
      </w:r>
      <w:bookmarkEnd w:id="5"/>
    </w:p>
    <w:p w14:paraId="16B3BF87" w14:textId="77777777" w:rsidR="000B6DCC" w:rsidRPr="00A07B1C" w:rsidRDefault="000B6DCC" w:rsidP="000B6DCC">
      <w:pPr>
        <w:spacing w:line="360" w:lineRule="auto"/>
        <w:jc w:val="both"/>
        <w:rPr>
          <w:rFonts w:ascii="Times New Roman" w:hAnsi="Times New Roman"/>
          <w:b/>
          <w:bCs/>
          <w:sz w:val="24"/>
          <w:szCs w:val="24"/>
        </w:rPr>
      </w:pPr>
    </w:p>
    <w:p w14:paraId="08C7586A" w14:textId="77777777" w:rsidR="000B6DCC" w:rsidRPr="00A07B1C" w:rsidRDefault="000B6DCC" w:rsidP="000B6DCC">
      <w:pPr>
        <w:spacing w:line="360" w:lineRule="auto"/>
        <w:jc w:val="both"/>
        <w:rPr>
          <w:rFonts w:ascii="Times New Roman" w:hAnsi="Times New Roman"/>
          <w:sz w:val="24"/>
          <w:szCs w:val="24"/>
        </w:rPr>
      </w:pPr>
      <w:r w:rsidRPr="00A07B1C">
        <w:rPr>
          <w:rFonts w:ascii="Times New Roman" w:hAnsi="Times New Roman"/>
          <w:bCs/>
          <w:sz w:val="24"/>
          <w:szCs w:val="24"/>
        </w:rPr>
        <w:t xml:space="preserve">The </w:t>
      </w:r>
      <w:r w:rsidR="00A07B1C">
        <w:rPr>
          <w:rFonts w:ascii="Times New Roman" w:hAnsi="Times New Roman"/>
          <w:bCs/>
          <w:sz w:val="24"/>
          <w:szCs w:val="24"/>
        </w:rPr>
        <w:t>SADC</w:t>
      </w:r>
      <w:r w:rsidRPr="00A07B1C">
        <w:rPr>
          <w:rFonts w:ascii="Times New Roman" w:hAnsi="Times New Roman"/>
          <w:b/>
          <w:bCs/>
          <w:sz w:val="24"/>
          <w:szCs w:val="24"/>
        </w:rPr>
        <w:t xml:space="preserve"> </w:t>
      </w:r>
      <w:r w:rsidRPr="00A07B1C">
        <w:rPr>
          <w:rFonts w:ascii="Times New Roman" w:hAnsi="Times New Roman"/>
          <w:sz w:val="24"/>
          <w:szCs w:val="24"/>
        </w:rPr>
        <w:t>Regional Infrastructure Development Master Plan (RIDMP) aims to “</w:t>
      </w:r>
      <w:proofErr w:type="spellStart"/>
      <w:r w:rsidRPr="00A07B1C">
        <w:rPr>
          <w:rFonts w:ascii="Times New Roman" w:hAnsi="Times New Roman"/>
          <w:sz w:val="24"/>
          <w:szCs w:val="24"/>
        </w:rPr>
        <w:t>catalyze</w:t>
      </w:r>
      <w:proofErr w:type="spellEnd"/>
      <w:r w:rsidRPr="00A07B1C">
        <w:rPr>
          <w:rFonts w:ascii="Times New Roman" w:hAnsi="Times New Roman"/>
          <w:sz w:val="24"/>
          <w:szCs w:val="24"/>
        </w:rPr>
        <w:t xml:space="preserve"> industrial development and reduce current high costs of doing business, including those related to Non-Tariff Barriers (NTBs) and local procurement of inputs for infrastructure development”</w:t>
      </w:r>
      <w:r w:rsidRPr="00A07B1C">
        <w:rPr>
          <w:rStyle w:val="FootnoteReference"/>
          <w:rFonts w:ascii="Times New Roman" w:hAnsi="Times New Roman"/>
          <w:sz w:val="24"/>
          <w:szCs w:val="24"/>
        </w:rPr>
        <w:footnoteReference w:id="20"/>
      </w:r>
      <w:r w:rsidRPr="00A07B1C">
        <w:rPr>
          <w:rFonts w:ascii="Times New Roman" w:hAnsi="Times New Roman"/>
          <w:sz w:val="24"/>
          <w:szCs w:val="24"/>
        </w:rPr>
        <w:t>. As a Member of SADC, South Africa has to align its national policies and strategies to complement that of the regional community. The NDP 2030 and the IPAP</w:t>
      </w:r>
      <w:r w:rsidR="00DD7C2A">
        <w:rPr>
          <w:rFonts w:ascii="Times New Roman" w:hAnsi="Times New Roman"/>
          <w:sz w:val="24"/>
          <w:szCs w:val="24"/>
        </w:rPr>
        <w:t xml:space="preserve"> therefore are </w:t>
      </w:r>
      <w:r w:rsidRPr="00A07B1C">
        <w:rPr>
          <w:rFonts w:ascii="Times New Roman" w:hAnsi="Times New Roman"/>
          <w:sz w:val="24"/>
          <w:szCs w:val="24"/>
        </w:rPr>
        <w:t>broad</w:t>
      </w:r>
      <w:r w:rsidR="00DD7C2A">
        <w:rPr>
          <w:rFonts w:ascii="Times New Roman" w:hAnsi="Times New Roman"/>
          <w:sz w:val="24"/>
          <w:szCs w:val="24"/>
        </w:rPr>
        <w:t>ly complementary</w:t>
      </w:r>
      <w:r w:rsidRPr="00A07B1C">
        <w:rPr>
          <w:rFonts w:ascii="Times New Roman" w:hAnsi="Times New Roman"/>
          <w:sz w:val="24"/>
          <w:szCs w:val="24"/>
        </w:rPr>
        <w:t xml:space="preserve"> policies to the SADC industrialisation strategy. IPAP is the country’s industrialisation p</w:t>
      </w:r>
      <w:r w:rsidR="00DD7C2A">
        <w:rPr>
          <w:rFonts w:ascii="Times New Roman" w:hAnsi="Times New Roman"/>
          <w:sz w:val="24"/>
          <w:szCs w:val="24"/>
        </w:rPr>
        <w:t>lan which sets out detailed action</w:t>
      </w:r>
      <w:r w:rsidRPr="00A07B1C">
        <w:rPr>
          <w:rFonts w:ascii="Times New Roman" w:hAnsi="Times New Roman"/>
          <w:sz w:val="24"/>
          <w:szCs w:val="24"/>
        </w:rPr>
        <w:t xml:space="preserve">s </w:t>
      </w:r>
      <w:r w:rsidR="00DD7C2A">
        <w:rPr>
          <w:rFonts w:ascii="Times New Roman" w:hAnsi="Times New Roman"/>
          <w:sz w:val="24"/>
          <w:szCs w:val="24"/>
        </w:rPr>
        <w:t xml:space="preserve">to deepen </w:t>
      </w:r>
      <w:r w:rsidRPr="00A07B1C">
        <w:rPr>
          <w:rFonts w:ascii="Times New Roman" w:hAnsi="Times New Roman"/>
          <w:sz w:val="24"/>
          <w:szCs w:val="24"/>
        </w:rPr>
        <w:t>industrialisation in the country. Similar to the SADC-RIDMP, IPAP aims to ensure industrialisation through its interventions, one of which is the developmental tariff reform. In the current budget, the DTI continues to provide for the implementation of IPAP, which will be replaced by a re-imagined industrial strategy.</w:t>
      </w:r>
    </w:p>
    <w:p w14:paraId="6297A117" w14:textId="77777777" w:rsidR="000B6DCC" w:rsidRPr="00A07B1C" w:rsidRDefault="000B6DCC" w:rsidP="00E40757">
      <w:pPr>
        <w:spacing w:line="360" w:lineRule="auto"/>
        <w:jc w:val="both"/>
        <w:rPr>
          <w:rFonts w:ascii="Times New Roman" w:hAnsi="Times New Roman"/>
          <w:sz w:val="24"/>
          <w:szCs w:val="24"/>
        </w:rPr>
      </w:pPr>
    </w:p>
    <w:p w14:paraId="6E0BCD3D" w14:textId="77777777" w:rsidR="006A7D0D" w:rsidRPr="00A07B1C" w:rsidRDefault="006A7D0D" w:rsidP="00E40757">
      <w:pPr>
        <w:numPr>
          <w:ilvl w:val="0"/>
          <w:numId w:val="6"/>
        </w:numPr>
        <w:spacing w:line="360" w:lineRule="auto"/>
        <w:jc w:val="both"/>
        <w:rPr>
          <w:rFonts w:ascii="Times New Roman" w:hAnsi="Times New Roman"/>
          <w:b/>
          <w:sz w:val="24"/>
          <w:szCs w:val="24"/>
        </w:rPr>
      </w:pPr>
      <w:r w:rsidRPr="00A07B1C">
        <w:rPr>
          <w:rFonts w:ascii="Times New Roman" w:hAnsi="Times New Roman"/>
          <w:b/>
          <w:sz w:val="24"/>
          <w:szCs w:val="24"/>
        </w:rPr>
        <w:t>Economic Development Department’s Annual Performance Plan and Budget Vote</w:t>
      </w:r>
    </w:p>
    <w:p w14:paraId="55CD8DDA" w14:textId="77777777" w:rsidR="006A7D0D" w:rsidRPr="00A07B1C" w:rsidRDefault="006A7D0D" w:rsidP="00E40757">
      <w:pPr>
        <w:spacing w:line="360" w:lineRule="auto"/>
        <w:jc w:val="both"/>
        <w:rPr>
          <w:rFonts w:ascii="Times New Roman" w:hAnsi="Times New Roman"/>
          <w:sz w:val="24"/>
          <w:szCs w:val="24"/>
        </w:rPr>
      </w:pPr>
    </w:p>
    <w:p w14:paraId="49C7C53A" w14:textId="77777777" w:rsidR="00E40757" w:rsidRPr="00A07B1C" w:rsidRDefault="00E40757" w:rsidP="00E40757">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 xml:space="preserve">The </w:t>
      </w:r>
      <w:r w:rsidR="00A07B1C">
        <w:rPr>
          <w:rFonts w:ascii="Times New Roman" w:hAnsi="Times New Roman"/>
          <w:color w:val="auto"/>
          <w:sz w:val="24"/>
          <w:szCs w:val="24"/>
        </w:rPr>
        <w:t>EDD</w:t>
      </w:r>
      <w:r w:rsidRPr="00A07B1C">
        <w:rPr>
          <w:rFonts w:ascii="Times New Roman" w:hAnsi="Times New Roman"/>
          <w:color w:val="auto"/>
          <w:sz w:val="24"/>
          <w:szCs w:val="24"/>
        </w:rPr>
        <w:t xml:space="preserve"> is responsible for legislation, as well as the policies for all the sub-sectors directed to contribute inclusive growth and job creation. </w:t>
      </w:r>
      <w:r w:rsidR="00A07B1C">
        <w:rPr>
          <w:rFonts w:ascii="Times New Roman" w:hAnsi="Times New Roman"/>
          <w:color w:val="auto"/>
          <w:sz w:val="24"/>
          <w:szCs w:val="24"/>
        </w:rPr>
        <w:t>It</w:t>
      </w:r>
      <w:r w:rsidRPr="00A07B1C">
        <w:rPr>
          <w:rFonts w:ascii="Times New Roman" w:hAnsi="Times New Roman"/>
          <w:color w:val="auto"/>
          <w:sz w:val="24"/>
          <w:szCs w:val="24"/>
        </w:rPr>
        <w:t xml:space="preserve"> is therefore entrusted with conducting sector</w:t>
      </w:r>
      <w:r w:rsidR="00DD7C2A">
        <w:rPr>
          <w:rFonts w:ascii="Times New Roman" w:hAnsi="Times New Roman"/>
          <w:color w:val="auto"/>
          <w:sz w:val="24"/>
          <w:szCs w:val="24"/>
        </w:rPr>
        <w:t>al</w:t>
      </w:r>
      <w:r w:rsidRPr="00A07B1C">
        <w:rPr>
          <w:rFonts w:ascii="Times New Roman" w:hAnsi="Times New Roman"/>
          <w:color w:val="auto"/>
          <w:sz w:val="24"/>
          <w:szCs w:val="24"/>
        </w:rPr>
        <w:t xml:space="preserve"> research, </w:t>
      </w:r>
      <w:r w:rsidR="00DD7C2A">
        <w:rPr>
          <w:rFonts w:ascii="Times New Roman" w:hAnsi="Times New Roman"/>
          <w:color w:val="auto"/>
          <w:sz w:val="24"/>
          <w:szCs w:val="24"/>
        </w:rPr>
        <w:t xml:space="preserve">and </w:t>
      </w:r>
      <w:r w:rsidRPr="00A07B1C">
        <w:rPr>
          <w:rFonts w:ascii="Times New Roman" w:hAnsi="Times New Roman"/>
          <w:color w:val="auto"/>
          <w:sz w:val="24"/>
          <w:szCs w:val="24"/>
        </w:rPr>
        <w:t>formulating legislation and policy to set the strategic direction of sub-</w:t>
      </w:r>
      <w:r w:rsidRPr="00A07B1C">
        <w:rPr>
          <w:rFonts w:ascii="Times New Roman" w:hAnsi="Times New Roman"/>
          <w:color w:val="auto"/>
          <w:sz w:val="24"/>
          <w:szCs w:val="24"/>
        </w:rPr>
        <w:lastRenderedPageBreak/>
        <w:t xml:space="preserve">sectors. In addition, it is mandated with assigning responsibilities to public entities and other tiers of government, regulating through setting norms and standards, </w:t>
      </w:r>
      <w:r w:rsidR="00DD7C2A">
        <w:rPr>
          <w:rFonts w:ascii="Times New Roman" w:hAnsi="Times New Roman"/>
          <w:color w:val="auto"/>
          <w:sz w:val="24"/>
          <w:szCs w:val="24"/>
        </w:rPr>
        <w:t xml:space="preserve">and </w:t>
      </w:r>
      <w:r w:rsidRPr="00A07B1C">
        <w:rPr>
          <w:rFonts w:ascii="Times New Roman" w:hAnsi="Times New Roman"/>
          <w:color w:val="auto"/>
          <w:sz w:val="24"/>
          <w:szCs w:val="24"/>
        </w:rPr>
        <w:t>monitoring implementation.</w:t>
      </w:r>
    </w:p>
    <w:p w14:paraId="0FE62488" w14:textId="77777777" w:rsidR="00CF1410" w:rsidRPr="00A07B1C" w:rsidRDefault="00CF1410" w:rsidP="00E40757">
      <w:pPr>
        <w:spacing w:line="360" w:lineRule="auto"/>
        <w:jc w:val="both"/>
        <w:rPr>
          <w:rFonts w:ascii="Times New Roman" w:hAnsi="Times New Roman"/>
          <w:color w:val="auto"/>
          <w:sz w:val="24"/>
          <w:szCs w:val="24"/>
        </w:rPr>
      </w:pPr>
    </w:p>
    <w:p w14:paraId="0B141C73" w14:textId="77777777" w:rsidR="00EE0880" w:rsidRPr="00A07B1C" w:rsidRDefault="00CF1410" w:rsidP="00E40757">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The EDD’s strategic goals are to</w:t>
      </w:r>
      <w:r w:rsidR="001136A7" w:rsidRPr="00A07B1C">
        <w:rPr>
          <w:rStyle w:val="FootnoteReference"/>
          <w:rFonts w:ascii="Times New Roman" w:hAnsi="Times New Roman"/>
          <w:color w:val="auto"/>
          <w:sz w:val="24"/>
          <w:szCs w:val="24"/>
        </w:rPr>
        <w:footnoteReference w:id="21"/>
      </w:r>
      <w:r w:rsidRPr="00A07B1C">
        <w:rPr>
          <w:rFonts w:ascii="Times New Roman" w:hAnsi="Times New Roman"/>
          <w:color w:val="auto"/>
          <w:sz w:val="24"/>
          <w:szCs w:val="24"/>
        </w:rPr>
        <w:t>:</w:t>
      </w:r>
    </w:p>
    <w:p w14:paraId="1D940D3E" w14:textId="77777777" w:rsidR="00CF1410" w:rsidRPr="00A07B1C" w:rsidRDefault="00CF1410" w:rsidP="00CF1410">
      <w:pPr>
        <w:pStyle w:val="ListParagraph"/>
        <w:numPr>
          <w:ilvl w:val="0"/>
          <w:numId w:val="28"/>
        </w:numPr>
        <w:spacing w:line="360" w:lineRule="auto"/>
        <w:jc w:val="both"/>
      </w:pPr>
      <w:r w:rsidRPr="00A07B1C">
        <w:t>Ensure good governance in its administration.</w:t>
      </w:r>
    </w:p>
    <w:p w14:paraId="53CCD678" w14:textId="77777777" w:rsidR="00CF1410" w:rsidRPr="00A07B1C" w:rsidRDefault="00710517" w:rsidP="00CF1410">
      <w:pPr>
        <w:pStyle w:val="ListParagraph"/>
        <w:numPr>
          <w:ilvl w:val="0"/>
          <w:numId w:val="28"/>
        </w:numPr>
        <w:spacing w:line="360" w:lineRule="auto"/>
        <w:jc w:val="both"/>
      </w:pPr>
      <w:r w:rsidRPr="00A07B1C">
        <w:t>Coordinate jobs driver</w:t>
      </w:r>
      <w:r w:rsidR="003147C9" w:rsidRPr="00A07B1C">
        <w:t>s and implement the New Growth P</w:t>
      </w:r>
      <w:r w:rsidRPr="00A07B1C">
        <w:t>ath Economic Strategy to support the NDP.</w:t>
      </w:r>
    </w:p>
    <w:p w14:paraId="744C965A" w14:textId="77777777" w:rsidR="00710517" w:rsidRPr="00A07B1C" w:rsidRDefault="00710517" w:rsidP="00CF1410">
      <w:pPr>
        <w:pStyle w:val="ListParagraph"/>
        <w:numPr>
          <w:ilvl w:val="0"/>
          <w:numId w:val="28"/>
        </w:numPr>
        <w:spacing w:line="360" w:lineRule="auto"/>
        <w:jc w:val="both"/>
      </w:pPr>
      <w:r w:rsidRPr="00A07B1C">
        <w:t>Facilitate social dialogue and implement social accords.</w:t>
      </w:r>
    </w:p>
    <w:p w14:paraId="3930F5F4" w14:textId="77777777" w:rsidR="00710517" w:rsidRPr="00A07B1C" w:rsidRDefault="00710517" w:rsidP="00CF1410">
      <w:pPr>
        <w:pStyle w:val="ListParagraph"/>
        <w:numPr>
          <w:ilvl w:val="0"/>
          <w:numId w:val="28"/>
        </w:numPr>
        <w:spacing w:line="360" w:lineRule="auto"/>
        <w:jc w:val="both"/>
      </w:pPr>
      <w:r w:rsidRPr="00A07B1C">
        <w:t>Coordinate infrastructure developme</w:t>
      </w:r>
      <w:r w:rsidR="00AC54BA" w:rsidRPr="00A07B1C">
        <w:t xml:space="preserve">nt and strengthen its positive </w:t>
      </w:r>
      <w:r w:rsidRPr="00A07B1C">
        <w:t>impact on the economy and citizens.</w:t>
      </w:r>
    </w:p>
    <w:p w14:paraId="265863D7" w14:textId="77777777" w:rsidR="00710517" w:rsidRPr="00A07B1C" w:rsidRDefault="00710517" w:rsidP="00710517">
      <w:pPr>
        <w:pStyle w:val="ListParagraph"/>
        <w:numPr>
          <w:ilvl w:val="0"/>
          <w:numId w:val="28"/>
        </w:numPr>
        <w:spacing w:line="360" w:lineRule="auto"/>
        <w:jc w:val="both"/>
      </w:pPr>
      <w:r w:rsidRPr="00A07B1C">
        <w:t>Promote productive investment, industrial financing and entrepreneurship for jobs and inclusive growth.</w:t>
      </w:r>
    </w:p>
    <w:p w14:paraId="27FAEC8C" w14:textId="77777777" w:rsidR="00710517" w:rsidRPr="00A07B1C" w:rsidRDefault="00710517" w:rsidP="00710517">
      <w:pPr>
        <w:pStyle w:val="ListParagraph"/>
        <w:numPr>
          <w:ilvl w:val="0"/>
          <w:numId w:val="28"/>
        </w:numPr>
        <w:spacing w:line="360" w:lineRule="auto"/>
        <w:jc w:val="both"/>
      </w:pPr>
      <w:r w:rsidRPr="00A07B1C">
        <w:t>Promote competition, trade and economic regulation to support job creation, industrialisation and economic inclusion.</w:t>
      </w:r>
    </w:p>
    <w:p w14:paraId="60518E99" w14:textId="77777777" w:rsidR="00710517" w:rsidRPr="00A07B1C" w:rsidRDefault="00710517" w:rsidP="00710517">
      <w:pPr>
        <w:spacing w:line="360" w:lineRule="auto"/>
        <w:jc w:val="both"/>
      </w:pPr>
    </w:p>
    <w:p w14:paraId="33D87852" w14:textId="77777777" w:rsidR="00E40757" w:rsidRPr="00A07B1C" w:rsidRDefault="001C3200" w:rsidP="00E40757">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 xml:space="preserve">The </w:t>
      </w:r>
      <w:r w:rsidR="0013338A" w:rsidRPr="00A07B1C">
        <w:rPr>
          <w:rFonts w:ascii="Times New Roman" w:hAnsi="Times New Roman"/>
          <w:color w:val="auto"/>
          <w:sz w:val="24"/>
          <w:szCs w:val="24"/>
        </w:rPr>
        <w:t>EDD</w:t>
      </w:r>
      <w:r w:rsidR="00E40757" w:rsidRPr="00A07B1C">
        <w:rPr>
          <w:rFonts w:ascii="Times New Roman" w:hAnsi="Times New Roman"/>
          <w:color w:val="auto"/>
          <w:sz w:val="24"/>
          <w:szCs w:val="24"/>
        </w:rPr>
        <w:t xml:space="preserve"> is structured into three programmes</w:t>
      </w:r>
      <w:r w:rsidRPr="00A07B1C">
        <w:rPr>
          <w:rFonts w:ascii="Times New Roman" w:hAnsi="Times New Roman"/>
          <w:color w:val="auto"/>
          <w:sz w:val="24"/>
          <w:szCs w:val="24"/>
        </w:rPr>
        <w:t xml:space="preserve"> to achieve these targets</w:t>
      </w:r>
      <w:r w:rsidR="0013338A" w:rsidRPr="00A07B1C">
        <w:rPr>
          <w:rFonts w:ascii="Times New Roman" w:hAnsi="Times New Roman"/>
          <w:color w:val="auto"/>
          <w:sz w:val="24"/>
          <w:szCs w:val="24"/>
        </w:rPr>
        <w:t>, namely</w:t>
      </w:r>
      <w:r w:rsidR="00C123BA" w:rsidRPr="00A07B1C">
        <w:rPr>
          <w:rStyle w:val="FootnoteReference"/>
          <w:rFonts w:ascii="Times New Roman" w:hAnsi="Times New Roman"/>
          <w:color w:val="auto"/>
          <w:sz w:val="24"/>
          <w:szCs w:val="24"/>
        </w:rPr>
        <w:footnoteReference w:id="22"/>
      </w:r>
      <w:r w:rsidR="00E40757" w:rsidRPr="00A07B1C">
        <w:rPr>
          <w:rFonts w:ascii="Times New Roman" w:hAnsi="Times New Roman"/>
          <w:color w:val="auto"/>
          <w:sz w:val="24"/>
          <w:szCs w:val="24"/>
        </w:rPr>
        <w:t>:</w:t>
      </w:r>
    </w:p>
    <w:p w14:paraId="128CBB7B" w14:textId="77777777" w:rsidR="00E40757" w:rsidRPr="00A07B1C" w:rsidRDefault="00E40757" w:rsidP="00E40757">
      <w:pPr>
        <w:numPr>
          <w:ilvl w:val="0"/>
          <w:numId w:val="18"/>
        </w:numPr>
        <w:spacing w:line="360" w:lineRule="auto"/>
        <w:jc w:val="both"/>
        <w:rPr>
          <w:rFonts w:ascii="Times New Roman" w:hAnsi="Times New Roman"/>
          <w:color w:val="auto"/>
          <w:sz w:val="24"/>
          <w:szCs w:val="24"/>
        </w:rPr>
      </w:pPr>
      <w:r w:rsidRPr="00A07B1C">
        <w:rPr>
          <w:rFonts w:ascii="Times New Roman" w:hAnsi="Times New Roman"/>
          <w:i/>
          <w:color w:val="auto"/>
          <w:sz w:val="24"/>
          <w:szCs w:val="24"/>
        </w:rPr>
        <w:t>Programme 1: Administration</w:t>
      </w:r>
      <w:r w:rsidR="00271709" w:rsidRPr="00A07B1C">
        <w:rPr>
          <w:rFonts w:ascii="Times New Roman" w:hAnsi="Times New Roman"/>
          <w:color w:val="auto"/>
          <w:sz w:val="24"/>
          <w:szCs w:val="24"/>
        </w:rPr>
        <w:t xml:space="preserve"> – Provides strategic leadership, management and support services to the Department.</w:t>
      </w:r>
    </w:p>
    <w:p w14:paraId="3C01216B" w14:textId="77777777" w:rsidR="00271709" w:rsidRPr="00A07B1C" w:rsidRDefault="00E40757" w:rsidP="00271709">
      <w:pPr>
        <w:pStyle w:val="ListParagraph"/>
        <w:numPr>
          <w:ilvl w:val="0"/>
          <w:numId w:val="18"/>
        </w:numPr>
        <w:spacing w:line="360" w:lineRule="auto"/>
        <w:jc w:val="both"/>
        <w:rPr>
          <w:b/>
          <w:bCs/>
        </w:rPr>
      </w:pPr>
      <w:r w:rsidRPr="00A07B1C">
        <w:rPr>
          <w:i/>
        </w:rPr>
        <w:t>Programme 2: Growth Path and Social Dialogue</w:t>
      </w:r>
      <w:r w:rsidRPr="00A07B1C">
        <w:t xml:space="preserve"> </w:t>
      </w:r>
      <w:r w:rsidR="00271709" w:rsidRPr="00A07B1C">
        <w:t xml:space="preserve">– Strengthens the economic development capacity of government and is responsible for aligning economic development policies aimed at broadening participation in the economy to create decent work opportunities. </w:t>
      </w:r>
    </w:p>
    <w:p w14:paraId="126BE781" w14:textId="77777777" w:rsidR="00D25F02" w:rsidRPr="00A07B1C" w:rsidRDefault="00E40757" w:rsidP="009A07D0">
      <w:pPr>
        <w:numPr>
          <w:ilvl w:val="0"/>
          <w:numId w:val="18"/>
        </w:numPr>
        <w:spacing w:line="360" w:lineRule="auto"/>
        <w:jc w:val="both"/>
        <w:rPr>
          <w:rFonts w:ascii="Times New Roman" w:hAnsi="Times New Roman"/>
          <w:color w:val="auto"/>
          <w:sz w:val="24"/>
          <w:szCs w:val="24"/>
        </w:rPr>
      </w:pPr>
      <w:r w:rsidRPr="00A07B1C">
        <w:rPr>
          <w:rFonts w:ascii="Times New Roman" w:hAnsi="Times New Roman"/>
          <w:i/>
          <w:color w:val="auto"/>
          <w:sz w:val="24"/>
          <w:szCs w:val="24"/>
        </w:rPr>
        <w:t>Programme 3: Investment, Competition and Trade</w:t>
      </w:r>
      <w:r w:rsidR="00AF2601" w:rsidRPr="00A07B1C">
        <w:rPr>
          <w:rFonts w:ascii="Times New Roman" w:hAnsi="Times New Roman"/>
          <w:color w:val="auto"/>
          <w:sz w:val="24"/>
          <w:szCs w:val="24"/>
        </w:rPr>
        <w:t xml:space="preserve"> </w:t>
      </w:r>
      <w:r w:rsidR="00D25F02" w:rsidRPr="00A07B1C">
        <w:rPr>
          <w:rFonts w:ascii="Times New Roman" w:hAnsi="Times New Roman"/>
          <w:color w:val="auto"/>
          <w:sz w:val="24"/>
          <w:szCs w:val="24"/>
        </w:rPr>
        <w:t>–</w:t>
      </w:r>
      <w:r w:rsidR="00AF2601" w:rsidRPr="00A07B1C">
        <w:rPr>
          <w:rFonts w:ascii="Times New Roman" w:hAnsi="Times New Roman"/>
          <w:color w:val="auto"/>
          <w:sz w:val="24"/>
          <w:szCs w:val="24"/>
        </w:rPr>
        <w:t xml:space="preserve"> </w:t>
      </w:r>
      <w:r w:rsidR="00D25F02" w:rsidRPr="00A07B1C">
        <w:rPr>
          <w:rFonts w:ascii="Times New Roman" w:hAnsi="Times New Roman"/>
          <w:color w:val="auto"/>
          <w:sz w:val="24"/>
          <w:szCs w:val="24"/>
        </w:rPr>
        <w:t>Coordinates infrastructure development</w:t>
      </w:r>
      <w:r w:rsidR="009A07D0" w:rsidRPr="00A07B1C">
        <w:rPr>
          <w:rFonts w:ascii="Times New Roman" w:hAnsi="Times New Roman"/>
          <w:sz w:val="24"/>
        </w:rPr>
        <w:t xml:space="preserve"> by</w:t>
      </w:r>
      <w:r w:rsidR="009A07D0" w:rsidRPr="00A07B1C">
        <w:rPr>
          <w:rFonts w:ascii="Times New Roman" w:hAnsi="Times New Roman"/>
          <w:color w:val="auto"/>
          <w:sz w:val="24"/>
          <w:szCs w:val="24"/>
        </w:rPr>
        <w:t xml:space="preserve"> providing regular reports on each strategic infrastructure project, unblocking specific projects, and providing secretariat support to the Presidential Infrastructure Coordinating Commission (PICC);</w:t>
      </w:r>
      <w:r w:rsidR="00D25F02" w:rsidRPr="00A07B1C">
        <w:rPr>
          <w:rFonts w:ascii="Times New Roman" w:hAnsi="Times New Roman"/>
          <w:color w:val="auto"/>
          <w:sz w:val="24"/>
          <w:szCs w:val="24"/>
        </w:rPr>
        <w:t xml:space="preserve"> provides oversight, and coordinates policy regarding identified development finance institutions and economic regulatory bodies</w:t>
      </w:r>
      <w:r w:rsidR="009A07D0" w:rsidRPr="00A07B1C">
        <w:rPr>
          <w:rFonts w:ascii="Times New Roman" w:hAnsi="Times New Roman"/>
          <w:color w:val="auto"/>
          <w:sz w:val="24"/>
          <w:szCs w:val="24"/>
        </w:rPr>
        <w:t xml:space="preserve"> in the areas of trade administration and competition</w:t>
      </w:r>
      <w:r w:rsidR="00D25F02" w:rsidRPr="00A07B1C">
        <w:rPr>
          <w:rFonts w:ascii="Times New Roman" w:hAnsi="Times New Roman"/>
          <w:color w:val="auto"/>
          <w:sz w:val="24"/>
          <w:szCs w:val="24"/>
        </w:rPr>
        <w:t xml:space="preserve">.   </w:t>
      </w:r>
    </w:p>
    <w:p w14:paraId="509D0D57" w14:textId="77777777" w:rsidR="004F3397" w:rsidRPr="00A07B1C" w:rsidRDefault="004F3397" w:rsidP="00E40757">
      <w:pPr>
        <w:spacing w:line="360" w:lineRule="auto"/>
        <w:jc w:val="both"/>
        <w:rPr>
          <w:rFonts w:ascii="Times New Roman" w:hAnsi="Times New Roman"/>
          <w:color w:val="auto"/>
          <w:sz w:val="24"/>
          <w:szCs w:val="24"/>
        </w:rPr>
      </w:pPr>
    </w:p>
    <w:p w14:paraId="34159567" w14:textId="77777777" w:rsidR="00AC54BA" w:rsidRPr="00A07B1C" w:rsidRDefault="005D02E8" w:rsidP="00E40757">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I</w:t>
      </w:r>
      <w:r w:rsidR="00AC54BA" w:rsidRPr="00A07B1C">
        <w:rPr>
          <w:rFonts w:ascii="Times New Roman" w:hAnsi="Times New Roman"/>
          <w:color w:val="auto"/>
          <w:sz w:val="24"/>
          <w:szCs w:val="24"/>
        </w:rPr>
        <w:t>t should be noted that</w:t>
      </w:r>
      <w:r w:rsidR="006970CD">
        <w:rPr>
          <w:rFonts w:ascii="Times New Roman" w:hAnsi="Times New Roman"/>
          <w:color w:val="auto"/>
          <w:sz w:val="24"/>
          <w:szCs w:val="24"/>
        </w:rPr>
        <w:t>, a</w:t>
      </w:r>
      <w:r w:rsidR="006970CD" w:rsidRPr="00A07B1C">
        <w:rPr>
          <w:rFonts w:ascii="Times New Roman" w:hAnsi="Times New Roman"/>
          <w:color w:val="auto"/>
          <w:sz w:val="24"/>
          <w:szCs w:val="24"/>
        </w:rPr>
        <w:t xml:space="preserve">s announced </w:t>
      </w:r>
      <w:r w:rsidR="006970CD">
        <w:rPr>
          <w:rFonts w:ascii="Times New Roman" w:hAnsi="Times New Roman"/>
          <w:color w:val="auto"/>
          <w:sz w:val="24"/>
          <w:szCs w:val="24"/>
        </w:rPr>
        <w:t>by the President,</w:t>
      </w:r>
      <w:r w:rsidR="00AC54BA" w:rsidRPr="00A07B1C">
        <w:rPr>
          <w:rFonts w:ascii="Times New Roman" w:hAnsi="Times New Roman"/>
          <w:color w:val="auto"/>
          <w:sz w:val="24"/>
          <w:szCs w:val="24"/>
        </w:rPr>
        <w:t xml:space="preserve"> the fourth strategic objective and the </w:t>
      </w:r>
      <w:r w:rsidR="00BF03A7" w:rsidRPr="00A07B1C">
        <w:rPr>
          <w:rFonts w:ascii="Times New Roman" w:hAnsi="Times New Roman"/>
          <w:color w:val="auto"/>
          <w:sz w:val="24"/>
          <w:szCs w:val="24"/>
        </w:rPr>
        <w:t xml:space="preserve">relevant </w:t>
      </w:r>
      <w:r w:rsidR="00AC54BA" w:rsidRPr="00A07B1C">
        <w:rPr>
          <w:rFonts w:ascii="Times New Roman" w:hAnsi="Times New Roman"/>
          <w:color w:val="auto"/>
          <w:sz w:val="24"/>
          <w:szCs w:val="24"/>
        </w:rPr>
        <w:t>programme functions related to infrastructure development</w:t>
      </w:r>
      <w:r w:rsidR="00BF03A7" w:rsidRPr="00A07B1C">
        <w:rPr>
          <w:rFonts w:ascii="Times New Roman" w:hAnsi="Times New Roman"/>
          <w:color w:val="auto"/>
          <w:sz w:val="24"/>
          <w:szCs w:val="24"/>
        </w:rPr>
        <w:t xml:space="preserve"> </w:t>
      </w:r>
      <w:r w:rsidR="00AB7FAB" w:rsidRPr="00A07B1C">
        <w:rPr>
          <w:rFonts w:ascii="Times New Roman" w:hAnsi="Times New Roman"/>
          <w:color w:val="auto"/>
          <w:sz w:val="24"/>
          <w:szCs w:val="24"/>
        </w:rPr>
        <w:t xml:space="preserve">are being </w:t>
      </w:r>
      <w:r w:rsidR="00AC54BA" w:rsidRPr="00A07B1C">
        <w:rPr>
          <w:rFonts w:ascii="Times New Roman" w:hAnsi="Times New Roman"/>
          <w:color w:val="auto"/>
          <w:sz w:val="24"/>
          <w:szCs w:val="24"/>
        </w:rPr>
        <w:t>transferred to the Department of Public Works and Infrastructure.</w:t>
      </w:r>
      <w:r w:rsidRPr="00A07B1C">
        <w:rPr>
          <w:rFonts w:ascii="Times New Roman" w:hAnsi="Times New Roman"/>
          <w:color w:val="auto"/>
          <w:sz w:val="24"/>
          <w:szCs w:val="24"/>
        </w:rPr>
        <w:t xml:space="preserve"> This process is aligned to the Department </w:t>
      </w:r>
      <w:r w:rsidRPr="00A07B1C">
        <w:rPr>
          <w:rFonts w:ascii="Times New Roman" w:hAnsi="Times New Roman"/>
          <w:color w:val="auto"/>
          <w:sz w:val="24"/>
          <w:szCs w:val="24"/>
        </w:rPr>
        <w:lastRenderedPageBreak/>
        <w:t>of Public Service and Administration’s schedule for the Macro Organisation of the State.</w:t>
      </w:r>
      <w:r w:rsidRPr="00A07B1C">
        <w:rPr>
          <w:rFonts w:ascii="Segoe UI" w:hAnsi="Segoe UI" w:cs="Segoe UI"/>
          <w:sz w:val="20"/>
          <w:szCs w:val="20"/>
        </w:rPr>
        <w:t xml:space="preserve"> </w:t>
      </w:r>
      <w:r w:rsidRPr="00A07B1C">
        <w:rPr>
          <w:rFonts w:ascii="Times New Roman" w:hAnsi="Times New Roman"/>
          <w:color w:val="auto"/>
          <w:sz w:val="24"/>
          <w:szCs w:val="24"/>
        </w:rPr>
        <w:t xml:space="preserve">However, these </w:t>
      </w:r>
      <w:r w:rsidR="00DD7C2A">
        <w:rPr>
          <w:rFonts w:ascii="Times New Roman" w:hAnsi="Times New Roman"/>
          <w:color w:val="auto"/>
          <w:sz w:val="24"/>
          <w:szCs w:val="24"/>
        </w:rPr>
        <w:t xml:space="preserve">form part of the </w:t>
      </w:r>
      <w:r w:rsidRPr="00A07B1C">
        <w:rPr>
          <w:rFonts w:ascii="Times New Roman" w:hAnsi="Times New Roman"/>
          <w:color w:val="auto"/>
          <w:sz w:val="24"/>
          <w:szCs w:val="24"/>
        </w:rPr>
        <w:t xml:space="preserve">budget vote </w:t>
      </w:r>
      <w:r w:rsidR="00DD7C2A">
        <w:rPr>
          <w:rFonts w:ascii="Times New Roman" w:hAnsi="Times New Roman"/>
          <w:color w:val="auto"/>
          <w:sz w:val="24"/>
          <w:szCs w:val="24"/>
        </w:rPr>
        <w:t xml:space="preserve">until it is </w:t>
      </w:r>
      <w:r w:rsidRPr="00A07B1C">
        <w:rPr>
          <w:rFonts w:ascii="Times New Roman" w:hAnsi="Times New Roman"/>
          <w:color w:val="auto"/>
          <w:sz w:val="24"/>
          <w:szCs w:val="24"/>
        </w:rPr>
        <w:t xml:space="preserve">officially </w:t>
      </w:r>
      <w:r w:rsidR="00DD7C2A">
        <w:rPr>
          <w:rFonts w:ascii="Times New Roman" w:hAnsi="Times New Roman"/>
          <w:color w:val="auto"/>
          <w:sz w:val="24"/>
          <w:szCs w:val="24"/>
        </w:rPr>
        <w:t>allocated to the Ministry of Public Works and Infrastructure</w:t>
      </w:r>
      <w:r w:rsidRPr="00A07B1C">
        <w:rPr>
          <w:rFonts w:ascii="Times New Roman" w:hAnsi="Times New Roman"/>
          <w:color w:val="auto"/>
          <w:sz w:val="24"/>
          <w:szCs w:val="24"/>
        </w:rPr>
        <w:t>.</w:t>
      </w:r>
    </w:p>
    <w:p w14:paraId="3B115F3E" w14:textId="77777777" w:rsidR="00AC54BA" w:rsidRPr="00A07B1C" w:rsidRDefault="00AC54BA" w:rsidP="00E40757">
      <w:pPr>
        <w:spacing w:line="360" w:lineRule="auto"/>
        <w:jc w:val="both"/>
        <w:rPr>
          <w:rFonts w:ascii="Times New Roman" w:hAnsi="Times New Roman"/>
          <w:color w:val="auto"/>
          <w:sz w:val="24"/>
          <w:szCs w:val="24"/>
        </w:rPr>
      </w:pPr>
    </w:p>
    <w:p w14:paraId="247FAAA9" w14:textId="77777777" w:rsidR="00B07008" w:rsidRPr="00A07B1C" w:rsidRDefault="00B07008" w:rsidP="00B07008">
      <w:pPr>
        <w:numPr>
          <w:ilvl w:val="1"/>
          <w:numId w:val="6"/>
        </w:numPr>
        <w:spacing w:line="360" w:lineRule="auto"/>
        <w:jc w:val="both"/>
        <w:rPr>
          <w:rFonts w:ascii="Times New Roman" w:hAnsi="Times New Roman"/>
          <w:b/>
          <w:sz w:val="24"/>
          <w:szCs w:val="24"/>
        </w:rPr>
      </w:pPr>
      <w:r w:rsidRPr="00A07B1C">
        <w:rPr>
          <w:rFonts w:ascii="Times New Roman" w:hAnsi="Times New Roman"/>
          <w:b/>
          <w:sz w:val="24"/>
          <w:szCs w:val="24"/>
        </w:rPr>
        <w:t>Budget</w:t>
      </w:r>
      <w:r w:rsidR="00414F56" w:rsidRPr="00A07B1C">
        <w:rPr>
          <w:rFonts w:ascii="Times New Roman" w:hAnsi="Times New Roman"/>
          <w:b/>
          <w:sz w:val="24"/>
          <w:szCs w:val="24"/>
        </w:rPr>
        <w:t xml:space="preserve"> Vote 25:</w:t>
      </w:r>
      <w:r w:rsidRPr="00A07B1C">
        <w:rPr>
          <w:rFonts w:ascii="Times New Roman" w:hAnsi="Times New Roman"/>
          <w:b/>
          <w:sz w:val="24"/>
          <w:szCs w:val="24"/>
        </w:rPr>
        <w:t xml:space="preserve"> </w:t>
      </w:r>
      <w:r w:rsidR="00C7541E" w:rsidRPr="00A07B1C">
        <w:rPr>
          <w:rFonts w:ascii="Times New Roman" w:hAnsi="Times New Roman"/>
          <w:b/>
          <w:sz w:val="24"/>
          <w:szCs w:val="24"/>
        </w:rPr>
        <w:t>A</w:t>
      </w:r>
      <w:r w:rsidRPr="00A07B1C">
        <w:rPr>
          <w:rFonts w:ascii="Times New Roman" w:hAnsi="Times New Roman"/>
          <w:b/>
          <w:sz w:val="24"/>
          <w:szCs w:val="24"/>
        </w:rPr>
        <w:t xml:space="preserve">nalysis </w:t>
      </w:r>
      <w:r w:rsidR="00C7541E" w:rsidRPr="00A07B1C">
        <w:rPr>
          <w:rFonts w:ascii="Times New Roman" w:hAnsi="Times New Roman"/>
          <w:b/>
          <w:sz w:val="24"/>
          <w:szCs w:val="24"/>
        </w:rPr>
        <w:t xml:space="preserve">of </w:t>
      </w:r>
      <w:r w:rsidRPr="00A07B1C">
        <w:rPr>
          <w:rFonts w:ascii="Times New Roman" w:hAnsi="Times New Roman"/>
          <w:b/>
          <w:sz w:val="24"/>
          <w:szCs w:val="24"/>
        </w:rPr>
        <w:t>the 2019/20 – 2021/22 financial period</w:t>
      </w:r>
    </w:p>
    <w:p w14:paraId="50C2E6C4" w14:textId="77777777" w:rsidR="00E40757" w:rsidRPr="00A07B1C" w:rsidRDefault="00E40757" w:rsidP="00E40757">
      <w:pPr>
        <w:spacing w:line="360" w:lineRule="auto"/>
        <w:jc w:val="both"/>
        <w:rPr>
          <w:rFonts w:ascii="Times New Roman" w:hAnsi="Times New Roman"/>
          <w:color w:val="auto"/>
          <w:sz w:val="24"/>
          <w:szCs w:val="24"/>
        </w:rPr>
      </w:pPr>
    </w:p>
    <w:p w14:paraId="601BD115" w14:textId="77777777" w:rsidR="0054226E" w:rsidRPr="00A07B1C" w:rsidRDefault="00E602FC" w:rsidP="004918A2">
      <w:pPr>
        <w:spacing w:line="360" w:lineRule="auto"/>
        <w:jc w:val="both"/>
        <w:rPr>
          <w:rFonts w:ascii="Times New Roman" w:hAnsi="Times New Roman"/>
          <w:color w:val="auto"/>
          <w:sz w:val="24"/>
          <w:szCs w:val="24"/>
        </w:rPr>
      </w:pPr>
      <w:r>
        <w:rPr>
          <w:rFonts w:ascii="Times New Roman" w:hAnsi="Times New Roman"/>
          <w:color w:val="auto"/>
          <w:sz w:val="24"/>
          <w:szCs w:val="24"/>
        </w:rPr>
        <w:t>F</w:t>
      </w:r>
      <w:r w:rsidRPr="00A07B1C">
        <w:rPr>
          <w:rFonts w:ascii="Times New Roman" w:hAnsi="Times New Roman"/>
          <w:color w:val="auto"/>
          <w:sz w:val="24"/>
          <w:szCs w:val="24"/>
        </w:rPr>
        <w:t>or the 2019/20 financial year</w:t>
      </w:r>
      <w:r>
        <w:rPr>
          <w:rFonts w:ascii="Times New Roman" w:hAnsi="Times New Roman"/>
          <w:color w:val="auto"/>
          <w:sz w:val="24"/>
          <w:szCs w:val="24"/>
        </w:rPr>
        <w:t>,</w:t>
      </w:r>
      <w:r w:rsidRPr="00A07B1C">
        <w:rPr>
          <w:rFonts w:ascii="Times New Roman" w:hAnsi="Times New Roman"/>
          <w:color w:val="auto"/>
          <w:sz w:val="24"/>
          <w:szCs w:val="24"/>
        </w:rPr>
        <w:t xml:space="preserve"> </w:t>
      </w:r>
      <w:r>
        <w:rPr>
          <w:rFonts w:ascii="Times New Roman" w:hAnsi="Times New Roman"/>
          <w:color w:val="auto"/>
          <w:sz w:val="24"/>
          <w:szCs w:val="24"/>
        </w:rPr>
        <w:t>t</w:t>
      </w:r>
      <w:r w:rsidR="0054226E" w:rsidRPr="00A07B1C">
        <w:rPr>
          <w:rFonts w:ascii="Times New Roman" w:hAnsi="Times New Roman"/>
          <w:color w:val="auto"/>
          <w:sz w:val="24"/>
          <w:szCs w:val="24"/>
        </w:rPr>
        <w:t>he EDD has been allocated a budget of R1.05 billion</w:t>
      </w:r>
      <w:r w:rsidR="0054226E" w:rsidRPr="00A07B1C">
        <w:rPr>
          <w:rStyle w:val="FootnoteReference"/>
          <w:rFonts w:ascii="Times New Roman" w:hAnsi="Times New Roman"/>
          <w:color w:val="auto"/>
          <w:sz w:val="24"/>
          <w:szCs w:val="24"/>
        </w:rPr>
        <w:footnoteReference w:id="23"/>
      </w:r>
      <w:r w:rsidR="0054226E" w:rsidRPr="00A07B1C">
        <w:rPr>
          <w:rFonts w:ascii="Times New Roman" w:hAnsi="Times New Roman"/>
          <w:color w:val="auto"/>
          <w:sz w:val="24"/>
          <w:szCs w:val="24"/>
        </w:rPr>
        <w:t>. While this is similar to the adjusted appropriation for the 2018/19 financial year, the 2019/</w:t>
      </w:r>
      <w:r w:rsidR="009A07D0" w:rsidRPr="00A07B1C">
        <w:rPr>
          <w:rFonts w:ascii="Times New Roman" w:hAnsi="Times New Roman"/>
          <w:color w:val="auto"/>
          <w:sz w:val="24"/>
          <w:szCs w:val="24"/>
        </w:rPr>
        <w:t>20</w:t>
      </w:r>
      <w:r w:rsidR="0054226E" w:rsidRPr="00A07B1C">
        <w:rPr>
          <w:rFonts w:ascii="Times New Roman" w:hAnsi="Times New Roman"/>
          <w:color w:val="auto"/>
          <w:sz w:val="24"/>
          <w:szCs w:val="24"/>
        </w:rPr>
        <w:t xml:space="preserve"> budget allocation decreased</w:t>
      </w:r>
      <w:r w:rsidR="00414F56" w:rsidRPr="00A07B1C">
        <w:rPr>
          <w:rFonts w:ascii="Times New Roman" w:hAnsi="Times New Roman"/>
          <w:color w:val="auto"/>
          <w:sz w:val="24"/>
          <w:szCs w:val="24"/>
        </w:rPr>
        <w:t xml:space="preserve"> by 7</w:t>
      </w:r>
      <w:r w:rsidR="004918A2" w:rsidRPr="00A07B1C">
        <w:rPr>
          <w:rFonts w:ascii="Times New Roman" w:hAnsi="Times New Roman"/>
          <w:color w:val="auto"/>
          <w:sz w:val="24"/>
          <w:szCs w:val="24"/>
        </w:rPr>
        <w:t xml:space="preserve"> percent</w:t>
      </w:r>
      <w:r w:rsidR="0054226E" w:rsidRPr="00A07B1C">
        <w:rPr>
          <w:rFonts w:ascii="Times New Roman" w:hAnsi="Times New Roman"/>
          <w:color w:val="auto"/>
          <w:sz w:val="24"/>
          <w:szCs w:val="24"/>
        </w:rPr>
        <w:t xml:space="preserve"> in real terms</w:t>
      </w:r>
      <w:r w:rsidR="0054226E" w:rsidRPr="00A07B1C">
        <w:rPr>
          <w:rStyle w:val="FootnoteReference"/>
          <w:rFonts w:ascii="Times New Roman" w:hAnsi="Times New Roman"/>
          <w:color w:val="auto"/>
          <w:sz w:val="24"/>
          <w:szCs w:val="24"/>
        </w:rPr>
        <w:footnoteReference w:id="24"/>
      </w:r>
      <w:r w:rsidR="0054226E" w:rsidRPr="00A07B1C">
        <w:rPr>
          <w:rFonts w:ascii="Times New Roman" w:hAnsi="Times New Roman"/>
          <w:color w:val="auto"/>
          <w:sz w:val="24"/>
          <w:szCs w:val="24"/>
        </w:rPr>
        <w:t xml:space="preserve">. </w:t>
      </w:r>
      <w:r w:rsidR="004918A2" w:rsidRPr="00A07B1C">
        <w:rPr>
          <w:rFonts w:ascii="Times New Roman" w:hAnsi="Times New Roman"/>
          <w:color w:val="auto"/>
          <w:sz w:val="24"/>
          <w:szCs w:val="24"/>
        </w:rPr>
        <w:t>Given the expenditure estimates, the budget is expected to increase to R1,095 billion and R1,19 billion in the 2020/21 and 2021/22 financial years respectively.</w:t>
      </w:r>
    </w:p>
    <w:p w14:paraId="2630F157" w14:textId="77777777" w:rsidR="0054226E" w:rsidRPr="00A07B1C" w:rsidRDefault="0054226E" w:rsidP="0054226E">
      <w:pPr>
        <w:spacing w:line="360" w:lineRule="auto"/>
        <w:jc w:val="both"/>
        <w:rPr>
          <w:rFonts w:ascii="Times New Roman" w:hAnsi="Times New Roman"/>
          <w:color w:val="auto"/>
          <w:sz w:val="24"/>
          <w:szCs w:val="24"/>
        </w:rPr>
      </w:pPr>
    </w:p>
    <w:p w14:paraId="3EA760DC" w14:textId="77777777" w:rsidR="00E40757" w:rsidRPr="00A07B1C" w:rsidRDefault="004274F4" w:rsidP="00E40757">
      <w:pPr>
        <w:spacing w:line="360" w:lineRule="auto"/>
        <w:jc w:val="both"/>
        <w:rPr>
          <w:rFonts w:ascii="Times New Roman" w:hAnsi="Times New Roman"/>
          <w:b/>
          <w:color w:val="auto"/>
          <w:sz w:val="24"/>
          <w:szCs w:val="24"/>
        </w:rPr>
      </w:pPr>
      <w:r w:rsidRPr="00A07B1C">
        <w:rPr>
          <w:rFonts w:ascii="Times New Roman" w:hAnsi="Times New Roman"/>
          <w:b/>
          <w:color w:val="auto"/>
          <w:sz w:val="24"/>
          <w:szCs w:val="24"/>
        </w:rPr>
        <w:t>Table 2</w:t>
      </w:r>
      <w:r w:rsidR="00E40757" w:rsidRPr="00A07B1C">
        <w:rPr>
          <w:rFonts w:ascii="Times New Roman" w:hAnsi="Times New Roman"/>
          <w:b/>
          <w:color w:val="auto"/>
          <w:sz w:val="24"/>
          <w:szCs w:val="24"/>
        </w:rPr>
        <w:t xml:space="preserve">: Budget </w:t>
      </w:r>
      <w:r w:rsidR="00414F56" w:rsidRPr="00A07B1C">
        <w:rPr>
          <w:rFonts w:ascii="Times New Roman" w:hAnsi="Times New Roman"/>
          <w:b/>
          <w:color w:val="auto"/>
          <w:sz w:val="24"/>
          <w:szCs w:val="24"/>
        </w:rPr>
        <w:t>allocation by programme for the</w:t>
      </w:r>
      <w:r w:rsidR="009A07D0" w:rsidRPr="00A07B1C">
        <w:rPr>
          <w:rFonts w:ascii="Times New Roman" w:hAnsi="Times New Roman"/>
          <w:b/>
          <w:color w:val="auto"/>
          <w:sz w:val="24"/>
          <w:szCs w:val="24"/>
        </w:rPr>
        <w:t xml:space="preserve"> 2018/19 and 2019/20 financial years</w:t>
      </w:r>
      <w:r w:rsidR="00E40757" w:rsidRPr="00A07B1C">
        <w:rPr>
          <w:rFonts w:ascii="Times New Roman" w:hAnsi="Times New Roman"/>
          <w:b/>
          <w:color w:val="auto"/>
          <w:sz w:val="24"/>
          <w:szCs w:val="24"/>
        </w:rPr>
        <w:t xml:space="preserve"> </w:t>
      </w:r>
    </w:p>
    <w:tbl>
      <w:tblPr>
        <w:tblStyle w:val="TableGrid"/>
        <w:tblW w:w="9330" w:type="dxa"/>
        <w:tblLayout w:type="fixed"/>
        <w:tblLook w:val="04A0" w:firstRow="1" w:lastRow="0" w:firstColumn="1" w:lastColumn="0" w:noHBand="0" w:noVBand="1"/>
      </w:tblPr>
      <w:tblGrid>
        <w:gridCol w:w="3397"/>
        <w:gridCol w:w="1701"/>
        <w:gridCol w:w="1418"/>
        <w:gridCol w:w="1417"/>
        <w:gridCol w:w="1397"/>
      </w:tblGrid>
      <w:tr w:rsidR="00741DE9" w:rsidRPr="00A07B1C" w14:paraId="1A73C975" w14:textId="77777777" w:rsidTr="00C85EA8">
        <w:trPr>
          <w:trHeight w:val="1181"/>
        </w:trPr>
        <w:tc>
          <w:tcPr>
            <w:tcW w:w="339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63BB1FD" w14:textId="77777777" w:rsidR="00741DE9" w:rsidRPr="00A07B1C" w:rsidRDefault="00741DE9" w:rsidP="00741DE9">
            <w:pPr>
              <w:spacing w:line="280" w:lineRule="exact"/>
              <w:jc w:val="center"/>
              <w:rPr>
                <w:rFonts w:ascii="Times New Roman" w:hAnsi="Times New Roman"/>
                <w:b/>
                <w:bCs/>
                <w:color w:val="auto"/>
                <w:sz w:val="22"/>
                <w:szCs w:val="24"/>
              </w:rPr>
            </w:pPr>
            <w:r w:rsidRPr="00A07B1C">
              <w:rPr>
                <w:rFonts w:ascii="Times New Roman" w:hAnsi="Times New Roman"/>
                <w:b/>
                <w:bCs/>
                <w:color w:val="auto"/>
                <w:sz w:val="22"/>
                <w:szCs w:val="24"/>
              </w:rPr>
              <w:t>Programme</w:t>
            </w:r>
          </w:p>
          <w:p w14:paraId="2B27F720" w14:textId="77777777" w:rsidR="00741DE9" w:rsidRPr="00A07B1C" w:rsidRDefault="00741DE9" w:rsidP="00741DE9">
            <w:pPr>
              <w:spacing w:line="280" w:lineRule="exact"/>
              <w:jc w:val="center"/>
              <w:rPr>
                <w:rFonts w:ascii="Times New Roman" w:hAnsi="Times New Roman"/>
                <w:b/>
                <w:bCs/>
                <w:color w:val="auto"/>
                <w:sz w:val="22"/>
                <w:szCs w:val="24"/>
              </w:rPr>
            </w:pPr>
            <w:r w:rsidRPr="00A07B1C">
              <w:rPr>
                <w:rFonts w:ascii="Times New Roman" w:hAnsi="Times New Roman"/>
                <w:b/>
                <w:bCs/>
                <w:color w:val="auto"/>
                <w:sz w:val="22"/>
                <w:szCs w:val="24"/>
              </w:rPr>
              <w:t>(R million)</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374053A7" w14:textId="77777777" w:rsidR="00741DE9" w:rsidRPr="00A07B1C" w:rsidRDefault="00741DE9" w:rsidP="00741DE9">
            <w:pPr>
              <w:spacing w:line="280" w:lineRule="exact"/>
              <w:jc w:val="center"/>
              <w:rPr>
                <w:rFonts w:ascii="Times New Roman" w:hAnsi="Times New Roman"/>
                <w:b/>
                <w:bCs/>
                <w:color w:val="auto"/>
                <w:sz w:val="22"/>
                <w:szCs w:val="24"/>
              </w:rPr>
            </w:pPr>
            <w:r w:rsidRPr="00A07B1C">
              <w:rPr>
                <w:rFonts w:ascii="Times New Roman" w:hAnsi="Times New Roman"/>
                <w:b/>
                <w:bCs/>
                <w:color w:val="auto"/>
                <w:sz w:val="22"/>
                <w:szCs w:val="24"/>
              </w:rPr>
              <w:t>Adjusted appropriation</w:t>
            </w:r>
          </w:p>
          <w:p w14:paraId="39D5FD05" w14:textId="77777777" w:rsidR="00741DE9" w:rsidRPr="00A07B1C" w:rsidRDefault="00741DE9" w:rsidP="00741DE9">
            <w:pPr>
              <w:spacing w:line="280" w:lineRule="exact"/>
              <w:jc w:val="center"/>
              <w:rPr>
                <w:rFonts w:ascii="Times New Roman" w:hAnsi="Times New Roman"/>
                <w:b/>
                <w:bCs/>
                <w:color w:val="auto"/>
                <w:sz w:val="22"/>
                <w:szCs w:val="24"/>
              </w:rPr>
            </w:pPr>
            <w:r w:rsidRPr="00A07B1C">
              <w:rPr>
                <w:rFonts w:ascii="Times New Roman" w:hAnsi="Times New Roman"/>
                <w:b/>
                <w:bCs/>
                <w:color w:val="auto"/>
                <w:sz w:val="22"/>
                <w:szCs w:val="24"/>
              </w:rPr>
              <w:t>2018/19</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14:paraId="61586A01" w14:textId="77777777" w:rsidR="00741DE9" w:rsidRPr="00A07B1C" w:rsidRDefault="00741DE9" w:rsidP="00741DE9">
            <w:pPr>
              <w:spacing w:line="280" w:lineRule="exact"/>
              <w:jc w:val="center"/>
              <w:rPr>
                <w:rFonts w:ascii="Times New Roman" w:hAnsi="Times New Roman"/>
                <w:b/>
                <w:bCs/>
                <w:color w:val="auto"/>
                <w:sz w:val="22"/>
                <w:szCs w:val="24"/>
              </w:rPr>
            </w:pPr>
            <w:r w:rsidRPr="00A07B1C">
              <w:rPr>
                <w:rFonts w:ascii="Times New Roman" w:hAnsi="Times New Roman"/>
                <w:b/>
                <w:bCs/>
                <w:color w:val="auto"/>
                <w:sz w:val="22"/>
                <w:szCs w:val="24"/>
              </w:rPr>
              <w:t>Budget</w:t>
            </w:r>
          </w:p>
          <w:p w14:paraId="17E78341" w14:textId="77777777" w:rsidR="00741DE9" w:rsidRPr="00A07B1C" w:rsidRDefault="00741DE9" w:rsidP="00741DE9">
            <w:pPr>
              <w:spacing w:line="280" w:lineRule="exact"/>
              <w:jc w:val="center"/>
              <w:rPr>
                <w:rFonts w:ascii="Times New Roman" w:hAnsi="Times New Roman"/>
                <w:b/>
                <w:bCs/>
                <w:color w:val="auto"/>
                <w:sz w:val="22"/>
                <w:szCs w:val="24"/>
              </w:rPr>
            </w:pPr>
            <w:r w:rsidRPr="00A07B1C">
              <w:rPr>
                <w:rFonts w:ascii="Times New Roman" w:hAnsi="Times New Roman"/>
                <w:b/>
                <w:bCs/>
                <w:color w:val="auto"/>
                <w:sz w:val="22"/>
                <w:szCs w:val="24"/>
              </w:rPr>
              <w:t>2019/20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314C1" w14:textId="77777777" w:rsidR="00741DE9" w:rsidRPr="00A07B1C" w:rsidRDefault="00741DE9" w:rsidP="00741DE9">
            <w:pPr>
              <w:spacing w:line="280" w:lineRule="exact"/>
              <w:jc w:val="center"/>
              <w:rPr>
                <w:rFonts w:ascii="Times New Roman" w:hAnsi="Times New Roman"/>
                <w:b/>
                <w:bCs/>
                <w:color w:val="auto"/>
                <w:sz w:val="22"/>
                <w:szCs w:val="24"/>
              </w:rPr>
            </w:pPr>
            <w:r w:rsidRPr="00A07B1C">
              <w:rPr>
                <w:rFonts w:ascii="Times New Roman" w:hAnsi="Times New Roman"/>
                <w:b/>
                <w:bCs/>
                <w:color w:val="auto"/>
                <w:sz w:val="22"/>
                <w:szCs w:val="24"/>
              </w:rPr>
              <w:t>Nominal Percent</w:t>
            </w:r>
            <w:r w:rsidR="000426E7" w:rsidRPr="00A07B1C">
              <w:rPr>
                <w:rFonts w:ascii="Times New Roman" w:hAnsi="Times New Roman"/>
                <w:b/>
                <w:bCs/>
                <w:color w:val="auto"/>
                <w:sz w:val="22"/>
                <w:szCs w:val="24"/>
              </w:rPr>
              <w:t>age</w:t>
            </w:r>
            <w:r w:rsidRPr="00A07B1C">
              <w:rPr>
                <w:rFonts w:ascii="Times New Roman" w:hAnsi="Times New Roman"/>
                <w:b/>
                <w:bCs/>
                <w:color w:val="auto"/>
                <w:sz w:val="22"/>
                <w:szCs w:val="24"/>
              </w:rPr>
              <w:t xml:space="preserve"> change in 2019/20</w:t>
            </w:r>
          </w:p>
        </w:tc>
        <w:tc>
          <w:tcPr>
            <w:tcW w:w="1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FF62C" w14:textId="77777777" w:rsidR="00741DE9" w:rsidRPr="00A07B1C" w:rsidRDefault="00741DE9" w:rsidP="00741DE9">
            <w:pPr>
              <w:spacing w:line="280" w:lineRule="exact"/>
              <w:jc w:val="center"/>
              <w:rPr>
                <w:rFonts w:ascii="Times New Roman" w:hAnsi="Times New Roman"/>
                <w:b/>
                <w:bCs/>
                <w:color w:val="auto"/>
                <w:sz w:val="22"/>
                <w:szCs w:val="24"/>
              </w:rPr>
            </w:pPr>
            <w:r w:rsidRPr="00A07B1C">
              <w:rPr>
                <w:rFonts w:ascii="Times New Roman" w:hAnsi="Times New Roman"/>
                <w:b/>
                <w:bCs/>
                <w:color w:val="auto"/>
                <w:sz w:val="22"/>
                <w:szCs w:val="24"/>
              </w:rPr>
              <w:t>Real Percent</w:t>
            </w:r>
            <w:r w:rsidR="000426E7" w:rsidRPr="00A07B1C">
              <w:rPr>
                <w:rFonts w:ascii="Times New Roman" w:hAnsi="Times New Roman"/>
                <w:b/>
                <w:bCs/>
                <w:color w:val="auto"/>
                <w:sz w:val="22"/>
                <w:szCs w:val="24"/>
              </w:rPr>
              <w:t>age</w:t>
            </w:r>
            <w:r w:rsidRPr="00A07B1C">
              <w:rPr>
                <w:rFonts w:ascii="Times New Roman" w:hAnsi="Times New Roman"/>
                <w:b/>
                <w:bCs/>
                <w:color w:val="auto"/>
                <w:sz w:val="22"/>
                <w:szCs w:val="24"/>
              </w:rPr>
              <w:t xml:space="preserve"> change</w:t>
            </w:r>
            <w:r w:rsidR="0054226E" w:rsidRPr="00A07B1C">
              <w:rPr>
                <w:rStyle w:val="FootnoteReference"/>
                <w:rFonts w:ascii="Times New Roman" w:hAnsi="Times New Roman"/>
                <w:b/>
                <w:bCs/>
                <w:color w:val="auto"/>
                <w:sz w:val="22"/>
                <w:szCs w:val="24"/>
              </w:rPr>
              <w:footnoteReference w:id="25"/>
            </w:r>
            <w:r w:rsidRPr="00A07B1C">
              <w:rPr>
                <w:rFonts w:ascii="Times New Roman" w:hAnsi="Times New Roman"/>
                <w:b/>
                <w:bCs/>
                <w:color w:val="auto"/>
                <w:sz w:val="22"/>
                <w:szCs w:val="24"/>
              </w:rPr>
              <w:t xml:space="preserve"> in 2019/20</w:t>
            </w:r>
          </w:p>
        </w:tc>
      </w:tr>
      <w:tr w:rsidR="00741DE9" w:rsidRPr="00A07B1C" w14:paraId="18BEB677" w14:textId="77777777" w:rsidTr="00C85EA8">
        <w:trPr>
          <w:trHeight w:val="301"/>
        </w:trPr>
        <w:tc>
          <w:tcPr>
            <w:tcW w:w="3397" w:type="dxa"/>
            <w:tcBorders>
              <w:top w:val="single" w:sz="4" w:space="0" w:color="auto"/>
            </w:tcBorders>
            <w:noWrap/>
            <w:vAlign w:val="center"/>
            <w:hideMark/>
          </w:tcPr>
          <w:p w14:paraId="67044E51" w14:textId="77777777" w:rsidR="00741DE9" w:rsidRPr="00A07B1C" w:rsidRDefault="00741DE9" w:rsidP="0054226E">
            <w:pPr>
              <w:spacing w:line="280" w:lineRule="exact"/>
              <w:rPr>
                <w:rFonts w:ascii="Times New Roman" w:hAnsi="Times New Roman"/>
                <w:color w:val="auto"/>
                <w:sz w:val="22"/>
                <w:szCs w:val="24"/>
              </w:rPr>
            </w:pPr>
            <w:r w:rsidRPr="00A07B1C">
              <w:rPr>
                <w:rFonts w:ascii="Times New Roman" w:hAnsi="Times New Roman"/>
                <w:color w:val="auto"/>
                <w:sz w:val="22"/>
                <w:szCs w:val="24"/>
              </w:rPr>
              <w:t>Programme 1:</w:t>
            </w:r>
            <w:r w:rsidRPr="00A07B1C">
              <w:rPr>
                <w:rFonts w:ascii="Times New Roman" w:hAnsi="Times New Roman"/>
                <w:b/>
                <w:color w:val="auto"/>
                <w:sz w:val="22"/>
                <w:szCs w:val="24"/>
              </w:rPr>
              <w:t xml:space="preserve"> </w:t>
            </w:r>
            <w:r w:rsidRPr="00A07B1C">
              <w:rPr>
                <w:rFonts w:ascii="Times New Roman" w:hAnsi="Times New Roman"/>
                <w:color w:val="auto"/>
                <w:sz w:val="22"/>
                <w:szCs w:val="24"/>
              </w:rPr>
              <w:t>Administration</w:t>
            </w:r>
          </w:p>
        </w:tc>
        <w:tc>
          <w:tcPr>
            <w:tcW w:w="1701" w:type="dxa"/>
            <w:tcBorders>
              <w:top w:val="single" w:sz="4" w:space="0" w:color="auto"/>
            </w:tcBorders>
            <w:noWrap/>
            <w:hideMark/>
          </w:tcPr>
          <w:p w14:paraId="2B3D57D6" w14:textId="77777777" w:rsidR="00741DE9" w:rsidRPr="00A07B1C" w:rsidRDefault="004C5BC9" w:rsidP="00741DE9">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86,</w:t>
            </w:r>
            <w:r w:rsidR="00741DE9" w:rsidRPr="00A07B1C">
              <w:rPr>
                <w:rFonts w:ascii="Times New Roman" w:hAnsi="Times New Roman"/>
                <w:color w:val="auto"/>
                <w:sz w:val="22"/>
                <w:szCs w:val="24"/>
              </w:rPr>
              <w:t>4</w:t>
            </w:r>
          </w:p>
        </w:tc>
        <w:tc>
          <w:tcPr>
            <w:tcW w:w="1418" w:type="dxa"/>
            <w:tcBorders>
              <w:top w:val="single" w:sz="4" w:space="0" w:color="auto"/>
            </w:tcBorders>
            <w:noWrap/>
            <w:hideMark/>
          </w:tcPr>
          <w:p w14:paraId="6B5F817C" w14:textId="77777777" w:rsidR="00741DE9" w:rsidRPr="00A07B1C" w:rsidRDefault="004C5BC9" w:rsidP="00741DE9">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90,</w:t>
            </w:r>
            <w:r w:rsidR="00741DE9" w:rsidRPr="00A07B1C">
              <w:rPr>
                <w:rFonts w:ascii="Times New Roman" w:hAnsi="Times New Roman"/>
                <w:color w:val="auto"/>
                <w:sz w:val="22"/>
                <w:szCs w:val="24"/>
              </w:rPr>
              <w:t>3</w:t>
            </w:r>
          </w:p>
        </w:tc>
        <w:tc>
          <w:tcPr>
            <w:tcW w:w="1417" w:type="dxa"/>
            <w:tcBorders>
              <w:top w:val="single" w:sz="4" w:space="0" w:color="auto"/>
            </w:tcBorders>
            <w:noWrap/>
            <w:hideMark/>
          </w:tcPr>
          <w:p w14:paraId="49F75C98" w14:textId="77777777" w:rsidR="00741DE9" w:rsidRPr="00A07B1C" w:rsidRDefault="004C5BC9" w:rsidP="002E1878">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4,</w:t>
            </w:r>
            <w:r w:rsidR="002E1878" w:rsidRPr="00A07B1C">
              <w:rPr>
                <w:rFonts w:ascii="Times New Roman" w:hAnsi="Times New Roman"/>
                <w:color w:val="auto"/>
                <w:sz w:val="22"/>
                <w:szCs w:val="24"/>
              </w:rPr>
              <w:t>51%</w:t>
            </w:r>
          </w:p>
        </w:tc>
        <w:tc>
          <w:tcPr>
            <w:tcW w:w="1397" w:type="dxa"/>
            <w:tcBorders>
              <w:top w:val="single" w:sz="4" w:space="0" w:color="auto"/>
            </w:tcBorders>
            <w:noWrap/>
            <w:hideMark/>
          </w:tcPr>
          <w:p w14:paraId="31A81873" w14:textId="77777777" w:rsidR="00741DE9" w:rsidRPr="00A07B1C" w:rsidRDefault="004C5BC9" w:rsidP="002E1878">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- 0,</w:t>
            </w:r>
            <w:r w:rsidR="00741DE9" w:rsidRPr="00A07B1C">
              <w:rPr>
                <w:rFonts w:ascii="Times New Roman" w:hAnsi="Times New Roman"/>
                <w:color w:val="auto"/>
                <w:sz w:val="22"/>
                <w:szCs w:val="24"/>
              </w:rPr>
              <w:t>65</w:t>
            </w:r>
            <w:r w:rsidR="002E1878" w:rsidRPr="00A07B1C">
              <w:rPr>
                <w:rFonts w:ascii="Times New Roman" w:hAnsi="Times New Roman"/>
                <w:color w:val="auto"/>
                <w:sz w:val="22"/>
                <w:szCs w:val="24"/>
              </w:rPr>
              <w:t>%</w:t>
            </w:r>
          </w:p>
        </w:tc>
      </w:tr>
      <w:tr w:rsidR="00741DE9" w:rsidRPr="00A07B1C" w14:paraId="488F8D06" w14:textId="77777777" w:rsidTr="00C85EA8">
        <w:trPr>
          <w:trHeight w:val="301"/>
        </w:trPr>
        <w:tc>
          <w:tcPr>
            <w:tcW w:w="3397" w:type="dxa"/>
            <w:tcBorders>
              <w:bottom w:val="single" w:sz="4" w:space="0" w:color="auto"/>
            </w:tcBorders>
            <w:noWrap/>
            <w:vAlign w:val="center"/>
            <w:hideMark/>
          </w:tcPr>
          <w:p w14:paraId="676AC008" w14:textId="77777777" w:rsidR="00741DE9" w:rsidRPr="00A07B1C" w:rsidRDefault="00741DE9" w:rsidP="0054226E">
            <w:pPr>
              <w:spacing w:line="280" w:lineRule="exact"/>
              <w:rPr>
                <w:rFonts w:ascii="Times New Roman" w:hAnsi="Times New Roman"/>
                <w:color w:val="auto"/>
                <w:sz w:val="22"/>
                <w:szCs w:val="24"/>
              </w:rPr>
            </w:pPr>
            <w:r w:rsidRPr="00A07B1C">
              <w:rPr>
                <w:rFonts w:ascii="Times New Roman" w:hAnsi="Times New Roman"/>
                <w:color w:val="auto"/>
                <w:sz w:val="22"/>
                <w:szCs w:val="24"/>
              </w:rPr>
              <w:t>Programme 2: Growth Path and Social Dialogue</w:t>
            </w:r>
          </w:p>
        </w:tc>
        <w:tc>
          <w:tcPr>
            <w:tcW w:w="1701" w:type="dxa"/>
            <w:tcBorders>
              <w:bottom w:val="single" w:sz="4" w:space="0" w:color="auto"/>
            </w:tcBorders>
            <w:noWrap/>
            <w:hideMark/>
          </w:tcPr>
          <w:p w14:paraId="0555D3B8" w14:textId="77777777" w:rsidR="00741DE9" w:rsidRPr="00A07B1C" w:rsidRDefault="004C5BC9" w:rsidP="00741DE9">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34,</w:t>
            </w:r>
            <w:r w:rsidR="00741DE9" w:rsidRPr="00A07B1C">
              <w:rPr>
                <w:rFonts w:ascii="Times New Roman" w:hAnsi="Times New Roman"/>
                <w:color w:val="auto"/>
                <w:sz w:val="22"/>
                <w:szCs w:val="24"/>
              </w:rPr>
              <w:t>5</w:t>
            </w:r>
          </w:p>
        </w:tc>
        <w:tc>
          <w:tcPr>
            <w:tcW w:w="1418" w:type="dxa"/>
            <w:tcBorders>
              <w:bottom w:val="single" w:sz="4" w:space="0" w:color="auto"/>
            </w:tcBorders>
            <w:noWrap/>
            <w:hideMark/>
          </w:tcPr>
          <w:p w14:paraId="48A7E108" w14:textId="77777777" w:rsidR="00741DE9" w:rsidRPr="00A07B1C" w:rsidRDefault="004C5BC9" w:rsidP="00741DE9">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37,</w:t>
            </w:r>
            <w:r w:rsidR="00741DE9" w:rsidRPr="00A07B1C">
              <w:rPr>
                <w:rFonts w:ascii="Times New Roman" w:hAnsi="Times New Roman"/>
                <w:color w:val="auto"/>
                <w:sz w:val="22"/>
                <w:szCs w:val="24"/>
              </w:rPr>
              <w:t>0</w:t>
            </w:r>
          </w:p>
        </w:tc>
        <w:tc>
          <w:tcPr>
            <w:tcW w:w="1417" w:type="dxa"/>
            <w:tcBorders>
              <w:bottom w:val="single" w:sz="4" w:space="0" w:color="auto"/>
            </w:tcBorders>
            <w:noWrap/>
            <w:hideMark/>
          </w:tcPr>
          <w:p w14:paraId="6B70C9AB" w14:textId="77777777" w:rsidR="00741DE9" w:rsidRPr="00A07B1C" w:rsidRDefault="004C5BC9" w:rsidP="002E1878">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7,</w:t>
            </w:r>
            <w:r w:rsidR="002E1878" w:rsidRPr="00A07B1C">
              <w:rPr>
                <w:rFonts w:ascii="Times New Roman" w:hAnsi="Times New Roman"/>
                <w:color w:val="auto"/>
                <w:sz w:val="22"/>
                <w:szCs w:val="24"/>
              </w:rPr>
              <w:t>25%</w:t>
            </w:r>
          </w:p>
        </w:tc>
        <w:tc>
          <w:tcPr>
            <w:tcW w:w="1397" w:type="dxa"/>
            <w:tcBorders>
              <w:bottom w:val="single" w:sz="4" w:space="0" w:color="auto"/>
            </w:tcBorders>
            <w:noWrap/>
            <w:hideMark/>
          </w:tcPr>
          <w:p w14:paraId="60F59630" w14:textId="77777777" w:rsidR="00741DE9" w:rsidRPr="00A07B1C" w:rsidRDefault="004C5BC9" w:rsidP="002E1878">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1,</w:t>
            </w:r>
            <w:r w:rsidR="002E1878" w:rsidRPr="00A07B1C">
              <w:rPr>
                <w:rFonts w:ascii="Times New Roman" w:hAnsi="Times New Roman"/>
                <w:color w:val="auto"/>
                <w:sz w:val="22"/>
                <w:szCs w:val="24"/>
              </w:rPr>
              <w:t>95%</w:t>
            </w:r>
          </w:p>
        </w:tc>
      </w:tr>
      <w:tr w:rsidR="00741DE9" w:rsidRPr="00A07B1C" w14:paraId="5151BEE7" w14:textId="77777777" w:rsidTr="00C85EA8">
        <w:trPr>
          <w:trHeight w:val="301"/>
        </w:trPr>
        <w:tc>
          <w:tcPr>
            <w:tcW w:w="3397" w:type="dxa"/>
            <w:tcBorders>
              <w:top w:val="single" w:sz="4" w:space="0" w:color="auto"/>
              <w:bottom w:val="single" w:sz="4" w:space="0" w:color="auto"/>
            </w:tcBorders>
            <w:noWrap/>
            <w:vAlign w:val="center"/>
            <w:hideMark/>
          </w:tcPr>
          <w:p w14:paraId="4621F400" w14:textId="77777777" w:rsidR="00741DE9" w:rsidRPr="00A07B1C" w:rsidRDefault="00741DE9" w:rsidP="0054226E">
            <w:pPr>
              <w:spacing w:line="280" w:lineRule="exact"/>
              <w:rPr>
                <w:rFonts w:ascii="Times New Roman" w:hAnsi="Times New Roman"/>
                <w:color w:val="auto"/>
                <w:sz w:val="22"/>
                <w:szCs w:val="24"/>
              </w:rPr>
            </w:pPr>
            <w:r w:rsidRPr="00A07B1C">
              <w:rPr>
                <w:rFonts w:ascii="Times New Roman" w:hAnsi="Times New Roman"/>
                <w:color w:val="auto"/>
                <w:sz w:val="22"/>
                <w:szCs w:val="24"/>
              </w:rPr>
              <w:t>Programme 3: Investment, Competition and Trade</w:t>
            </w:r>
          </w:p>
        </w:tc>
        <w:tc>
          <w:tcPr>
            <w:tcW w:w="1701" w:type="dxa"/>
            <w:tcBorders>
              <w:top w:val="single" w:sz="4" w:space="0" w:color="auto"/>
              <w:bottom w:val="single" w:sz="4" w:space="0" w:color="auto"/>
            </w:tcBorders>
            <w:noWrap/>
            <w:hideMark/>
          </w:tcPr>
          <w:p w14:paraId="1F9A6F28" w14:textId="77777777" w:rsidR="00741DE9" w:rsidRPr="00A07B1C" w:rsidRDefault="004C5BC9" w:rsidP="00741DE9">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951,</w:t>
            </w:r>
            <w:r w:rsidR="002564C2" w:rsidRPr="00A07B1C">
              <w:rPr>
                <w:rFonts w:ascii="Times New Roman" w:hAnsi="Times New Roman"/>
                <w:color w:val="auto"/>
                <w:sz w:val="22"/>
                <w:szCs w:val="24"/>
              </w:rPr>
              <w:t>8</w:t>
            </w:r>
          </w:p>
        </w:tc>
        <w:tc>
          <w:tcPr>
            <w:tcW w:w="1418" w:type="dxa"/>
            <w:tcBorders>
              <w:top w:val="single" w:sz="4" w:space="0" w:color="auto"/>
              <w:bottom w:val="single" w:sz="4" w:space="0" w:color="auto"/>
            </w:tcBorders>
            <w:noWrap/>
            <w:hideMark/>
          </w:tcPr>
          <w:p w14:paraId="02A70C21" w14:textId="77777777" w:rsidR="00741DE9" w:rsidRPr="00A07B1C" w:rsidRDefault="004C5BC9" w:rsidP="00741DE9">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918,</w:t>
            </w:r>
            <w:r w:rsidR="00741DE9" w:rsidRPr="00A07B1C">
              <w:rPr>
                <w:rFonts w:ascii="Times New Roman" w:hAnsi="Times New Roman"/>
                <w:color w:val="auto"/>
                <w:sz w:val="22"/>
                <w:szCs w:val="24"/>
              </w:rPr>
              <w:t>1</w:t>
            </w:r>
          </w:p>
        </w:tc>
        <w:tc>
          <w:tcPr>
            <w:tcW w:w="1417" w:type="dxa"/>
            <w:tcBorders>
              <w:top w:val="single" w:sz="4" w:space="0" w:color="auto"/>
              <w:bottom w:val="single" w:sz="4" w:space="0" w:color="auto"/>
            </w:tcBorders>
            <w:noWrap/>
            <w:hideMark/>
          </w:tcPr>
          <w:p w14:paraId="5D89031C" w14:textId="77777777" w:rsidR="00741DE9" w:rsidRPr="00A07B1C" w:rsidRDefault="004C5BC9" w:rsidP="002E1878">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- 3,</w:t>
            </w:r>
            <w:r w:rsidR="00741DE9" w:rsidRPr="00A07B1C">
              <w:rPr>
                <w:rFonts w:ascii="Times New Roman" w:hAnsi="Times New Roman"/>
                <w:color w:val="auto"/>
                <w:sz w:val="22"/>
                <w:szCs w:val="24"/>
              </w:rPr>
              <w:t>53</w:t>
            </w:r>
            <w:r w:rsidR="002E1878" w:rsidRPr="00A07B1C">
              <w:rPr>
                <w:rFonts w:ascii="Times New Roman" w:hAnsi="Times New Roman"/>
                <w:color w:val="auto"/>
                <w:sz w:val="22"/>
                <w:szCs w:val="24"/>
              </w:rPr>
              <w:t>%</w:t>
            </w:r>
          </w:p>
        </w:tc>
        <w:tc>
          <w:tcPr>
            <w:tcW w:w="1397" w:type="dxa"/>
            <w:tcBorders>
              <w:top w:val="single" w:sz="4" w:space="0" w:color="auto"/>
              <w:bottom w:val="single" w:sz="4" w:space="0" w:color="auto"/>
            </w:tcBorders>
            <w:noWrap/>
            <w:hideMark/>
          </w:tcPr>
          <w:p w14:paraId="6C49410F" w14:textId="77777777" w:rsidR="00741DE9" w:rsidRPr="00A07B1C" w:rsidRDefault="004C5BC9" w:rsidP="002E1878">
            <w:pPr>
              <w:spacing w:line="280" w:lineRule="exact"/>
              <w:jc w:val="right"/>
              <w:rPr>
                <w:rFonts w:ascii="Times New Roman" w:hAnsi="Times New Roman"/>
                <w:color w:val="auto"/>
                <w:sz w:val="22"/>
                <w:szCs w:val="24"/>
              </w:rPr>
            </w:pPr>
            <w:r w:rsidRPr="00A07B1C">
              <w:rPr>
                <w:rFonts w:ascii="Times New Roman" w:hAnsi="Times New Roman"/>
                <w:color w:val="auto"/>
                <w:sz w:val="22"/>
                <w:szCs w:val="24"/>
              </w:rPr>
              <w:t>- 8,</w:t>
            </w:r>
            <w:r w:rsidR="002E1878" w:rsidRPr="00A07B1C">
              <w:rPr>
                <w:rFonts w:ascii="Times New Roman" w:hAnsi="Times New Roman"/>
                <w:color w:val="auto"/>
                <w:sz w:val="22"/>
                <w:szCs w:val="24"/>
              </w:rPr>
              <w:t>30%</w:t>
            </w:r>
          </w:p>
        </w:tc>
      </w:tr>
      <w:tr w:rsidR="00741DE9" w:rsidRPr="00A07B1C" w14:paraId="76C136EF" w14:textId="77777777" w:rsidTr="00C85EA8">
        <w:trPr>
          <w:trHeight w:val="324"/>
        </w:trPr>
        <w:tc>
          <w:tcPr>
            <w:tcW w:w="3397" w:type="dxa"/>
            <w:tcBorders>
              <w:top w:val="single" w:sz="4" w:space="0" w:color="auto"/>
              <w:left w:val="single" w:sz="4" w:space="0" w:color="auto"/>
              <w:bottom w:val="single" w:sz="4" w:space="0" w:color="auto"/>
            </w:tcBorders>
            <w:shd w:val="clear" w:color="auto" w:fill="D9D9D9" w:themeFill="background1" w:themeFillShade="D9"/>
            <w:noWrap/>
          </w:tcPr>
          <w:p w14:paraId="481597D5" w14:textId="77777777" w:rsidR="00741DE9" w:rsidRPr="00A07B1C" w:rsidRDefault="00741DE9" w:rsidP="00741DE9">
            <w:pPr>
              <w:spacing w:line="280" w:lineRule="exact"/>
              <w:jc w:val="both"/>
              <w:rPr>
                <w:rFonts w:ascii="Times New Roman" w:hAnsi="Times New Roman"/>
                <w:b/>
                <w:color w:val="auto"/>
                <w:sz w:val="22"/>
                <w:szCs w:val="24"/>
              </w:rPr>
            </w:pPr>
            <w:r w:rsidRPr="00A07B1C">
              <w:rPr>
                <w:rFonts w:ascii="Times New Roman" w:hAnsi="Times New Roman"/>
                <w:b/>
                <w:color w:val="auto"/>
                <w:sz w:val="22"/>
                <w:szCs w:val="24"/>
              </w:rPr>
              <w:t>TOTAL</w:t>
            </w:r>
          </w:p>
        </w:tc>
        <w:tc>
          <w:tcPr>
            <w:tcW w:w="1701" w:type="dxa"/>
            <w:tcBorders>
              <w:top w:val="single" w:sz="4" w:space="0" w:color="auto"/>
              <w:bottom w:val="single" w:sz="4" w:space="0" w:color="auto"/>
            </w:tcBorders>
            <w:shd w:val="clear" w:color="auto" w:fill="D9D9D9" w:themeFill="background1" w:themeFillShade="D9"/>
            <w:noWrap/>
          </w:tcPr>
          <w:p w14:paraId="7F6EA024" w14:textId="77777777" w:rsidR="00741DE9" w:rsidRPr="00A07B1C" w:rsidRDefault="004C5BC9" w:rsidP="00741DE9">
            <w:pPr>
              <w:spacing w:line="280" w:lineRule="exact"/>
              <w:jc w:val="right"/>
              <w:rPr>
                <w:rFonts w:ascii="Times New Roman" w:hAnsi="Times New Roman"/>
                <w:b/>
                <w:color w:val="auto"/>
                <w:sz w:val="22"/>
                <w:szCs w:val="24"/>
              </w:rPr>
            </w:pPr>
            <w:r w:rsidRPr="00A07B1C">
              <w:rPr>
                <w:rFonts w:ascii="Times New Roman" w:hAnsi="Times New Roman"/>
                <w:b/>
                <w:color w:val="auto"/>
                <w:sz w:val="22"/>
                <w:szCs w:val="24"/>
              </w:rPr>
              <w:t>1 072,</w:t>
            </w:r>
            <w:r w:rsidR="00741DE9" w:rsidRPr="00A07B1C">
              <w:rPr>
                <w:rFonts w:ascii="Times New Roman" w:hAnsi="Times New Roman"/>
                <w:b/>
                <w:color w:val="auto"/>
                <w:sz w:val="22"/>
                <w:szCs w:val="24"/>
              </w:rPr>
              <w:t>6</w:t>
            </w:r>
          </w:p>
        </w:tc>
        <w:tc>
          <w:tcPr>
            <w:tcW w:w="1418" w:type="dxa"/>
            <w:tcBorders>
              <w:top w:val="single" w:sz="4" w:space="0" w:color="auto"/>
              <w:bottom w:val="single" w:sz="4" w:space="0" w:color="auto"/>
            </w:tcBorders>
            <w:shd w:val="clear" w:color="auto" w:fill="D9D9D9" w:themeFill="background1" w:themeFillShade="D9"/>
            <w:noWrap/>
          </w:tcPr>
          <w:p w14:paraId="52027625" w14:textId="77777777" w:rsidR="00741DE9" w:rsidRPr="00A07B1C" w:rsidRDefault="004C5BC9" w:rsidP="00741DE9">
            <w:pPr>
              <w:spacing w:line="280" w:lineRule="exact"/>
              <w:jc w:val="right"/>
              <w:rPr>
                <w:rFonts w:ascii="Times New Roman" w:hAnsi="Times New Roman"/>
                <w:b/>
                <w:color w:val="auto"/>
                <w:sz w:val="22"/>
                <w:szCs w:val="24"/>
              </w:rPr>
            </w:pPr>
            <w:r w:rsidRPr="00A07B1C">
              <w:rPr>
                <w:rFonts w:ascii="Times New Roman" w:hAnsi="Times New Roman"/>
                <w:b/>
                <w:color w:val="auto"/>
                <w:sz w:val="22"/>
                <w:szCs w:val="24"/>
              </w:rPr>
              <w:t>1 045,</w:t>
            </w:r>
            <w:r w:rsidR="00741DE9" w:rsidRPr="00A07B1C">
              <w:rPr>
                <w:rFonts w:ascii="Times New Roman" w:hAnsi="Times New Roman"/>
                <w:b/>
                <w:color w:val="auto"/>
                <w:sz w:val="22"/>
                <w:szCs w:val="24"/>
              </w:rPr>
              <w:t>4</w:t>
            </w:r>
          </w:p>
        </w:tc>
        <w:tc>
          <w:tcPr>
            <w:tcW w:w="1417" w:type="dxa"/>
            <w:tcBorders>
              <w:top w:val="single" w:sz="4" w:space="0" w:color="auto"/>
              <w:bottom w:val="single" w:sz="4" w:space="0" w:color="auto"/>
            </w:tcBorders>
            <w:shd w:val="clear" w:color="auto" w:fill="D9D9D9" w:themeFill="background1" w:themeFillShade="D9"/>
            <w:noWrap/>
          </w:tcPr>
          <w:p w14:paraId="437B4707" w14:textId="77777777" w:rsidR="00741DE9" w:rsidRPr="00A07B1C" w:rsidRDefault="004C5BC9" w:rsidP="00741DE9">
            <w:pPr>
              <w:spacing w:line="280" w:lineRule="exact"/>
              <w:jc w:val="right"/>
              <w:rPr>
                <w:rFonts w:ascii="Times New Roman" w:hAnsi="Times New Roman"/>
                <w:b/>
                <w:color w:val="auto"/>
                <w:sz w:val="22"/>
                <w:szCs w:val="24"/>
              </w:rPr>
            </w:pPr>
            <w:r w:rsidRPr="00A07B1C">
              <w:rPr>
                <w:rFonts w:ascii="Times New Roman" w:hAnsi="Times New Roman"/>
                <w:b/>
                <w:color w:val="auto"/>
                <w:sz w:val="22"/>
                <w:szCs w:val="24"/>
              </w:rPr>
              <w:t>8,</w:t>
            </w:r>
            <w:r w:rsidR="002E1878" w:rsidRPr="00A07B1C">
              <w:rPr>
                <w:rFonts w:ascii="Times New Roman" w:hAnsi="Times New Roman"/>
                <w:b/>
                <w:color w:val="auto"/>
                <w:sz w:val="22"/>
                <w:szCs w:val="24"/>
              </w:rPr>
              <w:t>23</w:t>
            </w:r>
            <w:r w:rsidR="00741DE9" w:rsidRPr="00A07B1C">
              <w:rPr>
                <w:rFonts w:ascii="Times New Roman" w:hAnsi="Times New Roman"/>
                <w:b/>
                <w:color w:val="auto"/>
                <w:sz w:val="22"/>
                <w:szCs w:val="24"/>
              </w:rPr>
              <w:t>%</w:t>
            </w:r>
          </w:p>
        </w:tc>
        <w:tc>
          <w:tcPr>
            <w:tcW w:w="1397" w:type="dxa"/>
            <w:tcBorders>
              <w:top w:val="single" w:sz="4" w:space="0" w:color="auto"/>
              <w:bottom w:val="single" w:sz="4" w:space="0" w:color="auto"/>
              <w:right w:val="single" w:sz="4" w:space="0" w:color="auto"/>
            </w:tcBorders>
            <w:shd w:val="clear" w:color="auto" w:fill="D9D9D9" w:themeFill="background1" w:themeFillShade="D9"/>
            <w:noWrap/>
          </w:tcPr>
          <w:p w14:paraId="6B60AC5C" w14:textId="77777777" w:rsidR="00741DE9" w:rsidRPr="00A07B1C" w:rsidRDefault="002E1878" w:rsidP="004C5BC9">
            <w:pPr>
              <w:spacing w:line="280" w:lineRule="exact"/>
              <w:jc w:val="right"/>
              <w:rPr>
                <w:rFonts w:ascii="Times New Roman" w:hAnsi="Times New Roman"/>
                <w:b/>
                <w:color w:val="auto"/>
                <w:sz w:val="22"/>
                <w:szCs w:val="24"/>
              </w:rPr>
            </w:pPr>
            <w:r w:rsidRPr="00A07B1C">
              <w:rPr>
                <w:rFonts w:ascii="Times New Roman" w:hAnsi="Times New Roman"/>
                <w:b/>
                <w:color w:val="auto"/>
                <w:sz w:val="22"/>
                <w:szCs w:val="24"/>
              </w:rPr>
              <w:t>- 7</w:t>
            </w:r>
            <w:r w:rsidR="004C5BC9" w:rsidRPr="00A07B1C">
              <w:rPr>
                <w:rFonts w:ascii="Times New Roman" w:hAnsi="Times New Roman"/>
                <w:b/>
                <w:color w:val="auto"/>
                <w:sz w:val="22"/>
                <w:szCs w:val="24"/>
              </w:rPr>
              <w:t>,</w:t>
            </w:r>
            <w:r w:rsidRPr="00A07B1C">
              <w:rPr>
                <w:rFonts w:ascii="Times New Roman" w:hAnsi="Times New Roman"/>
                <w:b/>
                <w:color w:val="auto"/>
                <w:sz w:val="22"/>
                <w:szCs w:val="24"/>
              </w:rPr>
              <w:t>0</w:t>
            </w:r>
            <w:r w:rsidR="00741DE9" w:rsidRPr="00A07B1C">
              <w:rPr>
                <w:rFonts w:ascii="Times New Roman" w:hAnsi="Times New Roman"/>
                <w:b/>
                <w:color w:val="auto"/>
                <w:sz w:val="22"/>
                <w:szCs w:val="24"/>
              </w:rPr>
              <w:t>%</w:t>
            </w:r>
          </w:p>
        </w:tc>
      </w:tr>
    </w:tbl>
    <w:p w14:paraId="6D657638" w14:textId="77777777" w:rsidR="00E40757" w:rsidRPr="00A07B1C" w:rsidRDefault="00E40757" w:rsidP="00E40757">
      <w:pPr>
        <w:spacing w:line="360" w:lineRule="auto"/>
        <w:jc w:val="both"/>
        <w:rPr>
          <w:rFonts w:ascii="Times New Roman" w:hAnsi="Times New Roman"/>
          <w:color w:val="auto"/>
          <w:sz w:val="22"/>
          <w:szCs w:val="24"/>
        </w:rPr>
      </w:pPr>
      <w:r w:rsidRPr="00A07B1C">
        <w:rPr>
          <w:rFonts w:ascii="Times New Roman" w:hAnsi="Times New Roman"/>
          <w:color w:val="auto"/>
          <w:sz w:val="22"/>
          <w:szCs w:val="24"/>
        </w:rPr>
        <w:t>Source: National Treasury (2019</w:t>
      </w:r>
      <w:r w:rsidR="00C123BA" w:rsidRPr="00A07B1C">
        <w:rPr>
          <w:rFonts w:ascii="Times New Roman" w:hAnsi="Times New Roman"/>
          <w:color w:val="auto"/>
          <w:sz w:val="22"/>
          <w:szCs w:val="24"/>
        </w:rPr>
        <w:t>b: 524</w:t>
      </w:r>
      <w:r w:rsidRPr="00A07B1C">
        <w:rPr>
          <w:rFonts w:ascii="Times New Roman" w:hAnsi="Times New Roman"/>
          <w:color w:val="auto"/>
          <w:sz w:val="22"/>
          <w:szCs w:val="24"/>
        </w:rPr>
        <w:t>)</w:t>
      </w:r>
    </w:p>
    <w:p w14:paraId="687524DF" w14:textId="77777777" w:rsidR="00E40757" w:rsidRPr="00A07B1C" w:rsidRDefault="00E40757" w:rsidP="00E40757">
      <w:pPr>
        <w:spacing w:line="360" w:lineRule="auto"/>
        <w:jc w:val="both"/>
        <w:rPr>
          <w:rFonts w:ascii="Times New Roman" w:hAnsi="Times New Roman"/>
          <w:b/>
          <w:color w:val="auto"/>
          <w:sz w:val="24"/>
          <w:szCs w:val="24"/>
        </w:rPr>
      </w:pPr>
    </w:p>
    <w:p w14:paraId="711479D1" w14:textId="77777777" w:rsidR="002E1878" w:rsidRPr="00A07B1C" w:rsidRDefault="002E1878" w:rsidP="002E1878">
      <w:pPr>
        <w:numPr>
          <w:ilvl w:val="2"/>
          <w:numId w:val="6"/>
        </w:numPr>
        <w:spacing w:line="360" w:lineRule="auto"/>
        <w:jc w:val="both"/>
        <w:rPr>
          <w:rFonts w:ascii="Times New Roman" w:hAnsi="Times New Roman"/>
          <w:b/>
          <w:sz w:val="24"/>
          <w:szCs w:val="24"/>
        </w:rPr>
      </w:pPr>
      <w:r w:rsidRPr="00A07B1C">
        <w:rPr>
          <w:rFonts w:ascii="Times New Roman" w:hAnsi="Times New Roman"/>
          <w:b/>
          <w:sz w:val="24"/>
          <w:szCs w:val="24"/>
        </w:rPr>
        <w:t>Programme Analysis</w:t>
      </w:r>
    </w:p>
    <w:p w14:paraId="39923BF7" w14:textId="77777777" w:rsidR="002E1878" w:rsidRPr="00A07B1C" w:rsidRDefault="002E1878" w:rsidP="002E1878">
      <w:pPr>
        <w:spacing w:line="360" w:lineRule="auto"/>
        <w:jc w:val="both"/>
        <w:rPr>
          <w:rFonts w:ascii="Times New Roman" w:hAnsi="Times New Roman"/>
          <w:color w:val="auto"/>
          <w:sz w:val="24"/>
          <w:szCs w:val="24"/>
        </w:rPr>
      </w:pPr>
    </w:p>
    <w:p w14:paraId="3A134215" w14:textId="77777777" w:rsidR="00237175" w:rsidRPr="00A07B1C" w:rsidRDefault="00237175" w:rsidP="002E1878">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 xml:space="preserve">The budget is divided among the three programmes, with the largest </w:t>
      </w:r>
      <w:r w:rsidR="00E602FC">
        <w:rPr>
          <w:rFonts w:ascii="Times New Roman" w:hAnsi="Times New Roman"/>
          <w:color w:val="auto"/>
          <w:sz w:val="24"/>
          <w:szCs w:val="24"/>
        </w:rPr>
        <w:t>allocation</w:t>
      </w:r>
      <w:r w:rsidRPr="00A07B1C">
        <w:rPr>
          <w:rFonts w:ascii="Times New Roman" w:hAnsi="Times New Roman"/>
          <w:color w:val="auto"/>
          <w:sz w:val="24"/>
          <w:szCs w:val="24"/>
        </w:rPr>
        <w:t xml:space="preserve"> </w:t>
      </w:r>
      <w:r w:rsidR="00E602FC">
        <w:rPr>
          <w:rFonts w:ascii="Times New Roman" w:hAnsi="Times New Roman"/>
          <w:color w:val="auto"/>
          <w:sz w:val="24"/>
          <w:szCs w:val="24"/>
        </w:rPr>
        <w:t xml:space="preserve">for </w:t>
      </w:r>
      <w:r w:rsidRPr="00A07B1C">
        <w:rPr>
          <w:rFonts w:ascii="Times New Roman" w:hAnsi="Times New Roman"/>
          <w:color w:val="auto"/>
          <w:sz w:val="24"/>
          <w:szCs w:val="24"/>
        </w:rPr>
        <w:t xml:space="preserve">the Investment, Competition </w:t>
      </w:r>
      <w:r w:rsidR="004C5BC9" w:rsidRPr="00A07B1C">
        <w:rPr>
          <w:rFonts w:ascii="Times New Roman" w:hAnsi="Times New Roman"/>
          <w:color w:val="auto"/>
          <w:sz w:val="24"/>
          <w:szCs w:val="24"/>
        </w:rPr>
        <w:t>and Trade Programme (R918,</w:t>
      </w:r>
      <w:r w:rsidRPr="00A07B1C">
        <w:rPr>
          <w:rFonts w:ascii="Times New Roman" w:hAnsi="Times New Roman"/>
          <w:color w:val="auto"/>
          <w:sz w:val="24"/>
          <w:szCs w:val="24"/>
        </w:rPr>
        <w:t xml:space="preserve">1 million or 87,8 percent of the total budget). </w:t>
      </w:r>
      <w:r w:rsidR="00480232" w:rsidRPr="00A07B1C">
        <w:rPr>
          <w:rFonts w:ascii="Times New Roman" w:hAnsi="Times New Roman"/>
          <w:color w:val="auto"/>
          <w:sz w:val="24"/>
          <w:szCs w:val="24"/>
        </w:rPr>
        <w:t xml:space="preserve">This </w:t>
      </w:r>
      <w:r w:rsidR="004C5BC9" w:rsidRPr="00A07B1C">
        <w:rPr>
          <w:rFonts w:ascii="Times New Roman" w:hAnsi="Times New Roman"/>
          <w:color w:val="auto"/>
          <w:sz w:val="24"/>
          <w:szCs w:val="24"/>
        </w:rPr>
        <w:t>allocation declined by 8,</w:t>
      </w:r>
      <w:r w:rsidR="00480232" w:rsidRPr="00A07B1C">
        <w:rPr>
          <w:rFonts w:ascii="Times New Roman" w:hAnsi="Times New Roman"/>
          <w:color w:val="auto"/>
          <w:sz w:val="24"/>
          <w:szCs w:val="24"/>
        </w:rPr>
        <w:t xml:space="preserve">3 percent in real terms since the 2018/19 financial year and mainly consists of transfers to five entities </w:t>
      </w:r>
      <w:r w:rsidR="003147C9" w:rsidRPr="00A07B1C">
        <w:rPr>
          <w:rFonts w:ascii="Times New Roman" w:hAnsi="Times New Roman"/>
          <w:color w:val="auto"/>
          <w:sz w:val="24"/>
          <w:szCs w:val="24"/>
        </w:rPr>
        <w:t xml:space="preserve">(97,8 percent of the programme’s budget) </w:t>
      </w:r>
      <w:r w:rsidR="00480232" w:rsidRPr="00A07B1C">
        <w:rPr>
          <w:rFonts w:ascii="Times New Roman" w:hAnsi="Times New Roman"/>
          <w:color w:val="auto"/>
          <w:sz w:val="24"/>
          <w:szCs w:val="24"/>
        </w:rPr>
        <w:t>(see the economic classification below).</w:t>
      </w:r>
    </w:p>
    <w:p w14:paraId="0FDAE0D2" w14:textId="77777777" w:rsidR="003147C9" w:rsidRPr="00A07B1C" w:rsidRDefault="003147C9" w:rsidP="002E1878">
      <w:pPr>
        <w:spacing w:line="360" w:lineRule="auto"/>
        <w:jc w:val="both"/>
        <w:rPr>
          <w:rFonts w:ascii="Times New Roman" w:hAnsi="Times New Roman"/>
          <w:color w:val="auto"/>
          <w:sz w:val="24"/>
          <w:szCs w:val="24"/>
        </w:rPr>
      </w:pPr>
    </w:p>
    <w:p w14:paraId="5AEF8CD0" w14:textId="77777777" w:rsidR="003147C9" w:rsidRPr="00A07B1C" w:rsidRDefault="003147C9" w:rsidP="002E1878">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lastRenderedPageBreak/>
        <w:t>The second largest budget allocation is to the Administration Programme (R90,3 million or 8,6 percent of the total budget).</w:t>
      </w:r>
      <w:r w:rsidR="00CD000B" w:rsidRPr="00A07B1C">
        <w:rPr>
          <w:rFonts w:ascii="Times New Roman" w:hAnsi="Times New Roman"/>
          <w:color w:val="auto"/>
          <w:sz w:val="24"/>
          <w:szCs w:val="24"/>
        </w:rPr>
        <w:t xml:space="preserve"> While the nominal budget increased from R86,4 million in the 2018/19 financial year, it decreased slightly in real terms by 0,65 percent. </w:t>
      </w:r>
    </w:p>
    <w:p w14:paraId="32F9EE11" w14:textId="77777777" w:rsidR="002E1878" w:rsidRPr="00A07B1C" w:rsidRDefault="002E1878" w:rsidP="002E1878">
      <w:pPr>
        <w:spacing w:line="360" w:lineRule="auto"/>
        <w:jc w:val="both"/>
        <w:rPr>
          <w:rFonts w:ascii="Times New Roman" w:hAnsi="Times New Roman"/>
          <w:color w:val="auto"/>
          <w:sz w:val="24"/>
          <w:szCs w:val="24"/>
        </w:rPr>
      </w:pPr>
    </w:p>
    <w:p w14:paraId="392EC83C" w14:textId="77777777" w:rsidR="002E1878" w:rsidRPr="00A07B1C" w:rsidRDefault="00DD7C2A" w:rsidP="002E1878">
      <w:pPr>
        <w:spacing w:line="360" w:lineRule="auto"/>
        <w:jc w:val="both"/>
        <w:rPr>
          <w:rFonts w:ascii="Times New Roman" w:hAnsi="Times New Roman"/>
          <w:color w:val="auto"/>
          <w:sz w:val="24"/>
          <w:szCs w:val="24"/>
        </w:rPr>
      </w:pPr>
      <w:r>
        <w:rPr>
          <w:rFonts w:ascii="Times New Roman" w:hAnsi="Times New Roman"/>
          <w:color w:val="auto"/>
          <w:sz w:val="24"/>
          <w:szCs w:val="24"/>
        </w:rPr>
        <w:t>T</w:t>
      </w:r>
      <w:r w:rsidR="00197CAF" w:rsidRPr="00A07B1C">
        <w:rPr>
          <w:rFonts w:ascii="Times New Roman" w:hAnsi="Times New Roman"/>
          <w:color w:val="auto"/>
          <w:sz w:val="24"/>
          <w:szCs w:val="24"/>
        </w:rPr>
        <w:t xml:space="preserve">he Growth Path and Social Dialogue </w:t>
      </w:r>
      <w:r>
        <w:rPr>
          <w:rFonts w:ascii="Times New Roman" w:hAnsi="Times New Roman"/>
          <w:color w:val="auto"/>
          <w:sz w:val="24"/>
          <w:szCs w:val="24"/>
        </w:rPr>
        <w:t>P</w:t>
      </w:r>
      <w:r w:rsidR="00197CAF" w:rsidRPr="00A07B1C">
        <w:rPr>
          <w:rFonts w:ascii="Times New Roman" w:hAnsi="Times New Roman"/>
          <w:color w:val="auto"/>
          <w:sz w:val="24"/>
          <w:szCs w:val="24"/>
        </w:rPr>
        <w:t>rogramme received the smallest allocation of R37 million for the 2019/20 financial year. However, this was also the only programme that received a real increase from the previous financial year (a 1,95 percent increase).</w:t>
      </w:r>
    </w:p>
    <w:p w14:paraId="52C47944" w14:textId="77777777" w:rsidR="002E1878" w:rsidRPr="00A07B1C" w:rsidRDefault="002E1878" w:rsidP="002E1878">
      <w:pPr>
        <w:spacing w:line="360" w:lineRule="auto"/>
        <w:jc w:val="both"/>
        <w:rPr>
          <w:rFonts w:ascii="Times New Roman" w:hAnsi="Times New Roman"/>
          <w:color w:val="auto"/>
          <w:sz w:val="24"/>
          <w:szCs w:val="24"/>
        </w:rPr>
      </w:pPr>
    </w:p>
    <w:p w14:paraId="566D0CE1" w14:textId="77777777" w:rsidR="002E1878" w:rsidRPr="00A07B1C" w:rsidRDefault="002E1878" w:rsidP="002E1878">
      <w:pPr>
        <w:numPr>
          <w:ilvl w:val="2"/>
          <w:numId w:val="6"/>
        </w:numPr>
        <w:spacing w:line="360" w:lineRule="auto"/>
        <w:jc w:val="both"/>
        <w:rPr>
          <w:rFonts w:ascii="Times New Roman" w:hAnsi="Times New Roman"/>
          <w:b/>
          <w:color w:val="auto"/>
          <w:sz w:val="24"/>
          <w:szCs w:val="24"/>
        </w:rPr>
      </w:pPr>
      <w:r w:rsidRPr="00A07B1C">
        <w:rPr>
          <w:rFonts w:ascii="Times New Roman" w:hAnsi="Times New Roman"/>
          <w:b/>
          <w:sz w:val="24"/>
          <w:szCs w:val="24"/>
        </w:rPr>
        <w:t>Economic classification</w:t>
      </w:r>
    </w:p>
    <w:p w14:paraId="3093F226" w14:textId="77777777" w:rsidR="002E1878" w:rsidRPr="00A07B1C" w:rsidRDefault="002E1878" w:rsidP="00E40757">
      <w:pPr>
        <w:spacing w:line="360" w:lineRule="auto"/>
        <w:jc w:val="both"/>
        <w:rPr>
          <w:rFonts w:ascii="Times New Roman" w:hAnsi="Times New Roman"/>
          <w:color w:val="auto"/>
          <w:sz w:val="24"/>
          <w:szCs w:val="24"/>
        </w:rPr>
      </w:pPr>
    </w:p>
    <w:p w14:paraId="36BD708D" w14:textId="77777777" w:rsidR="00E40757" w:rsidRPr="00A07B1C" w:rsidRDefault="00EB31F6" w:rsidP="00E40757">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 xml:space="preserve">Of the </w:t>
      </w:r>
      <w:r w:rsidR="00E40757" w:rsidRPr="00A07B1C">
        <w:rPr>
          <w:rFonts w:ascii="Times New Roman" w:hAnsi="Times New Roman"/>
          <w:color w:val="auto"/>
          <w:sz w:val="24"/>
          <w:szCs w:val="24"/>
        </w:rPr>
        <w:t>total budget of R1</w:t>
      </w:r>
      <w:r w:rsidRPr="00A07B1C">
        <w:rPr>
          <w:rFonts w:ascii="Times New Roman" w:hAnsi="Times New Roman"/>
          <w:color w:val="auto"/>
          <w:sz w:val="24"/>
          <w:szCs w:val="24"/>
        </w:rPr>
        <w:t xml:space="preserve">,05 </w:t>
      </w:r>
      <w:r w:rsidR="004E783C" w:rsidRPr="00A07B1C">
        <w:rPr>
          <w:rFonts w:ascii="Times New Roman" w:hAnsi="Times New Roman"/>
          <w:color w:val="auto"/>
          <w:sz w:val="24"/>
          <w:szCs w:val="24"/>
        </w:rPr>
        <w:t>billion, R142,</w:t>
      </w:r>
      <w:r w:rsidR="00E40757" w:rsidRPr="00A07B1C">
        <w:rPr>
          <w:rFonts w:ascii="Times New Roman" w:hAnsi="Times New Roman"/>
          <w:color w:val="auto"/>
          <w:sz w:val="24"/>
          <w:szCs w:val="24"/>
        </w:rPr>
        <w:t xml:space="preserve">7 million </w:t>
      </w:r>
      <w:r w:rsidR="002E1878" w:rsidRPr="00A07B1C">
        <w:rPr>
          <w:rFonts w:ascii="Times New Roman" w:hAnsi="Times New Roman"/>
          <w:color w:val="auto"/>
          <w:sz w:val="24"/>
          <w:szCs w:val="24"/>
        </w:rPr>
        <w:t>(</w:t>
      </w:r>
      <w:r w:rsidR="004E783C" w:rsidRPr="00A07B1C">
        <w:rPr>
          <w:rFonts w:ascii="Times New Roman" w:hAnsi="Times New Roman"/>
          <w:color w:val="auto"/>
          <w:sz w:val="24"/>
          <w:szCs w:val="24"/>
        </w:rPr>
        <w:t>13,</w:t>
      </w:r>
      <w:r w:rsidRPr="00A07B1C">
        <w:rPr>
          <w:rFonts w:ascii="Times New Roman" w:hAnsi="Times New Roman"/>
          <w:color w:val="auto"/>
          <w:sz w:val="24"/>
          <w:szCs w:val="24"/>
        </w:rPr>
        <w:t>6</w:t>
      </w:r>
      <w:r w:rsidR="00E40757" w:rsidRPr="00A07B1C">
        <w:rPr>
          <w:rFonts w:ascii="Times New Roman" w:hAnsi="Times New Roman"/>
          <w:color w:val="auto"/>
          <w:sz w:val="24"/>
          <w:szCs w:val="24"/>
        </w:rPr>
        <w:t xml:space="preserve"> percent </w:t>
      </w:r>
      <w:r w:rsidR="002E1878" w:rsidRPr="00A07B1C">
        <w:rPr>
          <w:rFonts w:ascii="Times New Roman" w:hAnsi="Times New Roman"/>
          <w:color w:val="auto"/>
          <w:sz w:val="24"/>
          <w:szCs w:val="24"/>
        </w:rPr>
        <w:t xml:space="preserve">of the total budget allocation) </w:t>
      </w:r>
      <w:r w:rsidR="00E40757" w:rsidRPr="00A07B1C">
        <w:rPr>
          <w:rFonts w:ascii="Times New Roman" w:hAnsi="Times New Roman"/>
          <w:color w:val="auto"/>
          <w:sz w:val="24"/>
          <w:szCs w:val="24"/>
        </w:rPr>
        <w:t>is for current payments</w:t>
      </w:r>
      <w:r w:rsidRPr="00A07B1C">
        <w:rPr>
          <w:rFonts w:ascii="Times New Roman" w:hAnsi="Times New Roman"/>
          <w:color w:val="auto"/>
          <w:sz w:val="24"/>
          <w:szCs w:val="24"/>
        </w:rPr>
        <w:t>,</w:t>
      </w:r>
      <w:r w:rsidR="004C5BC9" w:rsidRPr="00A07B1C">
        <w:rPr>
          <w:rFonts w:ascii="Times New Roman" w:hAnsi="Times New Roman"/>
          <w:color w:val="auto"/>
          <w:sz w:val="24"/>
          <w:szCs w:val="24"/>
        </w:rPr>
        <w:t xml:space="preserve"> R4,</w:t>
      </w:r>
      <w:r w:rsidR="00E40757" w:rsidRPr="00A07B1C">
        <w:rPr>
          <w:rFonts w:ascii="Times New Roman" w:hAnsi="Times New Roman"/>
          <w:color w:val="auto"/>
          <w:sz w:val="24"/>
          <w:szCs w:val="24"/>
        </w:rPr>
        <w:t>7 million</w:t>
      </w:r>
      <w:r w:rsidR="002E1878" w:rsidRPr="00A07B1C">
        <w:rPr>
          <w:rFonts w:ascii="Times New Roman" w:hAnsi="Times New Roman"/>
          <w:color w:val="auto"/>
          <w:sz w:val="24"/>
          <w:szCs w:val="24"/>
        </w:rPr>
        <w:t xml:space="preserve"> (</w:t>
      </w:r>
      <w:r w:rsidR="004C5BC9" w:rsidRPr="00A07B1C">
        <w:rPr>
          <w:rFonts w:ascii="Times New Roman" w:hAnsi="Times New Roman"/>
          <w:color w:val="auto"/>
          <w:sz w:val="24"/>
          <w:szCs w:val="24"/>
        </w:rPr>
        <w:t>0,</w:t>
      </w:r>
      <w:r w:rsidRPr="00A07B1C">
        <w:rPr>
          <w:rFonts w:ascii="Times New Roman" w:hAnsi="Times New Roman"/>
          <w:color w:val="auto"/>
          <w:sz w:val="24"/>
          <w:szCs w:val="24"/>
        </w:rPr>
        <w:t>5</w:t>
      </w:r>
      <w:r w:rsidR="002E1878" w:rsidRPr="00A07B1C">
        <w:rPr>
          <w:rFonts w:ascii="Times New Roman" w:hAnsi="Times New Roman"/>
          <w:color w:val="auto"/>
          <w:sz w:val="24"/>
          <w:szCs w:val="24"/>
        </w:rPr>
        <w:t xml:space="preserve"> per</w:t>
      </w:r>
      <w:r w:rsidR="00E40757" w:rsidRPr="00A07B1C">
        <w:rPr>
          <w:rFonts w:ascii="Times New Roman" w:hAnsi="Times New Roman"/>
          <w:color w:val="auto"/>
          <w:sz w:val="24"/>
          <w:szCs w:val="24"/>
        </w:rPr>
        <w:t>cent</w:t>
      </w:r>
      <w:r w:rsidR="002E1878" w:rsidRPr="00A07B1C">
        <w:rPr>
          <w:rFonts w:ascii="Times New Roman" w:hAnsi="Times New Roman"/>
          <w:color w:val="auto"/>
          <w:sz w:val="24"/>
          <w:szCs w:val="24"/>
        </w:rPr>
        <w:t xml:space="preserve"> of the total budget allocation)</w:t>
      </w:r>
      <w:r w:rsidR="00E40757" w:rsidRPr="00A07B1C">
        <w:rPr>
          <w:rFonts w:ascii="Times New Roman" w:hAnsi="Times New Roman"/>
          <w:color w:val="auto"/>
          <w:sz w:val="24"/>
          <w:szCs w:val="24"/>
        </w:rPr>
        <w:t xml:space="preserve"> is allocated to payments for capital assets</w:t>
      </w:r>
      <w:r w:rsidRPr="00A07B1C">
        <w:rPr>
          <w:rFonts w:ascii="Times New Roman" w:hAnsi="Times New Roman"/>
          <w:color w:val="auto"/>
          <w:sz w:val="24"/>
          <w:szCs w:val="24"/>
        </w:rPr>
        <w:t xml:space="preserve"> and </w:t>
      </w:r>
      <w:r w:rsidR="002564C2" w:rsidRPr="00A07B1C">
        <w:rPr>
          <w:rFonts w:ascii="Times New Roman" w:hAnsi="Times New Roman"/>
          <w:color w:val="auto"/>
          <w:sz w:val="24"/>
          <w:szCs w:val="24"/>
        </w:rPr>
        <w:t>R898 million</w:t>
      </w:r>
      <w:r w:rsidRPr="00A07B1C">
        <w:rPr>
          <w:rFonts w:ascii="Times New Roman" w:hAnsi="Times New Roman"/>
          <w:color w:val="auto"/>
          <w:sz w:val="24"/>
          <w:szCs w:val="24"/>
        </w:rPr>
        <w:t xml:space="preserve"> </w:t>
      </w:r>
      <w:r w:rsidR="002E1878" w:rsidRPr="00A07B1C">
        <w:rPr>
          <w:rFonts w:ascii="Times New Roman" w:hAnsi="Times New Roman"/>
          <w:color w:val="auto"/>
          <w:sz w:val="24"/>
          <w:szCs w:val="24"/>
        </w:rPr>
        <w:t>(</w:t>
      </w:r>
      <w:r w:rsidR="004C5BC9" w:rsidRPr="00A07B1C">
        <w:rPr>
          <w:rFonts w:ascii="Times New Roman" w:hAnsi="Times New Roman"/>
          <w:color w:val="auto"/>
          <w:sz w:val="24"/>
          <w:szCs w:val="24"/>
        </w:rPr>
        <w:t>85,</w:t>
      </w:r>
      <w:r w:rsidRPr="00A07B1C">
        <w:rPr>
          <w:rFonts w:ascii="Times New Roman" w:hAnsi="Times New Roman"/>
          <w:color w:val="auto"/>
          <w:sz w:val="24"/>
          <w:szCs w:val="24"/>
        </w:rPr>
        <w:t>9 percent</w:t>
      </w:r>
      <w:r w:rsidR="002E1878" w:rsidRPr="00A07B1C">
        <w:rPr>
          <w:rFonts w:ascii="Times New Roman" w:hAnsi="Times New Roman"/>
          <w:color w:val="auto"/>
          <w:sz w:val="24"/>
          <w:szCs w:val="24"/>
        </w:rPr>
        <w:t xml:space="preserve"> of the total budget allocation)</w:t>
      </w:r>
      <w:r w:rsidRPr="00A07B1C">
        <w:rPr>
          <w:rFonts w:ascii="Times New Roman" w:hAnsi="Times New Roman"/>
          <w:color w:val="auto"/>
          <w:sz w:val="24"/>
          <w:szCs w:val="24"/>
        </w:rPr>
        <w:t xml:space="preserve"> is allocated to transfers and subsidies</w:t>
      </w:r>
      <w:r w:rsidR="002E1878" w:rsidRPr="00A07B1C">
        <w:rPr>
          <w:rFonts w:ascii="Times New Roman" w:hAnsi="Times New Roman"/>
          <w:color w:val="auto"/>
          <w:sz w:val="24"/>
          <w:szCs w:val="24"/>
        </w:rPr>
        <w:t xml:space="preserve"> for government entities</w:t>
      </w:r>
      <w:r w:rsidR="00E40757" w:rsidRPr="00A07B1C">
        <w:rPr>
          <w:rFonts w:ascii="Times New Roman" w:hAnsi="Times New Roman"/>
          <w:color w:val="auto"/>
          <w:sz w:val="24"/>
          <w:szCs w:val="24"/>
        </w:rPr>
        <w:t>.</w:t>
      </w:r>
      <w:r w:rsidR="00E40757" w:rsidRPr="00A07B1C">
        <w:rPr>
          <w:rStyle w:val="FootnoteReference"/>
          <w:rFonts w:ascii="Times New Roman" w:hAnsi="Times New Roman"/>
          <w:color w:val="auto"/>
          <w:sz w:val="24"/>
          <w:szCs w:val="24"/>
        </w:rPr>
        <w:footnoteReference w:id="26"/>
      </w:r>
      <w:r w:rsidR="00197CAF" w:rsidRPr="00A07B1C">
        <w:rPr>
          <w:rFonts w:ascii="Times New Roman" w:hAnsi="Times New Roman"/>
          <w:color w:val="auto"/>
          <w:sz w:val="24"/>
          <w:szCs w:val="24"/>
        </w:rPr>
        <w:t xml:space="preserve"> A large proportion of the current payments are for compensation of employees (R97,7 million or 68,5 percent of the allocation to current payments). The remainder of this allocation is for goods and services (R45 million).</w:t>
      </w:r>
    </w:p>
    <w:p w14:paraId="1C939569" w14:textId="77777777" w:rsidR="00916049" w:rsidRPr="00A07B1C" w:rsidRDefault="00916049" w:rsidP="00E40757">
      <w:pPr>
        <w:spacing w:line="360" w:lineRule="auto"/>
        <w:jc w:val="both"/>
        <w:rPr>
          <w:rFonts w:ascii="Times New Roman" w:hAnsi="Times New Roman"/>
          <w:color w:val="auto"/>
          <w:sz w:val="24"/>
          <w:szCs w:val="24"/>
        </w:rPr>
      </w:pPr>
    </w:p>
    <w:p w14:paraId="64D79BDC" w14:textId="77777777" w:rsidR="00916049" w:rsidRPr="00A07B1C" w:rsidRDefault="00916049" w:rsidP="00E40757">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In terms of goods and services, the largest allocations for the 2019/20 financial year are to: operating leases (R11,1 million or 24,7 percent); legal services (R11,07 million or 24,6 percent); travel and subsistence (R6,3 million or 14,1 percent); external audit costs (R3,6 million or 8,1 percent) and consultants for business and advisory services (R3,06 million or 6,8 percent)</w:t>
      </w:r>
      <w:r w:rsidR="00697E19" w:rsidRPr="00A07B1C">
        <w:rPr>
          <w:rFonts w:ascii="Times New Roman" w:hAnsi="Times New Roman"/>
          <w:color w:val="auto"/>
          <w:sz w:val="24"/>
          <w:szCs w:val="24"/>
        </w:rPr>
        <w:t>.</w:t>
      </w:r>
      <w:r w:rsidR="005A4E81" w:rsidRPr="00A07B1C">
        <w:rPr>
          <w:rFonts w:ascii="Times New Roman" w:hAnsi="Times New Roman"/>
          <w:color w:val="auto"/>
          <w:sz w:val="24"/>
          <w:szCs w:val="24"/>
        </w:rPr>
        <w:t xml:space="preserve"> </w:t>
      </w:r>
      <w:r w:rsidR="00E602FC">
        <w:rPr>
          <w:rFonts w:ascii="Times New Roman" w:hAnsi="Times New Roman"/>
          <w:color w:val="auto"/>
          <w:sz w:val="24"/>
          <w:szCs w:val="24"/>
        </w:rPr>
        <w:t xml:space="preserve">The </w:t>
      </w:r>
      <w:r w:rsidR="005A4E81" w:rsidRPr="00A07B1C">
        <w:rPr>
          <w:rFonts w:ascii="Times New Roman" w:hAnsi="Times New Roman"/>
          <w:color w:val="auto"/>
          <w:sz w:val="24"/>
          <w:szCs w:val="24"/>
        </w:rPr>
        <w:t>EDD reported that the legal fees were in relation to applications for significant mergers and acquisitions being processed and concluded by the Competition Authorities under the Competition Act (No. 89 of 1989)</w:t>
      </w:r>
      <w:r w:rsidR="005A4E81" w:rsidRPr="00A07B1C">
        <w:rPr>
          <w:rStyle w:val="FootnoteReference"/>
          <w:rFonts w:ascii="Times New Roman" w:hAnsi="Times New Roman"/>
          <w:color w:val="auto"/>
          <w:sz w:val="24"/>
          <w:szCs w:val="24"/>
        </w:rPr>
        <w:footnoteReference w:id="27"/>
      </w:r>
      <w:r w:rsidR="005A4E81" w:rsidRPr="00A07B1C">
        <w:rPr>
          <w:rFonts w:ascii="Times New Roman" w:hAnsi="Times New Roman"/>
          <w:color w:val="auto"/>
          <w:sz w:val="24"/>
          <w:szCs w:val="24"/>
        </w:rPr>
        <w:t>.</w:t>
      </w:r>
    </w:p>
    <w:p w14:paraId="3E832209" w14:textId="77777777" w:rsidR="002E1878" w:rsidRPr="00A07B1C" w:rsidRDefault="002E1878" w:rsidP="00E40757">
      <w:pPr>
        <w:spacing w:line="360" w:lineRule="auto"/>
        <w:jc w:val="both"/>
        <w:rPr>
          <w:rFonts w:ascii="Times New Roman" w:hAnsi="Times New Roman"/>
          <w:color w:val="auto"/>
          <w:sz w:val="24"/>
          <w:szCs w:val="24"/>
        </w:rPr>
      </w:pPr>
    </w:p>
    <w:p w14:paraId="47BD8850" w14:textId="77777777" w:rsidR="00E47FDB" w:rsidRPr="00A07B1C" w:rsidRDefault="00493FE3" w:rsidP="00E47FDB">
      <w:pPr>
        <w:spacing w:line="360" w:lineRule="auto"/>
        <w:contextualSpacing/>
        <w:jc w:val="both"/>
        <w:rPr>
          <w:rFonts w:ascii="Times New Roman" w:hAnsi="Times New Roman"/>
          <w:sz w:val="24"/>
        </w:rPr>
      </w:pPr>
      <w:r w:rsidRPr="00A07B1C">
        <w:rPr>
          <w:rFonts w:ascii="Times New Roman" w:hAnsi="Times New Roman"/>
          <w:color w:val="auto"/>
          <w:sz w:val="24"/>
          <w:szCs w:val="24"/>
        </w:rPr>
        <w:t>T</w:t>
      </w:r>
      <w:r w:rsidR="005A4E81" w:rsidRPr="00A07B1C">
        <w:rPr>
          <w:rFonts w:ascii="Times New Roman" w:hAnsi="Times New Roman"/>
          <w:color w:val="auto"/>
          <w:sz w:val="24"/>
          <w:szCs w:val="24"/>
        </w:rPr>
        <w:t xml:space="preserve">ransfers </w:t>
      </w:r>
      <w:r w:rsidRPr="00A07B1C">
        <w:rPr>
          <w:rFonts w:ascii="Times New Roman" w:hAnsi="Times New Roman"/>
          <w:color w:val="auto"/>
          <w:sz w:val="24"/>
          <w:szCs w:val="24"/>
        </w:rPr>
        <w:t xml:space="preserve">to government entities are </w:t>
      </w:r>
      <w:r w:rsidR="001A797D">
        <w:rPr>
          <w:rFonts w:ascii="Times New Roman" w:hAnsi="Times New Roman"/>
          <w:color w:val="auto"/>
          <w:sz w:val="24"/>
          <w:szCs w:val="24"/>
        </w:rPr>
        <w:t>outlined in Table 3.</w:t>
      </w:r>
      <w:r w:rsidR="00E47FDB">
        <w:rPr>
          <w:rFonts w:ascii="Times New Roman" w:hAnsi="Times New Roman"/>
          <w:color w:val="auto"/>
          <w:sz w:val="24"/>
          <w:szCs w:val="24"/>
        </w:rPr>
        <w:t xml:space="preserve"> It should be noted that while five entities receive transfers, only four report to the EDD. </w:t>
      </w:r>
      <w:r w:rsidR="00E47FDB">
        <w:rPr>
          <w:rFonts w:ascii="Times New Roman" w:hAnsi="Times New Roman"/>
          <w:sz w:val="24"/>
        </w:rPr>
        <w:t xml:space="preserve">The </w:t>
      </w:r>
      <w:r w:rsidR="00E47FDB" w:rsidRPr="0050782F">
        <w:rPr>
          <w:rFonts w:ascii="Times New Roman" w:hAnsi="Times New Roman"/>
          <w:sz w:val="24"/>
        </w:rPr>
        <w:t xml:space="preserve">Small Enterprise Finance Agency </w:t>
      </w:r>
      <w:r w:rsidR="00E47FDB">
        <w:rPr>
          <w:rFonts w:ascii="Times New Roman" w:hAnsi="Times New Roman"/>
          <w:sz w:val="24"/>
        </w:rPr>
        <w:t>(</w:t>
      </w:r>
      <w:r w:rsidR="00E47FDB" w:rsidRPr="00A07B1C">
        <w:rPr>
          <w:rFonts w:ascii="Times New Roman" w:hAnsi="Times New Roman"/>
          <w:sz w:val="24"/>
        </w:rPr>
        <w:t>SEFA</w:t>
      </w:r>
      <w:r w:rsidR="00E47FDB">
        <w:rPr>
          <w:rFonts w:ascii="Times New Roman" w:hAnsi="Times New Roman"/>
          <w:sz w:val="24"/>
        </w:rPr>
        <w:t>)</w:t>
      </w:r>
      <w:r w:rsidR="00E47FDB" w:rsidRPr="00A07B1C">
        <w:rPr>
          <w:rFonts w:ascii="Times New Roman" w:hAnsi="Times New Roman"/>
          <w:sz w:val="24"/>
        </w:rPr>
        <w:t xml:space="preserve"> is a subsidiary of the IDC but is administered by the Department of Small Business Development. However, a decision was taken </w:t>
      </w:r>
      <w:r w:rsidR="00E47FDB">
        <w:rPr>
          <w:rFonts w:ascii="Times New Roman" w:hAnsi="Times New Roman"/>
          <w:sz w:val="24"/>
        </w:rPr>
        <w:t xml:space="preserve">that because SEFA is a subsidiary to the IDC, which reports to the EDD, the EDD should facilitate the transfer </w:t>
      </w:r>
      <w:r w:rsidR="00E47FDB" w:rsidRPr="00A07B1C">
        <w:rPr>
          <w:rFonts w:ascii="Times New Roman" w:hAnsi="Times New Roman"/>
          <w:sz w:val="24"/>
        </w:rPr>
        <w:t xml:space="preserve">to SEFA. </w:t>
      </w:r>
    </w:p>
    <w:p w14:paraId="4D23451F" w14:textId="77777777" w:rsidR="0051112C" w:rsidRDefault="0051112C" w:rsidP="00E40757">
      <w:pPr>
        <w:spacing w:line="360" w:lineRule="auto"/>
        <w:jc w:val="both"/>
        <w:rPr>
          <w:rFonts w:ascii="Times New Roman" w:hAnsi="Times New Roman"/>
          <w:color w:val="auto"/>
          <w:sz w:val="24"/>
          <w:szCs w:val="24"/>
        </w:rPr>
      </w:pPr>
    </w:p>
    <w:p w14:paraId="5D1F8ADB" w14:textId="77777777" w:rsidR="004C0934" w:rsidRPr="00A07B1C" w:rsidRDefault="00B26721" w:rsidP="00B26721">
      <w:pPr>
        <w:spacing w:line="360" w:lineRule="auto"/>
        <w:jc w:val="both"/>
        <w:rPr>
          <w:rFonts w:ascii="Times New Roman" w:hAnsi="Times New Roman"/>
          <w:b/>
          <w:sz w:val="24"/>
          <w:lang w:eastAsia="en-ZA"/>
        </w:rPr>
      </w:pPr>
      <w:r w:rsidRPr="00A07B1C">
        <w:rPr>
          <w:rFonts w:ascii="Times New Roman" w:hAnsi="Times New Roman"/>
          <w:b/>
          <w:sz w:val="24"/>
          <w:lang w:eastAsia="en-ZA"/>
        </w:rPr>
        <w:lastRenderedPageBreak/>
        <w:t>T</w:t>
      </w:r>
      <w:r w:rsidR="004274F4" w:rsidRPr="00A07B1C">
        <w:rPr>
          <w:rFonts w:ascii="Times New Roman" w:hAnsi="Times New Roman"/>
          <w:b/>
          <w:sz w:val="24"/>
          <w:lang w:eastAsia="en-ZA"/>
        </w:rPr>
        <w:t>able 3</w:t>
      </w:r>
      <w:r w:rsidRPr="00A07B1C">
        <w:rPr>
          <w:rFonts w:ascii="Times New Roman" w:hAnsi="Times New Roman"/>
          <w:b/>
          <w:sz w:val="24"/>
          <w:lang w:eastAsia="en-ZA"/>
        </w:rPr>
        <w:t xml:space="preserve">: Transfers to the Department’s entities </w:t>
      </w:r>
    </w:p>
    <w:tbl>
      <w:tblPr>
        <w:tblW w:w="9633" w:type="dxa"/>
        <w:tblInd w:w="-5" w:type="dxa"/>
        <w:tblLook w:val="04A0" w:firstRow="1" w:lastRow="0" w:firstColumn="1" w:lastColumn="0" w:noHBand="0" w:noVBand="1"/>
      </w:tblPr>
      <w:tblGrid>
        <w:gridCol w:w="4278"/>
        <w:gridCol w:w="1615"/>
        <w:gridCol w:w="1350"/>
        <w:gridCol w:w="1114"/>
        <w:gridCol w:w="1276"/>
      </w:tblGrid>
      <w:tr w:rsidR="000167CA" w:rsidRPr="00A07B1C" w14:paraId="011D29A1" w14:textId="77777777" w:rsidTr="00CF1410">
        <w:trPr>
          <w:trHeight w:val="792"/>
          <w:tblHeader/>
        </w:trPr>
        <w:tc>
          <w:tcPr>
            <w:tcW w:w="427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E1ED02C" w14:textId="77777777" w:rsidR="000167CA" w:rsidRPr="00A07B1C" w:rsidRDefault="000167CA" w:rsidP="00857C1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Entity</w:t>
            </w:r>
          </w:p>
          <w:p w14:paraId="1F24EEF2" w14:textId="77777777" w:rsidR="000167CA" w:rsidRPr="00A07B1C" w:rsidRDefault="000167CA" w:rsidP="00F46774">
            <w:pPr>
              <w:jc w:val="center"/>
              <w:rPr>
                <w:rFonts w:ascii="Times New Roman" w:hAnsi="Times New Roman"/>
                <w:b/>
                <w:bCs/>
                <w:color w:val="auto"/>
                <w:sz w:val="22"/>
                <w:szCs w:val="22"/>
                <w:lang w:eastAsia="en-ZA"/>
              </w:rPr>
            </w:pPr>
            <w:r w:rsidRPr="00A07B1C">
              <w:rPr>
                <w:rFonts w:ascii="Times New Roman" w:hAnsi="Times New Roman"/>
                <w:b/>
                <w:color w:val="auto"/>
                <w:sz w:val="22"/>
                <w:szCs w:val="22"/>
                <w:lang w:eastAsia="en-ZA"/>
              </w:rPr>
              <w:t xml:space="preserve">(R </w:t>
            </w:r>
            <w:r w:rsidR="00F46774" w:rsidRPr="00A07B1C">
              <w:rPr>
                <w:rFonts w:ascii="Times New Roman" w:hAnsi="Times New Roman"/>
                <w:b/>
                <w:color w:val="auto"/>
                <w:sz w:val="22"/>
                <w:szCs w:val="22"/>
                <w:lang w:eastAsia="en-ZA"/>
              </w:rPr>
              <w:t>million</w:t>
            </w:r>
            <w:r w:rsidRPr="00A07B1C">
              <w:rPr>
                <w:rFonts w:ascii="Times New Roman" w:hAnsi="Times New Roman"/>
                <w:b/>
                <w:color w:val="auto"/>
                <w:sz w:val="22"/>
                <w:szCs w:val="22"/>
                <w:lang w:eastAsia="en-ZA"/>
              </w:rPr>
              <w:t>)</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EF6DEA" w14:textId="77777777" w:rsidR="000167CA" w:rsidRPr="00A07B1C" w:rsidRDefault="000167CA" w:rsidP="00857C1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Adjusted appropriation</w:t>
            </w:r>
          </w:p>
        </w:tc>
        <w:tc>
          <w:tcPr>
            <w:tcW w:w="374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588619" w14:textId="77777777" w:rsidR="000167CA" w:rsidRPr="00A07B1C" w:rsidRDefault="000167CA" w:rsidP="00857C1C">
            <w:pPr>
              <w:jc w:val="center"/>
              <w:rPr>
                <w:rFonts w:ascii="Times New Roman" w:hAnsi="Times New Roman"/>
                <w:color w:val="auto"/>
                <w:sz w:val="22"/>
                <w:szCs w:val="22"/>
                <w:lang w:eastAsia="en-ZA"/>
              </w:rPr>
            </w:pPr>
            <w:r w:rsidRPr="00A07B1C">
              <w:rPr>
                <w:rFonts w:ascii="Times New Roman" w:hAnsi="Times New Roman"/>
                <w:b/>
                <w:bCs/>
                <w:color w:val="auto"/>
                <w:sz w:val="22"/>
                <w:szCs w:val="22"/>
                <w:lang w:eastAsia="en-ZA"/>
              </w:rPr>
              <w:t>Medium-term expenditure estimate</w:t>
            </w:r>
          </w:p>
        </w:tc>
      </w:tr>
      <w:tr w:rsidR="000167CA" w:rsidRPr="00A07B1C" w14:paraId="5261FBB4" w14:textId="77777777" w:rsidTr="00CF1410">
        <w:trPr>
          <w:trHeight w:val="264"/>
          <w:tblHeader/>
        </w:trPr>
        <w:tc>
          <w:tcPr>
            <w:tcW w:w="4278"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14:paraId="56D2AFF9" w14:textId="77777777" w:rsidR="000167CA" w:rsidRPr="00A07B1C" w:rsidRDefault="000167CA" w:rsidP="00857C1C">
            <w:pPr>
              <w:jc w:val="center"/>
              <w:rPr>
                <w:rFonts w:ascii="Times New Roman" w:hAnsi="Times New Roman"/>
                <w:b/>
                <w:bCs/>
                <w:color w:val="auto"/>
                <w:sz w:val="22"/>
                <w:szCs w:val="22"/>
                <w:lang w:eastAsia="en-ZA"/>
              </w:rPr>
            </w:pPr>
          </w:p>
        </w:tc>
        <w:tc>
          <w:tcPr>
            <w:tcW w:w="161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BB5BCEC" w14:textId="77777777" w:rsidR="000167CA" w:rsidRPr="00A07B1C" w:rsidRDefault="000167CA" w:rsidP="00857C1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2018/19</w:t>
            </w:r>
          </w:p>
        </w:tc>
        <w:tc>
          <w:tcPr>
            <w:tcW w:w="1350" w:type="dxa"/>
            <w:tcBorders>
              <w:top w:val="nil"/>
              <w:left w:val="nil"/>
              <w:bottom w:val="single" w:sz="4" w:space="0" w:color="auto"/>
              <w:right w:val="single" w:sz="4" w:space="0" w:color="auto"/>
            </w:tcBorders>
            <w:shd w:val="clear" w:color="auto" w:fill="BFBFBF" w:themeFill="background1" w:themeFillShade="BF"/>
            <w:noWrap/>
            <w:vAlign w:val="center"/>
            <w:hideMark/>
          </w:tcPr>
          <w:p w14:paraId="361D8A65" w14:textId="77777777" w:rsidR="000167CA" w:rsidRPr="00A07B1C" w:rsidRDefault="000167CA" w:rsidP="00857C1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2019/20</w:t>
            </w:r>
          </w:p>
        </w:tc>
        <w:tc>
          <w:tcPr>
            <w:tcW w:w="1114" w:type="dxa"/>
            <w:tcBorders>
              <w:top w:val="nil"/>
              <w:left w:val="nil"/>
              <w:bottom w:val="single" w:sz="4" w:space="0" w:color="auto"/>
              <w:right w:val="single" w:sz="4" w:space="0" w:color="auto"/>
            </w:tcBorders>
            <w:shd w:val="clear" w:color="auto" w:fill="BFBFBF" w:themeFill="background1" w:themeFillShade="BF"/>
            <w:noWrap/>
            <w:vAlign w:val="center"/>
            <w:hideMark/>
          </w:tcPr>
          <w:p w14:paraId="26530475" w14:textId="77777777" w:rsidR="000167CA" w:rsidRPr="00A07B1C" w:rsidRDefault="000167CA" w:rsidP="00857C1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2020/21</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59DEC615" w14:textId="77777777" w:rsidR="000167CA" w:rsidRPr="00A07B1C" w:rsidRDefault="000167CA" w:rsidP="00857C1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2021/22</w:t>
            </w:r>
          </w:p>
        </w:tc>
      </w:tr>
      <w:tr w:rsidR="000167CA" w:rsidRPr="00A07B1C" w14:paraId="2DD42F52" w14:textId="77777777" w:rsidTr="000167CA">
        <w:trPr>
          <w:trHeight w:val="528"/>
        </w:trPr>
        <w:tc>
          <w:tcPr>
            <w:tcW w:w="9633" w:type="dxa"/>
            <w:gridSpan w:val="5"/>
            <w:tcBorders>
              <w:top w:val="nil"/>
              <w:left w:val="single" w:sz="4" w:space="0" w:color="auto"/>
              <w:bottom w:val="single" w:sz="4" w:space="0" w:color="auto"/>
              <w:right w:val="single" w:sz="4" w:space="0" w:color="auto"/>
            </w:tcBorders>
            <w:shd w:val="clear" w:color="auto" w:fill="auto"/>
            <w:vAlign w:val="center"/>
          </w:tcPr>
          <w:p w14:paraId="14020DB2" w14:textId="77777777" w:rsidR="000167CA" w:rsidRPr="00A07B1C" w:rsidRDefault="000167CA" w:rsidP="00CF1410">
            <w:pPr>
              <w:jc w:val="both"/>
              <w:rPr>
                <w:rFonts w:ascii="Times New Roman" w:hAnsi="Times New Roman"/>
                <w:b/>
                <w:i/>
                <w:sz w:val="22"/>
                <w:szCs w:val="22"/>
                <w:lang w:eastAsia="en-ZA"/>
              </w:rPr>
            </w:pPr>
            <w:r w:rsidRPr="00A07B1C">
              <w:rPr>
                <w:rFonts w:ascii="Times New Roman" w:hAnsi="Times New Roman"/>
                <w:b/>
                <w:i/>
                <w:sz w:val="22"/>
                <w:szCs w:val="22"/>
                <w:lang w:eastAsia="en-ZA"/>
              </w:rPr>
              <w:t>Regulatory institutions</w:t>
            </w:r>
          </w:p>
        </w:tc>
      </w:tr>
      <w:tr w:rsidR="000167CA" w:rsidRPr="00A07B1C" w14:paraId="09A8EA7C" w14:textId="77777777" w:rsidTr="000167CA">
        <w:trPr>
          <w:trHeight w:val="528"/>
        </w:trPr>
        <w:tc>
          <w:tcPr>
            <w:tcW w:w="4278" w:type="dxa"/>
            <w:tcBorders>
              <w:top w:val="single" w:sz="4" w:space="0" w:color="auto"/>
              <w:left w:val="single" w:sz="4" w:space="0" w:color="auto"/>
              <w:bottom w:val="single" w:sz="4" w:space="0" w:color="auto"/>
              <w:right w:val="single" w:sz="4" w:space="0" w:color="auto"/>
            </w:tcBorders>
            <w:shd w:val="clear" w:color="auto" w:fill="auto"/>
            <w:vAlign w:val="center"/>
          </w:tcPr>
          <w:p w14:paraId="40282578" w14:textId="77777777" w:rsidR="000167CA" w:rsidRPr="00A07B1C" w:rsidRDefault="000167CA" w:rsidP="000167CA">
            <w:pPr>
              <w:rPr>
                <w:rFonts w:ascii="Times New Roman" w:hAnsi="Times New Roman"/>
                <w:sz w:val="22"/>
                <w:szCs w:val="22"/>
                <w:lang w:eastAsia="en-ZA"/>
              </w:rPr>
            </w:pPr>
            <w:r w:rsidRPr="00A07B1C">
              <w:rPr>
                <w:rFonts w:ascii="Times New Roman" w:hAnsi="Times New Roman"/>
                <w:sz w:val="22"/>
                <w:szCs w:val="22"/>
                <w:lang w:eastAsia="en-ZA"/>
              </w:rPr>
              <w:t>Competition Commission</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24DC6"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281,</w:t>
            </w:r>
            <w:r w:rsidR="000167CA" w:rsidRPr="00A07B1C">
              <w:rPr>
                <w:rFonts w:ascii="Times New Roman" w:hAnsi="Times New Roman"/>
                <w:sz w:val="22"/>
                <w:szCs w:val="22"/>
                <w:lang w:eastAsia="en-ZA"/>
              </w:rPr>
              <w:t>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7DE9553"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295,</w:t>
            </w:r>
            <w:r w:rsidR="000167CA" w:rsidRPr="00A07B1C">
              <w:rPr>
                <w:rFonts w:ascii="Times New Roman" w:hAnsi="Times New Roman"/>
                <w:sz w:val="22"/>
                <w:szCs w:val="22"/>
                <w:lang w:eastAsia="en-ZA"/>
              </w:rPr>
              <w:t>4</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21135650"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311,</w:t>
            </w:r>
            <w:r w:rsidR="000167CA" w:rsidRPr="00A07B1C">
              <w:rPr>
                <w:rFonts w:ascii="Times New Roman" w:hAnsi="Times New Roman"/>
                <w:sz w:val="22"/>
                <w:szCs w:val="22"/>
                <w:lang w:eastAsia="en-ZA"/>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E307A3"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328,</w:t>
            </w:r>
            <w:r w:rsidR="000167CA" w:rsidRPr="00A07B1C">
              <w:rPr>
                <w:rFonts w:ascii="Times New Roman" w:hAnsi="Times New Roman"/>
                <w:sz w:val="22"/>
                <w:szCs w:val="22"/>
                <w:lang w:eastAsia="en-ZA"/>
              </w:rPr>
              <w:t>7</w:t>
            </w:r>
          </w:p>
        </w:tc>
      </w:tr>
      <w:tr w:rsidR="000167CA" w:rsidRPr="00A07B1C" w14:paraId="045A4AEB" w14:textId="77777777" w:rsidTr="000167CA">
        <w:trPr>
          <w:trHeight w:val="528"/>
        </w:trPr>
        <w:tc>
          <w:tcPr>
            <w:tcW w:w="4278" w:type="dxa"/>
            <w:tcBorders>
              <w:top w:val="single" w:sz="4" w:space="0" w:color="auto"/>
              <w:left w:val="single" w:sz="4" w:space="0" w:color="auto"/>
              <w:bottom w:val="single" w:sz="4" w:space="0" w:color="auto"/>
              <w:right w:val="single" w:sz="4" w:space="0" w:color="auto"/>
            </w:tcBorders>
            <w:shd w:val="clear" w:color="auto" w:fill="auto"/>
            <w:vAlign w:val="center"/>
          </w:tcPr>
          <w:p w14:paraId="30384AAC" w14:textId="77777777" w:rsidR="000167CA" w:rsidRPr="00A07B1C" w:rsidRDefault="000167CA" w:rsidP="000167CA">
            <w:pPr>
              <w:rPr>
                <w:rFonts w:ascii="Times New Roman" w:hAnsi="Times New Roman"/>
                <w:sz w:val="22"/>
                <w:szCs w:val="22"/>
                <w:lang w:eastAsia="en-ZA"/>
              </w:rPr>
            </w:pPr>
            <w:r w:rsidRPr="00A07B1C">
              <w:rPr>
                <w:rFonts w:ascii="Times New Roman" w:hAnsi="Times New Roman"/>
                <w:sz w:val="22"/>
                <w:szCs w:val="22"/>
                <w:lang w:eastAsia="en-ZA"/>
              </w:rPr>
              <w:t>Competition Tribunal</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58817"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35,</w:t>
            </w:r>
            <w:r w:rsidR="000167CA" w:rsidRPr="00A07B1C">
              <w:rPr>
                <w:rFonts w:ascii="Times New Roman" w:hAnsi="Times New Roman"/>
                <w:sz w:val="22"/>
                <w:szCs w:val="22"/>
                <w:lang w:eastAsia="en-ZA"/>
              </w:rPr>
              <w:t>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592D1DD" w14:textId="77777777" w:rsidR="000167CA" w:rsidRPr="00A07B1C" w:rsidRDefault="000167CA" w:rsidP="00CF1410">
            <w:pPr>
              <w:jc w:val="right"/>
              <w:rPr>
                <w:rFonts w:ascii="Times New Roman" w:hAnsi="Times New Roman"/>
                <w:sz w:val="22"/>
                <w:szCs w:val="22"/>
                <w:lang w:eastAsia="en-ZA"/>
              </w:rPr>
            </w:pPr>
            <w:r w:rsidRPr="00A07B1C">
              <w:rPr>
                <w:rFonts w:ascii="Times New Roman" w:hAnsi="Times New Roman"/>
                <w:sz w:val="22"/>
                <w:szCs w:val="22"/>
                <w:lang w:eastAsia="en-ZA"/>
              </w:rPr>
              <w:t>3</w:t>
            </w:r>
            <w:r w:rsidR="00F46774" w:rsidRPr="00A07B1C">
              <w:rPr>
                <w:rFonts w:ascii="Times New Roman" w:hAnsi="Times New Roman"/>
                <w:sz w:val="22"/>
                <w:szCs w:val="22"/>
                <w:lang w:eastAsia="en-ZA"/>
              </w:rPr>
              <w:t>6,</w:t>
            </w:r>
            <w:r w:rsidRPr="00A07B1C">
              <w:rPr>
                <w:rFonts w:ascii="Times New Roman" w:hAnsi="Times New Roman"/>
                <w:sz w:val="22"/>
                <w:szCs w:val="22"/>
                <w:lang w:eastAsia="en-ZA"/>
              </w:rPr>
              <w:t>2</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7C8A00B2"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38,</w:t>
            </w:r>
            <w:r w:rsidR="000167CA" w:rsidRPr="00A07B1C">
              <w:rPr>
                <w:rFonts w:ascii="Times New Roman" w:hAnsi="Times New Roman"/>
                <w:sz w:val="22"/>
                <w:szCs w:val="22"/>
                <w:lang w:eastAsia="en-ZA"/>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499EB4"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40,</w:t>
            </w:r>
            <w:r w:rsidR="000167CA" w:rsidRPr="00A07B1C">
              <w:rPr>
                <w:rFonts w:ascii="Times New Roman" w:hAnsi="Times New Roman"/>
                <w:sz w:val="22"/>
                <w:szCs w:val="22"/>
                <w:lang w:eastAsia="en-ZA"/>
              </w:rPr>
              <w:t>3</w:t>
            </w:r>
          </w:p>
        </w:tc>
      </w:tr>
      <w:tr w:rsidR="000167CA" w:rsidRPr="00A07B1C" w14:paraId="1DEAB376" w14:textId="77777777" w:rsidTr="000167CA">
        <w:trPr>
          <w:trHeight w:val="528"/>
        </w:trPr>
        <w:tc>
          <w:tcPr>
            <w:tcW w:w="4278" w:type="dxa"/>
            <w:tcBorders>
              <w:top w:val="single" w:sz="4" w:space="0" w:color="auto"/>
              <w:left w:val="single" w:sz="4" w:space="0" w:color="auto"/>
              <w:bottom w:val="single" w:sz="4" w:space="0" w:color="auto"/>
              <w:right w:val="single" w:sz="4" w:space="0" w:color="auto"/>
            </w:tcBorders>
            <w:shd w:val="clear" w:color="auto" w:fill="auto"/>
            <w:vAlign w:val="center"/>
          </w:tcPr>
          <w:p w14:paraId="16F8BF96" w14:textId="77777777" w:rsidR="000167CA" w:rsidRPr="00A07B1C" w:rsidRDefault="000167CA" w:rsidP="0050782F">
            <w:pPr>
              <w:rPr>
                <w:rFonts w:ascii="Times New Roman" w:hAnsi="Times New Roman"/>
                <w:sz w:val="22"/>
                <w:szCs w:val="22"/>
                <w:lang w:eastAsia="en-ZA"/>
              </w:rPr>
            </w:pPr>
            <w:r w:rsidRPr="00A07B1C">
              <w:rPr>
                <w:rFonts w:ascii="Times New Roman" w:hAnsi="Times New Roman"/>
                <w:sz w:val="22"/>
              </w:rPr>
              <w:t xml:space="preserve">International Trade Administration Commission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AA965"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102,</w:t>
            </w:r>
            <w:r w:rsidR="000167CA" w:rsidRPr="00A07B1C">
              <w:rPr>
                <w:rFonts w:ascii="Times New Roman" w:hAnsi="Times New Roman"/>
                <w:sz w:val="22"/>
                <w:szCs w:val="22"/>
                <w:lang w:eastAsia="en-ZA"/>
              </w:rPr>
              <w:t>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2A1619B" w14:textId="77777777" w:rsidR="000167CA" w:rsidRPr="00A07B1C" w:rsidRDefault="000167CA" w:rsidP="00CF1410">
            <w:pPr>
              <w:jc w:val="right"/>
              <w:rPr>
                <w:rFonts w:ascii="Times New Roman" w:hAnsi="Times New Roman"/>
                <w:sz w:val="22"/>
                <w:szCs w:val="22"/>
                <w:lang w:eastAsia="en-ZA"/>
              </w:rPr>
            </w:pPr>
            <w:r w:rsidRPr="00A07B1C">
              <w:rPr>
                <w:rFonts w:ascii="Times New Roman" w:hAnsi="Times New Roman"/>
                <w:sz w:val="22"/>
                <w:szCs w:val="22"/>
                <w:lang w:eastAsia="en-ZA"/>
              </w:rPr>
              <w:t>1</w:t>
            </w:r>
            <w:r w:rsidR="00F46774" w:rsidRPr="00A07B1C">
              <w:rPr>
                <w:rFonts w:ascii="Times New Roman" w:hAnsi="Times New Roman"/>
                <w:sz w:val="22"/>
                <w:szCs w:val="22"/>
                <w:lang w:eastAsia="en-ZA"/>
              </w:rPr>
              <w:t>06,</w:t>
            </w:r>
            <w:r w:rsidRPr="00A07B1C">
              <w:rPr>
                <w:rFonts w:ascii="Times New Roman" w:hAnsi="Times New Roman"/>
                <w:sz w:val="22"/>
                <w:szCs w:val="22"/>
                <w:lang w:eastAsia="en-ZA"/>
              </w:rPr>
              <w:t>9</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42A4FF2"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112,</w:t>
            </w:r>
            <w:r w:rsidR="000167CA" w:rsidRPr="00A07B1C">
              <w:rPr>
                <w:rFonts w:ascii="Times New Roman" w:hAnsi="Times New Roman"/>
                <w:sz w:val="22"/>
                <w:szCs w:val="22"/>
                <w:lang w:eastAsia="en-ZA"/>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49F28C"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119,</w:t>
            </w:r>
            <w:r w:rsidR="000167CA" w:rsidRPr="00A07B1C">
              <w:rPr>
                <w:rFonts w:ascii="Times New Roman" w:hAnsi="Times New Roman"/>
                <w:sz w:val="22"/>
                <w:szCs w:val="22"/>
                <w:lang w:eastAsia="en-ZA"/>
              </w:rPr>
              <w:t>0</w:t>
            </w:r>
          </w:p>
        </w:tc>
      </w:tr>
      <w:tr w:rsidR="000167CA" w:rsidRPr="00A07B1C" w14:paraId="4B3962D1" w14:textId="77777777" w:rsidTr="000167CA">
        <w:trPr>
          <w:trHeight w:val="528"/>
        </w:trPr>
        <w:tc>
          <w:tcPr>
            <w:tcW w:w="9633" w:type="dxa"/>
            <w:gridSpan w:val="5"/>
            <w:tcBorders>
              <w:top w:val="single" w:sz="4" w:space="0" w:color="auto"/>
              <w:left w:val="single" w:sz="4" w:space="0" w:color="auto"/>
              <w:bottom w:val="single" w:sz="4" w:space="0" w:color="auto"/>
            </w:tcBorders>
            <w:shd w:val="clear" w:color="auto" w:fill="auto"/>
            <w:vAlign w:val="center"/>
          </w:tcPr>
          <w:p w14:paraId="4FF37E19" w14:textId="77777777" w:rsidR="000167CA" w:rsidRPr="00A07B1C" w:rsidRDefault="000167CA" w:rsidP="000167CA">
            <w:pPr>
              <w:rPr>
                <w:rFonts w:ascii="Times New Roman" w:hAnsi="Times New Roman"/>
                <w:b/>
                <w:i/>
                <w:sz w:val="22"/>
                <w:szCs w:val="22"/>
                <w:lang w:eastAsia="en-ZA"/>
              </w:rPr>
            </w:pPr>
            <w:r w:rsidRPr="00A07B1C">
              <w:rPr>
                <w:rFonts w:ascii="Times New Roman" w:hAnsi="Times New Roman"/>
                <w:b/>
                <w:i/>
                <w:sz w:val="22"/>
                <w:szCs w:val="22"/>
                <w:lang w:eastAsia="en-ZA"/>
              </w:rPr>
              <w:t>Developmental finance institutions</w:t>
            </w:r>
          </w:p>
        </w:tc>
      </w:tr>
      <w:tr w:rsidR="000167CA" w:rsidRPr="00A07B1C" w14:paraId="05AC659B" w14:textId="77777777" w:rsidTr="000167CA">
        <w:trPr>
          <w:trHeight w:val="528"/>
        </w:trPr>
        <w:tc>
          <w:tcPr>
            <w:tcW w:w="4278" w:type="dxa"/>
            <w:tcBorders>
              <w:top w:val="single" w:sz="4" w:space="0" w:color="auto"/>
              <w:left w:val="single" w:sz="4" w:space="0" w:color="auto"/>
              <w:bottom w:val="single" w:sz="4" w:space="0" w:color="auto"/>
              <w:right w:val="single" w:sz="4" w:space="0" w:color="auto"/>
            </w:tcBorders>
            <w:shd w:val="clear" w:color="auto" w:fill="auto"/>
            <w:vAlign w:val="center"/>
          </w:tcPr>
          <w:p w14:paraId="7390CEAE" w14:textId="77777777" w:rsidR="000167CA" w:rsidRPr="00A07B1C" w:rsidRDefault="000167CA" w:rsidP="0050782F">
            <w:pPr>
              <w:rPr>
                <w:rFonts w:ascii="Times New Roman" w:hAnsi="Times New Roman"/>
                <w:sz w:val="22"/>
                <w:szCs w:val="22"/>
                <w:lang w:eastAsia="en-ZA"/>
              </w:rPr>
            </w:pPr>
            <w:r w:rsidRPr="00A07B1C">
              <w:rPr>
                <w:rFonts w:ascii="Times New Roman" w:hAnsi="Times New Roman"/>
                <w:sz w:val="22"/>
              </w:rPr>
              <w:t xml:space="preserve">Industrial Development Corporation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5D27D"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285,</w:t>
            </w:r>
            <w:r w:rsidR="000167CA" w:rsidRPr="00A07B1C">
              <w:rPr>
                <w:rFonts w:ascii="Times New Roman" w:hAnsi="Times New Roman"/>
                <w:sz w:val="22"/>
                <w:szCs w:val="22"/>
                <w:lang w:eastAsia="en-ZA"/>
              </w:rPr>
              <w:t>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78C0D5"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218,</w:t>
            </w:r>
            <w:r w:rsidR="000167CA" w:rsidRPr="00A07B1C">
              <w:rPr>
                <w:rFonts w:ascii="Times New Roman" w:hAnsi="Times New Roman"/>
                <w:sz w:val="22"/>
                <w:szCs w:val="22"/>
                <w:lang w:eastAsia="en-ZA"/>
              </w:rPr>
              <w:t>0</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B8A606D"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220,</w:t>
            </w:r>
            <w:r w:rsidR="000167CA" w:rsidRPr="00A07B1C">
              <w:rPr>
                <w:rFonts w:ascii="Times New Roman" w:hAnsi="Times New Roman"/>
                <w:sz w:val="22"/>
                <w:szCs w:val="22"/>
                <w:lang w:eastAsia="en-ZA"/>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A22684"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262,</w:t>
            </w:r>
            <w:r w:rsidR="000167CA" w:rsidRPr="00A07B1C">
              <w:rPr>
                <w:rFonts w:ascii="Times New Roman" w:hAnsi="Times New Roman"/>
                <w:sz w:val="22"/>
                <w:szCs w:val="22"/>
                <w:lang w:eastAsia="en-ZA"/>
              </w:rPr>
              <w:t>5</w:t>
            </w:r>
          </w:p>
        </w:tc>
      </w:tr>
      <w:tr w:rsidR="000167CA" w:rsidRPr="00A07B1C" w14:paraId="49EFCE10" w14:textId="77777777" w:rsidTr="000167CA">
        <w:trPr>
          <w:trHeight w:val="528"/>
        </w:trPr>
        <w:tc>
          <w:tcPr>
            <w:tcW w:w="4278" w:type="dxa"/>
            <w:tcBorders>
              <w:top w:val="single" w:sz="4" w:space="0" w:color="auto"/>
              <w:left w:val="single" w:sz="4" w:space="0" w:color="auto"/>
              <w:bottom w:val="single" w:sz="4" w:space="0" w:color="auto"/>
              <w:right w:val="single" w:sz="4" w:space="0" w:color="auto"/>
            </w:tcBorders>
            <w:shd w:val="clear" w:color="auto" w:fill="auto"/>
            <w:vAlign w:val="center"/>
          </w:tcPr>
          <w:p w14:paraId="41C2A202" w14:textId="77777777" w:rsidR="000167CA" w:rsidRPr="00A07B1C" w:rsidRDefault="000167CA" w:rsidP="0050782F">
            <w:pPr>
              <w:rPr>
                <w:rFonts w:ascii="Times New Roman" w:hAnsi="Times New Roman"/>
                <w:sz w:val="22"/>
                <w:szCs w:val="22"/>
                <w:lang w:eastAsia="en-ZA"/>
              </w:rPr>
            </w:pPr>
            <w:r w:rsidRPr="00A07B1C">
              <w:rPr>
                <w:rFonts w:ascii="Times New Roman" w:hAnsi="Times New Roman"/>
                <w:sz w:val="22"/>
                <w:szCs w:val="22"/>
                <w:lang w:eastAsia="en-ZA"/>
              </w:rPr>
              <w:t xml:space="preserve">Small Enterprise Finance Agency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DF121"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228,</w:t>
            </w:r>
            <w:r w:rsidR="000167CA" w:rsidRPr="00A07B1C">
              <w:rPr>
                <w:rFonts w:ascii="Times New Roman" w:hAnsi="Times New Roman"/>
                <w:sz w:val="22"/>
                <w:szCs w:val="22"/>
                <w:lang w:eastAsia="en-ZA"/>
              </w:rPr>
              <w:t>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1A866FE"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241,</w:t>
            </w:r>
            <w:r w:rsidR="000167CA" w:rsidRPr="00A07B1C">
              <w:rPr>
                <w:rFonts w:ascii="Times New Roman" w:hAnsi="Times New Roman"/>
                <w:sz w:val="22"/>
                <w:szCs w:val="22"/>
                <w:lang w:eastAsia="en-ZA"/>
              </w:rPr>
              <w:t>5</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0483D640"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254,</w:t>
            </w:r>
            <w:r w:rsidR="000167CA" w:rsidRPr="00A07B1C">
              <w:rPr>
                <w:rFonts w:ascii="Times New Roman" w:hAnsi="Times New Roman"/>
                <w:sz w:val="22"/>
                <w:szCs w:val="22"/>
                <w:lang w:eastAsia="en-ZA"/>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BEFCA9" w14:textId="77777777" w:rsidR="000167CA" w:rsidRPr="00A07B1C" w:rsidRDefault="00F46774" w:rsidP="00CF1410">
            <w:pPr>
              <w:jc w:val="right"/>
              <w:rPr>
                <w:rFonts w:ascii="Times New Roman" w:hAnsi="Times New Roman"/>
                <w:sz w:val="22"/>
                <w:szCs w:val="22"/>
                <w:lang w:eastAsia="en-ZA"/>
              </w:rPr>
            </w:pPr>
            <w:r w:rsidRPr="00A07B1C">
              <w:rPr>
                <w:rFonts w:ascii="Times New Roman" w:hAnsi="Times New Roman"/>
                <w:sz w:val="22"/>
                <w:szCs w:val="22"/>
                <w:lang w:eastAsia="en-ZA"/>
              </w:rPr>
              <w:t>268,</w:t>
            </w:r>
            <w:r w:rsidR="000167CA" w:rsidRPr="00A07B1C">
              <w:rPr>
                <w:rFonts w:ascii="Times New Roman" w:hAnsi="Times New Roman"/>
                <w:sz w:val="22"/>
                <w:szCs w:val="22"/>
                <w:lang w:eastAsia="en-ZA"/>
              </w:rPr>
              <w:t>7</w:t>
            </w:r>
          </w:p>
        </w:tc>
      </w:tr>
    </w:tbl>
    <w:p w14:paraId="0FC12085" w14:textId="77777777" w:rsidR="00857C1C" w:rsidRPr="00A07B1C" w:rsidRDefault="009D4365" w:rsidP="004C0934">
      <w:pPr>
        <w:spacing w:line="360" w:lineRule="auto"/>
        <w:contextualSpacing/>
        <w:jc w:val="both"/>
        <w:rPr>
          <w:rFonts w:ascii="Times New Roman" w:hAnsi="Times New Roman"/>
          <w:sz w:val="22"/>
        </w:rPr>
      </w:pPr>
      <w:r w:rsidRPr="00A07B1C">
        <w:rPr>
          <w:rFonts w:ascii="Times New Roman" w:hAnsi="Times New Roman"/>
          <w:sz w:val="22"/>
        </w:rPr>
        <w:t>Source: National Treasury (2019</w:t>
      </w:r>
      <w:r w:rsidR="004E783C" w:rsidRPr="00A07B1C">
        <w:rPr>
          <w:rFonts w:ascii="Times New Roman" w:hAnsi="Times New Roman"/>
          <w:sz w:val="22"/>
        </w:rPr>
        <w:t>b</w:t>
      </w:r>
      <w:r w:rsidRPr="00A07B1C">
        <w:rPr>
          <w:rFonts w:ascii="Times New Roman" w:hAnsi="Times New Roman"/>
          <w:sz w:val="22"/>
        </w:rPr>
        <w:t>: 530)</w:t>
      </w:r>
    </w:p>
    <w:p w14:paraId="7F094696" w14:textId="77777777" w:rsidR="00493FE3" w:rsidRPr="00A07B1C" w:rsidRDefault="00493FE3" w:rsidP="004C0934">
      <w:pPr>
        <w:spacing w:line="360" w:lineRule="auto"/>
        <w:contextualSpacing/>
        <w:jc w:val="both"/>
        <w:rPr>
          <w:rFonts w:ascii="Times New Roman" w:hAnsi="Times New Roman"/>
          <w:sz w:val="24"/>
        </w:rPr>
      </w:pPr>
    </w:p>
    <w:p w14:paraId="21E5D225" w14:textId="77777777" w:rsidR="00493FE3" w:rsidRPr="00A07B1C" w:rsidRDefault="00493FE3" w:rsidP="004C0934">
      <w:pPr>
        <w:spacing w:line="360" w:lineRule="auto"/>
        <w:contextualSpacing/>
        <w:jc w:val="both"/>
        <w:rPr>
          <w:rFonts w:ascii="Times New Roman" w:hAnsi="Times New Roman"/>
          <w:sz w:val="24"/>
        </w:rPr>
      </w:pPr>
      <w:r w:rsidRPr="00A07B1C">
        <w:rPr>
          <w:rFonts w:ascii="Times New Roman" w:hAnsi="Times New Roman"/>
          <w:sz w:val="24"/>
        </w:rPr>
        <w:t xml:space="preserve">While the IDC is a self-funding developmental finance institution that is able to raise </w:t>
      </w:r>
      <w:r w:rsidR="006F3DB6">
        <w:rPr>
          <w:rFonts w:ascii="Times New Roman" w:hAnsi="Times New Roman"/>
          <w:sz w:val="24"/>
        </w:rPr>
        <w:t>funds from equity markets, it has been</w:t>
      </w:r>
      <w:r w:rsidRPr="00A07B1C">
        <w:rPr>
          <w:rFonts w:ascii="Times New Roman" w:hAnsi="Times New Roman"/>
          <w:sz w:val="24"/>
        </w:rPr>
        <w:t xml:space="preserve"> receiving transfers from the EDD since the 2017/18 financial year. </w:t>
      </w:r>
      <w:r w:rsidR="00816ED3" w:rsidRPr="00A07B1C">
        <w:rPr>
          <w:rFonts w:ascii="Times New Roman" w:hAnsi="Times New Roman"/>
          <w:sz w:val="24"/>
        </w:rPr>
        <w:t xml:space="preserve">In the 2019/20 financial year, the R218,8 million was for the administration of the following: </w:t>
      </w:r>
    </w:p>
    <w:p w14:paraId="08BB8D6B" w14:textId="77777777" w:rsidR="00816ED3" w:rsidRPr="00A07B1C" w:rsidRDefault="00816ED3" w:rsidP="005E6788">
      <w:pPr>
        <w:pStyle w:val="ListParagraph"/>
        <w:numPr>
          <w:ilvl w:val="0"/>
          <w:numId w:val="36"/>
        </w:numPr>
        <w:spacing w:line="360" w:lineRule="auto"/>
        <w:contextualSpacing/>
        <w:jc w:val="both"/>
      </w:pPr>
      <w:r w:rsidRPr="00A07B1C">
        <w:rPr>
          <w:i/>
        </w:rPr>
        <w:t>Steel Development Fund</w:t>
      </w:r>
      <w:r w:rsidRPr="00A07B1C">
        <w:t xml:space="preserve">: </w:t>
      </w:r>
      <w:r w:rsidR="005E6788" w:rsidRPr="00A07B1C">
        <w:t>R35 million was allocated to finance a number of initiatives to address competitiveness issues. These include the modernisation of plant machinery and equipment; upgrading of plant machinery and equipment to meet quality assurance requirements; capacity expansion of existing plants; process improvements for cost efficiencies and productivity and assist with plant optimization; working capital requirements or revolving facility; assistance with the achievement of industry quality certification and standards; development and testing of prototypes, as well as the testing and certification of new products.</w:t>
      </w:r>
    </w:p>
    <w:p w14:paraId="1E2CE949" w14:textId="77777777" w:rsidR="00816ED3" w:rsidRPr="00A07B1C" w:rsidRDefault="00816ED3" w:rsidP="00791A5E">
      <w:pPr>
        <w:pStyle w:val="ListParagraph"/>
        <w:numPr>
          <w:ilvl w:val="0"/>
          <w:numId w:val="36"/>
        </w:numPr>
        <w:spacing w:line="360" w:lineRule="auto"/>
        <w:contextualSpacing/>
        <w:jc w:val="both"/>
      </w:pPr>
      <w:proofErr w:type="spellStart"/>
      <w:r w:rsidRPr="00A07B1C">
        <w:rPr>
          <w:i/>
        </w:rPr>
        <w:t>Tirisano</w:t>
      </w:r>
      <w:proofErr w:type="spellEnd"/>
      <w:r w:rsidRPr="00A07B1C">
        <w:rPr>
          <w:i/>
        </w:rPr>
        <w:t xml:space="preserve"> Trust Fund</w:t>
      </w:r>
      <w:r w:rsidRPr="00A07B1C">
        <w:t xml:space="preserve">: </w:t>
      </w:r>
      <w:r w:rsidR="00791A5E" w:rsidRPr="00A07B1C">
        <w:t xml:space="preserve">The IDC is the administrator for this </w:t>
      </w:r>
      <w:r w:rsidR="006F3DB6">
        <w:t>T</w:t>
      </w:r>
      <w:r w:rsidR="006F3DB6" w:rsidRPr="00A07B1C">
        <w:t xml:space="preserve">rust </w:t>
      </w:r>
      <w:r w:rsidR="00791A5E" w:rsidRPr="00A07B1C">
        <w:t xml:space="preserve">Fund, which has been allocated </w:t>
      </w:r>
      <w:r w:rsidRPr="00A07B1C">
        <w:t>R123 million</w:t>
      </w:r>
      <w:r w:rsidR="00791A5E" w:rsidRPr="00A07B1C">
        <w:t xml:space="preserve"> this financial year. The Fund seeks to contribute to the transformation of the construction industry by developing and promoting black-owned and managed construction firms; funding engineering, building science and quantity surveying studies</w:t>
      </w:r>
      <w:r w:rsidR="006F3DB6">
        <w:t>,</w:t>
      </w:r>
      <w:r w:rsidR="00791A5E" w:rsidRPr="00A07B1C">
        <w:t xml:space="preserve"> and artisan training for previously disadvantaged people; supporting and enhancing mathematics and science education at public schools; and funding social infrastructure build programmes.</w:t>
      </w:r>
    </w:p>
    <w:p w14:paraId="3BFE5DD3" w14:textId="77777777" w:rsidR="00816ED3" w:rsidRPr="00A07B1C" w:rsidRDefault="00816ED3" w:rsidP="00816ED3">
      <w:pPr>
        <w:pStyle w:val="ListParagraph"/>
        <w:numPr>
          <w:ilvl w:val="0"/>
          <w:numId w:val="36"/>
        </w:numPr>
        <w:spacing w:line="360" w:lineRule="auto"/>
        <w:contextualSpacing/>
        <w:jc w:val="both"/>
      </w:pPr>
      <w:r w:rsidRPr="00A07B1C">
        <w:rPr>
          <w:i/>
        </w:rPr>
        <w:lastRenderedPageBreak/>
        <w:t>Presidential Infrastructure Coordinating Commission</w:t>
      </w:r>
      <w:r w:rsidRPr="00A07B1C">
        <w:t>: R60 million</w:t>
      </w:r>
      <w:r w:rsidR="00B80C7F" w:rsidRPr="00A07B1C">
        <w:t xml:space="preserve"> was allocated for the 2019/20 financial year, of which R15 million is for the</w:t>
      </w:r>
      <w:r w:rsidR="00AB7FAB" w:rsidRPr="00A07B1C">
        <w:t xml:space="preserve"> IDC’s role in supporting the</w:t>
      </w:r>
      <w:r w:rsidR="00B80C7F" w:rsidRPr="00A07B1C">
        <w:t xml:space="preserve"> PICC secretariat and R45 million </w:t>
      </w:r>
      <w:r w:rsidR="00AB7FAB" w:rsidRPr="00A07B1C">
        <w:t>to support the</w:t>
      </w:r>
      <w:r w:rsidR="00B80C7F" w:rsidRPr="00A07B1C">
        <w:t xml:space="preserve"> PICC’s</w:t>
      </w:r>
      <w:r w:rsidR="00813776" w:rsidRPr="00A07B1C">
        <w:t xml:space="preserve"> Technical Project Management Unit. </w:t>
      </w:r>
    </w:p>
    <w:p w14:paraId="28624C5C" w14:textId="77777777" w:rsidR="00E47FDB" w:rsidRPr="00A07B1C" w:rsidRDefault="00E47FDB" w:rsidP="004C0934">
      <w:pPr>
        <w:spacing w:line="360" w:lineRule="auto"/>
        <w:contextualSpacing/>
        <w:jc w:val="both"/>
        <w:rPr>
          <w:highlight w:val="yellow"/>
        </w:rPr>
      </w:pPr>
    </w:p>
    <w:p w14:paraId="5E181DB1" w14:textId="77777777" w:rsidR="006A7D0D" w:rsidRPr="00A07B1C" w:rsidRDefault="006A7D0D" w:rsidP="00E40757">
      <w:pPr>
        <w:numPr>
          <w:ilvl w:val="0"/>
          <w:numId w:val="6"/>
        </w:numPr>
        <w:spacing w:line="360" w:lineRule="auto"/>
        <w:jc w:val="both"/>
        <w:rPr>
          <w:rFonts w:ascii="Times New Roman" w:hAnsi="Times New Roman"/>
          <w:b/>
          <w:sz w:val="24"/>
          <w:szCs w:val="24"/>
        </w:rPr>
      </w:pPr>
      <w:r w:rsidRPr="00A07B1C">
        <w:rPr>
          <w:rFonts w:ascii="Times New Roman" w:hAnsi="Times New Roman"/>
          <w:b/>
          <w:sz w:val="24"/>
          <w:szCs w:val="24"/>
        </w:rPr>
        <w:t>Department of Trade and Industry’s Annual Performance Plan and Budget</w:t>
      </w:r>
    </w:p>
    <w:p w14:paraId="5E37F8F3" w14:textId="77777777" w:rsidR="00CB29CD" w:rsidRPr="00A07B1C" w:rsidRDefault="00CB29CD" w:rsidP="00E40757">
      <w:pPr>
        <w:spacing w:line="360" w:lineRule="auto"/>
        <w:jc w:val="both"/>
        <w:rPr>
          <w:rFonts w:ascii="Times New Roman" w:hAnsi="Times New Roman"/>
          <w:sz w:val="24"/>
          <w:szCs w:val="24"/>
        </w:rPr>
      </w:pPr>
    </w:p>
    <w:p w14:paraId="24566077" w14:textId="77777777" w:rsidR="00E40757" w:rsidRPr="00A07B1C" w:rsidRDefault="00E40757" w:rsidP="00E40757">
      <w:pPr>
        <w:spacing w:line="360" w:lineRule="auto"/>
        <w:jc w:val="both"/>
        <w:rPr>
          <w:rFonts w:ascii="Times New Roman" w:hAnsi="Times New Roman"/>
          <w:bCs/>
          <w:sz w:val="24"/>
          <w:szCs w:val="24"/>
        </w:rPr>
      </w:pPr>
      <w:r w:rsidRPr="00A07B1C">
        <w:rPr>
          <w:rFonts w:ascii="Times New Roman" w:hAnsi="Times New Roman"/>
          <w:bCs/>
          <w:sz w:val="24"/>
          <w:szCs w:val="24"/>
        </w:rPr>
        <w:t xml:space="preserve">The </w:t>
      </w:r>
      <w:r w:rsidR="00B07008" w:rsidRPr="00A07B1C">
        <w:rPr>
          <w:rFonts w:ascii="Times New Roman" w:hAnsi="Times New Roman"/>
          <w:bCs/>
          <w:sz w:val="24"/>
          <w:szCs w:val="24"/>
        </w:rPr>
        <w:t>DTI</w:t>
      </w:r>
      <w:r w:rsidRPr="00A07B1C">
        <w:rPr>
          <w:rFonts w:ascii="Times New Roman" w:hAnsi="Times New Roman"/>
          <w:bCs/>
          <w:sz w:val="24"/>
          <w:szCs w:val="24"/>
        </w:rPr>
        <w:t xml:space="preserve"> is mandated to create a diverse and globally competitive economy through industrialisation which is characterised by inclusive growth and development, decent employment and equity for all South Africans. To implement its mandate, the </w:t>
      </w:r>
      <w:r w:rsidR="00B07008" w:rsidRPr="00A07B1C">
        <w:rPr>
          <w:rFonts w:ascii="Times New Roman" w:hAnsi="Times New Roman"/>
          <w:bCs/>
          <w:sz w:val="24"/>
          <w:szCs w:val="24"/>
        </w:rPr>
        <w:t>DTI</w:t>
      </w:r>
      <w:r w:rsidRPr="00A07B1C">
        <w:rPr>
          <w:rFonts w:ascii="Times New Roman" w:hAnsi="Times New Roman"/>
          <w:bCs/>
          <w:sz w:val="24"/>
          <w:szCs w:val="24"/>
        </w:rPr>
        <w:t xml:space="preserve"> provides financial support in the form of incentives to promote the development of industries and the participation of black people in economic activities; it develops legislation; attracts and facilitates private investments</w:t>
      </w:r>
      <w:r w:rsidR="00032666">
        <w:rPr>
          <w:rFonts w:ascii="Times New Roman" w:hAnsi="Times New Roman"/>
          <w:bCs/>
          <w:sz w:val="24"/>
          <w:szCs w:val="24"/>
        </w:rPr>
        <w:t>;</w:t>
      </w:r>
      <w:r w:rsidRPr="00A07B1C">
        <w:rPr>
          <w:rFonts w:ascii="Times New Roman" w:hAnsi="Times New Roman"/>
          <w:bCs/>
          <w:sz w:val="24"/>
          <w:szCs w:val="24"/>
        </w:rPr>
        <w:t xml:space="preserve"> and promotes international and regional trade.  </w:t>
      </w:r>
    </w:p>
    <w:p w14:paraId="20BF7512" w14:textId="77777777" w:rsidR="00E40757" w:rsidRPr="00A07B1C" w:rsidRDefault="00E40757" w:rsidP="00E40757">
      <w:pPr>
        <w:spacing w:line="360" w:lineRule="auto"/>
        <w:jc w:val="both"/>
        <w:rPr>
          <w:rFonts w:ascii="Times New Roman" w:hAnsi="Times New Roman"/>
          <w:bCs/>
          <w:sz w:val="24"/>
          <w:szCs w:val="24"/>
        </w:rPr>
      </w:pPr>
    </w:p>
    <w:p w14:paraId="6BFB0416" w14:textId="77777777" w:rsidR="00E40757" w:rsidRPr="00A07B1C" w:rsidRDefault="00E40757" w:rsidP="00E40757">
      <w:pPr>
        <w:spacing w:line="360" w:lineRule="auto"/>
        <w:jc w:val="both"/>
        <w:rPr>
          <w:rFonts w:ascii="Times New Roman" w:hAnsi="Times New Roman"/>
          <w:bCs/>
          <w:sz w:val="24"/>
          <w:szCs w:val="24"/>
        </w:rPr>
      </w:pPr>
      <w:r w:rsidRPr="00A07B1C">
        <w:rPr>
          <w:rFonts w:ascii="Times New Roman" w:hAnsi="Times New Roman"/>
          <w:bCs/>
          <w:sz w:val="24"/>
          <w:szCs w:val="24"/>
        </w:rPr>
        <w:t xml:space="preserve">The </w:t>
      </w:r>
      <w:r w:rsidR="00E15AAC" w:rsidRPr="00A07B1C">
        <w:rPr>
          <w:rFonts w:ascii="Times New Roman" w:hAnsi="Times New Roman"/>
          <w:bCs/>
          <w:sz w:val="24"/>
          <w:szCs w:val="24"/>
        </w:rPr>
        <w:t>DTI’s</w:t>
      </w:r>
      <w:r w:rsidRPr="00A07B1C">
        <w:rPr>
          <w:rFonts w:ascii="Times New Roman" w:hAnsi="Times New Roman"/>
          <w:bCs/>
          <w:sz w:val="24"/>
          <w:szCs w:val="24"/>
        </w:rPr>
        <w:t xml:space="preserve"> strategic goals aim to</w:t>
      </w:r>
      <w:r w:rsidR="006D4844" w:rsidRPr="00A07B1C">
        <w:rPr>
          <w:rStyle w:val="FootnoteReference"/>
          <w:rFonts w:ascii="Times New Roman" w:hAnsi="Times New Roman"/>
          <w:bCs/>
          <w:sz w:val="24"/>
        </w:rPr>
        <w:footnoteReference w:id="28"/>
      </w:r>
      <w:r w:rsidRPr="00A07B1C">
        <w:rPr>
          <w:rFonts w:ascii="Times New Roman" w:hAnsi="Times New Roman"/>
          <w:bCs/>
          <w:sz w:val="24"/>
          <w:szCs w:val="24"/>
        </w:rPr>
        <w:t xml:space="preserve">: </w:t>
      </w:r>
    </w:p>
    <w:p w14:paraId="17D8A3F3" w14:textId="77777777" w:rsidR="00E40757" w:rsidRPr="00A07B1C" w:rsidRDefault="00E40757" w:rsidP="00E40757">
      <w:pPr>
        <w:pStyle w:val="ListParagraph"/>
        <w:numPr>
          <w:ilvl w:val="0"/>
          <w:numId w:val="13"/>
        </w:numPr>
        <w:spacing w:line="360" w:lineRule="auto"/>
        <w:contextualSpacing/>
        <w:jc w:val="both"/>
        <w:rPr>
          <w:bCs/>
        </w:rPr>
      </w:pPr>
      <w:r w:rsidRPr="00A07B1C">
        <w:rPr>
          <w:bCs/>
        </w:rPr>
        <w:t>Facilitate the transformation of the economy to promote industrial development, investment, competitiv</w:t>
      </w:r>
      <w:r w:rsidR="00F56CAA" w:rsidRPr="00A07B1C">
        <w:rPr>
          <w:bCs/>
        </w:rPr>
        <w:t>eness and employment creation;</w:t>
      </w:r>
    </w:p>
    <w:p w14:paraId="6D1660BD" w14:textId="77777777" w:rsidR="00E40757" w:rsidRPr="00A07B1C" w:rsidRDefault="00E40757" w:rsidP="00E40757">
      <w:pPr>
        <w:pStyle w:val="ListParagraph"/>
        <w:numPr>
          <w:ilvl w:val="0"/>
          <w:numId w:val="13"/>
        </w:numPr>
        <w:spacing w:line="360" w:lineRule="auto"/>
        <w:contextualSpacing/>
        <w:jc w:val="both"/>
        <w:rPr>
          <w:bCs/>
        </w:rPr>
      </w:pPr>
      <w:r w:rsidRPr="00A07B1C">
        <w:rPr>
          <w:bCs/>
        </w:rPr>
        <w:t>Build mutually beneficial regional and global relations to advance South Africa’s trade, industrial policy and ec</w:t>
      </w:r>
      <w:r w:rsidR="00F56CAA" w:rsidRPr="00A07B1C">
        <w:rPr>
          <w:bCs/>
        </w:rPr>
        <w:t>onomic development objectives;</w:t>
      </w:r>
    </w:p>
    <w:p w14:paraId="0E8A2D19" w14:textId="77777777" w:rsidR="00E40757" w:rsidRPr="00A07B1C" w:rsidRDefault="00E40757" w:rsidP="00E40757">
      <w:pPr>
        <w:pStyle w:val="ListParagraph"/>
        <w:numPr>
          <w:ilvl w:val="0"/>
          <w:numId w:val="13"/>
        </w:numPr>
        <w:spacing w:line="360" w:lineRule="auto"/>
        <w:contextualSpacing/>
        <w:jc w:val="both"/>
        <w:rPr>
          <w:bCs/>
        </w:rPr>
      </w:pPr>
      <w:r w:rsidRPr="00A07B1C">
        <w:rPr>
          <w:bCs/>
        </w:rPr>
        <w:t xml:space="preserve">Facilitate broad-based economic participation through targeted interventions to </w:t>
      </w:r>
      <w:r w:rsidR="00A21081" w:rsidRPr="00A07B1C">
        <w:rPr>
          <w:bCs/>
        </w:rPr>
        <w:t>achieve more inclusive growth;</w:t>
      </w:r>
    </w:p>
    <w:p w14:paraId="65F0C410" w14:textId="77777777" w:rsidR="00E40757" w:rsidRPr="00A07B1C" w:rsidRDefault="00E40757" w:rsidP="00E40757">
      <w:pPr>
        <w:pStyle w:val="ListParagraph"/>
        <w:numPr>
          <w:ilvl w:val="0"/>
          <w:numId w:val="13"/>
        </w:numPr>
        <w:spacing w:line="360" w:lineRule="auto"/>
        <w:contextualSpacing/>
        <w:jc w:val="both"/>
        <w:rPr>
          <w:bCs/>
        </w:rPr>
      </w:pPr>
      <w:r w:rsidRPr="00A07B1C">
        <w:rPr>
          <w:bCs/>
        </w:rPr>
        <w:t xml:space="preserve">Create a fair regulatory environment that enables investment, trade and enterprise development in an equitable and socially responsible manner; and  </w:t>
      </w:r>
    </w:p>
    <w:p w14:paraId="609E8B8D" w14:textId="77777777" w:rsidR="00E40757" w:rsidRPr="00A07B1C" w:rsidRDefault="00E40757" w:rsidP="00E40757">
      <w:pPr>
        <w:pStyle w:val="ListParagraph"/>
        <w:numPr>
          <w:ilvl w:val="0"/>
          <w:numId w:val="13"/>
        </w:numPr>
        <w:spacing w:line="360" w:lineRule="auto"/>
        <w:contextualSpacing/>
        <w:jc w:val="both"/>
        <w:rPr>
          <w:bCs/>
        </w:rPr>
      </w:pPr>
      <w:r w:rsidRPr="00A07B1C">
        <w:rPr>
          <w:bCs/>
        </w:rPr>
        <w:t xml:space="preserve">Promote a professional, ethical, dynamic, competitive and customer-focused working environment that ensures effective and efficient service delivery. </w:t>
      </w:r>
    </w:p>
    <w:p w14:paraId="3D5C9616" w14:textId="77777777" w:rsidR="00E40757" w:rsidRPr="00A07B1C" w:rsidRDefault="00E40757" w:rsidP="00E40757">
      <w:pPr>
        <w:spacing w:line="360" w:lineRule="auto"/>
        <w:jc w:val="both"/>
        <w:rPr>
          <w:rFonts w:ascii="Times New Roman" w:hAnsi="Times New Roman"/>
          <w:bCs/>
          <w:sz w:val="24"/>
          <w:szCs w:val="24"/>
        </w:rPr>
      </w:pPr>
    </w:p>
    <w:p w14:paraId="23F6991E" w14:textId="77777777" w:rsidR="00B07008" w:rsidRPr="00A07B1C" w:rsidRDefault="001A797D" w:rsidP="00B07008">
      <w:pPr>
        <w:spacing w:line="360" w:lineRule="auto"/>
        <w:jc w:val="both"/>
        <w:rPr>
          <w:rFonts w:ascii="Times New Roman" w:eastAsia="Calibri" w:hAnsi="Times New Roman"/>
          <w:sz w:val="24"/>
          <w:szCs w:val="24"/>
        </w:rPr>
      </w:pPr>
      <w:r>
        <w:rPr>
          <w:rFonts w:ascii="Times New Roman" w:eastAsia="Calibri" w:hAnsi="Times New Roman"/>
          <w:sz w:val="24"/>
          <w:szCs w:val="24"/>
        </w:rPr>
        <w:t>It</w:t>
      </w:r>
      <w:r w:rsidR="00B07008" w:rsidRPr="00A07B1C">
        <w:rPr>
          <w:rFonts w:ascii="Times New Roman" w:eastAsia="Calibri" w:hAnsi="Times New Roman"/>
          <w:sz w:val="24"/>
          <w:szCs w:val="24"/>
        </w:rPr>
        <w:t>s work and budget is divided among its eight programmes, namely</w:t>
      </w:r>
      <w:r w:rsidR="0070728A" w:rsidRPr="00A07B1C">
        <w:rPr>
          <w:rStyle w:val="FootnoteReference"/>
          <w:rFonts w:ascii="Times New Roman" w:eastAsia="Calibri" w:hAnsi="Times New Roman"/>
          <w:sz w:val="24"/>
          <w:szCs w:val="24"/>
        </w:rPr>
        <w:footnoteReference w:id="29"/>
      </w:r>
      <w:r w:rsidR="00B07008" w:rsidRPr="00A07B1C">
        <w:rPr>
          <w:rFonts w:ascii="Times New Roman" w:eastAsia="Calibri" w:hAnsi="Times New Roman"/>
          <w:sz w:val="24"/>
          <w:szCs w:val="24"/>
        </w:rPr>
        <w:t xml:space="preserve">:  </w:t>
      </w:r>
    </w:p>
    <w:p w14:paraId="465CE68B" w14:textId="77777777" w:rsidR="00B07008" w:rsidRPr="00A07B1C" w:rsidRDefault="005905A7" w:rsidP="00B07008">
      <w:pPr>
        <w:numPr>
          <w:ilvl w:val="0"/>
          <w:numId w:val="12"/>
        </w:numPr>
        <w:spacing w:line="360" w:lineRule="auto"/>
        <w:contextualSpacing/>
        <w:jc w:val="both"/>
        <w:rPr>
          <w:rFonts w:ascii="Times New Roman" w:eastAsia="Calibri" w:hAnsi="Times New Roman"/>
          <w:sz w:val="24"/>
          <w:szCs w:val="24"/>
        </w:rPr>
      </w:pPr>
      <w:r w:rsidRPr="00A07B1C">
        <w:rPr>
          <w:rFonts w:ascii="Times New Roman" w:eastAsia="Calibri" w:hAnsi="Times New Roman"/>
          <w:i/>
          <w:sz w:val="24"/>
          <w:szCs w:val="24"/>
        </w:rPr>
        <w:t>Programme 1: Administration</w:t>
      </w:r>
      <w:r w:rsidRPr="00A07B1C">
        <w:rPr>
          <w:rFonts w:ascii="Times New Roman" w:eastAsia="Calibri" w:hAnsi="Times New Roman"/>
          <w:sz w:val="24"/>
          <w:szCs w:val="24"/>
        </w:rPr>
        <w:t xml:space="preserve"> – P</w:t>
      </w:r>
      <w:r w:rsidRPr="00A07B1C">
        <w:rPr>
          <w:rFonts w:ascii="Times New Roman" w:hAnsi="Times New Roman"/>
          <w:bCs/>
          <w:sz w:val="24"/>
          <w:szCs w:val="24"/>
        </w:rPr>
        <w:t>rovides strategic leadership, management and support services to the department.</w:t>
      </w:r>
    </w:p>
    <w:p w14:paraId="750549BF" w14:textId="77777777" w:rsidR="00B07008" w:rsidRPr="00A07B1C" w:rsidRDefault="00B07008" w:rsidP="005905A7">
      <w:pPr>
        <w:numPr>
          <w:ilvl w:val="0"/>
          <w:numId w:val="12"/>
        </w:numPr>
        <w:spacing w:line="360" w:lineRule="auto"/>
        <w:contextualSpacing/>
        <w:jc w:val="both"/>
        <w:rPr>
          <w:rFonts w:ascii="Times New Roman" w:eastAsia="Calibri" w:hAnsi="Times New Roman"/>
          <w:sz w:val="24"/>
          <w:szCs w:val="24"/>
        </w:rPr>
      </w:pPr>
      <w:r w:rsidRPr="00A07B1C">
        <w:rPr>
          <w:rFonts w:ascii="Times New Roman" w:eastAsia="Calibri" w:hAnsi="Times New Roman"/>
          <w:i/>
          <w:sz w:val="24"/>
          <w:szCs w:val="24"/>
        </w:rPr>
        <w:t>Programme 2: International</w:t>
      </w:r>
      <w:r w:rsidR="005905A7" w:rsidRPr="00A07B1C">
        <w:rPr>
          <w:rFonts w:ascii="Times New Roman" w:eastAsia="Calibri" w:hAnsi="Times New Roman"/>
          <w:i/>
          <w:sz w:val="24"/>
          <w:szCs w:val="24"/>
        </w:rPr>
        <w:t xml:space="preserve"> Trade and Economic Development</w:t>
      </w:r>
      <w:r w:rsidR="005905A7" w:rsidRPr="00A07B1C">
        <w:rPr>
          <w:rFonts w:ascii="Times New Roman" w:eastAsia="Calibri" w:hAnsi="Times New Roman"/>
          <w:sz w:val="24"/>
          <w:szCs w:val="24"/>
        </w:rPr>
        <w:t xml:space="preserve"> – P</w:t>
      </w:r>
      <w:r w:rsidR="005905A7" w:rsidRPr="00A07B1C">
        <w:rPr>
          <w:rFonts w:ascii="Times New Roman" w:hAnsi="Times New Roman"/>
          <w:bCs/>
          <w:sz w:val="24"/>
          <w:szCs w:val="24"/>
        </w:rPr>
        <w:t>rovides direction on national trade policy to promote economic development; build</w:t>
      </w:r>
      <w:r w:rsidR="00032666">
        <w:rPr>
          <w:rFonts w:ascii="Times New Roman" w:hAnsi="Times New Roman"/>
          <w:bCs/>
          <w:sz w:val="24"/>
          <w:szCs w:val="24"/>
        </w:rPr>
        <w:t>s</w:t>
      </w:r>
      <w:r w:rsidR="005905A7" w:rsidRPr="00A07B1C">
        <w:rPr>
          <w:rFonts w:ascii="Times New Roman" w:hAnsi="Times New Roman"/>
          <w:bCs/>
          <w:sz w:val="24"/>
          <w:szCs w:val="24"/>
        </w:rPr>
        <w:t xml:space="preserve"> an equitable multilateral trading system; strengthen</w:t>
      </w:r>
      <w:r w:rsidR="00032666">
        <w:rPr>
          <w:rFonts w:ascii="Times New Roman" w:hAnsi="Times New Roman"/>
          <w:bCs/>
          <w:sz w:val="24"/>
          <w:szCs w:val="24"/>
        </w:rPr>
        <w:t>s</w:t>
      </w:r>
      <w:r w:rsidR="005905A7" w:rsidRPr="00A07B1C">
        <w:rPr>
          <w:rFonts w:ascii="Times New Roman" w:hAnsi="Times New Roman"/>
          <w:bCs/>
          <w:sz w:val="24"/>
          <w:szCs w:val="24"/>
        </w:rPr>
        <w:t xml:space="preserve"> trade and investment relationships; and promote African development. </w:t>
      </w:r>
    </w:p>
    <w:p w14:paraId="66EB09C3" w14:textId="77777777" w:rsidR="00B07008" w:rsidRPr="00A07B1C" w:rsidRDefault="00B07008" w:rsidP="005905A7">
      <w:pPr>
        <w:numPr>
          <w:ilvl w:val="0"/>
          <w:numId w:val="12"/>
        </w:numPr>
        <w:spacing w:line="360" w:lineRule="auto"/>
        <w:contextualSpacing/>
        <w:jc w:val="both"/>
        <w:rPr>
          <w:rFonts w:ascii="Times New Roman" w:eastAsia="Calibri" w:hAnsi="Times New Roman"/>
          <w:sz w:val="24"/>
          <w:szCs w:val="24"/>
        </w:rPr>
      </w:pPr>
      <w:r w:rsidRPr="00A07B1C">
        <w:rPr>
          <w:rFonts w:ascii="Times New Roman" w:eastAsia="Calibri" w:hAnsi="Times New Roman"/>
          <w:i/>
          <w:sz w:val="24"/>
          <w:szCs w:val="24"/>
        </w:rPr>
        <w:lastRenderedPageBreak/>
        <w:t>Programme 3: Special Economic Zo</w:t>
      </w:r>
      <w:r w:rsidR="005905A7" w:rsidRPr="00A07B1C">
        <w:rPr>
          <w:rFonts w:ascii="Times New Roman" w:eastAsia="Calibri" w:hAnsi="Times New Roman"/>
          <w:i/>
          <w:sz w:val="24"/>
          <w:szCs w:val="24"/>
        </w:rPr>
        <w:t>nes and Economic Transformation</w:t>
      </w:r>
      <w:r w:rsidR="005905A7" w:rsidRPr="00A07B1C">
        <w:rPr>
          <w:rFonts w:ascii="Times New Roman" w:eastAsia="Calibri" w:hAnsi="Times New Roman"/>
          <w:sz w:val="24"/>
          <w:szCs w:val="24"/>
        </w:rPr>
        <w:t xml:space="preserve"> – R</w:t>
      </w:r>
      <w:r w:rsidR="005905A7" w:rsidRPr="00A07B1C">
        <w:rPr>
          <w:rFonts w:ascii="Times New Roman" w:hAnsi="Times New Roman"/>
          <w:bCs/>
          <w:sz w:val="24"/>
          <w:szCs w:val="24"/>
        </w:rPr>
        <w:t>esponsible for the implementation of the Department’s main priorities and one of the strategic objectives, which is facilitating broad-based economic participation through inclusive growth. This is also done through developing Special Economic Zones and revitalising industrial parks.</w:t>
      </w:r>
    </w:p>
    <w:p w14:paraId="61E274E6" w14:textId="77777777" w:rsidR="00B07008" w:rsidRPr="00A07B1C" w:rsidRDefault="00B07008" w:rsidP="005905A7">
      <w:pPr>
        <w:numPr>
          <w:ilvl w:val="0"/>
          <w:numId w:val="12"/>
        </w:numPr>
        <w:spacing w:line="360" w:lineRule="auto"/>
        <w:contextualSpacing/>
        <w:jc w:val="both"/>
        <w:rPr>
          <w:rFonts w:ascii="Times New Roman" w:eastAsia="Calibri" w:hAnsi="Times New Roman"/>
          <w:sz w:val="24"/>
          <w:szCs w:val="24"/>
        </w:rPr>
      </w:pPr>
      <w:r w:rsidRPr="00A07B1C">
        <w:rPr>
          <w:rFonts w:ascii="Times New Roman" w:eastAsia="Calibri" w:hAnsi="Times New Roman"/>
          <w:i/>
          <w:sz w:val="24"/>
          <w:szCs w:val="24"/>
        </w:rPr>
        <w:t>Programme 4: Industrial Developmen</w:t>
      </w:r>
      <w:r w:rsidR="005905A7" w:rsidRPr="00A07B1C">
        <w:rPr>
          <w:rFonts w:ascii="Times New Roman" w:eastAsia="Calibri" w:hAnsi="Times New Roman"/>
          <w:i/>
          <w:sz w:val="24"/>
          <w:szCs w:val="24"/>
        </w:rPr>
        <w:t>t: Policy Development</w:t>
      </w:r>
      <w:r w:rsidR="005905A7" w:rsidRPr="00A07B1C">
        <w:rPr>
          <w:rFonts w:ascii="Times New Roman" w:eastAsia="Calibri" w:hAnsi="Times New Roman"/>
          <w:sz w:val="24"/>
          <w:szCs w:val="24"/>
        </w:rPr>
        <w:t xml:space="preserve"> – R</w:t>
      </w:r>
      <w:r w:rsidR="005905A7" w:rsidRPr="00A07B1C">
        <w:rPr>
          <w:rFonts w:ascii="Times New Roman" w:hAnsi="Times New Roman"/>
          <w:bCs/>
          <w:sz w:val="24"/>
          <w:szCs w:val="24"/>
        </w:rPr>
        <w:t xml:space="preserve">esponsible for the </w:t>
      </w:r>
      <w:r w:rsidR="00032666">
        <w:rPr>
          <w:rFonts w:ascii="Times New Roman" w:hAnsi="Times New Roman"/>
          <w:bCs/>
          <w:sz w:val="24"/>
          <w:szCs w:val="24"/>
        </w:rPr>
        <w:t>development</w:t>
      </w:r>
      <w:r w:rsidR="005905A7" w:rsidRPr="00A07B1C">
        <w:rPr>
          <w:rFonts w:ascii="Times New Roman" w:hAnsi="Times New Roman"/>
          <w:bCs/>
          <w:sz w:val="24"/>
          <w:szCs w:val="24"/>
        </w:rPr>
        <w:t xml:space="preserve"> and implementation of policies, strategies and programmes to develop the manufacturing and related sectors of the economy to contribute to </w:t>
      </w:r>
      <w:r w:rsidR="00E32AC4" w:rsidRPr="00A07B1C">
        <w:rPr>
          <w:rFonts w:ascii="Times New Roman" w:hAnsi="Times New Roman"/>
          <w:bCs/>
          <w:sz w:val="24"/>
          <w:szCs w:val="24"/>
        </w:rPr>
        <w:t>decent job</w:t>
      </w:r>
      <w:r w:rsidR="005905A7" w:rsidRPr="00A07B1C">
        <w:rPr>
          <w:rFonts w:ascii="Times New Roman" w:hAnsi="Times New Roman"/>
          <w:bCs/>
          <w:sz w:val="24"/>
          <w:szCs w:val="24"/>
        </w:rPr>
        <w:t xml:space="preserve"> creation, value-added manufactured products and enhanced competitiveness of South African products.</w:t>
      </w:r>
    </w:p>
    <w:p w14:paraId="47AB8D72" w14:textId="77777777" w:rsidR="00B07008" w:rsidRPr="00A07B1C" w:rsidRDefault="00B07008" w:rsidP="005905A7">
      <w:pPr>
        <w:numPr>
          <w:ilvl w:val="0"/>
          <w:numId w:val="12"/>
        </w:numPr>
        <w:spacing w:line="360" w:lineRule="auto"/>
        <w:contextualSpacing/>
        <w:jc w:val="both"/>
        <w:rPr>
          <w:rFonts w:ascii="Times New Roman" w:eastAsia="Calibri" w:hAnsi="Times New Roman"/>
          <w:sz w:val="24"/>
          <w:szCs w:val="24"/>
        </w:rPr>
      </w:pPr>
      <w:r w:rsidRPr="00A07B1C">
        <w:rPr>
          <w:rFonts w:ascii="Times New Roman" w:eastAsia="Calibri" w:hAnsi="Times New Roman"/>
          <w:i/>
          <w:sz w:val="24"/>
          <w:szCs w:val="24"/>
        </w:rPr>
        <w:t>Programme 5: Co</w:t>
      </w:r>
      <w:r w:rsidR="005905A7" w:rsidRPr="00A07B1C">
        <w:rPr>
          <w:rFonts w:ascii="Times New Roman" w:eastAsia="Calibri" w:hAnsi="Times New Roman"/>
          <w:i/>
          <w:sz w:val="24"/>
          <w:szCs w:val="24"/>
        </w:rPr>
        <w:t>nsumer and Corporate Regulation</w:t>
      </w:r>
      <w:r w:rsidR="005905A7" w:rsidRPr="00A07B1C">
        <w:rPr>
          <w:rFonts w:ascii="Times New Roman" w:eastAsia="Calibri" w:hAnsi="Times New Roman"/>
          <w:sz w:val="24"/>
          <w:szCs w:val="24"/>
        </w:rPr>
        <w:t xml:space="preserve"> – R</w:t>
      </w:r>
      <w:r w:rsidR="005905A7" w:rsidRPr="00A07B1C">
        <w:rPr>
          <w:rFonts w:ascii="Times New Roman" w:hAnsi="Times New Roman"/>
          <w:bCs/>
          <w:sz w:val="24"/>
          <w:szCs w:val="24"/>
        </w:rPr>
        <w:t>esponsible for the development, implementation, and monitoring of regulation that facilitates redress for South Africans by reducing the regulatory burden on small businesses, creating economic opportunities for previously disadvantaged South Africans, and creating competitive and fair markets. Furthermore, to attract domestic and foreign investment by increasing investor confidence through developing world class regulatory frameworks for monitoring compliance and enforcement; and creating competitive, fair and efficient markets by having effective financial, economic, governance and related regulatory institutions.</w:t>
      </w:r>
    </w:p>
    <w:p w14:paraId="1B5E2BDA" w14:textId="77777777" w:rsidR="00B07008" w:rsidRPr="00A07B1C" w:rsidRDefault="00B07008" w:rsidP="005905A7">
      <w:pPr>
        <w:numPr>
          <w:ilvl w:val="0"/>
          <w:numId w:val="12"/>
        </w:numPr>
        <w:spacing w:line="360" w:lineRule="auto"/>
        <w:contextualSpacing/>
        <w:jc w:val="both"/>
        <w:rPr>
          <w:rFonts w:ascii="Times New Roman" w:eastAsia="Calibri" w:hAnsi="Times New Roman"/>
          <w:sz w:val="24"/>
          <w:szCs w:val="24"/>
        </w:rPr>
      </w:pPr>
      <w:r w:rsidRPr="00A07B1C">
        <w:rPr>
          <w:rFonts w:ascii="Times New Roman" w:eastAsia="Calibri" w:hAnsi="Times New Roman"/>
          <w:i/>
          <w:sz w:val="24"/>
          <w:szCs w:val="24"/>
        </w:rPr>
        <w:t>Programme 6: Incentive Develop</w:t>
      </w:r>
      <w:r w:rsidR="001A797D">
        <w:rPr>
          <w:rFonts w:ascii="Times New Roman" w:eastAsia="Calibri" w:hAnsi="Times New Roman"/>
          <w:i/>
          <w:sz w:val="24"/>
          <w:szCs w:val="24"/>
        </w:rPr>
        <w:t>ment and</w:t>
      </w:r>
      <w:r w:rsidR="005905A7" w:rsidRPr="00A07B1C">
        <w:rPr>
          <w:rFonts w:ascii="Times New Roman" w:eastAsia="Calibri" w:hAnsi="Times New Roman"/>
          <w:i/>
          <w:sz w:val="24"/>
          <w:szCs w:val="24"/>
        </w:rPr>
        <w:t xml:space="preserve"> Incentive Administration</w:t>
      </w:r>
      <w:r w:rsidR="005905A7" w:rsidRPr="00A07B1C">
        <w:rPr>
          <w:rFonts w:ascii="Times New Roman" w:eastAsia="Calibri" w:hAnsi="Times New Roman"/>
          <w:sz w:val="24"/>
          <w:szCs w:val="24"/>
        </w:rPr>
        <w:t xml:space="preserve"> – </w:t>
      </w:r>
      <w:r w:rsidR="005905A7" w:rsidRPr="00A07B1C">
        <w:rPr>
          <w:rFonts w:ascii="Times New Roman" w:hAnsi="Times New Roman"/>
          <w:bCs/>
          <w:sz w:val="24"/>
          <w:szCs w:val="24"/>
        </w:rPr>
        <w:t>Responsible for improving the DTI’s incenti</w:t>
      </w:r>
      <w:r w:rsidR="00032666">
        <w:rPr>
          <w:rFonts w:ascii="Times New Roman" w:hAnsi="Times New Roman"/>
          <w:bCs/>
          <w:sz w:val="24"/>
          <w:szCs w:val="24"/>
        </w:rPr>
        <w:t>ve administration through develop</w:t>
      </w:r>
      <w:r w:rsidR="005905A7" w:rsidRPr="00A07B1C">
        <w:rPr>
          <w:rFonts w:ascii="Times New Roman" w:hAnsi="Times New Roman"/>
          <w:bCs/>
          <w:sz w:val="24"/>
          <w:szCs w:val="24"/>
        </w:rPr>
        <w:t>ing and implementing incentives and programmes that support investment, competitiveness, employment creation and equity.</w:t>
      </w:r>
    </w:p>
    <w:p w14:paraId="06C51115" w14:textId="77777777" w:rsidR="00B07008" w:rsidRPr="00A07B1C" w:rsidRDefault="00B07008" w:rsidP="00814C31">
      <w:pPr>
        <w:numPr>
          <w:ilvl w:val="0"/>
          <w:numId w:val="12"/>
        </w:numPr>
        <w:spacing w:line="360" w:lineRule="auto"/>
        <w:contextualSpacing/>
        <w:jc w:val="both"/>
        <w:rPr>
          <w:rFonts w:ascii="Times New Roman" w:eastAsia="Calibri" w:hAnsi="Times New Roman"/>
          <w:sz w:val="24"/>
          <w:szCs w:val="24"/>
        </w:rPr>
      </w:pPr>
      <w:r w:rsidRPr="00A07B1C">
        <w:rPr>
          <w:rFonts w:ascii="Times New Roman" w:eastAsia="Calibri" w:hAnsi="Times New Roman"/>
          <w:i/>
          <w:sz w:val="24"/>
          <w:szCs w:val="24"/>
        </w:rPr>
        <w:t>Programme 7: Trade and Investment South Africa</w:t>
      </w:r>
      <w:r w:rsidR="00814C31" w:rsidRPr="00A07B1C">
        <w:rPr>
          <w:rFonts w:ascii="Times New Roman" w:eastAsia="Calibri" w:hAnsi="Times New Roman"/>
          <w:sz w:val="24"/>
          <w:szCs w:val="24"/>
        </w:rPr>
        <w:t xml:space="preserve"> – A</w:t>
      </w:r>
      <w:r w:rsidR="00814C31" w:rsidRPr="00A07B1C">
        <w:rPr>
          <w:rFonts w:ascii="Times New Roman" w:hAnsi="Times New Roman"/>
          <w:bCs/>
          <w:sz w:val="24"/>
          <w:szCs w:val="24"/>
        </w:rPr>
        <w:t>ims to increase the quality and quantity of exports by promoting South African products in high growth markets; facilitates access to markets for South African manufactured products and services; and enhances the ongoing promotion of exports and investment.</w:t>
      </w:r>
    </w:p>
    <w:p w14:paraId="512CFFA9" w14:textId="77777777" w:rsidR="00B07008" w:rsidRPr="00E15FA6" w:rsidRDefault="00B07008" w:rsidP="00B07008">
      <w:pPr>
        <w:numPr>
          <w:ilvl w:val="0"/>
          <w:numId w:val="12"/>
        </w:numPr>
        <w:spacing w:line="360" w:lineRule="auto"/>
        <w:contextualSpacing/>
        <w:jc w:val="both"/>
        <w:rPr>
          <w:rFonts w:ascii="Times New Roman" w:eastAsia="Calibri" w:hAnsi="Times New Roman"/>
          <w:sz w:val="24"/>
          <w:szCs w:val="24"/>
        </w:rPr>
      </w:pPr>
      <w:r w:rsidRPr="00A07B1C">
        <w:rPr>
          <w:rFonts w:ascii="Times New Roman" w:eastAsia="Calibri" w:hAnsi="Times New Roman"/>
          <w:i/>
          <w:sz w:val="24"/>
          <w:szCs w:val="24"/>
        </w:rPr>
        <w:t>Programme 8: Investment South Africa</w:t>
      </w:r>
      <w:r w:rsidR="00814C31" w:rsidRPr="00A07B1C">
        <w:rPr>
          <w:rFonts w:ascii="Times New Roman" w:eastAsia="Calibri" w:hAnsi="Times New Roman"/>
          <w:sz w:val="24"/>
          <w:szCs w:val="24"/>
        </w:rPr>
        <w:t xml:space="preserve"> – </w:t>
      </w:r>
      <w:r w:rsidR="00814C31" w:rsidRPr="00A07B1C">
        <w:rPr>
          <w:rFonts w:ascii="Times New Roman" w:hAnsi="Times New Roman"/>
          <w:bCs/>
          <w:sz w:val="24"/>
          <w:szCs w:val="24"/>
        </w:rPr>
        <w:t>Facilitates investment in the country by supporting both domestic and foreign investors and promotes domestic investment through one-stop shops for investment promotion, investor facilitation and aftercare support for investors.</w:t>
      </w:r>
    </w:p>
    <w:p w14:paraId="4658D69A" w14:textId="77777777" w:rsidR="00E15FA6" w:rsidRPr="00A07B1C" w:rsidRDefault="00E15FA6" w:rsidP="00E15FA6">
      <w:pPr>
        <w:spacing w:line="360" w:lineRule="auto"/>
        <w:contextualSpacing/>
        <w:jc w:val="both"/>
        <w:rPr>
          <w:rFonts w:ascii="Times New Roman" w:eastAsia="Calibri" w:hAnsi="Times New Roman"/>
          <w:sz w:val="24"/>
          <w:szCs w:val="24"/>
        </w:rPr>
      </w:pPr>
    </w:p>
    <w:p w14:paraId="592DB47A" w14:textId="77777777" w:rsidR="00E40757" w:rsidRPr="00A07B1C" w:rsidRDefault="00B07008" w:rsidP="00B07008">
      <w:pPr>
        <w:numPr>
          <w:ilvl w:val="1"/>
          <w:numId w:val="6"/>
        </w:numPr>
        <w:spacing w:line="360" w:lineRule="auto"/>
        <w:jc w:val="both"/>
        <w:rPr>
          <w:rFonts w:ascii="Times New Roman" w:hAnsi="Times New Roman"/>
          <w:b/>
          <w:sz w:val="24"/>
          <w:szCs w:val="24"/>
        </w:rPr>
      </w:pPr>
      <w:r w:rsidRPr="00A07B1C">
        <w:rPr>
          <w:rFonts w:ascii="Times New Roman" w:hAnsi="Times New Roman"/>
          <w:b/>
          <w:sz w:val="24"/>
          <w:szCs w:val="24"/>
        </w:rPr>
        <w:t xml:space="preserve">Budget </w:t>
      </w:r>
      <w:r w:rsidR="00291197" w:rsidRPr="00A07B1C">
        <w:rPr>
          <w:rFonts w:ascii="Times New Roman" w:hAnsi="Times New Roman"/>
          <w:b/>
          <w:sz w:val="24"/>
          <w:szCs w:val="24"/>
        </w:rPr>
        <w:t>Vote 34:</w:t>
      </w:r>
      <w:r w:rsidR="00C7541E" w:rsidRPr="00A07B1C">
        <w:rPr>
          <w:rFonts w:ascii="Times New Roman" w:hAnsi="Times New Roman"/>
          <w:b/>
          <w:sz w:val="24"/>
          <w:szCs w:val="24"/>
        </w:rPr>
        <w:t xml:space="preserve"> A</w:t>
      </w:r>
      <w:r w:rsidRPr="00A07B1C">
        <w:rPr>
          <w:rFonts w:ascii="Times New Roman" w:hAnsi="Times New Roman"/>
          <w:b/>
          <w:sz w:val="24"/>
          <w:szCs w:val="24"/>
        </w:rPr>
        <w:t xml:space="preserve">nalysis </w:t>
      </w:r>
      <w:r w:rsidR="00C7541E" w:rsidRPr="00A07B1C">
        <w:rPr>
          <w:rFonts w:ascii="Times New Roman" w:hAnsi="Times New Roman"/>
          <w:b/>
          <w:sz w:val="24"/>
          <w:szCs w:val="24"/>
        </w:rPr>
        <w:t>of</w:t>
      </w:r>
      <w:r w:rsidRPr="00A07B1C">
        <w:rPr>
          <w:rFonts w:ascii="Times New Roman" w:hAnsi="Times New Roman"/>
          <w:b/>
          <w:sz w:val="24"/>
          <w:szCs w:val="24"/>
        </w:rPr>
        <w:t xml:space="preserve"> the 2019/20 – 2021/22 financial period</w:t>
      </w:r>
    </w:p>
    <w:p w14:paraId="497180B0" w14:textId="77777777" w:rsidR="00E40757" w:rsidRPr="00A07B1C" w:rsidRDefault="00E40757" w:rsidP="00E40757">
      <w:pPr>
        <w:spacing w:line="360" w:lineRule="auto"/>
        <w:jc w:val="both"/>
        <w:rPr>
          <w:rFonts w:ascii="Times New Roman" w:hAnsi="Times New Roman"/>
          <w:sz w:val="24"/>
          <w:szCs w:val="24"/>
        </w:rPr>
      </w:pPr>
    </w:p>
    <w:p w14:paraId="2262CE02" w14:textId="77777777" w:rsidR="00E40757" w:rsidRPr="00A07B1C" w:rsidRDefault="00E40757" w:rsidP="00E40757">
      <w:pPr>
        <w:spacing w:line="360" w:lineRule="auto"/>
        <w:jc w:val="both"/>
        <w:rPr>
          <w:rFonts w:ascii="Times New Roman" w:eastAsia="Calibri" w:hAnsi="Times New Roman"/>
          <w:sz w:val="24"/>
          <w:szCs w:val="24"/>
        </w:rPr>
      </w:pPr>
      <w:r w:rsidRPr="00A07B1C">
        <w:rPr>
          <w:rFonts w:ascii="Times New Roman" w:eastAsia="Calibri" w:hAnsi="Times New Roman"/>
          <w:sz w:val="24"/>
          <w:szCs w:val="24"/>
        </w:rPr>
        <w:lastRenderedPageBreak/>
        <w:t xml:space="preserve">The </w:t>
      </w:r>
      <w:r w:rsidR="00B07008" w:rsidRPr="00A07B1C">
        <w:rPr>
          <w:rFonts w:ascii="Times New Roman" w:eastAsia="Calibri" w:hAnsi="Times New Roman"/>
          <w:sz w:val="24"/>
          <w:szCs w:val="24"/>
        </w:rPr>
        <w:t>DTI</w:t>
      </w:r>
      <w:r w:rsidR="00F56CAA" w:rsidRPr="00A07B1C">
        <w:rPr>
          <w:rFonts w:ascii="Times New Roman" w:eastAsia="Calibri" w:hAnsi="Times New Roman"/>
          <w:sz w:val="24"/>
          <w:szCs w:val="24"/>
        </w:rPr>
        <w:t>’s budget has increased from R9,</w:t>
      </w:r>
      <w:r w:rsidRPr="00A07B1C">
        <w:rPr>
          <w:rFonts w:ascii="Times New Roman" w:eastAsia="Calibri" w:hAnsi="Times New Roman"/>
          <w:sz w:val="24"/>
          <w:szCs w:val="24"/>
        </w:rPr>
        <w:t>53 billion in 2018/19 to R10,06 billion in the 2019/20 financial year in nominal terms, while the budget has increased by 5,5 percent in nominal terms, it has decreased by 0,32 percent in real terms. Given the expenditure estimates, the budget is expected to increase to</w:t>
      </w:r>
      <w:r w:rsidR="00B07008" w:rsidRPr="00A07B1C">
        <w:rPr>
          <w:rFonts w:ascii="Times New Roman" w:eastAsia="Calibri" w:hAnsi="Times New Roman"/>
          <w:sz w:val="24"/>
          <w:szCs w:val="24"/>
        </w:rPr>
        <w:t xml:space="preserve"> R10,6 billion in 2020/21, and </w:t>
      </w:r>
      <w:r w:rsidRPr="00A07B1C">
        <w:rPr>
          <w:rFonts w:ascii="Times New Roman" w:eastAsia="Calibri" w:hAnsi="Times New Roman"/>
          <w:sz w:val="24"/>
          <w:szCs w:val="24"/>
        </w:rPr>
        <w:t>decrease to R9,5 billion in 2021/22 in nominal terms.</w:t>
      </w:r>
      <w:r w:rsidRPr="00A07B1C">
        <w:rPr>
          <w:rStyle w:val="FootnoteReference"/>
          <w:rFonts w:ascii="Times New Roman" w:eastAsia="Calibri" w:hAnsi="Times New Roman"/>
          <w:sz w:val="24"/>
          <w:szCs w:val="24"/>
        </w:rPr>
        <w:footnoteReference w:id="30"/>
      </w:r>
      <w:r w:rsidRPr="00A07B1C">
        <w:rPr>
          <w:rFonts w:ascii="Times New Roman" w:eastAsia="Calibri" w:hAnsi="Times New Roman"/>
          <w:sz w:val="24"/>
          <w:szCs w:val="24"/>
        </w:rPr>
        <w:t xml:space="preserve"> </w:t>
      </w:r>
    </w:p>
    <w:p w14:paraId="4385F60C" w14:textId="77777777" w:rsidR="00F06649" w:rsidRPr="00A07B1C" w:rsidRDefault="00F06649" w:rsidP="00E40757">
      <w:pPr>
        <w:spacing w:line="360" w:lineRule="auto"/>
        <w:jc w:val="both"/>
        <w:rPr>
          <w:rFonts w:ascii="Times New Roman" w:eastAsia="Calibri" w:hAnsi="Times New Roman"/>
          <w:b/>
          <w:sz w:val="24"/>
          <w:szCs w:val="24"/>
        </w:rPr>
      </w:pPr>
    </w:p>
    <w:p w14:paraId="053D039A" w14:textId="77777777" w:rsidR="00E40757" w:rsidRPr="00A07B1C" w:rsidRDefault="00E40757" w:rsidP="00240721">
      <w:pPr>
        <w:numPr>
          <w:ilvl w:val="2"/>
          <w:numId w:val="6"/>
        </w:numPr>
        <w:spacing w:line="360" w:lineRule="auto"/>
        <w:jc w:val="both"/>
        <w:rPr>
          <w:rFonts w:ascii="Times New Roman" w:hAnsi="Times New Roman"/>
          <w:b/>
          <w:sz w:val="24"/>
          <w:szCs w:val="24"/>
        </w:rPr>
      </w:pPr>
      <w:bookmarkStart w:id="6" w:name="_Toc445039765"/>
      <w:bookmarkStart w:id="7" w:name="_Toc7510007"/>
      <w:r w:rsidRPr="00A07B1C">
        <w:rPr>
          <w:rFonts w:ascii="Times New Roman" w:hAnsi="Times New Roman"/>
          <w:b/>
          <w:sz w:val="24"/>
          <w:szCs w:val="24"/>
        </w:rPr>
        <w:t>Programme</w:t>
      </w:r>
      <w:bookmarkEnd w:id="6"/>
      <w:bookmarkEnd w:id="7"/>
      <w:r w:rsidR="00240721" w:rsidRPr="00A07B1C">
        <w:rPr>
          <w:rFonts w:ascii="Times New Roman" w:hAnsi="Times New Roman"/>
          <w:b/>
          <w:sz w:val="24"/>
          <w:szCs w:val="24"/>
        </w:rPr>
        <w:t xml:space="preserve"> Analysis</w:t>
      </w:r>
    </w:p>
    <w:p w14:paraId="10BFEB3D" w14:textId="77777777" w:rsidR="00E40757" w:rsidRPr="00A07B1C" w:rsidRDefault="00E40757" w:rsidP="00E40757">
      <w:pPr>
        <w:spacing w:line="360" w:lineRule="auto"/>
        <w:jc w:val="both"/>
        <w:rPr>
          <w:rFonts w:ascii="Times New Roman" w:eastAsia="Calibri" w:hAnsi="Times New Roman"/>
          <w:b/>
          <w:sz w:val="24"/>
          <w:szCs w:val="24"/>
        </w:rPr>
      </w:pPr>
    </w:p>
    <w:p w14:paraId="2DB030CB" w14:textId="77777777" w:rsidR="00E40757" w:rsidRPr="00A07B1C" w:rsidRDefault="00E40757" w:rsidP="00E40757">
      <w:pPr>
        <w:spacing w:line="360" w:lineRule="auto"/>
        <w:jc w:val="both"/>
        <w:rPr>
          <w:rFonts w:ascii="Times New Roman" w:eastAsia="Calibri" w:hAnsi="Times New Roman"/>
          <w:sz w:val="24"/>
          <w:szCs w:val="24"/>
        </w:rPr>
      </w:pPr>
      <w:r w:rsidRPr="00A07B1C">
        <w:rPr>
          <w:rFonts w:ascii="Times New Roman" w:eastAsia="Calibri" w:hAnsi="Times New Roman"/>
          <w:sz w:val="24"/>
          <w:szCs w:val="24"/>
        </w:rPr>
        <w:t xml:space="preserve">For the 2019/20 financial year, the </w:t>
      </w:r>
      <w:r w:rsidR="001A797D">
        <w:rPr>
          <w:rFonts w:ascii="Times New Roman" w:eastAsia="Calibri" w:hAnsi="Times New Roman"/>
          <w:sz w:val="24"/>
          <w:szCs w:val="24"/>
        </w:rPr>
        <w:t>DTI</w:t>
      </w:r>
      <w:r w:rsidRPr="00A07B1C">
        <w:rPr>
          <w:rFonts w:ascii="Times New Roman" w:eastAsia="Calibri" w:hAnsi="Times New Roman"/>
          <w:sz w:val="24"/>
          <w:szCs w:val="24"/>
        </w:rPr>
        <w:t xml:space="preserve">’s budget </w:t>
      </w:r>
      <w:r w:rsidR="001A797D">
        <w:rPr>
          <w:rFonts w:ascii="Times New Roman" w:eastAsia="Calibri" w:hAnsi="Times New Roman"/>
          <w:sz w:val="24"/>
          <w:szCs w:val="24"/>
        </w:rPr>
        <w:t>allocation per programme is as follows:</w:t>
      </w:r>
    </w:p>
    <w:p w14:paraId="5B4CA6F9" w14:textId="77777777" w:rsidR="00E40757" w:rsidRPr="00A07B1C" w:rsidRDefault="00E40757" w:rsidP="00E40757">
      <w:pPr>
        <w:spacing w:line="360" w:lineRule="auto"/>
        <w:contextualSpacing/>
        <w:jc w:val="both"/>
        <w:rPr>
          <w:rFonts w:ascii="Times New Roman" w:eastAsia="Calibri" w:hAnsi="Times New Roman"/>
          <w:sz w:val="24"/>
          <w:szCs w:val="24"/>
        </w:rPr>
      </w:pPr>
    </w:p>
    <w:p w14:paraId="26AE8662" w14:textId="77777777" w:rsidR="00673C45" w:rsidRPr="00A07B1C" w:rsidRDefault="004274F4" w:rsidP="00673C45">
      <w:pPr>
        <w:pStyle w:val="ListParagraph"/>
        <w:spacing w:line="360" w:lineRule="auto"/>
        <w:ind w:left="0"/>
        <w:jc w:val="both"/>
        <w:rPr>
          <w:b/>
        </w:rPr>
      </w:pPr>
      <w:r w:rsidRPr="00A07B1C">
        <w:rPr>
          <w:b/>
        </w:rPr>
        <w:t>Table 4</w:t>
      </w:r>
      <w:r w:rsidR="00673C45" w:rsidRPr="00A07B1C">
        <w:rPr>
          <w:b/>
        </w:rPr>
        <w:t xml:space="preserve">: Budget </w:t>
      </w:r>
      <w:r w:rsidR="00DE3B55" w:rsidRPr="00A07B1C">
        <w:rPr>
          <w:b/>
        </w:rPr>
        <w:t>a</w:t>
      </w:r>
      <w:r w:rsidR="00673C45" w:rsidRPr="00A07B1C">
        <w:rPr>
          <w:b/>
        </w:rPr>
        <w:t xml:space="preserve">llocation by </w:t>
      </w:r>
      <w:r w:rsidR="00DE3B55" w:rsidRPr="00A07B1C">
        <w:rPr>
          <w:b/>
        </w:rPr>
        <w:t>p</w:t>
      </w:r>
      <w:r w:rsidR="00673C45" w:rsidRPr="00A07B1C">
        <w:rPr>
          <w:b/>
        </w:rPr>
        <w:t>rogramme</w:t>
      </w:r>
      <w:r w:rsidR="00DE3B55" w:rsidRPr="00A07B1C">
        <w:rPr>
          <w:b/>
        </w:rPr>
        <w:t xml:space="preserve"> for the</w:t>
      </w:r>
      <w:r w:rsidR="00673C45" w:rsidRPr="00A07B1C">
        <w:rPr>
          <w:b/>
        </w:rPr>
        <w:t xml:space="preserve"> 2018/19 and 2019/20 Financial Year</w:t>
      </w:r>
    </w:p>
    <w:tbl>
      <w:tblPr>
        <w:tblW w:w="9781" w:type="dxa"/>
        <w:tblInd w:w="-5" w:type="dxa"/>
        <w:tblLayout w:type="fixed"/>
        <w:tblLook w:val="04A0" w:firstRow="1" w:lastRow="0" w:firstColumn="1" w:lastColumn="0" w:noHBand="0" w:noVBand="1"/>
      </w:tblPr>
      <w:tblGrid>
        <w:gridCol w:w="3686"/>
        <w:gridCol w:w="1701"/>
        <w:gridCol w:w="1346"/>
        <w:gridCol w:w="1524"/>
        <w:gridCol w:w="1524"/>
      </w:tblGrid>
      <w:tr w:rsidR="00673C45" w:rsidRPr="00A07B1C" w14:paraId="4E6A5B29" w14:textId="77777777" w:rsidTr="00733D60">
        <w:trPr>
          <w:trHeight w:val="1528"/>
        </w:trPr>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6634F9" w14:textId="77777777" w:rsidR="00673C45" w:rsidRPr="00A07B1C" w:rsidRDefault="00673C45" w:rsidP="00D1709C">
            <w:pPr>
              <w:ind w:left="1025" w:hanging="1025"/>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Programme</w:t>
            </w:r>
          </w:p>
          <w:p w14:paraId="3C0ADFFE" w14:textId="77777777" w:rsidR="00673C45" w:rsidRPr="00A07B1C" w:rsidRDefault="00673C45" w:rsidP="00D1709C">
            <w:pPr>
              <w:ind w:left="1025" w:hanging="1025"/>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(R million)</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3FDB35" w14:textId="77777777" w:rsidR="00673C45" w:rsidRPr="00A07B1C" w:rsidRDefault="00673C45" w:rsidP="00D1709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Adjusted appropriation</w:t>
            </w:r>
          </w:p>
          <w:p w14:paraId="14C9421E" w14:textId="77777777" w:rsidR="00673C45" w:rsidRPr="00A07B1C" w:rsidRDefault="00673C45" w:rsidP="00D1709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2018/19</w:t>
            </w:r>
          </w:p>
        </w:tc>
        <w:tc>
          <w:tcPr>
            <w:tcW w:w="134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7FA45C7" w14:textId="77777777" w:rsidR="00673C45" w:rsidRPr="00A07B1C" w:rsidRDefault="00673C45" w:rsidP="00D1709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Budget</w:t>
            </w:r>
          </w:p>
          <w:p w14:paraId="2753A4B5" w14:textId="77777777" w:rsidR="00673C45" w:rsidRPr="00A07B1C" w:rsidRDefault="00673C45" w:rsidP="00D1709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2019/20</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E27D2F" w14:textId="77777777" w:rsidR="00673C45" w:rsidRPr="00A07B1C" w:rsidRDefault="00673C45" w:rsidP="00D1709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Nominal Percentage change in 2019/20</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E94E36" w14:textId="77777777" w:rsidR="00673C45" w:rsidRPr="00A07B1C" w:rsidRDefault="00673C45" w:rsidP="00D1709C">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Real Percentage change in 2019/20</w:t>
            </w:r>
          </w:p>
        </w:tc>
      </w:tr>
      <w:tr w:rsidR="00673C45" w:rsidRPr="00A07B1C" w14:paraId="7C5D7B4A" w14:textId="77777777" w:rsidTr="00733D60">
        <w:trPr>
          <w:trHeight w:val="26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2329" w14:textId="77777777" w:rsidR="00673C45" w:rsidRPr="00A07B1C" w:rsidRDefault="00673C45" w:rsidP="00D1709C">
            <w:pPr>
              <w:jc w:val="both"/>
              <w:rPr>
                <w:rFonts w:ascii="Times New Roman" w:hAnsi="Times New Roman"/>
                <w:sz w:val="22"/>
                <w:szCs w:val="22"/>
                <w:lang w:eastAsia="en-ZA"/>
              </w:rPr>
            </w:pPr>
            <w:r w:rsidRPr="00A07B1C">
              <w:rPr>
                <w:rFonts w:ascii="Times New Roman" w:hAnsi="Times New Roman"/>
                <w:sz w:val="22"/>
                <w:szCs w:val="22"/>
                <w:lang w:eastAsia="en-ZA"/>
              </w:rPr>
              <w:t>Administration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A9D1FB"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837,3 </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2AE96E37"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803,5 </w:t>
            </w:r>
          </w:p>
        </w:tc>
        <w:tc>
          <w:tcPr>
            <w:tcW w:w="1524" w:type="dxa"/>
            <w:tcBorders>
              <w:top w:val="nil"/>
              <w:left w:val="nil"/>
              <w:bottom w:val="single" w:sz="4" w:space="0" w:color="auto"/>
              <w:right w:val="single" w:sz="4" w:space="0" w:color="auto"/>
            </w:tcBorders>
            <w:shd w:val="clear" w:color="auto" w:fill="auto"/>
            <w:noWrap/>
            <w:vAlign w:val="center"/>
            <w:hideMark/>
          </w:tcPr>
          <w:p w14:paraId="5835FA43"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-4,04%</w:t>
            </w:r>
          </w:p>
        </w:tc>
        <w:tc>
          <w:tcPr>
            <w:tcW w:w="1524" w:type="dxa"/>
            <w:tcBorders>
              <w:top w:val="nil"/>
              <w:left w:val="nil"/>
              <w:bottom w:val="single" w:sz="4" w:space="0" w:color="auto"/>
              <w:right w:val="single" w:sz="4" w:space="0" w:color="auto"/>
            </w:tcBorders>
            <w:shd w:val="clear" w:color="auto" w:fill="auto"/>
            <w:noWrap/>
            <w:vAlign w:val="center"/>
            <w:hideMark/>
          </w:tcPr>
          <w:p w14:paraId="29CEC4B7"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-8,78%</w:t>
            </w:r>
          </w:p>
        </w:tc>
      </w:tr>
      <w:tr w:rsidR="00673C45" w:rsidRPr="00A07B1C" w14:paraId="4C2C0769" w14:textId="77777777" w:rsidTr="00D1709C">
        <w:trPr>
          <w:trHeight w:val="38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4FCBC8" w14:textId="77777777" w:rsidR="00673C45" w:rsidRPr="00A07B1C" w:rsidRDefault="00673C45" w:rsidP="00D1709C">
            <w:pPr>
              <w:jc w:val="both"/>
              <w:rPr>
                <w:rFonts w:ascii="Times New Roman" w:hAnsi="Times New Roman"/>
                <w:sz w:val="22"/>
                <w:szCs w:val="22"/>
                <w:lang w:eastAsia="en-ZA"/>
              </w:rPr>
            </w:pPr>
            <w:r w:rsidRPr="00A07B1C">
              <w:rPr>
                <w:rFonts w:ascii="Times New Roman" w:hAnsi="Times New Roman"/>
                <w:sz w:val="22"/>
                <w:szCs w:val="22"/>
                <w:lang w:eastAsia="en-ZA"/>
              </w:rPr>
              <w:t>International Trade and Economic Development</w:t>
            </w:r>
          </w:p>
        </w:tc>
        <w:tc>
          <w:tcPr>
            <w:tcW w:w="1701" w:type="dxa"/>
            <w:tcBorders>
              <w:top w:val="nil"/>
              <w:left w:val="nil"/>
              <w:bottom w:val="single" w:sz="4" w:space="0" w:color="auto"/>
              <w:right w:val="single" w:sz="4" w:space="0" w:color="auto"/>
            </w:tcBorders>
            <w:shd w:val="clear" w:color="auto" w:fill="auto"/>
            <w:noWrap/>
            <w:vAlign w:val="center"/>
            <w:hideMark/>
          </w:tcPr>
          <w:p w14:paraId="754981E8"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124,8 </w:t>
            </w:r>
          </w:p>
        </w:tc>
        <w:tc>
          <w:tcPr>
            <w:tcW w:w="1346" w:type="dxa"/>
            <w:tcBorders>
              <w:top w:val="nil"/>
              <w:left w:val="nil"/>
              <w:bottom w:val="single" w:sz="4" w:space="0" w:color="auto"/>
              <w:right w:val="single" w:sz="4" w:space="0" w:color="auto"/>
            </w:tcBorders>
            <w:shd w:val="clear" w:color="auto" w:fill="auto"/>
            <w:noWrap/>
            <w:vAlign w:val="center"/>
            <w:hideMark/>
          </w:tcPr>
          <w:p w14:paraId="2009A1B6"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130,4 </w:t>
            </w:r>
          </w:p>
        </w:tc>
        <w:tc>
          <w:tcPr>
            <w:tcW w:w="1524" w:type="dxa"/>
            <w:tcBorders>
              <w:top w:val="nil"/>
              <w:left w:val="nil"/>
              <w:bottom w:val="single" w:sz="4" w:space="0" w:color="auto"/>
              <w:right w:val="single" w:sz="4" w:space="0" w:color="auto"/>
            </w:tcBorders>
            <w:shd w:val="clear" w:color="auto" w:fill="auto"/>
            <w:noWrap/>
            <w:vAlign w:val="center"/>
            <w:hideMark/>
          </w:tcPr>
          <w:p w14:paraId="2C8D837B"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4,51%</w:t>
            </w:r>
          </w:p>
        </w:tc>
        <w:tc>
          <w:tcPr>
            <w:tcW w:w="1524" w:type="dxa"/>
            <w:tcBorders>
              <w:top w:val="nil"/>
              <w:left w:val="nil"/>
              <w:bottom w:val="single" w:sz="4" w:space="0" w:color="auto"/>
              <w:right w:val="single" w:sz="4" w:space="0" w:color="auto"/>
            </w:tcBorders>
            <w:shd w:val="clear" w:color="auto" w:fill="auto"/>
            <w:noWrap/>
            <w:vAlign w:val="center"/>
            <w:hideMark/>
          </w:tcPr>
          <w:p w14:paraId="4BF9E0A5"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-0,65%</w:t>
            </w:r>
          </w:p>
        </w:tc>
      </w:tr>
      <w:tr w:rsidR="00673C45" w:rsidRPr="00A07B1C" w14:paraId="5054FF3E" w14:textId="77777777" w:rsidTr="00D1709C">
        <w:trPr>
          <w:trHeight w:val="38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0252F72" w14:textId="77777777" w:rsidR="00673C45" w:rsidRPr="00A07B1C" w:rsidRDefault="00673C45" w:rsidP="00D1709C">
            <w:pPr>
              <w:jc w:val="both"/>
              <w:rPr>
                <w:rFonts w:ascii="Times New Roman" w:hAnsi="Times New Roman"/>
                <w:sz w:val="22"/>
                <w:szCs w:val="22"/>
                <w:lang w:eastAsia="en-ZA"/>
              </w:rPr>
            </w:pPr>
            <w:r w:rsidRPr="00A07B1C">
              <w:rPr>
                <w:rFonts w:ascii="Times New Roman" w:hAnsi="Times New Roman"/>
                <w:sz w:val="22"/>
                <w:szCs w:val="22"/>
                <w:lang w:eastAsia="en-ZA"/>
              </w:rPr>
              <w:t>Special Economic Zones and Economic Transformation</w:t>
            </w:r>
          </w:p>
        </w:tc>
        <w:tc>
          <w:tcPr>
            <w:tcW w:w="1701" w:type="dxa"/>
            <w:tcBorders>
              <w:top w:val="nil"/>
              <w:left w:val="nil"/>
              <w:bottom w:val="single" w:sz="4" w:space="0" w:color="auto"/>
              <w:right w:val="single" w:sz="4" w:space="0" w:color="auto"/>
            </w:tcBorders>
            <w:shd w:val="clear" w:color="auto" w:fill="auto"/>
            <w:noWrap/>
            <w:vAlign w:val="center"/>
            <w:hideMark/>
          </w:tcPr>
          <w:p w14:paraId="3D99FC42"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146,3 </w:t>
            </w:r>
          </w:p>
        </w:tc>
        <w:tc>
          <w:tcPr>
            <w:tcW w:w="1346" w:type="dxa"/>
            <w:tcBorders>
              <w:top w:val="nil"/>
              <w:left w:val="nil"/>
              <w:bottom w:val="single" w:sz="4" w:space="0" w:color="auto"/>
              <w:right w:val="single" w:sz="4" w:space="0" w:color="auto"/>
            </w:tcBorders>
            <w:shd w:val="clear" w:color="auto" w:fill="auto"/>
            <w:noWrap/>
            <w:vAlign w:val="center"/>
            <w:hideMark/>
          </w:tcPr>
          <w:p w14:paraId="576F53A1"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171,5 </w:t>
            </w:r>
          </w:p>
        </w:tc>
        <w:tc>
          <w:tcPr>
            <w:tcW w:w="1524" w:type="dxa"/>
            <w:tcBorders>
              <w:top w:val="nil"/>
              <w:left w:val="nil"/>
              <w:bottom w:val="single" w:sz="4" w:space="0" w:color="auto"/>
              <w:right w:val="single" w:sz="4" w:space="0" w:color="auto"/>
            </w:tcBorders>
            <w:shd w:val="clear" w:color="auto" w:fill="auto"/>
            <w:noWrap/>
            <w:vAlign w:val="center"/>
            <w:hideMark/>
          </w:tcPr>
          <w:p w14:paraId="64E837A7"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17,22%</w:t>
            </w:r>
          </w:p>
        </w:tc>
        <w:tc>
          <w:tcPr>
            <w:tcW w:w="1524" w:type="dxa"/>
            <w:tcBorders>
              <w:top w:val="nil"/>
              <w:left w:val="nil"/>
              <w:bottom w:val="single" w:sz="4" w:space="0" w:color="auto"/>
              <w:right w:val="single" w:sz="4" w:space="0" w:color="auto"/>
            </w:tcBorders>
            <w:shd w:val="clear" w:color="auto" w:fill="auto"/>
            <w:noWrap/>
            <w:vAlign w:val="center"/>
            <w:hideMark/>
          </w:tcPr>
          <w:p w14:paraId="3BABFEA6"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11,42%</w:t>
            </w:r>
          </w:p>
        </w:tc>
      </w:tr>
      <w:tr w:rsidR="00673C45" w:rsidRPr="00A07B1C" w14:paraId="5E7E3102" w14:textId="77777777" w:rsidTr="00D1709C">
        <w:trPr>
          <w:trHeight w:val="26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7D0DEAA" w14:textId="77777777" w:rsidR="00673C45" w:rsidRPr="00A07B1C" w:rsidRDefault="00673C45" w:rsidP="00D1709C">
            <w:pPr>
              <w:jc w:val="both"/>
              <w:rPr>
                <w:rFonts w:ascii="Times New Roman" w:hAnsi="Times New Roman"/>
                <w:sz w:val="22"/>
                <w:szCs w:val="22"/>
                <w:lang w:eastAsia="en-ZA"/>
              </w:rPr>
            </w:pPr>
            <w:r w:rsidRPr="00A07B1C">
              <w:rPr>
                <w:rFonts w:ascii="Times New Roman" w:hAnsi="Times New Roman"/>
                <w:sz w:val="22"/>
                <w:szCs w:val="22"/>
                <w:lang w:eastAsia="en-ZA"/>
              </w:rPr>
              <w:t>Industrial Development</w:t>
            </w:r>
          </w:p>
        </w:tc>
        <w:tc>
          <w:tcPr>
            <w:tcW w:w="1701" w:type="dxa"/>
            <w:tcBorders>
              <w:top w:val="nil"/>
              <w:left w:val="nil"/>
              <w:bottom w:val="single" w:sz="4" w:space="0" w:color="auto"/>
              <w:right w:val="single" w:sz="4" w:space="0" w:color="auto"/>
            </w:tcBorders>
            <w:shd w:val="clear" w:color="auto" w:fill="auto"/>
            <w:noWrap/>
            <w:vAlign w:val="center"/>
            <w:hideMark/>
          </w:tcPr>
          <w:p w14:paraId="52FB043C"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2 029,8 </w:t>
            </w:r>
          </w:p>
        </w:tc>
        <w:tc>
          <w:tcPr>
            <w:tcW w:w="1346" w:type="dxa"/>
            <w:tcBorders>
              <w:top w:val="nil"/>
              <w:left w:val="nil"/>
              <w:bottom w:val="single" w:sz="4" w:space="0" w:color="auto"/>
              <w:right w:val="single" w:sz="4" w:space="0" w:color="auto"/>
            </w:tcBorders>
            <w:shd w:val="clear" w:color="auto" w:fill="auto"/>
            <w:noWrap/>
            <w:vAlign w:val="center"/>
            <w:hideMark/>
          </w:tcPr>
          <w:p w14:paraId="02DE61E5"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2 100,8 </w:t>
            </w:r>
          </w:p>
        </w:tc>
        <w:tc>
          <w:tcPr>
            <w:tcW w:w="1524" w:type="dxa"/>
            <w:tcBorders>
              <w:top w:val="nil"/>
              <w:left w:val="nil"/>
              <w:bottom w:val="single" w:sz="4" w:space="0" w:color="auto"/>
              <w:right w:val="single" w:sz="4" w:space="0" w:color="auto"/>
            </w:tcBorders>
            <w:shd w:val="clear" w:color="auto" w:fill="auto"/>
            <w:noWrap/>
            <w:vAlign w:val="center"/>
            <w:hideMark/>
          </w:tcPr>
          <w:p w14:paraId="285E377B"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3,50%</w:t>
            </w:r>
          </w:p>
        </w:tc>
        <w:tc>
          <w:tcPr>
            <w:tcW w:w="1524" w:type="dxa"/>
            <w:tcBorders>
              <w:top w:val="nil"/>
              <w:left w:val="nil"/>
              <w:bottom w:val="single" w:sz="4" w:space="0" w:color="auto"/>
              <w:right w:val="single" w:sz="4" w:space="0" w:color="auto"/>
            </w:tcBorders>
            <w:shd w:val="clear" w:color="auto" w:fill="auto"/>
            <w:noWrap/>
            <w:vAlign w:val="center"/>
            <w:hideMark/>
          </w:tcPr>
          <w:p w14:paraId="41832062"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-1,62%</w:t>
            </w:r>
          </w:p>
        </w:tc>
      </w:tr>
      <w:tr w:rsidR="00673C45" w:rsidRPr="00A07B1C" w14:paraId="0AB5C245" w14:textId="77777777" w:rsidTr="00D1709C">
        <w:trPr>
          <w:trHeight w:val="38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A2AF8AA" w14:textId="77777777" w:rsidR="00673C45" w:rsidRPr="00A07B1C" w:rsidRDefault="00673C45" w:rsidP="00D1709C">
            <w:pPr>
              <w:jc w:val="both"/>
              <w:rPr>
                <w:rFonts w:ascii="Times New Roman" w:hAnsi="Times New Roman"/>
                <w:sz w:val="22"/>
                <w:szCs w:val="22"/>
                <w:lang w:eastAsia="en-ZA"/>
              </w:rPr>
            </w:pPr>
            <w:r w:rsidRPr="00A07B1C">
              <w:rPr>
                <w:rFonts w:ascii="Times New Roman" w:hAnsi="Times New Roman"/>
                <w:sz w:val="22"/>
                <w:szCs w:val="22"/>
                <w:lang w:eastAsia="en-ZA"/>
              </w:rPr>
              <w:t>Consumer and Corporate Regulation</w:t>
            </w:r>
          </w:p>
        </w:tc>
        <w:tc>
          <w:tcPr>
            <w:tcW w:w="1701" w:type="dxa"/>
            <w:tcBorders>
              <w:top w:val="nil"/>
              <w:left w:val="nil"/>
              <w:bottom w:val="single" w:sz="4" w:space="0" w:color="auto"/>
              <w:right w:val="single" w:sz="4" w:space="0" w:color="auto"/>
            </w:tcBorders>
            <w:shd w:val="clear" w:color="auto" w:fill="auto"/>
            <w:noWrap/>
            <w:vAlign w:val="center"/>
            <w:hideMark/>
          </w:tcPr>
          <w:p w14:paraId="4D924A8E"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330,3 </w:t>
            </w:r>
          </w:p>
        </w:tc>
        <w:tc>
          <w:tcPr>
            <w:tcW w:w="1346" w:type="dxa"/>
            <w:tcBorders>
              <w:top w:val="nil"/>
              <w:left w:val="nil"/>
              <w:bottom w:val="single" w:sz="4" w:space="0" w:color="auto"/>
              <w:right w:val="single" w:sz="4" w:space="0" w:color="auto"/>
            </w:tcBorders>
            <w:shd w:val="clear" w:color="auto" w:fill="auto"/>
            <w:noWrap/>
            <w:vAlign w:val="center"/>
            <w:hideMark/>
          </w:tcPr>
          <w:p w14:paraId="0042F74A"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328,3 </w:t>
            </w:r>
          </w:p>
        </w:tc>
        <w:tc>
          <w:tcPr>
            <w:tcW w:w="1524" w:type="dxa"/>
            <w:tcBorders>
              <w:top w:val="nil"/>
              <w:left w:val="nil"/>
              <w:bottom w:val="single" w:sz="4" w:space="0" w:color="auto"/>
              <w:right w:val="single" w:sz="4" w:space="0" w:color="auto"/>
            </w:tcBorders>
            <w:shd w:val="clear" w:color="auto" w:fill="auto"/>
            <w:noWrap/>
            <w:vAlign w:val="center"/>
            <w:hideMark/>
          </w:tcPr>
          <w:p w14:paraId="24159339"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-0,61%</w:t>
            </w:r>
          </w:p>
        </w:tc>
        <w:tc>
          <w:tcPr>
            <w:tcW w:w="1524" w:type="dxa"/>
            <w:tcBorders>
              <w:top w:val="nil"/>
              <w:left w:val="nil"/>
              <w:bottom w:val="single" w:sz="4" w:space="0" w:color="auto"/>
              <w:right w:val="single" w:sz="4" w:space="0" w:color="auto"/>
            </w:tcBorders>
            <w:shd w:val="clear" w:color="auto" w:fill="auto"/>
            <w:noWrap/>
            <w:vAlign w:val="center"/>
            <w:hideMark/>
          </w:tcPr>
          <w:p w14:paraId="6ABDB42B"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-5,53%</w:t>
            </w:r>
          </w:p>
        </w:tc>
      </w:tr>
      <w:tr w:rsidR="00673C45" w:rsidRPr="00A07B1C" w14:paraId="33C7718A" w14:textId="77777777" w:rsidTr="00D1709C">
        <w:trPr>
          <w:trHeight w:val="38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9EA9313" w14:textId="77777777" w:rsidR="00673C45" w:rsidRPr="00A07B1C" w:rsidRDefault="00673C45" w:rsidP="00D1709C">
            <w:pPr>
              <w:jc w:val="both"/>
              <w:rPr>
                <w:rFonts w:ascii="Times New Roman" w:hAnsi="Times New Roman"/>
                <w:sz w:val="22"/>
                <w:szCs w:val="22"/>
                <w:lang w:eastAsia="en-ZA"/>
              </w:rPr>
            </w:pPr>
            <w:r w:rsidRPr="00A07B1C">
              <w:rPr>
                <w:rFonts w:ascii="Times New Roman" w:hAnsi="Times New Roman"/>
                <w:sz w:val="22"/>
                <w:szCs w:val="22"/>
                <w:lang w:eastAsia="en-ZA"/>
              </w:rPr>
              <w:t>Incentive Development and Administration</w:t>
            </w:r>
          </w:p>
        </w:tc>
        <w:tc>
          <w:tcPr>
            <w:tcW w:w="1701" w:type="dxa"/>
            <w:tcBorders>
              <w:top w:val="nil"/>
              <w:left w:val="nil"/>
              <w:bottom w:val="single" w:sz="4" w:space="0" w:color="auto"/>
              <w:right w:val="single" w:sz="4" w:space="0" w:color="auto"/>
            </w:tcBorders>
            <w:shd w:val="clear" w:color="auto" w:fill="auto"/>
            <w:noWrap/>
            <w:vAlign w:val="center"/>
            <w:hideMark/>
          </w:tcPr>
          <w:p w14:paraId="37194114"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5 567,9 </w:t>
            </w:r>
          </w:p>
        </w:tc>
        <w:tc>
          <w:tcPr>
            <w:tcW w:w="1346" w:type="dxa"/>
            <w:tcBorders>
              <w:top w:val="nil"/>
              <w:left w:val="nil"/>
              <w:bottom w:val="single" w:sz="4" w:space="0" w:color="auto"/>
              <w:right w:val="single" w:sz="4" w:space="0" w:color="auto"/>
            </w:tcBorders>
            <w:shd w:val="clear" w:color="auto" w:fill="auto"/>
            <w:noWrap/>
            <w:vAlign w:val="center"/>
            <w:hideMark/>
          </w:tcPr>
          <w:p w14:paraId="5EE27BCC"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6 026,1 </w:t>
            </w:r>
          </w:p>
        </w:tc>
        <w:tc>
          <w:tcPr>
            <w:tcW w:w="1524" w:type="dxa"/>
            <w:tcBorders>
              <w:top w:val="nil"/>
              <w:left w:val="nil"/>
              <w:bottom w:val="single" w:sz="4" w:space="0" w:color="auto"/>
              <w:right w:val="single" w:sz="4" w:space="0" w:color="auto"/>
            </w:tcBorders>
            <w:shd w:val="clear" w:color="auto" w:fill="auto"/>
            <w:noWrap/>
            <w:vAlign w:val="center"/>
            <w:hideMark/>
          </w:tcPr>
          <w:p w14:paraId="31B431A7"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8,23%</w:t>
            </w:r>
          </w:p>
        </w:tc>
        <w:tc>
          <w:tcPr>
            <w:tcW w:w="1524" w:type="dxa"/>
            <w:tcBorders>
              <w:top w:val="nil"/>
              <w:left w:val="nil"/>
              <w:bottom w:val="single" w:sz="4" w:space="0" w:color="auto"/>
              <w:right w:val="single" w:sz="4" w:space="0" w:color="auto"/>
            </w:tcBorders>
            <w:shd w:val="clear" w:color="auto" w:fill="auto"/>
            <w:noWrap/>
            <w:vAlign w:val="center"/>
            <w:hideMark/>
          </w:tcPr>
          <w:p w14:paraId="68E1A6C3"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2,88%</w:t>
            </w:r>
          </w:p>
        </w:tc>
      </w:tr>
      <w:tr w:rsidR="00673C45" w:rsidRPr="00A07B1C" w14:paraId="487BBBFE" w14:textId="77777777" w:rsidTr="00D1709C">
        <w:trPr>
          <w:trHeight w:val="38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55B87CA" w14:textId="77777777" w:rsidR="00673C45" w:rsidRPr="00A07B1C" w:rsidRDefault="00673C45" w:rsidP="00D1709C">
            <w:pPr>
              <w:jc w:val="both"/>
              <w:rPr>
                <w:rFonts w:ascii="Times New Roman" w:hAnsi="Times New Roman"/>
                <w:sz w:val="22"/>
                <w:szCs w:val="22"/>
                <w:lang w:eastAsia="en-ZA"/>
              </w:rPr>
            </w:pPr>
            <w:r w:rsidRPr="00A07B1C">
              <w:rPr>
                <w:rFonts w:ascii="Times New Roman" w:hAnsi="Times New Roman"/>
                <w:sz w:val="22"/>
                <w:szCs w:val="22"/>
                <w:lang w:eastAsia="en-ZA"/>
              </w:rPr>
              <w:t>Trade and Investment South Africa</w:t>
            </w:r>
          </w:p>
        </w:tc>
        <w:tc>
          <w:tcPr>
            <w:tcW w:w="1701" w:type="dxa"/>
            <w:tcBorders>
              <w:top w:val="nil"/>
              <w:left w:val="nil"/>
              <w:bottom w:val="single" w:sz="4" w:space="0" w:color="auto"/>
              <w:right w:val="single" w:sz="4" w:space="0" w:color="auto"/>
            </w:tcBorders>
            <w:shd w:val="clear" w:color="auto" w:fill="auto"/>
            <w:noWrap/>
            <w:vAlign w:val="center"/>
            <w:hideMark/>
          </w:tcPr>
          <w:p w14:paraId="2374FCE4"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411,6 </w:t>
            </w:r>
          </w:p>
        </w:tc>
        <w:tc>
          <w:tcPr>
            <w:tcW w:w="1346" w:type="dxa"/>
            <w:tcBorders>
              <w:top w:val="nil"/>
              <w:left w:val="nil"/>
              <w:bottom w:val="single" w:sz="4" w:space="0" w:color="auto"/>
              <w:right w:val="single" w:sz="4" w:space="0" w:color="auto"/>
            </w:tcBorders>
            <w:shd w:val="clear" w:color="auto" w:fill="auto"/>
            <w:noWrap/>
            <w:vAlign w:val="center"/>
            <w:hideMark/>
          </w:tcPr>
          <w:p w14:paraId="5A168C9F"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440,5 </w:t>
            </w:r>
          </w:p>
        </w:tc>
        <w:tc>
          <w:tcPr>
            <w:tcW w:w="1524" w:type="dxa"/>
            <w:tcBorders>
              <w:top w:val="nil"/>
              <w:left w:val="nil"/>
              <w:bottom w:val="single" w:sz="4" w:space="0" w:color="auto"/>
              <w:right w:val="single" w:sz="4" w:space="0" w:color="auto"/>
            </w:tcBorders>
            <w:shd w:val="clear" w:color="auto" w:fill="auto"/>
            <w:noWrap/>
            <w:vAlign w:val="center"/>
            <w:hideMark/>
          </w:tcPr>
          <w:p w14:paraId="2E1D88C7"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7,01%</w:t>
            </w:r>
          </w:p>
        </w:tc>
        <w:tc>
          <w:tcPr>
            <w:tcW w:w="1524" w:type="dxa"/>
            <w:tcBorders>
              <w:top w:val="nil"/>
              <w:left w:val="nil"/>
              <w:bottom w:val="single" w:sz="4" w:space="0" w:color="auto"/>
              <w:right w:val="single" w:sz="4" w:space="0" w:color="auto"/>
            </w:tcBorders>
            <w:shd w:val="clear" w:color="auto" w:fill="auto"/>
            <w:noWrap/>
            <w:vAlign w:val="center"/>
            <w:hideMark/>
          </w:tcPr>
          <w:p w14:paraId="3E150C0A"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1,72%</w:t>
            </w:r>
          </w:p>
        </w:tc>
      </w:tr>
      <w:tr w:rsidR="00673C45" w:rsidRPr="00A07B1C" w14:paraId="4B445E80" w14:textId="77777777" w:rsidTr="00D1709C">
        <w:trPr>
          <w:trHeight w:val="26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DE7C961" w14:textId="77777777" w:rsidR="00673C45" w:rsidRPr="00A07B1C" w:rsidRDefault="00673C45" w:rsidP="00D1709C">
            <w:pPr>
              <w:jc w:val="both"/>
              <w:rPr>
                <w:rFonts w:ascii="Times New Roman" w:hAnsi="Times New Roman"/>
                <w:sz w:val="22"/>
                <w:szCs w:val="22"/>
                <w:lang w:eastAsia="en-ZA"/>
              </w:rPr>
            </w:pPr>
            <w:r w:rsidRPr="00A07B1C">
              <w:rPr>
                <w:rFonts w:ascii="Times New Roman" w:hAnsi="Times New Roman"/>
                <w:sz w:val="22"/>
                <w:szCs w:val="22"/>
                <w:lang w:eastAsia="en-ZA"/>
              </w:rPr>
              <w:t>Investment South Africa</w:t>
            </w:r>
          </w:p>
        </w:tc>
        <w:tc>
          <w:tcPr>
            <w:tcW w:w="1701" w:type="dxa"/>
            <w:tcBorders>
              <w:top w:val="nil"/>
              <w:left w:val="nil"/>
              <w:bottom w:val="single" w:sz="4" w:space="0" w:color="auto"/>
              <w:right w:val="single" w:sz="4" w:space="0" w:color="auto"/>
            </w:tcBorders>
            <w:shd w:val="clear" w:color="auto" w:fill="auto"/>
            <w:noWrap/>
            <w:vAlign w:val="center"/>
            <w:hideMark/>
          </w:tcPr>
          <w:p w14:paraId="50255A5D"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83,8 </w:t>
            </w:r>
          </w:p>
        </w:tc>
        <w:tc>
          <w:tcPr>
            <w:tcW w:w="1346" w:type="dxa"/>
            <w:tcBorders>
              <w:top w:val="nil"/>
              <w:left w:val="nil"/>
              <w:bottom w:val="single" w:sz="4" w:space="0" w:color="auto"/>
              <w:right w:val="single" w:sz="4" w:space="0" w:color="auto"/>
            </w:tcBorders>
            <w:shd w:val="clear" w:color="auto" w:fill="auto"/>
            <w:noWrap/>
            <w:vAlign w:val="center"/>
            <w:hideMark/>
          </w:tcPr>
          <w:p w14:paraId="4408909B" w14:textId="77777777" w:rsidR="00673C45" w:rsidRPr="00A07B1C" w:rsidRDefault="00673C45" w:rsidP="00D1709C">
            <w:pPr>
              <w:jc w:val="right"/>
              <w:rPr>
                <w:rFonts w:ascii="Times New Roman" w:hAnsi="Times New Roman"/>
                <w:sz w:val="22"/>
                <w:szCs w:val="22"/>
                <w:lang w:eastAsia="en-ZA"/>
              </w:rPr>
            </w:pPr>
            <w:r w:rsidRPr="00A07B1C">
              <w:rPr>
                <w:rFonts w:ascii="Times New Roman" w:hAnsi="Times New Roman"/>
                <w:sz w:val="22"/>
                <w:szCs w:val="22"/>
                <w:lang w:eastAsia="en-ZA"/>
              </w:rPr>
              <w:t xml:space="preserve">58,0 </w:t>
            </w:r>
          </w:p>
        </w:tc>
        <w:tc>
          <w:tcPr>
            <w:tcW w:w="1524" w:type="dxa"/>
            <w:tcBorders>
              <w:top w:val="nil"/>
              <w:left w:val="nil"/>
              <w:bottom w:val="single" w:sz="4" w:space="0" w:color="auto"/>
              <w:right w:val="single" w:sz="4" w:space="0" w:color="auto"/>
            </w:tcBorders>
            <w:shd w:val="clear" w:color="auto" w:fill="auto"/>
            <w:noWrap/>
            <w:vAlign w:val="center"/>
            <w:hideMark/>
          </w:tcPr>
          <w:p w14:paraId="17A05697" w14:textId="77777777" w:rsidR="00673C45" w:rsidRPr="00A07B1C" w:rsidRDefault="00673C45" w:rsidP="00D1709C">
            <w:pPr>
              <w:jc w:val="right"/>
              <w:rPr>
                <w:rFonts w:ascii="Times New Roman" w:hAnsi="Times New Roman"/>
                <w:color w:val="auto"/>
                <w:sz w:val="22"/>
                <w:szCs w:val="22"/>
                <w:lang w:eastAsia="en-ZA"/>
              </w:rPr>
            </w:pPr>
            <w:r w:rsidRPr="00A07B1C">
              <w:rPr>
                <w:rFonts w:ascii="Times New Roman" w:hAnsi="Times New Roman"/>
                <w:color w:val="auto"/>
                <w:sz w:val="22"/>
                <w:szCs w:val="22"/>
                <w:lang w:eastAsia="en-ZA"/>
              </w:rPr>
              <w:t>-30,78%</w:t>
            </w:r>
          </w:p>
        </w:tc>
        <w:tc>
          <w:tcPr>
            <w:tcW w:w="1524" w:type="dxa"/>
            <w:tcBorders>
              <w:top w:val="nil"/>
              <w:left w:val="nil"/>
              <w:bottom w:val="single" w:sz="4" w:space="0" w:color="auto"/>
              <w:right w:val="single" w:sz="4" w:space="0" w:color="auto"/>
            </w:tcBorders>
            <w:shd w:val="clear" w:color="auto" w:fill="auto"/>
            <w:noWrap/>
            <w:vAlign w:val="center"/>
            <w:hideMark/>
          </w:tcPr>
          <w:p w14:paraId="7D268EE2" w14:textId="77777777" w:rsidR="00673C45" w:rsidRPr="00A07B1C" w:rsidRDefault="00673C45" w:rsidP="00D1709C">
            <w:pPr>
              <w:jc w:val="right"/>
              <w:rPr>
                <w:rFonts w:ascii="Times New Roman" w:hAnsi="Times New Roman"/>
                <w:color w:val="auto"/>
                <w:sz w:val="22"/>
                <w:szCs w:val="22"/>
                <w:lang w:eastAsia="en-ZA"/>
              </w:rPr>
            </w:pPr>
            <w:r w:rsidRPr="00A07B1C">
              <w:rPr>
                <w:rFonts w:ascii="Times New Roman" w:hAnsi="Times New Roman"/>
                <w:color w:val="auto"/>
                <w:sz w:val="22"/>
                <w:szCs w:val="22"/>
                <w:lang w:eastAsia="en-ZA"/>
              </w:rPr>
              <w:t>-34,20%</w:t>
            </w:r>
          </w:p>
        </w:tc>
      </w:tr>
      <w:tr w:rsidR="00673C45" w:rsidRPr="00A07B1C" w14:paraId="4FF156EA" w14:textId="77777777" w:rsidTr="00D1709C">
        <w:trPr>
          <w:trHeight w:val="264"/>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8EA2BA5" w14:textId="77777777" w:rsidR="00673C45" w:rsidRPr="00A07B1C" w:rsidRDefault="00673C45" w:rsidP="00D1709C">
            <w:pPr>
              <w:jc w:val="both"/>
              <w:rPr>
                <w:rFonts w:ascii="Times New Roman" w:hAnsi="Times New Roman"/>
                <w:b/>
                <w:sz w:val="22"/>
                <w:szCs w:val="22"/>
                <w:lang w:eastAsia="en-ZA"/>
              </w:rPr>
            </w:pPr>
            <w:r w:rsidRPr="00A07B1C">
              <w:rPr>
                <w:rFonts w:ascii="Times New Roman" w:hAnsi="Times New Roman"/>
                <w:b/>
                <w:sz w:val="22"/>
                <w:szCs w:val="22"/>
                <w:lang w:eastAsia="en-ZA"/>
              </w:rPr>
              <w:t>TOTAL</w:t>
            </w:r>
          </w:p>
        </w:tc>
        <w:tc>
          <w:tcPr>
            <w:tcW w:w="1701" w:type="dxa"/>
            <w:tcBorders>
              <w:top w:val="nil"/>
              <w:left w:val="nil"/>
              <w:bottom w:val="single" w:sz="4" w:space="0" w:color="auto"/>
              <w:right w:val="single" w:sz="4" w:space="0" w:color="auto"/>
            </w:tcBorders>
            <w:shd w:val="clear" w:color="auto" w:fill="auto"/>
            <w:noWrap/>
            <w:vAlign w:val="center"/>
            <w:hideMark/>
          </w:tcPr>
          <w:p w14:paraId="6A9915EE" w14:textId="77777777" w:rsidR="00673C45" w:rsidRPr="00A07B1C" w:rsidRDefault="00673C45" w:rsidP="00D1709C">
            <w:pPr>
              <w:jc w:val="right"/>
              <w:rPr>
                <w:rFonts w:ascii="Times New Roman" w:hAnsi="Times New Roman"/>
                <w:b/>
                <w:bCs/>
                <w:sz w:val="22"/>
                <w:szCs w:val="22"/>
                <w:lang w:eastAsia="en-ZA"/>
              </w:rPr>
            </w:pPr>
            <w:r w:rsidRPr="00A07B1C">
              <w:rPr>
                <w:rFonts w:ascii="Times New Roman" w:hAnsi="Times New Roman"/>
                <w:b/>
                <w:bCs/>
                <w:sz w:val="22"/>
                <w:szCs w:val="22"/>
                <w:lang w:eastAsia="en-ZA"/>
              </w:rPr>
              <w:t xml:space="preserve">9 531,8 </w:t>
            </w:r>
          </w:p>
        </w:tc>
        <w:tc>
          <w:tcPr>
            <w:tcW w:w="1346" w:type="dxa"/>
            <w:tcBorders>
              <w:top w:val="nil"/>
              <w:left w:val="nil"/>
              <w:bottom w:val="single" w:sz="4" w:space="0" w:color="auto"/>
              <w:right w:val="single" w:sz="4" w:space="0" w:color="auto"/>
            </w:tcBorders>
            <w:shd w:val="clear" w:color="auto" w:fill="auto"/>
            <w:noWrap/>
            <w:vAlign w:val="center"/>
            <w:hideMark/>
          </w:tcPr>
          <w:p w14:paraId="0DEB461F" w14:textId="77777777" w:rsidR="00673C45" w:rsidRPr="00A07B1C" w:rsidRDefault="00673C45" w:rsidP="00D1709C">
            <w:pPr>
              <w:jc w:val="right"/>
              <w:rPr>
                <w:rFonts w:ascii="Times New Roman" w:hAnsi="Times New Roman"/>
                <w:b/>
                <w:bCs/>
                <w:sz w:val="22"/>
                <w:szCs w:val="22"/>
                <w:lang w:eastAsia="en-ZA"/>
              </w:rPr>
            </w:pPr>
            <w:r w:rsidRPr="00A07B1C">
              <w:rPr>
                <w:rFonts w:ascii="Times New Roman" w:hAnsi="Times New Roman"/>
                <w:b/>
                <w:bCs/>
                <w:sz w:val="22"/>
                <w:szCs w:val="22"/>
                <w:lang w:eastAsia="en-ZA"/>
              </w:rPr>
              <w:t xml:space="preserve"> 10 059,0 </w:t>
            </w:r>
          </w:p>
        </w:tc>
        <w:tc>
          <w:tcPr>
            <w:tcW w:w="1524" w:type="dxa"/>
            <w:tcBorders>
              <w:top w:val="nil"/>
              <w:left w:val="nil"/>
              <w:bottom w:val="single" w:sz="4" w:space="0" w:color="auto"/>
              <w:right w:val="single" w:sz="4" w:space="0" w:color="auto"/>
            </w:tcBorders>
            <w:shd w:val="clear" w:color="auto" w:fill="auto"/>
            <w:noWrap/>
            <w:vAlign w:val="center"/>
            <w:hideMark/>
          </w:tcPr>
          <w:p w14:paraId="15EDD401" w14:textId="77777777" w:rsidR="00673C45" w:rsidRPr="00A07B1C" w:rsidRDefault="00673C45" w:rsidP="00D1709C">
            <w:pPr>
              <w:jc w:val="right"/>
              <w:rPr>
                <w:rFonts w:ascii="Times New Roman" w:hAnsi="Times New Roman"/>
                <w:b/>
                <w:bCs/>
                <w:sz w:val="22"/>
                <w:szCs w:val="22"/>
                <w:lang w:eastAsia="en-ZA"/>
              </w:rPr>
            </w:pPr>
            <w:r w:rsidRPr="00A07B1C">
              <w:rPr>
                <w:rFonts w:ascii="Times New Roman" w:hAnsi="Times New Roman"/>
                <w:b/>
                <w:bCs/>
                <w:sz w:val="22"/>
                <w:szCs w:val="22"/>
                <w:lang w:eastAsia="en-ZA"/>
              </w:rPr>
              <w:t>5,53%</w:t>
            </w:r>
          </w:p>
        </w:tc>
        <w:tc>
          <w:tcPr>
            <w:tcW w:w="1524" w:type="dxa"/>
            <w:tcBorders>
              <w:top w:val="nil"/>
              <w:left w:val="nil"/>
              <w:bottom w:val="single" w:sz="4" w:space="0" w:color="auto"/>
              <w:right w:val="single" w:sz="4" w:space="0" w:color="auto"/>
            </w:tcBorders>
            <w:shd w:val="clear" w:color="auto" w:fill="auto"/>
            <w:noWrap/>
            <w:vAlign w:val="center"/>
            <w:hideMark/>
          </w:tcPr>
          <w:p w14:paraId="5FEADB71" w14:textId="77777777" w:rsidR="00673C45" w:rsidRPr="00A07B1C" w:rsidRDefault="00673C45" w:rsidP="00D1709C">
            <w:pPr>
              <w:jc w:val="right"/>
              <w:rPr>
                <w:rFonts w:ascii="Times New Roman" w:hAnsi="Times New Roman"/>
                <w:b/>
                <w:bCs/>
                <w:sz w:val="22"/>
                <w:szCs w:val="22"/>
                <w:lang w:eastAsia="en-ZA"/>
              </w:rPr>
            </w:pPr>
            <w:r w:rsidRPr="00A07B1C">
              <w:rPr>
                <w:rFonts w:ascii="Times New Roman" w:hAnsi="Times New Roman"/>
                <w:b/>
                <w:bCs/>
                <w:sz w:val="22"/>
                <w:szCs w:val="22"/>
                <w:lang w:eastAsia="en-ZA"/>
              </w:rPr>
              <w:t>0,32%</w:t>
            </w:r>
          </w:p>
        </w:tc>
      </w:tr>
    </w:tbl>
    <w:p w14:paraId="78A0392E" w14:textId="77777777" w:rsidR="00673C45" w:rsidRPr="00A07B1C" w:rsidRDefault="00673C45" w:rsidP="00673C45">
      <w:pPr>
        <w:spacing w:line="360" w:lineRule="auto"/>
        <w:jc w:val="both"/>
        <w:rPr>
          <w:rFonts w:ascii="Times New Roman" w:eastAsia="Calibri" w:hAnsi="Times New Roman"/>
          <w:sz w:val="22"/>
          <w:szCs w:val="24"/>
        </w:rPr>
      </w:pPr>
      <w:r w:rsidRPr="00A07B1C">
        <w:rPr>
          <w:rFonts w:ascii="Times New Roman" w:eastAsia="Calibri" w:hAnsi="Times New Roman"/>
          <w:sz w:val="22"/>
          <w:szCs w:val="24"/>
        </w:rPr>
        <w:t>Source: National Treasury (2019</w:t>
      </w:r>
      <w:r w:rsidR="005F6726" w:rsidRPr="00A07B1C">
        <w:rPr>
          <w:rFonts w:ascii="Times New Roman" w:eastAsia="Calibri" w:hAnsi="Times New Roman"/>
          <w:sz w:val="22"/>
          <w:szCs w:val="24"/>
        </w:rPr>
        <w:t>c: 713</w:t>
      </w:r>
      <w:r w:rsidRPr="00A07B1C">
        <w:rPr>
          <w:rFonts w:ascii="Times New Roman" w:eastAsia="Calibri" w:hAnsi="Times New Roman"/>
          <w:sz w:val="22"/>
          <w:szCs w:val="24"/>
        </w:rPr>
        <w:t xml:space="preserve">) </w:t>
      </w:r>
    </w:p>
    <w:p w14:paraId="35BE8250" w14:textId="77777777" w:rsidR="00673C45" w:rsidRPr="00A07B1C" w:rsidRDefault="00673C45" w:rsidP="00E40757">
      <w:pPr>
        <w:spacing w:line="360" w:lineRule="auto"/>
        <w:contextualSpacing/>
        <w:jc w:val="both"/>
        <w:rPr>
          <w:rFonts w:ascii="Times New Roman" w:eastAsia="Calibri" w:hAnsi="Times New Roman"/>
          <w:sz w:val="24"/>
          <w:szCs w:val="24"/>
        </w:rPr>
      </w:pPr>
    </w:p>
    <w:p w14:paraId="689A006A" w14:textId="77777777" w:rsidR="00E40757" w:rsidRPr="00A07B1C" w:rsidRDefault="00E40757" w:rsidP="00E40757">
      <w:pPr>
        <w:spacing w:line="360" w:lineRule="auto"/>
        <w:contextualSpacing/>
        <w:jc w:val="both"/>
        <w:rPr>
          <w:rFonts w:ascii="Times New Roman" w:eastAsia="Calibri" w:hAnsi="Times New Roman"/>
          <w:sz w:val="24"/>
          <w:szCs w:val="24"/>
        </w:rPr>
      </w:pPr>
      <w:r w:rsidRPr="00A07B1C">
        <w:rPr>
          <w:rFonts w:ascii="Times New Roman" w:eastAsia="Calibri" w:hAnsi="Times New Roman"/>
          <w:sz w:val="24"/>
          <w:szCs w:val="24"/>
        </w:rPr>
        <w:t xml:space="preserve">In line with the </w:t>
      </w:r>
      <w:r w:rsidR="00E50A57">
        <w:rPr>
          <w:rFonts w:ascii="Times New Roman" w:eastAsia="Calibri" w:hAnsi="Times New Roman"/>
          <w:sz w:val="24"/>
          <w:szCs w:val="24"/>
        </w:rPr>
        <w:t>DTI</w:t>
      </w:r>
      <w:r w:rsidRPr="00A07B1C">
        <w:rPr>
          <w:rFonts w:ascii="Times New Roman" w:eastAsia="Calibri" w:hAnsi="Times New Roman"/>
          <w:sz w:val="24"/>
          <w:szCs w:val="24"/>
        </w:rPr>
        <w:t>’s mandate and strategic objective of “</w:t>
      </w:r>
      <w:r w:rsidRPr="00A07B1C">
        <w:rPr>
          <w:rFonts w:ascii="Times New Roman" w:eastAsia="Calibri" w:hAnsi="Times New Roman"/>
          <w:i/>
          <w:sz w:val="24"/>
          <w:szCs w:val="24"/>
        </w:rPr>
        <w:t>Facilitating transformation of the economy to promote industrial development, investment, competitiveness and employment creation</w:t>
      </w:r>
      <w:r w:rsidRPr="00A07B1C">
        <w:rPr>
          <w:rFonts w:ascii="Times New Roman" w:eastAsia="Calibri" w:hAnsi="Times New Roman"/>
          <w:sz w:val="24"/>
          <w:szCs w:val="24"/>
        </w:rPr>
        <w:t>”</w:t>
      </w:r>
      <w:r w:rsidRPr="00A07B1C">
        <w:rPr>
          <w:rStyle w:val="FootnoteReference"/>
          <w:rFonts w:ascii="Times New Roman" w:eastAsia="Calibri" w:hAnsi="Times New Roman"/>
          <w:sz w:val="24"/>
          <w:szCs w:val="24"/>
        </w:rPr>
        <w:footnoteReference w:id="31"/>
      </w:r>
      <w:r w:rsidRPr="00A07B1C">
        <w:rPr>
          <w:rFonts w:ascii="Times New Roman" w:eastAsia="Calibri" w:hAnsi="Times New Roman"/>
          <w:sz w:val="24"/>
          <w:szCs w:val="24"/>
        </w:rPr>
        <w:t xml:space="preserve">, the two largest programmes in terms of the share of the budget are for the </w:t>
      </w:r>
      <w:r w:rsidRPr="00A07B1C">
        <w:rPr>
          <w:rFonts w:ascii="Times New Roman" w:hAnsi="Times New Roman"/>
          <w:sz w:val="24"/>
          <w:szCs w:val="24"/>
          <w:lang w:eastAsia="en-ZA"/>
        </w:rPr>
        <w:t>Incentive Administration</w:t>
      </w:r>
      <w:r w:rsidRPr="00A07B1C">
        <w:rPr>
          <w:rFonts w:ascii="Times New Roman" w:eastAsia="Calibri" w:hAnsi="Times New Roman"/>
          <w:sz w:val="24"/>
          <w:szCs w:val="24"/>
        </w:rPr>
        <w:t xml:space="preserve"> Programme, at approximately 60 percent and the </w:t>
      </w:r>
      <w:r w:rsidRPr="00A07B1C">
        <w:rPr>
          <w:rFonts w:ascii="Times New Roman" w:hAnsi="Times New Roman"/>
          <w:sz w:val="24"/>
          <w:szCs w:val="24"/>
          <w:lang w:eastAsia="en-ZA"/>
        </w:rPr>
        <w:t>Industrial Development</w:t>
      </w:r>
      <w:r w:rsidRPr="00A07B1C">
        <w:rPr>
          <w:rFonts w:ascii="Times New Roman" w:eastAsia="Calibri" w:hAnsi="Times New Roman"/>
          <w:sz w:val="24"/>
          <w:szCs w:val="24"/>
        </w:rPr>
        <w:t xml:space="preserve"> Programme with a 21 percent share of the 2019/20 budget.  The rest of the budget is allocated to the other </w:t>
      </w:r>
      <w:r w:rsidR="00F06649" w:rsidRPr="00A07B1C">
        <w:rPr>
          <w:rFonts w:ascii="Times New Roman" w:eastAsia="Calibri" w:hAnsi="Times New Roman"/>
          <w:sz w:val="24"/>
          <w:szCs w:val="24"/>
        </w:rPr>
        <w:t>six programmes as follows:</w:t>
      </w:r>
      <w:r w:rsidRPr="00A07B1C">
        <w:rPr>
          <w:rFonts w:ascii="Times New Roman" w:eastAsia="Calibri" w:hAnsi="Times New Roman"/>
          <w:sz w:val="24"/>
          <w:szCs w:val="24"/>
        </w:rPr>
        <w:t xml:space="preserve"> Administratio</w:t>
      </w:r>
      <w:r w:rsidR="00F06649" w:rsidRPr="00A07B1C">
        <w:rPr>
          <w:rFonts w:ascii="Times New Roman" w:eastAsia="Calibri" w:hAnsi="Times New Roman"/>
          <w:sz w:val="24"/>
          <w:szCs w:val="24"/>
        </w:rPr>
        <w:t>n (8 per</w:t>
      </w:r>
      <w:r w:rsidRPr="00A07B1C">
        <w:rPr>
          <w:rFonts w:ascii="Times New Roman" w:eastAsia="Calibri" w:hAnsi="Times New Roman"/>
          <w:sz w:val="24"/>
          <w:szCs w:val="24"/>
        </w:rPr>
        <w:t>cent)</w:t>
      </w:r>
      <w:r w:rsidR="00F06649" w:rsidRPr="00A07B1C">
        <w:rPr>
          <w:rFonts w:ascii="Times New Roman" w:eastAsia="Calibri" w:hAnsi="Times New Roman"/>
          <w:sz w:val="24"/>
          <w:szCs w:val="24"/>
        </w:rPr>
        <w:t>;</w:t>
      </w:r>
      <w:r w:rsidRPr="00A07B1C">
        <w:rPr>
          <w:rFonts w:ascii="Times New Roman" w:eastAsia="Calibri" w:hAnsi="Times New Roman"/>
          <w:sz w:val="24"/>
          <w:szCs w:val="24"/>
        </w:rPr>
        <w:t xml:space="preserve"> the </w:t>
      </w:r>
      <w:r w:rsidRPr="00A07B1C">
        <w:rPr>
          <w:rFonts w:ascii="Times New Roman" w:hAnsi="Times New Roman"/>
          <w:sz w:val="24"/>
          <w:szCs w:val="24"/>
          <w:lang w:eastAsia="en-ZA"/>
        </w:rPr>
        <w:lastRenderedPageBreak/>
        <w:t>Trade and Investment South Africa</w:t>
      </w:r>
      <w:r w:rsidR="00F06649" w:rsidRPr="00A07B1C">
        <w:rPr>
          <w:rFonts w:ascii="Times New Roman" w:eastAsia="Calibri" w:hAnsi="Times New Roman"/>
          <w:sz w:val="24"/>
          <w:szCs w:val="24"/>
        </w:rPr>
        <w:t xml:space="preserve"> Programme (4 percent);</w:t>
      </w:r>
      <w:r w:rsidRPr="00A07B1C">
        <w:rPr>
          <w:rFonts w:ascii="Times New Roman" w:eastAsia="Calibri" w:hAnsi="Times New Roman"/>
          <w:sz w:val="24"/>
          <w:szCs w:val="24"/>
        </w:rPr>
        <w:t xml:space="preserve"> the </w:t>
      </w:r>
      <w:r w:rsidRPr="00A07B1C">
        <w:rPr>
          <w:rFonts w:ascii="Times New Roman" w:hAnsi="Times New Roman"/>
          <w:sz w:val="24"/>
          <w:szCs w:val="24"/>
          <w:lang w:eastAsia="en-ZA"/>
        </w:rPr>
        <w:t>Consumer and Corporate Regulation</w:t>
      </w:r>
      <w:r w:rsidR="00F06649" w:rsidRPr="00A07B1C">
        <w:rPr>
          <w:rFonts w:ascii="Times New Roman" w:eastAsia="Calibri" w:hAnsi="Times New Roman"/>
          <w:sz w:val="24"/>
          <w:szCs w:val="24"/>
        </w:rPr>
        <w:t xml:space="preserve"> Programme (3 percent);</w:t>
      </w:r>
      <w:r w:rsidRPr="00A07B1C">
        <w:rPr>
          <w:rFonts w:ascii="Times New Roman" w:eastAsia="Calibri" w:hAnsi="Times New Roman"/>
          <w:sz w:val="24"/>
          <w:szCs w:val="24"/>
        </w:rPr>
        <w:t xml:space="preserve"> the </w:t>
      </w:r>
      <w:r w:rsidRPr="00A07B1C">
        <w:rPr>
          <w:rFonts w:ascii="Times New Roman" w:hAnsi="Times New Roman"/>
          <w:sz w:val="24"/>
          <w:szCs w:val="24"/>
          <w:lang w:eastAsia="en-ZA"/>
        </w:rPr>
        <w:t>Special Economic Zones and Economic Transformation</w:t>
      </w:r>
      <w:r w:rsidRPr="00A07B1C">
        <w:rPr>
          <w:rFonts w:ascii="Times New Roman" w:eastAsia="Calibri" w:hAnsi="Times New Roman"/>
          <w:sz w:val="24"/>
          <w:szCs w:val="24"/>
        </w:rPr>
        <w:t xml:space="preserve"> Programme (2 percent)</w:t>
      </w:r>
      <w:r w:rsidR="00F06649" w:rsidRPr="00A07B1C">
        <w:rPr>
          <w:rFonts w:ascii="Times New Roman" w:eastAsia="Calibri" w:hAnsi="Times New Roman"/>
          <w:sz w:val="24"/>
          <w:szCs w:val="24"/>
        </w:rPr>
        <w:t>;</w:t>
      </w:r>
      <w:r w:rsidRPr="00A07B1C">
        <w:rPr>
          <w:rFonts w:ascii="Times New Roman" w:eastAsia="Calibri" w:hAnsi="Times New Roman"/>
          <w:sz w:val="24"/>
          <w:szCs w:val="24"/>
        </w:rPr>
        <w:t xml:space="preserve"> and the </w:t>
      </w:r>
      <w:r w:rsidRPr="00A07B1C">
        <w:rPr>
          <w:rFonts w:ascii="Times New Roman" w:hAnsi="Times New Roman"/>
          <w:sz w:val="24"/>
          <w:szCs w:val="24"/>
          <w:lang w:eastAsia="en-ZA"/>
        </w:rPr>
        <w:t xml:space="preserve">International Trade and Economic Development </w:t>
      </w:r>
      <w:r w:rsidRPr="00A07B1C">
        <w:rPr>
          <w:rFonts w:ascii="Times New Roman" w:eastAsia="Calibri" w:hAnsi="Times New Roman"/>
          <w:sz w:val="24"/>
          <w:szCs w:val="24"/>
        </w:rPr>
        <w:t>Programme</w:t>
      </w:r>
      <w:r w:rsidR="00F06649" w:rsidRPr="00A07B1C">
        <w:rPr>
          <w:rFonts w:ascii="Times New Roman" w:eastAsia="Calibri" w:hAnsi="Times New Roman"/>
          <w:sz w:val="24"/>
          <w:szCs w:val="24"/>
        </w:rPr>
        <w:t>,</w:t>
      </w:r>
      <w:r w:rsidRPr="00A07B1C">
        <w:rPr>
          <w:rFonts w:ascii="Times New Roman" w:eastAsia="Calibri" w:hAnsi="Times New Roman"/>
          <w:sz w:val="24"/>
          <w:szCs w:val="24"/>
        </w:rPr>
        <w:t xml:space="preserve"> and Investment South Africa </w:t>
      </w:r>
      <w:r w:rsidR="00F06649" w:rsidRPr="00A07B1C">
        <w:rPr>
          <w:rFonts w:ascii="Times New Roman" w:eastAsia="Calibri" w:hAnsi="Times New Roman"/>
          <w:sz w:val="24"/>
          <w:szCs w:val="24"/>
        </w:rPr>
        <w:t xml:space="preserve">Programme </w:t>
      </w:r>
      <w:r w:rsidRPr="00A07B1C">
        <w:rPr>
          <w:rFonts w:ascii="Times New Roman" w:eastAsia="Calibri" w:hAnsi="Times New Roman"/>
          <w:sz w:val="24"/>
          <w:szCs w:val="24"/>
        </w:rPr>
        <w:t xml:space="preserve">(1 percent each). </w:t>
      </w:r>
      <w:r w:rsidR="00240721" w:rsidRPr="00A07B1C">
        <w:rPr>
          <w:rFonts w:ascii="Times New Roman" w:eastAsia="Calibri" w:hAnsi="Times New Roman"/>
          <w:sz w:val="24"/>
          <w:szCs w:val="24"/>
        </w:rPr>
        <w:t>T</w:t>
      </w:r>
      <w:r w:rsidRPr="00A07B1C">
        <w:rPr>
          <w:rFonts w:ascii="Times New Roman" w:eastAsia="Calibri" w:hAnsi="Times New Roman"/>
          <w:sz w:val="24"/>
          <w:szCs w:val="24"/>
        </w:rPr>
        <w:t xml:space="preserve">he table </w:t>
      </w:r>
      <w:r w:rsidR="00673C45" w:rsidRPr="00A07B1C">
        <w:rPr>
          <w:rFonts w:ascii="Times New Roman" w:eastAsia="Calibri" w:hAnsi="Times New Roman"/>
          <w:sz w:val="24"/>
          <w:szCs w:val="24"/>
        </w:rPr>
        <w:t>above</w:t>
      </w:r>
      <w:r w:rsidRPr="00A07B1C">
        <w:rPr>
          <w:rFonts w:ascii="Times New Roman" w:eastAsia="Calibri" w:hAnsi="Times New Roman"/>
          <w:sz w:val="24"/>
          <w:szCs w:val="24"/>
        </w:rPr>
        <w:t xml:space="preserve"> depicts changes</w:t>
      </w:r>
      <w:r w:rsidR="00240721" w:rsidRPr="00A07B1C">
        <w:rPr>
          <w:rFonts w:ascii="Times New Roman" w:eastAsia="Calibri" w:hAnsi="Times New Roman"/>
          <w:sz w:val="24"/>
          <w:szCs w:val="24"/>
        </w:rPr>
        <w:t xml:space="preserve"> in budget allocations</w:t>
      </w:r>
      <w:r w:rsidRPr="00A07B1C">
        <w:rPr>
          <w:rFonts w:ascii="Times New Roman" w:eastAsia="Calibri" w:hAnsi="Times New Roman"/>
          <w:sz w:val="24"/>
          <w:szCs w:val="24"/>
        </w:rPr>
        <w:t xml:space="preserve"> </w:t>
      </w:r>
      <w:r w:rsidR="00240721" w:rsidRPr="00A07B1C">
        <w:rPr>
          <w:rFonts w:ascii="Times New Roman" w:eastAsia="Calibri" w:hAnsi="Times New Roman"/>
          <w:sz w:val="24"/>
          <w:szCs w:val="24"/>
        </w:rPr>
        <w:t xml:space="preserve">per programme </w:t>
      </w:r>
      <w:r w:rsidRPr="00A07B1C">
        <w:rPr>
          <w:rFonts w:ascii="Times New Roman" w:eastAsia="Calibri" w:hAnsi="Times New Roman"/>
          <w:sz w:val="24"/>
          <w:szCs w:val="24"/>
        </w:rPr>
        <w:t xml:space="preserve">between </w:t>
      </w:r>
      <w:r w:rsidR="00240721" w:rsidRPr="00A07B1C">
        <w:rPr>
          <w:rFonts w:ascii="Times New Roman" w:eastAsia="Calibri" w:hAnsi="Times New Roman"/>
          <w:sz w:val="24"/>
          <w:szCs w:val="24"/>
        </w:rPr>
        <w:t xml:space="preserve">the </w:t>
      </w:r>
      <w:r w:rsidRPr="00A07B1C">
        <w:rPr>
          <w:rFonts w:ascii="Times New Roman" w:eastAsia="Calibri" w:hAnsi="Times New Roman"/>
          <w:sz w:val="24"/>
          <w:szCs w:val="24"/>
        </w:rPr>
        <w:t xml:space="preserve">2018/19 and 2019/20 financial years. </w:t>
      </w:r>
    </w:p>
    <w:p w14:paraId="770EDC0A" w14:textId="77777777" w:rsidR="00E40757" w:rsidRPr="00A07B1C" w:rsidRDefault="00E40757" w:rsidP="00EE0880">
      <w:pPr>
        <w:spacing w:line="360" w:lineRule="auto"/>
        <w:jc w:val="both"/>
        <w:rPr>
          <w:b/>
        </w:rPr>
      </w:pPr>
    </w:p>
    <w:p w14:paraId="101C5D4D" w14:textId="77777777" w:rsidR="00E40757" w:rsidRPr="00A07B1C" w:rsidRDefault="00E40757" w:rsidP="00E40757">
      <w:pPr>
        <w:pStyle w:val="ListParagraph"/>
        <w:spacing w:line="360" w:lineRule="auto"/>
        <w:ind w:left="0"/>
        <w:jc w:val="both"/>
        <w:rPr>
          <w:lang w:eastAsia="en-ZA"/>
        </w:rPr>
      </w:pPr>
      <w:r w:rsidRPr="00A07B1C">
        <w:t xml:space="preserve">The </w:t>
      </w:r>
      <w:r w:rsidR="00E50A57">
        <w:t>DTI</w:t>
      </w:r>
      <w:r w:rsidRPr="00A07B1C">
        <w:t>’s overall budget increased by 0,32 percent in real terms for the 2019/20 financial year, approximately R527 million. At a programme level, the budget of three of the eight programmes’ allocation increase</w:t>
      </w:r>
      <w:r w:rsidR="00E50A57">
        <w:t>d</w:t>
      </w:r>
      <w:r w:rsidRPr="00A07B1C">
        <w:t xml:space="preserve"> in real terms. These are the </w:t>
      </w:r>
      <w:r w:rsidRPr="00A07B1C">
        <w:rPr>
          <w:lang w:eastAsia="en-ZA"/>
        </w:rPr>
        <w:t>Special Economic Zones and Economic Transformation, Incentive Development and Administration</w:t>
      </w:r>
      <w:r w:rsidR="00EF0636" w:rsidRPr="00A07B1C">
        <w:rPr>
          <w:lang w:eastAsia="en-ZA"/>
        </w:rPr>
        <w:t>,</w:t>
      </w:r>
      <w:r w:rsidRPr="00A07B1C">
        <w:rPr>
          <w:lang w:eastAsia="en-ZA"/>
        </w:rPr>
        <w:t xml:space="preserve"> and Tr</w:t>
      </w:r>
      <w:r w:rsidR="00EF0636" w:rsidRPr="00A07B1C">
        <w:rPr>
          <w:lang w:eastAsia="en-ZA"/>
        </w:rPr>
        <w:t>ade and Investment South Africa Programmes</w:t>
      </w:r>
      <w:r w:rsidRPr="00A07B1C">
        <w:rPr>
          <w:lang w:eastAsia="en-ZA"/>
        </w:rPr>
        <w:t xml:space="preserve"> which increased by 11,4 p</w:t>
      </w:r>
      <w:r w:rsidR="0020754D" w:rsidRPr="00A07B1C">
        <w:rPr>
          <w:lang w:eastAsia="en-ZA"/>
        </w:rPr>
        <w:t>ercent, 2,7 percent and 1,7 per</w:t>
      </w:r>
      <w:r w:rsidRPr="00A07B1C">
        <w:rPr>
          <w:lang w:eastAsia="en-ZA"/>
        </w:rPr>
        <w:t xml:space="preserve">cent in real terms respectively. The other programmes show a decrease in allocation, these are the Administration, </w:t>
      </w:r>
      <w:r w:rsidR="00EF0636" w:rsidRPr="00A07B1C">
        <w:rPr>
          <w:lang w:eastAsia="en-ZA"/>
        </w:rPr>
        <w:t xml:space="preserve">and the </w:t>
      </w:r>
      <w:r w:rsidRPr="00A07B1C">
        <w:rPr>
          <w:lang w:eastAsia="en-ZA"/>
        </w:rPr>
        <w:t xml:space="preserve">International Trade and Economic Development </w:t>
      </w:r>
      <w:r w:rsidRPr="00A07B1C">
        <w:t>programme</w:t>
      </w:r>
      <w:r w:rsidR="00EF0636" w:rsidRPr="00A07B1C">
        <w:rPr>
          <w:lang w:eastAsia="en-ZA"/>
        </w:rPr>
        <w:t xml:space="preserve"> which decreased by 2 percent. In addition, the</w:t>
      </w:r>
      <w:r w:rsidRPr="00A07B1C">
        <w:rPr>
          <w:lang w:eastAsia="en-ZA"/>
        </w:rPr>
        <w:t xml:space="preserve"> Industrial Development, Consumer and Corporate Regulati</w:t>
      </w:r>
      <w:r w:rsidR="00EF0636" w:rsidRPr="00A07B1C">
        <w:rPr>
          <w:lang w:eastAsia="en-ZA"/>
        </w:rPr>
        <w:t>on, and Investment South Africa P</w:t>
      </w:r>
      <w:r w:rsidRPr="00A07B1C">
        <w:rPr>
          <w:lang w:eastAsia="en-ZA"/>
        </w:rPr>
        <w:t xml:space="preserve">rogrammes decreased by 8,8 percent, 0,6 percent, 1,6 percent, </w:t>
      </w:r>
      <w:r w:rsidR="00EF0636" w:rsidRPr="00A07B1C">
        <w:rPr>
          <w:lang w:eastAsia="en-ZA"/>
        </w:rPr>
        <w:t xml:space="preserve">and </w:t>
      </w:r>
      <w:r w:rsidRPr="00A07B1C">
        <w:rPr>
          <w:lang w:eastAsia="en-ZA"/>
        </w:rPr>
        <w:t xml:space="preserve">5,5 percent respectively </w:t>
      </w:r>
      <w:r w:rsidR="00EF0636" w:rsidRPr="00A07B1C">
        <w:t>and the largest decrease wa</w:t>
      </w:r>
      <w:r w:rsidRPr="00A07B1C">
        <w:t>s that of the Investment South Afri</w:t>
      </w:r>
      <w:r w:rsidR="00F31074" w:rsidRPr="00A07B1C">
        <w:t xml:space="preserve">ca </w:t>
      </w:r>
      <w:r w:rsidR="00EF0636" w:rsidRPr="00A07B1C">
        <w:t>P</w:t>
      </w:r>
      <w:r w:rsidR="00F31074" w:rsidRPr="00A07B1C">
        <w:t>rogramme with</w:t>
      </w:r>
      <w:r w:rsidR="00EF0636" w:rsidRPr="00A07B1C">
        <w:t xml:space="preserve"> a</w:t>
      </w:r>
      <w:r w:rsidR="00F31074" w:rsidRPr="00A07B1C">
        <w:t xml:space="preserve"> 34,2 percent </w:t>
      </w:r>
      <w:r w:rsidRPr="00A07B1C">
        <w:t xml:space="preserve">decrease in real terms. </w:t>
      </w:r>
    </w:p>
    <w:p w14:paraId="2B341B94" w14:textId="77777777" w:rsidR="00E40757" w:rsidRPr="00A07B1C" w:rsidRDefault="00E40757" w:rsidP="00E40757">
      <w:pPr>
        <w:spacing w:line="360" w:lineRule="auto"/>
        <w:jc w:val="both"/>
        <w:rPr>
          <w:rFonts w:ascii="Times New Roman" w:hAnsi="Times New Roman"/>
          <w:sz w:val="24"/>
          <w:szCs w:val="24"/>
        </w:rPr>
      </w:pPr>
    </w:p>
    <w:p w14:paraId="0912D6FC" w14:textId="77777777" w:rsidR="00EE0880" w:rsidRPr="00A07B1C" w:rsidRDefault="00EE0880" w:rsidP="00F31074">
      <w:pPr>
        <w:numPr>
          <w:ilvl w:val="2"/>
          <w:numId w:val="6"/>
        </w:numPr>
        <w:spacing w:line="360" w:lineRule="auto"/>
        <w:jc w:val="both"/>
        <w:rPr>
          <w:rFonts w:ascii="Times New Roman" w:hAnsi="Times New Roman"/>
          <w:b/>
          <w:sz w:val="24"/>
          <w:szCs w:val="24"/>
        </w:rPr>
      </w:pPr>
      <w:bookmarkStart w:id="8" w:name="_Toc7510009"/>
      <w:r w:rsidRPr="00A07B1C">
        <w:rPr>
          <w:rFonts w:ascii="Times New Roman" w:hAnsi="Times New Roman"/>
          <w:b/>
          <w:sz w:val="24"/>
          <w:szCs w:val="24"/>
        </w:rPr>
        <w:t>Economic classification</w:t>
      </w:r>
    </w:p>
    <w:p w14:paraId="32CE2956" w14:textId="77777777" w:rsidR="00EE0880" w:rsidRPr="00A07B1C" w:rsidRDefault="00EE0880" w:rsidP="00EE0880">
      <w:pPr>
        <w:spacing w:line="360" w:lineRule="auto"/>
        <w:jc w:val="both"/>
        <w:rPr>
          <w:rFonts w:ascii="Times New Roman" w:hAnsi="Times New Roman"/>
          <w:sz w:val="24"/>
          <w:szCs w:val="24"/>
        </w:rPr>
      </w:pPr>
    </w:p>
    <w:p w14:paraId="2A148D07" w14:textId="77777777" w:rsidR="00767173" w:rsidRPr="00A07B1C" w:rsidRDefault="00767173" w:rsidP="00767173">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 xml:space="preserve">Of the total budget of R10,06 </w:t>
      </w:r>
      <w:r w:rsidR="008C0E36" w:rsidRPr="00A07B1C">
        <w:rPr>
          <w:rFonts w:ascii="Times New Roman" w:hAnsi="Times New Roman"/>
          <w:color w:val="auto"/>
          <w:sz w:val="24"/>
          <w:szCs w:val="24"/>
        </w:rPr>
        <w:t>billion, R1,7</w:t>
      </w:r>
      <w:r w:rsidRPr="00A07B1C">
        <w:rPr>
          <w:rFonts w:ascii="Times New Roman" w:hAnsi="Times New Roman"/>
          <w:color w:val="auto"/>
          <w:sz w:val="24"/>
          <w:szCs w:val="24"/>
        </w:rPr>
        <w:t xml:space="preserve"> billion (</w:t>
      </w:r>
      <w:r w:rsidR="008C0E36" w:rsidRPr="00A07B1C">
        <w:rPr>
          <w:rFonts w:ascii="Times New Roman" w:hAnsi="Times New Roman"/>
          <w:color w:val="auto"/>
          <w:sz w:val="24"/>
          <w:szCs w:val="24"/>
        </w:rPr>
        <w:t>16</w:t>
      </w:r>
      <w:r w:rsidRPr="00A07B1C">
        <w:rPr>
          <w:rFonts w:ascii="Times New Roman" w:hAnsi="Times New Roman"/>
          <w:color w:val="auto"/>
          <w:sz w:val="24"/>
          <w:szCs w:val="24"/>
        </w:rPr>
        <w:t>,</w:t>
      </w:r>
      <w:r w:rsidR="008C0E36" w:rsidRPr="00A07B1C">
        <w:rPr>
          <w:rFonts w:ascii="Times New Roman" w:hAnsi="Times New Roman"/>
          <w:color w:val="auto"/>
          <w:sz w:val="24"/>
          <w:szCs w:val="24"/>
        </w:rPr>
        <w:t>9</w:t>
      </w:r>
      <w:r w:rsidRPr="00A07B1C">
        <w:rPr>
          <w:rFonts w:ascii="Times New Roman" w:hAnsi="Times New Roman"/>
          <w:color w:val="auto"/>
          <w:sz w:val="24"/>
          <w:szCs w:val="24"/>
        </w:rPr>
        <w:t xml:space="preserve"> percent of the total budget allocat</w:t>
      </w:r>
      <w:r w:rsidR="008C0E36" w:rsidRPr="00A07B1C">
        <w:rPr>
          <w:rFonts w:ascii="Times New Roman" w:hAnsi="Times New Roman"/>
          <w:color w:val="auto"/>
          <w:sz w:val="24"/>
          <w:szCs w:val="24"/>
        </w:rPr>
        <w:t>ion) is for current payments, R26</w:t>
      </w:r>
      <w:r w:rsidRPr="00A07B1C">
        <w:rPr>
          <w:rFonts w:ascii="Times New Roman" w:hAnsi="Times New Roman"/>
          <w:color w:val="auto"/>
          <w:sz w:val="24"/>
          <w:szCs w:val="24"/>
        </w:rPr>
        <w:t>,</w:t>
      </w:r>
      <w:r w:rsidR="008C0E36" w:rsidRPr="00A07B1C">
        <w:rPr>
          <w:rFonts w:ascii="Times New Roman" w:hAnsi="Times New Roman"/>
          <w:color w:val="auto"/>
          <w:sz w:val="24"/>
          <w:szCs w:val="24"/>
        </w:rPr>
        <w:t>5 million (0,26</w:t>
      </w:r>
      <w:r w:rsidRPr="00A07B1C">
        <w:rPr>
          <w:rFonts w:ascii="Times New Roman" w:hAnsi="Times New Roman"/>
          <w:color w:val="auto"/>
          <w:sz w:val="24"/>
          <w:szCs w:val="24"/>
        </w:rPr>
        <w:t xml:space="preserve"> percent of the total budget allocation) is allocated to payments for capital asse</w:t>
      </w:r>
      <w:r w:rsidR="008C0E36" w:rsidRPr="00A07B1C">
        <w:rPr>
          <w:rFonts w:ascii="Times New Roman" w:hAnsi="Times New Roman"/>
          <w:color w:val="auto"/>
          <w:sz w:val="24"/>
          <w:szCs w:val="24"/>
        </w:rPr>
        <w:t>ts and R8,3</w:t>
      </w:r>
      <w:r w:rsidRPr="00A07B1C">
        <w:rPr>
          <w:rFonts w:ascii="Times New Roman" w:hAnsi="Times New Roman"/>
          <w:color w:val="auto"/>
          <w:sz w:val="24"/>
          <w:szCs w:val="24"/>
        </w:rPr>
        <w:t xml:space="preserve"> </w:t>
      </w:r>
      <w:r w:rsidR="008C0E36" w:rsidRPr="00A07B1C">
        <w:rPr>
          <w:rFonts w:ascii="Times New Roman" w:hAnsi="Times New Roman"/>
          <w:color w:val="auto"/>
          <w:sz w:val="24"/>
          <w:szCs w:val="24"/>
        </w:rPr>
        <w:t>billion (82</w:t>
      </w:r>
      <w:r w:rsidRPr="00A07B1C">
        <w:rPr>
          <w:rFonts w:ascii="Times New Roman" w:hAnsi="Times New Roman"/>
          <w:color w:val="auto"/>
          <w:sz w:val="24"/>
          <w:szCs w:val="24"/>
        </w:rPr>
        <w:t>,</w:t>
      </w:r>
      <w:r w:rsidR="008C0E36" w:rsidRPr="00A07B1C">
        <w:rPr>
          <w:rFonts w:ascii="Times New Roman" w:hAnsi="Times New Roman"/>
          <w:color w:val="auto"/>
          <w:sz w:val="24"/>
          <w:szCs w:val="24"/>
        </w:rPr>
        <w:t>8</w:t>
      </w:r>
      <w:r w:rsidRPr="00A07B1C">
        <w:rPr>
          <w:rFonts w:ascii="Times New Roman" w:hAnsi="Times New Roman"/>
          <w:color w:val="auto"/>
          <w:sz w:val="24"/>
          <w:szCs w:val="24"/>
        </w:rPr>
        <w:t xml:space="preserve"> percent of the total budget allocation) is allocated to transfers and subsidies for government entities. A large proportion of the current payments are fo</w:t>
      </w:r>
      <w:r w:rsidR="0026427A" w:rsidRPr="00A07B1C">
        <w:rPr>
          <w:rFonts w:ascii="Times New Roman" w:hAnsi="Times New Roman"/>
          <w:color w:val="auto"/>
          <w:sz w:val="24"/>
          <w:szCs w:val="24"/>
        </w:rPr>
        <w:t>r compensation of employees (R1</w:t>
      </w:r>
      <w:r w:rsidRPr="00A07B1C">
        <w:rPr>
          <w:rFonts w:ascii="Times New Roman" w:hAnsi="Times New Roman"/>
          <w:color w:val="auto"/>
          <w:sz w:val="24"/>
          <w:szCs w:val="24"/>
        </w:rPr>
        <w:t>,</w:t>
      </w:r>
      <w:r w:rsidR="0026427A" w:rsidRPr="00A07B1C">
        <w:rPr>
          <w:rFonts w:ascii="Times New Roman" w:hAnsi="Times New Roman"/>
          <w:color w:val="auto"/>
          <w:sz w:val="24"/>
          <w:szCs w:val="24"/>
        </w:rPr>
        <w:t>05</w:t>
      </w:r>
      <w:r w:rsidRPr="00A07B1C">
        <w:rPr>
          <w:rFonts w:ascii="Times New Roman" w:hAnsi="Times New Roman"/>
          <w:color w:val="auto"/>
          <w:sz w:val="24"/>
          <w:szCs w:val="24"/>
        </w:rPr>
        <w:t xml:space="preserve"> </w:t>
      </w:r>
      <w:r w:rsidR="0026427A" w:rsidRPr="00A07B1C">
        <w:rPr>
          <w:rFonts w:ascii="Times New Roman" w:hAnsi="Times New Roman"/>
          <w:color w:val="auto"/>
          <w:sz w:val="24"/>
          <w:szCs w:val="24"/>
        </w:rPr>
        <w:t>billion or 61</w:t>
      </w:r>
      <w:r w:rsidRPr="00A07B1C">
        <w:rPr>
          <w:rFonts w:ascii="Times New Roman" w:hAnsi="Times New Roman"/>
          <w:color w:val="auto"/>
          <w:sz w:val="24"/>
          <w:szCs w:val="24"/>
        </w:rPr>
        <w:t>,5 percent of the allocation to current payments). The remainder of this allocatio</w:t>
      </w:r>
      <w:r w:rsidR="0026427A" w:rsidRPr="00A07B1C">
        <w:rPr>
          <w:rFonts w:ascii="Times New Roman" w:hAnsi="Times New Roman"/>
          <w:color w:val="auto"/>
          <w:sz w:val="24"/>
          <w:szCs w:val="24"/>
        </w:rPr>
        <w:t>n is for goods and services (R655</w:t>
      </w:r>
      <w:r w:rsidRPr="00A07B1C">
        <w:rPr>
          <w:rFonts w:ascii="Times New Roman" w:hAnsi="Times New Roman"/>
          <w:color w:val="auto"/>
          <w:sz w:val="24"/>
          <w:szCs w:val="24"/>
        </w:rPr>
        <w:t xml:space="preserve"> million).</w:t>
      </w:r>
      <w:r w:rsidR="0026427A" w:rsidRPr="00A07B1C">
        <w:rPr>
          <w:rStyle w:val="FootnoteReference"/>
          <w:rFonts w:ascii="Times New Roman" w:hAnsi="Times New Roman"/>
          <w:color w:val="auto"/>
          <w:sz w:val="24"/>
          <w:szCs w:val="24"/>
        </w:rPr>
        <w:footnoteReference w:id="32"/>
      </w:r>
    </w:p>
    <w:p w14:paraId="717315A3" w14:textId="77777777" w:rsidR="00767173" w:rsidRPr="00A07B1C" w:rsidRDefault="00767173" w:rsidP="00767173">
      <w:pPr>
        <w:spacing w:line="360" w:lineRule="auto"/>
        <w:jc w:val="both"/>
        <w:rPr>
          <w:rFonts w:ascii="Times New Roman" w:hAnsi="Times New Roman"/>
          <w:color w:val="auto"/>
          <w:sz w:val="24"/>
          <w:szCs w:val="24"/>
          <w:highlight w:val="yellow"/>
        </w:rPr>
      </w:pPr>
    </w:p>
    <w:p w14:paraId="67121515" w14:textId="77777777" w:rsidR="00EE0880" w:rsidRPr="00A07B1C" w:rsidRDefault="00767173" w:rsidP="00EE0880">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 xml:space="preserve">In terms of goods and services, the largest allocations for the 2019/20 financial year are to: </w:t>
      </w:r>
      <w:r w:rsidR="00BE4331" w:rsidRPr="00A07B1C">
        <w:rPr>
          <w:rFonts w:ascii="Times New Roman" w:hAnsi="Times New Roman"/>
          <w:color w:val="auto"/>
          <w:sz w:val="24"/>
          <w:szCs w:val="24"/>
        </w:rPr>
        <w:t>operating leases (R249</w:t>
      </w:r>
      <w:r w:rsidRPr="00A07B1C">
        <w:rPr>
          <w:rFonts w:ascii="Times New Roman" w:hAnsi="Times New Roman"/>
          <w:color w:val="auto"/>
          <w:sz w:val="24"/>
          <w:szCs w:val="24"/>
        </w:rPr>
        <w:t>,</w:t>
      </w:r>
      <w:r w:rsidR="00BE4331" w:rsidRPr="00A07B1C">
        <w:rPr>
          <w:rFonts w:ascii="Times New Roman" w:hAnsi="Times New Roman"/>
          <w:color w:val="auto"/>
          <w:sz w:val="24"/>
          <w:szCs w:val="24"/>
        </w:rPr>
        <w:t>7 million or 38</w:t>
      </w:r>
      <w:r w:rsidRPr="00A07B1C">
        <w:rPr>
          <w:rFonts w:ascii="Times New Roman" w:hAnsi="Times New Roman"/>
          <w:color w:val="auto"/>
          <w:sz w:val="24"/>
          <w:szCs w:val="24"/>
        </w:rPr>
        <w:t>,</w:t>
      </w:r>
      <w:r w:rsidR="00BE4331" w:rsidRPr="00A07B1C">
        <w:rPr>
          <w:rFonts w:ascii="Times New Roman" w:hAnsi="Times New Roman"/>
          <w:color w:val="auto"/>
          <w:sz w:val="24"/>
          <w:szCs w:val="24"/>
        </w:rPr>
        <w:t>1</w:t>
      </w:r>
      <w:r w:rsidRPr="00A07B1C">
        <w:rPr>
          <w:rFonts w:ascii="Times New Roman" w:hAnsi="Times New Roman"/>
          <w:color w:val="auto"/>
          <w:sz w:val="24"/>
          <w:szCs w:val="24"/>
        </w:rPr>
        <w:t xml:space="preserve"> percent); </w:t>
      </w:r>
      <w:r w:rsidR="00BE4331" w:rsidRPr="00A07B1C">
        <w:rPr>
          <w:rFonts w:ascii="Times New Roman" w:hAnsi="Times New Roman"/>
          <w:color w:val="auto"/>
          <w:sz w:val="24"/>
          <w:szCs w:val="24"/>
        </w:rPr>
        <w:t xml:space="preserve">travel and subsistence (R110,1 million or 16,8 percent); </w:t>
      </w:r>
      <w:r w:rsidR="009668FE" w:rsidRPr="00A07B1C">
        <w:rPr>
          <w:rFonts w:ascii="Times New Roman" w:hAnsi="Times New Roman"/>
          <w:color w:val="auto"/>
          <w:sz w:val="24"/>
          <w:szCs w:val="24"/>
        </w:rPr>
        <w:t xml:space="preserve">consultants for business and advisory services (R61,02 million or 9,3 percent); </w:t>
      </w:r>
      <w:r w:rsidR="009668FE" w:rsidRPr="00A07B1C">
        <w:rPr>
          <w:rFonts w:ascii="Times New Roman" w:hAnsi="Times New Roman"/>
          <w:color w:val="auto"/>
          <w:sz w:val="24"/>
          <w:szCs w:val="24"/>
        </w:rPr>
        <w:lastRenderedPageBreak/>
        <w:t xml:space="preserve">operating payments </w:t>
      </w:r>
      <w:r w:rsidRPr="00A07B1C">
        <w:rPr>
          <w:rFonts w:ascii="Times New Roman" w:hAnsi="Times New Roman"/>
          <w:color w:val="auto"/>
          <w:sz w:val="24"/>
          <w:szCs w:val="24"/>
        </w:rPr>
        <w:t>(R</w:t>
      </w:r>
      <w:r w:rsidR="009668FE" w:rsidRPr="00A07B1C">
        <w:rPr>
          <w:rFonts w:ascii="Times New Roman" w:hAnsi="Times New Roman"/>
          <w:color w:val="auto"/>
          <w:sz w:val="24"/>
          <w:szCs w:val="24"/>
        </w:rPr>
        <w:t>30</w:t>
      </w:r>
      <w:r w:rsidRPr="00A07B1C">
        <w:rPr>
          <w:rFonts w:ascii="Times New Roman" w:hAnsi="Times New Roman"/>
          <w:color w:val="auto"/>
          <w:sz w:val="24"/>
          <w:szCs w:val="24"/>
        </w:rPr>
        <w:t>,</w:t>
      </w:r>
      <w:r w:rsidR="009668FE" w:rsidRPr="00A07B1C">
        <w:rPr>
          <w:rFonts w:ascii="Times New Roman" w:hAnsi="Times New Roman"/>
          <w:color w:val="auto"/>
          <w:sz w:val="24"/>
          <w:szCs w:val="24"/>
        </w:rPr>
        <w:t>4</w:t>
      </w:r>
      <w:r w:rsidRPr="00A07B1C">
        <w:rPr>
          <w:rFonts w:ascii="Times New Roman" w:hAnsi="Times New Roman"/>
          <w:color w:val="auto"/>
          <w:sz w:val="24"/>
          <w:szCs w:val="24"/>
        </w:rPr>
        <w:t xml:space="preserve"> million or 4,6</w:t>
      </w:r>
      <w:r w:rsidR="00413CC1" w:rsidRPr="00A07B1C">
        <w:rPr>
          <w:rFonts w:ascii="Times New Roman" w:hAnsi="Times New Roman"/>
          <w:color w:val="auto"/>
          <w:sz w:val="24"/>
          <w:szCs w:val="24"/>
        </w:rPr>
        <w:t>3</w:t>
      </w:r>
      <w:r w:rsidRPr="00A07B1C">
        <w:rPr>
          <w:rFonts w:ascii="Times New Roman" w:hAnsi="Times New Roman"/>
          <w:color w:val="auto"/>
          <w:sz w:val="24"/>
          <w:szCs w:val="24"/>
        </w:rPr>
        <w:t xml:space="preserve"> percent); </w:t>
      </w:r>
      <w:r w:rsidR="009668FE" w:rsidRPr="00A07B1C">
        <w:rPr>
          <w:rFonts w:ascii="Times New Roman" w:hAnsi="Times New Roman"/>
          <w:color w:val="auto"/>
          <w:sz w:val="24"/>
          <w:szCs w:val="24"/>
        </w:rPr>
        <w:t xml:space="preserve">and </w:t>
      </w:r>
      <w:r w:rsidR="00413CC1" w:rsidRPr="00A07B1C">
        <w:rPr>
          <w:rFonts w:ascii="Times New Roman" w:hAnsi="Times New Roman"/>
          <w:color w:val="auto"/>
          <w:sz w:val="24"/>
          <w:szCs w:val="24"/>
        </w:rPr>
        <w:t xml:space="preserve">contractors </w:t>
      </w:r>
      <w:r w:rsidRPr="00A07B1C">
        <w:rPr>
          <w:rFonts w:ascii="Times New Roman" w:hAnsi="Times New Roman"/>
          <w:color w:val="auto"/>
          <w:sz w:val="24"/>
          <w:szCs w:val="24"/>
        </w:rPr>
        <w:t>(R3</w:t>
      </w:r>
      <w:r w:rsidR="00413CC1" w:rsidRPr="00A07B1C">
        <w:rPr>
          <w:rFonts w:ascii="Times New Roman" w:hAnsi="Times New Roman"/>
          <w:color w:val="auto"/>
          <w:sz w:val="24"/>
          <w:szCs w:val="24"/>
        </w:rPr>
        <w:t>0</w:t>
      </w:r>
      <w:r w:rsidRPr="00A07B1C">
        <w:rPr>
          <w:rFonts w:ascii="Times New Roman" w:hAnsi="Times New Roman"/>
          <w:color w:val="auto"/>
          <w:sz w:val="24"/>
          <w:szCs w:val="24"/>
        </w:rPr>
        <w:t>,</w:t>
      </w:r>
      <w:r w:rsidR="00413CC1" w:rsidRPr="00A07B1C">
        <w:rPr>
          <w:rFonts w:ascii="Times New Roman" w:hAnsi="Times New Roman"/>
          <w:color w:val="auto"/>
          <w:sz w:val="24"/>
          <w:szCs w:val="24"/>
        </w:rPr>
        <w:t>3</w:t>
      </w:r>
      <w:r w:rsidRPr="00A07B1C">
        <w:rPr>
          <w:rFonts w:ascii="Times New Roman" w:hAnsi="Times New Roman"/>
          <w:color w:val="auto"/>
          <w:sz w:val="24"/>
          <w:szCs w:val="24"/>
        </w:rPr>
        <w:t xml:space="preserve"> million or </w:t>
      </w:r>
      <w:r w:rsidR="00413CC1" w:rsidRPr="00A07B1C">
        <w:rPr>
          <w:rFonts w:ascii="Times New Roman" w:hAnsi="Times New Roman"/>
          <w:color w:val="auto"/>
          <w:sz w:val="24"/>
          <w:szCs w:val="24"/>
        </w:rPr>
        <w:t>4</w:t>
      </w:r>
      <w:r w:rsidRPr="00A07B1C">
        <w:rPr>
          <w:rFonts w:ascii="Times New Roman" w:hAnsi="Times New Roman"/>
          <w:color w:val="auto"/>
          <w:sz w:val="24"/>
          <w:szCs w:val="24"/>
        </w:rPr>
        <w:t>,</w:t>
      </w:r>
      <w:r w:rsidR="00413CC1" w:rsidRPr="00A07B1C">
        <w:rPr>
          <w:rFonts w:ascii="Times New Roman" w:hAnsi="Times New Roman"/>
          <w:color w:val="auto"/>
          <w:sz w:val="24"/>
          <w:szCs w:val="24"/>
        </w:rPr>
        <w:t>62</w:t>
      </w:r>
      <w:r w:rsidRPr="00A07B1C">
        <w:rPr>
          <w:rFonts w:ascii="Times New Roman" w:hAnsi="Times New Roman"/>
          <w:color w:val="auto"/>
          <w:sz w:val="24"/>
          <w:szCs w:val="24"/>
        </w:rPr>
        <w:t xml:space="preserve"> percent).</w:t>
      </w:r>
    </w:p>
    <w:p w14:paraId="3BBFC509" w14:textId="77777777" w:rsidR="00B15884" w:rsidRPr="00A07B1C" w:rsidRDefault="00B15884" w:rsidP="00EE0880">
      <w:pPr>
        <w:spacing w:line="360" w:lineRule="auto"/>
        <w:jc w:val="both"/>
        <w:rPr>
          <w:rFonts w:ascii="Times New Roman" w:hAnsi="Times New Roman"/>
          <w:sz w:val="24"/>
          <w:szCs w:val="24"/>
        </w:rPr>
      </w:pPr>
    </w:p>
    <w:p w14:paraId="46F6AE28" w14:textId="77777777" w:rsidR="00247742" w:rsidRPr="00A07B1C" w:rsidRDefault="00BF3B05" w:rsidP="00EE0880">
      <w:pPr>
        <w:spacing w:line="360" w:lineRule="auto"/>
        <w:jc w:val="both"/>
        <w:rPr>
          <w:rFonts w:ascii="Times New Roman" w:hAnsi="Times New Roman"/>
          <w:sz w:val="24"/>
          <w:szCs w:val="24"/>
        </w:rPr>
      </w:pPr>
      <w:r w:rsidRPr="00A07B1C">
        <w:rPr>
          <w:rFonts w:ascii="Times New Roman" w:hAnsi="Times New Roman"/>
          <w:sz w:val="24"/>
          <w:szCs w:val="24"/>
        </w:rPr>
        <w:t xml:space="preserve">The DTI’s transfers and subsidies </w:t>
      </w:r>
      <w:r w:rsidR="002F7C4D" w:rsidRPr="00A07B1C">
        <w:rPr>
          <w:rFonts w:ascii="Times New Roman" w:hAnsi="Times New Roman"/>
          <w:sz w:val="24"/>
          <w:szCs w:val="24"/>
        </w:rPr>
        <w:t>are mainly distributed to public corporations and private enterprises (88,8 percent of transfers and subsidies or R7,4 billion). In addition, it will distribute R730,3 million to departmental agencies and accounts (8,8 percent of transfers and subsidies</w:t>
      </w:r>
      <w:r w:rsidR="0011518C" w:rsidRPr="00A07B1C">
        <w:rPr>
          <w:rFonts w:ascii="Times New Roman" w:hAnsi="Times New Roman"/>
          <w:sz w:val="24"/>
          <w:szCs w:val="24"/>
        </w:rPr>
        <w:t>);</w:t>
      </w:r>
      <w:r w:rsidR="002F7C4D" w:rsidRPr="00A07B1C">
        <w:rPr>
          <w:rFonts w:ascii="Times New Roman" w:hAnsi="Times New Roman"/>
          <w:sz w:val="24"/>
          <w:szCs w:val="24"/>
        </w:rPr>
        <w:t xml:space="preserve"> R163,1 million (or </w:t>
      </w:r>
      <w:r w:rsidR="0011518C" w:rsidRPr="00A07B1C">
        <w:rPr>
          <w:rFonts w:ascii="Times New Roman" w:hAnsi="Times New Roman"/>
          <w:sz w:val="24"/>
          <w:szCs w:val="24"/>
        </w:rPr>
        <w:t xml:space="preserve">1,96 </w:t>
      </w:r>
      <w:r w:rsidR="002F7C4D" w:rsidRPr="00A07B1C">
        <w:rPr>
          <w:rFonts w:ascii="Times New Roman" w:hAnsi="Times New Roman"/>
          <w:sz w:val="24"/>
          <w:szCs w:val="24"/>
        </w:rPr>
        <w:t>percent of transfers and subsidies)</w:t>
      </w:r>
      <w:r w:rsidR="0011518C" w:rsidRPr="00A07B1C">
        <w:rPr>
          <w:rFonts w:ascii="Times New Roman" w:hAnsi="Times New Roman"/>
          <w:sz w:val="24"/>
          <w:szCs w:val="24"/>
        </w:rPr>
        <w:t xml:space="preserve"> to non-profit institutions;</w:t>
      </w:r>
      <w:r w:rsidR="002F7C4D" w:rsidRPr="00A07B1C">
        <w:rPr>
          <w:rFonts w:ascii="Times New Roman" w:hAnsi="Times New Roman"/>
          <w:sz w:val="24"/>
          <w:szCs w:val="24"/>
        </w:rPr>
        <w:t xml:space="preserve"> R40,6 million </w:t>
      </w:r>
      <w:r w:rsidR="0011518C" w:rsidRPr="00A07B1C">
        <w:rPr>
          <w:rFonts w:ascii="Times New Roman" w:hAnsi="Times New Roman"/>
          <w:sz w:val="24"/>
          <w:szCs w:val="24"/>
        </w:rPr>
        <w:t xml:space="preserve">(or 0,49 </w:t>
      </w:r>
      <w:r w:rsidR="002F7C4D" w:rsidRPr="00A07B1C">
        <w:rPr>
          <w:rFonts w:ascii="Times New Roman" w:hAnsi="Times New Roman"/>
          <w:sz w:val="24"/>
          <w:szCs w:val="24"/>
        </w:rPr>
        <w:t>percent of transfers and subsidies) to international instit</w:t>
      </w:r>
      <w:r w:rsidR="0011518C" w:rsidRPr="00A07B1C">
        <w:rPr>
          <w:rFonts w:ascii="Times New Roman" w:hAnsi="Times New Roman"/>
          <w:sz w:val="24"/>
          <w:szCs w:val="24"/>
        </w:rPr>
        <w:t>utions for membership fees;</w:t>
      </w:r>
      <w:r w:rsidR="002F7C4D" w:rsidRPr="00A07B1C">
        <w:rPr>
          <w:rFonts w:ascii="Times New Roman" w:hAnsi="Times New Roman"/>
          <w:sz w:val="24"/>
          <w:szCs w:val="24"/>
        </w:rPr>
        <w:t xml:space="preserve"> and R0,9 million (or </w:t>
      </w:r>
      <w:r w:rsidR="0011518C" w:rsidRPr="00A07B1C">
        <w:rPr>
          <w:rFonts w:ascii="Times New Roman" w:hAnsi="Times New Roman"/>
          <w:sz w:val="24"/>
          <w:szCs w:val="24"/>
        </w:rPr>
        <w:t xml:space="preserve">0,01 </w:t>
      </w:r>
      <w:r w:rsidR="002F7C4D" w:rsidRPr="00A07B1C">
        <w:rPr>
          <w:rFonts w:ascii="Times New Roman" w:hAnsi="Times New Roman"/>
          <w:sz w:val="24"/>
          <w:szCs w:val="24"/>
        </w:rPr>
        <w:t>percent of transfers and subsidies) to households</w:t>
      </w:r>
      <w:r w:rsidR="0011518C" w:rsidRPr="00A07B1C">
        <w:rPr>
          <w:rFonts w:ascii="Times New Roman" w:hAnsi="Times New Roman"/>
          <w:sz w:val="24"/>
          <w:szCs w:val="24"/>
        </w:rPr>
        <w:t xml:space="preserve"> for employee social benefits</w:t>
      </w:r>
      <w:r w:rsidR="002F7C4D" w:rsidRPr="00A07B1C">
        <w:rPr>
          <w:rFonts w:ascii="Times New Roman" w:hAnsi="Times New Roman"/>
          <w:sz w:val="24"/>
          <w:szCs w:val="24"/>
        </w:rPr>
        <w:t>.</w:t>
      </w:r>
      <w:r w:rsidR="0011518C" w:rsidRPr="00A07B1C">
        <w:rPr>
          <w:rFonts w:ascii="Times New Roman" w:hAnsi="Times New Roman"/>
          <w:sz w:val="24"/>
          <w:szCs w:val="24"/>
        </w:rPr>
        <w:t xml:space="preserve"> Transfers to </w:t>
      </w:r>
      <w:r w:rsidR="00495FD1" w:rsidRPr="00A07B1C">
        <w:rPr>
          <w:rFonts w:ascii="Times New Roman" w:hAnsi="Times New Roman"/>
          <w:sz w:val="24"/>
          <w:szCs w:val="24"/>
        </w:rPr>
        <w:t xml:space="preserve">the DTI </w:t>
      </w:r>
      <w:r w:rsidR="0011518C" w:rsidRPr="00A07B1C">
        <w:rPr>
          <w:rFonts w:ascii="Times New Roman" w:hAnsi="Times New Roman"/>
          <w:sz w:val="24"/>
          <w:szCs w:val="24"/>
        </w:rPr>
        <w:t xml:space="preserve">entities are </w:t>
      </w:r>
      <w:r w:rsidR="00495FD1" w:rsidRPr="00A07B1C">
        <w:rPr>
          <w:rFonts w:ascii="Times New Roman" w:hAnsi="Times New Roman"/>
          <w:sz w:val="24"/>
          <w:szCs w:val="24"/>
        </w:rPr>
        <w:t>discussed in further detail below.</w:t>
      </w:r>
    </w:p>
    <w:p w14:paraId="0083FDBE" w14:textId="77777777" w:rsidR="00B15884" w:rsidRPr="00A07B1C" w:rsidRDefault="00B15884" w:rsidP="00EE0880">
      <w:pPr>
        <w:spacing w:line="360" w:lineRule="auto"/>
        <w:jc w:val="both"/>
        <w:rPr>
          <w:rFonts w:ascii="Times New Roman" w:hAnsi="Times New Roman"/>
          <w:sz w:val="24"/>
          <w:szCs w:val="24"/>
        </w:rPr>
      </w:pPr>
    </w:p>
    <w:p w14:paraId="62AA00E4" w14:textId="77777777" w:rsidR="00E40757" w:rsidRPr="00A07B1C" w:rsidRDefault="00E40757" w:rsidP="00EE0880">
      <w:pPr>
        <w:numPr>
          <w:ilvl w:val="3"/>
          <w:numId w:val="6"/>
        </w:numPr>
        <w:spacing w:line="360" w:lineRule="auto"/>
        <w:jc w:val="both"/>
        <w:rPr>
          <w:rFonts w:ascii="Times New Roman" w:hAnsi="Times New Roman"/>
          <w:b/>
          <w:sz w:val="24"/>
          <w:szCs w:val="24"/>
        </w:rPr>
      </w:pPr>
      <w:r w:rsidRPr="00A07B1C">
        <w:rPr>
          <w:rFonts w:ascii="Times New Roman" w:hAnsi="Times New Roman"/>
          <w:b/>
          <w:sz w:val="24"/>
          <w:szCs w:val="24"/>
        </w:rPr>
        <w:t>Transfers to Entities</w:t>
      </w:r>
      <w:bookmarkEnd w:id="8"/>
      <w:r w:rsidRPr="00A07B1C">
        <w:rPr>
          <w:rFonts w:ascii="Times New Roman" w:hAnsi="Times New Roman"/>
          <w:b/>
          <w:sz w:val="24"/>
          <w:szCs w:val="24"/>
        </w:rPr>
        <w:t xml:space="preserve"> </w:t>
      </w:r>
    </w:p>
    <w:p w14:paraId="2EF124BD" w14:textId="77777777" w:rsidR="00E40757" w:rsidRPr="00A07B1C" w:rsidRDefault="00E40757" w:rsidP="00E40757">
      <w:pPr>
        <w:spacing w:line="360" w:lineRule="auto"/>
        <w:jc w:val="both"/>
        <w:rPr>
          <w:rFonts w:ascii="Times New Roman" w:hAnsi="Times New Roman"/>
          <w:sz w:val="24"/>
          <w:szCs w:val="24"/>
          <w:lang w:eastAsia="en-ZA"/>
        </w:rPr>
      </w:pPr>
    </w:p>
    <w:p w14:paraId="741B39E7" w14:textId="77777777" w:rsidR="00F31074" w:rsidRPr="00A07B1C" w:rsidRDefault="00E40757" w:rsidP="00E40757">
      <w:pPr>
        <w:spacing w:line="360" w:lineRule="auto"/>
        <w:jc w:val="both"/>
        <w:rPr>
          <w:rFonts w:ascii="Times New Roman" w:hAnsi="Times New Roman"/>
          <w:sz w:val="24"/>
          <w:szCs w:val="24"/>
          <w:lang w:eastAsia="en-ZA"/>
        </w:rPr>
      </w:pPr>
      <w:r w:rsidRPr="00A07B1C">
        <w:rPr>
          <w:rFonts w:ascii="Times New Roman" w:hAnsi="Times New Roman"/>
          <w:sz w:val="24"/>
          <w:szCs w:val="24"/>
          <w:lang w:eastAsia="en-ZA"/>
        </w:rPr>
        <w:t xml:space="preserve">In terms of its functions, the Department is responsible for overseeing 14 entities and the </w:t>
      </w:r>
      <w:r w:rsidRPr="00A07B1C">
        <w:rPr>
          <w:rFonts w:ascii="Times New Roman" w:hAnsi="Times New Roman"/>
          <w:sz w:val="24"/>
          <w:szCs w:val="24"/>
        </w:rPr>
        <w:t>Broad-Based Black Economic Empowerment (B-BBEE)</w:t>
      </w:r>
      <w:r w:rsidR="00F31074" w:rsidRPr="00A07B1C">
        <w:rPr>
          <w:rFonts w:ascii="Times New Roman" w:hAnsi="Times New Roman"/>
          <w:sz w:val="24"/>
          <w:szCs w:val="24"/>
        </w:rPr>
        <w:t xml:space="preserve"> Commission</w:t>
      </w:r>
      <w:r w:rsidRPr="00A07B1C">
        <w:rPr>
          <w:rFonts w:ascii="Times New Roman" w:hAnsi="Times New Roman"/>
          <w:sz w:val="24"/>
          <w:szCs w:val="24"/>
          <w:lang w:eastAsia="en-ZA"/>
        </w:rPr>
        <w:t xml:space="preserve">. </w:t>
      </w:r>
      <w:r w:rsidR="00F31074" w:rsidRPr="00A07B1C">
        <w:rPr>
          <w:rFonts w:ascii="Times New Roman" w:hAnsi="Times New Roman"/>
          <w:sz w:val="24"/>
          <w:szCs w:val="24"/>
          <w:lang w:eastAsia="en-ZA"/>
        </w:rPr>
        <w:t xml:space="preserve">Of the 14 entities, three are self-funded, these are </w:t>
      </w:r>
      <w:r w:rsidR="0020754D" w:rsidRPr="00A07B1C">
        <w:rPr>
          <w:rFonts w:ascii="Times New Roman" w:hAnsi="Times New Roman"/>
          <w:sz w:val="24"/>
          <w:szCs w:val="24"/>
          <w:lang w:eastAsia="en-ZA"/>
        </w:rPr>
        <w:t xml:space="preserve">the </w:t>
      </w:r>
      <w:r w:rsidR="00F31074" w:rsidRPr="00A07B1C">
        <w:rPr>
          <w:rFonts w:ascii="Times New Roman" w:hAnsi="Times New Roman"/>
          <w:sz w:val="24"/>
          <w:szCs w:val="24"/>
          <w:lang w:eastAsia="en-ZA"/>
        </w:rPr>
        <w:t xml:space="preserve">Companies </w:t>
      </w:r>
      <w:r w:rsidR="0020754D" w:rsidRPr="00A07B1C">
        <w:rPr>
          <w:rFonts w:ascii="Times New Roman" w:hAnsi="Times New Roman"/>
          <w:sz w:val="24"/>
          <w:szCs w:val="24"/>
          <w:lang w:eastAsia="en-ZA"/>
        </w:rPr>
        <w:t xml:space="preserve">and </w:t>
      </w:r>
      <w:r w:rsidR="00F31074" w:rsidRPr="00A07B1C">
        <w:rPr>
          <w:rFonts w:ascii="Times New Roman" w:hAnsi="Times New Roman"/>
          <w:sz w:val="24"/>
          <w:szCs w:val="24"/>
          <w:lang w:eastAsia="en-ZA"/>
        </w:rPr>
        <w:t xml:space="preserve">Intellectual Property Commission (CIPC), </w:t>
      </w:r>
      <w:r w:rsidR="0020754D" w:rsidRPr="00A07B1C">
        <w:rPr>
          <w:rFonts w:ascii="Times New Roman" w:hAnsi="Times New Roman"/>
          <w:sz w:val="24"/>
          <w:szCs w:val="24"/>
          <w:lang w:eastAsia="en-ZA"/>
        </w:rPr>
        <w:t xml:space="preserve">the </w:t>
      </w:r>
      <w:r w:rsidR="00F31074" w:rsidRPr="00A07B1C">
        <w:rPr>
          <w:rFonts w:ascii="Times New Roman" w:hAnsi="Times New Roman"/>
          <w:sz w:val="24"/>
          <w:szCs w:val="24"/>
          <w:lang w:eastAsia="en-ZA"/>
        </w:rPr>
        <w:t xml:space="preserve">National Empowerment Fund (NEF) and </w:t>
      </w:r>
      <w:r w:rsidR="0020754D" w:rsidRPr="00A07B1C">
        <w:rPr>
          <w:rFonts w:ascii="Times New Roman" w:hAnsi="Times New Roman"/>
          <w:sz w:val="24"/>
          <w:szCs w:val="24"/>
          <w:lang w:eastAsia="en-ZA"/>
        </w:rPr>
        <w:t xml:space="preserve">the </w:t>
      </w:r>
      <w:r w:rsidR="00F31074" w:rsidRPr="00A07B1C">
        <w:rPr>
          <w:rFonts w:ascii="Times New Roman" w:hAnsi="Times New Roman"/>
          <w:sz w:val="24"/>
          <w:szCs w:val="24"/>
          <w:lang w:eastAsia="en-ZA"/>
        </w:rPr>
        <w:t>National Lotteries Commission (NLC)</w:t>
      </w:r>
      <w:r w:rsidR="00F31074" w:rsidRPr="00A07B1C">
        <w:rPr>
          <w:rStyle w:val="FootnoteReference"/>
          <w:rFonts w:ascii="Times New Roman" w:hAnsi="Times New Roman"/>
          <w:sz w:val="24"/>
          <w:szCs w:val="24"/>
          <w:lang w:eastAsia="en-ZA"/>
        </w:rPr>
        <w:footnoteReference w:id="33"/>
      </w:r>
      <w:r w:rsidR="00F31074" w:rsidRPr="00A07B1C">
        <w:rPr>
          <w:rFonts w:ascii="Times New Roman" w:hAnsi="Times New Roman"/>
          <w:sz w:val="24"/>
          <w:szCs w:val="24"/>
          <w:lang w:eastAsia="en-ZA"/>
        </w:rPr>
        <w:t xml:space="preserve">. The other entities receive a portion of their budgets as transfers from the DTI. </w:t>
      </w:r>
    </w:p>
    <w:p w14:paraId="53894B8D" w14:textId="77777777" w:rsidR="00F31074" w:rsidRPr="00A07B1C" w:rsidRDefault="00F31074" w:rsidP="00E40757">
      <w:pPr>
        <w:spacing w:line="360" w:lineRule="auto"/>
        <w:jc w:val="both"/>
        <w:rPr>
          <w:rFonts w:ascii="Times New Roman" w:hAnsi="Times New Roman"/>
          <w:sz w:val="24"/>
          <w:szCs w:val="24"/>
          <w:lang w:eastAsia="en-ZA"/>
        </w:rPr>
      </w:pPr>
    </w:p>
    <w:p w14:paraId="55244B25" w14:textId="77777777" w:rsidR="00F31074" w:rsidRPr="00A07B1C" w:rsidRDefault="00F31074" w:rsidP="00E40757">
      <w:pPr>
        <w:spacing w:line="360" w:lineRule="auto"/>
        <w:jc w:val="both"/>
        <w:rPr>
          <w:rFonts w:ascii="Times New Roman" w:hAnsi="Times New Roman"/>
          <w:sz w:val="24"/>
          <w:szCs w:val="24"/>
        </w:rPr>
      </w:pPr>
      <w:r w:rsidRPr="00A07B1C">
        <w:rPr>
          <w:rFonts w:ascii="Times New Roman" w:hAnsi="Times New Roman"/>
          <w:sz w:val="24"/>
          <w:szCs w:val="24"/>
        </w:rPr>
        <w:t>The B-BBEE Commission is a trading entity under the DTI</w:t>
      </w:r>
      <w:r w:rsidRPr="00A07B1C">
        <w:rPr>
          <w:rStyle w:val="FootnoteReference"/>
          <w:rFonts w:ascii="Times New Roman" w:hAnsi="Times New Roman"/>
          <w:sz w:val="24"/>
          <w:szCs w:val="24"/>
        </w:rPr>
        <w:footnoteReference w:id="34"/>
      </w:r>
      <w:r w:rsidRPr="00A07B1C">
        <w:rPr>
          <w:rFonts w:ascii="Times New Roman" w:hAnsi="Times New Roman"/>
          <w:sz w:val="24"/>
          <w:szCs w:val="24"/>
        </w:rPr>
        <w:t xml:space="preserve">. The DTI has however, in the past year indicated that for the Commission to be effective and independent it needs to be a separate entity. By the end of the 2018/19 financial year, the DTI, the B-BBEE Commission and the National Treasury were reported to be in negotiations around </w:t>
      </w:r>
      <w:r w:rsidR="00032666">
        <w:rPr>
          <w:rFonts w:ascii="Times New Roman" w:hAnsi="Times New Roman"/>
          <w:sz w:val="24"/>
          <w:szCs w:val="24"/>
        </w:rPr>
        <w:t xml:space="preserve">listing </w:t>
      </w:r>
      <w:r w:rsidRPr="00A07B1C">
        <w:rPr>
          <w:rFonts w:ascii="Times New Roman" w:hAnsi="Times New Roman"/>
          <w:sz w:val="24"/>
          <w:szCs w:val="24"/>
        </w:rPr>
        <w:t xml:space="preserve">the </w:t>
      </w:r>
      <w:r w:rsidR="00072BCA" w:rsidRPr="00A07B1C">
        <w:rPr>
          <w:rFonts w:ascii="Times New Roman" w:hAnsi="Times New Roman"/>
          <w:sz w:val="24"/>
          <w:szCs w:val="24"/>
        </w:rPr>
        <w:t xml:space="preserve">Commission. </w:t>
      </w:r>
      <w:r w:rsidR="00072BCA" w:rsidRPr="00A07B1C">
        <w:rPr>
          <w:rFonts w:ascii="Times New Roman" w:hAnsi="Times New Roman"/>
          <w:sz w:val="24"/>
          <w:szCs w:val="24"/>
          <w:lang w:eastAsia="en-ZA"/>
        </w:rPr>
        <w:t>T</w:t>
      </w:r>
      <w:r w:rsidRPr="00A07B1C">
        <w:rPr>
          <w:rFonts w:ascii="Times New Roman" w:hAnsi="Times New Roman"/>
          <w:sz w:val="24"/>
          <w:szCs w:val="24"/>
          <w:lang w:eastAsia="en-ZA"/>
        </w:rPr>
        <w:t xml:space="preserve">ransfers to the </w:t>
      </w:r>
      <w:r w:rsidR="00072BCA" w:rsidRPr="00A07B1C">
        <w:rPr>
          <w:rFonts w:ascii="Times New Roman" w:hAnsi="Times New Roman"/>
          <w:sz w:val="24"/>
          <w:szCs w:val="24"/>
          <w:lang w:eastAsia="en-ZA"/>
        </w:rPr>
        <w:t>DTI</w:t>
      </w:r>
      <w:r w:rsidRPr="00A07B1C">
        <w:rPr>
          <w:rFonts w:ascii="Times New Roman" w:hAnsi="Times New Roman"/>
          <w:sz w:val="24"/>
          <w:szCs w:val="24"/>
          <w:lang w:eastAsia="en-ZA"/>
        </w:rPr>
        <w:t xml:space="preserve">’s entities are illustrated in the table below.   </w:t>
      </w:r>
    </w:p>
    <w:p w14:paraId="6C63ABFF" w14:textId="77777777" w:rsidR="00673C45" w:rsidRDefault="00673C45" w:rsidP="00E40757">
      <w:pPr>
        <w:spacing w:line="360" w:lineRule="auto"/>
        <w:jc w:val="both"/>
        <w:rPr>
          <w:rFonts w:ascii="Times New Roman" w:hAnsi="Times New Roman"/>
          <w:sz w:val="24"/>
          <w:szCs w:val="24"/>
          <w:lang w:eastAsia="en-ZA"/>
        </w:rPr>
      </w:pPr>
    </w:p>
    <w:p w14:paraId="46CA4282" w14:textId="77777777" w:rsidR="0051112C" w:rsidRDefault="0051112C" w:rsidP="0051112C">
      <w:pPr>
        <w:spacing w:line="360" w:lineRule="auto"/>
        <w:jc w:val="both"/>
        <w:rPr>
          <w:rFonts w:ascii="Times New Roman" w:hAnsi="Times New Roman"/>
          <w:sz w:val="24"/>
          <w:szCs w:val="24"/>
        </w:rPr>
      </w:pPr>
      <w:r w:rsidRPr="00A07B1C">
        <w:rPr>
          <w:rFonts w:ascii="Times New Roman" w:hAnsi="Times New Roman"/>
          <w:sz w:val="24"/>
          <w:szCs w:val="24"/>
          <w:lang w:eastAsia="en-ZA"/>
        </w:rPr>
        <w:t>One of the critical technical infrastructure institutions is the NMISA, which is responsible for maintaining the equivalence of the base units of the International System of Units, namely the metre (length), the kilogram (mass), the second (time), the ampere (electric current), the kelvin (thermodynamic temperature), the candela (luminous intensity</w:t>
      </w:r>
      <w:r w:rsidRPr="00A07B1C">
        <w:rPr>
          <w:rStyle w:val="FootnoteReference"/>
          <w:rFonts w:ascii="Times New Roman" w:hAnsi="Times New Roman"/>
          <w:sz w:val="24"/>
          <w:szCs w:val="24"/>
          <w:lang w:eastAsia="en-ZA"/>
        </w:rPr>
        <w:footnoteReference w:id="35"/>
      </w:r>
      <w:r w:rsidRPr="00A07B1C">
        <w:rPr>
          <w:rFonts w:ascii="Times New Roman" w:hAnsi="Times New Roman"/>
          <w:sz w:val="24"/>
          <w:szCs w:val="24"/>
          <w:lang w:eastAsia="en-ZA"/>
        </w:rPr>
        <w:t xml:space="preserve">), and the mole </w:t>
      </w:r>
      <w:r w:rsidRPr="00A07B1C">
        <w:rPr>
          <w:rFonts w:ascii="Times New Roman" w:hAnsi="Times New Roman"/>
          <w:sz w:val="24"/>
          <w:szCs w:val="24"/>
          <w:lang w:eastAsia="en-ZA"/>
        </w:rPr>
        <w:lastRenderedPageBreak/>
        <w:t>(amount of substance in relation to molecules, atoms, ions, etc.)</w:t>
      </w:r>
      <w:r w:rsidRPr="00A07B1C">
        <w:rPr>
          <w:rStyle w:val="FootnoteReference"/>
          <w:rFonts w:ascii="Times New Roman" w:hAnsi="Times New Roman"/>
          <w:sz w:val="24"/>
          <w:szCs w:val="24"/>
          <w:lang w:eastAsia="en-ZA"/>
        </w:rPr>
        <w:footnoteReference w:id="36"/>
      </w:r>
      <w:r w:rsidRPr="00A07B1C">
        <w:rPr>
          <w:rFonts w:ascii="Times New Roman" w:hAnsi="Times New Roman"/>
          <w:sz w:val="24"/>
          <w:szCs w:val="24"/>
          <w:lang w:eastAsia="en-ZA"/>
        </w:rPr>
        <w:t>, for South Africa. In addition to these operational transfers, for the current financial year, the NMISA will receive funding of R130 million for capital expenditure. In the previous financial year, NMISA received R123 million. Furthermore, it will be allocated funds for capital expenditure over</w:t>
      </w:r>
      <w:r>
        <w:rPr>
          <w:rFonts w:ascii="Times New Roman" w:hAnsi="Times New Roman"/>
          <w:sz w:val="24"/>
          <w:szCs w:val="24"/>
          <w:lang w:eastAsia="en-ZA"/>
        </w:rPr>
        <w:t xml:space="preserve"> the medium-term </w:t>
      </w:r>
      <w:r w:rsidRPr="00A07B1C">
        <w:rPr>
          <w:rFonts w:ascii="Times New Roman" w:hAnsi="Times New Roman"/>
          <w:sz w:val="24"/>
          <w:szCs w:val="24"/>
          <w:lang w:eastAsia="en-ZA"/>
        </w:rPr>
        <w:t xml:space="preserve">for its recapitalisation project. This project is to address the threat of ageing infrastructure to NMISA’s ability to </w:t>
      </w:r>
      <w:r w:rsidRPr="00A07B1C">
        <w:rPr>
          <w:rFonts w:ascii="Times New Roman" w:hAnsi="Times New Roman"/>
          <w:sz w:val="24"/>
          <w:szCs w:val="24"/>
        </w:rPr>
        <w:t xml:space="preserve">develop new National Measurement Standards (NMS) and to maintain and/or improve the existing NMS to levels required by industry. The ageing infrastructure includes the building infrastructure, laboratories and equipment/instrumentation. This is </w:t>
      </w:r>
      <w:r>
        <w:rPr>
          <w:rFonts w:ascii="Times New Roman" w:hAnsi="Times New Roman"/>
          <w:sz w:val="24"/>
          <w:szCs w:val="24"/>
        </w:rPr>
        <w:t>critical</w:t>
      </w:r>
      <w:r w:rsidRPr="00A07B1C">
        <w:rPr>
          <w:rFonts w:ascii="Times New Roman" w:hAnsi="Times New Roman"/>
          <w:sz w:val="24"/>
          <w:szCs w:val="24"/>
        </w:rPr>
        <w:t xml:space="preserve"> as the accuracy required of NMS doubles every ten years; thus, rendering existing instrumentation redundant and building conditions unworkable over time.</w:t>
      </w:r>
    </w:p>
    <w:p w14:paraId="58664C38" w14:textId="77777777" w:rsidR="0051112C" w:rsidRPr="00A07B1C" w:rsidRDefault="0051112C" w:rsidP="0051112C">
      <w:pPr>
        <w:spacing w:line="360" w:lineRule="auto"/>
        <w:jc w:val="both"/>
        <w:rPr>
          <w:rFonts w:ascii="Times New Roman" w:hAnsi="Times New Roman"/>
          <w:sz w:val="24"/>
          <w:szCs w:val="24"/>
        </w:rPr>
      </w:pPr>
    </w:p>
    <w:p w14:paraId="6786D5C3" w14:textId="77777777" w:rsidR="00E40757" w:rsidRPr="00A07B1C" w:rsidRDefault="00630D97" w:rsidP="006D4844">
      <w:pPr>
        <w:spacing w:line="360" w:lineRule="auto"/>
        <w:jc w:val="both"/>
        <w:rPr>
          <w:rFonts w:ascii="Times New Roman" w:hAnsi="Times New Roman"/>
          <w:b/>
          <w:sz w:val="24"/>
          <w:szCs w:val="24"/>
          <w:lang w:eastAsia="en-ZA"/>
        </w:rPr>
      </w:pPr>
      <w:r w:rsidRPr="00A07B1C">
        <w:rPr>
          <w:rFonts w:ascii="Times New Roman" w:hAnsi="Times New Roman"/>
          <w:b/>
          <w:sz w:val="24"/>
          <w:szCs w:val="24"/>
          <w:lang w:eastAsia="en-ZA"/>
        </w:rPr>
        <w:t>Table 5</w:t>
      </w:r>
      <w:r w:rsidR="00E40757" w:rsidRPr="00A07B1C">
        <w:rPr>
          <w:rFonts w:ascii="Times New Roman" w:hAnsi="Times New Roman"/>
          <w:b/>
          <w:sz w:val="24"/>
          <w:szCs w:val="24"/>
          <w:lang w:eastAsia="en-ZA"/>
        </w:rPr>
        <w:t>: Transfers to the D</w:t>
      </w:r>
      <w:r w:rsidR="00072BCA" w:rsidRPr="00A07B1C">
        <w:rPr>
          <w:rFonts w:ascii="Times New Roman" w:hAnsi="Times New Roman"/>
          <w:b/>
          <w:sz w:val="24"/>
          <w:szCs w:val="24"/>
          <w:lang w:eastAsia="en-ZA"/>
        </w:rPr>
        <w:t>TI</w:t>
      </w:r>
      <w:r w:rsidR="00E40757" w:rsidRPr="00A07B1C">
        <w:rPr>
          <w:rFonts w:ascii="Times New Roman" w:hAnsi="Times New Roman"/>
          <w:b/>
          <w:sz w:val="24"/>
          <w:szCs w:val="24"/>
          <w:lang w:eastAsia="en-ZA"/>
        </w:rPr>
        <w:t xml:space="preserve">’s entities </w:t>
      </w:r>
    </w:p>
    <w:tbl>
      <w:tblPr>
        <w:tblW w:w="9633" w:type="dxa"/>
        <w:tblInd w:w="-5" w:type="dxa"/>
        <w:tblLayout w:type="fixed"/>
        <w:tblLook w:val="04A0" w:firstRow="1" w:lastRow="0" w:firstColumn="1" w:lastColumn="0" w:noHBand="0" w:noVBand="1"/>
      </w:tblPr>
      <w:tblGrid>
        <w:gridCol w:w="2609"/>
        <w:gridCol w:w="1669"/>
        <w:gridCol w:w="1615"/>
        <w:gridCol w:w="1246"/>
        <w:gridCol w:w="1247"/>
        <w:gridCol w:w="1247"/>
      </w:tblGrid>
      <w:tr w:rsidR="004D7655" w:rsidRPr="00A07B1C" w14:paraId="3830877C" w14:textId="77777777" w:rsidTr="0051112C">
        <w:trPr>
          <w:trHeight w:val="792"/>
          <w:tblHeader/>
        </w:trPr>
        <w:tc>
          <w:tcPr>
            <w:tcW w:w="26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C37660" w14:textId="77777777" w:rsidR="004D7655" w:rsidRPr="00A07B1C" w:rsidRDefault="004D7655" w:rsidP="0020754D">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Entity</w:t>
            </w:r>
          </w:p>
          <w:p w14:paraId="77A12739" w14:textId="77777777" w:rsidR="004D7655" w:rsidRPr="00A07B1C" w:rsidRDefault="004D7655" w:rsidP="0020754D">
            <w:pPr>
              <w:jc w:val="center"/>
              <w:rPr>
                <w:rFonts w:ascii="Times New Roman" w:hAnsi="Times New Roman"/>
                <w:b/>
                <w:bCs/>
                <w:color w:val="auto"/>
                <w:sz w:val="22"/>
                <w:szCs w:val="22"/>
                <w:lang w:eastAsia="en-ZA"/>
              </w:rPr>
            </w:pPr>
            <w:r w:rsidRPr="00A07B1C">
              <w:rPr>
                <w:rFonts w:ascii="Times New Roman" w:hAnsi="Times New Roman"/>
                <w:b/>
                <w:color w:val="auto"/>
                <w:sz w:val="22"/>
                <w:szCs w:val="22"/>
                <w:lang w:eastAsia="en-ZA"/>
              </w:rPr>
              <w:t>(R thousand)</w:t>
            </w:r>
          </w:p>
        </w:tc>
        <w:tc>
          <w:tcPr>
            <w:tcW w:w="1669" w:type="dxa"/>
            <w:vMerge w:val="restart"/>
            <w:tcBorders>
              <w:top w:val="single" w:sz="4" w:space="0" w:color="auto"/>
              <w:left w:val="nil"/>
              <w:bottom w:val="single" w:sz="4" w:space="0" w:color="auto"/>
              <w:right w:val="single" w:sz="4" w:space="0" w:color="auto"/>
            </w:tcBorders>
            <w:shd w:val="clear" w:color="auto" w:fill="BFBFBF" w:themeFill="background1" w:themeFillShade="BF"/>
            <w:vAlign w:val="center"/>
          </w:tcPr>
          <w:p w14:paraId="7C6ABA8D" w14:textId="77777777" w:rsidR="004D7655" w:rsidRPr="00A07B1C" w:rsidRDefault="004D7655" w:rsidP="0020754D">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Responsible Programme</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83B560" w14:textId="77777777" w:rsidR="004D7655" w:rsidRPr="00A07B1C" w:rsidRDefault="004D7655" w:rsidP="0020754D">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Adjusted appropriation</w:t>
            </w:r>
          </w:p>
        </w:tc>
        <w:tc>
          <w:tcPr>
            <w:tcW w:w="374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8D1EAFB" w14:textId="77777777" w:rsidR="004D7655" w:rsidRPr="00A07B1C" w:rsidRDefault="004D7655" w:rsidP="0020754D">
            <w:pPr>
              <w:jc w:val="center"/>
              <w:rPr>
                <w:rFonts w:ascii="Times New Roman" w:hAnsi="Times New Roman"/>
                <w:color w:val="auto"/>
                <w:sz w:val="22"/>
                <w:szCs w:val="22"/>
                <w:lang w:eastAsia="en-ZA"/>
              </w:rPr>
            </w:pPr>
            <w:r w:rsidRPr="00A07B1C">
              <w:rPr>
                <w:rFonts w:ascii="Times New Roman" w:hAnsi="Times New Roman"/>
                <w:b/>
                <w:bCs/>
                <w:color w:val="auto"/>
                <w:sz w:val="22"/>
                <w:szCs w:val="22"/>
                <w:lang w:eastAsia="en-ZA"/>
              </w:rPr>
              <w:t>Medium-term expenditure estimate</w:t>
            </w:r>
          </w:p>
        </w:tc>
      </w:tr>
      <w:tr w:rsidR="004D7655" w:rsidRPr="00A07B1C" w14:paraId="7B14530E" w14:textId="77777777" w:rsidTr="0051112C">
        <w:trPr>
          <w:trHeight w:val="264"/>
          <w:tblHeader/>
        </w:trPr>
        <w:tc>
          <w:tcPr>
            <w:tcW w:w="26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8CA73E4" w14:textId="77777777" w:rsidR="004D7655" w:rsidRPr="00A07B1C" w:rsidRDefault="004D7655" w:rsidP="0020754D">
            <w:pPr>
              <w:jc w:val="center"/>
              <w:rPr>
                <w:rFonts w:ascii="Times New Roman" w:hAnsi="Times New Roman"/>
                <w:color w:val="auto"/>
                <w:sz w:val="22"/>
                <w:szCs w:val="22"/>
                <w:lang w:eastAsia="en-ZA"/>
              </w:rPr>
            </w:pPr>
          </w:p>
        </w:tc>
        <w:tc>
          <w:tcPr>
            <w:tcW w:w="1669"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49CCD57C" w14:textId="77777777" w:rsidR="004D7655" w:rsidRPr="00A07B1C" w:rsidRDefault="004D7655" w:rsidP="0020754D">
            <w:pPr>
              <w:jc w:val="center"/>
              <w:rPr>
                <w:rFonts w:ascii="Times New Roman" w:hAnsi="Times New Roman"/>
                <w:b/>
                <w:bCs/>
                <w:color w:val="auto"/>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26BFDA" w14:textId="77777777" w:rsidR="004D7655" w:rsidRPr="00A07B1C" w:rsidRDefault="004D7655" w:rsidP="0020754D">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2018/19</w:t>
            </w:r>
          </w:p>
        </w:tc>
        <w:tc>
          <w:tcPr>
            <w:tcW w:w="12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9AE4D0" w14:textId="77777777" w:rsidR="004D7655" w:rsidRPr="00A07B1C" w:rsidRDefault="004D7655" w:rsidP="0020754D">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2019/20</w:t>
            </w:r>
          </w:p>
        </w:tc>
        <w:tc>
          <w:tcPr>
            <w:tcW w:w="12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848D880" w14:textId="77777777" w:rsidR="004D7655" w:rsidRPr="00A07B1C" w:rsidRDefault="004D7655" w:rsidP="0020754D">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2020/21</w:t>
            </w:r>
          </w:p>
        </w:tc>
        <w:tc>
          <w:tcPr>
            <w:tcW w:w="12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A697A3" w14:textId="77777777" w:rsidR="004D7655" w:rsidRPr="00A07B1C" w:rsidRDefault="004D7655" w:rsidP="0020754D">
            <w:pPr>
              <w:jc w:val="center"/>
              <w:rPr>
                <w:rFonts w:ascii="Times New Roman" w:hAnsi="Times New Roman"/>
                <w:b/>
                <w:bCs/>
                <w:color w:val="auto"/>
                <w:sz w:val="22"/>
                <w:szCs w:val="22"/>
                <w:lang w:eastAsia="en-ZA"/>
              </w:rPr>
            </w:pPr>
            <w:r w:rsidRPr="00A07B1C">
              <w:rPr>
                <w:rFonts w:ascii="Times New Roman" w:hAnsi="Times New Roman"/>
                <w:b/>
                <w:bCs/>
                <w:color w:val="auto"/>
                <w:sz w:val="22"/>
                <w:szCs w:val="22"/>
                <w:lang w:eastAsia="en-ZA"/>
              </w:rPr>
              <w:t>2021/22</w:t>
            </w:r>
          </w:p>
        </w:tc>
      </w:tr>
      <w:tr w:rsidR="004D7655" w:rsidRPr="00A07B1C" w14:paraId="3C1F044E" w14:textId="77777777" w:rsidTr="0051112C">
        <w:trPr>
          <w:trHeight w:val="528"/>
        </w:trPr>
        <w:tc>
          <w:tcPr>
            <w:tcW w:w="96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C33041" w14:textId="77777777" w:rsidR="004D7655" w:rsidRPr="00A07B1C" w:rsidRDefault="004D7655" w:rsidP="0020754D">
            <w:pPr>
              <w:jc w:val="both"/>
              <w:rPr>
                <w:rFonts w:ascii="Times New Roman" w:hAnsi="Times New Roman"/>
                <w:b/>
                <w:i/>
                <w:sz w:val="22"/>
                <w:szCs w:val="22"/>
                <w:lang w:eastAsia="en-ZA"/>
              </w:rPr>
            </w:pPr>
            <w:r w:rsidRPr="00A07B1C">
              <w:rPr>
                <w:rFonts w:ascii="Times New Roman" w:hAnsi="Times New Roman"/>
                <w:b/>
                <w:i/>
                <w:sz w:val="22"/>
                <w:szCs w:val="22"/>
                <w:lang w:eastAsia="en-ZA"/>
              </w:rPr>
              <w:t>Regulatory institutions</w:t>
            </w:r>
          </w:p>
        </w:tc>
      </w:tr>
      <w:tr w:rsidR="004D7655" w:rsidRPr="00A07B1C" w14:paraId="5936373A" w14:textId="77777777" w:rsidTr="0051112C">
        <w:trPr>
          <w:trHeight w:val="528"/>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5043F" w14:textId="77777777" w:rsidR="004D7655" w:rsidRPr="00A07B1C" w:rsidRDefault="004D7655" w:rsidP="0020754D">
            <w:pPr>
              <w:jc w:val="both"/>
              <w:rPr>
                <w:rFonts w:ascii="Times New Roman" w:hAnsi="Times New Roman"/>
                <w:sz w:val="22"/>
                <w:szCs w:val="22"/>
                <w:lang w:eastAsia="en-ZA"/>
              </w:rPr>
            </w:pPr>
            <w:r w:rsidRPr="00A07B1C">
              <w:rPr>
                <w:rFonts w:ascii="Times New Roman" w:hAnsi="Times New Roman"/>
                <w:sz w:val="22"/>
                <w:szCs w:val="22"/>
                <w:lang w:eastAsia="en-ZA"/>
              </w:rPr>
              <w:t>Broad-Based Black Economic Empowerment Commission</w:t>
            </w:r>
          </w:p>
        </w:tc>
        <w:tc>
          <w:tcPr>
            <w:tcW w:w="1669" w:type="dxa"/>
            <w:tcBorders>
              <w:top w:val="single" w:sz="4" w:space="0" w:color="auto"/>
              <w:left w:val="nil"/>
              <w:bottom w:val="single" w:sz="4" w:space="0" w:color="auto"/>
              <w:right w:val="single" w:sz="4" w:space="0" w:color="auto"/>
            </w:tcBorders>
            <w:vAlign w:val="center"/>
          </w:tcPr>
          <w:p w14:paraId="2EB0AB8C" w14:textId="77777777" w:rsidR="004D7655" w:rsidRPr="00A07B1C" w:rsidRDefault="004D7655" w:rsidP="0020754D">
            <w:pPr>
              <w:jc w:val="center"/>
              <w:rPr>
                <w:rFonts w:ascii="Times New Roman" w:hAnsi="Times New Roman"/>
                <w:sz w:val="22"/>
                <w:szCs w:val="22"/>
                <w:lang w:eastAsia="en-ZA"/>
              </w:rPr>
            </w:pPr>
            <w:r w:rsidRPr="00A07B1C">
              <w:rPr>
                <w:rFonts w:ascii="Times New Roman" w:hAnsi="Times New Roman"/>
                <w:sz w:val="22"/>
                <w:szCs w:val="22"/>
                <w:lang w:eastAsia="en-ZA"/>
              </w:rPr>
              <w:t>Special Economic Zones and Economic Transformation</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D859"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34 500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23C5BAE8"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61 700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3A01152"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65 093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EC57C16"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68 673</w:t>
            </w:r>
          </w:p>
        </w:tc>
      </w:tr>
      <w:tr w:rsidR="00DA35CE" w:rsidRPr="00A07B1C" w14:paraId="08ABA158" w14:textId="77777777" w:rsidTr="0051112C">
        <w:trPr>
          <w:trHeight w:val="288"/>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0FF180BE" w14:textId="77777777" w:rsidR="00DA35CE" w:rsidRPr="00A07B1C" w:rsidRDefault="00DA35CE" w:rsidP="0050782F">
            <w:pPr>
              <w:jc w:val="both"/>
              <w:rPr>
                <w:rFonts w:ascii="Times New Roman" w:hAnsi="Times New Roman"/>
                <w:sz w:val="22"/>
                <w:szCs w:val="22"/>
                <w:lang w:eastAsia="en-ZA"/>
              </w:rPr>
            </w:pPr>
            <w:r w:rsidRPr="00A07B1C">
              <w:rPr>
                <w:rFonts w:ascii="Times New Roman" w:hAnsi="Times New Roman"/>
                <w:sz w:val="22"/>
                <w:szCs w:val="22"/>
                <w:lang w:eastAsia="en-ZA"/>
              </w:rPr>
              <w:t xml:space="preserve">Companies and Intellectual Property Commission </w:t>
            </w:r>
          </w:p>
        </w:tc>
        <w:tc>
          <w:tcPr>
            <w:tcW w:w="1669" w:type="dxa"/>
            <w:vMerge w:val="restart"/>
            <w:tcBorders>
              <w:top w:val="single" w:sz="4" w:space="0" w:color="auto"/>
              <w:left w:val="nil"/>
              <w:bottom w:val="single" w:sz="4" w:space="0" w:color="auto"/>
              <w:right w:val="single" w:sz="4" w:space="0" w:color="auto"/>
            </w:tcBorders>
            <w:vAlign w:val="center"/>
          </w:tcPr>
          <w:p w14:paraId="3EE4B63E" w14:textId="77777777" w:rsidR="00DA35CE" w:rsidRPr="00A07B1C" w:rsidRDefault="00DA35CE" w:rsidP="0020754D">
            <w:pPr>
              <w:jc w:val="center"/>
              <w:rPr>
                <w:rFonts w:ascii="Times New Roman" w:hAnsi="Times New Roman"/>
                <w:sz w:val="22"/>
                <w:szCs w:val="22"/>
                <w:lang w:eastAsia="en-ZA"/>
              </w:rPr>
            </w:pPr>
            <w:r w:rsidRPr="00A07B1C">
              <w:rPr>
                <w:rFonts w:ascii="Times New Roman" w:hAnsi="Times New Roman"/>
                <w:sz w:val="22"/>
                <w:szCs w:val="22"/>
                <w:lang w:eastAsia="en-ZA"/>
              </w:rPr>
              <w:t>Consumer and Corporate Regulation</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02B5B"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3DFC4329"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1A95477"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81A012B"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r>
      <w:tr w:rsidR="00DA35CE" w:rsidRPr="00A07B1C" w14:paraId="527C8D98" w14:textId="77777777" w:rsidTr="0051112C">
        <w:trPr>
          <w:trHeight w:val="288"/>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74D3" w14:textId="77777777" w:rsidR="00DA35CE" w:rsidRPr="00A07B1C" w:rsidRDefault="00DA35CE" w:rsidP="0050782F">
            <w:pPr>
              <w:jc w:val="both"/>
              <w:rPr>
                <w:rFonts w:ascii="Times New Roman" w:hAnsi="Times New Roman"/>
                <w:sz w:val="22"/>
                <w:szCs w:val="22"/>
                <w:lang w:eastAsia="en-ZA"/>
              </w:rPr>
            </w:pPr>
            <w:r w:rsidRPr="00A07B1C">
              <w:rPr>
                <w:rFonts w:ascii="Times New Roman" w:hAnsi="Times New Roman"/>
                <w:sz w:val="22"/>
                <w:szCs w:val="22"/>
                <w:lang w:eastAsia="en-ZA"/>
              </w:rPr>
              <w:t xml:space="preserve">Companies Tribunal </w:t>
            </w:r>
          </w:p>
        </w:tc>
        <w:tc>
          <w:tcPr>
            <w:tcW w:w="1669" w:type="dxa"/>
            <w:vMerge/>
            <w:tcBorders>
              <w:top w:val="single" w:sz="4" w:space="0" w:color="auto"/>
              <w:left w:val="nil"/>
              <w:bottom w:val="single" w:sz="4" w:space="0" w:color="auto"/>
              <w:right w:val="single" w:sz="4" w:space="0" w:color="auto"/>
            </w:tcBorders>
          </w:tcPr>
          <w:p w14:paraId="71E3A3E8" w14:textId="77777777" w:rsidR="00DA35CE" w:rsidRPr="00A07B1C" w:rsidRDefault="00DA35CE"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F2A4"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16 740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2950650E"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17 352</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C419E02"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18 305</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4C5776FC"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19 312</w:t>
            </w:r>
          </w:p>
        </w:tc>
      </w:tr>
      <w:tr w:rsidR="00DA35CE" w:rsidRPr="00A07B1C" w14:paraId="549AFDD7" w14:textId="77777777" w:rsidTr="0051112C">
        <w:trPr>
          <w:trHeight w:val="54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D737" w14:textId="77777777" w:rsidR="00DA35CE" w:rsidRPr="00A07B1C" w:rsidRDefault="00DA35CE" w:rsidP="0050782F">
            <w:pPr>
              <w:jc w:val="both"/>
              <w:rPr>
                <w:rFonts w:ascii="Times New Roman" w:hAnsi="Times New Roman"/>
                <w:sz w:val="22"/>
                <w:szCs w:val="22"/>
                <w:lang w:eastAsia="en-ZA"/>
              </w:rPr>
            </w:pPr>
            <w:r w:rsidRPr="00A07B1C">
              <w:rPr>
                <w:rFonts w:ascii="Times New Roman" w:hAnsi="Times New Roman"/>
                <w:sz w:val="22"/>
                <w:szCs w:val="22"/>
                <w:lang w:eastAsia="en-ZA"/>
              </w:rPr>
              <w:t xml:space="preserve">National Consumer Commission </w:t>
            </w:r>
          </w:p>
        </w:tc>
        <w:tc>
          <w:tcPr>
            <w:tcW w:w="1669" w:type="dxa"/>
            <w:vMerge/>
            <w:tcBorders>
              <w:top w:val="single" w:sz="4" w:space="0" w:color="auto"/>
              <w:left w:val="nil"/>
              <w:bottom w:val="single" w:sz="4" w:space="0" w:color="auto"/>
              <w:right w:val="single" w:sz="4" w:space="0" w:color="auto"/>
            </w:tcBorders>
          </w:tcPr>
          <w:p w14:paraId="2B5D0809" w14:textId="77777777" w:rsidR="00DA35CE" w:rsidRPr="00A07B1C" w:rsidRDefault="00DA35CE"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A1DCF"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69 674</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3E264E30"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58 304</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E9265EC"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61 508</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15CEA73"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64 890</w:t>
            </w:r>
          </w:p>
        </w:tc>
      </w:tr>
      <w:tr w:rsidR="00DA35CE" w:rsidRPr="00A07B1C" w14:paraId="66E281E4" w14:textId="77777777" w:rsidTr="0051112C">
        <w:trPr>
          <w:trHeight w:val="276"/>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9068F" w14:textId="77777777" w:rsidR="00DA35CE" w:rsidRPr="00A07B1C" w:rsidRDefault="00DA35CE" w:rsidP="0050782F">
            <w:pPr>
              <w:jc w:val="both"/>
              <w:rPr>
                <w:rFonts w:ascii="Times New Roman" w:hAnsi="Times New Roman"/>
                <w:sz w:val="22"/>
                <w:szCs w:val="22"/>
                <w:lang w:eastAsia="en-ZA"/>
              </w:rPr>
            </w:pPr>
            <w:r w:rsidRPr="00A07B1C">
              <w:rPr>
                <w:rFonts w:ascii="Times New Roman" w:hAnsi="Times New Roman"/>
                <w:sz w:val="22"/>
                <w:szCs w:val="22"/>
                <w:lang w:eastAsia="en-ZA"/>
              </w:rPr>
              <w:t xml:space="preserve">National Consumer Tribunal </w:t>
            </w:r>
          </w:p>
        </w:tc>
        <w:tc>
          <w:tcPr>
            <w:tcW w:w="1669" w:type="dxa"/>
            <w:vMerge/>
            <w:tcBorders>
              <w:top w:val="single" w:sz="4" w:space="0" w:color="auto"/>
              <w:left w:val="nil"/>
              <w:bottom w:val="single" w:sz="4" w:space="0" w:color="auto"/>
              <w:right w:val="single" w:sz="4" w:space="0" w:color="auto"/>
            </w:tcBorders>
          </w:tcPr>
          <w:p w14:paraId="4A4D738A" w14:textId="77777777" w:rsidR="00DA35CE" w:rsidRPr="00A07B1C" w:rsidRDefault="00DA35CE"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5BF0"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52 688</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4411C1C1"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52 239</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842F276"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55 113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B5C818B"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58 145</w:t>
            </w:r>
          </w:p>
        </w:tc>
      </w:tr>
      <w:tr w:rsidR="00DA35CE" w:rsidRPr="00A07B1C" w14:paraId="32CE0927" w14:textId="77777777" w:rsidTr="0051112C">
        <w:trPr>
          <w:trHeight w:val="276"/>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E0436" w14:textId="77777777" w:rsidR="00DA35CE" w:rsidRPr="00A07B1C" w:rsidRDefault="00DA35CE" w:rsidP="0050782F">
            <w:pPr>
              <w:jc w:val="both"/>
              <w:rPr>
                <w:rFonts w:ascii="Times New Roman" w:hAnsi="Times New Roman"/>
                <w:sz w:val="22"/>
                <w:szCs w:val="22"/>
                <w:lang w:eastAsia="en-ZA"/>
              </w:rPr>
            </w:pPr>
            <w:r w:rsidRPr="00A07B1C">
              <w:rPr>
                <w:rFonts w:ascii="Times New Roman" w:hAnsi="Times New Roman"/>
                <w:sz w:val="22"/>
                <w:szCs w:val="22"/>
                <w:lang w:eastAsia="en-ZA"/>
              </w:rPr>
              <w:t xml:space="preserve">National Credit Regulator </w:t>
            </w:r>
          </w:p>
        </w:tc>
        <w:tc>
          <w:tcPr>
            <w:tcW w:w="1669" w:type="dxa"/>
            <w:vMerge/>
            <w:tcBorders>
              <w:top w:val="single" w:sz="4" w:space="0" w:color="auto"/>
              <w:left w:val="nil"/>
              <w:bottom w:val="single" w:sz="4" w:space="0" w:color="auto"/>
              <w:right w:val="single" w:sz="4" w:space="0" w:color="auto"/>
            </w:tcBorders>
          </w:tcPr>
          <w:p w14:paraId="3B14532D" w14:textId="77777777" w:rsidR="00DA35CE" w:rsidRPr="00A07B1C" w:rsidRDefault="00DA35CE"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7AABC"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75 361</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27EDA96B"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79 580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63892D69"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83 957</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09FF02F"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88 575</w:t>
            </w:r>
          </w:p>
        </w:tc>
      </w:tr>
      <w:tr w:rsidR="00DA35CE" w:rsidRPr="00A07B1C" w14:paraId="03B1EDA0" w14:textId="77777777" w:rsidTr="0051112C">
        <w:trPr>
          <w:trHeight w:val="276"/>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1DAFC" w14:textId="77777777" w:rsidR="00DA35CE" w:rsidRPr="00A07B1C" w:rsidRDefault="00DA35CE" w:rsidP="0020754D">
            <w:pPr>
              <w:jc w:val="both"/>
              <w:rPr>
                <w:rFonts w:ascii="Times New Roman" w:hAnsi="Times New Roman"/>
                <w:sz w:val="22"/>
                <w:szCs w:val="22"/>
                <w:lang w:eastAsia="en-ZA"/>
              </w:rPr>
            </w:pPr>
            <w:r w:rsidRPr="00A07B1C">
              <w:rPr>
                <w:rFonts w:ascii="Times New Roman" w:hAnsi="Times New Roman"/>
                <w:sz w:val="22"/>
                <w:szCs w:val="22"/>
                <w:lang w:eastAsia="en-ZA"/>
              </w:rPr>
              <w:t>National Gambling Board</w:t>
            </w:r>
          </w:p>
        </w:tc>
        <w:tc>
          <w:tcPr>
            <w:tcW w:w="1669" w:type="dxa"/>
            <w:vMerge/>
            <w:tcBorders>
              <w:top w:val="single" w:sz="4" w:space="0" w:color="auto"/>
              <w:left w:val="nil"/>
              <w:bottom w:val="single" w:sz="4" w:space="0" w:color="auto"/>
              <w:right w:val="single" w:sz="4" w:space="0" w:color="auto"/>
            </w:tcBorders>
          </w:tcPr>
          <w:p w14:paraId="6A7AC9C4" w14:textId="77777777" w:rsidR="00DA35CE" w:rsidRPr="00A07B1C" w:rsidRDefault="00DA35CE"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B4457"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32 624</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69972CD"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33 797</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7D62153"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35 639</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6CC95AEB"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37 599</w:t>
            </w:r>
          </w:p>
        </w:tc>
      </w:tr>
      <w:tr w:rsidR="00DA35CE" w:rsidRPr="00A07B1C" w14:paraId="2512A790" w14:textId="77777777" w:rsidTr="0051112C">
        <w:trPr>
          <w:trHeight w:val="276"/>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5BF5B72A" w14:textId="77777777" w:rsidR="00DA35CE" w:rsidRPr="00A07B1C" w:rsidRDefault="00DA35CE" w:rsidP="0050782F">
            <w:pPr>
              <w:jc w:val="both"/>
              <w:rPr>
                <w:rFonts w:ascii="Times New Roman" w:hAnsi="Times New Roman"/>
                <w:sz w:val="22"/>
                <w:szCs w:val="22"/>
                <w:lang w:eastAsia="en-ZA"/>
              </w:rPr>
            </w:pPr>
            <w:r w:rsidRPr="00A07B1C">
              <w:rPr>
                <w:rFonts w:ascii="Times New Roman" w:hAnsi="Times New Roman"/>
                <w:sz w:val="22"/>
                <w:szCs w:val="22"/>
                <w:lang w:eastAsia="en-ZA"/>
              </w:rPr>
              <w:t xml:space="preserve">National Lotteries Commission </w:t>
            </w:r>
          </w:p>
        </w:tc>
        <w:tc>
          <w:tcPr>
            <w:tcW w:w="1669" w:type="dxa"/>
            <w:vMerge/>
            <w:tcBorders>
              <w:top w:val="single" w:sz="4" w:space="0" w:color="auto"/>
              <w:left w:val="nil"/>
              <w:bottom w:val="single" w:sz="4" w:space="0" w:color="auto"/>
              <w:right w:val="single" w:sz="4" w:space="0" w:color="auto"/>
            </w:tcBorders>
          </w:tcPr>
          <w:p w14:paraId="7C80AE41" w14:textId="77777777" w:rsidR="00DA35CE" w:rsidRPr="00A07B1C" w:rsidRDefault="00DA35CE"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9F84F"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66A7E2E9"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1B8FA5B"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0695C9C"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r>
      <w:tr w:rsidR="004D7655" w:rsidRPr="00A07B1C" w14:paraId="08FECB34" w14:textId="77777777" w:rsidTr="0051112C">
        <w:trPr>
          <w:trHeight w:val="288"/>
        </w:trPr>
        <w:tc>
          <w:tcPr>
            <w:tcW w:w="96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B2FF73" w14:textId="77777777" w:rsidR="004D7655" w:rsidRPr="00A07B1C" w:rsidRDefault="00DA35CE" w:rsidP="0020754D">
            <w:pPr>
              <w:jc w:val="both"/>
              <w:rPr>
                <w:rFonts w:ascii="Times New Roman" w:hAnsi="Times New Roman"/>
                <w:b/>
                <w:i/>
                <w:sz w:val="22"/>
                <w:szCs w:val="22"/>
                <w:lang w:eastAsia="en-ZA"/>
              </w:rPr>
            </w:pPr>
            <w:r w:rsidRPr="00A07B1C">
              <w:rPr>
                <w:rFonts w:ascii="Times New Roman" w:hAnsi="Times New Roman"/>
                <w:b/>
                <w:i/>
                <w:sz w:val="22"/>
                <w:szCs w:val="22"/>
                <w:lang w:eastAsia="en-ZA"/>
              </w:rPr>
              <w:t>Developmental finance institutions</w:t>
            </w:r>
          </w:p>
        </w:tc>
      </w:tr>
      <w:tr w:rsidR="004D7655" w:rsidRPr="00A07B1C" w14:paraId="05FD9960" w14:textId="77777777" w:rsidTr="0051112C">
        <w:trPr>
          <w:trHeight w:val="288"/>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3700" w14:textId="77777777" w:rsidR="004D7655" w:rsidRPr="00A07B1C" w:rsidRDefault="004D7655" w:rsidP="0050782F">
            <w:pPr>
              <w:jc w:val="both"/>
              <w:rPr>
                <w:rFonts w:ascii="Times New Roman" w:hAnsi="Times New Roman"/>
                <w:sz w:val="22"/>
                <w:szCs w:val="22"/>
                <w:lang w:eastAsia="en-ZA"/>
              </w:rPr>
            </w:pPr>
            <w:r w:rsidRPr="00A07B1C">
              <w:rPr>
                <w:rFonts w:ascii="Times New Roman" w:hAnsi="Times New Roman"/>
                <w:sz w:val="22"/>
                <w:szCs w:val="22"/>
                <w:lang w:eastAsia="en-ZA"/>
              </w:rPr>
              <w:t xml:space="preserve">Export Credit Insurance Corporation </w:t>
            </w:r>
          </w:p>
        </w:tc>
        <w:tc>
          <w:tcPr>
            <w:tcW w:w="1669" w:type="dxa"/>
            <w:tcBorders>
              <w:top w:val="single" w:sz="4" w:space="0" w:color="auto"/>
              <w:left w:val="nil"/>
              <w:bottom w:val="single" w:sz="4" w:space="0" w:color="auto"/>
              <w:right w:val="single" w:sz="4" w:space="0" w:color="auto"/>
            </w:tcBorders>
            <w:vAlign w:val="center"/>
          </w:tcPr>
          <w:p w14:paraId="1C38BBD1" w14:textId="77777777" w:rsidR="004D7655" w:rsidRPr="00A07B1C" w:rsidRDefault="004D7655" w:rsidP="0020754D">
            <w:pPr>
              <w:jc w:val="center"/>
              <w:rPr>
                <w:rFonts w:ascii="Times New Roman" w:hAnsi="Times New Roman"/>
                <w:sz w:val="22"/>
                <w:szCs w:val="22"/>
                <w:lang w:eastAsia="en-ZA"/>
              </w:rPr>
            </w:pPr>
            <w:r w:rsidRPr="00A07B1C">
              <w:rPr>
                <w:rFonts w:ascii="Times New Roman" w:hAnsi="Times New Roman"/>
                <w:sz w:val="22"/>
                <w:szCs w:val="22"/>
                <w:lang w:eastAsia="en-ZA"/>
              </w:rPr>
              <w:t xml:space="preserve">International Trade and </w:t>
            </w:r>
            <w:r w:rsidRPr="00A07B1C">
              <w:rPr>
                <w:rFonts w:ascii="Times New Roman" w:hAnsi="Times New Roman"/>
                <w:sz w:val="22"/>
                <w:szCs w:val="22"/>
                <w:lang w:eastAsia="en-ZA"/>
              </w:rPr>
              <w:lastRenderedPageBreak/>
              <w:t>Economic Development</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F8F9"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lastRenderedPageBreak/>
              <w:t>183 248</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13213D34"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193 511</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D35B812"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204 153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10E395FC"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215 381</w:t>
            </w:r>
          </w:p>
        </w:tc>
      </w:tr>
      <w:tr w:rsidR="00DA35CE" w:rsidRPr="00A07B1C" w14:paraId="10804052" w14:textId="77777777" w:rsidTr="0051112C">
        <w:trPr>
          <w:trHeight w:val="288"/>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6CF1AD85" w14:textId="77777777" w:rsidR="00DA35CE" w:rsidRPr="00A07B1C" w:rsidRDefault="0050782F" w:rsidP="0050782F">
            <w:pPr>
              <w:jc w:val="both"/>
              <w:rPr>
                <w:rFonts w:ascii="Times New Roman" w:hAnsi="Times New Roman"/>
                <w:sz w:val="22"/>
                <w:szCs w:val="22"/>
                <w:lang w:eastAsia="en-ZA"/>
              </w:rPr>
            </w:pPr>
            <w:r>
              <w:rPr>
                <w:rFonts w:ascii="Times New Roman" w:hAnsi="Times New Roman"/>
                <w:sz w:val="22"/>
                <w:szCs w:val="22"/>
                <w:lang w:eastAsia="en-ZA"/>
              </w:rPr>
              <w:lastRenderedPageBreak/>
              <w:t>National Empowerment Fund</w:t>
            </w:r>
          </w:p>
        </w:tc>
        <w:tc>
          <w:tcPr>
            <w:tcW w:w="1669" w:type="dxa"/>
            <w:tcBorders>
              <w:top w:val="single" w:sz="4" w:space="0" w:color="auto"/>
              <w:left w:val="nil"/>
              <w:bottom w:val="single" w:sz="4" w:space="0" w:color="auto"/>
              <w:right w:val="single" w:sz="4" w:space="0" w:color="auto"/>
            </w:tcBorders>
            <w:vAlign w:val="center"/>
          </w:tcPr>
          <w:p w14:paraId="0E9AC99F" w14:textId="77777777" w:rsidR="00DA35CE" w:rsidRDefault="00DA35CE" w:rsidP="0020754D">
            <w:pPr>
              <w:jc w:val="center"/>
              <w:rPr>
                <w:rFonts w:ascii="Times New Roman" w:hAnsi="Times New Roman"/>
                <w:sz w:val="22"/>
                <w:szCs w:val="22"/>
                <w:lang w:eastAsia="en-ZA"/>
              </w:rPr>
            </w:pPr>
            <w:r w:rsidRPr="00A07B1C">
              <w:rPr>
                <w:rFonts w:ascii="Times New Roman" w:hAnsi="Times New Roman"/>
                <w:sz w:val="22"/>
                <w:szCs w:val="22"/>
                <w:lang w:eastAsia="en-ZA"/>
              </w:rPr>
              <w:t>Special Economic Zones and Economic Transformation</w:t>
            </w:r>
          </w:p>
          <w:p w14:paraId="63358771" w14:textId="77777777" w:rsidR="00E47FDB" w:rsidRDefault="00E47FDB" w:rsidP="0020754D">
            <w:pPr>
              <w:jc w:val="center"/>
              <w:rPr>
                <w:rFonts w:ascii="Times New Roman" w:hAnsi="Times New Roman"/>
                <w:sz w:val="22"/>
                <w:szCs w:val="22"/>
                <w:lang w:eastAsia="en-ZA"/>
              </w:rPr>
            </w:pPr>
          </w:p>
          <w:p w14:paraId="1799DA1D" w14:textId="77777777" w:rsidR="00E47FDB" w:rsidRPr="00A07B1C" w:rsidRDefault="00E47FDB" w:rsidP="0020754D">
            <w:pPr>
              <w:jc w:val="center"/>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38C5"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3AFB93D1"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0627FE2"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DD0DB77" w14:textId="77777777" w:rsidR="00DA35CE" w:rsidRPr="00A07B1C" w:rsidRDefault="00DA35CE" w:rsidP="0020754D">
            <w:pPr>
              <w:jc w:val="right"/>
              <w:rPr>
                <w:rFonts w:ascii="Times New Roman" w:hAnsi="Times New Roman"/>
                <w:sz w:val="22"/>
                <w:szCs w:val="22"/>
                <w:lang w:eastAsia="en-ZA"/>
              </w:rPr>
            </w:pPr>
            <w:r w:rsidRPr="00A07B1C">
              <w:rPr>
                <w:rFonts w:ascii="Times New Roman" w:hAnsi="Times New Roman"/>
                <w:sz w:val="22"/>
                <w:szCs w:val="22"/>
                <w:lang w:eastAsia="en-ZA"/>
              </w:rPr>
              <w:t>N/A</w:t>
            </w:r>
          </w:p>
        </w:tc>
      </w:tr>
      <w:tr w:rsidR="004D7655" w:rsidRPr="00A07B1C" w14:paraId="0E06FBBB" w14:textId="77777777" w:rsidTr="0051112C">
        <w:trPr>
          <w:trHeight w:val="540"/>
        </w:trPr>
        <w:tc>
          <w:tcPr>
            <w:tcW w:w="96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304655" w14:textId="77777777" w:rsidR="004D7655" w:rsidRPr="00A07B1C" w:rsidRDefault="004D7655" w:rsidP="0020754D">
            <w:pPr>
              <w:jc w:val="both"/>
              <w:rPr>
                <w:rFonts w:ascii="Times New Roman" w:hAnsi="Times New Roman"/>
                <w:b/>
                <w:i/>
                <w:sz w:val="22"/>
                <w:szCs w:val="22"/>
                <w:lang w:eastAsia="en-ZA"/>
              </w:rPr>
            </w:pPr>
            <w:r w:rsidRPr="00A07B1C">
              <w:rPr>
                <w:rFonts w:ascii="Times New Roman" w:hAnsi="Times New Roman"/>
                <w:b/>
                <w:i/>
                <w:sz w:val="22"/>
                <w:szCs w:val="22"/>
                <w:lang w:eastAsia="en-ZA"/>
              </w:rPr>
              <w:t>Technical infrastructure institutions</w:t>
            </w:r>
          </w:p>
        </w:tc>
      </w:tr>
      <w:tr w:rsidR="004D7655" w:rsidRPr="00A07B1C" w14:paraId="4FA5098B" w14:textId="77777777" w:rsidTr="0051112C">
        <w:trPr>
          <w:trHeight w:val="54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3E809" w14:textId="77777777" w:rsidR="004D7655" w:rsidRPr="00A07B1C" w:rsidRDefault="004D7655" w:rsidP="0050782F">
            <w:pPr>
              <w:jc w:val="both"/>
              <w:rPr>
                <w:rFonts w:ascii="Times New Roman" w:hAnsi="Times New Roman"/>
                <w:sz w:val="22"/>
                <w:szCs w:val="22"/>
                <w:lang w:eastAsia="en-ZA"/>
              </w:rPr>
            </w:pPr>
            <w:r w:rsidRPr="00A07B1C">
              <w:rPr>
                <w:rFonts w:ascii="Times New Roman" w:hAnsi="Times New Roman"/>
                <w:sz w:val="22"/>
                <w:szCs w:val="22"/>
                <w:lang w:eastAsia="en-ZA"/>
              </w:rPr>
              <w:t>National Metrology Institute of South Africa</w:t>
            </w:r>
            <w:r w:rsidR="008A3A80">
              <w:rPr>
                <w:rFonts w:ascii="Times New Roman" w:hAnsi="Times New Roman"/>
                <w:sz w:val="22"/>
                <w:szCs w:val="22"/>
                <w:lang w:eastAsia="en-ZA"/>
              </w:rPr>
              <w:t xml:space="preserve"> (NMISA)</w:t>
            </w:r>
            <w:r w:rsidRPr="00A07B1C">
              <w:rPr>
                <w:rFonts w:ascii="Times New Roman" w:hAnsi="Times New Roman"/>
                <w:sz w:val="22"/>
                <w:szCs w:val="22"/>
                <w:lang w:eastAsia="en-ZA"/>
              </w:rPr>
              <w:t>: Capital</w:t>
            </w:r>
          </w:p>
        </w:tc>
        <w:tc>
          <w:tcPr>
            <w:tcW w:w="1669" w:type="dxa"/>
            <w:vMerge w:val="restart"/>
            <w:tcBorders>
              <w:top w:val="single" w:sz="4" w:space="0" w:color="auto"/>
              <w:left w:val="nil"/>
              <w:bottom w:val="single" w:sz="4" w:space="0" w:color="auto"/>
              <w:right w:val="single" w:sz="4" w:space="0" w:color="auto"/>
            </w:tcBorders>
            <w:vAlign w:val="center"/>
          </w:tcPr>
          <w:p w14:paraId="74197676" w14:textId="77777777" w:rsidR="004D7655" w:rsidRPr="00A07B1C" w:rsidRDefault="004D7655" w:rsidP="0020754D">
            <w:pPr>
              <w:jc w:val="center"/>
              <w:rPr>
                <w:rFonts w:ascii="Times New Roman" w:hAnsi="Times New Roman"/>
                <w:sz w:val="22"/>
                <w:szCs w:val="22"/>
                <w:lang w:eastAsia="en-ZA"/>
              </w:rPr>
            </w:pPr>
            <w:r w:rsidRPr="00A07B1C">
              <w:rPr>
                <w:rFonts w:ascii="Times New Roman" w:hAnsi="Times New Roman"/>
                <w:sz w:val="22"/>
                <w:szCs w:val="22"/>
                <w:lang w:eastAsia="en-ZA"/>
              </w:rPr>
              <w:t>Industrial Development</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27ADD"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123 086</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E903CA2"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129 979</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E731692"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137 128</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035EBD5"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144 670</w:t>
            </w:r>
          </w:p>
        </w:tc>
      </w:tr>
      <w:tr w:rsidR="004D7655" w:rsidRPr="00A07B1C" w14:paraId="0ADCF561" w14:textId="77777777" w:rsidTr="0051112C">
        <w:trPr>
          <w:trHeight w:val="54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F80F" w14:textId="77777777" w:rsidR="004D7655" w:rsidRPr="00A07B1C" w:rsidRDefault="008A3A80" w:rsidP="0050782F">
            <w:pPr>
              <w:jc w:val="both"/>
              <w:rPr>
                <w:rFonts w:ascii="Times New Roman" w:hAnsi="Times New Roman"/>
                <w:sz w:val="22"/>
                <w:szCs w:val="22"/>
                <w:lang w:eastAsia="en-ZA"/>
              </w:rPr>
            </w:pPr>
            <w:r>
              <w:rPr>
                <w:rFonts w:ascii="Times New Roman" w:hAnsi="Times New Roman"/>
                <w:sz w:val="22"/>
                <w:szCs w:val="22"/>
                <w:lang w:eastAsia="en-ZA"/>
              </w:rPr>
              <w:t>NMISA</w:t>
            </w:r>
            <w:r w:rsidR="004D7655" w:rsidRPr="00A07B1C">
              <w:rPr>
                <w:rFonts w:ascii="Times New Roman" w:hAnsi="Times New Roman"/>
                <w:sz w:val="22"/>
                <w:szCs w:val="22"/>
                <w:lang w:eastAsia="en-ZA"/>
              </w:rPr>
              <w:t>: Operations</w:t>
            </w:r>
          </w:p>
        </w:tc>
        <w:tc>
          <w:tcPr>
            <w:tcW w:w="1669" w:type="dxa"/>
            <w:vMerge/>
            <w:tcBorders>
              <w:top w:val="single" w:sz="4" w:space="0" w:color="auto"/>
              <w:left w:val="nil"/>
              <w:bottom w:val="single" w:sz="4" w:space="0" w:color="auto"/>
              <w:right w:val="single" w:sz="4" w:space="0" w:color="auto"/>
            </w:tcBorders>
          </w:tcPr>
          <w:p w14:paraId="0E1813C5" w14:textId="77777777" w:rsidR="004D7655" w:rsidRPr="00A07B1C" w:rsidRDefault="004D7655"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B2882"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109 698</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430DE90E"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115 057</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7B29229"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121 385</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689DDABA"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128 061</w:t>
            </w:r>
          </w:p>
        </w:tc>
      </w:tr>
      <w:tr w:rsidR="004D7655" w:rsidRPr="00A07B1C" w14:paraId="72A60B11" w14:textId="77777777" w:rsidTr="0051112C">
        <w:trPr>
          <w:trHeight w:val="54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E3B9D" w14:textId="77777777" w:rsidR="004D7655" w:rsidRPr="00A07B1C" w:rsidRDefault="004D7655" w:rsidP="0050782F">
            <w:pPr>
              <w:jc w:val="both"/>
              <w:rPr>
                <w:rFonts w:ascii="Times New Roman" w:hAnsi="Times New Roman"/>
                <w:sz w:val="22"/>
                <w:szCs w:val="22"/>
                <w:lang w:eastAsia="en-ZA"/>
              </w:rPr>
            </w:pPr>
            <w:r w:rsidRPr="00A07B1C">
              <w:rPr>
                <w:rFonts w:ascii="Times New Roman" w:hAnsi="Times New Roman"/>
                <w:sz w:val="22"/>
                <w:szCs w:val="22"/>
                <w:lang w:eastAsia="en-ZA"/>
              </w:rPr>
              <w:t xml:space="preserve">National Regulator for Compulsory Specifications </w:t>
            </w:r>
          </w:p>
        </w:tc>
        <w:tc>
          <w:tcPr>
            <w:tcW w:w="1669" w:type="dxa"/>
            <w:vMerge/>
            <w:tcBorders>
              <w:top w:val="single" w:sz="4" w:space="0" w:color="auto"/>
              <w:left w:val="nil"/>
              <w:bottom w:val="single" w:sz="4" w:space="0" w:color="auto"/>
              <w:right w:val="single" w:sz="4" w:space="0" w:color="auto"/>
            </w:tcBorders>
          </w:tcPr>
          <w:p w14:paraId="7201EAC5" w14:textId="77777777" w:rsidR="004D7655" w:rsidRPr="00A07B1C" w:rsidRDefault="004D7655"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8879E"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146 104</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4C97A292"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139 501</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044A3A3"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147 173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144693F0"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155 268</w:t>
            </w:r>
          </w:p>
        </w:tc>
      </w:tr>
      <w:tr w:rsidR="004D7655" w:rsidRPr="00A07B1C" w14:paraId="536C2AEE" w14:textId="77777777" w:rsidTr="0051112C">
        <w:trPr>
          <w:trHeight w:val="54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670383CF" w14:textId="77777777" w:rsidR="004D7655" w:rsidRPr="00A07B1C" w:rsidRDefault="004D7655" w:rsidP="0050782F">
            <w:pPr>
              <w:jc w:val="both"/>
              <w:rPr>
                <w:rFonts w:ascii="Times New Roman" w:hAnsi="Times New Roman"/>
                <w:sz w:val="22"/>
                <w:szCs w:val="22"/>
                <w:lang w:eastAsia="en-ZA"/>
              </w:rPr>
            </w:pPr>
            <w:r w:rsidRPr="00A07B1C">
              <w:rPr>
                <w:rFonts w:ascii="Times New Roman" w:hAnsi="Times New Roman"/>
                <w:sz w:val="22"/>
                <w:szCs w:val="22"/>
                <w:lang w:eastAsia="en-ZA"/>
              </w:rPr>
              <w:t>South African Bureau of Standards</w:t>
            </w:r>
            <w:r w:rsidR="0050782F">
              <w:rPr>
                <w:rFonts w:ascii="Times New Roman" w:hAnsi="Times New Roman"/>
                <w:sz w:val="22"/>
                <w:szCs w:val="22"/>
                <w:lang w:eastAsia="en-ZA"/>
              </w:rPr>
              <w:t xml:space="preserve"> </w:t>
            </w:r>
          </w:p>
        </w:tc>
        <w:tc>
          <w:tcPr>
            <w:tcW w:w="1669" w:type="dxa"/>
            <w:vMerge/>
            <w:tcBorders>
              <w:top w:val="single" w:sz="4" w:space="0" w:color="auto"/>
              <w:left w:val="nil"/>
              <w:bottom w:val="single" w:sz="4" w:space="0" w:color="auto"/>
              <w:right w:val="single" w:sz="4" w:space="0" w:color="auto"/>
            </w:tcBorders>
          </w:tcPr>
          <w:p w14:paraId="0CE48720" w14:textId="77777777" w:rsidR="004D7655" w:rsidRPr="00A07B1C" w:rsidRDefault="004D7655"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091D2"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375 931</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1A86EBCD"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rPr>
              <w:t>420 384</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510C807"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rPr>
              <w:t>307 411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FD682FF"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rPr>
              <w:t>324 319</w:t>
            </w:r>
          </w:p>
        </w:tc>
      </w:tr>
      <w:tr w:rsidR="004D7655" w:rsidRPr="00A07B1C" w14:paraId="73068EC9" w14:textId="77777777" w:rsidTr="00495FD1">
        <w:trPr>
          <w:trHeight w:val="54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D26F" w14:textId="77777777" w:rsidR="004D7655" w:rsidRPr="00A07B1C" w:rsidRDefault="004D7655" w:rsidP="0050782F">
            <w:pPr>
              <w:jc w:val="both"/>
              <w:rPr>
                <w:rFonts w:ascii="Times New Roman" w:hAnsi="Times New Roman"/>
                <w:sz w:val="22"/>
                <w:szCs w:val="22"/>
                <w:lang w:eastAsia="en-ZA"/>
              </w:rPr>
            </w:pPr>
            <w:r w:rsidRPr="00A07B1C">
              <w:rPr>
                <w:rFonts w:ascii="Times New Roman" w:hAnsi="Times New Roman"/>
                <w:sz w:val="22"/>
                <w:szCs w:val="22"/>
                <w:lang w:eastAsia="en-ZA"/>
              </w:rPr>
              <w:t xml:space="preserve">South African National Accreditation System </w:t>
            </w:r>
          </w:p>
        </w:tc>
        <w:tc>
          <w:tcPr>
            <w:tcW w:w="1669" w:type="dxa"/>
            <w:vMerge/>
            <w:tcBorders>
              <w:top w:val="single" w:sz="4" w:space="0" w:color="auto"/>
              <w:left w:val="nil"/>
              <w:bottom w:val="single" w:sz="4" w:space="0" w:color="auto"/>
              <w:right w:val="single" w:sz="4" w:space="0" w:color="auto"/>
            </w:tcBorders>
          </w:tcPr>
          <w:p w14:paraId="6210F4B1" w14:textId="77777777" w:rsidR="004D7655" w:rsidRPr="00A07B1C" w:rsidRDefault="004D7655" w:rsidP="0020754D">
            <w:pPr>
              <w:jc w:val="both"/>
              <w:rPr>
                <w:rFonts w:ascii="Times New Roman" w:hAnsi="Times New Roman"/>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1A9E"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31 032</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637203F3"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31 669</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80E7857"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33 399</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4E2B6D22" w14:textId="77777777" w:rsidR="004D7655" w:rsidRPr="00A07B1C" w:rsidRDefault="004D7655" w:rsidP="0020754D">
            <w:pPr>
              <w:jc w:val="right"/>
              <w:rPr>
                <w:rFonts w:ascii="Times New Roman" w:hAnsi="Times New Roman"/>
                <w:sz w:val="22"/>
                <w:szCs w:val="22"/>
                <w:lang w:eastAsia="en-ZA"/>
              </w:rPr>
            </w:pPr>
            <w:r w:rsidRPr="00A07B1C">
              <w:rPr>
                <w:rFonts w:ascii="Times New Roman" w:hAnsi="Times New Roman"/>
                <w:sz w:val="22"/>
                <w:szCs w:val="22"/>
                <w:lang w:eastAsia="en-ZA"/>
              </w:rPr>
              <w:t>35 237</w:t>
            </w:r>
          </w:p>
        </w:tc>
      </w:tr>
      <w:tr w:rsidR="00072BCA" w:rsidRPr="00A07B1C" w14:paraId="6A4349F3" w14:textId="77777777" w:rsidTr="008A3A80">
        <w:trPr>
          <w:trHeight w:val="540"/>
        </w:trPr>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5DA0A243" w14:textId="77777777" w:rsidR="00072BCA" w:rsidRPr="00A07B1C" w:rsidRDefault="00072BCA" w:rsidP="008A3A80">
            <w:pPr>
              <w:jc w:val="both"/>
              <w:rPr>
                <w:rFonts w:ascii="Times New Roman" w:hAnsi="Times New Roman"/>
                <w:b/>
                <w:sz w:val="22"/>
                <w:szCs w:val="22"/>
                <w:lang w:eastAsia="en-ZA"/>
              </w:rPr>
            </w:pPr>
            <w:r w:rsidRPr="00A07B1C">
              <w:rPr>
                <w:rFonts w:ascii="Times New Roman" w:hAnsi="Times New Roman"/>
                <w:b/>
                <w:sz w:val="22"/>
                <w:szCs w:val="22"/>
                <w:lang w:eastAsia="en-ZA"/>
              </w:rPr>
              <w:t>Total</w:t>
            </w:r>
          </w:p>
        </w:tc>
        <w:tc>
          <w:tcPr>
            <w:tcW w:w="1669" w:type="dxa"/>
            <w:tcBorders>
              <w:top w:val="single" w:sz="4" w:space="0" w:color="auto"/>
              <w:left w:val="nil"/>
              <w:bottom w:val="single" w:sz="4" w:space="0" w:color="auto"/>
              <w:right w:val="single" w:sz="4" w:space="0" w:color="auto"/>
            </w:tcBorders>
            <w:vAlign w:val="center"/>
          </w:tcPr>
          <w:p w14:paraId="767DDE3F" w14:textId="77777777" w:rsidR="00072BCA" w:rsidRPr="00A07B1C" w:rsidRDefault="00072BCA" w:rsidP="008A3A80">
            <w:pPr>
              <w:jc w:val="center"/>
              <w:rPr>
                <w:rFonts w:ascii="Times New Roman" w:hAnsi="Times New Roman"/>
                <w:b/>
                <w:sz w:val="22"/>
                <w:szCs w:val="22"/>
                <w:lang w:eastAsia="en-ZA"/>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40508" w14:textId="77777777" w:rsidR="00072BCA" w:rsidRPr="00A07B1C" w:rsidRDefault="00072BCA" w:rsidP="008A3A80">
            <w:pPr>
              <w:jc w:val="right"/>
              <w:rPr>
                <w:rFonts w:ascii="Times New Roman" w:hAnsi="Times New Roman"/>
                <w:b/>
                <w:sz w:val="22"/>
                <w:szCs w:val="22"/>
                <w:lang w:eastAsia="en-ZA"/>
              </w:rPr>
            </w:pPr>
            <w:r w:rsidRPr="00A07B1C">
              <w:rPr>
                <w:rFonts w:ascii="Times New Roman" w:hAnsi="Times New Roman"/>
                <w:b/>
                <w:sz w:val="22"/>
                <w:szCs w:val="22"/>
                <w:lang w:eastAsia="en-ZA"/>
              </w:rPr>
              <w:t>1 250 686</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5C01DE58" w14:textId="77777777" w:rsidR="00072BCA" w:rsidRPr="00A07B1C" w:rsidRDefault="00072BCA" w:rsidP="008A3A80">
            <w:pPr>
              <w:jc w:val="right"/>
              <w:rPr>
                <w:rFonts w:ascii="Times New Roman" w:hAnsi="Times New Roman"/>
                <w:b/>
                <w:sz w:val="22"/>
                <w:szCs w:val="22"/>
                <w:lang w:eastAsia="en-ZA"/>
              </w:rPr>
            </w:pPr>
            <w:r w:rsidRPr="00A07B1C">
              <w:rPr>
                <w:rFonts w:ascii="Times New Roman" w:hAnsi="Times New Roman"/>
                <w:b/>
                <w:sz w:val="22"/>
                <w:szCs w:val="22"/>
                <w:lang w:eastAsia="en-ZA"/>
              </w:rPr>
              <w:t>1 333 073</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EBBB906" w14:textId="77777777" w:rsidR="00072BCA" w:rsidRPr="00A07B1C" w:rsidRDefault="00072BCA" w:rsidP="008A3A80">
            <w:pPr>
              <w:jc w:val="right"/>
              <w:rPr>
                <w:rFonts w:ascii="Times New Roman" w:hAnsi="Times New Roman"/>
                <w:b/>
                <w:sz w:val="22"/>
                <w:szCs w:val="22"/>
                <w:lang w:eastAsia="en-ZA"/>
              </w:rPr>
            </w:pPr>
            <w:r w:rsidRPr="00A07B1C">
              <w:rPr>
                <w:rFonts w:ascii="Times New Roman" w:hAnsi="Times New Roman"/>
                <w:b/>
                <w:sz w:val="22"/>
                <w:szCs w:val="22"/>
                <w:lang w:eastAsia="en-ZA"/>
              </w:rPr>
              <w:t>1 270 264</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2B5F9F8" w14:textId="77777777" w:rsidR="00072BCA" w:rsidRPr="00A07B1C" w:rsidRDefault="00072BCA" w:rsidP="008A3A80">
            <w:pPr>
              <w:jc w:val="right"/>
              <w:rPr>
                <w:rFonts w:ascii="Times New Roman" w:hAnsi="Times New Roman"/>
                <w:b/>
                <w:sz w:val="22"/>
                <w:szCs w:val="22"/>
                <w:lang w:eastAsia="en-ZA"/>
              </w:rPr>
            </w:pPr>
            <w:r w:rsidRPr="00A07B1C">
              <w:rPr>
                <w:rFonts w:ascii="Times New Roman" w:hAnsi="Times New Roman"/>
                <w:b/>
                <w:sz w:val="22"/>
                <w:szCs w:val="22"/>
                <w:lang w:eastAsia="en-ZA"/>
              </w:rPr>
              <w:t>1 340 130</w:t>
            </w:r>
          </w:p>
        </w:tc>
      </w:tr>
    </w:tbl>
    <w:p w14:paraId="3278EB96" w14:textId="77777777" w:rsidR="00E40757" w:rsidRPr="00A07B1C" w:rsidRDefault="00E40757" w:rsidP="00E40757">
      <w:pPr>
        <w:spacing w:line="360" w:lineRule="auto"/>
        <w:jc w:val="both"/>
        <w:rPr>
          <w:rFonts w:ascii="Times New Roman" w:hAnsi="Times New Roman"/>
          <w:sz w:val="22"/>
          <w:szCs w:val="24"/>
        </w:rPr>
      </w:pPr>
      <w:r w:rsidRPr="00A07B1C">
        <w:rPr>
          <w:rFonts w:ascii="Times New Roman" w:eastAsia="Calibri" w:hAnsi="Times New Roman"/>
          <w:b/>
          <w:sz w:val="22"/>
          <w:szCs w:val="24"/>
        </w:rPr>
        <w:t>Source</w:t>
      </w:r>
      <w:r w:rsidRPr="00A07B1C">
        <w:rPr>
          <w:rFonts w:ascii="Times New Roman" w:eastAsia="Calibri" w:hAnsi="Times New Roman"/>
          <w:sz w:val="22"/>
          <w:szCs w:val="24"/>
        </w:rPr>
        <w:t>: National Treasury (2019</w:t>
      </w:r>
      <w:r w:rsidR="00C83F95" w:rsidRPr="00A07B1C">
        <w:rPr>
          <w:rFonts w:ascii="Times New Roman" w:eastAsia="Calibri" w:hAnsi="Times New Roman"/>
          <w:sz w:val="22"/>
          <w:szCs w:val="24"/>
        </w:rPr>
        <w:t>c: 714-716</w:t>
      </w:r>
      <w:r w:rsidRPr="00A07B1C">
        <w:rPr>
          <w:rFonts w:ascii="Times New Roman" w:eastAsia="Calibri" w:hAnsi="Times New Roman"/>
          <w:sz w:val="22"/>
          <w:szCs w:val="24"/>
        </w:rPr>
        <w:t>)</w:t>
      </w:r>
    </w:p>
    <w:p w14:paraId="63F29A14" w14:textId="77777777" w:rsidR="00023AC0" w:rsidRPr="00A07B1C" w:rsidRDefault="00023AC0" w:rsidP="00E40757">
      <w:pPr>
        <w:spacing w:line="360" w:lineRule="auto"/>
        <w:jc w:val="both"/>
        <w:rPr>
          <w:rFonts w:ascii="Times New Roman" w:hAnsi="Times New Roman"/>
          <w:sz w:val="24"/>
          <w:szCs w:val="24"/>
        </w:rPr>
      </w:pPr>
    </w:p>
    <w:p w14:paraId="6D0DE122" w14:textId="77777777" w:rsidR="00CB29CD" w:rsidRPr="00A07B1C" w:rsidRDefault="00CB29CD" w:rsidP="00E40757">
      <w:pPr>
        <w:numPr>
          <w:ilvl w:val="0"/>
          <w:numId w:val="6"/>
        </w:numPr>
        <w:spacing w:line="360" w:lineRule="auto"/>
        <w:jc w:val="both"/>
        <w:rPr>
          <w:rFonts w:ascii="Times New Roman" w:hAnsi="Times New Roman"/>
          <w:b/>
          <w:sz w:val="24"/>
          <w:szCs w:val="24"/>
        </w:rPr>
      </w:pPr>
      <w:r w:rsidRPr="00A07B1C">
        <w:rPr>
          <w:rFonts w:ascii="Times New Roman" w:hAnsi="Times New Roman"/>
          <w:b/>
          <w:sz w:val="24"/>
          <w:szCs w:val="24"/>
        </w:rPr>
        <w:t xml:space="preserve">Key issues raised by the </w:t>
      </w:r>
      <w:r w:rsidR="001F0E55" w:rsidRPr="00A07B1C">
        <w:rPr>
          <w:rFonts w:ascii="Times New Roman" w:hAnsi="Times New Roman"/>
          <w:b/>
          <w:sz w:val="24"/>
          <w:szCs w:val="24"/>
        </w:rPr>
        <w:t>C</w:t>
      </w:r>
      <w:r w:rsidRPr="00A07B1C">
        <w:rPr>
          <w:rFonts w:ascii="Times New Roman" w:hAnsi="Times New Roman"/>
          <w:b/>
          <w:sz w:val="24"/>
          <w:szCs w:val="24"/>
        </w:rPr>
        <w:t>ommittee during its deliberations</w:t>
      </w:r>
    </w:p>
    <w:p w14:paraId="4882B675" w14:textId="77777777" w:rsidR="00CB29CD" w:rsidRPr="00A07B1C" w:rsidRDefault="00CB29CD" w:rsidP="00E40757">
      <w:pPr>
        <w:spacing w:line="360" w:lineRule="auto"/>
        <w:jc w:val="both"/>
        <w:rPr>
          <w:rFonts w:ascii="Times New Roman" w:hAnsi="Times New Roman"/>
          <w:sz w:val="24"/>
          <w:szCs w:val="24"/>
        </w:rPr>
      </w:pPr>
    </w:p>
    <w:p w14:paraId="599E8FED" w14:textId="77777777" w:rsidR="00CB29CD" w:rsidRPr="00A07B1C" w:rsidRDefault="00CB29CD" w:rsidP="00E40757">
      <w:pPr>
        <w:spacing w:line="360" w:lineRule="auto"/>
        <w:jc w:val="both"/>
        <w:rPr>
          <w:rFonts w:ascii="Times New Roman" w:hAnsi="Times New Roman"/>
          <w:sz w:val="24"/>
          <w:szCs w:val="24"/>
        </w:rPr>
      </w:pPr>
      <w:r w:rsidRPr="00A07B1C">
        <w:rPr>
          <w:rFonts w:ascii="Times New Roman" w:hAnsi="Times New Roman"/>
          <w:sz w:val="24"/>
          <w:szCs w:val="24"/>
        </w:rPr>
        <w:t xml:space="preserve">The Committee raised a number of concerns during its deliberations, including: </w:t>
      </w:r>
    </w:p>
    <w:p w14:paraId="330466BE" w14:textId="77777777" w:rsidR="006A7D0D" w:rsidRPr="00A07B1C" w:rsidRDefault="006A7D0D" w:rsidP="00E40757">
      <w:pPr>
        <w:spacing w:line="360" w:lineRule="auto"/>
        <w:jc w:val="both"/>
        <w:rPr>
          <w:rFonts w:ascii="Times New Roman" w:hAnsi="Times New Roman"/>
          <w:sz w:val="24"/>
          <w:szCs w:val="24"/>
        </w:rPr>
      </w:pPr>
    </w:p>
    <w:p w14:paraId="4AE6533A" w14:textId="77777777" w:rsidR="000C471D" w:rsidRPr="00A07B1C" w:rsidRDefault="000C471D" w:rsidP="000C471D">
      <w:pPr>
        <w:spacing w:line="360" w:lineRule="auto"/>
        <w:ind w:left="567" w:hanging="567"/>
        <w:jc w:val="both"/>
      </w:pPr>
      <w:r w:rsidRPr="00A07B1C">
        <w:rPr>
          <w:rFonts w:ascii="Times New Roman" w:hAnsi="Times New Roman"/>
          <w:sz w:val="24"/>
          <w:szCs w:val="24"/>
        </w:rPr>
        <w:t>5.1</w:t>
      </w:r>
      <w:r w:rsidRPr="00A07B1C">
        <w:rPr>
          <w:rFonts w:ascii="Times New Roman" w:hAnsi="Times New Roman"/>
          <w:sz w:val="24"/>
          <w:szCs w:val="24"/>
        </w:rPr>
        <w:tab/>
      </w:r>
      <w:r w:rsidRPr="00A07B1C">
        <w:rPr>
          <w:rFonts w:ascii="Times New Roman" w:hAnsi="Times New Roman"/>
          <w:b/>
          <w:i/>
          <w:sz w:val="24"/>
          <w:szCs w:val="24"/>
        </w:rPr>
        <w:t>The role of the private sector with respect to reindustrialisation:</w:t>
      </w:r>
      <w:r w:rsidRPr="00A07B1C">
        <w:rPr>
          <w:rFonts w:ascii="Times New Roman" w:hAnsi="Times New Roman"/>
          <w:sz w:val="24"/>
          <w:szCs w:val="24"/>
        </w:rPr>
        <w:t xml:space="preserve"> Recent data showed the increased investment by the private sector in the economy. The Committee enquired, given a re</w:t>
      </w:r>
      <w:r w:rsidR="0053085F">
        <w:rPr>
          <w:rFonts w:ascii="Times New Roman" w:hAnsi="Times New Roman"/>
          <w:sz w:val="24"/>
          <w:szCs w:val="24"/>
        </w:rPr>
        <w:t>-</w:t>
      </w:r>
      <w:r w:rsidRPr="00A07B1C">
        <w:rPr>
          <w:rFonts w:ascii="Times New Roman" w:hAnsi="Times New Roman"/>
          <w:sz w:val="24"/>
          <w:szCs w:val="24"/>
        </w:rPr>
        <w:t xml:space="preserve">imagined industrial strategy, how government is going to address the impediments to industrialisation and whether it should significantly reduce its role in the process. The Minister informed the Committee that there are significant structural challenges facing the South African economy. One of the main features of the South African economy is its high level of concentration of ownership and a concentrated market that keeps out new entrants, young people and small business. Competition </w:t>
      </w:r>
      <w:r w:rsidRPr="00A07B1C">
        <w:rPr>
          <w:rFonts w:ascii="Times New Roman" w:hAnsi="Times New Roman"/>
          <w:sz w:val="24"/>
          <w:szCs w:val="24"/>
        </w:rPr>
        <w:lastRenderedPageBreak/>
        <w:t>policy seeks to address this anomaly and it should change the structural dimension of the South African economy. The Minister acknowledged the importance of partnerships with the private sector in order for them to be generators of growth in the economy, but the role of the state cannot be undervalued. The Minister was of the view that an absent state does not facilitate growth and that the state should find the right balance at the core of a re</w:t>
      </w:r>
      <w:r w:rsidR="0053085F">
        <w:rPr>
          <w:rFonts w:ascii="Times New Roman" w:hAnsi="Times New Roman"/>
          <w:sz w:val="24"/>
          <w:szCs w:val="24"/>
        </w:rPr>
        <w:t>-</w:t>
      </w:r>
      <w:r w:rsidRPr="00A07B1C">
        <w:rPr>
          <w:rFonts w:ascii="Times New Roman" w:hAnsi="Times New Roman"/>
          <w:sz w:val="24"/>
          <w:szCs w:val="24"/>
        </w:rPr>
        <w:t>imagined industrial strategy. The state should be an enabler that provides the critical infrastructure, an equitable regulatory regime that would contribute to economic growth, and be a force to redress inequalities still prevalent in our society</w:t>
      </w:r>
      <w:r w:rsidRPr="00A07B1C">
        <w:t xml:space="preserve">. </w:t>
      </w:r>
    </w:p>
    <w:p w14:paraId="0113A780" w14:textId="77777777" w:rsidR="000C471D" w:rsidRPr="00A07B1C" w:rsidRDefault="000C471D" w:rsidP="000C471D">
      <w:pPr>
        <w:spacing w:line="360" w:lineRule="auto"/>
        <w:ind w:left="567" w:hanging="567"/>
        <w:jc w:val="both"/>
      </w:pPr>
    </w:p>
    <w:p w14:paraId="6A0D7B4A" w14:textId="77777777" w:rsidR="000C471D" w:rsidRPr="00A07B1C" w:rsidRDefault="000C471D" w:rsidP="000C471D">
      <w:pPr>
        <w:pStyle w:val="ListParagraph"/>
        <w:spacing w:line="360" w:lineRule="auto"/>
        <w:ind w:left="567" w:hanging="567"/>
        <w:jc w:val="both"/>
      </w:pPr>
      <w:r w:rsidRPr="00A07B1C">
        <w:t>5.2</w:t>
      </w:r>
      <w:r w:rsidRPr="00A07B1C">
        <w:tab/>
      </w:r>
      <w:r w:rsidRPr="00A07B1C">
        <w:rPr>
          <w:b/>
          <w:i/>
        </w:rPr>
        <w:t xml:space="preserve">Ease of doing business: </w:t>
      </w:r>
      <w:r w:rsidRPr="00A07B1C">
        <w:t>The 2018 World Bank’s Ease of Doing Business Index ranked South Africa 82 out of 190 countries. This is a concern for the Committee as it may undermine the country’s attractiveness to business and investors. It was of the view that government should regularly review processes that could impede investment to ensure that the economy can be stimulated to create jobs. The Committee enquired whether the DTI is considering any mechanisms to improve the ease of doing business in South Africa. The DTI informed the Committee that one of its key focus areas is to improve the “ease of doing business”. Investment South Africa created the One-Stop Shop initiative to provide investors with services to fast track projects and reduce red tape when establishing businesses. As outlined in the SONA, the President highlighted govern</w:t>
      </w:r>
      <w:r w:rsidR="00607FC5">
        <w:t>ment’s drive to become investor-</w:t>
      </w:r>
      <w:r w:rsidRPr="00A07B1C">
        <w:t>friendly by improving the business environment by lowering the cost of doing business as well as making the process easier. Challenges still remain as the system</w:t>
      </w:r>
      <w:r w:rsidR="00607FC5">
        <w:t>s</w:t>
      </w:r>
      <w:r w:rsidRPr="00A07B1C">
        <w:t xml:space="preserve"> </w:t>
      </w:r>
      <w:r w:rsidR="00607FC5">
        <w:t>are</w:t>
      </w:r>
      <w:r w:rsidRPr="00A07B1C">
        <w:t xml:space="preserve"> not</w:t>
      </w:r>
      <w:r w:rsidR="00607FC5">
        <w:t xml:space="preserve"> yet</w:t>
      </w:r>
      <w:r w:rsidRPr="00A07B1C">
        <w:t xml:space="preserve"> fully integrate</w:t>
      </w:r>
      <w:r w:rsidR="00607FC5">
        <w:t>d. However,</w:t>
      </w:r>
      <w:r w:rsidRPr="00A07B1C">
        <w:t xml:space="preserve"> </w:t>
      </w:r>
      <w:r w:rsidR="00607FC5">
        <w:t>i</w:t>
      </w:r>
      <w:r w:rsidRPr="00A07B1C">
        <w:t xml:space="preserve">n </w:t>
      </w:r>
      <w:r w:rsidR="00607FC5">
        <w:t>the</w:t>
      </w:r>
      <w:r w:rsidRPr="00A07B1C">
        <w:t xml:space="preserve"> next phase, the DTI </w:t>
      </w:r>
      <w:r w:rsidR="00607FC5">
        <w:t xml:space="preserve">would like to implement </w:t>
      </w:r>
      <w:r w:rsidRPr="00A07B1C">
        <w:t xml:space="preserve">a seamless process </w:t>
      </w:r>
      <w:r w:rsidR="00607FC5">
        <w:t xml:space="preserve">with </w:t>
      </w:r>
      <w:r w:rsidRPr="00A07B1C">
        <w:t>th</w:t>
      </w:r>
      <w:r w:rsidR="00607FC5">
        <w:t>e South African Revenue Service</w:t>
      </w:r>
      <w:r w:rsidRPr="00A07B1C">
        <w:t xml:space="preserve">, the Department of Labour and other stakeholders. </w:t>
      </w:r>
    </w:p>
    <w:p w14:paraId="223FC304" w14:textId="77777777" w:rsidR="000C471D" w:rsidRPr="00A07B1C" w:rsidRDefault="000C471D" w:rsidP="000C471D">
      <w:pPr>
        <w:spacing w:line="360" w:lineRule="auto"/>
        <w:ind w:left="567" w:hanging="567"/>
        <w:jc w:val="both"/>
      </w:pPr>
    </w:p>
    <w:p w14:paraId="03293C6F" w14:textId="77777777" w:rsidR="000C471D" w:rsidRPr="00A07B1C" w:rsidRDefault="000C471D" w:rsidP="000C471D">
      <w:pPr>
        <w:spacing w:line="360" w:lineRule="auto"/>
        <w:ind w:left="567" w:hanging="567"/>
        <w:jc w:val="both"/>
      </w:pPr>
      <w:r w:rsidRPr="00A07B1C">
        <w:rPr>
          <w:rFonts w:ascii="Times New Roman" w:hAnsi="Times New Roman"/>
          <w:sz w:val="24"/>
          <w:szCs w:val="24"/>
        </w:rPr>
        <w:t>5.3</w:t>
      </w:r>
      <w:r w:rsidRPr="00A07B1C">
        <w:rPr>
          <w:rFonts w:ascii="Times New Roman" w:hAnsi="Times New Roman"/>
          <w:sz w:val="24"/>
          <w:szCs w:val="24"/>
        </w:rPr>
        <w:tab/>
      </w:r>
      <w:r w:rsidRPr="00A07B1C">
        <w:rPr>
          <w:rFonts w:ascii="Times New Roman" w:hAnsi="Times New Roman"/>
          <w:b/>
          <w:i/>
          <w:sz w:val="24"/>
          <w:szCs w:val="24"/>
        </w:rPr>
        <w:t xml:space="preserve">Evidence-based approach to industrial policy and strategy development: </w:t>
      </w:r>
      <w:r w:rsidRPr="00A07B1C">
        <w:rPr>
          <w:rFonts w:ascii="Times New Roman" w:hAnsi="Times New Roman"/>
          <w:sz w:val="24"/>
          <w:szCs w:val="24"/>
        </w:rPr>
        <w:t>The Committee welcomed the Minister’s approach with respect to industrialisation with policies shaped by evidence rather than responses to short-term pressures. The Minister welcomed the support expressed by the Committee to this approach.</w:t>
      </w:r>
    </w:p>
    <w:p w14:paraId="600028D7" w14:textId="77777777" w:rsidR="000C471D" w:rsidRPr="00A07B1C" w:rsidRDefault="000C471D" w:rsidP="000C471D">
      <w:pPr>
        <w:pStyle w:val="ListParagraph"/>
        <w:spacing w:line="360" w:lineRule="auto"/>
        <w:ind w:left="567" w:hanging="567"/>
        <w:jc w:val="both"/>
      </w:pPr>
    </w:p>
    <w:p w14:paraId="012BBAFF" w14:textId="77777777" w:rsidR="000C471D" w:rsidRPr="00A07B1C" w:rsidRDefault="000C471D" w:rsidP="000C471D">
      <w:pPr>
        <w:spacing w:line="360" w:lineRule="auto"/>
        <w:ind w:left="567" w:hanging="567"/>
        <w:jc w:val="both"/>
        <w:rPr>
          <w:rFonts w:ascii="Times New Roman" w:hAnsi="Times New Roman"/>
          <w:sz w:val="24"/>
          <w:szCs w:val="24"/>
        </w:rPr>
      </w:pPr>
      <w:r w:rsidRPr="00A07B1C">
        <w:rPr>
          <w:rFonts w:ascii="Times New Roman" w:hAnsi="Times New Roman"/>
          <w:sz w:val="24"/>
          <w:szCs w:val="24"/>
        </w:rPr>
        <w:t>5.4</w:t>
      </w:r>
      <w:r w:rsidRPr="00A07B1C">
        <w:rPr>
          <w:rFonts w:ascii="Times New Roman" w:hAnsi="Times New Roman"/>
          <w:sz w:val="24"/>
          <w:szCs w:val="24"/>
        </w:rPr>
        <w:tab/>
      </w:r>
      <w:r w:rsidRPr="00A07B1C">
        <w:rPr>
          <w:rFonts w:ascii="Times New Roman" w:hAnsi="Times New Roman"/>
          <w:b/>
          <w:i/>
          <w:sz w:val="24"/>
          <w:szCs w:val="24"/>
        </w:rPr>
        <w:t xml:space="preserve">The impact of state capture on industrialisation: </w:t>
      </w:r>
      <w:r w:rsidRPr="00A07B1C">
        <w:rPr>
          <w:rFonts w:ascii="Times New Roman" w:hAnsi="Times New Roman"/>
          <w:sz w:val="24"/>
          <w:szCs w:val="24"/>
        </w:rPr>
        <w:t>The Committee enquired what measures were being considered to increase the oversight over departments to ensure that reindustrialisation is not compromised. The Minister acknowledged the negative effect of statute capture on economic performance. He informed the Committee about a recent study EDD had conducted based on a modelling exercise to estimate the socio-</w:t>
      </w:r>
      <w:r w:rsidRPr="00A07B1C">
        <w:rPr>
          <w:rFonts w:ascii="Times New Roman" w:hAnsi="Times New Roman"/>
          <w:sz w:val="24"/>
          <w:szCs w:val="24"/>
        </w:rPr>
        <w:lastRenderedPageBreak/>
        <w:t xml:space="preserve">economic impact of corruption. The study found that there was a loss of R27 billion and a loss of 76 000 jobs per year </w:t>
      </w:r>
      <w:r w:rsidR="008F1DDB">
        <w:rPr>
          <w:rFonts w:ascii="Times New Roman" w:hAnsi="Times New Roman"/>
          <w:sz w:val="24"/>
          <w:szCs w:val="24"/>
        </w:rPr>
        <w:t>based on the assumption of a 10 percent</w:t>
      </w:r>
      <w:r w:rsidRPr="00A07B1C">
        <w:rPr>
          <w:rFonts w:ascii="Times New Roman" w:hAnsi="Times New Roman"/>
          <w:sz w:val="24"/>
          <w:szCs w:val="24"/>
        </w:rPr>
        <w:t xml:space="preserve"> over-payment on infrastructure bills. In this process of ensuring accountability and oversight, transparency becomes critical. In this regard, the IDC is now publishing the names of all recipients of IDC loans on its website. This is in response to the challenges caused by state capture and corruption.  Effective oversight remains critical and government must ensure that perpetrators of corruption face the full might of the law. </w:t>
      </w:r>
    </w:p>
    <w:p w14:paraId="05B1688F" w14:textId="77777777" w:rsidR="000C471D" w:rsidRPr="00A07B1C" w:rsidRDefault="000C471D" w:rsidP="000C471D">
      <w:pPr>
        <w:spacing w:line="360" w:lineRule="auto"/>
        <w:ind w:left="567" w:hanging="567"/>
        <w:jc w:val="both"/>
        <w:rPr>
          <w:rFonts w:ascii="Times New Roman" w:hAnsi="Times New Roman"/>
          <w:sz w:val="24"/>
          <w:szCs w:val="24"/>
        </w:rPr>
      </w:pPr>
    </w:p>
    <w:p w14:paraId="0204F7F7" w14:textId="77777777" w:rsidR="000C471D" w:rsidRPr="00A07B1C" w:rsidRDefault="000C471D" w:rsidP="000C471D">
      <w:pPr>
        <w:spacing w:line="360" w:lineRule="auto"/>
        <w:ind w:left="567" w:hanging="567"/>
        <w:jc w:val="both"/>
        <w:rPr>
          <w:rFonts w:ascii="Times New Roman" w:hAnsi="Times New Roman"/>
          <w:sz w:val="24"/>
          <w:szCs w:val="24"/>
        </w:rPr>
      </w:pPr>
      <w:r w:rsidRPr="00A07B1C">
        <w:rPr>
          <w:rFonts w:ascii="Times New Roman" w:hAnsi="Times New Roman"/>
          <w:sz w:val="24"/>
          <w:szCs w:val="24"/>
        </w:rPr>
        <w:t>5.5</w:t>
      </w:r>
      <w:r w:rsidRPr="00A07B1C">
        <w:rPr>
          <w:rFonts w:ascii="Times New Roman" w:hAnsi="Times New Roman"/>
          <w:sz w:val="24"/>
          <w:szCs w:val="24"/>
        </w:rPr>
        <w:tab/>
      </w:r>
      <w:r w:rsidRPr="00A07B1C">
        <w:rPr>
          <w:rFonts w:ascii="Times New Roman" w:hAnsi="Times New Roman"/>
          <w:b/>
          <w:i/>
          <w:sz w:val="24"/>
          <w:szCs w:val="24"/>
        </w:rPr>
        <w:t xml:space="preserve">Developments within the sugar industry: </w:t>
      </w:r>
      <w:r w:rsidRPr="00A07B1C">
        <w:rPr>
          <w:rFonts w:ascii="Times New Roman" w:hAnsi="Times New Roman"/>
          <w:sz w:val="24"/>
          <w:szCs w:val="24"/>
        </w:rPr>
        <w:t>Notwithstanding the increase in the tariff rate on imported sugar, the sugar industry is still facing a number of challenges which may lead to further job losses and closures of mills. This is purported to be as a result of the impact of the Health Promotion Levy on sugary beverages on the demand for sugar, as an input, as companies may be using sugar substitutes or purchasing cheaper, imported sugar. The Committee enquired whether the Departments are considering measures to alleviate the plight of the sugar industry. The Minister informed the Committee that it is government’s responsibility to support both parts of the sugar value chain and that the Departments intend to develop an appropriate long-term strategy to ensure a sustainable sugar industry.</w:t>
      </w:r>
    </w:p>
    <w:p w14:paraId="13A97EAE" w14:textId="77777777" w:rsidR="000C471D" w:rsidRPr="00A07B1C" w:rsidRDefault="000C471D" w:rsidP="000C471D">
      <w:pPr>
        <w:pStyle w:val="BodyText"/>
        <w:spacing w:line="360" w:lineRule="auto"/>
        <w:jc w:val="both"/>
        <w:rPr>
          <w:rFonts w:ascii="Times New Roman" w:hAnsi="Times New Roman" w:cs="Times New Roman"/>
          <w:b/>
          <w:bCs/>
          <w:sz w:val="24"/>
          <w:szCs w:val="24"/>
          <w:lang w:val="en-GB"/>
        </w:rPr>
      </w:pPr>
    </w:p>
    <w:p w14:paraId="686D9967" w14:textId="77777777" w:rsidR="000C471D" w:rsidRPr="00A07B1C" w:rsidRDefault="000C471D" w:rsidP="000C471D">
      <w:pPr>
        <w:pStyle w:val="ListParagraph"/>
        <w:spacing w:line="360" w:lineRule="auto"/>
        <w:ind w:left="567" w:hanging="567"/>
        <w:jc w:val="both"/>
      </w:pPr>
      <w:r w:rsidRPr="00A07B1C">
        <w:t>5.6</w:t>
      </w:r>
      <w:r w:rsidRPr="00A07B1C">
        <w:tab/>
      </w:r>
      <w:r w:rsidRPr="00A07B1C">
        <w:rPr>
          <w:b/>
          <w:i/>
        </w:rPr>
        <w:t>Challenges facing technical infrastructure institutions such as the South African Bureau of Standards</w:t>
      </w:r>
      <w:r w:rsidR="008F1DDB">
        <w:rPr>
          <w:b/>
          <w:i/>
        </w:rPr>
        <w:t xml:space="preserve"> (SABS)</w:t>
      </w:r>
      <w:r w:rsidRPr="00A07B1C">
        <w:rPr>
          <w:b/>
          <w:i/>
        </w:rPr>
        <w:t xml:space="preserve"> and the National Regulator of Compulsory Specifications</w:t>
      </w:r>
      <w:r w:rsidR="008F1DDB">
        <w:rPr>
          <w:b/>
          <w:i/>
        </w:rPr>
        <w:t xml:space="preserve"> (NRCS)</w:t>
      </w:r>
      <w:r w:rsidRPr="00A07B1C">
        <w:rPr>
          <w:b/>
          <w:i/>
        </w:rPr>
        <w:t>:</w:t>
      </w:r>
      <w:r w:rsidRPr="00A07B1C">
        <w:t xml:space="preserve"> The Committee welcomed the clean audit achieved by the DTI and most of its entities but expressed concerns that both the SABS and the NRCS had received qualified audits, with the SABS receiving a disclaimer for its consolidated financial statements. The Committee enquired how the DTI was addressing the challenges facing the SABS and the NRCS given the vital importance of these entities in contributing to achieving the goals of a re</w:t>
      </w:r>
      <w:r w:rsidR="0053085F">
        <w:t>-</w:t>
      </w:r>
      <w:r w:rsidRPr="00A07B1C">
        <w:t>imagined industrial strategy. The DTI informed the Committee that the NRCS was placed on a clear audit path to address the audit findings and recommendations made by the Auditor-General. The finding related to NRCS’s inability to show sufficient</w:t>
      </w:r>
      <w:r w:rsidR="0053085F">
        <w:t>,</w:t>
      </w:r>
      <w:r w:rsidRPr="00A07B1C">
        <w:t xml:space="preserve"> appropriate evidence of its revenue from non-exchange levies for compulsory specifications. The DTI reported that significant progress had been made in addressing the concerns raised by the Auditor-General with only a technical adjustment required for revenue collection. However, a proper </w:t>
      </w:r>
      <w:r w:rsidRPr="00A07B1C">
        <w:lastRenderedPageBreak/>
        <w:t xml:space="preserve">Information and Communication Technology system must be implemented to fully address the audit findings. </w:t>
      </w:r>
    </w:p>
    <w:p w14:paraId="4FA2E8A7" w14:textId="77777777" w:rsidR="000C471D" w:rsidRPr="00A07B1C" w:rsidRDefault="000C471D" w:rsidP="000C471D">
      <w:pPr>
        <w:pStyle w:val="ListParagraph"/>
        <w:spacing w:line="360" w:lineRule="auto"/>
        <w:ind w:left="567" w:hanging="567"/>
        <w:jc w:val="both"/>
      </w:pPr>
    </w:p>
    <w:p w14:paraId="37C431B9" w14:textId="77777777" w:rsidR="000C471D" w:rsidRPr="00A07B1C" w:rsidRDefault="000C471D" w:rsidP="000C471D">
      <w:pPr>
        <w:pStyle w:val="ListParagraph"/>
        <w:spacing w:line="360" w:lineRule="auto"/>
        <w:ind w:left="567"/>
        <w:jc w:val="both"/>
      </w:pPr>
      <w:r w:rsidRPr="00A07B1C">
        <w:t xml:space="preserve">The SABS, on the other hand, had been placed under administration in 2018. Three co-administrators were appointed to produce a diagnostic report and a turnaround strategy. The DTI informed the Committee that significant progress had been made in addressing the challenges facing the SABS and that the co-administrators would be managing the SABS until October 2019. </w:t>
      </w:r>
    </w:p>
    <w:p w14:paraId="7CB464FD" w14:textId="77777777" w:rsidR="000C471D" w:rsidRPr="00A07B1C" w:rsidRDefault="000C471D" w:rsidP="000C471D">
      <w:pPr>
        <w:pStyle w:val="ListParagraph"/>
        <w:spacing w:line="360" w:lineRule="auto"/>
        <w:ind w:left="567" w:hanging="567"/>
        <w:jc w:val="both"/>
      </w:pPr>
    </w:p>
    <w:p w14:paraId="2F93357F" w14:textId="77777777" w:rsidR="000C471D" w:rsidRPr="00A07B1C" w:rsidRDefault="000C471D" w:rsidP="000C471D">
      <w:pPr>
        <w:pStyle w:val="ListParagraph"/>
        <w:spacing w:line="360" w:lineRule="auto"/>
        <w:ind w:left="567" w:hanging="567"/>
        <w:jc w:val="both"/>
      </w:pPr>
      <w:r w:rsidRPr="00A07B1C">
        <w:t>5.7</w:t>
      </w:r>
      <w:r w:rsidRPr="00A07B1C">
        <w:tab/>
      </w:r>
      <w:r w:rsidRPr="00A07B1C">
        <w:rPr>
          <w:b/>
          <w:i/>
        </w:rPr>
        <w:t xml:space="preserve">The Automotive Production and Development </w:t>
      </w:r>
      <w:r w:rsidR="0053085F">
        <w:rPr>
          <w:b/>
          <w:i/>
        </w:rPr>
        <w:t>P</w:t>
      </w:r>
      <w:r w:rsidRPr="00A07B1C">
        <w:rPr>
          <w:b/>
          <w:i/>
        </w:rPr>
        <w:t>rogramme:</w:t>
      </w:r>
      <w:r w:rsidRPr="00A07B1C">
        <w:t xml:space="preserve"> The Committee welcomed the announcement last year of the extension of the Automotive Production and Development Programme and the Automotive Masterplan 2035. The Committee enquired to the status of implementation of the Automotive Masterplan. The Minister informed the Committee that currently the DTI is working on the implementation of the modalities of the next phase of the masterplan.</w:t>
      </w:r>
    </w:p>
    <w:p w14:paraId="3D781F14" w14:textId="77777777" w:rsidR="000C471D" w:rsidRPr="00A07B1C" w:rsidRDefault="000C471D" w:rsidP="000C471D">
      <w:pPr>
        <w:pStyle w:val="ListParagraph"/>
        <w:spacing w:line="360" w:lineRule="auto"/>
        <w:ind w:left="567" w:hanging="567"/>
        <w:jc w:val="both"/>
      </w:pPr>
    </w:p>
    <w:p w14:paraId="444D2938" w14:textId="77777777" w:rsidR="000C471D" w:rsidRPr="00A07B1C" w:rsidRDefault="000C471D" w:rsidP="000C471D">
      <w:pPr>
        <w:spacing w:line="360" w:lineRule="auto"/>
        <w:ind w:left="567" w:hanging="567"/>
        <w:jc w:val="both"/>
        <w:rPr>
          <w:rFonts w:ascii="Times New Roman" w:hAnsi="Times New Roman"/>
          <w:color w:val="auto"/>
          <w:sz w:val="24"/>
          <w:szCs w:val="24"/>
        </w:rPr>
      </w:pPr>
      <w:r w:rsidRPr="00A07B1C">
        <w:rPr>
          <w:rFonts w:ascii="Times New Roman" w:hAnsi="Times New Roman"/>
          <w:sz w:val="24"/>
          <w:szCs w:val="24"/>
        </w:rPr>
        <w:t>5.8</w:t>
      </w:r>
      <w:r w:rsidRPr="00A07B1C">
        <w:rPr>
          <w:rFonts w:ascii="Times New Roman" w:hAnsi="Times New Roman"/>
          <w:sz w:val="24"/>
          <w:szCs w:val="24"/>
        </w:rPr>
        <w:tab/>
      </w:r>
      <w:r w:rsidRPr="00A07B1C">
        <w:rPr>
          <w:rFonts w:ascii="Times New Roman" w:hAnsi="Times New Roman"/>
          <w:b/>
          <w:i/>
          <w:sz w:val="24"/>
          <w:szCs w:val="24"/>
        </w:rPr>
        <w:t>Decline in allocation for</w:t>
      </w:r>
      <w:r w:rsidRPr="00A07B1C">
        <w:rPr>
          <w:rFonts w:ascii="Times New Roman" w:hAnsi="Times New Roman"/>
          <w:sz w:val="24"/>
          <w:szCs w:val="24"/>
        </w:rPr>
        <w:t xml:space="preserve"> </w:t>
      </w:r>
      <w:r w:rsidRPr="00A07B1C">
        <w:rPr>
          <w:rFonts w:ascii="Times New Roman" w:hAnsi="Times New Roman"/>
          <w:b/>
          <w:i/>
          <w:sz w:val="24"/>
          <w:szCs w:val="24"/>
        </w:rPr>
        <w:t>Service Investment Incentives:</w:t>
      </w:r>
      <w:r w:rsidRPr="00A07B1C">
        <w:rPr>
          <w:rFonts w:ascii="Times New Roman" w:hAnsi="Times New Roman"/>
          <w:sz w:val="24"/>
          <w:szCs w:val="24"/>
        </w:rPr>
        <w:t xml:space="preserve"> The Committee enquired what the reasons were for the significant decline in service investment incentives for the 2019/20 financial year and in the outer years. The DTI informed the Committee that </w:t>
      </w:r>
      <w:r w:rsidRPr="00A07B1C">
        <w:rPr>
          <w:rFonts w:ascii="Times New Roman" w:hAnsi="Times New Roman"/>
          <w:color w:val="auto"/>
          <w:sz w:val="24"/>
          <w:szCs w:val="24"/>
        </w:rPr>
        <w:t>the Services Investment Incentives budget allocation has not been reduced, but that funds were reprioritized to meet the increased demand of support required by the market for financial years 2016/17, 2017/18 and 2018/19.</w:t>
      </w:r>
    </w:p>
    <w:p w14:paraId="5F3312D9" w14:textId="77777777" w:rsidR="000C471D" w:rsidRPr="00A07B1C" w:rsidRDefault="000C471D" w:rsidP="000C471D">
      <w:pPr>
        <w:spacing w:line="360" w:lineRule="auto"/>
        <w:ind w:left="567" w:hanging="567"/>
        <w:jc w:val="both"/>
        <w:rPr>
          <w:rFonts w:ascii="Times New Roman" w:hAnsi="Times New Roman"/>
          <w:sz w:val="24"/>
          <w:szCs w:val="24"/>
        </w:rPr>
      </w:pPr>
    </w:p>
    <w:p w14:paraId="4566EFF0" w14:textId="77777777" w:rsidR="000C471D" w:rsidRPr="00A07B1C" w:rsidRDefault="000C471D" w:rsidP="000C471D">
      <w:pPr>
        <w:pStyle w:val="ListParagraph"/>
        <w:spacing w:line="360" w:lineRule="auto"/>
        <w:ind w:left="567" w:hanging="567"/>
        <w:jc w:val="both"/>
      </w:pPr>
      <w:r w:rsidRPr="00A07B1C">
        <w:t>5.9</w:t>
      </w:r>
      <w:r w:rsidRPr="00A07B1C">
        <w:tab/>
      </w:r>
      <w:r w:rsidRPr="00A07B1C">
        <w:rPr>
          <w:b/>
          <w:i/>
        </w:rPr>
        <w:t xml:space="preserve">Decline in the allocation for the Investment South Africa Programme: </w:t>
      </w:r>
      <w:r w:rsidRPr="00A07B1C">
        <w:t xml:space="preserve">In the President’s SONA on 20 June 2019, he highlighted the importance of the need to increase and facilitate investment into South Africa. Notwithstanding this undertaking, the allocated funding for the Investment South Africa Programme had decreased from R83,8 million in the previous financial year to R58 million in the 2019/20 financial year. The Committee enquired about the rationale for this decrease given the critical role of the programme in facilitating and promoting both local and foreign direct investment to stimulate the domestic economic recovery. The DTI informed the Committee that the initial allocation for the programme in the 2018/19 financial year had been R53,8 million. In October 2018, an additional amount of R30 million had been shifted from </w:t>
      </w:r>
      <w:r w:rsidR="008F1DDB">
        <w:t xml:space="preserve">the </w:t>
      </w:r>
      <w:r w:rsidRPr="00A07B1C">
        <w:t>I</w:t>
      </w:r>
      <w:r w:rsidR="008F1DDB">
        <w:t xml:space="preserve">ncentive </w:t>
      </w:r>
      <w:r w:rsidRPr="00A07B1C">
        <w:t>D</w:t>
      </w:r>
      <w:r w:rsidR="008F1DDB">
        <w:t xml:space="preserve">evelopment and </w:t>
      </w:r>
      <w:r w:rsidRPr="00A07B1C">
        <w:t>A</w:t>
      </w:r>
      <w:r w:rsidR="008F1DDB">
        <w:t xml:space="preserve">dministration Programme </w:t>
      </w:r>
      <w:r w:rsidRPr="00A07B1C">
        <w:t xml:space="preserve">to </w:t>
      </w:r>
      <w:r w:rsidR="008F1DDB">
        <w:lastRenderedPageBreak/>
        <w:t xml:space="preserve">the </w:t>
      </w:r>
      <w:r w:rsidRPr="00A07B1C">
        <w:t>I</w:t>
      </w:r>
      <w:r w:rsidR="008F1DDB">
        <w:t xml:space="preserve">nvestment </w:t>
      </w:r>
      <w:r w:rsidRPr="00A07B1C">
        <w:t>S</w:t>
      </w:r>
      <w:r w:rsidR="008F1DDB">
        <w:t xml:space="preserve">outh </w:t>
      </w:r>
      <w:r w:rsidRPr="00A07B1C">
        <w:t>A</w:t>
      </w:r>
      <w:r w:rsidR="008F1DDB">
        <w:t>frica Programme</w:t>
      </w:r>
      <w:r w:rsidRPr="00A07B1C">
        <w:t xml:space="preserve"> for the roll-out of one-stop shops in the Eastern Cape, Free State and Mpumalanga for investment promotion, investor facilitation and aftercare support, as part of the Adjusted Estimates of National Expenditure</w:t>
      </w:r>
      <w:r w:rsidRPr="00A07B1C">
        <w:rPr>
          <w:rStyle w:val="FootnoteReference"/>
        </w:rPr>
        <w:footnoteReference w:id="37"/>
      </w:r>
      <w:r w:rsidRPr="00A07B1C">
        <w:t xml:space="preserve">. </w:t>
      </w:r>
    </w:p>
    <w:p w14:paraId="190FB39D" w14:textId="77777777" w:rsidR="000C471D" w:rsidRPr="00A07B1C" w:rsidRDefault="000C471D" w:rsidP="000C471D">
      <w:pPr>
        <w:pStyle w:val="ListParagraph"/>
        <w:spacing w:line="360" w:lineRule="auto"/>
        <w:ind w:left="567" w:hanging="567"/>
        <w:jc w:val="both"/>
      </w:pPr>
    </w:p>
    <w:p w14:paraId="0A6A5752" w14:textId="77777777" w:rsidR="000C471D" w:rsidRPr="00A07B1C" w:rsidRDefault="000C471D" w:rsidP="000C471D">
      <w:pPr>
        <w:pStyle w:val="ListParagraph"/>
        <w:spacing w:line="360" w:lineRule="auto"/>
        <w:ind w:left="567" w:hanging="567"/>
        <w:jc w:val="both"/>
      </w:pPr>
      <w:r w:rsidRPr="00A07B1C">
        <w:t>5.10</w:t>
      </w:r>
      <w:r w:rsidRPr="00A07B1C">
        <w:tab/>
      </w:r>
      <w:r w:rsidRPr="00A07B1C">
        <w:rPr>
          <w:b/>
          <w:i/>
        </w:rPr>
        <w:t>Budget allocation to the National Credit Regulator</w:t>
      </w:r>
      <w:r w:rsidR="008F1DDB">
        <w:rPr>
          <w:b/>
          <w:i/>
        </w:rPr>
        <w:t xml:space="preserve"> (NCR)</w:t>
      </w:r>
      <w:r w:rsidRPr="00A07B1C">
        <w:rPr>
          <w:b/>
          <w:i/>
        </w:rPr>
        <w:t>:</w:t>
      </w:r>
      <w:r w:rsidRPr="00A07B1C">
        <w:t xml:space="preserve"> The Committee in the Fifth Parliament highlighted that given the additional mandate of the NCR and its limited office space, its budget allocation should be increased. The Committee enquired whether consideration had been given to increasing the budget of the NCR given the importance of its mandate in the broader economy. With regard to the NCR, the DTI was of the view that currently there was no funding pressure. When the National Credit Amendment Bill is enacted and promulgated, the DTI would make provision for additional debt officers through the Adjustments Appropriation process.</w:t>
      </w:r>
    </w:p>
    <w:p w14:paraId="2CA48AA1" w14:textId="77777777" w:rsidR="000C471D" w:rsidRPr="00A07B1C" w:rsidRDefault="000C471D" w:rsidP="000C471D">
      <w:pPr>
        <w:pStyle w:val="ListParagraph"/>
        <w:spacing w:line="360" w:lineRule="auto"/>
        <w:ind w:left="567" w:hanging="567"/>
        <w:jc w:val="both"/>
      </w:pPr>
    </w:p>
    <w:p w14:paraId="3F6711EA" w14:textId="77777777" w:rsidR="000C471D" w:rsidRPr="00A07B1C" w:rsidRDefault="000C471D" w:rsidP="000C471D">
      <w:pPr>
        <w:pStyle w:val="ListParagraph"/>
        <w:spacing w:line="360" w:lineRule="auto"/>
        <w:ind w:left="567" w:hanging="567"/>
        <w:jc w:val="both"/>
      </w:pPr>
      <w:r w:rsidRPr="00A07B1C">
        <w:t>5.11</w:t>
      </w:r>
      <w:r w:rsidRPr="00A07B1C">
        <w:tab/>
      </w:r>
      <w:r w:rsidRPr="00A07B1C">
        <w:rPr>
          <w:b/>
          <w:i/>
        </w:rPr>
        <w:t>Budget</w:t>
      </w:r>
      <w:r w:rsidRPr="00A07B1C">
        <w:t xml:space="preserve"> </w:t>
      </w:r>
      <w:r w:rsidRPr="00A07B1C">
        <w:rPr>
          <w:b/>
          <w:i/>
        </w:rPr>
        <w:t>allocation to the</w:t>
      </w:r>
      <w:r w:rsidRPr="00A07B1C">
        <w:t xml:space="preserve"> </w:t>
      </w:r>
      <w:r w:rsidRPr="00A07B1C">
        <w:rPr>
          <w:b/>
          <w:i/>
        </w:rPr>
        <w:t>B-BBEE Commission:</w:t>
      </w:r>
      <w:r w:rsidRPr="00A07B1C">
        <w:rPr>
          <w:b/>
        </w:rPr>
        <w:t xml:space="preserve"> </w:t>
      </w:r>
      <w:r w:rsidRPr="00A07B1C">
        <w:t xml:space="preserve">The allocation of R61,7 million for the B-BBEE Commission was welcomed by the Committee. However, the Committee was concerned that the allocation would be insufficient for the Commission to achieve its mandate given the challenges it experienced in the previous financial year. The DTI informed the Committee that it was of the view that the allocation to the B-BBEE Commission was sufficient as it was not a listed entity. The DTI is </w:t>
      </w:r>
      <w:r w:rsidR="0053085F">
        <w:t xml:space="preserve">currently </w:t>
      </w:r>
      <w:r w:rsidRPr="00A07B1C">
        <w:t xml:space="preserve">providing the necessary administrative and other systems support to it. If the Commission becomes a listed entity, it would require additional funding to establish and operate its own administrative systems and functions. </w:t>
      </w:r>
    </w:p>
    <w:p w14:paraId="70270629" w14:textId="77777777" w:rsidR="000C471D" w:rsidRPr="00A07B1C" w:rsidRDefault="000C471D" w:rsidP="000C471D">
      <w:pPr>
        <w:pStyle w:val="ListParagraph"/>
        <w:spacing w:line="360" w:lineRule="auto"/>
        <w:ind w:left="567" w:hanging="567"/>
        <w:jc w:val="both"/>
      </w:pPr>
    </w:p>
    <w:p w14:paraId="24245007" w14:textId="77777777" w:rsidR="000C471D" w:rsidRPr="00A07B1C" w:rsidRDefault="000C471D" w:rsidP="000C471D">
      <w:pPr>
        <w:pStyle w:val="ListParagraph"/>
        <w:spacing w:line="360" w:lineRule="auto"/>
        <w:ind w:left="567" w:hanging="567"/>
        <w:jc w:val="both"/>
      </w:pPr>
      <w:r w:rsidRPr="00A07B1C">
        <w:t>5.12</w:t>
      </w:r>
      <w:r w:rsidRPr="00A07B1C">
        <w:tab/>
      </w:r>
      <w:r w:rsidRPr="00A07B1C">
        <w:rPr>
          <w:b/>
          <w:i/>
        </w:rPr>
        <w:t xml:space="preserve">The impact of the </w:t>
      </w:r>
      <w:r w:rsidR="008F1DDB">
        <w:rPr>
          <w:b/>
          <w:i/>
        </w:rPr>
        <w:t>B-BBEE</w:t>
      </w:r>
      <w:r w:rsidRPr="00A07B1C">
        <w:rPr>
          <w:b/>
          <w:i/>
        </w:rPr>
        <w:t xml:space="preserve"> policy in broadening the economic base</w:t>
      </w:r>
      <w:r w:rsidRPr="00A07B1C">
        <w:t xml:space="preserve">: While the Committee acknowledged the broad tenets of B-BBEE as a policy instrument aimed at broadening the economic base of the country to stimulate further economic growth and creating employment, it was of the view that the impact of the policy was not broad enough. This was based on the premise that the majority of the population were still excluded from the mainstream economy. The Minister acknowledged that there are some challenges in the implementation of the B-BBEE strategy. The initial implementation phase of the strategy had not been sufficiently inclusive and had focused on distributing wealth/ownership through share schemes. However, this created passive shareholders and had not fostered and developed an entrepreneurial base. </w:t>
      </w:r>
      <w:r w:rsidRPr="00A07B1C">
        <w:lastRenderedPageBreak/>
        <w:t>The second phase of the strategy was more broad-based and had some level of success with the inclusion of more women, youth and black South Africans. With regard to the third phase</w:t>
      </w:r>
      <w:r w:rsidR="0053085F">
        <w:t>,</w:t>
      </w:r>
      <w:r w:rsidRPr="00A07B1C">
        <w:t xml:space="preserve"> there was the recognition that black South Africans should be supported and assisted to build, own, and control companies to achieve real economic transformation. The investment in the Black Industrialist Programme (BIP) enabled a new generation of black industrialist to contribute to job creation, economic transformation and growth, and reduce income inequality. The Minister alluded that the next phase of economic transformation would focus on the empowerment of workers as they are co-wealth creators. The Competition Amendment Act (No. 18 of 2008), which would come into effect in 2019, has a provision that encourages worker-ownership arrangements with regard to mergers and acquisitions. The Competition authorities must</w:t>
      </w:r>
      <w:r w:rsidR="0053085F">
        <w:t>,</w:t>
      </w:r>
      <w:r w:rsidRPr="00A07B1C">
        <w:t xml:space="preserve"> among other</w:t>
      </w:r>
      <w:r w:rsidR="0053085F">
        <w:t>s,</w:t>
      </w:r>
      <w:r w:rsidRPr="00A07B1C">
        <w:t xml:space="preserve"> check whether the employee share ownership and participation levels are increasing or not.</w:t>
      </w:r>
    </w:p>
    <w:p w14:paraId="201EDD35" w14:textId="77777777" w:rsidR="000C471D" w:rsidRPr="00A07B1C" w:rsidRDefault="000C471D" w:rsidP="000C471D">
      <w:pPr>
        <w:pStyle w:val="ListParagraph"/>
        <w:spacing w:line="360" w:lineRule="auto"/>
        <w:ind w:left="567" w:hanging="567"/>
        <w:jc w:val="both"/>
      </w:pPr>
    </w:p>
    <w:p w14:paraId="5B190ABA" w14:textId="77777777" w:rsidR="000C471D" w:rsidRPr="00A07B1C" w:rsidRDefault="000C471D" w:rsidP="000C471D">
      <w:pPr>
        <w:pStyle w:val="ListParagraph"/>
        <w:spacing w:line="360" w:lineRule="auto"/>
        <w:ind w:left="567" w:hanging="567"/>
        <w:jc w:val="both"/>
      </w:pPr>
      <w:r w:rsidRPr="00A07B1C">
        <w:t>5.13</w:t>
      </w:r>
      <w:r w:rsidRPr="00A07B1C">
        <w:tab/>
      </w:r>
      <w:r w:rsidRPr="00A07B1C">
        <w:rPr>
          <w:b/>
          <w:i/>
        </w:rPr>
        <w:t>Income inequality:</w:t>
      </w:r>
      <w:r w:rsidRPr="00A07B1C">
        <w:t xml:space="preserve"> </w:t>
      </w:r>
      <w:r w:rsidR="00607FC5">
        <w:t xml:space="preserve">Given that </w:t>
      </w:r>
      <w:r w:rsidRPr="00A07B1C">
        <w:t xml:space="preserve">South Africa’s Gini-coefficient is among the highest in the world, the Committee was of the view that an urgent review of the impact of black economic empowerment is required to address this challenge. The Committee enquired what strategies the DTI was considering to address this anomaly to ensure an inclusive economy that would contribute to job creation and reduce income inequality. The Minister informed the Committee that one of the key objectives of government in the new administration is to develop a long-term strategy to deal with poverty and income inequality. The key measures to address this includes creating decent jobs, fostering entrepreneurship and maintaining a social safety net. The Minister undertook to provide the Committee with regular updates on progress made in this regard.  </w:t>
      </w:r>
    </w:p>
    <w:p w14:paraId="6ABD5E8E" w14:textId="77777777" w:rsidR="000C471D" w:rsidRPr="00A07B1C" w:rsidRDefault="000C471D" w:rsidP="000C471D">
      <w:pPr>
        <w:pStyle w:val="ListParagraph"/>
        <w:spacing w:line="360" w:lineRule="auto"/>
        <w:ind w:left="567" w:hanging="567"/>
        <w:jc w:val="both"/>
      </w:pPr>
    </w:p>
    <w:p w14:paraId="7DE15762" w14:textId="77777777" w:rsidR="000C471D" w:rsidRPr="00A07B1C" w:rsidRDefault="000C471D" w:rsidP="000C471D">
      <w:pPr>
        <w:pStyle w:val="ListParagraph"/>
        <w:spacing w:line="360" w:lineRule="auto"/>
        <w:ind w:left="567" w:hanging="567"/>
        <w:jc w:val="both"/>
      </w:pPr>
      <w:r w:rsidRPr="00A07B1C">
        <w:t>5.14</w:t>
      </w:r>
      <w:r w:rsidRPr="00A07B1C">
        <w:tab/>
      </w:r>
      <w:r w:rsidRPr="00A07B1C">
        <w:rPr>
          <w:b/>
          <w:i/>
        </w:rPr>
        <w:t>Black Industrialist Programme:</w:t>
      </w:r>
      <w:r w:rsidRPr="00A07B1C">
        <w:t xml:space="preserve"> The Committee considered the BIP as a key policy tool within the overall industrial strategy to achieve economic transformation. The BIP also seeks to address low levels of empowerment within the manufacturing sector through the inclusion of the previously disadvantaged black population into the mainstream economy. The Committee welcomed this investment as it would contribute to job creation, reduced income inequality, economic transformation and growth. The Committee queried what the level of support provided was post transfer of funds and how many of the 100 industrialists are still in operation. The DTI informed the Committee that although the Black Industrialists supported by government were facing economic challenges, they are all still in business and growing. </w:t>
      </w:r>
      <w:r w:rsidRPr="00A07B1C">
        <w:lastRenderedPageBreak/>
        <w:t>All approved Black Industrialists are monitored to assess their contribution to the strategic objectives of the policy. The DTI also informed the Committee that qualifying Black Industrialists had been subjected to a rigorous approval process to ensure their financial viability and that the DTI conducted site inspections at each claim stage before disbursement. A Black Industrialist forum was recently established to serve as a vehicle for collaboration and empowerment for these black industrial enterprises to grow to their full potential.</w:t>
      </w:r>
    </w:p>
    <w:p w14:paraId="48E236B9" w14:textId="77777777" w:rsidR="000C471D" w:rsidRPr="00A07B1C" w:rsidRDefault="000C471D" w:rsidP="000C471D">
      <w:pPr>
        <w:pStyle w:val="ListParagraph"/>
        <w:spacing w:line="360" w:lineRule="auto"/>
        <w:ind w:left="567" w:hanging="567"/>
        <w:jc w:val="both"/>
      </w:pPr>
    </w:p>
    <w:p w14:paraId="295A353E" w14:textId="77777777" w:rsidR="000C471D" w:rsidRPr="00A07B1C" w:rsidRDefault="000C471D" w:rsidP="000C471D">
      <w:pPr>
        <w:spacing w:line="360" w:lineRule="auto"/>
        <w:ind w:left="567" w:hanging="567"/>
        <w:jc w:val="both"/>
        <w:rPr>
          <w:rFonts w:ascii="Times New Roman" w:hAnsi="Times New Roman"/>
          <w:sz w:val="24"/>
          <w:szCs w:val="24"/>
        </w:rPr>
      </w:pPr>
      <w:r w:rsidRPr="00A07B1C">
        <w:rPr>
          <w:rFonts w:ascii="Times New Roman" w:hAnsi="Times New Roman"/>
          <w:sz w:val="24"/>
          <w:szCs w:val="24"/>
        </w:rPr>
        <w:t>5.15</w:t>
      </w:r>
      <w:r w:rsidRPr="00A07B1C">
        <w:rPr>
          <w:rFonts w:ascii="Times New Roman" w:hAnsi="Times New Roman"/>
          <w:sz w:val="24"/>
          <w:szCs w:val="24"/>
        </w:rPr>
        <w:tab/>
      </w:r>
      <w:r w:rsidRPr="00A07B1C">
        <w:rPr>
          <w:rFonts w:ascii="Times New Roman" w:hAnsi="Times New Roman"/>
          <w:b/>
          <w:i/>
          <w:sz w:val="24"/>
          <w:szCs w:val="24"/>
        </w:rPr>
        <w:t>Relevance of Key Performance Indicators (KPIs):</w:t>
      </w:r>
      <w:r w:rsidRPr="00A07B1C">
        <w:rPr>
          <w:rFonts w:ascii="Times New Roman" w:hAnsi="Times New Roman"/>
          <w:sz w:val="24"/>
          <w:szCs w:val="24"/>
        </w:rPr>
        <w:t xml:space="preserve">  Given that the KPIs are meant to measure whether a strategic objective is being met, the Committee enquired why the EDD KPIs focus on reports rather that the number of jobs created and the value of productive capital investment aligned to the strategic objectives. The Minister acknowledged that the current KPIs were not ideal. However, he explained that government departments were confined by the guidelines set out by the Office of the Auditor-General in that KPIs must be measurable and should be within the direct control of the department to be achieved. Therefore, a measure such as jobs created is not within EDD’s direct control and its contribution to this cannot be effectively determined due to the number of factors influencing this. However, he agreed that this system of measuring should be reviewed to determine whether there was a smarter way of measuring what matters.</w:t>
      </w:r>
    </w:p>
    <w:p w14:paraId="04B963CB" w14:textId="77777777" w:rsidR="000C471D" w:rsidRPr="00A07B1C" w:rsidRDefault="000C471D" w:rsidP="000C471D">
      <w:pPr>
        <w:spacing w:line="360" w:lineRule="auto"/>
        <w:ind w:left="567" w:hanging="567"/>
        <w:jc w:val="both"/>
        <w:rPr>
          <w:rFonts w:ascii="Times New Roman" w:hAnsi="Times New Roman"/>
          <w:sz w:val="24"/>
          <w:szCs w:val="24"/>
        </w:rPr>
      </w:pPr>
    </w:p>
    <w:p w14:paraId="5736152C" w14:textId="77777777" w:rsidR="000C471D" w:rsidRPr="00A07B1C" w:rsidRDefault="000C471D" w:rsidP="000C471D">
      <w:pPr>
        <w:spacing w:line="360" w:lineRule="auto"/>
        <w:ind w:left="567" w:hanging="567"/>
        <w:jc w:val="both"/>
        <w:rPr>
          <w:rFonts w:ascii="Times New Roman" w:hAnsi="Times New Roman"/>
          <w:sz w:val="24"/>
          <w:szCs w:val="24"/>
        </w:rPr>
      </w:pPr>
      <w:r w:rsidRPr="00A07B1C">
        <w:rPr>
          <w:rFonts w:ascii="Times New Roman" w:hAnsi="Times New Roman"/>
          <w:sz w:val="24"/>
          <w:szCs w:val="24"/>
        </w:rPr>
        <w:t>5.16</w:t>
      </w:r>
      <w:r w:rsidRPr="00A07B1C">
        <w:rPr>
          <w:rFonts w:ascii="Times New Roman" w:hAnsi="Times New Roman"/>
          <w:sz w:val="24"/>
          <w:szCs w:val="24"/>
        </w:rPr>
        <w:tab/>
      </w:r>
      <w:r w:rsidRPr="00A07B1C">
        <w:rPr>
          <w:rFonts w:ascii="Times New Roman" w:hAnsi="Times New Roman"/>
          <w:b/>
          <w:i/>
          <w:sz w:val="24"/>
          <w:szCs w:val="24"/>
        </w:rPr>
        <w:t>Legislative programme of the DTI and the EDD:</w:t>
      </w:r>
      <w:r w:rsidRPr="00A07B1C">
        <w:rPr>
          <w:rFonts w:ascii="Times New Roman" w:hAnsi="Times New Roman"/>
          <w:i/>
          <w:sz w:val="24"/>
          <w:szCs w:val="24"/>
        </w:rPr>
        <w:t xml:space="preserve"> </w:t>
      </w:r>
      <w:r w:rsidRPr="00A07B1C">
        <w:rPr>
          <w:rFonts w:ascii="Times New Roman" w:hAnsi="Times New Roman"/>
          <w:sz w:val="24"/>
          <w:szCs w:val="24"/>
        </w:rPr>
        <w:t xml:space="preserve">In the Fifth Parliament, a number of Bills were introduced at the tail-end which placed enormous pressure on Parliament to process these Bills. Some of these Bills were complex and required thorough engagement with experts as well as the public. The Bills still outstanding from the Fifth Parliament are the amendments to the National Credit Act, the National Gambling Act, and the Liquor Act. The Committee expressed its concern that it would appear that only one piece of legislation would be tabled in this financial year. The Minister informed the Committee that he noted the concern but that they are in the process of assessing which Bills are necessary and appropriate to complete in the new administration. The Departments do not intend to bring poorly conceived legislation for consideration by Parliament and would endeavour to provide adequate time to develop and process these within the five-year period. Parliament would be informed about upcoming legislation at the end of this process.  </w:t>
      </w:r>
    </w:p>
    <w:p w14:paraId="50D71C30" w14:textId="77777777" w:rsidR="000C471D" w:rsidRPr="00A07B1C" w:rsidRDefault="000C471D" w:rsidP="000C471D">
      <w:pPr>
        <w:spacing w:line="360" w:lineRule="auto"/>
        <w:ind w:left="567" w:hanging="567"/>
        <w:jc w:val="both"/>
        <w:rPr>
          <w:rFonts w:ascii="Times New Roman" w:hAnsi="Times New Roman"/>
          <w:sz w:val="24"/>
          <w:szCs w:val="24"/>
        </w:rPr>
      </w:pPr>
    </w:p>
    <w:p w14:paraId="67614A28" w14:textId="77777777" w:rsidR="000C471D" w:rsidRPr="00A07B1C" w:rsidRDefault="000C471D" w:rsidP="000C471D">
      <w:pPr>
        <w:spacing w:line="360" w:lineRule="auto"/>
        <w:ind w:left="567" w:hanging="567"/>
        <w:jc w:val="both"/>
        <w:rPr>
          <w:rFonts w:ascii="Times New Roman" w:hAnsi="Times New Roman"/>
          <w:sz w:val="24"/>
          <w:szCs w:val="24"/>
        </w:rPr>
      </w:pPr>
      <w:r w:rsidRPr="00A07B1C">
        <w:rPr>
          <w:rFonts w:ascii="Times New Roman" w:hAnsi="Times New Roman"/>
          <w:sz w:val="24"/>
          <w:szCs w:val="24"/>
        </w:rPr>
        <w:t>5.17</w:t>
      </w:r>
      <w:r w:rsidRPr="00A07B1C">
        <w:rPr>
          <w:rFonts w:ascii="Times New Roman" w:hAnsi="Times New Roman"/>
          <w:sz w:val="24"/>
          <w:szCs w:val="24"/>
        </w:rPr>
        <w:tab/>
      </w:r>
      <w:r w:rsidRPr="00A07B1C">
        <w:rPr>
          <w:rFonts w:ascii="Times New Roman" w:hAnsi="Times New Roman"/>
          <w:b/>
          <w:i/>
          <w:sz w:val="24"/>
          <w:szCs w:val="24"/>
        </w:rPr>
        <w:t xml:space="preserve">Suspensions within the </w:t>
      </w:r>
      <w:r w:rsidR="008F1DDB">
        <w:rPr>
          <w:rFonts w:ascii="Times New Roman" w:hAnsi="Times New Roman"/>
          <w:b/>
          <w:i/>
          <w:sz w:val="24"/>
          <w:szCs w:val="24"/>
        </w:rPr>
        <w:t>DTI</w:t>
      </w:r>
      <w:r w:rsidRPr="00A07B1C">
        <w:rPr>
          <w:rFonts w:ascii="Times New Roman" w:hAnsi="Times New Roman"/>
          <w:b/>
          <w:i/>
          <w:sz w:val="24"/>
          <w:szCs w:val="24"/>
        </w:rPr>
        <w:t xml:space="preserve">: </w:t>
      </w:r>
      <w:r w:rsidRPr="00A07B1C">
        <w:rPr>
          <w:rFonts w:ascii="Times New Roman" w:hAnsi="Times New Roman"/>
          <w:sz w:val="24"/>
          <w:szCs w:val="24"/>
        </w:rPr>
        <w:t>In the DTI’s Annual Performance Plan, it highlighted that three staff members were suspended. The Committee enquired about the reasons for the suspension</w:t>
      </w:r>
      <w:r w:rsidR="006D58A7">
        <w:rPr>
          <w:rFonts w:ascii="Times New Roman" w:hAnsi="Times New Roman"/>
          <w:sz w:val="24"/>
          <w:szCs w:val="24"/>
        </w:rPr>
        <w:t>s</w:t>
      </w:r>
      <w:r w:rsidRPr="00A07B1C">
        <w:rPr>
          <w:rFonts w:ascii="Times New Roman" w:hAnsi="Times New Roman"/>
          <w:sz w:val="24"/>
          <w:szCs w:val="24"/>
        </w:rPr>
        <w:t>, and the roles and functions performed by those suspended. The DTI informed the Committee that it has a zero tolerance policy around fraud and corruption and is committed to acting swiftly on any allegations in this regard. The position of a Director for the Export, Marketing and Investment Assistance</w:t>
      </w:r>
      <w:r w:rsidR="008F1DDB">
        <w:rPr>
          <w:rFonts w:ascii="Times New Roman" w:hAnsi="Times New Roman"/>
          <w:sz w:val="24"/>
          <w:szCs w:val="24"/>
        </w:rPr>
        <w:t xml:space="preserve"> (EMIA)</w:t>
      </w:r>
      <w:r w:rsidRPr="00A07B1C">
        <w:rPr>
          <w:rFonts w:ascii="Times New Roman" w:hAnsi="Times New Roman"/>
          <w:sz w:val="24"/>
          <w:szCs w:val="24"/>
        </w:rPr>
        <w:t>, of a Trade and Industry Advisor</w:t>
      </w:r>
      <w:r w:rsidR="008F1DDB">
        <w:rPr>
          <w:rFonts w:ascii="Times New Roman" w:hAnsi="Times New Roman"/>
          <w:sz w:val="24"/>
          <w:szCs w:val="24"/>
        </w:rPr>
        <w:t xml:space="preserve"> for the EMIA</w:t>
      </w:r>
      <w:r w:rsidRPr="00A07B1C">
        <w:rPr>
          <w:rFonts w:ascii="Times New Roman" w:hAnsi="Times New Roman"/>
          <w:sz w:val="24"/>
          <w:szCs w:val="24"/>
        </w:rPr>
        <w:t>, and of the Chief Information Officer were affected.</w:t>
      </w:r>
    </w:p>
    <w:p w14:paraId="1A66CFE1" w14:textId="77777777" w:rsidR="00DC567C" w:rsidRPr="00A07B1C" w:rsidRDefault="000C471D" w:rsidP="000C471D">
      <w:pPr>
        <w:spacing w:line="360" w:lineRule="auto"/>
        <w:ind w:left="567" w:hanging="567"/>
        <w:jc w:val="both"/>
        <w:rPr>
          <w:rFonts w:ascii="Times New Roman" w:hAnsi="Times New Roman"/>
          <w:sz w:val="24"/>
          <w:szCs w:val="24"/>
        </w:rPr>
      </w:pPr>
      <w:r w:rsidRPr="00A07B1C">
        <w:rPr>
          <w:rFonts w:ascii="Times New Roman" w:hAnsi="Times New Roman"/>
          <w:sz w:val="24"/>
          <w:szCs w:val="24"/>
        </w:rPr>
        <w:t xml:space="preserve"> </w:t>
      </w:r>
    </w:p>
    <w:p w14:paraId="75419B10" w14:textId="77777777" w:rsidR="006A7D0D" w:rsidRPr="00A07B1C" w:rsidRDefault="006A7D0D" w:rsidP="00E40757">
      <w:pPr>
        <w:numPr>
          <w:ilvl w:val="0"/>
          <w:numId w:val="6"/>
        </w:numPr>
        <w:spacing w:line="360" w:lineRule="auto"/>
        <w:jc w:val="both"/>
        <w:rPr>
          <w:rFonts w:ascii="Times New Roman" w:hAnsi="Times New Roman"/>
          <w:b/>
          <w:sz w:val="24"/>
          <w:szCs w:val="24"/>
        </w:rPr>
      </w:pPr>
      <w:r w:rsidRPr="00A07B1C">
        <w:rPr>
          <w:rFonts w:ascii="Times New Roman" w:hAnsi="Times New Roman"/>
          <w:b/>
          <w:sz w:val="24"/>
          <w:szCs w:val="24"/>
        </w:rPr>
        <w:t>Conclusion</w:t>
      </w:r>
      <w:r w:rsidR="00CB29CD" w:rsidRPr="00A07B1C">
        <w:rPr>
          <w:rFonts w:ascii="Times New Roman" w:hAnsi="Times New Roman"/>
          <w:b/>
          <w:sz w:val="24"/>
          <w:szCs w:val="24"/>
        </w:rPr>
        <w:t>s</w:t>
      </w:r>
    </w:p>
    <w:p w14:paraId="70E6BB15" w14:textId="77777777" w:rsidR="006A7D0D" w:rsidRPr="00A07B1C" w:rsidRDefault="006A7D0D" w:rsidP="00E40757">
      <w:pPr>
        <w:pStyle w:val="BodyText"/>
        <w:spacing w:line="360" w:lineRule="auto"/>
        <w:jc w:val="both"/>
        <w:rPr>
          <w:rFonts w:ascii="Times New Roman" w:hAnsi="Times New Roman" w:cs="Times New Roman"/>
          <w:b/>
          <w:bCs/>
          <w:sz w:val="24"/>
          <w:szCs w:val="24"/>
          <w:lang w:val="en-GB"/>
        </w:rPr>
      </w:pPr>
    </w:p>
    <w:p w14:paraId="5EA401A6" w14:textId="77777777" w:rsidR="00600968" w:rsidRPr="00A07B1C" w:rsidRDefault="00600968" w:rsidP="00600968">
      <w:pPr>
        <w:spacing w:line="360" w:lineRule="auto"/>
        <w:jc w:val="both"/>
        <w:rPr>
          <w:rFonts w:ascii="Times New Roman" w:hAnsi="Times New Roman"/>
          <w:sz w:val="24"/>
          <w:szCs w:val="24"/>
        </w:rPr>
      </w:pPr>
      <w:r w:rsidRPr="00A07B1C">
        <w:rPr>
          <w:rFonts w:ascii="Times New Roman" w:hAnsi="Times New Roman"/>
          <w:sz w:val="24"/>
          <w:szCs w:val="24"/>
        </w:rPr>
        <w:t>Having considered the information shared and reports from the Department</w:t>
      </w:r>
      <w:r w:rsidR="008F72E3">
        <w:rPr>
          <w:rFonts w:ascii="Times New Roman" w:hAnsi="Times New Roman"/>
          <w:sz w:val="24"/>
          <w:szCs w:val="24"/>
        </w:rPr>
        <w:t>s</w:t>
      </w:r>
      <w:r w:rsidRPr="00A07B1C">
        <w:rPr>
          <w:rFonts w:ascii="Times New Roman" w:hAnsi="Times New Roman"/>
          <w:sz w:val="24"/>
          <w:szCs w:val="24"/>
        </w:rPr>
        <w:t xml:space="preserve"> of Trade and Industry and </w:t>
      </w:r>
      <w:r w:rsidR="008F72E3">
        <w:rPr>
          <w:rFonts w:ascii="Times New Roman" w:hAnsi="Times New Roman"/>
          <w:sz w:val="24"/>
          <w:szCs w:val="24"/>
        </w:rPr>
        <w:t xml:space="preserve">of </w:t>
      </w:r>
      <w:r w:rsidRPr="00A07B1C">
        <w:rPr>
          <w:rFonts w:ascii="Times New Roman" w:hAnsi="Times New Roman"/>
          <w:sz w:val="24"/>
          <w:szCs w:val="24"/>
        </w:rPr>
        <w:t>Economic Development and its entities with respect to their annual performance plans, the Committee has reached the following conclusions:</w:t>
      </w:r>
    </w:p>
    <w:p w14:paraId="54E0223B" w14:textId="77777777" w:rsidR="006A7D0D" w:rsidRPr="00A07B1C" w:rsidRDefault="006A7D0D" w:rsidP="00E40757">
      <w:pPr>
        <w:pStyle w:val="ListParagraph"/>
        <w:spacing w:line="360" w:lineRule="auto"/>
        <w:ind w:left="0"/>
        <w:jc w:val="both"/>
      </w:pPr>
    </w:p>
    <w:p w14:paraId="358E24F9" w14:textId="77777777" w:rsidR="00600968" w:rsidRDefault="00600968" w:rsidP="00600968">
      <w:pPr>
        <w:pStyle w:val="ListParagraph"/>
        <w:numPr>
          <w:ilvl w:val="1"/>
          <w:numId w:val="33"/>
        </w:numPr>
        <w:spacing w:line="360" w:lineRule="auto"/>
        <w:ind w:left="567" w:hanging="567"/>
        <w:contextualSpacing/>
        <w:jc w:val="both"/>
      </w:pPr>
      <w:r w:rsidRPr="00A07B1C">
        <w:t>While the Committee acknowledged the uncertainty regarding the merger between the two departments, it is of the view that these share a number of synergies and can strengthen each other’s mandates to improve economic policy certainty, particularly in terms of economic transformation, investment promotion and facilitation and job creation. The Committee looks forward to a reviewed organisational structure and annual performance plan to improve alignment with government’s objectives.</w:t>
      </w:r>
    </w:p>
    <w:p w14:paraId="292D41BF" w14:textId="77777777" w:rsidR="00F3677A" w:rsidRPr="00A07B1C" w:rsidRDefault="00F3677A" w:rsidP="00F3677A">
      <w:pPr>
        <w:pStyle w:val="ListParagraph"/>
        <w:spacing w:line="360" w:lineRule="auto"/>
        <w:ind w:left="567"/>
        <w:contextualSpacing/>
        <w:jc w:val="both"/>
      </w:pPr>
    </w:p>
    <w:p w14:paraId="483FF555" w14:textId="77777777" w:rsidR="00600968" w:rsidRDefault="00600968" w:rsidP="00600968">
      <w:pPr>
        <w:pStyle w:val="ListParagraph"/>
        <w:numPr>
          <w:ilvl w:val="1"/>
          <w:numId w:val="33"/>
        </w:numPr>
        <w:spacing w:line="360" w:lineRule="auto"/>
        <w:ind w:left="567" w:hanging="567"/>
        <w:contextualSpacing/>
        <w:jc w:val="both"/>
      </w:pPr>
      <w:r w:rsidRPr="00A07B1C">
        <w:t>The Committee welcomed government’s initiatives to regenerate the domestic economy, with priority productive sectors through the new envisaged industrial strategy and focused allocations to support industrial competitiveness. It also supported that the Departments adopt a more evidence-based approach in developing this strategy.</w:t>
      </w:r>
    </w:p>
    <w:p w14:paraId="58B39984" w14:textId="77777777" w:rsidR="00F3677A" w:rsidRPr="00A07B1C" w:rsidRDefault="00F3677A" w:rsidP="00F3677A">
      <w:pPr>
        <w:spacing w:line="360" w:lineRule="auto"/>
        <w:contextualSpacing/>
        <w:jc w:val="both"/>
      </w:pPr>
    </w:p>
    <w:p w14:paraId="7D153C69" w14:textId="77777777" w:rsidR="00600968" w:rsidRDefault="00600968" w:rsidP="00600968">
      <w:pPr>
        <w:pStyle w:val="ListParagraph"/>
        <w:numPr>
          <w:ilvl w:val="1"/>
          <w:numId w:val="33"/>
        </w:numPr>
        <w:spacing w:line="360" w:lineRule="auto"/>
        <w:ind w:left="567" w:hanging="567"/>
        <w:contextualSpacing/>
        <w:jc w:val="both"/>
      </w:pPr>
      <w:r w:rsidRPr="00A07B1C">
        <w:t xml:space="preserve">There is a recognition that industrial policy is cross-cutting and that coordination across departments is critical for its successful implementation. In this regard, efforts to ensure policy coherence and certainty is necessary to attract domestic and foreign direct investment to achieve inclusive economic growth and decent job creation. </w:t>
      </w:r>
    </w:p>
    <w:p w14:paraId="32BB71B8" w14:textId="77777777" w:rsidR="00F3677A" w:rsidRPr="00A07B1C" w:rsidRDefault="00F3677A" w:rsidP="00F3677A">
      <w:pPr>
        <w:spacing w:line="360" w:lineRule="auto"/>
        <w:contextualSpacing/>
        <w:jc w:val="both"/>
      </w:pPr>
    </w:p>
    <w:p w14:paraId="5C067722" w14:textId="77777777" w:rsidR="00600968" w:rsidRDefault="00600968" w:rsidP="00600968">
      <w:pPr>
        <w:pStyle w:val="ListParagraph"/>
        <w:numPr>
          <w:ilvl w:val="1"/>
          <w:numId w:val="33"/>
        </w:numPr>
        <w:spacing w:line="360" w:lineRule="auto"/>
        <w:ind w:left="567" w:hanging="567"/>
        <w:contextualSpacing/>
        <w:jc w:val="both"/>
      </w:pPr>
      <w:r w:rsidRPr="00A07B1C">
        <w:t xml:space="preserve">A strong social compact between the government, the private sector and labour cannot be underestimated in terms of creating a sustainable economy. Each party must contribute by </w:t>
      </w:r>
      <w:r w:rsidRPr="00A07B1C">
        <w:lastRenderedPageBreak/>
        <w:t xml:space="preserve">providing an enabling regulatory environment, investment and increased productivity respectively. </w:t>
      </w:r>
    </w:p>
    <w:p w14:paraId="7F1544A4" w14:textId="77777777" w:rsidR="00F3677A" w:rsidRPr="00A07B1C" w:rsidRDefault="00F3677A" w:rsidP="00F3677A">
      <w:pPr>
        <w:spacing w:line="360" w:lineRule="auto"/>
        <w:contextualSpacing/>
        <w:jc w:val="both"/>
      </w:pPr>
    </w:p>
    <w:p w14:paraId="6DF739FE" w14:textId="77777777" w:rsidR="00600968" w:rsidRDefault="00600968" w:rsidP="00600968">
      <w:pPr>
        <w:pStyle w:val="ListParagraph"/>
        <w:numPr>
          <w:ilvl w:val="1"/>
          <w:numId w:val="33"/>
        </w:numPr>
        <w:spacing w:line="360" w:lineRule="auto"/>
        <w:ind w:left="567" w:hanging="567"/>
        <w:contextualSpacing/>
        <w:jc w:val="both"/>
      </w:pPr>
      <w:r w:rsidRPr="00A07B1C">
        <w:t>While the Committee acknowledged the Departments’ initiatives to facilitate the ease of doing business, such as the establishment and roll-out of One-Stop Shops, it was of the view that the Ministry should review initiatives to ensure their efficacy.</w:t>
      </w:r>
    </w:p>
    <w:p w14:paraId="4078AD33" w14:textId="77777777" w:rsidR="00F3677A" w:rsidRPr="00A07B1C" w:rsidRDefault="00F3677A" w:rsidP="00F3677A">
      <w:pPr>
        <w:spacing w:line="360" w:lineRule="auto"/>
        <w:contextualSpacing/>
        <w:jc w:val="both"/>
      </w:pPr>
    </w:p>
    <w:p w14:paraId="709954F7" w14:textId="77777777" w:rsidR="00600968" w:rsidRDefault="00600968" w:rsidP="00600968">
      <w:pPr>
        <w:pStyle w:val="ListParagraph"/>
        <w:numPr>
          <w:ilvl w:val="1"/>
          <w:numId w:val="33"/>
        </w:numPr>
        <w:spacing w:line="360" w:lineRule="auto"/>
        <w:ind w:left="567" w:hanging="567"/>
        <w:contextualSpacing/>
        <w:jc w:val="both"/>
      </w:pPr>
      <w:r w:rsidRPr="00A07B1C">
        <w:t>Although the tariff for sugar has been increased, the Committee remains concerned about the sustainability of the sugar industry and its impact on small-scale cane growers. The Committee welcomed the Minister’s endeavours to develop an appropriate long-term strategy to ensure a sustainable sugar industry.</w:t>
      </w:r>
    </w:p>
    <w:p w14:paraId="455D86F5" w14:textId="77777777" w:rsidR="00F3677A" w:rsidRPr="00A07B1C" w:rsidRDefault="00F3677A" w:rsidP="00F3677A">
      <w:pPr>
        <w:spacing w:line="360" w:lineRule="auto"/>
        <w:contextualSpacing/>
        <w:jc w:val="both"/>
      </w:pPr>
    </w:p>
    <w:p w14:paraId="300F4F54" w14:textId="77777777" w:rsidR="00600968" w:rsidRDefault="00600968" w:rsidP="00600968">
      <w:pPr>
        <w:pStyle w:val="ListParagraph"/>
        <w:numPr>
          <w:ilvl w:val="1"/>
          <w:numId w:val="33"/>
        </w:numPr>
        <w:spacing w:line="360" w:lineRule="auto"/>
        <w:ind w:left="567" w:hanging="567"/>
        <w:contextualSpacing/>
        <w:jc w:val="both"/>
      </w:pPr>
      <w:r w:rsidRPr="00A07B1C">
        <w:t>The Committee was encouraged by the reported progress in addressing audit challenges facing the National Regulator for Compulsory Specifications and the South African Bureau of Standards, as these entities play a critical role in enabling industrialisation and trade as well as ensuring consumer and environmental protection. The DTI should report on the outcome of the interventions to address the Auditor-General’s findings on a quarterly basis to ensure that these entities are on a path to a clean audit.</w:t>
      </w:r>
    </w:p>
    <w:p w14:paraId="566319B0" w14:textId="77777777" w:rsidR="00F3677A" w:rsidRPr="00A07B1C" w:rsidRDefault="00F3677A" w:rsidP="00F3677A">
      <w:pPr>
        <w:spacing w:line="360" w:lineRule="auto"/>
        <w:contextualSpacing/>
        <w:jc w:val="both"/>
      </w:pPr>
    </w:p>
    <w:p w14:paraId="32DD5C6A" w14:textId="77777777" w:rsidR="00600968" w:rsidRDefault="00600968" w:rsidP="00600968">
      <w:pPr>
        <w:pStyle w:val="ListParagraph"/>
        <w:numPr>
          <w:ilvl w:val="1"/>
          <w:numId w:val="33"/>
        </w:numPr>
        <w:spacing w:line="360" w:lineRule="auto"/>
        <w:ind w:left="567" w:hanging="567"/>
        <w:contextualSpacing/>
        <w:jc w:val="both"/>
      </w:pPr>
      <w:r w:rsidRPr="00A07B1C">
        <w:t>The Committee recognised all efforts to strengthen intra-African trade and integration through the conclusion of the African Continental and Tripartite Free Trade Areas. This provides the foundation for African economic integration and increase intra-African trade that would benefit the South African economy. The Committee awaits the finalisation of the relevant annexes that would underpin these arrangements, such as the rules of origins and the schedules for tariff concessions.</w:t>
      </w:r>
    </w:p>
    <w:p w14:paraId="712F226D" w14:textId="77777777" w:rsidR="00F3677A" w:rsidRPr="00A07B1C" w:rsidRDefault="00F3677A" w:rsidP="00F3677A">
      <w:pPr>
        <w:spacing w:line="360" w:lineRule="auto"/>
        <w:contextualSpacing/>
        <w:jc w:val="both"/>
      </w:pPr>
    </w:p>
    <w:p w14:paraId="38489A39" w14:textId="77777777" w:rsidR="00600968" w:rsidRDefault="00600968" w:rsidP="00600968">
      <w:pPr>
        <w:pStyle w:val="ListParagraph"/>
        <w:numPr>
          <w:ilvl w:val="1"/>
          <w:numId w:val="33"/>
        </w:numPr>
        <w:spacing w:line="360" w:lineRule="auto"/>
        <w:ind w:left="567" w:hanging="567"/>
        <w:contextualSpacing/>
        <w:jc w:val="both"/>
      </w:pPr>
      <w:r w:rsidRPr="00A07B1C">
        <w:t>The Committee is encouraged to see ongoing negotiations with the United Kingdom, as it finalises its exit from the European Union, that would ensure a bilateral agreement beneficial for South Africa and members of Southern African Customs Union.</w:t>
      </w:r>
    </w:p>
    <w:p w14:paraId="54514277" w14:textId="77777777" w:rsidR="00F3677A" w:rsidRPr="00A07B1C" w:rsidRDefault="00F3677A" w:rsidP="00F3677A">
      <w:pPr>
        <w:spacing w:line="360" w:lineRule="auto"/>
        <w:contextualSpacing/>
        <w:jc w:val="both"/>
      </w:pPr>
    </w:p>
    <w:p w14:paraId="4C6FAD31" w14:textId="77777777" w:rsidR="00600968" w:rsidRPr="00A07B1C" w:rsidRDefault="00600968" w:rsidP="00600968">
      <w:pPr>
        <w:pStyle w:val="ListParagraph"/>
        <w:numPr>
          <w:ilvl w:val="1"/>
          <w:numId w:val="33"/>
        </w:numPr>
        <w:spacing w:line="360" w:lineRule="auto"/>
        <w:ind w:left="567" w:hanging="567"/>
        <w:contextualSpacing/>
        <w:jc w:val="both"/>
      </w:pPr>
      <w:r w:rsidRPr="00A07B1C">
        <w:t>Deepening economic transformation is imperative to alleviate income inequality among previously disadvantaged black people. The Committee welcomed the phased approach being taken with the B-BBEE policy and was especially encouraged by the progress that had been made with the first 100 black industrialists thus far.</w:t>
      </w:r>
    </w:p>
    <w:p w14:paraId="73540218" w14:textId="77777777" w:rsidR="0051112C" w:rsidRPr="00A07B1C" w:rsidRDefault="006A7D0D" w:rsidP="00E40757">
      <w:pPr>
        <w:pStyle w:val="ListParagraph"/>
        <w:spacing w:line="360" w:lineRule="auto"/>
        <w:ind w:hanging="720"/>
        <w:jc w:val="both"/>
      </w:pPr>
      <w:r w:rsidRPr="00A07B1C">
        <w:t xml:space="preserve"> </w:t>
      </w:r>
    </w:p>
    <w:p w14:paraId="78E155FD" w14:textId="77777777" w:rsidR="006A7D0D" w:rsidRPr="00A07B1C" w:rsidRDefault="006A7D0D" w:rsidP="00E40757">
      <w:pPr>
        <w:numPr>
          <w:ilvl w:val="0"/>
          <w:numId w:val="6"/>
        </w:numPr>
        <w:spacing w:line="360" w:lineRule="auto"/>
        <w:jc w:val="both"/>
        <w:rPr>
          <w:rFonts w:ascii="Times New Roman" w:hAnsi="Times New Roman"/>
          <w:b/>
          <w:sz w:val="24"/>
          <w:szCs w:val="24"/>
        </w:rPr>
      </w:pPr>
      <w:r w:rsidRPr="00A07B1C">
        <w:rPr>
          <w:rFonts w:ascii="Times New Roman" w:hAnsi="Times New Roman"/>
          <w:b/>
          <w:sz w:val="24"/>
          <w:szCs w:val="24"/>
        </w:rPr>
        <w:lastRenderedPageBreak/>
        <w:t>Acknowledgements</w:t>
      </w:r>
    </w:p>
    <w:p w14:paraId="77ACD41A" w14:textId="77777777" w:rsidR="006A7D0D" w:rsidRPr="00A07B1C" w:rsidRDefault="006A7D0D" w:rsidP="00E40757">
      <w:pPr>
        <w:pStyle w:val="BodyText"/>
        <w:spacing w:line="360" w:lineRule="auto"/>
        <w:jc w:val="both"/>
        <w:rPr>
          <w:rFonts w:ascii="Times New Roman" w:hAnsi="Times New Roman" w:cs="Times New Roman"/>
          <w:bCs/>
          <w:sz w:val="24"/>
          <w:szCs w:val="24"/>
          <w:lang w:val="en-GB"/>
        </w:rPr>
      </w:pPr>
    </w:p>
    <w:p w14:paraId="3C51D9C3" w14:textId="77777777" w:rsidR="00266FB3" w:rsidRPr="00A07B1C" w:rsidRDefault="00266FB3" w:rsidP="00E40757">
      <w:pPr>
        <w:spacing w:line="360" w:lineRule="auto"/>
        <w:jc w:val="both"/>
        <w:rPr>
          <w:rFonts w:ascii="Times New Roman" w:hAnsi="Times New Roman"/>
          <w:sz w:val="24"/>
          <w:szCs w:val="24"/>
        </w:rPr>
      </w:pPr>
      <w:r w:rsidRPr="00A07B1C">
        <w:rPr>
          <w:rFonts w:ascii="Times New Roman" w:hAnsi="Times New Roman"/>
          <w:sz w:val="24"/>
          <w:szCs w:val="24"/>
        </w:rPr>
        <w:t xml:space="preserve">The Committee would like to thank </w:t>
      </w:r>
      <w:r w:rsidR="00CE60C9" w:rsidRPr="00A07B1C">
        <w:rPr>
          <w:rFonts w:ascii="Times New Roman" w:hAnsi="Times New Roman"/>
          <w:sz w:val="24"/>
          <w:szCs w:val="24"/>
        </w:rPr>
        <w:t xml:space="preserve">Mr E Patel, </w:t>
      </w:r>
      <w:r w:rsidRPr="00A07B1C">
        <w:rPr>
          <w:rFonts w:ascii="Times New Roman" w:hAnsi="Times New Roman"/>
          <w:sz w:val="24"/>
          <w:szCs w:val="24"/>
        </w:rPr>
        <w:t xml:space="preserve">the Minister of Trade and Industry, </w:t>
      </w:r>
      <w:r w:rsidR="00CE60C9" w:rsidRPr="00A07B1C">
        <w:rPr>
          <w:rFonts w:ascii="Times New Roman" w:hAnsi="Times New Roman"/>
          <w:sz w:val="24"/>
          <w:szCs w:val="24"/>
        </w:rPr>
        <w:t>Mr L October,</w:t>
      </w:r>
      <w:r w:rsidR="00CE60C9">
        <w:rPr>
          <w:rFonts w:ascii="Times New Roman" w:hAnsi="Times New Roman"/>
          <w:sz w:val="24"/>
          <w:szCs w:val="24"/>
        </w:rPr>
        <w:t xml:space="preserve"> </w:t>
      </w:r>
      <w:r w:rsidRPr="00A07B1C">
        <w:rPr>
          <w:rFonts w:ascii="Times New Roman" w:hAnsi="Times New Roman"/>
          <w:sz w:val="24"/>
          <w:szCs w:val="24"/>
        </w:rPr>
        <w:t>the Director-General</w:t>
      </w:r>
      <w:r w:rsidR="00E40757" w:rsidRPr="00A07B1C">
        <w:rPr>
          <w:rFonts w:ascii="Times New Roman" w:hAnsi="Times New Roman"/>
          <w:sz w:val="24"/>
          <w:szCs w:val="24"/>
        </w:rPr>
        <w:t xml:space="preserve"> of Trade and Industry</w:t>
      </w:r>
      <w:r w:rsidR="00CE60C9">
        <w:rPr>
          <w:rFonts w:ascii="Times New Roman" w:hAnsi="Times New Roman"/>
          <w:sz w:val="24"/>
          <w:szCs w:val="24"/>
        </w:rPr>
        <w:t>, and</w:t>
      </w:r>
      <w:r w:rsidRPr="00A07B1C">
        <w:rPr>
          <w:rFonts w:ascii="Times New Roman" w:hAnsi="Times New Roman"/>
          <w:sz w:val="24"/>
          <w:szCs w:val="24"/>
        </w:rPr>
        <w:t xml:space="preserve"> </w:t>
      </w:r>
      <w:r w:rsidR="00CE60C9" w:rsidRPr="00A07B1C">
        <w:rPr>
          <w:rFonts w:ascii="Times New Roman" w:hAnsi="Times New Roman"/>
          <w:sz w:val="24"/>
          <w:szCs w:val="24"/>
        </w:rPr>
        <w:t>Dr M Tom</w:t>
      </w:r>
      <w:r w:rsidR="00CE60C9">
        <w:rPr>
          <w:rFonts w:ascii="Times New Roman" w:hAnsi="Times New Roman"/>
          <w:sz w:val="24"/>
          <w:szCs w:val="24"/>
        </w:rPr>
        <w:t>,</w:t>
      </w:r>
      <w:r w:rsidR="00CE60C9" w:rsidRPr="00A07B1C">
        <w:rPr>
          <w:rFonts w:ascii="Times New Roman" w:hAnsi="Times New Roman"/>
          <w:sz w:val="24"/>
          <w:szCs w:val="24"/>
        </w:rPr>
        <w:t xml:space="preserve"> </w:t>
      </w:r>
      <w:r w:rsidRPr="00A07B1C">
        <w:rPr>
          <w:rFonts w:ascii="Times New Roman" w:hAnsi="Times New Roman"/>
          <w:sz w:val="24"/>
          <w:szCs w:val="24"/>
        </w:rPr>
        <w:t xml:space="preserve">the acting </w:t>
      </w:r>
      <w:r w:rsidR="00673C45" w:rsidRPr="00A07B1C">
        <w:rPr>
          <w:rFonts w:ascii="Times New Roman" w:hAnsi="Times New Roman"/>
          <w:sz w:val="24"/>
          <w:szCs w:val="24"/>
        </w:rPr>
        <w:t>Director-General of the Economic Development Department</w:t>
      </w:r>
      <w:r w:rsidR="00466145" w:rsidRPr="00A07B1C">
        <w:rPr>
          <w:rFonts w:ascii="Times New Roman" w:hAnsi="Times New Roman"/>
          <w:sz w:val="24"/>
          <w:szCs w:val="24"/>
        </w:rPr>
        <w:t xml:space="preserve">, </w:t>
      </w:r>
      <w:r w:rsidRPr="00A07B1C">
        <w:rPr>
          <w:rFonts w:ascii="Times New Roman" w:hAnsi="Times New Roman"/>
          <w:sz w:val="24"/>
          <w:szCs w:val="24"/>
        </w:rPr>
        <w:t xml:space="preserve">for their cooperation and transparency during this process. </w:t>
      </w:r>
      <w:r w:rsidR="009702D3" w:rsidRPr="00A07B1C">
        <w:rPr>
          <w:rFonts w:ascii="Times New Roman" w:hAnsi="Times New Roman"/>
          <w:sz w:val="24"/>
          <w:szCs w:val="24"/>
        </w:rPr>
        <w:t xml:space="preserve">The Chairperson wishes to thank all Members of the Committee for their active participation during the process of engagement and deliberations and their constructive recommendations reflected in this report. </w:t>
      </w:r>
      <w:r w:rsidRPr="00A07B1C">
        <w:rPr>
          <w:rFonts w:ascii="Times New Roman" w:hAnsi="Times New Roman"/>
          <w:sz w:val="24"/>
          <w:szCs w:val="24"/>
        </w:rPr>
        <w:t xml:space="preserve">The Committee also wishes to thank its support staff, in particular </w:t>
      </w:r>
      <w:r w:rsidR="00CE60C9">
        <w:rPr>
          <w:rFonts w:ascii="Times New Roman" w:hAnsi="Times New Roman"/>
          <w:sz w:val="24"/>
          <w:szCs w:val="24"/>
        </w:rPr>
        <w:t>Mr A Hermans and Mr T Madima</w:t>
      </w:r>
      <w:r w:rsidR="00CE60C9" w:rsidRPr="00A07B1C">
        <w:rPr>
          <w:rFonts w:ascii="Times New Roman" w:hAnsi="Times New Roman"/>
          <w:sz w:val="24"/>
          <w:szCs w:val="24"/>
        </w:rPr>
        <w:t xml:space="preserve">, the </w:t>
      </w:r>
      <w:r w:rsidRPr="00A07B1C">
        <w:rPr>
          <w:rFonts w:ascii="Times New Roman" w:hAnsi="Times New Roman"/>
          <w:sz w:val="24"/>
          <w:szCs w:val="24"/>
        </w:rPr>
        <w:t>Commi</w:t>
      </w:r>
      <w:r w:rsidR="00CE60C9">
        <w:rPr>
          <w:rFonts w:ascii="Times New Roman" w:hAnsi="Times New Roman"/>
          <w:sz w:val="24"/>
          <w:szCs w:val="24"/>
        </w:rPr>
        <w:t xml:space="preserve">ttee Secretaries, </w:t>
      </w:r>
      <w:r w:rsidR="00CE60C9" w:rsidRPr="00A07B1C">
        <w:rPr>
          <w:rFonts w:ascii="Times New Roman" w:hAnsi="Times New Roman"/>
          <w:sz w:val="24"/>
          <w:szCs w:val="24"/>
        </w:rPr>
        <w:t xml:space="preserve">Ms M Sheldon, </w:t>
      </w:r>
      <w:r w:rsidRPr="00A07B1C">
        <w:rPr>
          <w:rFonts w:ascii="Times New Roman" w:hAnsi="Times New Roman"/>
          <w:sz w:val="24"/>
          <w:szCs w:val="24"/>
        </w:rPr>
        <w:t xml:space="preserve">the Content Advisor, </w:t>
      </w:r>
      <w:r w:rsidR="00CE60C9" w:rsidRPr="00A07B1C">
        <w:rPr>
          <w:rFonts w:ascii="Times New Roman" w:hAnsi="Times New Roman"/>
          <w:sz w:val="24"/>
          <w:szCs w:val="24"/>
        </w:rPr>
        <w:t xml:space="preserve">Ms Z </w:t>
      </w:r>
      <w:proofErr w:type="spellStart"/>
      <w:r w:rsidR="00CE60C9" w:rsidRPr="00A07B1C">
        <w:rPr>
          <w:rFonts w:ascii="Times New Roman" w:hAnsi="Times New Roman"/>
          <w:sz w:val="24"/>
          <w:szCs w:val="24"/>
        </w:rPr>
        <w:t>Madalane</w:t>
      </w:r>
      <w:proofErr w:type="spellEnd"/>
      <w:r w:rsidR="00CE60C9" w:rsidRPr="00A07B1C">
        <w:rPr>
          <w:rFonts w:ascii="Times New Roman" w:hAnsi="Times New Roman"/>
          <w:sz w:val="24"/>
          <w:szCs w:val="24"/>
        </w:rPr>
        <w:t xml:space="preserve">, </w:t>
      </w:r>
      <w:r w:rsidRPr="00A07B1C">
        <w:rPr>
          <w:rFonts w:ascii="Times New Roman" w:hAnsi="Times New Roman"/>
          <w:sz w:val="24"/>
          <w:szCs w:val="24"/>
        </w:rPr>
        <w:t xml:space="preserve">the Researcher, </w:t>
      </w:r>
      <w:r w:rsidR="00CE60C9" w:rsidRPr="00A07B1C">
        <w:rPr>
          <w:rFonts w:ascii="Times New Roman" w:hAnsi="Times New Roman"/>
          <w:sz w:val="24"/>
          <w:szCs w:val="24"/>
        </w:rPr>
        <w:t>Ms Y Manakaza</w:t>
      </w:r>
      <w:r w:rsidR="00CE60C9">
        <w:rPr>
          <w:rFonts w:ascii="Times New Roman" w:hAnsi="Times New Roman"/>
          <w:sz w:val="24"/>
          <w:szCs w:val="24"/>
        </w:rPr>
        <w:t>,</w:t>
      </w:r>
      <w:r w:rsidR="00CE60C9" w:rsidRPr="00A07B1C">
        <w:rPr>
          <w:rFonts w:ascii="Times New Roman" w:hAnsi="Times New Roman"/>
          <w:sz w:val="24"/>
          <w:szCs w:val="24"/>
        </w:rPr>
        <w:t xml:space="preserve"> </w:t>
      </w:r>
      <w:r w:rsidRPr="00A07B1C">
        <w:rPr>
          <w:rFonts w:ascii="Times New Roman" w:hAnsi="Times New Roman"/>
          <w:sz w:val="24"/>
          <w:szCs w:val="24"/>
        </w:rPr>
        <w:t xml:space="preserve">the Committee Assistant, and </w:t>
      </w:r>
      <w:r w:rsidR="00CE60C9" w:rsidRPr="00A07B1C">
        <w:rPr>
          <w:rFonts w:ascii="Times New Roman" w:hAnsi="Times New Roman"/>
          <w:sz w:val="24"/>
          <w:szCs w:val="24"/>
        </w:rPr>
        <w:t xml:space="preserve">Ms T Macanda, </w:t>
      </w:r>
      <w:r w:rsidRPr="00A07B1C">
        <w:rPr>
          <w:rFonts w:ascii="Times New Roman" w:hAnsi="Times New Roman"/>
          <w:sz w:val="24"/>
          <w:szCs w:val="24"/>
        </w:rPr>
        <w:t xml:space="preserve">the Executive Secretary, for their professional support.  </w:t>
      </w:r>
    </w:p>
    <w:p w14:paraId="2B1BF278" w14:textId="77777777" w:rsidR="006A7D0D" w:rsidRPr="00A07B1C" w:rsidRDefault="006A7D0D" w:rsidP="00E40757">
      <w:pPr>
        <w:pStyle w:val="BodyText"/>
        <w:spacing w:line="360" w:lineRule="auto"/>
        <w:jc w:val="both"/>
        <w:rPr>
          <w:rFonts w:ascii="Times New Roman" w:hAnsi="Times New Roman" w:cs="Times New Roman"/>
          <w:bCs/>
          <w:sz w:val="24"/>
          <w:szCs w:val="24"/>
          <w:lang w:val="en-GB"/>
        </w:rPr>
      </w:pPr>
    </w:p>
    <w:p w14:paraId="6A31BD42" w14:textId="77777777" w:rsidR="006A7D0D" w:rsidRPr="00A07B1C" w:rsidRDefault="006A7D0D" w:rsidP="00E40757">
      <w:pPr>
        <w:numPr>
          <w:ilvl w:val="0"/>
          <w:numId w:val="6"/>
        </w:numPr>
        <w:spacing w:line="360" w:lineRule="auto"/>
        <w:jc w:val="both"/>
        <w:rPr>
          <w:rFonts w:ascii="Times New Roman" w:hAnsi="Times New Roman"/>
          <w:b/>
          <w:sz w:val="24"/>
          <w:szCs w:val="24"/>
        </w:rPr>
      </w:pPr>
      <w:r w:rsidRPr="00A07B1C">
        <w:rPr>
          <w:rFonts w:ascii="Times New Roman" w:hAnsi="Times New Roman"/>
          <w:b/>
          <w:sz w:val="24"/>
          <w:szCs w:val="24"/>
        </w:rPr>
        <w:t>Recommendations</w:t>
      </w:r>
    </w:p>
    <w:p w14:paraId="11367AC0" w14:textId="77777777" w:rsidR="006A7D0D" w:rsidRPr="00A07B1C" w:rsidRDefault="006A7D0D" w:rsidP="00E40757">
      <w:pPr>
        <w:spacing w:line="360" w:lineRule="auto"/>
        <w:jc w:val="both"/>
        <w:rPr>
          <w:rFonts w:ascii="Times New Roman" w:hAnsi="Times New Roman"/>
          <w:b/>
          <w:bCs/>
          <w:sz w:val="24"/>
          <w:szCs w:val="24"/>
        </w:rPr>
      </w:pPr>
    </w:p>
    <w:p w14:paraId="720FCF32" w14:textId="77777777" w:rsidR="00C545C4" w:rsidRPr="00A07B1C" w:rsidRDefault="00C545C4" w:rsidP="00C545C4">
      <w:pPr>
        <w:spacing w:line="360" w:lineRule="auto"/>
        <w:jc w:val="both"/>
        <w:rPr>
          <w:rFonts w:ascii="Times New Roman" w:hAnsi="Times New Roman"/>
          <w:sz w:val="24"/>
          <w:szCs w:val="24"/>
        </w:rPr>
      </w:pPr>
      <w:r w:rsidRPr="00A07B1C">
        <w:rPr>
          <w:rFonts w:ascii="Times New Roman" w:hAnsi="Times New Roman"/>
          <w:sz w:val="24"/>
          <w:szCs w:val="24"/>
        </w:rPr>
        <w:t>The Portfolio Committee on Trade and Industry, having considered the 2019 proposed Budget Vote 25</w:t>
      </w:r>
      <w:r w:rsidR="007E33ED">
        <w:rPr>
          <w:rFonts w:ascii="Times New Roman" w:hAnsi="Times New Roman"/>
          <w:sz w:val="24"/>
          <w:szCs w:val="24"/>
        </w:rPr>
        <w:t>: Economic Development</w:t>
      </w:r>
      <w:r w:rsidRPr="00A07B1C">
        <w:rPr>
          <w:rFonts w:ascii="Times New Roman" w:hAnsi="Times New Roman"/>
          <w:sz w:val="24"/>
          <w:szCs w:val="24"/>
        </w:rPr>
        <w:t xml:space="preserve"> and </w:t>
      </w:r>
      <w:r w:rsidR="007E33ED">
        <w:rPr>
          <w:rFonts w:ascii="Times New Roman" w:hAnsi="Times New Roman"/>
          <w:sz w:val="24"/>
          <w:szCs w:val="24"/>
        </w:rPr>
        <w:t xml:space="preserve">Budget Vote </w:t>
      </w:r>
      <w:r w:rsidRPr="00A07B1C">
        <w:rPr>
          <w:rFonts w:ascii="Times New Roman" w:hAnsi="Times New Roman"/>
          <w:sz w:val="24"/>
          <w:szCs w:val="24"/>
        </w:rPr>
        <w:t>34: Trade and Industry, recommends that the House adopts Budget Vote 25</w:t>
      </w:r>
      <w:r w:rsidR="007E33ED">
        <w:rPr>
          <w:rFonts w:ascii="Times New Roman" w:hAnsi="Times New Roman"/>
          <w:sz w:val="24"/>
          <w:szCs w:val="24"/>
        </w:rPr>
        <w:t>:</w:t>
      </w:r>
      <w:r w:rsidRPr="00A07B1C">
        <w:rPr>
          <w:rFonts w:ascii="Times New Roman" w:hAnsi="Times New Roman"/>
          <w:sz w:val="24"/>
          <w:szCs w:val="24"/>
        </w:rPr>
        <w:t xml:space="preserve"> </w:t>
      </w:r>
      <w:r w:rsidR="007E33ED" w:rsidRPr="00A07B1C">
        <w:rPr>
          <w:rFonts w:ascii="Times New Roman" w:hAnsi="Times New Roman"/>
          <w:sz w:val="24"/>
          <w:szCs w:val="24"/>
        </w:rPr>
        <w:t xml:space="preserve">Economic Development </w:t>
      </w:r>
      <w:r w:rsidRPr="00A07B1C">
        <w:rPr>
          <w:rFonts w:ascii="Times New Roman" w:hAnsi="Times New Roman"/>
          <w:sz w:val="24"/>
          <w:szCs w:val="24"/>
        </w:rPr>
        <w:t xml:space="preserve">and </w:t>
      </w:r>
      <w:r w:rsidR="007E33ED">
        <w:rPr>
          <w:rFonts w:ascii="Times New Roman" w:hAnsi="Times New Roman"/>
          <w:sz w:val="24"/>
          <w:szCs w:val="24"/>
        </w:rPr>
        <w:t xml:space="preserve">Budget Vote </w:t>
      </w:r>
      <w:r w:rsidRPr="00A07B1C">
        <w:rPr>
          <w:rFonts w:ascii="Times New Roman" w:hAnsi="Times New Roman"/>
          <w:sz w:val="24"/>
          <w:szCs w:val="24"/>
        </w:rPr>
        <w:t xml:space="preserve">34: Trade and Industry. </w:t>
      </w:r>
    </w:p>
    <w:p w14:paraId="638C9AE3" w14:textId="77777777" w:rsidR="00C545C4" w:rsidRPr="00A07B1C" w:rsidRDefault="00C545C4" w:rsidP="00C545C4">
      <w:pPr>
        <w:spacing w:line="360" w:lineRule="auto"/>
        <w:jc w:val="both"/>
        <w:rPr>
          <w:rFonts w:ascii="Times New Roman" w:hAnsi="Times New Roman"/>
          <w:sz w:val="24"/>
          <w:szCs w:val="24"/>
        </w:rPr>
      </w:pPr>
    </w:p>
    <w:p w14:paraId="241EDBB2" w14:textId="77777777" w:rsidR="00C545C4" w:rsidRPr="00A07B1C" w:rsidRDefault="00C545C4" w:rsidP="00C545C4">
      <w:pPr>
        <w:spacing w:line="360" w:lineRule="auto"/>
        <w:jc w:val="both"/>
        <w:rPr>
          <w:szCs w:val="24"/>
        </w:rPr>
      </w:pPr>
      <w:r w:rsidRPr="00A07B1C">
        <w:rPr>
          <w:rFonts w:ascii="Times New Roman" w:hAnsi="Times New Roman"/>
          <w:sz w:val="24"/>
          <w:szCs w:val="24"/>
        </w:rPr>
        <w:t>The Committee further recommends that the House request that the Minister of Trade and Industry should consider</w:t>
      </w:r>
      <w:r w:rsidRPr="00A07B1C">
        <w:rPr>
          <w:szCs w:val="24"/>
        </w:rPr>
        <w:t>:</w:t>
      </w:r>
    </w:p>
    <w:p w14:paraId="4EDEFE5A" w14:textId="77777777" w:rsidR="00872B7A" w:rsidRPr="00A07B1C" w:rsidRDefault="00872B7A" w:rsidP="00C545C4">
      <w:pPr>
        <w:spacing w:line="360" w:lineRule="auto"/>
        <w:jc w:val="both"/>
        <w:rPr>
          <w:szCs w:val="24"/>
        </w:rPr>
      </w:pPr>
    </w:p>
    <w:p w14:paraId="5BD08F7F" w14:textId="77777777" w:rsidR="00C545C4" w:rsidRDefault="00C545C4" w:rsidP="00C545C4">
      <w:pPr>
        <w:pStyle w:val="ListParagraph"/>
        <w:numPr>
          <w:ilvl w:val="1"/>
          <w:numId w:val="35"/>
        </w:numPr>
        <w:spacing w:line="360" w:lineRule="auto"/>
        <w:ind w:left="567" w:hanging="567"/>
        <w:contextualSpacing/>
        <w:jc w:val="both"/>
      </w:pPr>
      <w:r w:rsidRPr="00A07B1C">
        <w:t>Engaging with the Ministers of Finance and of Health to review the impact of the Health Promotion Levy on Sugary Beverages on the sugar industry and sugar cane growers.</w:t>
      </w:r>
    </w:p>
    <w:p w14:paraId="6B1DDBF1" w14:textId="77777777" w:rsidR="00F3677A" w:rsidRPr="00A07B1C" w:rsidRDefault="00F3677A" w:rsidP="00F3677A">
      <w:pPr>
        <w:spacing w:line="360" w:lineRule="auto"/>
        <w:contextualSpacing/>
        <w:jc w:val="both"/>
      </w:pPr>
    </w:p>
    <w:p w14:paraId="738BA076" w14:textId="77777777" w:rsidR="00C545C4" w:rsidRDefault="00C545C4" w:rsidP="00C545C4">
      <w:pPr>
        <w:pStyle w:val="ListParagraph"/>
        <w:numPr>
          <w:ilvl w:val="1"/>
          <w:numId w:val="35"/>
        </w:numPr>
        <w:spacing w:line="360" w:lineRule="auto"/>
        <w:ind w:left="567" w:hanging="567"/>
        <w:contextualSpacing/>
        <w:jc w:val="both"/>
      </w:pPr>
      <w:r w:rsidRPr="00A07B1C">
        <w:t>Tabling a Sugar Amendment Bill to address a lack of market diversification thus allowing for alternative products and the slow economic transformation</w:t>
      </w:r>
      <w:r w:rsidR="009248D4" w:rsidRPr="00A07B1C">
        <w:t xml:space="preserve"> in the industry</w:t>
      </w:r>
      <w:r w:rsidRPr="00A07B1C">
        <w:t xml:space="preserve">. </w:t>
      </w:r>
    </w:p>
    <w:p w14:paraId="4E97CF12" w14:textId="77777777" w:rsidR="00F3677A" w:rsidRPr="00A07B1C" w:rsidRDefault="00F3677A" w:rsidP="00F3677A">
      <w:pPr>
        <w:spacing w:line="360" w:lineRule="auto"/>
        <w:contextualSpacing/>
        <w:jc w:val="both"/>
      </w:pPr>
    </w:p>
    <w:p w14:paraId="30EFB749" w14:textId="77777777" w:rsidR="00C545C4" w:rsidRDefault="00C545C4" w:rsidP="00C545C4">
      <w:pPr>
        <w:pStyle w:val="ListParagraph"/>
        <w:numPr>
          <w:ilvl w:val="1"/>
          <w:numId w:val="35"/>
        </w:numPr>
        <w:spacing w:line="360" w:lineRule="auto"/>
        <w:ind w:left="567" w:hanging="567"/>
        <w:contextualSpacing/>
        <w:jc w:val="both"/>
      </w:pPr>
      <w:r w:rsidRPr="00A07B1C">
        <w:t>Support</w:t>
      </w:r>
      <w:r w:rsidR="007E33ED">
        <w:t>ing</w:t>
      </w:r>
      <w:r w:rsidRPr="00A07B1C">
        <w:t xml:space="preserve"> measures to protect the sugar industry from imports that may be allegedly dumped into the South African market and to improve the industry’s competitiveness.</w:t>
      </w:r>
    </w:p>
    <w:p w14:paraId="77574BE0" w14:textId="77777777" w:rsidR="00F3677A" w:rsidRPr="00A07B1C" w:rsidRDefault="00F3677A" w:rsidP="00F3677A">
      <w:pPr>
        <w:spacing w:line="360" w:lineRule="auto"/>
        <w:contextualSpacing/>
        <w:jc w:val="both"/>
      </w:pPr>
    </w:p>
    <w:p w14:paraId="6B06C0D7" w14:textId="77777777" w:rsidR="00C545C4" w:rsidRDefault="00C545C4" w:rsidP="00C545C4">
      <w:pPr>
        <w:pStyle w:val="ListParagraph"/>
        <w:numPr>
          <w:ilvl w:val="1"/>
          <w:numId w:val="35"/>
        </w:numPr>
        <w:spacing w:line="360" w:lineRule="auto"/>
        <w:ind w:left="567" w:hanging="567"/>
        <w:contextualSpacing/>
        <w:jc w:val="both"/>
      </w:pPr>
      <w:r w:rsidRPr="00A07B1C">
        <w:t xml:space="preserve">Engaging the Minister of Finance with regards to the long-term budget allocation for the Manufacturing Competitiveness Enhancement Programme. </w:t>
      </w:r>
    </w:p>
    <w:p w14:paraId="7D20EAAB" w14:textId="77777777" w:rsidR="00F3677A" w:rsidRPr="00A07B1C" w:rsidRDefault="00F3677A" w:rsidP="00F3677A">
      <w:pPr>
        <w:spacing w:line="360" w:lineRule="auto"/>
        <w:contextualSpacing/>
        <w:jc w:val="both"/>
      </w:pPr>
    </w:p>
    <w:p w14:paraId="72D797FB" w14:textId="77777777" w:rsidR="00C545C4" w:rsidRDefault="00C545C4" w:rsidP="00C545C4">
      <w:pPr>
        <w:pStyle w:val="ListParagraph"/>
        <w:numPr>
          <w:ilvl w:val="1"/>
          <w:numId w:val="35"/>
        </w:numPr>
        <w:spacing w:line="360" w:lineRule="auto"/>
        <w:ind w:left="567" w:hanging="567"/>
        <w:contextualSpacing/>
        <w:jc w:val="both"/>
      </w:pPr>
      <w:r w:rsidRPr="00A07B1C">
        <w:lastRenderedPageBreak/>
        <w:t xml:space="preserve">Amending the Broad-based Black Economic Empowerment (B-BBEE) legislation to allow the B-BBEE Commission to be a listed entity in terms of the Public Finance Management Act (No. 1 of 1999) to enable it to operate autonomously. In addition, enhancing the economic empowerment of workers through ownership share schemes. </w:t>
      </w:r>
    </w:p>
    <w:p w14:paraId="53EE6DBF" w14:textId="77777777" w:rsidR="00F3677A" w:rsidRPr="00A07B1C" w:rsidRDefault="00F3677A" w:rsidP="00F3677A">
      <w:pPr>
        <w:spacing w:line="360" w:lineRule="auto"/>
        <w:contextualSpacing/>
        <w:jc w:val="both"/>
      </w:pPr>
    </w:p>
    <w:p w14:paraId="7CF51213" w14:textId="77777777" w:rsidR="009248D4" w:rsidRPr="00A07B1C" w:rsidRDefault="009248D4" w:rsidP="009248D4">
      <w:pPr>
        <w:pStyle w:val="ListParagraph"/>
        <w:numPr>
          <w:ilvl w:val="1"/>
          <w:numId w:val="35"/>
        </w:numPr>
        <w:spacing w:line="360" w:lineRule="auto"/>
        <w:ind w:left="567" w:hanging="567"/>
        <w:contextualSpacing/>
        <w:jc w:val="both"/>
      </w:pPr>
      <w:r w:rsidRPr="00A07B1C">
        <w:t>Requesting the International Trade Administration Commission of South Africa to investigate the appropriateness of the applied tariff rate for sugarcane products.</w:t>
      </w:r>
    </w:p>
    <w:p w14:paraId="60C34D00" w14:textId="77777777" w:rsidR="006A7D0D" w:rsidRDefault="006A7D0D" w:rsidP="00E40757">
      <w:pPr>
        <w:spacing w:line="360" w:lineRule="auto"/>
        <w:jc w:val="both"/>
        <w:rPr>
          <w:rFonts w:ascii="Times New Roman" w:hAnsi="Times New Roman"/>
          <w:sz w:val="24"/>
          <w:szCs w:val="24"/>
        </w:rPr>
      </w:pPr>
    </w:p>
    <w:p w14:paraId="3F6DDAA2" w14:textId="77777777" w:rsidR="0051112C" w:rsidRDefault="0051112C" w:rsidP="00E40757">
      <w:pPr>
        <w:spacing w:line="360" w:lineRule="auto"/>
        <w:jc w:val="both"/>
        <w:rPr>
          <w:rFonts w:ascii="Times New Roman" w:hAnsi="Times New Roman"/>
          <w:sz w:val="24"/>
          <w:szCs w:val="24"/>
        </w:rPr>
      </w:pPr>
      <w:r>
        <w:rPr>
          <w:rFonts w:ascii="Times New Roman" w:hAnsi="Times New Roman"/>
          <w:sz w:val="24"/>
          <w:szCs w:val="24"/>
        </w:rPr>
        <w:t>The Democratic Alliance, Economic Freedom Fighters and the African Christian Democratic Party abstained.</w:t>
      </w:r>
    </w:p>
    <w:p w14:paraId="74694653" w14:textId="77777777" w:rsidR="0051112C" w:rsidRPr="00A07B1C" w:rsidRDefault="0051112C" w:rsidP="00E40757">
      <w:pPr>
        <w:spacing w:line="360" w:lineRule="auto"/>
        <w:jc w:val="both"/>
        <w:rPr>
          <w:rFonts w:ascii="Times New Roman" w:hAnsi="Times New Roman"/>
          <w:sz w:val="24"/>
          <w:szCs w:val="24"/>
        </w:rPr>
      </w:pPr>
    </w:p>
    <w:p w14:paraId="05BBD751" w14:textId="77777777" w:rsidR="006A7D0D" w:rsidRPr="00A07B1C" w:rsidRDefault="006A7D0D" w:rsidP="00E40757">
      <w:pPr>
        <w:spacing w:line="360" w:lineRule="auto"/>
        <w:jc w:val="both"/>
        <w:rPr>
          <w:rFonts w:ascii="Times New Roman" w:hAnsi="Times New Roman"/>
          <w:sz w:val="24"/>
          <w:szCs w:val="24"/>
        </w:rPr>
      </w:pPr>
      <w:r w:rsidRPr="00A07B1C">
        <w:rPr>
          <w:rFonts w:ascii="Times New Roman" w:hAnsi="Times New Roman"/>
          <w:sz w:val="24"/>
          <w:szCs w:val="24"/>
        </w:rPr>
        <w:t>Report to be considered.</w:t>
      </w:r>
    </w:p>
    <w:p w14:paraId="123FE6F7" w14:textId="77777777" w:rsidR="0051112C" w:rsidRPr="00A07B1C" w:rsidRDefault="0051112C" w:rsidP="00E40757">
      <w:pPr>
        <w:spacing w:line="360" w:lineRule="auto"/>
        <w:jc w:val="both"/>
        <w:rPr>
          <w:rFonts w:ascii="Times New Roman" w:hAnsi="Times New Roman"/>
          <w:sz w:val="24"/>
          <w:szCs w:val="24"/>
        </w:rPr>
      </w:pPr>
    </w:p>
    <w:p w14:paraId="388C4F79" w14:textId="77777777" w:rsidR="00626940" w:rsidRPr="00A07B1C" w:rsidRDefault="00626940" w:rsidP="00E40757">
      <w:pPr>
        <w:spacing w:line="360" w:lineRule="auto"/>
        <w:rPr>
          <w:rFonts w:ascii="Times New Roman" w:hAnsi="Times New Roman"/>
          <w:b/>
          <w:sz w:val="24"/>
          <w:szCs w:val="24"/>
        </w:rPr>
      </w:pPr>
      <w:r w:rsidRPr="00A07B1C">
        <w:rPr>
          <w:rFonts w:ascii="Times New Roman" w:hAnsi="Times New Roman"/>
          <w:b/>
          <w:sz w:val="24"/>
          <w:szCs w:val="24"/>
        </w:rPr>
        <w:t xml:space="preserve">References </w:t>
      </w:r>
    </w:p>
    <w:p w14:paraId="79D1A234" w14:textId="77777777" w:rsidR="006D35AC" w:rsidRPr="00A07B1C" w:rsidRDefault="006D35AC" w:rsidP="00E40757">
      <w:pPr>
        <w:spacing w:line="360" w:lineRule="auto"/>
        <w:jc w:val="both"/>
        <w:rPr>
          <w:rFonts w:ascii="Times New Roman" w:hAnsi="Times New Roman"/>
          <w:sz w:val="24"/>
          <w:szCs w:val="24"/>
        </w:rPr>
      </w:pPr>
    </w:p>
    <w:p w14:paraId="7A48AF81" w14:textId="77777777" w:rsidR="006D35AC" w:rsidRPr="00A07B1C" w:rsidRDefault="006D35AC" w:rsidP="00E40757">
      <w:pPr>
        <w:spacing w:line="360" w:lineRule="auto"/>
        <w:jc w:val="both"/>
        <w:rPr>
          <w:rFonts w:ascii="Times New Roman" w:hAnsi="Times New Roman"/>
          <w:sz w:val="24"/>
          <w:szCs w:val="24"/>
        </w:rPr>
      </w:pPr>
      <w:r w:rsidRPr="00A07B1C">
        <w:rPr>
          <w:rFonts w:ascii="Times New Roman" w:hAnsi="Times New Roman"/>
          <w:sz w:val="24"/>
          <w:szCs w:val="24"/>
        </w:rPr>
        <w:t xml:space="preserve">African Union Commission (2015). </w:t>
      </w:r>
      <w:r w:rsidRPr="00A07B1C">
        <w:rPr>
          <w:rFonts w:ascii="Times New Roman" w:hAnsi="Times New Roman"/>
          <w:i/>
          <w:sz w:val="24"/>
          <w:szCs w:val="24"/>
        </w:rPr>
        <w:t>Agenda 2063: The Afric</w:t>
      </w:r>
      <w:r w:rsidR="009702D3" w:rsidRPr="00A07B1C">
        <w:rPr>
          <w:rFonts w:ascii="Times New Roman" w:hAnsi="Times New Roman"/>
          <w:i/>
          <w:sz w:val="24"/>
          <w:szCs w:val="24"/>
        </w:rPr>
        <w:t>a We Want</w:t>
      </w:r>
      <w:r w:rsidR="009702D3" w:rsidRPr="00A07B1C">
        <w:rPr>
          <w:rFonts w:ascii="Times New Roman" w:hAnsi="Times New Roman"/>
          <w:sz w:val="24"/>
          <w:szCs w:val="24"/>
        </w:rPr>
        <w:t>.</w:t>
      </w:r>
      <w:r w:rsidR="00D3791B" w:rsidRPr="00A07B1C">
        <w:rPr>
          <w:rFonts w:ascii="Times New Roman" w:hAnsi="Times New Roman"/>
          <w:sz w:val="24"/>
          <w:szCs w:val="24"/>
        </w:rPr>
        <w:t xml:space="preserve"> </w:t>
      </w:r>
      <w:r w:rsidR="00A15E95" w:rsidRPr="00A07B1C">
        <w:rPr>
          <w:rFonts w:ascii="Times New Roman" w:hAnsi="Times New Roman"/>
          <w:sz w:val="24"/>
          <w:szCs w:val="24"/>
        </w:rPr>
        <w:t>[</w:t>
      </w:r>
      <w:r w:rsidRPr="00A07B1C">
        <w:rPr>
          <w:rFonts w:ascii="Times New Roman" w:hAnsi="Times New Roman"/>
          <w:sz w:val="24"/>
          <w:szCs w:val="24"/>
        </w:rPr>
        <w:t>Internet</w:t>
      </w:r>
      <w:r w:rsidR="00A15E95" w:rsidRPr="00A07B1C">
        <w:rPr>
          <w:rFonts w:ascii="Times New Roman" w:hAnsi="Times New Roman"/>
          <w:sz w:val="24"/>
          <w:szCs w:val="24"/>
        </w:rPr>
        <w:t>]</w:t>
      </w:r>
      <w:r w:rsidRPr="00A07B1C">
        <w:rPr>
          <w:rFonts w:ascii="Times New Roman" w:hAnsi="Times New Roman"/>
          <w:sz w:val="24"/>
          <w:szCs w:val="24"/>
        </w:rPr>
        <w:t xml:space="preserve">. Available from &lt; https://au.int/en/agenda2063&gt;. Retrieved: 22 February 2018. </w:t>
      </w:r>
    </w:p>
    <w:p w14:paraId="5181E990" w14:textId="77777777" w:rsidR="005B3420" w:rsidRPr="00A07B1C" w:rsidRDefault="005B3420" w:rsidP="00E40757">
      <w:pPr>
        <w:spacing w:line="360" w:lineRule="auto"/>
        <w:jc w:val="both"/>
        <w:rPr>
          <w:rFonts w:ascii="Times New Roman" w:hAnsi="Times New Roman"/>
          <w:sz w:val="24"/>
          <w:szCs w:val="24"/>
        </w:rPr>
      </w:pPr>
      <w:r w:rsidRPr="00A07B1C">
        <w:rPr>
          <w:rFonts w:ascii="Times New Roman" w:hAnsi="Times New Roman"/>
          <w:sz w:val="24"/>
          <w:szCs w:val="24"/>
        </w:rPr>
        <w:t xml:space="preserve">Bureau International des </w:t>
      </w:r>
      <w:proofErr w:type="spellStart"/>
      <w:r w:rsidRPr="00A07B1C">
        <w:rPr>
          <w:rFonts w:ascii="Times New Roman" w:hAnsi="Times New Roman"/>
          <w:sz w:val="24"/>
          <w:szCs w:val="24"/>
        </w:rPr>
        <w:t>Poide</w:t>
      </w:r>
      <w:proofErr w:type="spellEnd"/>
      <w:r w:rsidRPr="00A07B1C">
        <w:rPr>
          <w:rFonts w:ascii="Times New Roman" w:hAnsi="Times New Roman"/>
          <w:sz w:val="24"/>
          <w:szCs w:val="24"/>
        </w:rPr>
        <w:t xml:space="preserve"> et </w:t>
      </w:r>
      <w:proofErr w:type="spellStart"/>
      <w:r w:rsidRPr="00A07B1C">
        <w:rPr>
          <w:rFonts w:ascii="Times New Roman" w:hAnsi="Times New Roman"/>
          <w:sz w:val="24"/>
          <w:szCs w:val="24"/>
        </w:rPr>
        <w:t>Mesures</w:t>
      </w:r>
      <w:proofErr w:type="spellEnd"/>
      <w:r w:rsidRPr="00A07B1C">
        <w:rPr>
          <w:rFonts w:ascii="Times New Roman" w:hAnsi="Times New Roman"/>
          <w:sz w:val="24"/>
          <w:szCs w:val="24"/>
        </w:rPr>
        <w:t xml:space="preserve"> (</w:t>
      </w:r>
      <w:proofErr w:type="spellStart"/>
      <w:r w:rsidRPr="00A07B1C">
        <w:rPr>
          <w:rFonts w:ascii="Times New Roman" w:hAnsi="Times New Roman"/>
          <w:sz w:val="24"/>
          <w:szCs w:val="24"/>
        </w:rPr>
        <w:t>n.d.</w:t>
      </w:r>
      <w:proofErr w:type="spellEnd"/>
      <w:r w:rsidRPr="00A07B1C">
        <w:rPr>
          <w:rFonts w:ascii="Times New Roman" w:hAnsi="Times New Roman"/>
          <w:sz w:val="24"/>
          <w:szCs w:val="24"/>
        </w:rPr>
        <w:t xml:space="preserve">). </w:t>
      </w:r>
      <w:r w:rsidRPr="00A07B1C">
        <w:rPr>
          <w:rFonts w:ascii="Times New Roman" w:hAnsi="Times New Roman"/>
          <w:i/>
          <w:sz w:val="24"/>
          <w:szCs w:val="24"/>
        </w:rPr>
        <w:t>Base units</w:t>
      </w:r>
      <w:r w:rsidRPr="00A07B1C">
        <w:rPr>
          <w:rFonts w:ascii="Times New Roman" w:hAnsi="Times New Roman"/>
          <w:sz w:val="24"/>
          <w:szCs w:val="24"/>
        </w:rPr>
        <w:t>. [Internet]. Available from: &lt;http</w:t>
      </w:r>
      <w:r w:rsidR="00F51CD1" w:rsidRPr="00A07B1C">
        <w:rPr>
          <w:rFonts w:ascii="Times New Roman" w:hAnsi="Times New Roman"/>
          <w:sz w:val="24"/>
          <w:szCs w:val="24"/>
        </w:rPr>
        <w:t>s</w:t>
      </w:r>
      <w:r w:rsidRPr="00A07B1C">
        <w:rPr>
          <w:rFonts w:ascii="Times New Roman" w:hAnsi="Times New Roman"/>
          <w:sz w:val="24"/>
          <w:szCs w:val="24"/>
        </w:rPr>
        <w:t>://www.bipm.org/en/measurement-units/base-units.html&gt;. Retrieved: 9 July 2019.</w:t>
      </w:r>
    </w:p>
    <w:p w14:paraId="7FEA2355" w14:textId="77777777" w:rsidR="00D3791B" w:rsidRPr="00A07B1C" w:rsidRDefault="00D3791B" w:rsidP="00D3791B">
      <w:pPr>
        <w:spacing w:line="360" w:lineRule="auto"/>
        <w:jc w:val="both"/>
        <w:rPr>
          <w:rFonts w:ascii="Times New Roman" w:hAnsi="Times New Roman"/>
          <w:sz w:val="24"/>
          <w:szCs w:val="24"/>
        </w:rPr>
      </w:pPr>
      <w:r w:rsidRPr="00A07B1C">
        <w:rPr>
          <w:rFonts w:ascii="Times New Roman" w:hAnsi="Times New Roman"/>
          <w:sz w:val="24"/>
          <w:szCs w:val="24"/>
        </w:rPr>
        <w:t xml:space="preserve">Department of Trade and Industry (2019a). </w:t>
      </w:r>
      <w:proofErr w:type="spellStart"/>
      <w:r w:rsidRPr="00A07B1C">
        <w:rPr>
          <w:rFonts w:ascii="Times New Roman" w:hAnsi="Times New Roman"/>
          <w:i/>
          <w:sz w:val="24"/>
          <w:szCs w:val="24"/>
        </w:rPr>
        <w:t>dti</w:t>
      </w:r>
      <w:proofErr w:type="spellEnd"/>
      <w:r w:rsidRPr="00A07B1C">
        <w:rPr>
          <w:rFonts w:ascii="Times New Roman" w:hAnsi="Times New Roman"/>
          <w:i/>
          <w:sz w:val="24"/>
          <w:szCs w:val="24"/>
        </w:rPr>
        <w:t xml:space="preserve"> and EDD</w:t>
      </w:r>
      <w:r w:rsidRPr="00A07B1C">
        <w:rPr>
          <w:rFonts w:ascii="Times New Roman" w:hAnsi="Times New Roman"/>
          <w:sz w:val="24"/>
          <w:szCs w:val="24"/>
        </w:rPr>
        <w:t xml:space="preserve"> </w:t>
      </w:r>
      <w:r w:rsidRPr="00A07B1C">
        <w:rPr>
          <w:rFonts w:ascii="Times New Roman" w:hAnsi="Times New Roman"/>
          <w:i/>
          <w:sz w:val="24"/>
          <w:szCs w:val="24"/>
        </w:rPr>
        <w:t>Annual Performance Plans 2019/2022: Presentation to the Portfolio Committee</w:t>
      </w:r>
      <w:r w:rsidRPr="00A07B1C">
        <w:rPr>
          <w:rFonts w:ascii="Times New Roman" w:hAnsi="Times New Roman"/>
          <w:sz w:val="24"/>
          <w:szCs w:val="24"/>
        </w:rPr>
        <w:t>. Cape Town: Parliament of the Republic of South Africa, 4 July.</w:t>
      </w:r>
    </w:p>
    <w:p w14:paraId="545A74E8" w14:textId="77777777" w:rsidR="0037058B" w:rsidRPr="00A07B1C" w:rsidRDefault="0037058B" w:rsidP="0037058B">
      <w:pPr>
        <w:spacing w:line="360" w:lineRule="auto"/>
        <w:jc w:val="both"/>
        <w:rPr>
          <w:rFonts w:ascii="Times New Roman" w:hAnsi="Times New Roman"/>
          <w:sz w:val="24"/>
          <w:szCs w:val="24"/>
        </w:rPr>
      </w:pPr>
      <w:r w:rsidRPr="00A07B1C">
        <w:rPr>
          <w:rFonts w:ascii="Times New Roman" w:hAnsi="Times New Roman"/>
          <w:sz w:val="24"/>
          <w:szCs w:val="24"/>
        </w:rPr>
        <w:t xml:space="preserve">Department of Trade and Industry (2019b). </w:t>
      </w:r>
      <w:r w:rsidRPr="00A07B1C">
        <w:rPr>
          <w:rFonts w:ascii="Times New Roman" w:hAnsi="Times New Roman"/>
          <w:i/>
          <w:sz w:val="24"/>
          <w:szCs w:val="24"/>
        </w:rPr>
        <w:t>Annual Performance Plan 2019 – 2022</w:t>
      </w:r>
      <w:r w:rsidRPr="00A07B1C">
        <w:rPr>
          <w:rFonts w:ascii="Times New Roman" w:hAnsi="Times New Roman"/>
          <w:sz w:val="24"/>
          <w:szCs w:val="24"/>
        </w:rPr>
        <w:t>. Government Printers: Pretoria.</w:t>
      </w:r>
    </w:p>
    <w:p w14:paraId="2D43BA08" w14:textId="77777777" w:rsidR="001136A7" w:rsidRPr="00A07B1C" w:rsidRDefault="001136A7" w:rsidP="00E40757">
      <w:pPr>
        <w:spacing w:line="360" w:lineRule="auto"/>
        <w:jc w:val="both"/>
        <w:rPr>
          <w:rFonts w:ascii="Times New Roman" w:hAnsi="Times New Roman"/>
          <w:sz w:val="24"/>
          <w:szCs w:val="24"/>
        </w:rPr>
      </w:pPr>
      <w:r w:rsidRPr="00A07B1C">
        <w:rPr>
          <w:rFonts w:ascii="Times New Roman" w:hAnsi="Times New Roman"/>
          <w:sz w:val="24"/>
          <w:szCs w:val="24"/>
        </w:rPr>
        <w:t xml:space="preserve">Economic Development Department (2019) </w:t>
      </w:r>
      <w:r w:rsidRPr="00A07B1C">
        <w:rPr>
          <w:rFonts w:ascii="Times New Roman" w:hAnsi="Times New Roman"/>
          <w:i/>
          <w:sz w:val="24"/>
          <w:szCs w:val="24"/>
        </w:rPr>
        <w:t>Annual Performance Plan 2019/20</w:t>
      </w:r>
      <w:r w:rsidRPr="00A07B1C">
        <w:rPr>
          <w:rFonts w:ascii="Times New Roman" w:hAnsi="Times New Roman"/>
          <w:sz w:val="24"/>
          <w:szCs w:val="24"/>
        </w:rPr>
        <w:t>. Government Printers: Pretoria.</w:t>
      </w:r>
    </w:p>
    <w:p w14:paraId="1A447EE7" w14:textId="77777777" w:rsidR="005B3420" w:rsidRPr="00A07B1C" w:rsidRDefault="005B3420" w:rsidP="005B3420">
      <w:pPr>
        <w:spacing w:line="360" w:lineRule="auto"/>
        <w:jc w:val="both"/>
        <w:rPr>
          <w:rFonts w:ascii="Times New Roman" w:hAnsi="Times New Roman"/>
          <w:sz w:val="24"/>
          <w:szCs w:val="24"/>
        </w:rPr>
      </w:pPr>
      <w:r w:rsidRPr="00A07B1C">
        <w:rPr>
          <w:rFonts w:ascii="Times New Roman" w:hAnsi="Times New Roman"/>
          <w:sz w:val="24"/>
          <w:szCs w:val="24"/>
        </w:rPr>
        <w:t xml:space="preserve">National Treasury (2018). </w:t>
      </w:r>
      <w:r w:rsidRPr="00A07B1C">
        <w:rPr>
          <w:rFonts w:ascii="Times New Roman" w:hAnsi="Times New Roman"/>
          <w:i/>
          <w:sz w:val="24"/>
          <w:szCs w:val="24"/>
        </w:rPr>
        <w:t>2018 Adjusted Estimates of National Expenditure: Vote 34 Trade and Industry</w:t>
      </w:r>
      <w:r w:rsidRPr="00A07B1C">
        <w:rPr>
          <w:rFonts w:ascii="Times New Roman" w:hAnsi="Times New Roman"/>
          <w:sz w:val="24"/>
          <w:szCs w:val="24"/>
        </w:rPr>
        <w:t>. Government Printers: Pretoria</w:t>
      </w:r>
      <w:r w:rsidR="006D4844" w:rsidRPr="00A07B1C">
        <w:rPr>
          <w:rFonts w:ascii="Times New Roman" w:hAnsi="Times New Roman"/>
          <w:sz w:val="24"/>
          <w:szCs w:val="24"/>
        </w:rPr>
        <w:t>.</w:t>
      </w:r>
    </w:p>
    <w:p w14:paraId="50C52E05" w14:textId="77777777" w:rsidR="009702D3" w:rsidRPr="00A07B1C" w:rsidRDefault="009702D3" w:rsidP="009702D3">
      <w:pPr>
        <w:spacing w:line="360" w:lineRule="auto"/>
        <w:jc w:val="both"/>
        <w:rPr>
          <w:rFonts w:ascii="Times New Roman" w:hAnsi="Times New Roman"/>
          <w:color w:val="auto"/>
          <w:sz w:val="24"/>
          <w:szCs w:val="24"/>
        </w:rPr>
      </w:pPr>
      <w:r w:rsidRPr="00A07B1C">
        <w:rPr>
          <w:rFonts w:ascii="Times New Roman" w:hAnsi="Times New Roman"/>
          <w:color w:val="auto"/>
          <w:sz w:val="24"/>
          <w:szCs w:val="24"/>
        </w:rPr>
        <w:t>National Treasury (2019a).</w:t>
      </w:r>
      <w:r w:rsidRPr="00A07B1C">
        <w:rPr>
          <w:rFonts w:ascii="Times New Roman" w:hAnsi="Times New Roman"/>
          <w:i/>
          <w:color w:val="auto"/>
          <w:sz w:val="24"/>
          <w:szCs w:val="24"/>
        </w:rPr>
        <w:t xml:space="preserve"> 2019 Budget review</w:t>
      </w:r>
      <w:r w:rsidR="00A15E95" w:rsidRPr="00A07B1C">
        <w:rPr>
          <w:rFonts w:ascii="Times New Roman" w:hAnsi="Times New Roman"/>
          <w:color w:val="auto"/>
          <w:sz w:val="24"/>
          <w:szCs w:val="24"/>
        </w:rPr>
        <w:t>.</w:t>
      </w:r>
      <w:r w:rsidRPr="00A07B1C">
        <w:rPr>
          <w:rFonts w:ascii="Times New Roman" w:hAnsi="Times New Roman"/>
          <w:color w:val="auto"/>
          <w:sz w:val="24"/>
          <w:szCs w:val="24"/>
        </w:rPr>
        <w:t xml:space="preserve"> </w:t>
      </w:r>
      <w:r w:rsidR="006D4844" w:rsidRPr="00A07B1C">
        <w:rPr>
          <w:rFonts w:ascii="Times New Roman" w:hAnsi="Times New Roman"/>
          <w:sz w:val="24"/>
          <w:szCs w:val="24"/>
        </w:rPr>
        <w:t>Government Printers: Pretoria</w:t>
      </w:r>
      <w:r w:rsidRPr="00A07B1C">
        <w:rPr>
          <w:rFonts w:ascii="Times New Roman" w:hAnsi="Times New Roman"/>
          <w:color w:val="auto"/>
          <w:sz w:val="24"/>
          <w:szCs w:val="24"/>
        </w:rPr>
        <w:t>.</w:t>
      </w:r>
    </w:p>
    <w:p w14:paraId="3783684F" w14:textId="77777777" w:rsidR="009702D3" w:rsidRPr="00A07B1C" w:rsidRDefault="009702D3" w:rsidP="009702D3">
      <w:pPr>
        <w:spacing w:line="360" w:lineRule="auto"/>
        <w:jc w:val="both"/>
        <w:rPr>
          <w:rFonts w:ascii="Times New Roman" w:hAnsi="Times New Roman"/>
          <w:sz w:val="24"/>
          <w:szCs w:val="24"/>
        </w:rPr>
      </w:pPr>
      <w:r w:rsidRPr="00A07B1C">
        <w:rPr>
          <w:rFonts w:ascii="Times New Roman" w:hAnsi="Times New Roman"/>
          <w:sz w:val="24"/>
          <w:szCs w:val="24"/>
        </w:rPr>
        <w:t>National Treasury (2019</w:t>
      </w:r>
      <w:r w:rsidR="00A15E95" w:rsidRPr="00A07B1C">
        <w:rPr>
          <w:rFonts w:ascii="Times New Roman" w:hAnsi="Times New Roman"/>
          <w:sz w:val="24"/>
          <w:szCs w:val="24"/>
        </w:rPr>
        <w:t>b</w:t>
      </w:r>
      <w:r w:rsidRPr="00A07B1C">
        <w:rPr>
          <w:rFonts w:ascii="Times New Roman" w:hAnsi="Times New Roman"/>
          <w:sz w:val="24"/>
          <w:szCs w:val="24"/>
        </w:rPr>
        <w:t xml:space="preserve">) </w:t>
      </w:r>
      <w:r w:rsidRPr="00A07B1C">
        <w:rPr>
          <w:rFonts w:ascii="Times New Roman" w:hAnsi="Times New Roman"/>
          <w:i/>
          <w:sz w:val="24"/>
          <w:szCs w:val="24"/>
        </w:rPr>
        <w:t>Estimates of National Expenditure: Vote 25 Economic Development</w:t>
      </w:r>
      <w:r w:rsidRPr="00A07B1C">
        <w:rPr>
          <w:rFonts w:ascii="Times New Roman" w:hAnsi="Times New Roman"/>
          <w:sz w:val="24"/>
          <w:szCs w:val="24"/>
        </w:rPr>
        <w:t>. Govern</w:t>
      </w:r>
      <w:r w:rsidR="00A15E95" w:rsidRPr="00A07B1C">
        <w:rPr>
          <w:rFonts w:ascii="Times New Roman" w:hAnsi="Times New Roman"/>
          <w:sz w:val="24"/>
          <w:szCs w:val="24"/>
        </w:rPr>
        <w:t>ment Printers:</w:t>
      </w:r>
      <w:r w:rsidRPr="00A07B1C">
        <w:rPr>
          <w:rFonts w:ascii="Times New Roman" w:hAnsi="Times New Roman"/>
          <w:sz w:val="24"/>
          <w:szCs w:val="24"/>
        </w:rPr>
        <w:t xml:space="preserve"> Pretoria</w:t>
      </w:r>
      <w:r w:rsidR="006D4844" w:rsidRPr="00A07B1C">
        <w:rPr>
          <w:rFonts w:ascii="Times New Roman" w:hAnsi="Times New Roman"/>
          <w:sz w:val="24"/>
          <w:szCs w:val="24"/>
        </w:rPr>
        <w:t>.</w:t>
      </w:r>
      <w:r w:rsidRPr="00A07B1C">
        <w:rPr>
          <w:rFonts w:ascii="Times New Roman" w:hAnsi="Times New Roman"/>
          <w:sz w:val="24"/>
          <w:szCs w:val="24"/>
        </w:rPr>
        <w:t xml:space="preserve">  </w:t>
      </w:r>
    </w:p>
    <w:p w14:paraId="47456728" w14:textId="77777777" w:rsidR="006D35AC" w:rsidRPr="00A07B1C" w:rsidRDefault="009702D3" w:rsidP="00E40757">
      <w:pPr>
        <w:spacing w:line="360" w:lineRule="auto"/>
        <w:jc w:val="both"/>
        <w:rPr>
          <w:rFonts w:ascii="Times New Roman" w:hAnsi="Times New Roman"/>
          <w:sz w:val="24"/>
          <w:szCs w:val="24"/>
        </w:rPr>
      </w:pPr>
      <w:r w:rsidRPr="00A07B1C">
        <w:rPr>
          <w:rFonts w:ascii="Times New Roman" w:hAnsi="Times New Roman"/>
          <w:sz w:val="24"/>
          <w:szCs w:val="24"/>
        </w:rPr>
        <w:t>National Treasury</w:t>
      </w:r>
      <w:r w:rsidR="006D35AC" w:rsidRPr="00A07B1C">
        <w:rPr>
          <w:rFonts w:ascii="Times New Roman" w:hAnsi="Times New Roman"/>
          <w:sz w:val="24"/>
          <w:szCs w:val="24"/>
        </w:rPr>
        <w:t xml:space="preserve"> (2019</w:t>
      </w:r>
      <w:r w:rsidR="00A15E95" w:rsidRPr="00A07B1C">
        <w:rPr>
          <w:rFonts w:ascii="Times New Roman" w:hAnsi="Times New Roman"/>
          <w:sz w:val="24"/>
          <w:szCs w:val="24"/>
        </w:rPr>
        <w:t>c</w:t>
      </w:r>
      <w:r w:rsidR="006D35AC" w:rsidRPr="00A07B1C">
        <w:rPr>
          <w:rFonts w:ascii="Times New Roman" w:hAnsi="Times New Roman"/>
          <w:sz w:val="24"/>
          <w:szCs w:val="24"/>
        </w:rPr>
        <w:t xml:space="preserve">) </w:t>
      </w:r>
      <w:r w:rsidR="006D35AC" w:rsidRPr="00A07B1C">
        <w:rPr>
          <w:rFonts w:ascii="Times New Roman" w:hAnsi="Times New Roman"/>
          <w:i/>
          <w:sz w:val="24"/>
          <w:szCs w:val="24"/>
        </w:rPr>
        <w:t>Estimates of National Expenditure: Vote 34 Trade and Industry</w:t>
      </w:r>
      <w:r w:rsidR="006D35AC" w:rsidRPr="00A07B1C">
        <w:rPr>
          <w:rFonts w:ascii="Times New Roman" w:hAnsi="Times New Roman"/>
          <w:sz w:val="24"/>
          <w:szCs w:val="24"/>
        </w:rPr>
        <w:t>. Government Printers</w:t>
      </w:r>
      <w:r w:rsidR="00A15E95" w:rsidRPr="00A07B1C">
        <w:rPr>
          <w:rFonts w:ascii="Times New Roman" w:hAnsi="Times New Roman"/>
          <w:sz w:val="24"/>
          <w:szCs w:val="24"/>
        </w:rPr>
        <w:t>:</w:t>
      </w:r>
      <w:r w:rsidR="006D35AC" w:rsidRPr="00A07B1C">
        <w:rPr>
          <w:rFonts w:ascii="Times New Roman" w:hAnsi="Times New Roman"/>
          <w:sz w:val="24"/>
          <w:szCs w:val="24"/>
        </w:rPr>
        <w:t xml:space="preserve"> Pretoria</w:t>
      </w:r>
      <w:r w:rsidR="006D4844" w:rsidRPr="00A07B1C">
        <w:rPr>
          <w:rFonts w:ascii="Times New Roman" w:hAnsi="Times New Roman"/>
          <w:sz w:val="24"/>
          <w:szCs w:val="24"/>
        </w:rPr>
        <w:t>.</w:t>
      </w:r>
      <w:r w:rsidR="006D35AC" w:rsidRPr="00A07B1C">
        <w:rPr>
          <w:rFonts w:ascii="Times New Roman" w:hAnsi="Times New Roman"/>
          <w:sz w:val="24"/>
          <w:szCs w:val="24"/>
        </w:rPr>
        <w:t xml:space="preserve">  </w:t>
      </w:r>
    </w:p>
    <w:p w14:paraId="4C9335CF" w14:textId="77777777" w:rsidR="00626940" w:rsidRPr="00A07B1C" w:rsidRDefault="00A15E95" w:rsidP="00E40757">
      <w:pPr>
        <w:spacing w:line="360" w:lineRule="auto"/>
        <w:rPr>
          <w:rFonts w:ascii="Times New Roman" w:hAnsi="Times New Roman"/>
          <w:sz w:val="24"/>
          <w:szCs w:val="24"/>
        </w:rPr>
      </w:pPr>
      <w:proofErr w:type="spellStart"/>
      <w:r w:rsidRPr="00A07B1C">
        <w:rPr>
          <w:rFonts w:ascii="Times New Roman" w:hAnsi="Times New Roman"/>
          <w:sz w:val="24"/>
          <w:szCs w:val="24"/>
        </w:rPr>
        <w:lastRenderedPageBreak/>
        <w:t>Ramaphosa</w:t>
      </w:r>
      <w:proofErr w:type="spellEnd"/>
      <w:r w:rsidRPr="00A07B1C">
        <w:rPr>
          <w:rFonts w:ascii="Times New Roman" w:hAnsi="Times New Roman"/>
          <w:sz w:val="24"/>
          <w:szCs w:val="24"/>
        </w:rPr>
        <w:t>, M.C.  (2019</w:t>
      </w:r>
      <w:r w:rsidR="00626940" w:rsidRPr="00A07B1C">
        <w:rPr>
          <w:rFonts w:ascii="Times New Roman" w:hAnsi="Times New Roman"/>
          <w:sz w:val="24"/>
          <w:szCs w:val="24"/>
        </w:rPr>
        <w:t xml:space="preserve">) </w:t>
      </w:r>
      <w:r w:rsidR="00626940" w:rsidRPr="00A07B1C">
        <w:rPr>
          <w:rFonts w:ascii="Times New Roman" w:hAnsi="Times New Roman"/>
          <w:i/>
          <w:sz w:val="24"/>
          <w:szCs w:val="24"/>
        </w:rPr>
        <w:t xml:space="preserve">State of the Nation Address by President of the Republic of South Africa, Mr Cyril </w:t>
      </w:r>
      <w:proofErr w:type="spellStart"/>
      <w:r w:rsidR="00626940" w:rsidRPr="00A07B1C">
        <w:rPr>
          <w:rFonts w:ascii="Times New Roman" w:hAnsi="Times New Roman"/>
          <w:i/>
          <w:sz w:val="24"/>
          <w:szCs w:val="24"/>
        </w:rPr>
        <w:t>Ramaphosa</w:t>
      </w:r>
      <w:proofErr w:type="spellEnd"/>
      <w:r w:rsidRPr="00A07B1C">
        <w:rPr>
          <w:rFonts w:ascii="Times New Roman" w:hAnsi="Times New Roman"/>
          <w:sz w:val="24"/>
          <w:szCs w:val="24"/>
        </w:rPr>
        <w:t>.</w:t>
      </w:r>
      <w:r w:rsidR="00626940" w:rsidRPr="00A07B1C">
        <w:rPr>
          <w:rFonts w:ascii="Times New Roman" w:hAnsi="Times New Roman"/>
          <w:i/>
          <w:sz w:val="24"/>
          <w:szCs w:val="24"/>
        </w:rPr>
        <w:t xml:space="preserve"> </w:t>
      </w:r>
      <w:r w:rsidR="00626940" w:rsidRPr="00A07B1C">
        <w:rPr>
          <w:rFonts w:ascii="Times New Roman" w:hAnsi="Times New Roman"/>
          <w:sz w:val="24"/>
          <w:szCs w:val="24"/>
        </w:rPr>
        <w:t>Cape Town, 20 June.</w:t>
      </w:r>
    </w:p>
    <w:p w14:paraId="46841C97" w14:textId="77777777" w:rsidR="00967912" w:rsidRPr="00A07B1C" w:rsidRDefault="00967912" w:rsidP="00967912">
      <w:pPr>
        <w:spacing w:line="360" w:lineRule="auto"/>
        <w:jc w:val="both"/>
        <w:rPr>
          <w:rFonts w:ascii="Times New Roman" w:hAnsi="Times New Roman"/>
          <w:sz w:val="24"/>
          <w:szCs w:val="24"/>
        </w:rPr>
      </w:pPr>
      <w:proofErr w:type="spellStart"/>
      <w:r w:rsidRPr="00A07B1C">
        <w:rPr>
          <w:rFonts w:ascii="Times New Roman" w:hAnsi="Times New Roman"/>
          <w:sz w:val="24"/>
        </w:rPr>
        <w:t>ScienceDirect</w:t>
      </w:r>
      <w:proofErr w:type="spellEnd"/>
      <w:r w:rsidRPr="00A07B1C">
        <w:rPr>
          <w:rFonts w:ascii="Times New Roman" w:hAnsi="Times New Roman"/>
          <w:sz w:val="24"/>
        </w:rPr>
        <w:t xml:space="preserve"> (2019) </w:t>
      </w:r>
      <w:r w:rsidRPr="00A07B1C">
        <w:rPr>
          <w:rFonts w:ascii="Times New Roman" w:hAnsi="Times New Roman"/>
          <w:i/>
          <w:sz w:val="24"/>
          <w:szCs w:val="24"/>
        </w:rPr>
        <w:t>Luminous intensity</w:t>
      </w:r>
      <w:r w:rsidRPr="00A07B1C">
        <w:rPr>
          <w:rFonts w:ascii="Times New Roman" w:hAnsi="Times New Roman"/>
          <w:sz w:val="24"/>
          <w:szCs w:val="24"/>
        </w:rPr>
        <w:t>. [Internet]. Available from: &lt;https://www.sciencedirect.com/topics/engineering/luminous-intensity&gt;. Retrieved: 9 July 2019.</w:t>
      </w:r>
    </w:p>
    <w:p w14:paraId="5549B741" w14:textId="77777777" w:rsidR="00AA6311" w:rsidRPr="00A07B1C" w:rsidRDefault="00AA6311" w:rsidP="00AA6311">
      <w:pPr>
        <w:spacing w:line="360" w:lineRule="auto"/>
        <w:jc w:val="both"/>
        <w:rPr>
          <w:rFonts w:ascii="Times New Roman" w:hAnsi="Times New Roman"/>
          <w:color w:val="auto"/>
          <w:sz w:val="24"/>
          <w:szCs w:val="24"/>
        </w:rPr>
      </w:pPr>
      <w:r w:rsidRPr="00A07B1C">
        <w:rPr>
          <w:rFonts w:ascii="Times New Roman" w:hAnsi="Times New Roman"/>
          <w:color w:val="auto"/>
          <w:sz w:val="24"/>
          <w:szCs w:val="24"/>
          <w:lang w:eastAsia="en-ZA"/>
        </w:rPr>
        <w:t xml:space="preserve">South Africa MDG Country Report (2015). </w:t>
      </w:r>
      <w:r w:rsidR="00A15E95" w:rsidRPr="00A07B1C">
        <w:rPr>
          <w:rFonts w:ascii="Times New Roman" w:hAnsi="Times New Roman"/>
          <w:color w:val="auto"/>
          <w:sz w:val="24"/>
          <w:szCs w:val="24"/>
          <w:lang w:eastAsia="en-ZA"/>
        </w:rPr>
        <w:t xml:space="preserve">[Internet]. </w:t>
      </w:r>
      <w:r w:rsidRPr="00A07B1C">
        <w:rPr>
          <w:rFonts w:ascii="Times New Roman" w:hAnsi="Times New Roman"/>
          <w:color w:val="auto"/>
          <w:sz w:val="24"/>
          <w:szCs w:val="24"/>
          <w:lang w:eastAsia="en-ZA"/>
        </w:rPr>
        <w:t xml:space="preserve">Available </w:t>
      </w:r>
      <w:r w:rsidR="00A15E95" w:rsidRPr="00A07B1C">
        <w:rPr>
          <w:rFonts w:ascii="Times New Roman" w:hAnsi="Times New Roman"/>
          <w:color w:val="auto"/>
          <w:sz w:val="24"/>
          <w:szCs w:val="24"/>
          <w:lang w:eastAsia="en-ZA"/>
        </w:rPr>
        <w:t>from</w:t>
      </w:r>
      <w:r w:rsidRPr="00A07B1C">
        <w:rPr>
          <w:rFonts w:ascii="Times New Roman" w:hAnsi="Times New Roman"/>
          <w:color w:val="auto"/>
          <w:sz w:val="24"/>
          <w:szCs w:val="24"/>
          <w:lang w:eastAsia="en-ZA"/>
        </w:rPr>
        <w:t>:</w:t>
      </w:r>
      <w:r w:rsidR="00A15E95" w:rsidRPr="00A07B1C">
        <w:rPr>
          <w:rFonts w:ascii="Times New Roman" w:hAnsi="Times New Roman"/>
          <w:color w:val="auto"/>
          <w:sz w:val="24"/>
          <w:szCs w:val="24"/>
          <w:lang w:eastAsia="en-ZA"/>
        </w:rPr>
        <w:t xml:space="preserve"> &lt;</w:t>
      </w:r>
      <w:r w:rsidRPr="00A07B1C">
        <w:rPr>
          <w:rFonts w:ascii="Times New Roman" w:hAnsi="Times New Roman"/>
          <w:color w:val="auto"/>
          <w:sz w:val="24"/>
          <w:szCs w:val="24"/>
          <w:lang w:eastAsia="en-ZA"/>
        </w:rPr>
        <w:t>http://www.statssa.gov.za/MDG/MDG_Country%20Report_Final30Sep2015.pdf</w:t>
      </w:r>
      <w:r w:rsidR="00A15E95" w:rsidRPr="00A07B1C">
        <w:rPr>
          <w:rFonts w:ascii="Times New Roman" w:hAnsi="Times New Roman"/>
          <w:color w:val="auto"/>
          <w:sz w:val="24"/>
          <w:szCs w:val="24"/>
          <w:lang w:eastAsia="en-ZA"/>
        </w:rPr>
        <w:t>&gt; Retrieved: 20 March 2019.</w:t>
      </w:r>
    </w:p>
    <w:p w14:paraId="08080FC2" w14:textId="77777777" w:rsidR="00E40757" w:rsidRPr="00A07B1C" w:rsidRDefault="00E40757" w:rsidP="00E40757">
      <w:pPr>
        <w:spacing w:line="360" w:lineRule="auto"/>
        <w:jc w:val="both"/>
        <w:rPr>
          <w:rFonts w:ascii="Times New Roman" w:hAnsi="Times New Roman"/>
          <w:sz w:val="24"/>
          <w:szCs w:val="24"/>
        </w:rPr>
      </w:pPr>
      <w:r w:rsidRPr="00A07B1C">
        <w:rPr>
          <w:rFonts w:ascii="Times New Roman" w:hAnsi="Times New Roman"/>
          <w:sz w:val="24"/>
          <w:szCs w:val="24"/>
        </w:rPr>
        <w:t xml:space="preserve">Southern African Development Community (2015). </w:t>
      </w:r>
      <w:r w:rsidRPr="00A07B1C">
        <w:rPr>
          <w:rFonts w:ascii="Times New Roman" w:hAnsi="Times New Roman"/>
          <w:i/>
          <w:sz w:val="24"/>
          <w:szCs w:val="24"/>
        </w:rPr>
        <w:t>SADC Industrialization Strategy and Roadmap 2015 – 2063</w:t>
      </w:r>
      <w:r w:rsidRPr="00A07B1C">
        <w:rPr>
          <w:rFonts w:ascii="Times New Roman" w:hAnsi="Times New Roman"/>
          <w:sz w:val="24"/>
          <w:szCs w:val="24"/>
        </w:rPr>
        <w:t>.</w:t>
      </w:r>
    </w:p>
    <w:p w14:paraId="38514278" w14:textId="77777777" w:rsidR="00E40757" w:rsidRPr="00A07B1C" w:rsidRDefault="00E40757" w:rsidP="00E40757">
      <w:pPr>
        <w:spacing w:line="360" w:lineRule="auto"/>
        <w:rPr>
          <w:rFonts w:ascii="Times New Roman" w:hAnsi="Times New Roman"/>
          <w:sz w:val="24"/>
          <w:szCs w:val="24"/>
        </w:rPr>
      </w:pPr>
      <w:r w:rsidRPr="00A07B1C">
        <w:rPr>
          <w:rFonts w:ascii="Times New Roman" w:hAnsi="Times New Roman"/>
          <w:sz w:val="24"/>
          <w:szCs w:val="24"/>
        </w:rPr>
        <w:t>The Presidency. Department: Plan</w:t>
      </w:r>
      <w:r w:rsidR="009702D3" w:rsidRPr="00A07B1C">
        <w:rPr>
          <w:rFonts w:ascii="Times New Roman" w:hAnsi="Times New Roman"/>
          <w:sz w:val="24"/>
          <w:szCs w:val="24"/>
        </w:rPr>
        <w:t>ning, Monitoring and Evaluation</w:t>
      </w:r>
      <w:r w:rsidRPr="00A07B1C">
        <w:rPr>
          <w:rFonts w:ascii="Times New Roman" w:hAnsi="Times New Roman"/>
          <w:sz w:val="24"/>
          <w:szCs w:val="24"/>
        </w:rPr>
        <w:t xml:space="preserve"> (2014) </w:t>
      </w:r>
      <w:r w:rsidRPr="00A07B1C">
        <w:rPr>
          <w:rFonts w:ascii="Times New Roman" w:hAnsi="Times New Roman"/>
          <w:i/>
          <w:sz w:val="24"/>
          <w:szCs w:val="24"/>
        </w:rPr>
        <w:t>Medium Term Strategic Framework: 2014-2019.</w:t>
      </w:r>
      <w:r w:rsidRPr="00A07B1C">
        <w:rPr>
          <w:rFonts w:ascii="Times New Roman" w:hAnsi="Times New Roman"/>
          <w:sz w:val="24"/>
          <w:szCs w:val="24"/>
        </w:rPr>
        <w:t xml:space="preserve"> </w:t>
      </w:r>
    </w:p>
    <w:p w14:paraId="206FC9E4" w14:textId="77777777" w:rsidR="005A1118" w:rsidRPr="00A07B1C" w:rsidRDefault="00E40757" w:rsidP="00E40757">
      <w:pPr>
        <w:spacing w:line="360" w:lineRule="auto"/>
        <w:jc w:val="both"/>
        <w:rPr>
          <w:rFonts w:ascii="Times New Roman" w:hAnsi="Times New Roman"/>
          <w:sz w:val="24"/>
          <w:szCs w:val="24"/>
        </w:rPr>
      </w:pPr>
      <w:r w:rsidRPr="00A07B1C">
        <w:rPr>
          <w:rFonts w:ascii="Times New Roman" w:hAnsi="Times New Roman"/>
          <w:sz w:val="24"/>
          <w:szCs w:val="24"/>
        </w:rPr>
        <w:t>United Nations Development Programme (</w:t>
      </w:r>
      <w:proofErr w:type="spellStart"/>
      <w:r w:rsidRPr="00A07B1C">
        <w:rPr>
          <w:rFonts w:ascii="Times New Roman" w:hAnsi="Times New Roman"/>
          <w:sz w:val="24"/>
          <w:szCs w:val="24"/>
        </w:rPr>
        <w:t>n.d</w:t>
      </w:r>
      <w:r w:rsidR="00AA6311" w:rsidRPr="00A07B1C">
        <w:rPr>
          <w:rFonts w:ascii="Times New Roman" w:hAnsi="Times New Roman"/>
          <w:sz w:val="24"/>
          <w:szCs w:val="24"/>
        </w:rPr>
        <w:t>.</w:t>
      </w:r>
      <w:proofErr w:type="spellEnd"/>
      <w:r w:rsidRPr="00A07B1C">
        <w:rPr>
          <w:rFonts w:ascii="Times New Roman" w:hAnsi="Times New Roman"/>
          <w:sz w:val="24"/>
          <w:szCs w:val="24"/>
        </w:rPr>
        <w:t xml:space="preserve">) </w:t>
      </w:r>
      <w:r w:rsidRPr="00A07B1C">
        <w:rPr>
          <w:rFonts w:ascii="Times New Roman" w:hAnsi="Times New Roman"/>
          <w:i/>
          <w:sz w:val="24"/>
          <w:szCs w:val="24"/>
        </w:rPr>
        <w:t>Sustainable Development Goals</w:t>
      </w:r>
      <w:r w:rsidRPr="00A07B1C">
        <w:rPr>
          <w:rFonts w:ascii="Times New Roman" w:hAnsi="Times New Roman"/>
          <w:sz w:val="24"/>
          <w:szCs w:val="24"/>
        </w:rPr>
        <w:t xml:space="preserve">. </w:t>
      </w:r>
      <w:r w:rsidR="00A15E95" w:rsidRPr="00A07B1C">
        <w:rPr>
          <w:rFonts w:ascii="Times New Roman" w:hAnsi="Times New Roman"/>
          <w:sz w:val="24"/>
          <w:szCs w:val="24"/>
        </w:rPr>
        <w:t>[</w:t>
      </w:r>
      <w:r w:rsidRPr="00A07B1C">
        <w:rPr>
          <w:rFonts w:ascii="Times New Roman" w:hAnsi="Times New Roman"/>
          <w:sz w:val="24"/>
          <w:szCs w:val="24"/>
        </w:rPr>
        <w:t>Internet</w:t>
      </w:r>
      <w:r w:rsidR="00A15E95" w:rsidRPr="00A07B1C">
        <w:rPr>
          <w:rFonts w:ascii="Times New Roman" w:hAnsi="Times New Roman"/>
          <w:sz w:val="24"/>
          <w:szCs w:val="24"/>
        </w:rPr>
        <w:t>]</w:t>
      </w:r>
      <w:r w:rsidRPr="00A07B1C">
        <w:rPr>
          <w:rFonts w:ascii="Times New Roman" w:hAnsi="Times New Roman"/>
          <w:sz w:val="24"/>
          <w:szCs w:val="24"/>
        </w:rPr>
        <w:t>. Available from</w:t>
      </w:r>
      <w:r w:rsidR="00A15E95" w:rsidRPr="00A07B1C">
        <w:rPr>
          <w:rFonts w:ascii="Times New Roman" w:hAnsi="Times New Roman"/>
          <w:sz w:val="24"/>
          <w:szCs w:val="24"/>
        </w:rPr>
        <w:t>:</w:t>
      </w:r>
      <w:r w:rsidRPr="00A07B1C">
        <w:rPr>
          <w:rFonts w:ascii="Times New Roman" w:hAnsi="Times New Roman"/>
          <w:sz w:val="24"/>
          <w:szCs w:val="24"/>
        </w:rPr>
        <w:t xml:space="preserve"> &lt;http://www.za.undp.org/&gt;</w:t>
      </w:r>
      <w:r w:rsidR="0026432B" w:rsidRPr="00A07B1C">
        <w:rPr>
          <w:rFonts w:ascii="Times New Roman" w:hAnsi="Times New Roman"/>
          <w:sz w:val="24"/>
          <w:szCs w:val="24"/>
        </w:rPr>
        <w:t xml:space="preserve">. Retrieved: 22 February 2018. </w:t>
      </w:r>
    </w:p>
    <w:p w14:paraId="7BA0F090" w14:textId="77777777" w:rsidR="00C65858" w:rsidRPr="00A07B1C" w:rsidRDefault="00C65858" w:rsidP="00E40757">
      <w:pPr>
        <w:spacing w:line="360" w:lineRule="auto"/>
        <w:jc w:val="both"/>
        <w:rPr>
          <w:rFonts w:ascii="Times New Roman" w:hAnsi="Times New Roman"/>
          <w:sz w:val="24"/>
          <w:szCs w:val="24"/>
        </w:rPr>
      </w:pPr>
    </w:p>
    <w:sectPr w:rsidR="00C65858" w:rsidRPr="00A07B1C" w:rsidSect="00E40757">
      <w:footerReference w:type="default" r:id="rId9"/>
      <w:footerReference w:type="first" r:id="rId10"/>
      <w:pgSz w:w="11906" w:h="16838" w:code="9"/>
      <w:pgMar w:top="1743"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12ADA" w14:textId="77777777" w:rsidR="00BC6FE6" w:rsidRDefault="00BC6FE6" w:rsidP="006A7D0D">
      <w:pPr>
        <w:spacing w:line="240" w:lineRule="auto"/>
      </w:pPr>
      <w:r>
        <w:separator/>
      </w:r>
    </w:p>
  </w:endnote>
  <w:endnote w:type="continuationSeparator" w:id="0">
    <w:p w14:paraId="3493DF96" w14:textId="77777777" w:rsidR="00BC6FE6" w:rsidRDefault="00BC6FE6" w:rsidP="006A7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457D" w14:textId="77777777" w:rsidR="007E33ED" w:rsidRPr="00AA6311" w:rsidRDefault="007E33ED">
    <w:pPr>
      <w:pStyle w:val="Footer"/>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AC76" w14:textId="77777777" w:rsidR="007E33ED" w:rsidRDefault="007E33ED">
    <w:pPr>
      <w:pStyle w:val="Footer"/>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764D15">
      <w:rPr>
        <w:rStyle w:val="PageNumber"/>
        <w:noProof/>
      </w:rPr>
      <w:t>1</w:t>
    </w:r>
    <w:r>
      <w:rPr>
        <w:rStyle w:val="PageNumber"/>
      </w:rPr>
      <w:fldChar w:fldCharType="end"/>
    </w:r>
  </w:p>
  <w:p w14:paraId="6B2E1663" w14:textId="77777777" w:rsidR="007E33ED" w:rsidRPr="00F05DFE" w:rsidRDefault="007E33ED" w:rsidP="00E40757">
    <w:pPr>
      <w:pStyle w:val="Heading1"/>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D9595" w14:textId="77777777" w:rsidR="00BC6FE6" w:rsidRDefault="00BC6FE6" w:rsidP="006A7D0D">
      <w:pPr>
        <w:spacing w:line="240" w:lineRule="auto"/>
      </w:pPr>
      <w:r>
        <w:separator/>
      </w:r>
    </w:p>
  </w:footnote>
  <w:footnote w:type="continuationSeparator" w:id="0">
    <w:p w14:paraId="56B84D92" w14:textId="77777777" w:rsidR="00BC6FE6" w:rsidRDefault="00BC6FE6" w:rsidP="006A7D0D">
      <w:pPr>
        <w:spacing w:line="240" w:lineRule="auto"/>
      </w:pPr>
      <w:r>
        <w:continuationSeparator/>
      </w:r>
    </w:p>
  </w:footnote>
  <w:footnote w:id="1">
    <w:p w14:paraId="3792F4C0" w14:textId="77777777" w:rsidR="007E33ED" w:rsidRPr="00225F88" w:rsidRDefault="007E33ED">
      <w:pPr>
        <w:pStyle w:val="FootnoteText"/>
        <w:rPr>
          <w:lang w:val="en-ZA"/>
        </w:rPr>
      </w:pPr>
      <w:r>
        <w:rPr>
          <w:rStyle w:val="FootnoteReference"/>
        </w:rPr>
        <w:footnoteRef/>
      </w:r>
      <w:r>
        <w:t xml:space="preserve"> </w:t>
      </w:r>
      <w:proofErr w:type="spellStart"/>
      <w:r>
        <w:rPr>
          <w:lang w:val="en-ZA"/>
        </w:rPr>
        <w:t>Ramaphosa</w:t>
      </w:r>
      <w:proofErr w:type="spellEnd"/>
      <w:r>
        <w:rPr>
          <w:lang w:val="en-ZA"/>
        </w:rPr>
        <w:t xml:space="preserve"> (2019)</w:t>
      </w:r>
    </w:p>
  </w:footnote>
  <w:footnote w:id="2">
    <w:p w14:paraId="1BC43EA5" w14:textId="77777777" w:rsidR="007E33ED" w:rsidRPr="00A07B1C" w:rsidRDefault="007E33ED" w:rsidP="006A7D0D">
      <w:pPr>
        <w:pStyle w:val="FootnoteText"/>
        <w:spacing w:line="240" w:lineRule="exact"/>
        <w:rPr>
          <w:szCs w:val="18"/>
          <w:lang w:val="en-GB"/>
        </w:rPr>
      </w:pPr>
      <w:r w:rsidRPr="00A07B1C">
        <w:rPr>
          <w:rStyle w:val="FootnoteReference"/>
          <w:szCs w:val="18"/>
          <w:lang w:val="en-GB"/>
        </w:rPr>
        <w:footnoteRef/>
      </w:r>
      <w:r w:rsidRPr="00A07B1C">
        <w:rPr>
          <w:szCs w:val="18"/>
          <w:lang w:val="en-GB"/>
        </w:rPr>
        <w:t xml:space="preserve"> Department of Trade and Industry (2019a)</w:t>
      </w:r>
    </w:p>
  </w:footnote>
  <w:footnote w:id="3">
    <w:p w14:paraId="52A41210" w14:textId="77777777" w:rsidR="007E33ED" w:rsidRPr="00A07B1C" w:rsidRDefault="007E33ED" w:rsidP="001562C5">
      <w:pPr>
        <w:pStyle w:val="FootnoteText"/>
        <w:spacing w:line="240" w:lineRule="exact"/>
        <w:rPr>
          <w:rFonts w:ascii="Arial" w:hAnsi="Arial" w:cs="Arial"/>
          <w:sz w:val="18"/>
          <w:szCs w:val="18"/>
          <w:lang w:val="en-GB"/>
        </w:rPr>
      </w:pPr>
      <w:r w:rsidRPr="00A07B1C">
        <w:rPr>
          <w:rStyle w:val="FootnoteReference"/>
          <w:szCs w:val="18"/>
          <w:lang w:val="en-GB"/>
        </w:rPr>
        <w:footnoteRef/>
      </w:r>
      <w:r w:rsidRPr="00A07B1C">
        <w:rPr>
          <w:szCs w:val="18"/>
          <w:lang w:val="en-GB"/>
        </w:rPr>
        <w:t xml:space="preserve"> Ibid</w:t>
      </w:r>
    </w:p>
  </w:footnote>
  <w:footnote w:id="4">
    <w:p w14:paraId="7B55CCA5"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w:t>
      </w:r>
      <w:proofErr w:type="spellStart"/>
      <w:r w:rsidRPr="00A07B1C">
        <w:rPr>
          <w:lang w:val="en-GB"/>
        </w:rPr>
        <w:t>Ramaphosa</w:t>
      </w:r>
      <w:proofErr w:type="spellEnd"/>
      <w:r w:rsidRPr="00A07B1C">
        <w:rPr>
          <w:lang w:val="en-GB"/>
        </w:rPr>
        <w:t xml:space="preserve"> (2019)</w:t>
      </w:r>
    </w:p>
  </w:footnote>
  <w:footnote w:id="5">
    <w:p w14:paraId="2598D82B"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The Presidency (2014)</w:t>
      </w:r>
    </w:p>
  </w:footnote>
  <w:footnote w:id="6">
    <w:p w14:paraId="73A9B7C5"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w:t>
      </w:r>
      <w:proofErr w:type="spellStart"/>
      <w:r w:rsidRPr="00A07B1C">
        <w:rPr>
          <w:lang w:val="en-GB"/>
        </w:rPr>
        <w:t>Ramaphosa</w:t>
      </w:r>
      <w:proofErr w:type="spellEnd"/>
      <w:r w:rsidRPr="00A07B1C">
        <w:rPr>
          <w:lang w:val="en-GB"/>
        </w:rPr>
        <w:t xml:space="preserve"> (2019)</w:t>
      </w:r>
    </w:p>
  </w:footnote>
  <w:footnote w:id="7">
    <w:p w14:paraId="50FBEBB7"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United National Development Programme (</w:t>
      </w:r>
      <w:proofErr w:type="spellStart"/>
      <w:r w:rsidRPr="00A07B1C">
        <w:rPr>
          <w:lang w:val="en-GB"/>
        </w:rPr>
        <w:t>n.d.</w:t>
      </w:r>
      <w:proofErr w:type="spellEnd"/>
      <w:r w:rsidRPr="00A07B1C">
        <w:rPr>
          <w:lang w:val="en-GB"/>
        </w:rPr>
        <w:t>)</w:t>
      </w:r>
    </w:p>
  </w:footnote>
  <w:footnote w:id="8">
    <w:p w14:paraId="6B8E9BBA" w14:textId="77777777" w:rsidR="007E33ED" w:rsidRPr="00A07B1C" w:rsidRDefault="007E33ED" w:rsidP="00741DE9">
      <w:pPr>
        <w:pStyle w:val="FootnoteText"/>
        <w:rPr>
          <w:lang w:val="en-GB"/>
        </w:rPr>
      </w:pPr>
      <w:r w:rsidRPr="00A07B1C">
        <w:rPr>
          <w:rStyle w:val="FootnoteReference"/>
          <w:lang w:val="en-GB"/>
        </w:rPr>
        <w:footnoteRef/>
      </w:r>
      <w:r w:rsidRPr="00A07B1C">
        <w:rPr>
          <w:lang w:val="en-GB"/>
        </w:rPr>
        <w:t xml:space="preserve"> Department of Trade and Industry (2019b: 14)</w:t>
      </w:r>
    </w:p>
  </w:footnote>
  <w:footnote w:id="9">
    <w:p w14:paraId="58F91D03"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United National Development Programme (</w:t>
      </w:r>
      <w:proofErr w:type="spellStart"/>
      <w:r w:rsidRPr="00A07B1C">
        <w:rPr>
          <w:lang w:val="en-GB"/>
        </w:rPr>
        <w:t>n.d.</w:t>
      </w:r>
      <w:proofErr w:type="spellEnd"/>
      <w:r w:rsidRPr="00A07B1C">
        <w:rPr>
          <w:lang w:val="en-GB"/>
        </w:rPr>
        <w:t>)</w:t>
      </w:r>
    </w:p>
  </w:footnote>
  <w:footnote w:id="10">
    <w:p w14:paraId="67DAF266"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Ibid</w:t>
      </w:r>
    </w:p>
  </w:footnote>
  <w:footnote w:id="11">
    <w:p w14:paraId="55922BFD" w14:textId="77777777" w:rsidR="007E33ED" w:rsidRPr="00A07B1C" w:rsidRDefault="007E33ED" w:rsidP="009B6A38">
      <w:pPr>
        <w:pStyle w:val="FootnoteText"/>
        <w:rPr>
          <w:sz w:val="18"/>
          <w:szCs w:val="18"/>
          <w:lang w:val="en-GB"/>
        </w:rPr>
      </w:pPr>
      <w:r w:rsidRPr="00A07B1C">
        <w:rPr>
          <w:rStyle w:val="FootnoteReference"/>
          <w:szCs w:val="18"/>
          <w:lang w:val="en-GB"/>
        </w:rPr>
        <w:footnoteRef/>
      </w:r>
      <w:r w:rsidRPr="00A07B1C">
        <w:rPr>
          <w:szCs w:val="18"/>
          <w:lang w:val="en-GB"/>
        </w:rPr>
        <w:t xml:space="preserve"> South Africa </w:t>
      </w:r>
      <w:proofErr w:type="spellStart"/>
      <w:r w:rsidRPr="00A07B1C">
        <w:rPr>
          <w:szCs w:val="18"/>
          <w:lang w:val="en-GB"/>
        </w:rPr>
        <w:t>Millenium</w:t>
      </w:r>
      <w:proofErr w:type="spellEnd"/>
      <w:r w:rsidRPr="00A07B1C">
        <w:rPr>
          <w:szCs w:val="18"/>
          <w:lang w:val="en-GB"/>
        </w:rPr>
        <w:t xml:space="preserve"> Development Goals country report (2015)</w:t>
      </w:r>
    </w:p>
  </w:footnote>
  <w:footnote w:id="12">
    <w:p w14:paraId="63AE6931" w14:textId="77777777" w:rsidR="007E33ED" w:rsidRPr="00A07B1C" w:rsidRDefault="007E33ED" w:rsidP="00C123BA">
      <w:pPr>
        <w:pStyle w:val="FootnoteText"/>
        <w:rPr>
          <w:lang w:val="en-GB"/>
        </w:rPr>
      </w:pPr>
      <w:r w:rsidRPr="00A07B1C">
        <w:rPr>
          <w:rStyle w:val="FootnoteReference"/>
          <w:lang w:val="en-GB"/>
        </w:rPr>
        <w:footnoteRef/>
      </w:r>
      <w:r w:rsidRPr="00A07B1C">
        <w:rPr>
          <w:lang w:val="en-GB"/>
        </w:rPr>
        <w:t xml:space="preserve"> United National Development Programme (</w:t>
      </w:r>
      <w:proofErr w:type="spellStart"/>
      <w:r w:rsidRPr="00A07B1C">
        <w:rPr>
          <w:lang w:val="en-GB"/>
        </w:rPr>
        <w:t>n.d.</w:t>
      </w:r>
      <w:proofErr w:type="spellEnd"/>
      <w:r w:rsidRPr="00A07B1C">
        <w:rPr>
          <w:lang w:val="en-GB"/>
        </w:rPr>
        <w:t>)</w:t>
      </w:r>
    </w:p>
  </w:footnote>
  <w:footnote w:id="13">
    <w:p w14:paraId="3506664D" w14:textId="77777777" w:rsidR="007E33ED" w:rsidRPr="00A07B1C" w:rsidRDefault="007E33ED" w:rsidP="00C123BA">
      <w:pPr>
        <w:pStyle w:val="FootnoteText"/>
        <w:rPr>
          <w:lang w:val="en-GB"/>
        </w:rPr>
      </w:pPr>
      <w:r w:rsidRPr="00A07B1C">
        <w:rPr>
          <w:rStyle w:val="FootnoteReference"/>
          <w:lang w:val="en-GB"/>
        </w:rPr>
        <w:footnoteRef/>
      </w:r>
      <w:r w:rsidRPr="00A07B1C">
        <w:rPr>
          <w:lang w:val="en-GB"/>
        </w:rPr>
        <w:t xml:space="preserve"> Ibid</w:t>
      </w:r>
    </w:p>
  </w:footnote>
  <w:footnote w:id="14">
    <w:p w14:paraId="518F6838" w14:textId="77777777" w:rsidR="007E33ED" w:rsidRPr="00A07B1C" w:rsidRDefault="007E33ED" w:rsidP="00C123BA">
      <w:pPr>
        <w:pStyle w:val="FootnoteText"/>
        <w:rPr>
          <w:lang w:val="en-GB"/>
        </w:rPr>
      </w:pPr>
      <w:r w:rsidRPr="00A07B1C">
        <w:rPr>
          <w:rStyle w:val="FootnoteReference"/>
          <w:lang w:val="en-GB"/>
        </w:rPr>
        <w:footnoteRef/>
      </w:r>
      <w:r w:rsidRPr="00A07B1C">
        <w:rPr>
          <w:lang w:val="en-GB"/>
        </w:rPr>
        <w:t xml:space="preserve"> Ibid</w:t>
      </w:r>
    </w:p>
  </w:footnote>
  <w:footnote w:id="15">
    <w:p w14:paraId="059E1ACB"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African Union Commission (2015)</w:t>
      </w:r>
    </w:p>
  </w:footnote>
  <w:footnote w:id="16">
    <w:p w14:paraId="1D76872F" w14:textId="77777777" w:rsidR="007E33ED" w:rsidRPr="00A07B1C" w:rsidRDefault="007E33ED" w:rsidP="00C123BA">
      <w:pPr>
        <w:pStyle w:val="FootnoteText"/>
        <w:rPr>
          <w:lang w:val="en-GB"/>
        </w:rPr>
      </w:pPr>
      <w:r w:rsidRPr="00A07B1C">
        <w:rPr>
          <w:rStyle w:val="FootnoteReference"/>
          <w:lang w:val="en-GB"/>
        </w:rPr>
        <w:footnoteRef/>
      </w:r>
      <w:r w:rsidRPr="00A07B1C">
        <w:rPr>
          <w:lang w:val="en-GB"/>
        </w:rPr>
        <w:t xml:space="preserve"> Ibid</w:t>
      </w:r>
    </w:p>
  </w:footnote>
  <w:footnote w:id="17">
    <w:p w14:paraId="672CDAB5" w14:textId="77777777" w:rsidR="007E33ED" w:rsidRPr="00A07B1C" w:rsidRDefault="007E33ED" w:rsidP="00741DE9">
      <w:pPr>
        <w:pStyle w:val="FootnoteText"/>
        <w:rPr>
          <w:lang w:val="en-GB"/>
        </w:rPr>
      </w:pPr>
      <w:r w:rsidRPr="00A07B1C">
        <w:rPr>
          <w:rStyle w:val="FootnoteReference"/>
          <w:lang w:val="en-GB"/>
        </w:rPr>
        <w:footnoteRef/>
      </w:r>
      <w:r w:rsidRPr="00A07B1C">
        <w:rPr>
          <w:lang w:val="en-GB"/>
        </w:rPr>
        <w:t xml:space="preserve"> Department of Trade and Industry (2019b:14)</w:t>
      </w:r>
      <w:r w:rsidRPr="00A07B1C">
        <w:rPr>
          <w:sz w:val="22"/>
          <w:szCs w:val="22"/>
          <w:lang w:val="en-GB"/>
        </w:rPr>
        <w:t xml:space="preserve"> </w:t>
      </w:r>
    </w:p>
  </w:footnote>
  <w:footnote w:id="18">
    <w:p w14:paraId="3ECF3A47"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EDD (2019: 14)</w:t>
      </w:r>
    </w:p>
  </w:footnote>
  <w:footnote w:id="19">
    <w:p w14:paraId="2EFB9E8B"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Ibid</w:t>
      </w:r>
    </w:p>
  </w:footnote>
  <w:footnote w:id="20">
    <w:p w14:paraId="05FE11CB" w14:textId="77777777" w:rsidR="007E33ED" w:rsidRPr="00A07B1C" w:rsidRDefault="007E33ED" w:rsidP="000B6DCC">
      <w:pPr>
        <w:pStyle w:val="FootnoteText"/>
        <w:rPr>
          <w:rFonts w:ascii="Arial" w:hAnsi="Arial" w:cs="Arial"/>
          <w:lang w:val="en-GB"/>
        </w:rPr>
      </w:pPr>
      <w:r w:rsidRPr="00A07B1C">
        <w:rPr>
          <w:rStyle w:val="FootnoteReference"/>
          <w:lang w:val="en-GB"/>
        </w:rPr>
        <w:footnoteRef/>
      </w:r>
      <w:r w:rsidRPr="00A07B1C">
        <w:rPr>
          <w:lang w:val="en-GB"/>
        </w:rPr>
        <w:t xml:space="preserve"> Southern African Development Community (2015)</w:t>
      </w:r>
      <w:r w:rsidRPr="00A07B1C">
        <w:rPr>
          <w:rFonts w:ascii="Arial" w:hAnsi="Arial" w:cs="Arial"/>
          <w:lang w:val="en-GB"/>
        </w:rPr>
        <w:t xml:space="preserve"> </w:t>
      </w:r>
    </w:p>
  </w:footnote>
  <w:footnote w:id="21">
    <w:p w14:paraId="7EFD3D4F"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EDD (2019: 14)</w:t>
      </w:r>
    </w:p>
  </w:footnote>
  <w:footnote w:id="22">
    <w:p w14:paraId="5425F21D"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EDD (2019: 26, 30 and 40)</w:t>
      </w:r>
    </w:p>
  </w:footnote>
  <w:footnote w:id="23">
    <w:p w14:paraId="4EC62A76" w14:textId="77777777" w:rsidR="007E33ED" w:rsidRPr="00A07B1C" w:rsidRDefault="007E33ED" w:rsidP="0054226E">
      <w:pPr>
        <w:pStyle w:val="FootnoteText"/>
        <w:rPr>
          <w:szCs w:val="18"/>
          <w:lang w:val="en-GB"/>
        </w:rPr>
      </w:pPr>
      <w:r w:rsidRPr="00A07B1C">
        <w:rPr>
          <w:rStyle w:val="FootnoteReference"/>
          <w:szCs w:val="18"/>
          <w:lang w:val="en-GB"/>
        </w:rPr>
        <w:footnoteRef/>
      </w:r>
      <w:r w:rsidRPr="00A07B1C">
        <w:rPr>
          <w:szCs w:val="18"/>
          <w:lang w:val="en-GB"/>
        </w:rPr>
        <w:t xml:space="preserve"> National Treasury (2019b)</w:t>
      </w:r>
    </w:p>
  </w:footnote>
  <w:footnote w:id="24">
    <w:p w14:paraId="2357C83C"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‘Real terms’ means that the inflationary effect has been taken into account.</w:t>
      </w:r>
    </w:p>
  </w:footnote>
  <w:footnote w:id="25">
    <w:p w14:paraId="79A977B1"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The real percentage change calculation was based on the estimated consumer price index for the 2019/20 financial year of 5,2% (National Treasury (2019a: 26)).</w:t>
      </w:r>
    </w:p>
  </w:footnote>
  <w:footnote w:id="26">
    <w:p w14:paraId="7561AF98" w14:textId="77777777" w:rsidR="007E33ED" w:rsidRPr="00A07B1C" w:rsidRDefault="007E33ED" w:rsidP="00E40757">
      <w:pPr>
        <w:pStyle w:val="FootnoteText"/>
        <w:jc w:val="both"/>
        <w:rPr>
          <w:sz w:val="18"/>
          <w:szCs w:val="18"/>
          <w:lang w:val="en-GB"/>
        </w:rPr>
      </w:pPr>
      <w:r w:rsidRPr="00A07B1C">
        <w:rPr>
          <w:rStyle w:val="FootnoteReference"/>
          <w:szCs w:val="18"/>
          <w:lang w:val="en-GB"/>
        </w:rPr>
        <w:footnoteRef/>
      </w:r>
      <w:r w:rsidRPr="00A07B1C">
        <w:rPr>
          <w:szCs w:val="18"/>
          <w:lang w:val="en-GB"/>
        </w:rPr>
        <w:t xml:space="preserve"> National Treasury (2019b: 524)</w:t>
      </w:r>
    </w:p>
  </w:footnote>
  <w:footnote w:id="27">
    <w:p w14:paraId="3F9A4272"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EDD (2019: 29)</w:t>
      </w:r>
    </w:p>
  </w:footnote>
  <w:footnote w:id="28">
    <w:p w14:paraId="1BF3DC5E" w14:textId="77777777" w:rsidR="007E33ED" w:rsidRPr="00A07B1C" w:rsidRDefault="007E33ED" w:rsidP="006D4844">
      <w:pPr>
        <w:pStyle w:val="FootnoteText"/>
        <w:rPr>
          <w:lang w:val="en-GB"/>
        </w:rPr>
      </w:pPr>
      <w:r w:rsidRPr="00A07B1C">
        <w:rPr>
          <w:rStyle w:val="FootnoteReference"/>
          <w:lang w:val="en-GB"/>
        </w:rPr>
        <w:footnoteRef/>
      </w:r>
      <w:r w:rsidRPr="00A07B1C">
        <w:rPr>
          <w:lang w:val="en-GB"/>
        </w:rPr>
        <w:t xml:space="preserve"> Department of Trade and Industry (2019b: 14)</w:t>
      </w:r>
    </w:p>
  </w:footnote>
  <w:footnote w:id="29">
    <w:p w14:paraId="7559CA87"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Department of Trade and Industry (2019b: 49, 54, 59, 65, 70, 75, 80 and 84)</w:t>
      </w:r>
    </w:p>
  </w:footnote>
  <w:footnote w:id="30">
    <w:p w14:paraId="10BB88B8" w14:textId="77777777" w:rsidR="007E33ED" w:rsidRPr="00A07B1C" w:rsidRDefault="007E33ED" w:rsidP="00E40757">
      <w:pPr>
        <w:pStyle w:val="FootnoteText"/>
        <w:spacing w:line="276" w:lineRule="auto"/>
        <w:rPr>
          <w:lang w:val="en-GB"/>
        </w:rPr>
      </w:pPr>
      <w:r w:rsidRPr="00A07B1C">
        <w:rPr>
          <w:rStyle w:val="FootnoteReference"/>
          <w:lang w:val="en-GB"/>
        </w:rPr>
        <w:footnoteRef/>
      </w:r>
      <w:r w:rsidRPr="00A07B1C">
        <w:rPr>
          <w:lang w:val="en-GB"/>
        </w:rPr>
        <w:t xml:space="preserve"> Inflation estimates are 5.2%, 5.5% and 5.4% respectively for the next three years from 2019/20 to 2021/22 (National Treasury (2019a: 26)) </w:t>
      </w:r>
    </w:p>
  </w:footnote>
  <w:footnote w:id="31">
    <w:p w14:paraId="0578AF13" w14:textId="77777777" w:rsidR="007E33ED" w:rsidRPr="00A07B1C" w:rsidRDefault="007E33ED" w:rsidP="00E40757">
      <w:pPr>
        <w:pStyle w:val="FootnoteText"/>
        <w:spacing w:line="276" w:lineRule="auto"/>
        <w:rPr>
          <w:sz w:val="18"/>
          <w:szCs w:val="18"/>
          <w:lang w:val="en-GB"/>
        </w:rPr>
      </w:pPr>
      <w:r w:rsidRPr="00A07B1C">
        <w:rPr>
          <w:rStyle w:val="FootnoteReference"/>
          <w:lang w:val="en-GB"/>
        </w:rPr>
        <w:footnoteRef/>
      </w:r>
      <w:r w:rsidRPr="00A07B1C">
        <w:rPr>
          <w:lang w:val="en-GB"/>
        </w:rPr>
        <w:t xml:space="preserve"> Department of Trade and Industry (2019b: 14)</w:t>
      </w:r>
      <w:r w:rsidRPr="00A07B1C">
        <w:rPr>
          <w:sz w:val="18"/>
          <w:szCs w:val="18"/>
          <w:lang w:val="en-GB"/>
        </w:rPr>
        <w:t xml:space="preserve"> </w:t>
      </w:r>
    </w:p>
  </w:footnote>
  <w:footnote w:id="32">
    <w:p w14:paraId="01E1102C" w14:textId="77777777" w:rsidR="007E33ED" w:rsidRPr="00A07B1C" w:rsidRDefault="007E33ED" w:rsidP="0026427A">
      <w:pPr>
        <w:pStyle w:val="FootnoteText"/>
        <w:jc w:val="both"/>
        <w:rPr>
          <w:sz w:val="18"/>
          <w:szCs w:val="18"/>
          <w:lang w:val="en-GB"/>
        </w:rPr>
      </w:pPr>
      <w:r w:rsidRPr="00A07B1C">
        <w:rPr>
          <w:rStyle w:val="FootnoteReference"/>
          <w:szCs w:val="18"/>
          <w:lang w:val="en-GB"/>
        </w:rPr>
        <w:footnoteRef/>
      </w:r>
      <w:r w:rsidRPr="00A07B1C">
        <w:rPr>
          <w:szCs w:val="18"/>
          <w:lang w:val="en-GB"/>
        </w:rPr>
        <w:t xml:space="preserve"> National Treasury (2019b: 713)</w:t>
      </w:r>
    </w:p>
  </w:footnote>
  <w:footnote w:id="33">
    <w:p w14:paraId="3236182A" w14:textId="77777777" w:rsidR="007E33ED" w:rsidRPr="00A07B1C" w:rsidRDefault="007E33ED" w:rsidP="00F31074">
      <w:pPr>
        <w:pStyle w:val="FootnoteText"/>
        <w:rPr>
          <w:lang w:val="en-GB"/>
        </w:rPr>
      </w:pPr>
      <w:r w:rsidRPr="00A07B1C">
        <w:rPr>
          <w:rStyle w:val="FootnoteReference"/>
          <w:lang w:val="en-GB"/>
        </w:rPr>
        <w:footnoteRef/>
      </w:r>
      <w:r w:rsidRPr="00A07B1C">
        <w:rPr>
          <w:lang w:val="en-GB"/>
        </w:rPr>
        <w:t xml:space="preserve"> Previously known as the National Lotteries Board.</w:t>
      </w:r>
    </w:p>
  </w:footnote>
  <w:footnote w:id="34">
    <w:p w14:paraId="6049D53B" w14:textId="77777777" w:rsidR="007E33ED" w:rsidRPr="00A07B1C" w:rsidRDefault="007E33ED">
      <w:pPr>
        <w:pStyle w:val="FootnoteText"/>
        <w:rPr>
          <w:lang w:val="en-GB"/>
        </w:rPr>
      </w:pPr>
      <w:r w:rsidRPr="00A07B1C">
        <w:rPr>
          <w:rStyle w:val="FootnoteReference"/>
          <w:lang w:val="en-GB"/>
        </w:rPr>
        <w:footnoteRef/>
      </w:r>
      <w:r w:rsidRPr="00A07B1C">
        <w:rPr>
          <w:lang w:val="en-GB"/>
        </w:rPr>
        <w:t xml:space="preserve"> See section </w:t>
      </w:r>
      <w:proofErr w:type="gramStart"/>
      <w:r w:rsidRPr="00A07B1C">
        <w:rPr>
          <w:lang w:val="en-GB"/>
        </w:rPr>
        <w:t>13B(</w:t>
      </w:r>
      <w:proofErr w:type="gramEnd"/>
      <w:r w:rsidRPr="00A07B1C">
        <w:rPr>
          <w:lang w:val="en-GB"/>
        </w:rPr>
        <w:t>1) of the B-BBEE Act (No. 53 of 2003), as amended.</w:t>
      </w:r>
    </w:p>
  </w:footnote>
  <w:footnote w:id="35">
    <w:p w14:paraId="0B861E57" w14:textId="77777777" w:rsidR="007E33ED" w:rsidRPr="00A07B1C" w:rsidRDefault="007E33ED" w:rsidP="0051112C">
      <w:pPr>
        <w:pStyle w:val="FootnoteText"/>
        <w:rPr>
          <w:lang w:val="en-GB"/>
        </w:rPr>
      </w:pPr>
      <w:r w:rsidRPr="00A07B1C">
        <w:rPr>
          <w:rStyle w:val="FootnoteReference"/>
          <w:lang w:val="en-GB"/>
        </w:rPr>
        <w:footnoteRef/>
      </w:r>
      <w:r w:rsidRPr="00A07B1C">
        <w:rPr>
          <w:lang w:val="en-GB"/>
        </w:rPr>
        <w:t xml:space="preserve"> Luminance is a measure of brightness or the amount of light per unit area (</w:t>
      </w:r>
      <w:proofErr w:type="spellStart"/>
      <w:r w:rsidRPr="00A07B1C">
        <w:rPr>
          <w:lang w:val="en-GB"/>
        </w:rPr>
        <w:t>ScienceDirect</w:t>
      </w:r>
      <w:proofErr w:type="spellEnd"/>
      <w:r w:rsidRPr="00A07B1C">
        <w:rPr>
          <w:lang w:val="en-GB"/>
        </w:rPr>
        <w:t xml:space="preserve"> (2019)).</w:t>
      </w:r>
    </w:p>
  </w:footnote>
  <w:footnote w:id="36">
    <w:p w14:paraId="3346A448" w14:textId="77777777" w:rsidR="007E33ED" w:rsidRPr="00A07B1C" w:rsidRDefault="007E33ED" w:rsidP="0051112C">
      <w:pPr>
        <w:pStyle w:val="FootnoteText"/>
        <w:rPr>
          <w:lang w:val="en-GB"/>
        </w:rPr>
      </w:pPr>
      <w:r w:rsidRPr="00A07B1C">
        <w:rPr>
          <w:rStyle w:val="FootnoteReference"/>
          <w:lang w:val="en-GB"/>
        </w:rPr>
        <w:footnoteRef/>
      </w:r>
      <w:r w:rsidRPr="00A07B1C">
        <w:rPr>
          <w:lang w:val="en-GB"/>
        </w:rPr>
        <w:t xml:space="preserve"> Bureau International des </w:t>
      </w:r>
      <w:proofErr w:type="spellStart"/>
      <w:r w:rsidRPr="00A07B1C">
        <w:rPr>
          <w:lang w:val="en-GB"/>
        </w:rPr>
        <w:t>Poide</w:t>
      </w:r>
      <w:proofErr w:type="spellEnd"/>
      <w:r w:rsidRPr="00A07B1C">
        <w:rPr>
          <w:lang w:val="en-GB"/>
        </w:rPr>
        <w:t xml:space="preserve"> et </w:t>
      </w:r>
      <w:proofErr w:type="spellStart"/>
      <w:r w:rsidRPr="00A07B1C">
        <w:rPr>
          <w:lang w:val="en-GB"/>
        </w:rPr>
        <w:t>Mesures</w:t>
      </w:r>
      <w:proofErr w:type="spellEnd"/>
      <w:r w:rsidRPr="00A07B1C">
        <w:rPr>
          <w:lang w:val="en-GB"/>
        </w:rPr>
        <w:t xml:space="preserve"> (</w:t>
      </w:r>
      <w:proofErr w:type="spellStart"/>
      <w:r w:rsidRPr="00A07B1C">
        <w:rPr>
          <w:lang w:val="en-GB"/>
        </w:rPr>
        <w:t>n.d.</w:t>
      </w:r>
      <w:proofErr w:type="spellEnd"/>
      <w:r w:rsidRPr="00A07B1C">
        <w:rPr>
          <w:lang w:val="en-GB"/>
        </w:rPr>
        <w:t>)</w:t>
      </w:r>
    </w:p>
  </w:footnote>
  <w:footnote w:id="37">
    <w:p w14:paraId="38192C3B" w14:textId="77777777" w:rsidR="007E33ED" w:rsidRPr="00A07B1C" w:rsidRDefault="007E33ED" w:rsidP="000C471D">
      <w:pPr>
        <w:pStyle w:val="FootnoteText"/>
        <w:rPr>
          <w:lang w:val="en-GB"/>
        </w:rPr>
      </w:pPr>
      <w:r w:rsidRPr="00A07B1C">
        <w:rPr>
          <w:rStyle w:val="FootnoteReference"/>
          <w:lang w:val="en-GB"/>
        </w:rPr>
        <w:footnoteRef/>
      </w:r>
      <w:r w:rsidRPr="00A07B1C">
        <w:rPr>
          <w:lang w:val="en-GB"/>
        </w:rPr>
        <w:t xml:space="preserve"> National Treasury (2018: 302)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D42"/>
    <w:multiLevelType w:val="hybridMultilevel"/>
    <w:tmpl w:val="D2CA4B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1E9751A"/>
    <w:multiLevelType w:val="multilevel"/>
    <w:tmpl w:val="08923CCC"/>
    <w:lvl w:ilvl="0">
      <w:start w:val="1"/>
      <w:numFmt w:val="decimal"/>
      <w:lvlText w:val="%1."/>
      <w:lvlJc w:val="righ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nsid w:val="021B6196"/>
    <w:multiLevelType w:val="hybridMultilevel"/>
    <w:tmpl w:val="0436D9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9FB18B3"/>
    <w:multiLevelType w:val="multilevel"/>
    <w:tmpl w:val="84F423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59114F"/>
    <w:multiLevelType w:val="multilevel"/>
    <w:tmpl w:val="93D865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932528"/>
    <w:multiLevelType w:val="hybridMultilevel"/>
    <w:tmpl w:val="1CA2C0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0E72FAE"/>
    <w:multiLevelType w:val="hybridMultilevel"/>
    <w:tmpl w:val="D3E201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1A633B7"/>
    <w:multiLevelType w:val="hybridMultilevel"/>
    <w:tmpl w:val="4D10F2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BC03D9A"/>
    <w:multiLevelType w:val="multilevel"/>
    <w:tmpl w:val="08923CCC"/>
    <w:lvl w:ilvl="0">
      <w:start w:val="1"/>
      <w:numFmt w:val="decimal"/>
      <w:lvlText w:val="%1."/>
      <w:lvlJc w:val="righ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20F76EEC"/>
    <w:multiLevelType w:val="hybridMultilevel"/>
    <w:tmpl w:val="284A14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1377C0C"/>
    <w:multiLevelType w:val="hybridMultilevel"/>
    <w:tmpl w:val="46F22442"/>
    <w:lvl w:ilvl="0" w:tplc="1C090001">
      <w:start w:val="1"/>
      <w:numFmt w:val="bullet"/>
      <w:lvlText w:val=""/>
      <w:lvlJc w:val="left"/>
      <w:pPr>
        <w:ind w:left="794" w:hanging="360"/>
      </w:pPr>
      <w:rPr>
        <w:rFonts w:ascii="Symbol" w:hAnsi="Symbol" w:hint="default"/>
      </w:rPr>
    </w:lvl>
    <w:lvl w:ilvl="1" w:tplc="1C090003" w:tentative="1">
      <w:start w:val="1"/>
      <w:numFmt w:val="bullet"/>
      <w:lvlText w:val="o"/>
      <w:lvlJc w:val="left"/>
      <w:pPr>
        <w:ind w:left="1514" w:hanging="360"/>
      </w:pPr>
      <w:rPr>
        <w:rFonts w:ascii="Courier New" w:hAnsi="Courier New" w:cs="Courier New" w:hint="default"/>
      </w:rPr>
    </w:lvl>
    <w:lvl w:ilvl="2" w:tplc="1C090005" w:tentative="1">
      <w:start w:val="1"/>
      <w:numFmt w:val="bullet"/>
      <w:lvlText w:val=""/>
      <w:lvlJc w:val="left"/>
      <w:pPr>
        <w:ind w:left="2234" w:hanging="360"/>
      </w:pPr>
      <w:rPr>
        <w:rFonts w:ascii="Wingdings" w:hAnsi="Wingdings" w:hint="default"/>
      </w:rPr>
    </w:lvl>
    <w:lvl w:ilvl="3" w:tplc="1C090001" w:tentative="1">
      <w:start w:val="1"/>
      <w:numFmt w:val="bullet"/>
      <w:lvlText w:val=""/>
      <w:lvlJc w:val="left"/>
      <w:pPr>
        <w:ind w:left="2954" w:hanging="360"/>
      </w:pPr>
      <w:rPr>
        <w:rFonts w:ascii="Symbol" w:hAnsi="Symbol" w:hint="default"/>
      </w:rPr>
    </w:lvl>
    <w:lvl w:ilvl="4" w:tplc="1C090003" w:tentative="1">
      <w:start w:val="1"/>
      <w:numFmt w:val="bullet"/>
      <w:lvlText w:val="o"/>
      <w:lvlJc w:val="left"/>
      <w:pPr>
        <w:ind w:left="3674" w:hanging="360"/>
      </w:pPr>
      <w:rPr>
        <w:rFonts w:ascii="Courier New" w:hAnsi="Courier New" w:cs="Courier New" w:hint="default"/>
      </w:rPr>
    </w:lvl>
    <w:lvl w:ilvl="5" w:tplc="1C090005" w:tentative="1">
      <w:start w:val="1"/>
      <w:numFmt w:val="bullet"/>
      <w:lvlText w:val=""/>
      <w:lvlJc w:val="left"/>
      <w:pPr>
        <w:ind w:left="4394" w:hanging="360"/>
      </w:pPr>
      <w:rPr>
        <w:rFonts w:ascii="Wingdings" w:hAnsi="Wingdings" w:hint="default"/>
      </w:rPr>
    </w:lvl>
    <w:lvl w:ilvl="6" w:tplc="1C090001" w:tentative="1">
      <w:start w:val="1"/>
      <w:numFmt w:val="bullet"/>
      <w:lvlText w:val=""/>
      <w:lvlJc w:val="left"/>
      <w:pPr>
        <w:ind w:left="5114" w:hanging="360"/>
      </w:pPr>
      <w:rPr>
        <w:rFonts w:ascii="Symbol" w:hAnsi="Symbol" w:hint="default"/>
      </w:rPr>
    </w:lvl>
    <w:lvl w:ilvl="7" w:tplc="1C090003" w:tentative="1">
      <w:start w:val="1"/>
      <w:numFmt w:val="bullet"/>
      <w:lvlText w:val="o"/>
      <w:lvlJc w:val="left"/>
      <w:pPr>
        <w:ind w:left="5834" w:hanging="360"/>
      </w:pPr>
      <w:rPr>
        <w:rFonts w:ascii="Courier New" w:hAnsi="Courier New" w:cs="Courier New" w:hint="default"/>
      </w:rPr>
    </w:lvl>
    <w:lvl w:ilvl="8" w:tplc="1C090005" w:tentative="1">
      <w:start w:val="1"/>
      <w:numFmt w:val="bullet"/>
      <w:lvlText w:val=""/>
      <w:lvlJc w:val="left"/>
      <w:pPr>
        <w:ind w:left="6554" w:hanging="360"/>
      </w:pPr>
      <w:rPr>
        <w:rFonts w:ascii="Wingdings" w:hAnsi="Wingdings" w:hint="default"/>
      </w:rPr>
    </w:lvl>
  </w:abstractNum>
  <w:abstractNum w:abstractNumId="11">
    <w:nsid w:val="26955142"/>
    <w:multiLevelType w:val="hybridMultilevel"/>
    <w:tmpl w:val="0980BD8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7C3131A"/>
    <w:multiLevelType w:val="hybridMultilevel"/>
    <w:tmpl w:val="E9DAE3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8353638"/>
    <w:multiLevelType w:val="hybridMultilevel"/>
    <w:tmpl w:val="91388D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8F462FC"/>
    <w:multiLevelType w:val="hybridMultilevel"/>
    <w:tmpl w:val="2D78C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C8F1562"/>
    <w:multiLevelType w:val="hybridMultilevel"/>
    <w:tmpl w:val="030A1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BD3471A"/>
    <w:multiLevelType w:val="hybridMultilevel"/>
    <w:tmpl w:val="E5DE1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D50A95"/>
    <w:multiLevelType w:val="hybridMultilevel"/>
    <w:tmpl w:val="65BC5C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0523FBA"/>
    <w:multiLevelType w:val="multilevel"/>
    <w:tmpl w:val="1BA27F40"/>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1C56790"/>
    <w:multiLevelType w:val="hybridMultilevel"/>
    <w:tmpl w:val="A6940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A71C21"/>
    <w:multiLevelType w:val="multilevel"/>
    <w:tmpl w:val="44387F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E055F28"/>
    <w:multiLevelType w:val="hybridMultilevel"/>
    <w:tmpl w:val="B100C6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1515E5D"/>
    <w:multiLevelType w:val="hybridMultilevel"/>
    <w:tmpl w:val="DC962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31524C8"/>
    <w:multiLevelType w:val="hybridMultilevel"/>
    <w:tmpl w:val="A49695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751018D"/>
    <w:multiLevelType w:val="hybridMultilevel"/>
    <w:tmpl w:val="3410AD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D0F4DDF"/>
    <w:multiLevelType w:val="hybridMultilevel"/>
    <w:tmpl w:val="516868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0143A93"/>
    <w:multiLevelType w:val="hybridMultilevel"/>
    <w:tmpl w:val="8E9A37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1635524"/>
    <w:multiLevelType w:val="hybridMultilevel"/>
    <w:tmpl w:val="3572D5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D047E4"/>
    <w:multiLevelType w:val="hybridMultilevel"/>
    <w:tmpl w:val="0D2CC3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5A776B7"/>
    <w:multiLevelType w:val="hybridMultilevel"/>
    <w:tmpl w:val="569E45A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A4B1F56"/>
    <w:multiLevelType w:val="hybridMultilevel"/>
    <w:tmpl w:val="A6B638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C3875FE"/>
    <w:multiLevelType w:val="multilevel"/>
    <w:tmpl w:val="83469E54"/>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BB7A45"/>
    <w:multiLevelType w:val="multilevel"/>
    <w:tmpl w:val="E0967D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CD0AF7"/>
    <w:multiLevelType w:val="hybridMultilevel"/>
    <w:tmpl w:val="91A02E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5DE05AC"/>
    <w:multiLevelType w:val="multilevel"/>
    <w:tmpl w:val="94EED3D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ED34260"/>
    <w:multiLevelType w:val="hybridMultilevel"/>
    <w:tmpl w:val="20AA9A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7"/>
  </w:num>
  <w:num w:numId="2">
    <w:abstractNumId w:val="15"/>
  </w:num>
  <w:num w:numId="3">
    <w:abstractNumId w:val="2"/>
  </w:num>
  <w:num w:numId="4">
    <w:abstractNumId w:val="14"/>
  </w:num>
  <w:num w:numId="5">
    <w:abstractNumId w:val="22"/>
  </w:num>
  <w:num w:numId="6">
    <w:abstractNumId w:val="20"/>
  </w:num>
  <w:num w:numId="7">
    <w:abstractNumId w:val="6"/>
  </w:num>
  <w:num w:numId="8">
    <w:abstractNumId w:val="8"/>
  </w:num>
  <w:num w:numId="9">
    <w:abstractNumId w:val="34"/>
  </w:num>
  <w:num w:numId="10">
    <w:abstractNumId w:val="1"/>
  </w:num>
  <w:num w:numId="11">
    <w:abstractNumId w:val="31"/>
  </w:num>
  <w:num w:numId="12">
    <w:abstractNumId w:val="17"/>
  </w:num>
  <w:num w:numId="13">
    <w:abstractNumId w:val="35"/>
  </w:num>
  <w:num w:numId="14">
    <w:abstractNumId w:val="3"/>
  </w:num>
  <w:num w:numId="15">
    <w:abstractNumId w:val="26"/>
  </w:num>
  <w:num w:numId="16">
    <w:abstractNumId w:val="29"/>
  </w:num>
  <w:num w:numId="17">
    <w:abstractNumId w:val="18"/>
  </w:num>
  <w:num w:numId="18">
    <w:abstractNumId w:val="13"/>
  </w:num>
  <w:num w:numId="19">
    <w:abstractNumId w:val="10"/>
  </w:num>
  <w:num w:numId="20">
    <w:abstractNumId w:val="21"/>
  </w:num>
  <w:num w:numId="21">
    <w:abstractNumId w:val="5"/>
  </w:num>
  <w:num w:numId="22">
    <w:abstractNumId w:val="28"/>
  </w:num>
  <w:num w:numId="23">
    <w:abstractNumId w:val="23"/>
  </w:num>
  <w:num w:numId="24">
    <w:abstractNumId w:val="16"/>
  </w:num>
  <w:num w:numId="25">
    <w:abstractNumId w:val="30"/>
  </w:num>
  <w:num w:numId="26">
    <w:abstractNumId w:val="19"/>
  </w:num>
  <w:num w:numId="27">
    <w:abstractNumId w:val="33"/>
  </w:num>
  <w:num w:numId="28">
    <w:abstractNumId w:val="25"/>
  </w:num>
  <w:num w:numId="29">
    <w:abstractNumId w:val="7"/>
  </w:num>
  <w:num w:numId="30">
    <w:abstractNumId w:val="24"/>
  </w:num>
  <w:num w:numId="31">
    <w:abstractNumId w:val="9"/>
  </w:num>
  <w:num w:numId="32">
    <w:abstractNumId w:val="0"/>
  </w:num>
  <w:num w:numId="33">
    <w:abstractNumId w:val="32"/>
  </w:num>
  <w:num w:numId="34">
    <w:abstractNumId w:val="1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0D"/>
    <w:rsid w:val="000167CA"/>
    <w:rsid w:val="000220A3"/>
    <w:rsid w:val="00023AC0"/>
    <w:rsid w:val="000258CB"/>
    <w:rsid w:val="00032666"/>
    <w:rsid w:val="000426E7"/>
    <w:rsid w:val="00046CDD"/>
    <w:rsid w:val="00072BCA"/>
    <w:rsid w:val="00084E0A"/>
    <w:rsid w:val="000B6DCC"/>
    <w:rsid w:val="000C409C"/>
    <w:rsid w:val="000C471D"/>
    <w:rsid w:val="000D1B82"/>
    <w:rsid w:val="000D3B8F"/>
    <w:rsid w:val="000E0565"/>
    <w:rsid w:val="000F54D0"/>
    <w:rsid w:val="00102C84"/>
    <w:rsid w:val="001136A7"/>
    <w:rsid w:val="0011518C"/>
    <w:rsid w:val="0013338A"/>
    <w:rsid w:val="001562C5"/>
    <w:rsid w:val="0015729F"/>
    <w:rsid w:val="0019353D"/>
    <w:rsid w:val="00197CAF"/>
    <w:rsid w:val="001A797D"/>
    <w:rsid w:val="001B712F"/>
    <w:rsid w:val="001C3200"/>
    <w:rsid w:val="001F0E55"/>
    <w:rsid w:val="00202186"/>
    <w:rsid w:val="0020571D"/>
    <w:rsid w:val="0020754D"/>
    <w:rsid w:val="00225F88"/>
    <w:rsid w:val="00236423"/>
    <w:rsid w:val="00237175"/>
    <w:rsid w:val="00237514"/>
    <w:rsid w:val="00240721"/>
    <w:rsid w:val="002438B2"/>
    <w:rsid w:val="00245EEE"/>
    <w:rsid w:val="00247742"/>
    <w:rsid w:val="00251317"/>
    <w:rsid w:val="002564C2"/>
    <w:rsid w:val="00260782"/>
    <w:rsid w:val="0026427A"/>
    <w:rsid w:val="0026432B"/>
    <w:rsid w:val="00266FB3"/>
    <w:rsid w:val="00271709"/>
    <w:rsid w:val="00290F66"/>
    <w:rsid w:val="00291197"/>
    <w:rsid w:val="002A2A84"/>
    <w:rsid w:val="002A77D6"/>
    <w:rsid w:val="002D10A3"/>
    <w:rsid w:val="002D5E56"/>
    <w:rsid w:val="002E1878"/>
    <w:rsid w:val="002F7C4D"/>
    <w:rsid w:val="003147C9"/>
    <w:rsid w:val="00325B28"/>
    <w:rsid w:val="003331F7"/>
    <w:rsid w:val="00350301"/>
    <w:rsid w:val="00352BE9"/>
    <w:rsid w:val="0037058B"/>
    <w:rsid w:val="003817E3"/>
    <w:rsid w:val="003A3748"/>
    <w:rsid w:val="003A414C"/>
    <w:rsid w:val="003A42F2"/>
    <w:rsid w:val="003A45D7"/>
    <w:rsid w:val="003C20E6"/>
    <w:rsid w:val="003D4DC2"/>
    <w:rsid w:val="003F0A91"/>
    <w:rsid w:val="00413CC1"/>
    <w:rsid w:val="00414F56"/>
    <w:rsid w:val="00417C35"/>
    <w:rsid w:val="004274F4"/>
    <w:rsid w:val="00431CD9"/>
    <w:rsid w:val="00442B2C"/>
    <w:rsid w:val="00447ED2"/>
    <w:rsid w:val="00456141"/>
    <w:rsid w:val="00456AA4"/>
    <w:rsid w:val="00457DB7"/>
    <w:rsid w:val="00466145"/>
    <w:rsid w:val="00472E9E"/>
    <w:rsid w:val="00480232"/>
    <w:rsid w:val="004918A2"/>
    <w:rsid w:val="00493FE3"/>
    <w:rsid w:val="00495FD1"/>
    <w:rsid w:val="004B3ADD"/>
    <w:rsid w:val="004C0934"/>
    <w:rsid w:val="004C22B0"/>
    <w:rsid w:val="004C5BC9"/>
    <w:rsid w:val="004D7655"/>
    <w:rsid w:val="004E492C"/>
    <w:rsid w:val="004E783C"/>
    <w:rsid w:val="004F3397"/>
    <w:rsid w:val="004F476A"/>
    <w:rsid w:val="0050782F"/>
    <w:rsid w:val="00510F93"/>
    <w:rsid w:val="0051112C"/>
    <w:rsid w:val="00521498"/>
    <w:rsid w:val="0053085F"/>
    <w:rsid w:val="0054226E"/>
    <w:rsid w:val="0055770C"/>
    <w:rsid w:val="0056424A"/>
    <w:rsid w:val="00581E34"/>
    <w:rsid w:val="005905A7"/>
    <w:rsid w:val="005961B7"/>
    <w:rsid w:val="005A1118"/>
    <w:rsid w:val="005A1D2B"/>
    <w:rsid w:val="005A4E81"/>
    <w:rsid w:val="005A60AF"/>
    <w:rsid w:val="005B3420"/>
    <w:rsid w:val="005D02E8"/>
    <w:rsid w:val="005E6788"/>
    <w:rsid w:val="005F6726"/>
    <w:rsid w:val="00600968"/>
    <w:rsid w:val="00607FC5"/>
    <w:rsid w:val="00626940"/>
    <w:rsid w:val="00630D97"/>
    <w:rsid w:val="006319D4"/>
    <w:rsid w:val="0066452B"/>
    <w:rsid w:val="00671B5E"/>
    <w:rsid w:val="00673C45"/>
    <w:rsid w:val="006970CD"/>
    <w:rsid w:val="00697E19"/>
    <w:rsid w:val="006A7D0D"/>
    <w:rsid w:val="006B2D20"/>
    <w:rsid w:val="006D35AC"/>
    <w:rsid w:val="006D4844"/>
    <w:rsid w:val="006D58A7"/>
    <w:rsid w:val="006F3DB6"/>
    <w:rsid w:val="0070728A"/>
    <w:rsid w:val="00710517"/>
    <w:rsid w:val="00713B09"/>
    <w:rsid w:val="00720542"/>
    <w:rsid w:val="00731443"/>
    <w:rsid w:val="00733D60"/>
    <w:rsid w:val="00741DE9"/>
    <w:rsid w:val="00743FA9"/>
    <w:rsid w:val="00750D22"/>
    <w:rsid w:val="00754228"/>
    <w:rsid w:val="007612BB"/>
    <w:rsid w:val="00764D15"/>
    <w:rsid w:val="00767173"/>
    <w:rsid w:val="007821C4"/>
    <w:rsid w:val="00786ABB"/>
    <w:rsid w:val="00791A5E"/>
    <w:rsid w:val="007D1331"/>
    <w:rsid w:val="007D2289"/>
    <w:rsid w:val="007E33ED"/>
    <w:rsid w:val="00803671"/>
    <w:rsid w:val="008044C3"/>
    <w:rsid w:val="008045E4"/>
    <w:rsid w:val="00810B3A"/>
    <w:rsid w:val="00813776"/>
    <w:rsid w:val="00814C31"/>
    <w:rsid w:val="00816ED3"/>
    <w:rsid w:val="00826E63"/>
    <w:rsid w:val="00835C39"/>
    <w:rsid w:val="00835C78"/>
    <w:rsid w:val="00840FE0"/>
    <w:rsid w:val="00841008"/>
    <w:rsid w:val="008438E9"/>
    <w:rsid w:val="00854D3F"/>
    <w:rsid w:val="00857C1C"/>
    <w:rsid w:val="00872B7A"/>
    <w:rsid w:val="008851BB"/>
    <w:rsid w:val="008A3A80"/>
    <w:rsid w:val="008A6150"/>
    <w:rsid w:val="008C0E36"/>
    <w:rsid w:val="008D5A44"/>
    <w:rsid w:val="008F1DDB"/>
    <w:rsid w:val="008F72E3"/>
    <w:rsid w:val="00911060"/>
    <w:rsid w:val="00916049"/>
    <w:rsid w:val="00922A7E"/>
    <w:rsid w:val="009248D4"/>
    <w:rsid w:val="00940D17"/>
    <w:rsid w:val="009668FE"/>
    <w:rsid w:val="00967912"/>
    <w:rsid w:val="00967A2F"/>
    <w:rsid w:val="009702D3"/>
    <w:rsid w:val="009760B8"/>
    <w:rsid w:val="00990EC0"/>
    <w:rsid w:val="009A07D0"/>
    <w:rsid w:val="009A60B8"/>
    <w:rsid w:val="009A6859"/>
    <w:rsid w:val="009B6A38"/>
    <w:rsid w:val="009C3CCA"/>
    <w:rsid w:val="009D0991"/>
    <w:rsid w:val="009D4365"/>
    <w:rsid w:val="009E6EB1"/>
    <w:rsid w:val="00A07B1C"/>
    <w:rsid w:val="00A15E95"/>
    <w:rsid w:val="00A21081"/>
    <w:rsid w:val="00A757C7"/>
    <w:rsid w:val="00A86A29"/>
    <w:rsid w:val="00AA6311"/>
    <w:rsid w:val="00AB7FAB"/>
    <w:rsid w:val="00AC54BA"/>
    <w:rsid w:val="00AC72D1"/>
    <w:rsid w:val="00AD701F"/>
    <w:rsid w:val="00AE0C62"/>
    <w:rsid w:val="00AF2601"/>
    <w:rsid w:val="00AF75AA"/>
    <w:rsid w:val="00B07008"/>
    <w:rsid w:val="00B15884"/>
    <w:rsid w:val="00B26721"/>
    <w:rsid w:val="00B36796"/>
    <w:rsid w:val="00B431BD"/>
    <w:rsid w:val="00B77EA9"/>
    <w:rsid w:val="00B80C7F"/>
    <w:rsid w:val="00BA69E3"/>
    <w:rsid w:val="00BC6FE6"/>
    <w:rsid w:val="00BC7CF9"/>
    <w:rsid w:val="00BE4331"/>
    <w:rsid w:val="00BF03A7"/>
    <w:rsid w:val="00BF3AE5"/>
    <w:rsid w:val="00BF3B05"/>
    <w:rsid w:val="00C01421"/>
    <w:rsid w:val="00C01DE9"/>
    <w:rsid w:val="00C123BA"/>
    <w:rsid w:val="00C40BEC"/>
    <w:rsid w:val="00C545C4"/>
    <w:rsid w:val="00C624AF"/>
    <w:rsid w:val="00C65858"/>
    <w:rsid w:val="00C704E4"/>
    <w:rsid w:val="00C7541E"/>
    <w:rsid w:val="00C83F95"/>
    <w:rsid w:val="00C85EA8"/>
    <w:rsid w:val="00CB29CD"/>
    <w:rsid w:val="00CC63CF"/>
    <w:rsid w:val="00CD000B"/>
    <w:rsid w:val="00CE60C9"/>
    <w:rsid w:val="00CF1410"/>
    <w:rsid w:val="00D1709C"/>
    <w:rsid w:val="00D25F02"/>
    <w:rsid w:val="00D3791B"/>
    <w:rsid w:val="00D528C4"/>
    <w:rsid w:val="00D628E5"/>
    <w:rsid w:val="00DA35CE"/>
    <w:rsid w:val="00DA6410"/>
    <w:rsid w:val="00DB0E84"/>
    <w:rsid w:val="00DC4B15"/>
    <w:rsid w:val="00DC567C"/>
    <w:rsid w:val="00DD7C2A"/>
    <w:rsid w:val="00DE094F"/>
    <w:rsid w:val="00DE3B55"/>
    <w:rsid w:val="00DE7B5A"/>
    <w:rsid w:val="00E10452"/>
    <w:rsid w:val="00E15AAC"/>
    <w:rsid w:val="00E15FA6"/>
    <w:rsid w:val="00E32AC4"/>
    <w:rsid w:val="00E40757"/>
    <w:rsid w:val="00E47FDB"/>
    <w:rsid w:val="00E50A57"/>
    <w:rsid w:val="00E602FC"/>
    <w:rsid w:val="00EB31F6"/>
    <w:rsid w:val="00EB397C"/>
    <w:rsid w:val="00ED22A5"/>
    <w:rsid w:val="00EE0880"/>
    <w:rsid w:val="00EF0636"/>
    <w:rsid w:val="00EF27B8"/>
    <w:rsid w:val="00F06649"/>
    <w:rsid w:val="00F11434"/>
    <w:rsid w:val="00F12244"/>
    <w:rsid w:val="00F31074"/>
    <w:rsid w:val="00F3677A"/>
    <w:rsid w:val="00F46774"/>
    <w:rsid w:val="00F4756C"/>
    <w:rsid w:val="00F51CD1"/>
    <w:rsid w:val="00F5656D"/>
    <w:rsid w:val="00F56CAA"/>
    <w:rsid w:val="00F6299A"/>
    <w:rsid w:val="00F72BD9"/>
    <w:rsid w:val="00F868AE"/>
    <w:rsid w:val="00FB69A6"/>
    <w:rsid w:val="00FC1812"/>
    <w:rsid w:val="00FD6144"/>
    <w:rsid w:val="00FE342A"/>
    <w:rsid w:val="00FE5A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A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0D"/>
    <w:pPr>
      <w:jc w:val="left"/>
    </w:pPr>
    <w:rPr>
      <w:rFonts w:eastAsia="Times New Roman" w:cs="Times New Roman"/>
      <w:color w:val="000000"/>
      <w:spacing w:val="6"/>
      <w:sz w:val="18"/>
      <w:szCs w:val="18"/>
      <w:lang w:val="en-GB" w:eastAsia="en-GB"/>
    </w:rPr>
  </w:style>
  <w:style w:type="paragraph" w:styleId="Heading1">
    <w:name w:val="heading 1"/>
    <w:basedOn w:val="Normal"/>
    <w:next w:val="Normal"/>
    <w:link w:val="Heading1Char"/>
    <w:uiPriority w:val="9"/>
    <w:qFormat/>
    <w:rsid w:val="006A7D0D"/>
    <w:pPr>
      <w:keepNext/>
      <w:outlineLvl w:val="0"/>
    </w:pPr>
    <w:rPr>
      <w:rFonts w:cs="Arial"/>
      <w:b/>
      <w:bCs/>
      <w:spacing w:val="-2"/>
      <w:kern w:val="32"/>
      <w:sz w:val="20"/>
      <w:szCs w:val="20"/>
    </w:rPr>
  </w:style>
  <w:style w:type="paragraph" w:styleId="Heading2">
    <w:name w:val="heading 2"/>
    <w:basedOn w:val="Normal"/>
    <w:next w:val="Normal"/>
    <w:link w:val="Heading2Char"/>
    <w:uiPriority w:val="9"/>
    <w:unhideWhenUsed/>
    <w:qFormat/>
    <w:rsid w:val="00626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075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D0D"/>
    <w:rPr>
      <w:rFonts w:eastAsia="Times New Roman"/>
      <w:b/>
      <w:bCs/>
      <w:color w:val="000000"/>
      <w:spacing w:val="-2"/>
      <w:kern w:val="32"/>
      <w:sz w:val="20"/>
      <w:szCs w:val="20"/>
      <w:lang w:val="en-GB" w:eastAsia="en-GB"/>
    </w:rPr>
  </w:style>
  <w:style w:type="paragraph" w:styleId="Footer">
    <w:name w:val="footer"/>
    <w:basedOn w:val="Normal"/>
    <w:link w:val="FooterChar"/>
    <w:uiPriority w:val="99"/>
    <w:rsid w:val="006A7D0D"/>
    <w:rPr>
      <w:color w:val="auto"/>
      <w:sz w:val="14"/>
      <w:szCs w:val="14"/>
    </w:rPr>
  </w:style>
  <w:style w:type="character" w:customStyle="1" w:styleId="FooterChar">
    <w:name w:val="Footer Char"/>
    <w:basedOn w:val="DefaultParagraphFont"/>
    <w:link w:val="Footer"/>
    <w:uiPriority w:val="99"/>
    <w:rsid w:val="006A7D0D"/>
    <w:rPr>
      <w:rFonts w:eastAsia="Times New Roman" w:cs="Times New Roman"/>
      <w:spacing w:val="6"/>
      <w:sz w:val="14"/>
      <w:szCs w:val="14"/>
      <w:lang w:val="en-GB" w:eastAsia="en-GB"/>
    </w:rPr>
  </w:style>
  <w:style w:type="character" w:styleId="PageNumber">
    <w:name w:val="page number"/>
    <w:basedOn w:val="DefaultParagraphFont"/>
    <w:rsid w:val="006A7D0D"/>
  </w:style>
  <w:style w:type="paragraph" w:styleId="BodyText">
    <w:name w:val="Body Text"/>
    <w:basedOn w:val="Normal"/>
    <w:link w:val="BodyTextChar"/>
    <w:rsid w:val="006A7D0D"/>
    <w:pPr>
      <w:autoSpaceDE w:val="0"/>
      <w:autoSpaceDN w:val="0"/>
      <w:adjustRightInd w:val="0"/>
      <w:spacing w:line="240" w:lineRule="auto"/>
    </w:pPr>
    <w:rPr>
      <w:rFonts w:cs="Arial"/>
      <w:color w:val="auto"/>
      <w:spacing w:val="0"/>
      <w:lang w:val="en-US" w:eastAsia="en-US"/>
    </w:rPr>
  </w:style>
  <w:style w:type="character" w:customStyle="1" w:styleId="BodyTextChar">
    <w:name w:val="Body Text Char"/>
    <w:basedOn w:val="DefaultParagraphFont"/>
    <w:link w:val="BodyText"/>
    <w:rsid w:val="006A7D0D"/>
    <w:rPr>
      <w:rFonts w:eastAsia="Times New Roman"/>
      <w:sz w:val="18"/>
      <w:szCs w:val="18"/>
      <w:lang w:val="en-US"/>
    </w:rPr>
  </w:style>
  <w:style w:type="paragraph" w:styleId="ListParagraph">
    <w:name w:val="List Paragraph"/>
    <w:aliases w:val="List Paragraph 1,Bullets,Recommendation,List Paragraph1,Table of contents numbered"/>
    <w:basedOn w:val="Normal"/>
    <w:link w:val="ListParagraphChar"/>
    <w:uiPriority w:val="34"/>
    <w:qFormat/>
    <w:rsid w:val="006A7D0D"/>
    <w:pPr>
      <w:spacing w:line="240" w:lineRule="auto"/>
      <w:ind w:left="720"/>
    </w:pPr>
    <w:rPr>
      <w:rFonts w:ascii="Times New Roman" w:eastAsia="Calibri" w:hAnsi="Times New Roman"/>
      <w:color w:val="auto"/>
      <w:spacing w:val="0"/>
      <w:sz w:val="24"/>
      <w:szCs w:val="24"/>
      <w:lang w:eastAsia="en-US"/>
    </w:rPr>
  </w:style>
  <w:style w:type="paragraph" w:styleId="BodyTextIndent">
    <w:name w:val="Body Text Indent"/>
    <w:basedOn w:val="Normal"/>
    <w:link w:val="BodyTextIndentChar"/>
    <w:uiPriority w:val="99"/>
    <w:semiHidden/>
    <w:unhideWhenUsed/>
    <w:rsid w:val="006A7D0D"/>
    <w:pPr>
      <w:spacing w:after="120"/>
      <w:ind w:left="283"/>
    </w:pPr>
  </w:style>
  <w:style w:type="character" w:customStyle="1" w:styleId="BodyTextIndentChar">
    <w:name w:val="Body Text Indent Char"/>
    <w:basedOn w:val="DefaultParagraphFont"/>
    <w:link w:val="BodyTextIndent"/>
    <w:uiPriority w:val="99"/>
    <w:semiHidden/>
    <w:rsid w:val="006A7D0D"/>
    <w:rPr>
      <w:rFonts w:eastAsia="Times New Roman" w:cs="Times New Roman"/>
      <w:color w:val="000000"/>
      <w:spacing w:val="6"/>
      <w:sz w:val="18"/>
      <w:szCs w:val="18"/>
      <w:lang w:val="en-GB" w:eastAsia="en-GB"/>
    </w:rPr>
  </w:style>
  <w:style w:type="paragraph" w:styleId="FootnoteText">
    <w:name w:val="footnote text"/>
    <w:aliases w:val="Footnote Text Char1,Footnote Text Char Char,fn Char,ft"/>
    <w:basedOn w:val="Normal"/>
    <w:link w:val="FootnoteTextChar"/>
    <w:uiPriority w:val="99"/>
    <w:rsid w:val="006A7D0D"/>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aliases w:val="Footnote Text Char1 Char,Footnote Text Char Char Char,fn Char Char,ft Char"/>
    <w:basedOn w:val="DefaultParagraphFont"/>
    <w:link w:val="FootnoteText"/>
    <w:uiPriority w:val="99"/>
    <w:rsid w:val="006A7D0D"/>
    <w:rPr>
      <w:rFonts w:ascii="Times New Roman" w:eastAsia="Times New Roman" w:hAnsi="Times New Roman" w:cs="Times New Roman"/>
      <w:sz w:val="20"/>
      <w:szCs w:val="20"/>
      <w:lang w:val="en-US"/>
    </w:rPr>
  </w:style>
  <w:style w:type="character" w:styleId="FootnoteReference">
    <w:name w:val="footnote reference"/>
    <w:aliases w:val="ftref"/>
    <w:basedOn w:val="DefaultParagraphFont"/>
    <w:uiPriority w:val="99"/>
    <w:rsid w:val="006A7D0D"/>
    <w:rPr>
      <w:vertAlign w:val="superscript"/>
    </w:r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6A7D0D"/>
    <w:rPr>
      <w:rFonts w:ascii="Times New Roman" w:eastAsia="Calibri" w:hAnsi="Times New Roman" w:cs="Times New Roman"/>
      <w:sz w:val="24"/>
      <w:szCs w:val="24"/>
      <w:lang w:val="en-GB"/>
    </w:rPr>
  </w:style>
  <w:style w:type="character" w:customStyle="1" w:styleId="Heading2Char">
    <w:name w:val="Heading 2 Char"/>
    <w:basedOn w:val="DefaultParagraphFont"/>
    <w:link w:val="Heading2"/>
    <w:uiPriority w:val="9"/>
    <w:rsid w:val="00626940"/>
    <w:rPr>
      <w:rFonts w:asciiTheme="majorHAnsi" w:eastAsiaTheme="majorEastAsia" w:hAnsiTheme="majorHAnsi" w:cstheme="majorBidi"/>
      <w:color w:val="2E74B5" w:themeColor="accent1" w:themeShade="BF"/>
      <w:spacing w:val="6"/>
      <w:sz w:val="26"/>
      <w:szCs w:val="26"/>
      <w:lang w:val="en-GB" w:eastAsia="en-GB"/>
    </w:rPr>
  </w:style>
  <w:style w:type="character" w:customStyle="1" w:styleId="Heading3Char">
    <w:name w:val="Heading 3 Char"/>
    <w:basedOn w:val="DefaultParagraphFont"/>
    <w:link w:val="Heading3"/>
    <w:uiPriority w:val="9"/>
    <w:semiHidden/>
    <w:rsid w:val="00E40757"/>
    <w:rPr>
      <w:rFonts w:asciiTheme="majorHAnsi" w:eastAsiaTheme="majorEastAsia" w:hAnsiTheme="majorHAnsi" w:cstheme="majorBidi"/>
      <w:color w:val="1F4D78" w:themeColor="accent1" w:themeShade="7F"/>
      <w:spacing w:val="6"/>
      <w:sz w:val="24"/>
      <w:szCs w:val="24"/>
      <w:lang w:val="en-GB" w:eastAsia="en-GB"/>
    </w:rPr>
  </w:style>
  <w:style w:type="paragraph" w:styleId="Header">
    <w:name w:val="header"/>
    <w:basedOn w:val="Normal"/>
    <w:link w:val="HeaderChar"/>
    <w:uiPriority w:val="99"/>
    <w:unhideWhenUsed/>
    <w:rsid w:val="00E40757"/>
    <w:pPr>
      <w:tabs>
        <w:tab w:val="center" w:pos="4513"/>
        <w:tab w:val="right" w:pos="9026"/>
      </w:tabs>
      <w:spacing w:line="240" w:lineRule="auto"/>
      <w:jc w:val="both"/>
    </w:pPr>
    <w:rPr>
      <w:rFonts w:eastAsiaTheme="minorHAnsi" w:cstheme="minorBidi"/>
      <w:color w:val="auto"/>
      <w:spacing w:val="0"/>
      <w:sz w:val="22"/>
      <w:szCs w:val="22"/>
      <w:lang w:val="en-ZA" w:eastAsia="en-US"/>
    </w:rPr>
  </w:style>
  <w:style w:type="character" w:customStyle="1" w:styleId="HeaderChar">
    <w:name w:val="Header Char"/>
    <w:basedOn w:val="DefaultParagraphFont"/>
    <w:link w:val="Header"/>
    <w:uiPriority w:val="99"/>
    <w:rsid w:val="00E40757"/>
    <w:rPr>
      <w:rFonts w:cstheme="minorBidi"/>
    </w:rPr>
  </w:style>
  <w:style w:type="paragraph" w:styleId="Title">
    <w:name w:val="Title"/>
    <w:basedOn w:val="Normal"/>
    <w:next w:val="Normal"/>
    <w:link w:val="TitleChar"/>
    <w:uiPriority w:val="10"/>
    <w:qFormat/>
    <w:rsid w:val="00E40757"/>
    <w:pPr>
      <w:spacing w:line="240" w:lineRule="auto"/>
      <w:contextualSpacing/>
      <w:jc w:val="both"/>
    </w:pPr>
    <w:rPr>
      <w:rFonts w:eastAsiaTheme="majorEastAsia" w:cstheme="majorBidi"/>
      <w:b/>
      <w:caps/>
      <w:color w:val="538135" w:themeColor="accent6" w:themeShade="BF"/>
      <w:spacing w:val="-10"/>
      <w:kern w:val="28"/>
      <w:sz w:val="28"/>
      <w:szCs w:val="56"/>
      <w:lang w:eastAsia="en-US"/>
    </w:rPr>
  </w:style>
  <w:style w:type="character" w:customStyle="1" w:styleId="TitleChar">
    <w:name w:val="Title Char"/>
    <w:basedOn w:val="DefaultParagraphFont"/>
    <w:link w:val="Title"/>
    <w:uiPriority w:val="10"/>
    <w:rsid w:val="00E40757"/>
    <w:rPr>
      <w:rFonts w:eastAsiaTheme="majorEastAsia" w:cstheme="majorBidi"/>
      <w:b/>
      <w:caps/>
      <w:color w:val="538135" w:themeColor="accent6" w:themeShade="BF"/>
      <w:spacing w:val="-10"/>
      <w:kern w:val="28"/>
      <w:sz w:val="28"/>
      <w:szCs w:val="56"/>
      <w:lang w:val="en-GB"/>
    </w:rPr>
  </w:style>
  <w:style w:type="table" w:styleId="TableGrid">
    <w:name w:val="Table Grid"/>
    <w:basedOn w:val="TableNormal"/>
    <w:uiPriority w:val="39"/>
    <w:rsid w:val="00E40757"/>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0757"/>
    <w:rPr>
      <w:color w:val="0000FF"/>
      <w:u w:val="single"/>
    </w:rPr>
  </w:style>
  <w:style w:type="paragraph" w:styleId="BalloonText">
    <w:name w:val="Balloon Text"/>
    <w:basedOn w:val="Normal"/>
    <w:link w:val="BalloonTextChar"/>
    <w:uiPriority w:val="99"/>
    <w:semiHidden/>
    <w:unhideWhenUsed/>
    <w:rsid w:val="00EB31F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B31F6"/>
    <w:rPr>
      <w:rFonts w:ascii="Segoe UI" w:eastAsia="Times New Roman" w:hAnsi="Segoe UI" w:cs="Segoe UI"/>
      <w:color w:val="000000"/>
      <w:spacing w:val="6"/>
      <w:sz w:val="18"/>
      <w:szCs w:val="18"/>
      <w:lang w:val="en-GB" w:eastAsia="en-GB"/>
    </w:rPr>
  </w:style>
  <w:style w:type="character" w:customStyle="1" w:styleId="anchor-text">
    <w:name w:val="anchor-text"/>
    <w:basedOn w:val="DefaultParagraphFont"/>
    <w:rsid w:val="003A45D7"/>
  </w:style>
  <w:style w:type="paragraph" w:styleId="NormalWeb">
    <w:name w:val="Normal (Web)"/>
    <w:basedOn w:val="Normal"/>
    <w:uiPriority w:val="99"/>
    <w:unhideWhenUsed/>
    <w:rsid w:val="009248D4"/>
    <w:pPr>
      <w:spacing w:before="100" w:beforeAutospacing="1" w:after="100" w:afterAutospacing="1" w:line="240" w:lineRule="auto"/>
    </w:pPr>
    <w:rPr>
      <w:rFonts w:ascii="Times New Roman" w:hAnsi="Times New Roman"/>
      <w:color w:val="auto"/>
      <w:spacing w:val="0"/>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0D"/>
    <w:pPr>
      <w:jc w:val="left"/>
    </w:pPr>
    <w:rPr>
      <w:rFonts w:eastAsia="Times New Roman" w:cs="Times New Roman"/>
      <w:color w:val="000000"/>
      <w:spacing w:val="6"/>
      <w:sz w:val="18"/>
      <w:szCs w:val="18"/>
      <w:lang w:val="en-GB" w:eastAsia="en-GB"/>
    </w:rPr>
  </w:style>
  <w:style w:type="paragraph" w:styleId="Heading1">
    <w:name w:val="heading 1"/>
    <w:basedOn w:val="Normal"/>
    <w:next w:val="Normal"/>
    <w:link w:val="Heading1Char"/>
    <w:uiPriority w:val="9"/>
    <w:qFormat/>
    <w:rsid w:val="006A7D0D"/>
    <w:pPr>
      <w:keepNext/>
      <w:outlineLvl w:val="0"/>
    </w:pPr>
    <w:rPr>
      <w:rFonts w:cs="Arial"/>
      <w:b/>
      <w:bCs/>
      <w:spacing w:val="-2"/>
      <w:kern w:val="32"/>
      <w:sz w:val="20"/>
      <w:szCs w:val="20"/>
    </w:rPr>
  </w:style>
  <w:style w:type="paragraph" w:styleId="Heading2">
    <w:name w:val="heading 2"/>
    <w:basedOn w:val="Normal"/>
    <w:next w:val="Normal"/>
    <w:link w:val="Heading2Char"/>
    <w:uiPriority w:val="9"/>
    <w:unhideWhenUsed/>
    <w:qFormat/>
    <w:rsid w:val="00626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075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D0D"/>
    <w:rPr>
      <w:rFonts w:eastAsia="Times New Roman"/>
      <w:b/>
      <w:bCs/>
      <w:color w:val="000000"/>
      <w:spacing w:val="-2"/>
      <w:kern w:val="32"/>
      <w:sz w:val="20"/>
      <w:szCs w:val="20"/>
      <w:lang w:val="en-GB" w:eastAsia="en-GB"/>
    </w:rPr>
  </w:style>
  <w:style w:type="paragraph" w:styleId="Footer">
    <w:name w:val="footer"/>
    <w:basedOn w:val="Normal"/>
    <w:link w:val="FooterChar"/>
    <w:uiPriority w:val="99"/>
    <w:rsid w:val="006A7D0D"/>
    <w:rPr>
      <w:color w:val="auto"/>
      <w:sz w:val="14"/>
      <w:szCs w:val="14"/>
    </w:rPr>
  </w:style>
  <w:style w:type="character" w:customStyle="1" w:styleId="FooterChar">
    <w:name w:val="Footer Char"/>
    <w:basedOn w:val="DefaultParagraphFont"/>
    <w:link w:val="Footer"/>
    <w:uiPriority w:val="99"/>
    <w:rsid w:val="006A7D0D"/>
    <w:rPr>
      <w:rFonts w:eastAsia="Times New Roman" w:cs="Times New Roman"/>
      <w:spacing w:val="6"/>
      <w:sz w:val="14"/>
      <w:szCs w:val="14"/>
      <w:lang w:val="en-GB" w:eastAsia="en-GB"/>
    </w:rPr>
  </w:style>
  <w:style w:type="character" w:styleId="PageNumber">
    <w:name w:val="page number"/>
    <w:basedOn w:val="DefaultParagraphFont"/>
    <w:rsid w:val="006A7D0D"/>
  </w:style>
  <w:style w:type="paragraph" w:styleId="BodyText">
    <w:name w:val="Body Text"/>
    <w:basedOn w:val="Normal"/>
    <w:link w:val="BodyTextChar"/>
    <w:rsid w:val="006A7D0D"/>
    <w:pPr>
      <w:autoSpaceDE w:val="0"/>
      <w:autoSpaceDN w:val="0"/>
      <w:adjustRightInd w:val="0"/>
      <w:spacing w:line="240" w:lineRule="auto"/>
    </w:pPr>
    <w:rPr>
      <w:rFonts w:cs="Arial"/>
      <w:color w:val="auto"/>
      <w:spacing w:val="0"/>
      <w:lang w:val="en-US" w:eastAsia="en-US"/>
    </w:rPr>
  </w:style>
  <w:style w:type="character" w:customStyle="1" w:styleId="BodyTextChar">
    <w:name w:val="Body Text Char"/>
    <w:basedOn w:val="DefaultParagraphFont"/>
    <w:link w:val="BodyText"/>
    <w:rsid w:val="006A7D0D"/>
    <w:rPr>
      <w:rFonts w:eastAsia="Times New Roman"/>
      <w:sz w:val="18"/>
      <w:szCs w:val="18"/>
      <w:lang w:val="en-US"/>
    </w:rPr>
  </w:style>
  <w:style w:type="paragraph" w:styleId="ListParagraph">
    <w:name w:val="List Paragraph"/>
    <w:aliases w:val="List Paragraph 1,Bullets,Recommendation,List Paragraph1,Table of contents numbered"/>
    <w:basedOn w:val="Normal"/>
    <w:link w:val="ListParagraphChar"/>
    <w:uiPriority w:val="34"/>
    <w:qFormat/>
    <w:rsid w:val="006A7D0D"/>
    <w:pPr>
      <w:spacing w:line="240" w:lineRule="auto"/>
      <w:ind w:left="720"/>
    </w:pPr>
    <w:rPr>
      <w:rFonts w:ascii="Times New Roman" w:eastAsia="Calibri" w:hAnsi="Times New Roman"/>
      <w:color w:val="auto"/>
      <w:spacing w:val="0"/>
      <w:sz w:val="24"/>
      <w:szCs w:val="24"/>
      <w:lang w:eastAsia="en-US"/>
    </w:rPr>
  </w:style>
  <w:style w:type="paragraph" w:styleId="BodyTextIndent">
    <w:name w:val="Body Text Indent"/>
    <w:basedOn w:val="Normal"/>
    <w:link w:val="BodyTextIndentChar"/>
    <w:uiPriority w:val="99"/>
    <w:semiHidden/>
    <w:unhideWhenUsed/>
    <w:rsid w:val="006A7D0D"/>
    <w:pPr>
      <w:spacing w:after="120"/>
      <w:ind w:left="283"/>
    </w:pPr>
  </w:style>
  <w:style w:type="character" w:customStyle="1" w:styleId="BodyTextIndentChar">
    <w:name w:val="Body Text Indent Char"/>
    <w:basedOn w:val="DefaultParagraphFont"/>
    <w:link w:val="BodyTextIndent"/>
    <w:uiPriority w:val="99"/>
    <w:semiHidden/>
    <w:rsid w:val="006A7D0D"/>
    <w:rPr>
      <w:rFonts w:eastAsia="Times New Roman" w:cs="Times New Roman"/>
      <w:color w:val="000000"/>
      <w:spacing w:val="6"/>
      <w:sz w:val="18"/>
      <w:szCs w:val="18"/>
      <w:lang w:val="en-GB" w:eastAsia="en-GB"/>
    </w:rPr>
  </w:style>
  <w:style w:type="paragraph" w:styleId="FootnoteText">
    <w:name w:val="footnote text"/>
    <w:aliases w:val="Footnote Text Char1,Footnote Text Char Char,fn Char,ft"/>
    <w:basedOn w:val="Normal"/>
    <w:link w:val="FootnoteTextChar"/>
    <w:uiPriority w:val="99"/>
    <w:rsid w:val="006A7D0D"/>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aliases w:val="Footnote Text Char1 Char,Footnote Text Char Char Char,fn Char Char,ft Char"/>
    <w:basedOn w:val="DefaultParagraphFont"/>
    <w:link w:val="FootnoteText"/>
    <w:uiPriority w:val="99"/>
    <w:rsid w:val="006A7D0D"/>
    <w:rPr>
      <w:rFonts w:ascii="Times New Roman" w:eastAsia="Times New Roman" w:hAnsi="Times New Roman" w:cs="Times New Roman"/>
      <w:sz w:val="20"/>
      <w:szCs w:val="20"/>
      <w:lang w:val="en-US"/>
    </w:rPr>
  </w:style>
  <w:style w:type="character" w:styleId="FootnoteReference">
    <w:name w:val="footnote reference"/>
    <w:aliases w:val="ftref"/>
    <w:basedOn w:val="DefaultParagraphFont"/>
    <w:uiPriority w:val="99"/>
    <w:rsid w:val="006A7D0D"/>
    <w:rPr>
      <w:vertAlign w:val="superscript"/>
    </w:r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6A7D0D"/>
    <w:rPr>
      <w:rFonts w:ascii="Times New Roman" w:eastAsia="Calibri" w:hAnsi="Times New Roman" w:cs="Times New Roman"/>
      <w:sz w:val="24"/>
      <w:szCs w:val="24"/>
      <w:lang w:val="en-GB"/>
    </w:rPr>
  </w:style>
  <w:style w:type="character" w:customStyle="1" w:styleId="Heading2Char">
    <w:name w:val="Heading 2 Char"/>
    <w:basedOn w:val="DefaultParagraphFont"/>
    <w:link w:val="Heading2"/>
    <w:uiPriority w:val="9"/>
    <w:rsid w:val="00626940"/>
    <w:rPr>
      <w:rFonts w:asciiTheme="majorHAnsi" w:eastAsiaTheme="majorEastAsia" w:hAnsiTheme="majorHAnsi" w:cstheme="majorBidi"/>
      <w:color w:val="2E74B5" w:themeColor="accent1" w:themeShade="BF"/>
      <w:spacing w:val="6"/>
      <w:sz w:val="26"/>
      <w:szCs w:val="26"/>
      <w:lang w:val="en-GB" w:eastAsia="en-GB"/>
    </w:rPr>
  </w:style>
  <w:style w:type="character" w:customStyle="1" w:styleId="Heading3Char">
    <w:name w:val="Heading 3 Char"/>
    <w:basedOn w:val="DefaultParagraphFont"/>
    <w:link w:val="Heading3"/>
    <w:uiPriority w:val="9"/>
    <w:semiHidden/>
    <w:rsid w:val="00E40757"/>
    <w:rPr>
      <w:rFonts w:asciiTheme="majorHAnsi" w:eastAsiaTheme="majorEastAsia" w:hAnsiTheme="majorHAnsi" w:cstheme="majorBidi"/>
      <w:color w:val="1F4D78" w:themeColor="accent1" w:themeShade="7F"/>
      <w:spacing w:val="6"/>
      <w:sz w:val="24"/>
      <w:szCs w:val="24"/>
      <w:lang w:val="en-GB" w:eastAsia="en-GB"/>
    </w:rPr>
  </w:style>
  <w:style w:type="paragraph" w:styleId="Header">
    <w:name w:val="header"/>
    <w:basedOn w:val="Normal"/>
    <w:link w:val="HeaderChar"/>
    <w:uiPriority w:val="99"/>
    <w:unhideWhenUsed/>
    <w:rsid w:val="00E40757"/>
    <w:pPr>
      <w:tabs>
        <w:tab w:val="center" w:pos="4513"/>
        <w:tab w:val="right" w:pos="9026"/>
      </w:tabs>
      <w:spacing w:line="240" w:lineRule="auto"/>
      <w:jc w:val="both"/>
    </w:pPr>
    <w:rPr>
      <w:rFonts w:eastAsiaTheme="minorHAnsi" w:cstheme="minorBidi"/>
      <w:color w:val="auto"/>
      <w:spacing w:val="0"/>
      <w:sz w:val="22"/>
      <w:szCs w:val="22"/>
      <w:lang w:val="en-ZA" w:eastAsia="en-US"/>
    </w:rPr>
  </w:style>
  <w:style w:type="character" w:customStyle="1" w:styleId="HeaderChar">
    <w:name w:val="Header Char"/>
    <w:basedOn w:val="DefaultParagraphFont"/>
    <w:link w:val="Header"/>
    <w:uiPriority w:val="99"/>
    <w:rsid w:val="00E40757"/>
    <w:rPr>
      <w:rFonts w:cstheme="minorBidi"/>
    </w:rPr>
  </w:style>
  <w:style w:type="paragraph" w:styleId="Title">
    <w:name w:val="Title"/>
    <w:basedOn w:val="Normal"/>
    <w:next w:val="Normal"/>
    <w:link w:val="TitleChar"/>
    <w:uiPriority w:val="10"/>
    <w:qFormat/>
    <w:rsid w:val="00E40757"/>
    <w:pPr>
      <w:spacing w:line="240" w:lineRule="auto"/>
      <w:contextualSpacing/>
      <w:jc w:val="both"/>
    </w:pPr>
    <w:rPr>
      <w:rFonts w:eastAsiaTheme="majorEastAsia" w:cstheme="majorBidi"/>
      <w:b/>
      <w:caps/>
      <w:color w:val="538135" w:themeColor="accent6" w:themeShade="BF"/>
      <w:spacing w:val="-10"/>
      <w:kern w:val="28"/>
      <w:sz w:val="28"/>
      <w:szCs w:val="56"/>
      <w:lang w:eastAsia="en-US"/>
    </w:rPr>
  </w:style>
  <w:style w:type="character" w:customStyle="1" w:styleId="TitleChar">
    <w:name w:val="Title Char"/>
    <w:basedOn w:val="DefaultParagraphFont"/>
    <w:link w:val="Title"/>
    <w:uiPriority w:val="10"/>
    <w:rsid w:val="00E40757"/>
    <w:rPr>
      <w:rFonts w:eastAsiaTheme="majorEastAsia" w:cstheme="majorBidi"/>
      <w:b/>
      <w:caps/>
      <w:color w:val="538135" w:themeColor="accent6" w:themeShade="BF"/>
      <w:spacing w:val="-10"/>
      <w:kern w:val="28"/>
      <w:sz w:val="28"/>
      <w:szCs w:val="56"/>
      <w:lang w:val="en-GB"/>
    </w:rPr>
  </w:style>
  <w:style w:type="table" w:styleId="TableGrid">
    <w:name w:val="Table Grid"/>
    <w:basedOn w:val="TableNormal"/>
    <w:uiPriority w:val="39"/>
    <w:rsid w:val="00E40757"/>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0757"/>
    <w:rPr>
      <w:color w:val="0000FF"/>
      <w:u w:val="single"/>
    </w:rPr>
  </w:style>
  <w:style w:type="paragraph" w:styleId="BalloonText">
    <w:name w:val="Balloon Text"/>
    <w:basedOn w:val="Normal"/>
    <w:link w:val="BalloonTextChar"/>
    <w:uiPriority w:val="99"/>
    <w:semiHidden/>
    <w:unhideWhenUsed/>
    <w:rsid w:val="00EB31F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B31F6"/>
    <w:rPr>
      <w:rFonts w:ascii="Segoe UI" w:eastAsia="Times New Roman" w:hAnsi="Segoe UI" w:cs="Segoe UI"/>
      <w:color w:val="000000"/>
      <w:spacing w:val="6"/>
      <w:sz w:val="18"/>
      <w:szCs w:val="18"/>
      <w:lang w:val="en-GB" w:eastAsia="en-GB"/>
    </w:rPr>
  </w:style>
  <w:style w:type="character" w:customStyle="1" w:styleId="anchor-text">
    <w:name w:val="anchor-text"/>
    <w:basedOn w:val="DefaultParagraphFont"/>
    <w:rsid w:val="003A45D7"/>
  </w:style>
  <w:style w:type="paragraph" w:styleId="NormalWeb">
    <w:name w:val="Normal (Web)"/>
    <w:basedOn w:val="Normal"/>
    <w:uiPriority w:val="99"/>
    <w:unhideWhenUsed/>
    <w:rsid w:val="009248D4"/>
    <w:pPr>
      <w:spacing w:before="100" w:beforeAutospacing="1" w:after="100" w:afterAutospacing="1" w:line="240" w:lineRule="auto"/>
    </w:pPr>
    <w:rPr>
      <w:rFonts w:ascii="Times New Roman" w:hAnsi="Times New Roman"/>
      <w:color w:val="auto"/>
      <w:spacing w:val="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5724">
      <w:bodyDiv w:val="1"/>
      <w:marLeft w:val="0"/>
      <w:marRight w:val="0"/>
      <w:marTop w:val="0"/>
      <w:marBottom w:val="0"/>
      <w:divBdr>
        <w:top w:val="none" w:sz="0" w:space="0" w:color="auto"/>
        <w:left w:val="none" w:sz="0" w:space="0" w:color="auto"/>
        <w:bottom w:val="none" w:sz="0" w:space="0" w:color="auto"/>
        <w:right w:val="none" w:sz="0" w:space="0" w:color="auto"/>
      </w:divBdr>
    </w:div>
    <w:div w:id="12169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B52A-2A43-492B-A734-D3FD5573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8873</Words>
  <Characters>50582</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Sheldon</dc:creator>
  <cp:lastModifiedBy>Asanda</cp:lastModifiedBy>
  <cp:revision>2</cp:revision>
  <cp:lastPrinted>2019-07-10T07:04:00Z</cp:lastPrinted>
  <dcterms:created xsi:type="dcterms:W3CDTF">2019-07-11T12:37:00Z</dcterms:created>
  <dcterms:modified xsi:type="dcterms:W3CDTF">2019-07-11T12:37:00Z</dcterms:modified>
</cp:coreProperties>
</file>