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4FA0A5" w14:textId="77777777" w:rsidR="009D3F7B" w:rsidRPr="00EB2982" w:rsidRDefault="00EB2982" w:rsidP="00EB2982">
      <w:pPr>
        <w:spacing w:line="280" w:lineRule="exact"/>
        <w:ind w:left="540" w:hanging="540"/>
        <w:jc w:val="both"/>
        <w:rPr>
          <w:b/>
          <w:sz w:val="28"/>
          <w:szCs w:val="28"/>
          <w:lang w:val="en-US"/>
        </w:rPr>
      </w:pPr>
      <w:bookmarkStart w:id="0" w:name="_GoBack"/>
      <w:bookmarkEnd w:id="0"/>
      <w:r w:rsidRPr="00EB2982">
        <w:rPr>
          <w:b/>
          <w:sz w:val="28"/>
          <w:szCs w:val="28"/>
          <w:lang w:val="en-US"/>
        </w:rPr>
        <w:t>3.</w:t>
      </w:r>
      <w:r w:rsidRPr="00EB2982">
        <w:rPr>
          <w:b/>
          <w:sz w:val="28"/>
          <w:szCs w:val="28"/>
          <w:lang w:val="en-US"/>
        </w:rPr>
        <w:tab/>
      </w:r>
      <w:r w:rsidR="00947B5A" w:rsidRPr="00EB2982">
        <w:rPr>
          <w:b/>
          <w:sz w:val="28"/>
          <w:szCs w:val="28"/>
          <w:lang w:val="en-US"/>
        </w:rPr>
        <w:t>Report of the Portfolio Committee on Social Development on the Budget Vote 17, the Annual Performance Plans of the Department of Social Development and its entities for 2019/20</w:t>
      </w:r>
      <w:r w:rsidR="0074406E" w:rsidRPr="00EB2982">
        <w:rPr>
          <w:b/>
          <w:sz w:val="28"/>
          <w:szCs w:val="28"/>
          <w:lang w:val="en-US"/>
        </w:rPr>
        <w:t>,</w:t>
      </w:r>
      <w:r w:rsidR="00947B5A" w:rsidRPr="00EB2982">
        <w:rPr>
          <w:b/>
          <w:sz w:val="28"/>
          <w:szCs w:val="28"/>
          <w:lang w:val="en-US"/>
        </w:rPr>
        <w:t xml:space="preserve"> dated 10 July 2019</w:t>
      </w:r>
    </w:p>
    <w:p w14:paraId="6ED2A47E" w14:textId="77777777" w:rsidR="00AA486E" w:rsidRPr="00EB2982" w:rsidRDefault="00AA486E" w:rsidP="005E2F3A">
      <w:pPr>
        <w:spacing w:line="280" w:lineRule="exact"/>
        <w:jc w:val="both"/>
        <w:rPr>
          <w:b/>
          <w:lang w:val="en-US"/>
        </w:rPr>
      </w:pPr>
    </w:p>
    <w:p w14:paraId="21FD6BB6" w14:textId="77777777" w:rsidR="003D6179" w:rsidRPr="00EB2982" w:rsidRDefault="003D6179" w:rsidP="005E2F3A">
      <w:pPr>
        <w:spacing w:line="280" w:lineRule="exact"/>
        <w:jc w:val="both"/>
        <w:rPr>
          <w:lang w:val="en-US"/>
        </w:rPr>
      </w:pPr>
      <w:r w:rsidRPr="00EB2982">
        <w:rPr>
          <w:lang w:val="en-US"/>
        </w:rPr>
        <w:t>The Portfolio Committee on Social Development having considered and deliberated on the Budget Vote, the Annual Performance Plans of the Department of Social Development</w:t>
      </w:r>
      <w:r w:rsidR="00231964" w:rsidRPr="00EB2982">
        <w:rPr>
          <w:lang w:val="en-US"/>
        </w:rPr>
        <w:t xml:space="preserve"> (DSD), the South African Social Security Agency (SASSA)</w:t>
      </w:r>
      <w:r w:rsidR="001B359F" w:rsidRPr="00EB2982">
        <w:rPr>
          <w:lang w:val="en-US"/>
        </w:rPr>
        <w:t xml:space="preserve"> </w:t>
      </w:r>
      <w:r w:rsidR="00231964" w:rsidRPr="00EB2982">
        <w:rPr>
          <w:lang w:val="en-US"/>
        </w:rPr>
        <w:t xml:space="preserve">and </w:t>
      </w:r>
      <w:r w:rsidRPr="00EB2982">
        <w:rPr>
          <w:lang w:val="en-US"/>
        </w:rPr>
        <w:t xml:space="preserve">the National Development Agency (NDA) on </w:t>
      </w:r>
      <w:r w:rsidR="00EC084E" w:rsidRPr="00EB2982">
        <w:rPr>
          <w:lang w:val="en-US"/>
        </w:rPr>
        <w:t>02 July 2019</w:t>
      </w:r>
      <w:r w:rsidRPr="00EB2982">
        <w:rPr>
          <w:lang w:val="en-US"/>
        </w:rPr>
        <w:t>, wishes to report as follows:</w:t>
      </w:r>
    </w:p>
    <w:p w14:paraId="1219FB5D" w14:textId="77777777" w:rsidR="003D6179" w:rsidRPr="00EB2982" w:rsidRDefault="003D6179" w:rsidP="005E2F3A">
      <w:pPr>
        <w:spacing w:line="280" w:lineRule="exact"/>
        <w:jc w:val="both"/>
        <w:rPr>
          <w:b/>
          <w:lang w:val="en-US"/>
        </w:rPr>
      </w:pPr>
    </w:p>
    <w:p w14:paraId="09CCD4E3" w14:textId="77777777" w:rsidR="003D6179" w:rsidRPr="00EB2982" w:rsidRDefault="003D6179" w:rsidP="005E2F3A">
      <w:pPr>
        <w:numPr>
          <w:ilvl w:val="0"/>
          <w:numId w:val="1"/>
        </w:numPr>
        <w:spacing w:line="280" w:lineRule="exact"/>
        <w:jc w:val="both"/>
        <w:rPr>
          <w:b/>
          <w:lang w:val="en-US"/>
        </w:rPr>
      </w:pPr>
      <w:r w:rsidRPr="00EB2982">
        <w:rPr>
          <w:b/>
          <w:lang w:val="en-US"/>
        </w:rPr>
        <w:t>Introduction</w:t>
      </w:r>
    </w:p>
    <w:p w14:paraId="120FC17D" w14:textId="77777777" w:rsidR="003D6179" w:rsidRPr="00EB2982" w:rsidRDefault="003D6179" w:rsidP="005E2F3A">
      <w:pPr>
        <w:spacing w:line="280" w:lineRule="exact"/>
        <w:jc w:val="both"/>
        <w:rPr>
          <w:b/>
          <w:lang w:val="en-US"/>
        </w:rPr>
      </w:pPr>
    </w:p>
    <w:p w14:paraId="017E94A8" w14:textId="77777777" w:rsidR="003D6179" w:rsidRPr="00EB2982" w:rsidRDefault="003D6179" w:rsidP="005E2F3A">
      <w:pPr>
        <w:spacing w:line="280" w:lineRule="exact"/>
        <w:jc w:val="both"/>
        <w:rPr>
          <w:bCs/>
          <w:lang w:val="en-ZA"/>
        </w:rPr>
      </w:pPr>
      <w:r w:rsidRPr="00EB2982">
        <w:rPr>
          <w:bCs/>
          <w:lang w:val="en-ZA"/>
        </w:rPr>
        <w:t xml:space="preserve">The Committee’s mandate as prescribed by the Constitution of South Africa and the Rules of Parliament is to build an oversight process that ensures a quality process of scrutinising and overseeing government’s action that is driven by the ideal of realising a better quality of life for all people of South Africa.  </w:t>
      </w:r>
    </w:p>
    <w:p w14:paraId="7019A601" w14:textId="77777777" w:rsidR="003D6179" w:rsidRPr="00EB2982" w:rsidRDefault="003D6179" w:rsidP="005E2F3A">
      <w:pPr>
        <w:pStyle w:val="Subtitle"/>
        <w:spacing w:line="280" w:lineRule="exact"/>
        <w:rPr>
          <w:rFonts w:ascii="Times New Roman" w:hAnsi="Times New Roman" w:cs="Times New Roman"/>
          <w:lang w:val="en-ZA"/>
        </w:rPr>
      </w:pPr>
    </w:p>
    <w:p w14:paraId="23025E51" w14:textId="77777777" w:rsidR="00B90948" w:rsidRPr="00EB2982" w:rsidRDefault="00B90948" w:rsidP="005E2F3A">
      <w:pPr>
        <w:spacing w:line="280" w:lineRule="exact"/>
        <w:jc w:val="both"/>
        <w:rPr>
          <w:lang w:val="en-ZA"/>
        </w:rPr>
      </w:pPr>
      <w:r w:rsidRPr="00EB2982">
        <w:rPr>
          <w:lang w:val="en-ZA"/>
        </w:rPr>
        <w:t>As part of conducting its oversight the Committee has a constitutional mandate to scrutinise and thereafter approve the budget of the department and its entities. It also considers the Annual Performance Plans of these institutions. It thereafter, draft a report (t</w:t>
      </w:r>
      <w:r w:rsidR="003D6179" w:rsidRPr="00EB2982">
        <w:rPr>
          <w:lang w:val="en-ZA"/>
        </w:rPr>
        <w:t>he</w:t>
      </w:r>
      <w:r w:rsidRPr="00EB2982">
        <w:rPr>
          <w:lang w:val="en-ZA"/>
        </w:rPr>
        <w:t xml:space="preserve"> current report) in which it reports of the APPs of the department and its entities as they were presented to it. It then raise</w:t>
      </w:r>
      <w:r w:rsidR="000C46B2" w:rsidRPr="00EB2982">
        <w:rPr>
          <w:lang w:val="en-ZA"/>
        </w:rPr>
        <w:t>s</w:t>
      </w:r>
      <w:r w:rsidRPr="00EB2982">
        <w:rPr>
          <w:lang w:val="en-ZA"/>
        </w:rPr>
        <w:t xml:space="preserve"> its observations and formulate recommendations. As part of scrutinising the budget allocation and APPs the Committee makes use of the budget information contained in the National Treasury’s Estimates of National Expenditure (ENE). </w:t>
      </w:r>
    </w:p>
    <w:p w14:paraId="2CE9024C" w14:textId="77777777" w:rsidR="00FC46B3" w:rsidRPr="00EB2982" w:rsidRDefault="00FC46B3" w:rsidP="005E2F3A">
      <w:pPr>
        <w:spacing w:line="280" w:lineRule="exact"/>
        <w:jc w:val="both"/>
        <w:rPr>
          <w:lang w:val="en-ZA"/>
        </w:rPr>
      </w:pPr>
    </w:p>
    <w:p w14:paraId="0209F248" w14:textId="77777777" w:rsidR="00FC46B3" w:rsidRPr="00EB2982" w:rsidRDefault="00FC46B3" w:rsidP="005E2F3A">
      <w:pPr>
        <w:spacing w:line="280" w:lineRule="exact"/>
        <w:jc w:val="both"/>
        <w:rPr>
          <w:lang w:val="en-ZA"/>
        </w:rPr>
      </w:pPr>
      <w:r w:rsidRPr="00EB2982">
        <w:rPr>
          <w:lang w:val="en-ZA"/>
        </w:rPr>
        <w:t>This report forms basis from which the Committee debates the budget and APPs of the departments and its entities. This process culminates to the approval of the department as a Budget Vote.</w:t>
      </w:r>
    </w:p>
    <w:p w14:paraId="52A0715F" w14:textId="77777777" w:rsidR="00B90948" w:rsidRPr="00EB2982" w:rsidRDefault="00B90948" w:rsidP="005E2F3A">
      <w:pPr>
        <w:spacing w:line="280" w:lineRule="exact"/>
        <w:jc w:val="both"/>
        <w:rPr>
          <w:lang w:val="en-ZA"/>
        </w:rPr>
      </w:pPr>
    </w:p>
    <w:p w14:paraId="702A32B6" w14:textId="77777777" w:rsidR="003D6179" w:rsidRPr="00EB2982" w:rsidRDefault="00B90948" w:rsidP="005E2F3A">
      <w:pPr>
        <w:numPr>
          <w:ilvl w:val="0"/>
          <w:numId w:val="1"/>
        </w:numPr>
        <w:spacing w:line="280" w:lineRule="exact"/>
        <w:jc w:val="both"/>
        <w:rPr>
          <w:b/>
          <w:bCs/>
          <w:lang w:val="en-ZA"/>
        </w:rPr>
      </w:pPr>
      <w:r w:rsidRPr="00EB2982">
        <w:rPr>
          <w:lang w:val="en-ZA"/>
        </w:rPr>
        <w:t xml:space="preserve"> </w:t>
      </w:r>
      <w:r w:rsidR="003D6179" w:rsidRPr="00EB2982">
        <w:rPr>
          <w:b/>
          <w:bCs/>
          <w:lang w:val="en-ZA"/>
        </w:rPr>
        <w:t>The Department of Social Development the Annual Performance Plan</w:t>
      </w:r>
      <w:r w:rsidR="00231964" w:rsidRPr="00EB2982">
        <w:rPr>
          <w:b/>
          <w:bCs/>
          <w:lang w:val="en-ZA"/>
        </w:rPr>
        <w:t xml:space="preserve"> (APP)</w:t>
      </w:r>
    </w:p>
    <w:p w14:paraId="1DE861DC" w14:textId="77777777" w:rsidR="003D6179" w:rsidRPr="00EB2982" w:rsidRDefault="003D6179" w:rsidP="005E2F3A">
      <w:pPr>
        <w:spacing w:line="280" w:lineRule="exact"/>
        <w:ind w:left="397"/>
        <w:jc w:val="both"/>
        <w:rPr>
          <w:lang w:val="en-ZA"/>
        </w:rPr>
      </w:pPr>
    </w:p>
    <w:p w14:paraId="76FF0491" w14:textId="77777777" w:rsidR="00846287" w:rsidRPr="00EB2982" w:rsidRDefault="00F749D9" w:rsidP="0018240F">
      <w:pPr>
        <w:pStyle w:val="spacing"/>
        <w:spacing w:line="280" w:lineRule="exact"/>
        <w:jc w:val="both"/>
        <w:rPr>
          <w:rFonts w:ascii="Times New Roman" w:hAnsi="Times New Roman"/>
          <w:bCs/>
          <w:sz w:val="24"/>
          <w:szCs w:val="24"/>
          <w:lang w:eastAsia="en-US"/>
        </w:rPr>
      </w:pPr>
      <w:r w:rsidRPr="00EB2982">
        <w:rPr>
          <w:rFonts w:ascii="Times New Roman" w:hAnsi="Times New Roman"/>
          <w:bCs/>
          <w:sz w:val="24"/>
          <w:szCs w:val="24"/>
          <w:lang w:eastAsia="en-US"/>
        </w:rPr>
        <w:t xml:space="preserve">As part of background information, the </w:t>
      </w:r>
      <w:r w:rsidR="00195A50" w:rsidRPr="00EB2982">
        <w:rPr>
          <w:rFonts w:ascii="Times New Roman" w:hAnsi="Times New Roman"/>
          <w:bCs/>
          <w:sz w:val="24"/>
          <w:szCs w:val="24"/>
          <w:lang w:eastAsia="en-US"/>
        </w:rPr>
        <w:t>d</w:t>
      </w:r>
      <w:r w:rsidRPr="00EB2982">
        <w:rPr>
          <w:rFonts w:ascii="Times New Roman" w:hAnsi="Times New Roman"/>
          <w:bCs/>
          <w:sz w:val="24"/>
          <w:szCs w:val="24"/>
          <w:lang w:eastAsia="en-US"/>
        </w:rPr>
        <w:t xml:space="preserve">epartment informed the Committee that </w:t>
      </w:r>
      <w:r w:rsidR="00195A50" w:rsidRPr="00EB2982">
        <w:rPr>
          <w:rFonts w:ascii="Times New Roman" w:hAnsi="Times New Roman"/>
          <w:bCs/>
          <w:sz w:val="24"/>
          <w:szCs w:val="24"/>
          <w:lang w:eastAsia="en-US"/>
        </w:rPr>
        <w:t>its</w:t>
      </w:r>
      <w:r w:rsidRPr="00EB2982">
        <w:rPr>
          <w:rFonts w:ascii="Times New Roman" w:hAnsi="Times New Roman"/>
          <w:bCs/>
          <w:sz w:val="24"/>
          <w:szCs w:val="24"/>
          <w:lang w:eastAsia="en-US"/>
        </w:rPr>
        <w:t xml:space="preserve"> strategic plan 2015 - 2020 and </w:t>
      </w:r>
      <w:r w:rsidR="003D6179" w:rsidRPr="00EB2982">
        <w:rPr>
          <w:rFonts w:ascii="Times New Roman" w:hAnsi="Times New Roman"/>
          <w:bCs/>
          <w:sz w:val="24"/>
          <w:szCs w:val="24"/>
          <w:lang w:eastAsia="en-US"/>
        </w:rPr>
        <w:t>APP 201</w:t>
      </w:r>
      <w:r w:rsidR="00E8269D" w:rsidRPr="00EB2982">
        <w:rPr>
          <w:rFonts w:ascii="Times New Roman" w:hAnsi="Times New Roman"/>
          <w:bCs/>
          <w:sz w:val="24"/>
          <w:szCs w:val="24"/>
          <w:lang w:eastAsia="en-US"/>
        </w:rPr>
        <w:t>9</w:t>
      </w:r>
      <w:r w:rsidR="003D6179" w:rsidRPr="00EB2982">
        <w:rPr>
          <w:rFonts w:ascii="Times New Roman" w:hAnsi="Times New Roman"/>
          <w:bCs/>
          <w:sz w:val="24"/>
          <w:szCs w:val="24"/>
          <w:lang w:eastAsia="en-US"/>
        </w:rPr>
        <w:t>/</w:t>
      </w:r>
      <w:r w:rsidR="00E8269D" w:rsidRPr="00EB2982">
        <w:rPr>
          <w:rFonts w:ascii="Times New Roman" w:hAnsi="Times New Roman"/>
          <w:bCs/>
          <w:sz w:val="24"/>
          <w:szCs w:val="24"/>
          <w:lang w:eastAsia="en-US"/>
        </w:rPr>
        <w:t>20</w:t>
      </w:r>
      <w:r w:rsidR="003D6179" w:rsidRPr="00EB2982">
        <w:rPr>
          <w:rFonts w:ascii="Times New Roman" w:hAnsi="Times New Roman"/>
          <w:bCs/>
          <w:sz w:val="24"/>
          <w:szCs w:val="24"/>
          <w:lang w:eastAsia="en-US"/>
        </w:rPr>
        <w:t xml:space="preserve"> w</w:t>
      </w:r>
      <w:r w:rsidRPr="00EB2982">
        <w:rPr>
          <w:rFonts w:ascii="Times New Roman" w:hAnsi="Times New Roman"/>
          <w:bCs/>
          <w:sz w:val="24"/>
          <w:szCs w:val="24"/>
          <w:lang w:eastAsia="en-US"/>
        </w:rPr>
        <w:t>ere</w:t>
      </w:r>
      <w:r w:rsidR="003D6179" w:rsidRPr="00EB2982">
        <w:rPr>
          <w:rFonts w:ascii="Times New Roman" w:hAnsi="Times New Roman"/>
          <w:bCs/>
          <w:sz w:val="24"/>
          <w:szCs w:val="24"/>
          <w:lang w:eastAsia="en-US"/>
        </w:rPr>
        <w:t xml:space="preserve"> a product </w:t>
      </w:r>
      <w:r w:rsidR="00884DF7" w:rsidRPr="00EB2982">
        <w:rPr>
          <w:rFonts w:ascii="Times New Roman" w:hAnsi="Times New Roman"/>
          <w:bCs/>
          <w:sz w:val="24"/>
          <w:szCs w:val="24"/>
          <w:lang w:eastAsia="en-US"/>
        </w:rPr>
        <w:t>of extensive</w:t>
      </w:r>
      <w:r w:rsidR="00846287" w:rsidRPr="00EB2982">
        <w:rPr>
          <w:rFonts w:ascii="Times New Roman" w:hAnsi="Times New Roman"/>
          <w:bCs/>
          <w:sz w:val="24"/>
          <w:szCs w:val="24"/>
          <w:lang w:eastAsia="en-US"/>
        </w:rPr>
        <w:t xml:space="preserve"> consultation and review of </w:t>
      </w:r>
      <w:r w:rsidR="00195A50" w:rsidRPr="00EB2982">
        <w:rPr>
          <w:rFonts w:ascii="Times New Roman" w:hAnsi="Times New Roman"/>
          <w:bCs/>
          <w:sz w:val="24"/>
          <w:szCs w:val="24"/>
          <w:lang w:eastAsia="en-US"/>
        </w:rPr>
        <w:t>its</w:t>
      </w:r>
      <w:r w:rsidR="00846287" w:rsidRPr="00EB2982">
        <w:rPr>
          <w:rFonts w:ascii="Times New Roman" w:hAnsi="Times New Roman"/>
          <w:bCs/>
          <w:sz w:val="24"/>
          <w:szCs w:val="24"/>
          <w:lang w:eastAsia="en-US"/>
        </w:rPr>
        <w:t xml:space="preserve"> work in the last performance cycle.  These plans are informed by the National Development Plan which asserts that:</w:t>
      </w:r>
    </w:p>
    <w:p w14:paraId="305F321A" w14:textId="77777777" w:rsidR="00585E3C" w:rsidRPr="00EB2982" w:rsidRDefault="00585E3C" w:rsidP="001342C6">
      <w:pPr>
        <w:pStyle w:val="spacing"/>
        <w:numPr>
          <w:ilvl w:val="0"/>
          <w:numId w:val="6"/>
        </w:numPr>
        <w:spacing w:line="280" w:lineRule="exact"/>
        <w:jc w:val="both"/>
        <w:rPr>
          <w:rFonts w:ascii="Times New Roman" w:hAnsi="Times New Roman"/>
          <w:bCs/>
          <w:sz w:val="24"/>
          <w:szCs w:val="24"/>
          <w:lang w:val="en-ZA" w:eastAsia="en-US"/>
        </w:rPr>
      </w:pPr>
      <w:r w:rsidRPr="00EB2982">
        <w:rPr>
          <w:rFonts w:ascii="Times New Roman" w:hAnsi="Times New Roman"/>
          <w:bCs/>
          <w:sz w:val="24"/>
          <w:szCs w:val="24"/>
          <w:lang w:eastAsia="en-US"/>
        </w:rPr>
        <w:t>Social security is a basic right, and a human rights approach to social protection is required;</w:t>
      </w:r>
    </w:p>
    <w:p w14:paraId="4F11DA00" w14:textId="77777777" w:rsidR="00585E3C" w:rsidRPr="00EB2982" w:rsidRDefault="00585E3C" w:rsidP="001342C6">
      <w:pPr>
        <w:pStyle w:val="spacing"/>
        <w:numPr>
          <w:ilvl w:val="0"/>
          <w:numId w:val="6"/>
        </w:numPr>
        <w:spacing w:line="280" w:lineRule="exact"/>
        <w:jc w:val="both"/>
        <w:rPr>
          <w:rFonts w:ascii="Times New Roman" w:hAnsi="Times New Roman"/>
          <w:bCs/>
          <w:sz w:val="24"/>
          <w:szCs w:val="24"/>
          <w:lang w:val="en-ZA" w:eastAsia="en-US"/>
        </w:rPr>
      </w:pPr>
      <w:r w:rsidRPr="00EB2982">
        <w:rPr>
          <w:rFonts w:ascii="Times New Roman" w:hAnsi="Times New Roman"/>
          <w:bCs/>
          <w:sz w:val="24"/>
          <w:szCs w:val="24"/>
          <w:lang w:eastAsia="en-US"/>
        </w:rPr>
        <w:t>By 2030, everyone must enjoy an adequate standard of living. There must be basic social protection guarantees aimed at preventing or alleviating poverty and protecting against vulnerability</w:t>
      </w:r>
    </w:p>
    <w:p w14:paraId="7AE50192" w14:textId="77777777" w:rsidR="00585E3C" w:rsidRPr="00EB2982" w:rsidRDefault="00585E3C" w:rsidP="001342C6">
      <w:pPr>
        <w:pStyle w:val="spacing"/>
        <w:numPr>
          <w:ilvl w:val="0"/>
          <w:numId w:val="6"/>
        </w:numPr>
        <w:spacing w:line="280" w:lineRule="exact"/>
        <w:jc w:val="both"/>
        <w:rPr>
          <w:rFonts w:ascii="Times New Roman" w:hAnsi="Times New Roman"/>
          <w:bCs/>
          <w:sz w:val="24"/>
          <w:szCs w:val="24"/>
          <w:lang w:val="en-ZA" w:eastAsia="en-US"/>
        </w:rPr>
      </w:pPr>
      <w:r w:rsidRPr="00EB2982">
        <w:rPr>
          <w:rFonts w:ascii="Times New Roman" w:hAnsi="Times New Roman"/>
          <w:bCs/>
          <w:sz w:val="24"/>
          <w:szCs w:val="24"/>
          <w:lang w:eastAsia="en-US"/>
        </w:rPr>
        <w:t>The principle of building and utilising the capabilities of individuals, households and communities and avoiding the creation of dependency and stigma must be upheld.</w:t>
      </w:r>
    </w:p>
    <w:p w14:paraId="3E7A3A7F" w14:textId="77777777" w:rsidR="00585E3C" w:rsidRPr="00EB2982" w:rsidRDefault="00585E3C" w:rsidP="001342C6">
      <w:pPr>
        <w:pStyle w:val="spacing"/>
        <w:numPr>
          <w:ilvl w:val="0"/>
          <w:numId w:val="6"/>
        </w:numPr>
        <w:spacing w:line="280" w:lineRule="exact"/>
        <w:jc w:val="both"/>
        <w:rPr>
          <w:rFonts w:ascii="Times New Roman" w:hAnsi="Times New Roman"/>
          <w:bCs/>
          <w:sz w:val="24"/>
          <w:szCs w:val="24"/>
          <w:lang w:val="en-ZA" w:eastAsia="en-US"/>
        </w:rPr>
      </w:pPr>
      <w:r w:rsidRPr="00EB2982">
        <w:rPr>
          <w:rFonts w:ascii="Times New Roman" w:hAnsi="Times New Roman"/>
          <w:bCs/>
          <w:sz w:val="24"/>
          <w:szCs w:val="24"/>
          <w:lang w:eastAsia="en-US"/>
        </w:rPr>
        <w:t>A developmental social welfare approach, with a focus on individuals, families and communities must be pursued</w:t>
      </w:r>
    </w:p>
    <w:p w14:paraId="7222E8BC" w14:textId="77777777" w:rsidR="003D6179" w:rsidRPr="00EB2982" w:rsidRDefault="003D6179" w:rsidP="0018240F">
      <w:pPr>
        <w:pStyle w:val="spacing"/>
        <w:spacing w:line="280" w:lineRule="exact"/>
        <w:jc w:val="both"/>
        <w:rPr>
          <w:rFonts w:ascii="Times New Roman" w:hAnsi="Times New Roman"/>
          <w:b/>
          <w:sz w:val="24"/>
          <w:szCs w:val="24"/>
        </w:rPr>
      </w:pPr>
      <w:r w:rsidRPr="00EB2982">
        <w:rPr>
          <w:rFonts w:ascii="Times New Roman" w:hAnsi="Times New Roman"/>
          <w:b/>
          <w:sz w:val="24"/>
          <w:szCs w:val="24"/>
        </w:rPr>
        <w:t>2.1</w:t>
      </w:r>
      <w:r w:rsidRPr="00EB2982">
        <w:rPr>
          <w:rFonts w:ascii="Times New Roman" w:hAnsi="Times New Roman"/>
          <w:b/>
          <w:sz w:val="24"/>
          <w:szCs w:val="24"/>
        </w:rPr>
        <w:tab/>
        <w:t>The mandate, vision and the mission of the department</w:t>
      </w:r>
    </w:p>
    <w:p w14:paraId="404762E4" w14:textId="77777777" w:rsidR="00393D5F" w:rsidRPr="00EB2982" w:rsidRDefault="003D6179" w:rsidP="005E2F3A">
      <w:pPr>
        <w:spacing w:line="280" w:lineRule="exact"/>
        <w:jc w:val="both"/>
        <w:rPr>
          <w:lang w:val="en-US"/>
        </w:rPr>
      </w:pPr>
      <w:r w:rsidRPr="00EB2982">
        <w:rPr>
          <w:lang w:val="en-US"/>
        </w:rPr>
        <w:t xml:space="preserve">The mandate of the </w:t>
      </w:r>
      <w:r w:rsidR="00585E3C" w:rsidRPr="00EB2982">
        <w:rPr>
          <w:lang w:val="en-US"/>
        </w:rPr>
        <w:t>D</w:t>
      </w:r>
      <w:r w:rsidRPr="00EB2982">
        <w:rPr>
          <w:lang w:val="en-US"/>
        </w:rPr>
        <w:t xml:space="preserve">epartment </w:t>
      </w:r>
      <w:r w:rsidR="00585E3C" w:rsidRPr="00EB2982">
        <w:rPr>
          <w:lang w:val="en-US"/>
        </w:rPr>
        <w:t xml:space="preserve">of Social Development </w:t>
      </w:r>
      <w:r w:rsidR="00393D5F" w:rsidRPr="00EB2982">
        <w:rPr>
          <w:lang w:val="en-US"/>
        </w:rPr>
        <w:t xml:space="preserve">is to </w:t>
      </w:r>
      <w:r w:rsidR="00195A50" w:rsidRPr="00EB2982">
        <w:rPr>
          <w:lang w:val="en-US"/>
        </w:rPr>
        <w:t xml:space="preserve">provide </w:t>
      </w:r>
      <w:r w:rsidR="00585E3C" w:rsidRPr="00EB2982">
        <w:rPr>
          <w:lang w:val="en-US"/>
        </w:rPr>
        <w:t xml:space="preserve">social protection services and leads government efforts to forge partnerships through which vulnerable </w:t>
      </w:r>
      <w:r w:rsidR="00585E3C" w:rsidRPr="00EB2982">
        <w:rPr>
          <w:lang w:val="en-US"/>
        </w:rPr>
        <w:lastRenderedPageBreak/>
        <w:t>individuals, groups</w:t>
      </w:r>
      <w:r w:rsidR="00393D5F" w:rsidRPr="00EB2982">
        <w:rPr>
          <w:lang w:val="en-US"/>
        </w:rPr>
        <w:t xml:space="preserve"> and communities become capable and self-reliant participants in their own department.</w:t>
      </w:r>
    </w:p>
    <w:p w14:paraId="0DA9A291" w14:textId="77777777" w:rsidR="003D6179" w:rsidRPr="00EB2982" w:rsidRDefault="003D6179" w:rsidP="005E2F3A">
      <w:pPr>
        <w:spacing w:line="280" w:lineRule="exact"/>
        <w:jc w:val="both"/>
        <w:rPr>
          <w:b/>
          <w:lang w:val="en-US"/>
        </w:rPr>
      </w:pPr>
    </w:p>
    <w:p w14:paraId="3FCE5111" w14:textId="77777777" w:rsidR="003D6179" w:rsidRPr="00EB2982" w:rsidRDefault="003D6179" w:rsidP="005E2F3A">
      <w:pPr>
        <w:spacing w:line="280" w:lineRule="exact"/>
        <w:jc w:val="both"/>
      </w:pPr>
      <w:r w:rsidRPr="00EB2982">
        <w:rPr>
          <w:lang w:val="en-US"/>
        </w:rPr>
        <w:t>The department therefore derives its mandate from several pieces of legislation and policies that are aligned to the Constitution. These include the White Paper for Social Welfare (1997) and the Population Policy (1998), which</w:t>
      </w:r>
      <w:r w:rsidRPr="00EB2982">
        <w:t xml:space="preserve"> set out the principles, guidelines, policies and programmes for developmental social welfare in South Africa. The White Paper for Social Welfare has provided the foundation for social welfare in the post-1994 era. </w:t>
      </w:r>
      <w:r w:rsidR="00231964" w:rsidRPr="00EB2982">
        <w:t>The White Paper on Social Welfare is being reviewed to expand to make it more inclusive of a wide variety of social welfare services.</w:t>
      </w:r>
    </w:p>
    <w:p w14:paraId="6908E273" w14:textId="77777777" w:rsidR="003D6179" w:rsidRPr="00EB2982" w:rsidRDefault="003D6179" w:rsidP="005E2F3A">
      <w:pPr>
        <w:spacing w:line="280" w:lineRule="exact"/>
        <w:jc w:val="both"/>
      </w:pPr>
    </w:p>
    <w:p w14:paraId="14E4377D" w14:textId="77777777" w:rsidR="003D6179" w:rsidRPr="00EB2982" w:rsidRDefault="003D6179" w:rsidP="005E2F3A">
      <w:pPr>
        <w:spacing w:line="280" w:lineRule="exact"/>
        <w:jc w:val="both"/>
      </w:pPr>
      <w:r w:rsidRPr="00EB2982">
        <w:t>The vision of the department is</w:t>
      </w:r>
      <w:r w:rsidR="00231964" w:rsidRPr="00EB2982">
        <w:t xml:space="preserve"> </w:t>
      </w:r>
      <w:r w:rsidR="00393D5F" w:rsidRPr="00EB2982">
        <w:t>a</w:t>
      </w:r>
      <w:r w:rsidR="00195A50" w:rsidRPr="00EB2982">
        <w:t xml:space="preserve"> to promote</w:t>
      </w:r>
      <w:r w:rsidR="00393D5F" w:rsidRPr="00EB2982">
        <w:t xml:space="preserve"> “caring and self-reliant society”</w:t>
      </w:r>
      <w:r w:rsidRPr="00EB2982">
        <w:t>.</w:t>
      </w:r>
    </w:p>
    <w:p w14:paraId="1231647F" w14:textId="77777777" w:rsidR="003D6179" w:rsidRPr="00EB2982" w:rsidRDefault="003D6179" w:rsidP="005E2F3A">
      <w:pPr>
        <w:spacing w:line="280" w:lineRule="exact"/>
        <w:jc w:val="both"/>
      </w:pPr>
    </w:p>
    <w:p w14:paraId="0BE90474" w14:textId="77777777" w:rsidR="00061D11" w:rsidRPr="00EB2982" w:rsidRDefault="003D6179" w:rsidP="005E2F3A">
      <w:pPr>
        <w:pStyle w:val="Default"/>
        <w:spacing w:line="280" w:lineRule="exact"/>
        <w:jc w:val="both"/>
        <w:rPr>
          <w:rFonts w:ascii="Times New Roman" w:hAnsi="Times New Roman" w:cs="Times New Roman"/>
        </w:rPr>
      </w:pPr>
      <w:r w:rsidRPr="00EB2982">
        <w:rPr>
          <w:rFonts w:ascii="Times New Roman" w:hAnsi="Times New Roman" w:cs="Times New Roman"/>
        </w:rPr>
        <w:t xml:space="preserve">The department’s mission is </w:t>
      </w:r>
      <w:r w:rsidR="00231964" w:rsidRPr="00EB2982">
        <w:rPr>
          <w:rFonts w:ascii="Times New Roman" w:hAnsi="Times New Roman" w:cs="Times New Roman"/>
        </w:rPr>
        <w:t xml:space="preserve">to </w:t>
      </w:r>
      <w:r w:rsidRPr="00EB2982">
        <w:rPr>
          <w:rFonts w:ascii="Times New Roman" w:hAnsi="Times New Roman" w:cs="Times New Roman"/>
        </w:rPr>
        <w:t xml:space="preserve">“transform our society by building </w:t>
      </w:r>
      <w:r w:rsidR="00E87B1F" w:rsidRPr="00EB2982">
        <w:rPr>
          <w:rFonts w:ascii="Times New Roman" w:hAnsi="Times New Roman" w:cs="Times New Roman"/>
        </w:rPr>
        <w:t xml:space="preserve">conscious and capable citizens through the provision </w:t>
      </w:r>
      <w:r w:rsidR="00052459" w:rsidRPr="00EB2982">
        <w:rPr>
          <w:rFonts w:ascii="Times New Roman" w:hAnsi="Times New Roman" w:cs="Times New Roman"/>
        </w:rPr>
        <w:t>of comprehensive</w:t>
      </w:r>
      <w:r w:rsidRPr="00EB2982">
        <w:rPr>
          <w:rFonts w:ascii="Times New Roman" w:hAnsi="Times New Roman" w:cs="Times New Roman"/>
        </w:rPr>
        <w:t>, integrated</w:t>
      </w:r>
      <w:r w:rsidR="00061D11" w:rsidRPr="00EB2982">
        <w:rPr>
          <w:rFonts w:ascii="Times New Roman" w:hAnsi="Times New Roman" w:cs="Times New Roman"/>
        </w:rPr>
        <w:t xml:space="preserve"> and</w:t>
      </w:r>
      <w:r w:rsidRPr="00EB2982">
        <w:rPr>
          <w:rFonts w:ascii="Times New Roman" w:hAnsi="Times New Roman" w:cs="Times New Roman"/>
        </w:rPr>
        <w:t xml:space="preserve"> sustainable</w:t>
      </w:r>
      <w:r w:rsidR="00061D11" w:rsidRPr="00EB2982">
        <w:rPr>
          <w:rFonts w:ascii="Times New Roman" w:hAnsi="Times New Roman" w:cs="Times New Roman"/>
        </w:rPr>
        <w:t xml:space="preserve"> social development services</w:t>
      </w:r>
      <w:r w:rsidR="003258D2" w:rsidRPr="00EB2982">
        <w:rPr>
          <w:rFonts w:ascii="Times New Roman" w:hAnsi="Times New Roman" w:cs="Times New Roman"/>
        </w:rPr>
        <w:t>”</w:t>
      </w:r>
      <w:r w:rsidR="00061D11" w:rsidRPr="00EB2982">
        <w:rPr>
          <w:rFonts w:ascii="Times New Roman" w:hAnsi="Times New Roman" w:cs="Times New Roman"/>
        </w:rPr>
        <w:t>.</w:t>
      </w:r>
    </w:p>
    <w:p w14:paraId="055C7EFB" w14:textId="77777777" w:rsidR="005D3DE8" w:rsidRPr="00EB2982" w:rsidRDefault="005D3DE8" w:rsidP="001342C6">
      <w:pPr>
        <w:pStyle w:val="Heading1"/>
        <w:keepLines/>
        <w:numPr>
          <w:ilvl w:val="1"/>
          <w:numId w:val="31"/>
        </w:numPr>
        <w:spacing w:before="240" w:line="280" w:lineRule="exact"/>
        <w:jc w:val="both"/>
        <w:rPr>
          <w:rFonts w:ascii="Times New Roman" w:hAnsi="Times New Roman" w:cs="Times New Roman"/>
        </w:rPr>
      </w:pPr>
      <w:bookmarkStart w:id="1" w:name="_Toc447541392"/>
      <w:bookmarkStart w:id="2" w:name="_Toc447551235"/>
      <w:bookmarkStart w:id="3" w:name="_Toc511639407"/>
      <w:r w:rsidRPr="00EB2982">
        <w:rPr>
          <w:rFonts w:ascii="Times New Roman" w:hAnsi="Times New Roman" w:cs="Times New Roman"/>
        </w:rPr>
        <w:t>Overview of the 20</w:t>
      </w:r>
      <w:r w:rsidR="00850816" w:rsidRPr="00EB2982">
        <w:rPr>
          <w:rFonts w:ascii="Times New Roman" w:hAnsi="Times New Roman" w:cs="Times New Roman"/>
        </w:rPr>
        <w:t>19/20</w:t>
      </w:r>
      <w:r w:rsidRPr="00EB2982">
        <w:rPr>
          <w:rFonts w:ascii="Times New Roman" w:hAnsi="Times New Roman" w:cs="Times New Roman"/>
        </w:rPr>
        <w:t xml:space="preserve"> financial year</w:t>
      </w:r>
      <w:bookmarkEnd w:id="1"/>
      <w:bookmarkEnd w:id="2"/>
      <w:bookmarkEnd w:id="3"/>
    </w:p>
    <w:p w14:paraId="4880166F" w14:textId="77777777" w:rsidR="005D3DE8" w:rsidRPr="00EB2982" w:rsidRDefault="005D3DE8" w:rsidP="001342C6">
      <w:pPr>
        <w:jc w:val="both"/>
      </w:pPr>
    </w:p>
    <w:p w14:paraId="74E98374" w14:textId="77777777" w:rsidR="00850816" w:rsidRPr="00EB2982" w:rsidRDefault="00850816" w:rsidP="001342C6">
      <w:pPr>
        <w:pStyle w:val="Caption"/>
        <w:spacing w:line="280" w:lineRule="exact"/>
        <w:rPr>
          <w:rFonts w:ascii="Times New Roman" w:hAnsi="Times New Roman" w:cs="Times New Roman"/>
          <w:iCs w:val="0"/>
          <w:color w:val="000000" w:themeColor="text1"/>
          <w:sz w:val="24"/>
          <w:szCs w:val="24"/>
          <w:lang w:val="en-GB"/>
        </w:rPr>
      </w:pPr>
      <w:r w:rsidRPr="00EB2982">
        <w:rPr>
          <w:rFonts w:ascii="Times New Roman" w:hAnsi="Times New Roman" w:cs="Times New Roman"/>
          <w:iCs w:val="0"/>
          <w:color w:val="000000" w:themeColor="text1"/>
          <w:sz w:val="24"/>
          <w:szCs w:val="24"/>
          <w:lang w:val="en-GB"/>
        </w:rPr>
        <w:t>Table 1: Overall DSD Budget per programme 2019/20</w:t>
      </w:r>
    </w:p>
    <w:tbl>
      <w:tblPr>
        <w:tblStyle w:val="TableGrid"/>
        <w:tblW w:w="9738" w:type="dxa"/>
        <w:tblInd w:w="-147" w:type="dxa"/>
        <w:tblLook w:val="04A0" w:firstRow="1" w:lastRow="0" w:firstColumn="1" w:lastColumn="0" w:noHBand="0" w:noVBand="1"/>
      </w:tblPr>
      <w:tblGrid>
        <w:gridCol w:w="2977"/>
        <w:gridCol w:w="1276"/>
        <w:gridCol w:w="1276"/>
        <w:gridCol w:w="1136"/>
        <w:gridCol w:w="1136"/>
        <w:gridCol w:w="1097"/>
        <w:gridCol w:w="1003"/>
      </w:tblGrid>
      <w:tr w:rsidR="001342C6" w:rsidRPr="00EB2982" w14:paraId="11E5F5B7" w14:textId="77777777" w:rsidTr="002C7C5F">
        <w:trPr>
          <w:trHeight w:val="765"/>
        </w:trPr>
        <w:tc>
          <w:tcPr>
            <w:tcW w:w="2977" w:type="dxa"/>
            <w:vMerge w:val="restart"/>
            <w:shd w:val="clear" w:color="auto" w:fill="FDE9D9" w:themeFill="accent6" w:themeFillTint="33"/>
            <w:noWrap/>
            <w:hideMark/>
          </w:tcPr>
          <w:p w14:paraId="3D64DEE5" w14:textId="77777777" w:rsidR="00850816" w:rsidRPr="00EB2982" w:rsidRDefault="00850816" w:rsidP="001342C6">
            <w:pPr>
              <w:jc w:val="both"/>
              <w:rPr>
                <w:b/>
                <w:bCs/>
              </w:rPr>
            </w:pPr>
            <w:r w:rsidRPr="00EB2982">
              <w:rPr>
                <w:b/>
                <w:bCs/>
              </w:rPr>
              <w:t>Programme</w:t>
            </w:r>
          </w:p>
          <w:p w14:paraId="61C7C471" w14:textId="77777777" w:rsidR="00850816" w:rsidRPr="00EB2982" w:rsidRDefault="00850816" w:rsidP="001342C6">
            <w:pPr>
              <w:jc w:val="both"/>
              <w:rPr>
                <w:b/>
                <w:bCs/>
              </w:rPr>
            </w:pPr>
          </w:p>
          <w:p w14:paraId="47C8074E" w14:textId="77777777" w:rsidR="00850816" w:rsidRPr="00EB2982" w:rsidRDefault="00850816" w:rsidP="001342C6">
            <w:pPr>
              <w:jc w:val="both"/>
              <w:rPr>
                <w:b/>
                <w:bCs/>
              </w:rPr>
            </w:pPr>
          </w:p>
          <w:p w14:paraId="5FCD1686" w14:textId="77777777" w:rsidR="00850816" w:rsidRPr="00EB2982" w:rsidRDefault="00850816" w:rsidP="001342C6">
            <w:pPr>
              <w:jc w:val="both"/>
              <w:rPr>
                <w:b/>
                <w:bCs/>
              </w:rPr>
            </w:pPr>
          </w:p>
          <w:p w14:paraId="59E5EEB1" w14:textId="77777777" w:rsidR="00850816" w:rsidRPr="00EB2982" w:rsidRDefault="00850816" w:rsidP="001342C6">
            <w:pPr>
              <w:jc w:val="both"/>
              <w:rPr>
                <w:b/>
                <w:bCs/>
              </w:rPr>
            </w:pPr>
            <w:r w:rsidRPr="00EB2982">
              <w:rPr>
                <w:b/>
                <w:bCs/>
              </w:rPr>
              <w:t>R million</w:t>
            </w:r>
          </w:p>
        </w:tc>
        <w:tc>
          <w:tcPr>
            <w:tcW w:w="2552" w:type="dxa"/>
            <w:gridSpan w:val="2"/>
            <w:shd w:val="clear" w:color="auto" w:fill="FDE9D9" w:themeFill="accent6" w:themeFillTint="33"/>
            <w:hideMark/>
          </w:tcPr>
          <w:p w14:paraId="6502D83C" w14:textId="77777777" w:rsidR="00850816" w:rsidRPr="00EB2982" w:rsidRDefault="00850816" w:rsidP="001342C6">
            <w:pPr>
              <w:jc w:val="both"/>
              <w:rPr>
                <w:b/>
                <w:bCs/>
              </w:rPr>
            </w:pPr>
            <w:r w:rsidRPr="00EB2982">
              <w:rPr>
                <w:b/>
                <w:bCs/>
              </w:rPr>
              <w:t>Budget</w:t>
            </w:r>
          </w:p>
        </w:tc>
        <w:tc>
          <w:tcPr>
            <w:tcW w:w="1106" w:type="dxa"/>
            <w:vMerge w:val="restart"/>
            <w:shd w:val="clear" w:color="auto" w:fill="FDE9D9" w:themeFill="accent6" w:themeFillTint="33"/>
            <w:hideMark/>
          </w:tcPr>
          <w:p w14:paraId="392E7121" w14:textId="77777777" w:rsidR="00850816" w:rsidRPr="00EB2982" w:rsidRDefault="00850816" w:rsidP="001342C6">
            <w:pPr>
              <w:jc w:val="both"/>
              <w:rPr>
                <w:b/>
                <w:bCs/>
              </w:rPr>
            </w:pPr>
            <w:r w:rsidRPr="00EB2982">
              <w:rPr>
                <w:b/>
                <w:bCs/>
              </w:rPr>
              <w:t>Nominal Increase / Decrease in 2019/20</w:t>
            </w:r>
          </w:p>
        </w:tc>
        <w:tc>
          <w:tcPr>
            <w:tcW w:w="1106" w:type="dxa"/>
            <w:vMerge w:val="restart"/>
            <w:shd w:val="clear" w:color="auto" w:fill="FDE9D9" w:themeFill="accent6" w:themeFillTint="33"/>
            <w:hideMark/>
          </w:tcPr>
          <w:p w14:paraId="45B6D814" w14:textId="77777777" w:rsidR="00850816" w:rsidRPr="00EB2982" w:rsidRDefault="00850816" w:rsidP="001342C6">
            <w:pPr>
              <w:jc w:val="both"/>
              <w:rPr>
                <w:b/>
                <w:bCs/>
              </w:rPr>
            </w:pPr>
            <w:r w:rsidRPr="00EB2982">
              <w:rPr>
                <w:b/>
                <w:bCs/>
              </w:rPr>
              <w:t>Real Increase / Decrease in 2019/20</w:t>
            </w:r>
          </w:p>
        </w:tc>
        <w:tc>
          <w:tcPr>
            <w:tcW w:w="1005" w:type="dxa"/>
            <w:vMerge w:val="restart"/>
            <w:shd w:val="clear" w:color="auto" w:fill="FDE9D9" w:themeFill="accent6" w:themeFillTint="33"/>
            <w:hideMark/>
          </w:tcPr>
          <w:p w14:paraId="128C4FFC" w14:textId="77777777" w:rsidR="00850816" w:rsidRPr="00EB2982" w:rsidRDefault="00850816" w:rsidP="001342C6">
            <w:pPr>
              <w:jc w:val="both"/>
              <w:rPr>
                <w:b/>
                <w:bCs/>
              </w:rPr>
            </w:pPr>
            <w:r w:rsidRPr="00EB2982">
              <w:rPr>
                <w:b/>
                <w:bCs/>
              </w:rPr>
              <w:t>Nominal Percent change in 2019/20</w:t>
            </w:r>
          </w:p>
        </w:tc>
        <w:tc>
          <w:tcPr>
            <w:tcW w:w="992" w:type="dxa"/>
            <w:vMerge w:val="restart"/>
            <w:shd w:val="clear" w:color="auto" w:fill="FDE9D9" w:themeFill="accent6" w:themeFillTint="33"/>
            <w:hideMark/>
          </w:tcPr>
          <w:p w14:paraId="2BE52C6C" w14:textId="77777777" w:rsidR="00850816" w:rsidRPr="00EB2982" w:rsidRDefault="00850816" w:rsidP="001342C6">
            <w:pPr>
              <w:jc w:val="both"/>
              <w:rPr>
                <w:b/>
                <w:bCs/>
              </w:rPr>
            </w:pPr>
            <w:r w:rsidRPr="00EB2982">
              <w:rPr>
                <w:b/>
                <w:bCs/>
              </w:rPr>
              <w:t>Real Percent change in 2019/20</w:t>
            </w:r>
          </w:p>
        </w:tc>
      </w:tr>
      <w:tr w:rsidR="001342C6" w:rsidRPr="00EB2982" w14:paraId="407962B6" w14:textId="77777777" w:rsidTr="002C7C5F">
        <w:trPr>
          <w:trHeight w:val="264"/>
        </w:trPr>
        <w:tc>
          <w:tcPr>
            <w:tcW w:w="2977" w:type="dxa"/>
            <w:vMerge/>
            <w:noWrap/>
            <w:hideMark/>
          </w:tcPr>
          <w:p w14:paraId="3E103616" w14:textId="77777777" w:rsidR="00850816" w:rsidRPr="00EB2982" w:rsidRDefault="00850816" w:rsidP="001342C6">
            <w:pPr>
              <w:jc w:val="both"/>
              <w:rPr>
                <w:b/>
                <w:bCs/>
              </w:rPr>
            </w:pPr>
          </w:p>
        </w:tc>
        <w:tc>
          <w:tcPr>
            <w:tcW w:w="1276" w:type="dxa"/>
            <w:shd w:val="clear" w:color="auto" w:fill="FDE9D9" w:themeFill="accent6" w:themeFillTint="33"/>
            <w:noWrap/>
            <w:hideMark/>
          </w:tcPr>
          <w:p w14:paraId="0EF7C436" w14:textId="77777777" w:rsidR="00850816" w:rsidRPr="00EB2982" w:rsidRDefault="00850816" w:rsidP="001342C6">
            <w:pPr>
              <w:jc w:val="both"/>
              <w:rPr>
                <w:b/>
                <w:bCs/>
              </w:rPr>
            </w:pPr>
            <w:r w:rsidRPr="00EB2982">
              <w:rPr>
                <w:b/>
                <w:bCs/>
              </w:rPr>
              <w:t>2018/19</w:t>
            </w:r>
          </w:p>
        </w:tc>
        <w:tc>
          <w:tcPr>
            <w:tcW w:w="1276" w:type="dxa"/>
            <w:shd w:val="clear" w:color="auto" w:fill="FDE9D9" w:themeFill="accent6" w:themeFillTint="33"/>
            <w:noWrap/>
            <w:hideMark/>
          </w:tcPr>
          <w:p w14:paraId="522EF367" w14:textId="77777777" w:rsidR="00850816" w:rsidRPr="00EB2982" w:rsidRDefault="00850816" w:rsidP="001342C6">
            <w:pPr>
              <w:jc w:val="both"/>
              <w:rPr>
                <w:b/>
                <w:bCs/>
              </w:rPr>
            </w:pPr>
            <w:r w:rsidRPr="00EB2982">
              <w:rPr>
                <w:b/>
                <w:bCs/>
              </w:rPr>
              <w:t>2019/20</w:t>
            </w:r>
          </w:p>
        </w:tc>
        <w:tc>
          <w:tcPr>
            <w:tcW w:w="1106" w:type="dxa"/>
            <w:vMerge/>
            <w:hideMark/>
          </w:tcPr>
          <w:p w14:paraId="6E3CA190" w14:textId="77777777" w:rsidR="00850816" w:rsidRPr="00EB2982" w:rsidRDefault="00850816" w:rsidP="001342C6">
            <w:pPr>
              <w:jc w:val="both"/>
              <w:rPr>
                <w:b/>
                <w:bCs/>
              </w:rPr>
            </w:pPr>
          </w:p>
        </w:tc>
        <w:tc>
          <w:tcPr>
            <w:tcW w:w="1106" w:type="dxa"/>
            <w:vMerge/>
            <w:hideMark/>
          </w:tcPr>
          <w:p w14:paraId="270F07C7" w14:textId="77777777" w:rsidR="00850816" w:rsidRPr="00EB2982" w:rsidRDefault="00850816" w:rsidP="001342C6">
            <w:pPr>
              <w:jc w:val="both"/>
              <w:rPr>
                <w:b/>
                <w:bCs/>
              </w:rPr>
            </w:pPr>
          </w:p>
        </w:tc>
        <w:tc>
          <w:tcPr>
            <w:tcW w:w="1005" w:type="dxa"/>
            <w:vMerge/>
            <w:hideMark/>
          </w:tcPr>
          <w:p w14:paraId="06AA1784" w14:textId="77777777" w:rsidR="00850816" w:rsidRPr="00EB2982" w:rsidRDefault="00850816" w:rsidP="001342C6">
            <w:pPr>
              <w:jc w:val="both"/>
              <w:rPr>
                <w:b/>
                <w:bCs/>
              </w:rPr>
            </w:pPr>
          </w:p>
        </w:tc>
        <w:tc>
          <w:tcPr>
            <w:tcW w:w="992" w:type="dxa"/>
            <w:vMerge/>
            <w:hideMark/>
          </w:tcPr>
          <w:p w14:paraId="4654DB99" w14:textId="77777777" w:rsidR="00850816" w:rsidRPr="00EB2982" w:rsidRDefault="00850816" w:rsidP="001342C6">
            <w:pPr>
              <w:jc w:val="both"/>
              <w:rPr>
                <w:b/>
                <w:bCs/>
              </w:rPr>
            </w:pPr>
          </w:p>
        </w:tc>
      </w:tr>
      <w:tr w:rsidR="001342C6" w:rsidRPr="00EB2982" w14:paraId="72E148F8" w14:textId="77777777" w:rsidTr="002C7C5F">
        <w:trPr>
          <w:trHeight w:val="264"/>
        </w:trPr>
        <w:tc>
          <w:tcPr>
            <w:tcW w:w="2977" w:type="dxa"/>
            <w:noWrap/>
            <w:hideMark/>
          </w:tcPr>
          <w:p w14:paraId="0BCCA9B3" w14:textId="77777777" w:rsidR="00850816" w:rsidRPr="00EB2982" w:rsidRDefault="00850816" w:rsidP="001342C6">
            <w:pPr>
              <w:jc w:val="both"/>
            </w:pPr>
            <w:r w:rsidRPr="00EB2982">
              <w:t>Programme 1: Administration</w:t>
            </w:r>
          </w:p>
        </w:tc>
        <w:tc>
          <w:tcPr>
            <w:tcW w:w="1276" w:type="dxa"/>
            <w:noWrap/>
            <w:hideMark/>
          </w:tcPr>
          <w:p w14:paraId="4596F9BD" w14:textId="77777777" w:rsidR="00850816" w:rsidRPr="00EB2982" w:rsidRDefault="00850816" w:rsidP="001342C6">
            <w:pPr>
              <w:jc w:val="both"/>
            </w:pPr>
            <w:r w:rsidRPr="00EB2982">
              <w:t>391,7</w:t>
            </w:r>
          </w:p>
        </w:tc>
        <w:tc>
          <w:tcPr>
            <w:tcW w:w="1276" w:type="dxa"/>
            <w:noWrap/>
            <w:hideMark/>
          </w:tcPr>
          <w:p w14:paraId="4BF7ACF6" w14:textId="77777777" w:rsidR="00850816" w:rsidRPr="00EB2982" w:rsidRDefault="00850816" w:rsidP="001342C6">
            <w:pPr>
              <w:jc w:val="both"/>
            </w:pPr>
            <w:r w:rsidRPr="00EB2982">
              <w:t>408,4</w:t>
            </w:r>
          </w:p>
        </w:tc>
        <w:tc>
          <w:tcPr>
            <w:tcW w:w="1106" w:type="dxa"/>
            <w:noWrap/>
            <w:hideMark/>
          </w:tcPr>
          <w:p w14:paraId="77B34962" w14:textId="77777777" w:rsidR="00850816" w:rsidRPr="00EB2982" w:rsidRDefault="00850816" w:rsidP="001342C6">
            <w:pPr>
              <w:jc w:val="both"/>
            </w:pPr>
            <w:r w:rsidRPr="00EB2982">
              <w:t>16,7</w:t>
            </w:r>
          </w:p>
        </w:tc>
        <w:tc>
          <w:tcPr>
            <w:tcW w:w="1106" w:type="dxa"/>
            <w:noWrap/>
            <w:hideMark/>
          </w:tcPr>
          <w:p w14:paraId="341323A5" w14:textId="77777777" w:rsidR="00850816" w:rsidRPr="00EB2982" w:rsidRDefault="00850816" w:rsidP="001342C6">
            <w:pPr>
              <w:jc w:val="both"/>
            </w:pPr>
            <w:r w:rsidRPr="00EB2982">
              <w:t>-  3,5</w:t>
            </w:r>
          </w:p>
        </w:tc>
        <w:tc>
          <w:tcPr>
            <w:tcW w:w="1005" w:type="dxa"/>
            <w:noWrap/>
            <w:hideMark/>
          </w:tcPr>
          <w:p w14:paraId="5D4B5246" w14:textId="77777777" w:rsidR="00850816" w:rsidRPr="00EB2982" w:rsidRDefault="00850816" w:rsidP="001342C6">
            <w:pPr>
              <w:jc w:val="both"/>
            </w:pPr>
            <w:r w:rsidRPr="00EB2982">
              <w:t>4,26%</w:t>
            </w:r>
          </w:p>
        </w:tc>
        <w:tc>
          <w:tcPr>
            <w:tcW w:w="992" w:type="dxa"/>
            <w:noWrap/>
            <w:hideMark/>
          </w:tcPr>
          <w:p w14:paraId="2DA01F66" w14:textId="77777777" w:rsidR="00850816" w:rsidRPr="00EB2982" w:rsidRDefault="00850816" w:rsidP="001342C6">
            <w:pPr>
              <w:jc w:val="both"/>
            </w:pPr>
            <w:r w:rsidRPr="00EB2982">
              <w:t>-0,89%</w:t>
            </w:r>
          </w:p>
        </w:tc>
      </w:tr>
      <w:tr w:rsidR="001342C6" w:rsidRPr="00EB2982" w14:paraId="4A9BE3AF" w14:textId="77777777" w:rsidTr="002C7C5F">
        <w:trPr>
          <w:trHeight w:val="264"/>
        </w:trPr>
        <w:tc>
          <w:tcPr>
            <w:tcW w:w="2977" w:type="dxa"/>
            <w:noWrap/>
            <w:hideMark/>
          </w:tcPr>
          <w:p w14:paraId="47B945C8" w14:textId="77777777" w:rsidR="00850816" w:rsidRPr="00EB2982" w:rsidRDefault="00850816" w:rsidP="001342C6">
            <w:pPr>
              <w:jc w:val="both"/>
            </w:pPr>
            <w:r w:rsidRPr="00EB2982">
              <w:t>Programme 2: Social Assistance</w:t>
            </w:r>
          </w:p>
        </w:tc>
        <w:tc>
          <w:tcPr>
            <w:tcW w:w="1276" w:type="dxa"/>
            <w:noWrap/>
            <w:hideMark/>
          </w:tcPr>
          <w:p w14:paraId="29B6F4E1" w14:textId="77777777" w:rsidR="00850816" w:rsidRPr="00EB2982" w:rsidRDefault="00850816" w:rsidP="001342C6">
            <w:pPr>
              <w:jc w:val="both"/>
            </w:pPr>
            <w:r w:rsidRPr="00EB2982">
              <w:t>162 860,7</w:t>
            </w:r>
          </w:p>
        </w:tc>
        <w:tc>
          <w:tcPr>
            <w:tcW w:w="1276" w:type="dxa"/>
            <w:noWrap/>
            <w:hideMark/>
          </w:tcPr>
          <w:p w14:paraId="6ADD32CD" w14:textId="77777777" w:rsidR="00850816" w:rsidRPr="00EB2982" w:rsidRDefault="00850816" w:rsidP="001342C6">
            <w:pPr>
              <w:jc w:val="both"/>
            </w:pPr>
            <w:r w:rsidRPr="00EB2982">
              <w:t>175 155,6</w:t>
            </w:r>
          </w:p>
        </w:tc>
        <w:tc>
          <w:tcPr>
            <w:tcW w:w="1106" w:type="dxa"/>
            <w:noWrap/>
            <w:hideMark/>
          </w:tcPr>
          <w:p w14:paraId="42F2E539" w14:textId="77777777" w:rsidR="00850816" w:rsidRPr="00EB2982" w:rsidRDefault="00850816" w:rsidP="001342C6">
            <w:pPr>
              <w:jc w:val="both"/>
            </w:pPr>
            <w:r w:rsidRPr="00EB2982">
              <w:t>12 513,9</w:t>
            </w:r>
          </w:p>
        </w:tc>
        <w:tc>
          <w:tcPr>
            <w:tcW w:w="1106" w:type="dxa"/>
            <w:noWrap/>
            <w:hideMark/>
          </w:tcPr>
          <w:p w14:paraId="7B509432" w14:textId="77777777" w:rsidR="00850816" w:rsidRPr="00EB2982" w:rsidRDefault="00850816" w:rsidP="001342C6">
            <w:pPr>
              <w:jc w:val="both"/>
            </w:pPr>
            <w:r w:rsidRPr="00EB2982">
              <w:t>3 856,0</w:t>
            </w:r>
          </w:p>
        </w:tc>
        <w:tc>
          <w:tcPr>
            <w:tcW w:w="1005" w:type="dxa"/>
            <w:noWrap/>
            <w:hideMark/>
          </w:tcPr>
          <w:p w14:paraId="5D522FDC" w14:textId="77777777" w:rsidR="00850816" w:rsidRPr="00EB2982" w:rsidRDefault="00850816" w:rsidP="001342C6">
            <w:pPr>
              <w:jc w:val="both"/>
            </w:pPr>
            <w:r w:rsidRPr="00EB2982">
              <w:t>7,55%</w:t>
            </w:r>
          </w:p>
        </w:tc>
        <w:tc>
          <w:tcPr>
            <w:tcW w:w="992" w:type="dxa"/>
            <w:noWrap/>
            <w:hideMark/>
          </w:tcPr>
          <w:p w14:paraId="3502E1C4" w14:textId="77777777" w:rsidR="00850816" w:rsidRPr="00EB2982" w:rsidRDefault="00850816" w:rsidP="001342C6">
            <w:pPr>
              <w:jc w:val="both"/>
            </w:pPr>
            <w:r w:rsidRPr="00EB2982">
              <w:t>2,23%</w:t>
            </w:r>
          </w:p>
        </w:tc>
      </w:tr>
      <w:tr w:rsidR="001342C6" w:rsidRPr="00EB2982" w14:paraId="7FA4DCF2" w14:textId="77777777" w:rsidTr="002C7C5F">
        <w:trPr>
          <w:trHeight w:val="264"/>
        </w:trPr>
        <w:tc>
          <w:tcPr>
            <w:tcW w:w="2977" w:type="dxa"/>
            <w:noWrap/>
            <w:hideMark/>
          </w:tcPr>
          <w:p w14:paraId="597A955A" w14:textId="77777777" w:rsidR="00850816" w:rsidRPr="00EB2982" w:rsidRDefault="00850816" w:rsidP="001342C6">
            <w:pPr>
              <w:jc w:val="both"/>
            </w:pPr>
            <w:r w:rsidRPr="00EB2982">
              <w:t>Programme 3: Social Security Policy and Administration</w:t>
            </w:r>
          </w:p>
        </w:tc>
        <w:tc>
          <w:tcPr>
            <w:tcW w:w="1276" w:type="dxa"/>
            <w:noWrap/>
            <w:hideMark/>
          </w:tcPr>
          <w:p w14:paraId="4EC0834C" w14:textId="77777777" w:rsidR="00850816" w:rsidRPr="00EB2982" w:rsidRDefault="00850816" w:rsidP="001342C6">
            <w:pPr>
              <w:jc w:val="both"/>
            </w:pPr>
            <w:r w:rsidRPr="00EB2982">
              <w:t>7 877,0</w:t>
            </w:r>
          </w:p>
        </w:tc>
        <w:tc>
          <w:tcPr>
            <w:tcW w:w="1276" w:type="dxa"/>
            <w:noWrap/>
            <w:hideMark/>
          </w:tcPr>
          <w:p w14:paraId="4A79E023" w14:textId="77777777" w:rsidR="00850816" w:rsidRPr="00EB2982" w:rsidRDefault="00850816" w:rsidP="001342C6">
            <w:pPr>
              <w:jc w:val="both"/>
            </w:pPr>
            <w:r w:rsidRPr="00EB2982">
              <w:t>7 748,9</w:t>
            </w:r>
          </w:p>
        </w:tc>
        <w:tc>
          <w:tcPr>
            <w:tcW w:w="1106" w:type="dxa"/>
            <w:noWrap/>
            <w:hideMark/>
          </w:tcPr>
          <w:p w14:paraId="40987D46" w14:textId="77777777" w:rsidR="00850816" w:rsidRPr="00EB2982" w:rsidRDefault="00850816" w:rsidP="001342C6">
            <w:pPr>
              <w:jc w:val="both"/>
            </w:pPr>
            <w:r w:rsidRPr="00EB2982">
              <w:t>-  128,1</w:t>
            </w:r>
          </w:p>
        </w:tc>
        <w:tc>
          <w:tcPr>
            <w:tcW w:w="1106" w:type="dxa"/>
            <w:noWrap/>
            <w:hideMark/>
          </w:tcPr>
          <w:p w14:paraId="350AC91C" w14:textId="77777777" w:rsidR="00850816" w:rsidRPr="00EB2982" w:rsidRDefault="00850816" w:rsidP="001342C6">
            <w:pPr>
              <w:jc w:val="both"/>
            </w:pPr>
            <w:r w:rsidRPr="00EB2982">
              <w:t>-  511,1</w:t>
            </w:r>
          </w:p>
        </w:tc>
        <w:tc>
          <w:tcPr>
            <w:tcW w:w="1005" w:type="dxa"/>
            <w:noWrap/>
            <w:hideMark/>
          </w:tcPr>
          <w:p w14:paraId="79D21979" w14:textId="77777777" w:rsidR="00850816" w:rsidRPr="00EB2982" w:rsidRDefault="00850816" w:rsidP="001342C6">
            <w:pPr>
              <w:jc w:val="both"/>
            </w:pPr>
            <w:r w:rsidRPr="00EB2982">
              <w:t>-1,63%</w:t>
            </w:r>
          </w:p>
        </w:tc>
        <w:tc>
          <w:tcPr>
            <w:tcW w:w="992" w:type="dxa"/>
            <w:noWrap/>
            <w:hideMark/>
          </w:tcPr>
          <w:p w14:paraId="0C284327" w14:textId="77777777" w:rsidR="00850816" w:rsidRPr="00EB2982" w:rsidRDefault="00850816" w:rsidP="001342C6">
            <w:pPr>
              <w:jc w:val="both"/>
            </w:pPr>
            <w:r w:rsidRPr="00EB2982">
              <w:t>-6,49%</w:t>
            </w:r>
          </w:p>
        </w:tc>
      </w:tr>
      <w:tr w:rsidR="001342C6" w:rsidRPr="00EB2982" w14:paraId="1D5110C7" w14:textId="77777777" w:rsidTr="002C7C5F">
        <w:trPr>
          <w:trHeight w:val="264"/>
        </w:trPr>
        <w:tc>
          <w:tcPr>
            <w:tcW w:w="2977" w:type="dxa"/>
            <w:noWrap/>
            <w:hideMark/>
          </w:tcPr>
          <w:p w14:paraId="72BD2F70" w14:textId="77777777" w:rsidR="00850816" w:rsidRPr="00EB2982" w:rsidRDefault="00850816" w:rsidP="001342C6">
            <w:pPr>
              <w:jc w:val="both"/>
            </w:pPr>
            <w:r w:rsidRPr="00EB2982">
              <w:t>Programme 4: Welfare Services Policy Development and Implementation Support</w:t>
            </w:r>
          </w:p>
        </w:tc>
        <w:tc>
          <w:tcPr>
            <w:tcW w:w="1276" w:type="dxa"/>
            <w:noWrap/>
            <w:hideMark/>
          </w:tcPr>
          <w:p w14:paraId="5ED1E1E2" w14:textId="77777777" w:rsidR="00850816" w:rsidRPr="00EB2982" w:rsidRDefault="00850816" w:rsidP="001342C6">
            <w:pPr>
              <w:jc w:val="both"/>
            </w:pPr>
            <w:r w:rsidRPr="00EB2982">
              <w:t>1 300,4</w:t>
            </w:r>
          </w:p>
        </w:tc>
        <w:tc>
          <w:tcPr>
            <w:tcW w:w="1276" w:type="dxa"/>
            <w:noWrap/>
            <w:hideMark/>
          </w:tcPr>
          <w:p w14:paraId="34D3813B" w14:textId="77777777" w:rsidR="00850816" w:rsidRPr="00EB2982" w:rsidRDefault="00850816" w:rsidP="001342C6">
            <w:pPr>
              <w:jc w:val="both"/>
            </w:pPr>
            <w:r w:rsidRPr="00EB2982">
              <w:t>1 065,8</w:t>
            </w:r>
          </w:p>
        </w:tc>
        <w:tc>
          <w:tcPr>
            <w:tcW w:w="1106" w:type="dxa"/>
            <w:noWrap/>
            <w:hideMark/>
          </w:tcPr>
          <w:p w14:paraId="31117E04" w14:textId="77777777" w:rsidR="00850816" w:rsidRPr="00EB2982" w:rsidRDefault="00850816" w:rsidP="001342C6">
            <w:pPr>
              <w:jc w:val="both"/>
            </w:pPr>
            <w:r w:rsidRPr="00EB2982">
              <w:t>-  234,6</w:t>
            </w:r>
          </w:p>
        </w:tc>
        <w:tc>
          <w:tcPr>
            <w:tcW w:w="1106" w:type="dxa"/>
            <w:noWrap/>
            <w:hideMark/>
          </w:tcPr>
          <w:p w14:paraId="071C212B" w14:textId="77777777" w:rsidR="00850816" w:rsidRPr="00EB2982" w:rsidRDefault="00850816" w:rsidP="001342C6">
            <w:pPr>
              <w:jc w:val="both"/>
            </w:pPr>
            <w:r w:rsidRPr="00EB2982">
              <w:t>-  287,3</w:t>
            </w:r>
          </w:p>
        </w:tc>
        <w:tc>
          <w:tcPr>
            <w:tcW w:w="1005" w:type="dxa"/>
            <w:noWrap/>
            <w:hideMark/>
          </w:tcPr>
          <w:p w14:paraId="5D312D8F" w14:textId="77777777" w:rsidR="00850816" w:rsidRPr="00EB2982" w:rsidRDefault="00850816" w:rsidP="001342C6">
            <w:pPr>
              <w:jc w:val="both"/>
            </w:pPr>
            <w:r w:rsidRPr="00EB2982">
              <w:t>-18,04%</w:t>
            </w:r>
          </w:p>
        </w:tc>
        <w:tc>
          <w:tcPr>
            <w:tcW w:w="992" w:type="dxa"/>
            <w:noWrap/>
            <w:hideMark/>
          </w:tcPr>
          <w:p w14:paraId="42ADB6F8" w14:textId="77777777" w:rsidR="00850816" w:rsidRPr="00EB2982" w:rsidRDefault="00850816" w:rsidP="001342C6">
            <w:pPr>
              <w:jc w:val="both"/>
            </w:pPr>
            <w:r w:rsidRPr="00EB2982">
              <w:t>-22,09%</w:t>
            </w:r>
          </w:p>
        </w:tc>
      </w:tr>
      <w:tr w:rsidR="001342C6" w:rsidRPr="00EB2982" w14:paraId="44B0341B" w14:textId="77777777" w:rsidTr="002C7C5F">
        <w:trPr>
          <w:trHeight w:val="264"/>
        </w:trPr>
        <w:tc>
          <w:tcPr>
            <w:tcW w:w="2977" w:type="dxa"/>
            <w:noWrap/>
            <w:hideMark/>
          </w:tcPr>
          <w:p w14:paraId="49FD5D1D" w14:textId="77777777" w:rsidR="00850816" w:rsidRPr="00EB2982" w:rsidRDefault="00850816" w:rsidP="001342C6">
            <w:pPr>
              <w:jc w:val="both"/>
            </w:pPr>
            <w:r w:rsidRPr="00EB2982">
              <w:t xml:space="preserve">Programme 5: Social Policy and Integrated Service Delivery </w:t>
            </w:r>
          </w:p>
        </w:tc>
        <w:tc>
          <w:tcPr>
            <w:tcW w:w="1276" w:type="dxa"/>
            <w:noWrap/>
            <w:hideMark/>
          </w:tcPr>
          <w:p w14:paraId="17E9EB91" w14:textId="77777777" w:rsidR="00850816" w:rsidRPr="00EB2982" w:rsidRDefault="00850816" w:rsidP="001342C6">
            <w:pPr>
              <w:jc w:val="both"/>
            </w:pPr>
            <w:r w:rsidRPr="00EB2982">
              <w:t>392,3</w:t>
            </w:r>
          </w:p>
        </w:tc>
        <w:tc>
          <w:tcPr>
            <w:tcW w:w="1276" w:type="dxa"/>
            <w:noWrap/>
            <w:hideMark/>
          </w:tcPr>
          <w:p w14:paraId="03FEDED7" w14:textId="77777777" w:rsidR="00850816" w:rsidRPr="00EB2982" w:rsidRDefault="00850816" w:rsidP="001342C6">
            <w:pPr>
              <w:jc w:val="both"/>
            </w:pPr>
            <w:r w:rsidRPr="00EB2982">
              <w:t>413,3</w:t>
            </w:r>
          </w:p>
        </w:tc>
        <w:tc>
          <w:tcPr>
            <w:tcW w:w="1106" w:type="dxa"/>
            <w:noWrap/>
            <w:hideMark/>
          </w:tcPr>
          <w:p w14:paraId="63B78451" w14:textId="77777777" w:rsidR="00850816" w:rsidRPr="00EB2982" w:rsidRDefault="00850816" w:rsidP="001342C6">
            <w:pPr>
              <w:jc w:val="both"/>
            </w:pPr>
            <w:r w:rsidRPr="00EB2982">
              <w:t>21,0</w:t>
            </w:r>
          </w:p>
        </w:tc>
        <w:tc>
          <w:tcPr>
            <w:tcW w:w="1106" w:type="dxa"/>
            <w:noWrap/>
            <w:hideMark/>
          </w:tcPr>
          <w:p w14:paraId="125C09B2" w14:textId="77777777" w:rsidR="00850816" w:rsidRPr="00EB2982" w:rsidRDefault="00850816" w:rsidP="001342C6">
            <w:pPr>
              <w:jc w:val="both"/>
            </w:pPr>
            <w:r w:rsidRPr="00EB2982">
              <w:t>0,6</w:t>
            </w:r>
          </w:p>
        </w:tc>
        <w:tc>
          <w:tcPr>
            <w:tcW w:w="1005" w:type="dxa"/>
            <w:noWrap/>
            <w:hideMark/>
          </w:tcPr>
          <w:p w14:paraId="6FECA536" w14:textId="77777777" w:rsidR="00850816" w:rsidRPr="00EB2982" w:rsidRDefault="00850816" w:rsidP="001342C6">
            <w:pPr>
              <w:spacing w:line="360" w:lineRule="auto"/>
              <w:jc w:val="both"/>
            </w:pPr>
            <w:r w:rsidRPr="00EB2982">
              <w:t>5,35%</w:t>
            </w:r>
          </w:p>
        </w:tc>
        <w:tc>
          <w:tcPr>
            <w:tcW w:w="992" w:type="dxa"/>
            <w:noWrap/>
            <w:hideMark/>
          </w:tcPr>
          <w:p w14:paraId="648B079E" w14:textId="77777777" w:rsidR="00850816" w:rsidRPr="00EB2982" w:rsidRDefault="00850816" w:rsidP="001342C6">
            <w:pPr>
              <w:jc w:val="both"/>
            </w:pPr>
            <w:r w:rsidRPr="00EB2982">
              <w:t>0,15%</w:t>
            </w:r>
          </w:p>
        </w:tc>
      </w:tr>
      <w:tr w:rsidR="001342C6" w:rsidRPr="00EB2982" w14:paraId="71B68159" w14:textId="77777777" w:rsidTr="002C7C5F">
        <w:trPr>
          <w:trHeight w:val="264"/>
        </w:trPr>
        <w:tc>
          <w:tcPr>
            <w:tcW w:w="2977" w:type="dxa"/>
            <w:noWrap/>
            <w:hideMark/>
          </w:tcPr>
          <w:p w14:paraId="36CBC561" w14:textId="77777777" w:rsidR="00850816" w:rsidRPr="00EB2982" w:rsidRDefault="00850816" w:rsidP="001342C6">
            <w:pPr>
              <w:jc w:val="both"/>
            </w:pPr>
            <w:r w:rsidRPr="00EB2982">
              <w:t>TOTAL</w:t>
            </w:r>
          </w:p>
        </w:tc>
        <w:tc>
          <w:tcPr>
            <w:tcW w:w="1276" w:type="dxa"/>
            <w:noWrap/>
            <w:hideMark/>
          </w:tcPr>
          <w:p w14:paraId="425FDE59" w14:textId="77777777" w:rsidR="00850816" w:rsidRPr="00EB2982" w:rsidRDefault="00850816" w:rsidP="001342C6">
            <w:pPr>
              <w:jc w:val="both"/>
            </w:pPr>
            <w:r w:rsidRPr="00EB2982">
              <w:t>172 603,2</w:t>
            </w:r>
          </w:p>
        </w:tc>
        <w:tc>
          <w:tcPr>
            <w:tcW w:w="1276" w:type="dxa"/>
            <w:noWrap/>
            <w:hideMark/>
          </w:tcPr>
          <w:p w14:paraId="72E1DA70" w14:textId="77777777" w:rsidR="00850816" w:rsidRPr="00EB2982" w:rsidRDefault="00850816" w:rsidP="001342C6">
            <w:pPr>
              <w:jc w:val="both"/>
            </w:pPr>
            <w:r w:rsidRPr="00EB2982">
              <w:t>184 792,0</w:t>
            </w:r>
          </w:p>
        </w:tc>
        <w:tc>
          <w:tcPr>
            <w:tcW w:w="1106" w:type="dxa"/>
            <w:noWrap/>
            <w:hideMark/>
          </w:tcPr>
          <w:p w14:paraId="5D860048" w14:textId="77777777" w:rsidR="00850816" w:rsidRPr="00EB2982" w:rsidRDefault="00850816" w:rsidP="001342C6">
            <w:pPr>
              <w:jc w:val="both"/>
            </w:pPr>
            <w:r w:rsidRPr="00EB2982">
              <w:t>12 188,8</w:t>
            </w:r>
          </w:p>
        </w:tc>
        <w:tc>
          <w:tcPr>
            <w:tcW w:w="1106" w:type="dxa"/>
            <w:noWrap/>
            <w:hideMark/>
          </w:tcPr>
          <w:p w14:paraId="78C5C543" w14:textId="77777777" w:rsidR="00850816" w:rsidRPr="00EB2982" w:rsidRDefault="00850816" w:rsidP="001342C6">
            <w:pPr>
              <w:jc w:val="both"/>
            </w:pPr>
            <w:r w:rsidRPr="00EB2982">
              <w:t>3 054,6</w:t>
            </w:r>
          </w:p>
        </w:tc>
        <w:tc>
          <w:tcPr>
            <w:tcW w:w="1005" w:type="dxa"/>
            <w:noWrap/>
            <w:hideMark/>
          </w:tcPr>
          <w:p w14:paraId="562D85E3" w14:textId="77777777" w:rsidR="00850816" w:rsidRPr="00EB2982" w:rsidRDefault="00850816" w:rsidP="001342C6">
            <w:pPr>
              <w:jc w:val="both"/>
            </w:pPr>
            <w:r w:rsidRPr="00EB2982">
              <w:t>7,1%</w:t>
            </w:r>
          </w:p>
        </w:tc>
        <w:tc>
          <w:tcPr>
            <w:tcW w:w="992" w:type="dxa"/>
            <w:noWrap/>
            <w:hideMark/>
          </w:tcPr>
          <w:p w14:paraId="2B763AB2" w14:textId="77777777" w:rsidR="00850816" w:rsidRPr="00EB2982" w:rsidRDefault="00850816" w:rsidP="001342C6">
            <w:pPr>
              <w:jc w:val="both"/>
            </w:pPr>
            <w:r w:rsidRPr="00EB2982">
              <w:t>1,77%</w:t>
            </w:r>
          </w:p>
        </w:tc>
      </w:tr>
    </w:tbl>
    <w:p w14:paraId="018D2680" w14:textId="77777777" w:rsidR="00850816" w:rsidRPr="00EB2982" w:rsidRDefault="00850816" w:rsidP="001342C6">
      <w:pPr>
        <w:jc w:val="both"/>
        <w:rPr>
          <w:color w:val="000000" w:themeColor="text1"/>
          <w:sz w:val="20"/>
          <w:szCs w:val="20"/>
        </w:rPr>
      </w:pPr>
      <w:r w:rsidRPr="00EB2982">
        <w:rPr>
          <w:color w:val="000000" w:themeColor="text1"/>
          <w:sz w:val="20"/>
          <w:szCs w:val="20"/>
        </w:rPr>
        <w:t>Source: National Treasury (2019)</w:t>
      </w:r>
    </w:p>
    <w:p w14:paraId="1F0AB705" w14:textId="77777777" w:rsidR="00850816" w:rsidRPr="00EB2982" w:rsidRDefault="00850816" w:rsidP="001342C6">
      <w:pPr>
        <w:jc w:val="both"/>
        <w:rPr>
          <w:b/>
          <w:bCs/>
        </w:rPr>
      </w:pPr>
    </w:p>
    <w:p w14:paraId="791C0F55" w14:textId="77777777" w:rsidR="00850816" w:rsidRPr="00EB2982" w:rsidRDefault="00850816" w:rsidP="001342C6">
      <w:pPr>
        <w:jc w:val="both"/>
      </w:pPr>
      <w:r w:rsidRPr="00EB2982">
        <w:t xml:space="preserve">The </w:t>
      </w:r>
      <w:r w:rsidR="00195A50" w:rsidRPr="00EB2982">
        <w:t>department</w:t>
      </w:r>
      <w:r w:rsidRPr="00EB2982">
        <w:t xml:space="preserve">’s overall budget for 2019/20 is, R184.7 billion, compared to R172.6 billion previously. This represents a nominal increase of 6.9 per cent, and real increase of 1.6 per cent.   </w:t>
      </w:r>
      <w:r w:rsidR="002568A6" w:rsidRPr="00EB2982">
        <w:t>Over the medium term, the d</w:t>
      </w:r>
      <w:r w:rsidRPr="00EB2982">
        <w:t xml:space="preserve">epartment’s expenditure is set to increase to R213.6 billion by 2021/22. </w:t>
      </w:r>
    </w:p>
    <w:p w14:paraId="44853763" w14:textId="77777777" w:rsidR="00850816" w:rsidRPr="00EB2982" w:rsidRDefault="00850816" w:rsidP="001342C6">
      <w:pPr>
        <w:jc w:val="both"/>
      </w:pPr>
    </w:p>
    <w:p w14:paraId="45AAAACE" w14:textId="77777777" w:rsidR="00850816" w:rsidRPr="00EB2982" w:rsidRDefault="00850816" w:rsidP="001342C6">
      <w:pPr>
        <w:jc w:val="both"/>
      </w:pPr>
      <w:r w:rsidRPr="00EB2982">
        <w:lastRenderedPageBreak/>
        <w:t xml:space="preserve">The DSD vote is dominated by the </w:t>
      </w:r>
      <w:r w:rsidRPr="00EB2982">
        <w:rPr>
          <w:i/>
        </w:rPr>
        <w:t>Social Assistance</w:t>
      </w:r>
      <w:r w:rsidRPr="00EB2982">
        <w:t xml:space="preserve"> programme, which constitutes 94.3 per cent of the overall departmental budget.</w:t>
      </w:r>
      <w:r w:rsidRPr="00EB2982">
        <w:rPr>
          <w:i/>
        </w:rPr>
        <w:t xml:space="preserve"> Social Assistance</w:t>
      </w:r>
      <w:r w:rsidRPr="00EB2982">
        <w:t xml:space="preserve"> growth from the previous year, stays above inflation (7.6 per cent nominal and 2.3 per cent real). This programme, through unconditional cash transfers, currently benefits 12.5 million poor children (Child Support Grant), 3.5 million older persons (Old Age Grant), and about 1 million persons living with a disability (Disability Grant). In 2018/29, 17.6 million beneficiaries received social grants, and this figure is projected to grow to 18.7 million by 2021/22.</w:t>
      </w:r>
    </w:p>
    <w:p w14:paraId="3F677282" w14:textId="77777777" w:rsidR="00850816" w:rsidRPr="00EB2982" w:rsidRDefault="00850816" w:rsidP="001342C6">
      <w:pPr>
        <w:jc w:val="both"/>
      </w:pPr>
    </w:p>
    <w:p w14:paraId="7EA0BE9D" w14:textId="77777777" w:rsidR="00850816" w:rsidRPr="00EB2982" w:rsidRDefault="00850816" w:rsidP="001342C6">
      <w:pPr>
        <w:jc w:val="both"/>
      </w:pPr>
      <w:r w:rsidRPr="00EB2982">
        <w:t>The following main programmes decline in real terms from the previous financial year:</w:t>
      </w:r>
    </w:p>
    <w:p w14:paraId="77BD819F" w14:textId="77777777" w:rsidR="00850816" w:rsidRPr="00EB2982" w:rsidRDefault="00850816" w:rsidP="001342C6">
      <w:pPr>
        <w:jc w:val="both"/>
      </w:pPr>
    </w:p>
    <w:p w14:paraId="3C22A2E1" w14:textId="77777777" w:rsidR="00850816" w:rsidRPr="00EB2982" w:rsidRDefault="00850816" w:rsidP="001342C6">
      <w:pPr>
        <w:pStyle w:val="ListParagraph"/>
        <w:numPr>
          <w:ilvl w:val="0"/>
          <w:numId w:val="32"/>
        </w:numPr>
        <w:spacing w:after="0" w:line="280" w:lineRule="exact"/>
        <w:jc w:val="both"/>
        <w:rPr>
          <w:rFonts w:ascii="Times New Roman" w:hAnsi="Times New Roman"/>
          <w:sz w:val="24"/>
          <w:szCs w:val="24"/>
        </w:rPr>
      </w:pPr>
      <w:r w:rsidRPr="00EB2982">
        <w:rPr>
          <w:rFonts w:ascii="Times New Roman" w:hAnsi="Times New Roman"/>
          <w:i/>
          <w:sz w:val="24"/>
          <w:szCs w:val="24"/>
        </w:rPr>
        <w:t>Administration</w:t>
      </w:r>
      <w:r w:rsidRPr="00EB2982">
        <w:rPr>
          <w:rFonts w:ascii="Times New Roman" w:hAnsi="Times New Roman"/>
          <w:sz w:val="24"/>
          <w:szCs w:val="24"/>
        </w:rPr>
        <w:t xml:space="preserve"> (-0.8 per cent);</w:t>
      </w:r>
    </w:p>
    <w:p w14:paraId="17CF5DCB" w14:textId="77777777" w:rsidR="00850816" w:rsidRPr="00EB2982" w:rsidRDefault="00850816" w:rsidP="001342C6">
      <w:pPr>
        <w:pStyle w:val="ListParagraph"/>
        <w:numPr>
          <w:ilvl w:val="0"/>
          <w:numId w:val="32"/>
        </w:numPr>
        <w:spacing w:after="0" w:line="280" w:lineRule="exact"/>
        <w:jc w:val="both"/>
        <w:rPr>
          <w:rFonts w:ascii="Times New Roman" w:hAnsi="Times New Roman"/>
          <w:sz w:val="24"/>
          <w:szCs w:val="24"/>
        </w:rPr>
      </w:pPr>
      <w:r w:rsidRPr="00EB2982">
        <w:rPr>
          <w:rFonts w:ascii="Times New Roman" w:hAnsi="Times New Roman"/>
          <w:i/>
          <w:sz w:val="24"/>
          <w:szCs w:val="24"/>
        </w:rPr>
        <w:t>Social security Policy and Administration</w:t>
      </w:r>
      <w:r w:rsidRPr="00EB2982">
        <w:rPr>
          <w:rFonts w:ascii="Times New Roman" w:hAnsi="Times New Roman"/>
          <w:sz w:val="24"/>
          <w:szCs w:val="24"/>
        </w:rPr>
        <w:t xml:space="preserve"> (-6.4 per cent);</w:t>
      </w:r>
    </w:p>
    <w:p w14:paraId="094DF63D" w14:textId="77777777" w:rsidR="00850816" w:rsidRPr="00EB2982" w:rsidRDefault="00850816" w:rsidP="001342C6">
      <w:pPr>
        <w:pStyle w:val="ListParagraph"/>
        <w:numPr>
          <w:ilvl w:val="0"/>
          <w:numId w:val="32"/>
        </w:numPr>
        <w:spacing w:after="0" w:line="280" w:lineRule="exact"/>
        <w:jc w:val="both"/>
        <w:rPr>
          <w:rFonts w:ascii="Times New Roman" w:hAnsi="Times New Roman"/>
        </w:rPr>
      </w:pPr>
      <w:r w:rsidRPr="00EB2982">
        <w:rPr>
          <w:rFonts w:ascii="Times New Roman" w:hAnsi="Times New Roman"/>
          <w:i/>
          <w:sz w:val="24"/>
          <w:szCs w:val="24"/>
        </w:rPr>
        <w:t>Social Welfare Policy development and Implementation</w:t>
      </w:r>
      <w:r w:rsidRPr="00EB2982">
        <w:rPr>
          <w:rFonts w:ascii="Times New Roman" w:hAnsi="Times New Roman"/>
        </w:rPr>
        <w:t xml:space="preserve"> Support (-22.9 per cent).</w:t>
      </w:r>
    </w:p>
    <w:p w14:paraId="0EEC2C33" w14:textId="77777777" w:rsidR="00850816" w:rsidRPr="00EB2982" w:rsidRDefault="00850816" w:rsidP="00850816"/>
    <w:p w14:paraId="1568502F" w14:textId="77777777" w:rsidR="003258D2" w:rsidRPr="00EB2982" w:rsidRDefault="003209C4" w:rsidP="005E2F3A">
      <w:pPr>
        <w:pStyle w:val="ListParagraph"/>
        <w:numPr>
          <w:ilvl w:val="0"/>
          <w:numId w:val="1"/>
        </w:numPr>
        <w:spacing w:line="280" w:lineRule="exact"/>
        <w:jc w:val="both"/>
        <w:rPr>
          <w:rFonts w:ascii="Times New Roman" w:hAnsi="Times New Roman"/>
          <w:b/>
          <w:bCs/>
          <w:sz w:val="24"/>
          <w:szCs w:val="24"/>
        </w:rPr>
      </w:pPr>
      <w:r w:rsidRPr="00EB2982">
        <w:rPr>
          <w:rFonts w:ascii="Times New Roman" w:hAnsi="Times New Roman"/>
          <w:b/>
          <w:sz w:val="24"/>
          <w:szCs w:val="24"/>
          <w:lang w:val="en-ZA"/>
        </w:rPr>
        <w:t xml:space="preserve">KEY </w:t>
      </w:r>
      <w:r w:rsidRPr="00EB2982">
        <w:rPr>
          <w:rFonts w:ascii="Times New Roman" w:hAnsi="Times New Roman"/>
          <w:b/>
          <w:bCs/>
          <w:sz w:val="24"/>
          <w:szCs w:val="24"/>
        </w:rPr>
        <w:t>STRATEGIC GOALS OF THE DEPARTMEN</w:t>
      </w:r>
      <w:r w:rsidR="003258D2" w:rsidRPr="00EB2982">
        <w:rPr>
          <w:rFonts w:ascii="Times New Roman" w:hAnsi="Times New Roman"/>
          <w:b/>
          <w:bCs/>
          <w:sz w:val="24"/>
          <w:szCs w:val="24"/>
        </w:rPr>
        <w:t>T</w:t>
      </w:r>
    </w:p>
    <w:p w14:paraId="5DD8E2A1" w14:textId="77777777" w:rsidR="003D6179" w:rsidRPr="00EB2982" w:rsidRDefault="003D6179" w:rsidP="005E2F3A">
      <w:pPr>
        <w:spacing w:line="280" w:lineRule="exact"/>
      </w:pPr>
    </w:p>
    <w:p w14:paraId="647B263C" w14:textId="77777777" w:rsidR="00CC62F9" w:rsidRPr="00EB2982" w:rsidRDefault="00CC62F9" w:rsidP="005E2F3A">
      <w:pPr>
        <w:suppressAutoHyphens/>
        <w:autoSpaceDN w:val="0"/>
        <w:spacing w:line="280" w:lineRule="exact"/>
        <w:jc w:val="both"/>
        <w:textAlignment w:val="baseline"/>
        <w:rPr>
          <w:bCs/>
          <w:color w:val="000000" w:themeColor="text1"/>
          <w:lang w:val="en-US" w:eastAsia="en-US"/>
        </w:rPr>
      </w:pPr>
      <w:r w:rsidRPr="00EB2982">
        <w:rPr>
          <w:bCs/>
          <w:color w:val="000000" w:themeColor="text1"/>
          <w:lang w:val="en-US" w:eastAsia="en-US"/>
        </w:rPr>
        <w:t>The department focus</w:t>
      </w:r>
      <w:r w:rsidR="00FF3EBF" w:rsidRPr="00EB2982">
        <w:rPr>
          <w:bCs/>
          <w:color w:val="000000" w:themeColor="text1"/>
          <w:lang w:val="en-US" w:eastAsia="en-US"/>
        </w:rPr>
        <w:t>ed</w:t>
      </w:r>
      <w:r w:rsidRPr="00EB2982">
        <w:rPr>
          <w:bCs/>
          <w:color w:val="000000" w:themeColor="text1"/>
          <w:lang w:val="en-US" w:eastAsia="en-US"/>
        </w:rPr>
        <w:t xml:space="preserve"> on the following sector priorities over the </w:t>
      </w:r>
      <w:r w:rsidRPr="00EB2982">
        <w:rPr>
          <w:bCs/>
          <w:lang w:val="en-US" w:eastAsia="en-US"/>
        </w:rPr>
        <w:t>201</w:t>
      </w:r>
      <w:r w:rsidR="003258D2" w:rsidRPr="00EB2982">
        <w:rPr>
          <w:bCs/>
          <w:lang w:val="en-US" w:eastAsia="en-US"/>
        </w:rPr>
        <w:t>5</w:t>
      </w:r>
      <w:r w:rsidRPr="00EB2982">
        <w:rPr>
          <w:bCs/>
          <w:lang w:val="en-US" w:eastAsia="en-US"/>
        </w:rPr>
        <w:t>- 202</w:t>
      </w:r>
      <w:r w:rsidR="003258D2" w:rsidRPr="00EB2982">
        <w:rPr>
          <w:bCs/>
          <w:lang w:val="en-US" w:eastAsia="en-US"/>
        </w:rPr>
        <w:t>0</w:t>
      </w:r>
      <w:r w:rsidRPr="00EB2982">
        <w:rPr>
          <w:bCs/>
          <w:lang w:val="en-US" w:eastAsia="en-US"/>
        </w:rPr>
        <w:t xml:space="preserve"> </w:t>
      </w:r>
      <w:r w:rsidRPr="00EB2982">
        <w:rPr>
          <w:bCs/>
          <w:color w:val="000000" w:themeColor="text1"/>
          <w:lang w:val="en-US" w:eastAsia="en-US"/>
        </w:rPr>
        <w:t>Medium Term Expenditure Framework (MTEF):</w:t>
      </w:r>
    </w:p>
    <w:p w14:paraId="6376AD47" w14:textId="77777777" w:rsidR="00CC62F9" w:rsidRPr="00EB2982" w:rsidRDefault="00CC62F9" w:rsidP="005E2F3A">
      <w:pPr>
        <w:suppressAutoHyphens/>
        <w:autoSpaceDN w:val="0"/>
        <w:spacing w:line="280" w:lineRule="exact"/>
        <w:jc w:val="both"/>
        <w:textAlignment w:val="baseline"/>
        <w:rPr>
          <w:bCs/>
          <w:color w:val="000000" w:themeColor="text1"/>
          <w:lang w:val="en-US" w:eastAsia="en-US"/>
        </w:rPr>
      </w:pPr>
    </w:p>
    <w:p w14:paraId="5AE262B2" w14:textId="77777777" w:rsidR="00CC62F9" w:rsidRPr="00EB2982" w:rsidRDefault="00CC62F9" w:rsidP="005E2F3A">
      <w:pPr>
        <w:numPr>
          <w:ilvl w:val="0"/>
          <w:numId w:val="2"/>
        </w:numPr>
        <w:suppressAutoHyphens/>
        <w:kinsoku w:val="0"/>
        <w:overflowPunct w:val="0"/>
        <w:autoSpaceDN w:val="0"/>
        <w:spacing w:line="280" w:lineRule="exact"/>
        <w:contextualSpacing/>
        <w:jc w:val="both"/>
        <w:textAlignment w:val="baseline"/>
        <w:rPr>
          <w:color w:val="000000" w:themeColor="text1"/>
          <w:spacing w:val="6"/>
        </w:rPr>
      </w:pPr>
      <w:r w:rsidRPr="00EB2982">
        <w:rPr>
          <w:color w:val="000000" w:themeColor="text1"/>
          <w:spacing w:val="6"/>
        </w:rPr>
        <w:t xml:space="preserve">Reforming the social welfare sector and services to deliver better results; </w:t>
      </w:r>
    </w:p>
    <w:p w14:paraId="39F121B4" w14:textId="77777777" w:rsidR="00CC62F9" w:rsidRPr="00EB2982" w:rsidRDefault="00CC62F9" w:rsidP="005E2F3A">
      <w:pPr>
        <w:numPr>
          <w:ilvl w:val="0"/>
          <w:numId w:val="2"/>
        </w:numPr>
        <w:suppressAutoHyphens/>
        <w:kinsoku w:val="0"/>
        <w:overflowPunct w:val="0"/>
        <w:autoSpaceDN w:val="0"/>
        <w:spacing w:line="280" w:lineRule="exact"/>
        <w:contextualSpacing/>
        <w:jc w:val="both"/>
        <w:textAlignment w:val="baseline"/>
        <w:rPr>
          <w:color w:val="000000" w:themeColor="text1"/>
          <w:spacing w:val="6"/>
        </w:rPr>
      </w:pPr>
      <w:r w:rsidRPr="00EB2982">
        <w:rPr>
          <w:color w:val="000000" w:themeColor="text1"/>
          <w:spacing w:val="6"/>
        </w:rPr>
        <w:t>Improve the provision of Early Childhood Development</w:t>
      </w:r>
      <w:r w:rsidR="00E75311" w:rsidRPr="00EB2982">
        <w:rPr>
          <w:color w:val="000000" w:themeColor="text1"/>
          <w:spacing w:val="6"/>
        </w:rPr>
        <w:t>.  All children should enjoy services and benefits aimed at facilitating access to nutrition, healthcare, education, social care and safety;</w:t>
      </w:r>
      <w:r w:rsidRPr="00EB2982">
        <w:rPr>
          <w:color w:val="000000" w:themeColor="text1"/>
          <w:spacing w:val="6"/>
        </w:rPr>
        <w:t xml:space="preserve"> </w:t>
      </w:r>
    </w:p>
    <w:p w14:paraId="72A6C477" w14:textId="77777777" w:rsidR="00E75311" w:rsidRPr="00EB2982" w:rsidRDefault="00E75311" w:rsidP="005E2F3A">
      <w:pPr>
        <w:pStyle w:val="ListParagraph"/>
        <w:numPr>
          <w:ilvl w:val="0"/>
          <w:numId w:val="2"/>
        </w:numPr>
        <w:suppressAutoHyphens/>
        <w:kinsoku w:val="0"/>
        <w:overflowPunct w:val="0"/>
        <w:autoSpaceDN w:val="0"/>
        <w:spacing w:line="280" w:lineRule="exact"/>
        <w:jc w:val="both"/>
        <w:textAlignment w:val="baseline"/>
        <w:rPr>
          <w:rFonts w:ascii="Times New Roman" w:hAnsi="Times New Roman"/>
          <w:color w:val="000000" w:themeColor="text1"/>
          <w:spacing w:val="6"/>
          <w:sz w:val="24"/>
          <w:szCs w:val="24"/>
        </w:rPr>
      </w:pPr>
      <w:r w:rsidRPr="00EB2982">
        <w:rPr>
          <w:rFonts w:ascii="Times New Roman" w:hAnsi="Times New Roman"/>
          <w:color w:val="000000" w:themeColor="text1"/>
          <w:spacing w:val="6"/>
          <w:sz w:val="24"/>
          <w:szCs w:val="24"/>
        </w:rPr>
        <w:t>Deepening social assistance and extending the scope for social security;</w:t>
      </w:r>
    </w:p>
    <w:p w14:paraId="02CBED6A" w14:textId="77777777" w:rsidR="00E75311" w:rsidRPr="00EB2982" w:rsidRDefault="00E75311" w:rsidP="005E2F3A">
      <w:pPr>
        <w:pStyle w:val="ListParagraph"/>
        <w:numPr>
          <w:ilvl w:val="0"/>
          <w:numId w:val="2"/>
        </w:numPr>
        <w:suppressAutoHyphens/>
        <w:kinsoku w:val="0"/>
        <w:overflowPunct w:val="0"/>
        <w:autoSpaceDN w:val="0"/>
        <w:spacing w:line="280" w:lineRule="exact"/>
        <w:jc w:val="both"/>
        <w:textAlignment w:val="baseline"/>
        <w:rPr>
          <w:rFonts w:ascii="Times New Roman" w:hAnsi="Times New Roman"/>
          <w:color w:val="000000" w:themeColor="text1"/>
          <w:spacing w:val="6"/>
          <w:sz w:val="24"/>
          <w:szCs w:val="24"/>
        </w:rPr>
      </w:pPr>
      <w:r w:rsidRPr="00EB2982">
        <w:rPr>
          <w:rFonts w:ascii="Times New Roman" w:hAnsi="Times New Roman"/>
          <w:color w:val="000000" w:themeColor="text1"/>
          <w:spacing w:val="6"/>
          <w:sz w:val="24"/>
          <w:szCs w:val="24"/>
        </w:rPr>
        <w:t>Strengthening integrated community development interventions and improving household food and nutrition</w:t>
      </w:r>
    </w:p>
    <w:p w14:paraId="645FA970" w14:textId="77777777" w:rsidR="00E75311" w:rsidRPr="00EB2982" w:rsidRDefault="00E75311" w:rsidP="005E2F3A">
      <w:pPr>
        <w:pStyle w:val="ListParagraph"/>
        <w:numPr>
          <w:ilvl w:val="0"/>
          <w:numId w:val="2"/>
        </w:numPr>
        <w:suppressAutoHyphens/>
        <w:kinsoku w:val="0"/>
        <w:overflowPunct w:val="0"/>
        <w:autoSpaceDN w:val="0"/>
        <w:spacing w:line="280" w:lineRule="exact"/>
        <w:jc w:val="both"/>
        <w:textAlignment w:val="baseline"/>
        <w:rPr>
          <w:rFonts w:ascii="Times New Roman" w:hAnsi="Times New Roman"/>
          <w:color w:val="000000" w:themeColor="text1"/>
          <w:spacing w:val="6"/>
          <w:sz w:val="24"/>
          <w:szCs w:val="24"/>
        </w:rPr>
      </w:pPr>
      <w:r w:rsidRPr="00EB2982">
        <w:rPr>
          <w:rFonts w:ascii="Times New Roman" w:hAnsi="Times New Roman"/>
          <w:color w:val="000000" w:themeColor="text1"/>
          <w:spacing w:val="6"/>
          <w:sz w:val="24"/>
          <w:szCs w:val="24"/>
        </w:rPr>
        <w:t>Establish social protection systems to strengthen coordination, integration, planning, monitoring and evaluation of services</w:t>
      </w:r>
    </w:p>
    <w:p w14:paraId="44F414CB" w14:textId="77777777" w:rsidR="009E2BA7" w:rsidRPr="00EB2982" w:rsidRDefault="009E2BA7" w:rsidP="005E2F3A">
      <w:pPr>
        <w:autoSpaceDE w:val="0"/>
        <w:autoSpaceDN w:val="0"/>
        <w:adjustRightInd w:val="0"/>
        <w:spacing w:line="280" w:lineRule="exact"/>
        <w:jc w:val="both"/>
        <w:rPr>
          <w:bCs/>
        </w:rPr>
      </w:pPr>
    </w:p>
    <w:p w14:paraId="62CE77D3" w14:textId="77777777" w:rsidR="009E2BA7" w:rsidRPr="00EB2982" w:rsidRDefault="003209C4" w:rsidP="005E2F3A">
      <w:pPr>
        <w:pStyle w:val="ListParagraph"/>
        <w:numPr>
          <w:ilvl w:val="0"/>
          <w:numId w:val="1"/>
        </w:numPr>
        <w:spacing w:line="280" w:lineRule="exact"/>
        <w:jc w:val="both"/>
        <w:rPr>
          <w:rFonts w:ascii="Times New Roman" w:hAnsi="Times New Roman"/>
          <w:b/>
          <w:color w:val="000000"/>
          <w:sz w:val="24"/>
          <w:szCs w:val="24"/>
        </w:rPr>
      </w:pPr>
      <w:r w:rsidRPr="00EB2982">
        <w:rPr>
          <w:rFonts w:ascii="Times New Roman" w:hAnsi="Times New Roman"/>
          <w:b/>
          <w:color w:val="000000"/>
          <w:sz w:val="24"/>
          <w:szCs w:val="24"/>
        </w:rPr>
        <w:t>PROGRAMME PERFORMANCE (201</w:t>
      </w:r>
      <w:r w:rsidR="00A56074" w:rsidRPr="00EB2982">
        <w:rPr>
          <w:rFonts w:ascii="Times New Roman" w:hAnsi="Times New Roman"/>
          <w:b/>
          <w:color w:val="000000"/>
          <w:sz w:val="24"/>
          <w:szCs w:val="24"/>
        </w:rPr>
        <w:t>9</w:t>
      </w:r>
      <w:r w:rsidRPr="00EB2982">
        <w:rPr>
          <w:rFonts w:ascii="Times New Roman" w:hAnsi="Times New Roman"/>
          <w:b/>
          <w:color w:val="000000"/>
          <w:sz w:val="24"/>
          <w:szCs w:val="24"/>
        </w:rPr>
        <w:t>/</w:t>
      </w:r>
      <w:r w:rsidR="00A56074" w:rsidRPr="00EB2982">
        <w:rPr>
          <w:rFonts w:ascii="Times New Roman" w:hAnsi="Times New Roman"/>
          <w:b/>
          <w:color w:val="000000"/>
          <w:sz w:val="24"/>
          <w:szCs w:val="24"/>
        </w:rPr>
        <w:t>20</w:t>
      </w:r>
      <w:r w:rsidRPr="00EB2982">
        <w:rPr>
          <w:rFonts w:ascii="Times New Roman" w:hAnsi="Times New Roman"/>
          <w:b/>
          <w:color w:val="000000"/>
          <w:sz w:val="24"/>
          <w:szCs w:val="24"/>
        </w:rPr>
        <w:t xml:space="preserve"> ANNUAL PERFORMANCE PLAN)</w:t>
      </w:r>
    </w:p>
    <w:p w14:paraId="25D7CFD1" w14:textId="77777777" w:rsidR="001E0691" w:rsidRPr="00EB2982" w:rsidRDefault="000826C3" w:rsidP="005E2F3A">
      <w:pPr>
        <w:spacing w:line="280" w:lineRule="exact"/>
        <w:jc w:val="both"/>
        <w:rPr>
          <w:b/>
          <w:color w:val="000000"/>
        </w:rPr>
      </w:pPr>
      <w:r w:rsidRPr="00EB2982">
        <w:rPr>
          <w:b/>
          <w:color w:val="000000"/>
        </w:rPr>
        <w:t>4</w:t>
      </w:r>
      <w:r w:rsidR="001E0691" w:rsidRPr="00EB2982">
        <w:rPr>
          <w:b/>
          <w:color w:val="000000"/>
        </w:rPr>
        <w:t>.1</w:t>
      </w:r>
      <w:r w:rsidR="001E0691" w:rsidRPr="00EB2982">
        <w:rPr>
          <w:b/>
          <w:color w:val="000000"/>
        </w:rPr>
        <w:tab/>
        <w:t>Programme 1: Administration</w:t>
      </w:r>
      <w:r w:rsidR="001E0691" w:rsidRPr="00EB2982">
        <w:rPr>
          <w:b/>
          <w:color w:val="000000"/>
        </w:rPr>
        <w:tab/>
      </w:r>
    </w:p>
    <w:p w14:paraId="634C498F" w14:textId="77777777" w:rsidR="001E0691" w:rsidRPr="00EB2982" w:rsidRDefault="001E0691" w:rsidP="005E2F3A">
      <w:pPr>
        <w:spacing w:line="280" w:lineRule="exact"/>
        <w:ind w:left="397"/>
        <w:jc w:val="both"/>
        <w:rPr>
          <w:b/>
          <w:color w:val="000000"/>
        </w:rPr>
      </w:pPr>
    </w:p>
    <w:p w14:paraId="00AEDB7A" w14:textId="77777777" w:rsidR="006A1E2D" w:rsidRPr="00EB2982" w:rsidRDefault="001E0691" w:rsidP="005E2F3A">
      <w:pPr>
        <w:autoSpaceDE w:val="0"/>
        <w:autoSpaceDN w:val="0"/>
        <w:adjustRightInd w:val="0"/>
        <w:spacing w:line="280" w:lineRule="exact"/>
        <w:jc w:val="both"/>
        <w:rPr>
          <w:color w:val="000000" w:themeColor="text1"/>
          <w:lang w:val="en-ZA"/>
        </w:rPr>
      </w:pPr>
      <w:r w:rsidRPr="00EB2982">
        <w:rPr>
          <w:color w:val="000000" w:themeColor="text1"/>
          <w:lang w:val="en-ZA"/>
        </w:rPr>
        <w:t xml:space="preserve">The purpose of </w:t>
      </w:r>
      <w:r w:rsidR="00741BF4" w:rsidRPr="00EB2982">
        <w:rPr>
          <w:color w:val="000000" w:themeColor="text1"/>
          <w:lang w:val="en-ZA"/>
        </w:rPr>
        <w:t xml:space="preserve">this </w:t>
      </w:r>
      <w:r w:rsidRPr="00EB2982">
        <w:rPr>
          <w:color w:val="000000" w:themeColor="text1"/>
          <w:lang w:val="en-ZA"/>
        </w:rPr>
        <w:t xml:space="preserve">Programme is to provide leadership, management and support services to the department and the </w:t>
      </w:r>
      <w:r w:rsidR="00A56074" w:rsidRPr="00EB2982">
        <w:rPr>
          <w:color w:val="000000" w:themeColor="text1"/>
          <w:lang w:val="en-ZA"/>
        </w:rPr>
        <w:t>S</w:t>
      </w:r>
      <w:r w:rsidR="009E2BA7" w:rsidRPr="00EB2982">
        <w:rPr>
          <w:color w:val="000000" w:themeColor="text1"/>
          <w:lang w:val="en-ZA"/>
        </w:rPr>
        <w:t>ocial</w:t>
      </w:r>
      <w:r w:rsidR="00A56074" w:rsidRPr="00EB2982">
        <w:rPr>
          <w:color w:val="000000" w:themeColor="text1"/>
          <w:lang w:val="en-ZA"/>
        </w:rPr>
        <w:t xml:space="preserve"> Development S</w:t>
      </w:r>
      <w:r w:rsidRPr="00EB2982">
        <w:rPr>
          <w:color w:val="000000" w:themeColor="text1"/>
          <w:lang w:val="en-ZA"/>
        </w:rPr>
        <w:t xml:space="preserve">ector. </w:t>
      </w:r>
    </w:p>
    <w:p w14:paraId="4F2699B5" w14:textId="77777777" w:rsidR="00182263" w:rsidRPr="00EB2982" w:rsidRDefault="00182263" w:rsidP="005E2F3A">
      <w:pPr>
        <w:autoSpaceDE w:val="0"/>
        <w:autoSpaceDN w:val="0"/>
        <w:adjustRightInd w:val="0"/>
        <w:spacing w:line="280" w:lineRule="exact"/>
        <w:jc w:val="both"/>
        <w:rPr>
          <w:color w:val="000000" w:themeColor="text1"/>
          <w:lang w:val="en-US" w:eastAsia="en-US"/>
        </w:rPr>
      </w:pPr>
    </w:p>
    <w:p w14:paraId="16E38C0D" w14:textId="77777777" w:rsidR="00A56074" w:rsidRPr="00EB2982" w:rsidRDefault="00A56074" w:rsidP="00F96CBE">
      <w:pPr>
        <w:spacing w:line="280" w:lineRule="exact"/>
        <w:jc w:val="both"/>
        <w:rPr>
          <w:b/>
        </w:rPr>
      </w:pPr>
      <w:r w:rsidRPr="00EB2982">
        <w:rPr>
          <w:lang w:val="en-US"/>
        </w:rPr>
        <w:t xml:space="preserve">A total of four (4) targets has been set for this programme for the 2019/20 financial year. </w:t>
      </w:r>
      <w:r w:rsidR="00D820C4" w:rsidRPr="00EB2982">
        <w:rPr>
          <w:lang w:val="en-US"/>
        </w:rPr>
        <w:t>T</w:t>
      </w:r>
      <w:r w:rsidRPr="00EB2982">
        <w:rPr>
          <w:lang w:val="en-US"/>
        </w:rPr>
        <w:t xml:space="preserve">he </w:t>
      </w:r>
      <w:r w:rsidR="00D820C4" w:rsidRPr="00EB2982">
        <w:rPr>
          <w:lang w:val="en-US"/>
        </w:rPr>
        <w:t>d</w:t>
      </w:r>
      <w:r w:rsidRPr="00EB2982">
        <w:rPr>
          <w:lang w:val="en-US"/>
        </w:rPr>
        <w:t xml:space="preserve">epartment will integrate five internal silo system into the Case Management system. </w:t>
      </w:r>
      <w:r w:rsidR="00D820C4" w:rsidRPr="00EB2982">
        <w:rPr>
          <w:lang w:val="en-US"/>
        </w:rPr>
        <w:t>T</w:t>
      </w:r>
      <w:r w:rsidRPr="00EB2982">
        <w:rPr>
          <w:lang w:val="en-US"/>
        </w:rPr>
        <w:t xml:space="preserve">he </w:t>
      </w:r>
      <w:r w:rsidR="00D820C4" w:rsidRPr="00EB2982">
        <w:rPr>
          <w:lang w:val="en-US"/>
        </w:rPr>
        <w:t>d</w:t>
      </w:r>
      <w:r w:rsidRPr="00EB2982">
        <w:rPr>
          <w:lang w:val="en-US"/>
        </w:rPr>
        <w:t xml:space="preserve">epartment </w:t>
      </w:r>
      <w:r w:rsidR="00D820C4" w:rsidRPr="00EB2982">
        <w:rPr>
          <w:lang w:val="en-US"/>
        </w:rPr>
        <w:t xml:space="preserve">plans </w:t>
      </w:r>
      <w:r w:rsidRPr="00EB2982">
        <w:rPr>
          <w:lang w:val="en-US"/>
        </w:rPr>
        <w:t xml:space="preserve">to </w:t>
      </w:r>
      <w:r w:rsidR="00D820C4" w:rsidRPr="00EB2982">
        <w:rPr>
          <w:lang w:val="en-US"/>
        </w:rPr>
        <w:t xml:space="preserve">conduct </w:t>
      </w:r>
      <w:r w:rsidRPr="00EB2982">
        <w:rPr>
          <w:lang w:val="en-US"/>
        </w:rPr>
        <w:t>evaluation</w:t>
      </w:r>
      <w:r w:rsidR="00D820C4" w:rsidRPr="00EB2982">
        <w:rPr>
          <w:lang w:val="en-US"/>
        </w:rPr>
        <w:t xml:space="preserve"> of</w:t>
      </w:r>
      <w:r w:rsidRPr="00EB2982">
        <w:rPr>
          <w:lang w:val="en-US"/>
        </w:rPr>
        <w:t xml:space="preserve"> the social sector infrastructure with reference to Early Childhood Development (ECD) and Substance Abuse Treatment Centres.  </w:t>
      </w:r>
      <w:r w:rsidR="00D820C4" w:rsidRPr="00EB2982">
        <w:rPr>
          <w:lang w:val="en-US"/>
        </w:rPr>
        <w:t>It</w:t>
      </w:r>
      <w:r w:rsidRPr="00EB2982">
        <w:rPr>
          <w:lang w:val="en-US"/>
        </w:rPr>
        <w:t xml:space="preserve"> intends to assess compliance </w:t>
      </w:r>
      <w:r w:rsidR="00D820C4" w:rsidRPr="00EB2982">
        <w:rPr>
          <w:lang w:val="en-US"/>
        </w:rPr>
        <w:t xml:space="preserve">of </w:t>
      </w:r>
      <w:r w:rsidRPr="00EB2982">
        <w:rPr>
          <w:lang w:val="en-US"/>
        </w:rPr>
        <w:t>entities and associated institutions to the department’s governance and oversight framework.</w:t>
      </w:r>
    </w:p>
    <w:p w14:paraId="32807EC1" w14:textId="77777777" w:rsidR="007E079A" w:rsidRPr="00EB2982" w:rsidRDefault="007E079A" w:rsidP="008E441E">
      <w:pPr>
        <w:autoSpaceDE w:val="0"/>
        <w:autoSpaceDN w:val="0"/>
        <w:adjustRightInd w:val="0"/>
        <w:spacing w:line="280" w:lineRule="exact"/>
        <w:jc w:val="both"/>
        <w:rPr>
          <w:b/>
          <w:lang w:val="en-ZA"/>
        </w:rPr>
      </w:pPr>
      <w:r w:rsidRPr="00EB2982">
        <w:rPr>
          <w:b/>
          <w:lang w:val="en-ZA"/>
        </w:rPr>
        <w:t>Expenditure trends</w:t>
      </w:r>
    </w:p>
    <w:p w14:paraId="068B7627" w14:textId="77777777" w:rsidR="007E079A" w:rsidRPr="00EB2982" w:rsidRDefault="007E079A" w:rsidP="00F96CBE">
      <w:pPr>
        <w:autoSpaceDE w:val="0"/>
        <w:autoSpaceDN w:val="0"/>
        <w:adjustRightInd w:val="0"/>
        <w:spacing w:line="280" w:lineRule="exact"/>
        <w:jc w:val="both"/>
      </w:pPr>
    </w:p>
    <w:p w14:paraId="2F4066F3" w14:textId="77777777" w:rsidR="00EB2982" w:rsidRDefault="00EB2982">
      <w:pPr>
        <w:rPr>
          <w:rFonts w:eastAsiaTheme="minorHAnsi"/>
          <w:i/>
          <w:color w:val="000000" w:themeColor="text1"/>
          <w:lang w:eastAsia="en-US"/>
        </w:rPr>
      </w:pPr>
      <w:bookmarkStart w:id="4" w:name="OLE_LINK1"/>
      <w:bookmarkStart w:id="5" w:name="OLE_LINK2"/>
      <w:r>
        <w:rPr>
          <w:iCs/>
          <w:color w:val="000000" w:themeColor="text1"/>
        </w:rPr>
        <w:br w:type="page"/>
      </w:r>
    </w:p>
    <w:p w14:paraId="54BA3545" w14:textId="77777777" w:rsidR="004966A0" w:rsidRPr="00EB2982" w:rsidRDefault="004966A0" w:rsidP="004966A0">
      <w:pPr>
        <w:pStyle w:val="Caption"/>
        <w:spacing w:line="280" w:lineRule="exact"/>
        <w:rPr>
          <w:rFonts w:ascii="Times New Roman" w:hAnsi="Times New Roman" w:cs="Times New Roman"/>
          <w:iCs w:val="0"/>
          <w:color w:val="000000" w:themeColor="text1"/>
          <w:sz w:val="24"/>
          <w:szCs w:val="24"/>
          <w:lang w:val="en-GB"/>
        </w:rPr>
      </w:pPr>
      <w:r w:rsidRPr="00EB2982">
        <w:rPr>
          <w:rFonts w:ascii="Times New Roman" w:hAnsi="Times New Roman" w:cs="Times New Roman"/>
          <w:iCs w:val="0"/>
          <w:color w:val="000000" w:themeColor="text1"/>
          <w:sz w:val="24"/>
          <w:szCs w:val="24"/>
          <w:lang w:val="en-GB"/>
        </w:rPr>
        <w:lastRenderedPageBreak/>
        <w:t>Table 2: Administration</w:t>
      </w:r>
      <w:r w:rsidRPr="00EB2982" w:rsidDel="00456BC8">
        <w:rPr>
          <w:rFonts w:ascii="Times New Roman" w:hAnsi="Times New Roman" w:cs="Times New Roman"/>
          <w:iCs w:val="0"/>
          <w:color w:val="000000" w:themeColor="text1"/>
          <w:sz w:val="24"/>
          <w:szCs w:val="24"/>
          <w:lang w:val="en-GB"/>
        </w:rPr>
        <w:t xml:space="preserve"> </w:t>
      </w:r>
      <w:r w:rsidRPr="00EB2982">
        <w:rPr>
          <w:rFonts w:ascii="Times New Roman" w:hAnsi="Times New Roman" w:cs="Times New Roman"/>
          <w:iCs w:val="0"/>
          <w:color w:val="000000" w:themeColor="text1"/>
          <w:sz w:val="24"/>
          <w:szCs w:val="24"/>
          <w:lang w:val="en-GB"/>
        </w:rPr>
        <w:t>Programme</w:t>
      </w:r>
    </w:p>
    <w:tbl>
      <w:tblPr>
        <w:tblStyle w:val="TableGrid"/>
        <w:tblW w:w="9722" w:type="dxa"/>
        <w:tblLook w:val="04A0" w:firstRow="1" w:lastRow="0" w:firstColumn="1" w:lastColumn="0" w:noHBand="0" w:noVBand="1"/>
      </w:tblPr>
      <w:tblGrid>
        <w:gridCol w:w="2547"/>
        <w:gridCol w:w="992"/>
        <w:gridCol w:w="1331"/>
        <w:gridCol w:w="1276"/>
        <w:gridCol w:w="1331"/>
        <w:gridCol w:w="1165"/>
        <w:gridCol w:w="1144"/>
      </w:tblGrid>
      <w:tr w:rsidR="004966A0" w:rsidRPr="00EB2982" w14:paraId="2A2DA698" w14:textId="77777777" w:rsidTr="002C7C5F">
        <w:trPr>
          <w:trHeight w:val="765"/>
        </w:trPr>
        <w:tc>
          <w:tcPr>
            <w:tcW w:w="2547" w:type="dxa"/>
            <w:vMerge w:val="restart"/>
            <w:shd w:val="clear" w:color="auto" w:fill="FDE9D9" w:themeFill="accent6" w:themeFillTint="33"/>
            <w:noWrap/>
            <w:hideMark/>
          </w:tcPr>
          <w:p w14:paraId="069A6C5D" w14:textId="77777777" w:rsidR="004966A0" w:rsidRPr="00EB2982" w:rsidRDefault="004966A0" w:rsidP="002C7C5F">
            <w:pPr>
              <w:rPr>
                <w:b/>
                <w:bCs/>
                <w:sz w:val="20"/>
                <w:szCs w:val="20"/>
              </w:rPr>
            </w:pPr>
            <w:r w:rsidRPr="00EB2982">
              <w:rPr>
                <w:b/>
                <w:bCs/>
                <w:sz w:val="20"/>
                <w:szCs w:val="20"/>
              </w:rPr>
              <w:t>Programme</w:t>
            </w:r>
          </w:p>
          <w:p w14:paraId="6D3BEC85" w14:textId="77777777" w:rsidR="004966A0" w:rsidRPr="00EB2982" w:rsidRDefault="004966A0" w:rsidP="002C7C5F">
            <w:pPr>
              <w:rPr>
                <w:b/>
                <w:bCs/>
                <w:sz w:val="20"/>
                <w:szCs w:val="20"/>
              </w:rPr>
            </w:pPr>
          </w:p>
          <w:p w14:paraId="2EEDA81F" w14:textId="77777777" w:rsidR="004966A0" w:rsidRPr="00EB2982" w:rsidRDefault="004966A0" w:rsidP="002C7C5F">
            <w:pPr>
              <w:rPr>
                <w:b/>
                <w:bCs/>
                <w:sz w:val="20"/>
                <w:szCs w:val="20"/>
              </w:rPr>
            </w:pPr>
          </w:p>
          <w:p w14:paraId="6E578633" w14:textId="77777777" w:rsidR="004966A0" w:rsidRPr="00EB2982" w:rsidRDefault="004966A0" w:rsidP="002C7C5F">
            <w:pPr>
              <w:rPr>
                <w:b/>
                <w:bCs/>
                <w:sz w:val="20"/>
                <w:szCs w:val="20"/>
              </w:rPr>
            </w:pPr>
          </w:p>
          <w:p w14:paraId="2EC443AC" w14:textId="77777777" w:rsidR="004966A0" w:rsidRPr="00EB2982" w:rsidRDefault="004966A0" w:rsidP="002C7C5F">
            <w:pPr>
              <w:rPr>
                <w:b/>
                <w:bCs/>
                <w:sz w:val="20"/>
                <w:szCs w:val="20"/>
              </w:rPr>
            </w:pPr>
            <w:r w:rsidRPr="00EB2982">
              <w:rPr>
                <w:b/>
                <w:bCs/>
                <w:sz w:val="20"/>
                <w:szCs w:val="20"/>
              </w:rPr>
              <w:t>R million</w:t>
            </w:r>
          </w:p>
        </w:tc>
        <w:tc>
          <w:tcPr>
            <w:tcW w:w="2323" w:type="dxa"/>
            <w:gridSpan w:val="2"/>
            <w:shd w:val="clear" w:color="auto" w:fill="FDE9D9" w:themeFill="accent6" w:themeFillTint="33"/>
            <w:hideMark/>
          </w:tcPr>
          <w:p w14:paraId="3A64DBC0" w14:textId="77777777" w:rsidR="004966A0" w:rsidRPr="00EB2982" w:rsidRDefault="004966A0" w:rsidP="002C7C5F">
            <w:pPr>
              <w:rPr>
                <w:b/>
                <w:bCs/>
                <w:sz w:val="20"/>
                <w:szCs w:val="20"/>
              </w:rPr>
            </w:pPr>
            <w:r w:rsidRPr="00EB2982">
              <w:rPr>
                <w:b/>
                <w:bCs/>
                <w:sz w:val="20"/>
                <w:szCs w:val="20"/>
              </w:rPr>
              <w:t>Budget</w:t>
            </w:r>
          </w:p>
        </w:tc>
        <w:tc>
          <w:tcPr>
            <w:tcW w:w="1276" w:type="dxa"/>
            <w:vMerge w:val="restart"/>
            <w:shd w:val="clear" w:color="auto" w:fill="FDE9D9" w:themeFill="accent6" w:themeFillTint="33"/>
            <w:hideMark/>
          </w:tcPr>
          <w:p w14:paraId="4A4F2C6A" w14:textId="77777777" w:rsidR="004966A0" w:rsidRPr="00EB2982" w:rsidRDefault="004966A0" w:rsidP="002C7C5F">
            <w:pPr>
              <w:jc w:val="center"/>
              <w:rPr>
                <w:b/>
                <w:bCs/>
                <w:sz w:val="20"/>
                <w:szCs w:val="20"/>
              </w:rPr>
            </w:pPr>
            <w:r w:rsidRPr="00EB2982">
              <w:rPr>
                <w:b/>
                <w:bCs/>
                <w:sz w:val="20"/>
                <w:szCs w:val="20"/>
              </w:rPr>
              <w:t xml:space="preserve">Nominal </w:t>
            </w:r>
          </w:p>
          <w:p w14:paraId="5A67CC47" w14:textId="77777777" w:rsidR="004966A0" w:rsidRPr="00EB2982" w:rsidRDefault="004966A0" w:rsidP="002C7C5F">
            <w:pPr>
              <w:jc w:val="center"/>
              <w:rPr>
                <w:b/>
                <w:bCs/>
                <w:sz w:val="20"/>
                <w:szCs w:val="20"/>
              </w:rPr>
            </w:pPr>
            <w:r w:rsidRPr="00EB2982">
              <w:rPr>
                <w:b/>
                <w:bCs/>
                <w:sz w:val="20"/>
                <w:szCs w:val="20"/>
              </w:rPr>
              <w:t>change</w:t>
            </w:r>
          </w:p>
          <w:p w14:paraId="5B149D9A" w14:textId="77777777" w:rsidR="004966A0" w:rsidRPr="00EB2982" w:rsidRDefault="004966A0" w:rsidP="002C7C5F">
            <w:pPr>
              <w:jc w:val="center"/>
              <w:rPr>
                <w:b/>
                <w:bCs/>
                <w:sz w:val="20"/>
                <w:szCs w:val="20"/>
              </w:rPr>
            </w:pPr>
            <w:r w:rsidRPr="00EB2982">
              <w:rPr>
                <w:b/>
                <w:bCs/>
                <w:sz w:val="20"/>
                <w:szCs w:val="20"/>
              </w:rPr>
              <w:t>Nominal change in 2019/20</w:t>
            </w:r>
          </w:p>
          <w:p w14:paraId="40EF06AB" w14:textId="77777777" w:rsidR="004966A0" w:rsidRPr="00EB2982" w:rsidRDefault="004966A0" w:rsidP="002C7C5F">
            <w:pPr>
              <w:jc w:val="center"/>
              <w:rPr>
                <w:b/>
                <w:bCs/>
                <w:sz w:val="16"/>
                <w:szCs w:val="20"/>
              </w:rPr>
            </w:pPr>
            <w:r w:rsidRPr="00EB2982">
              <w:rPr>
                <w:b/>
                <w:bCs/>
                <w:sz w:val="16"/>
                <w:szCs w:val="20"/>
              </w:rPr>
              <w:t>(Rand value)</w:t>
            </w:r>
          </w:p>
        </w:tc>
        <w:tc>
          <w:tcPr>
            <w:tcW w:w="1331" w:type="dxa"/>
            <w:vMerge w:val="restart"/>
            <w:shd w:val="clear" w:color="auto" w:fill="FDE9D9" w:themeFill="accent6" w:themeFillTint="33"/>
            <w:hideMark/>
          </w:tcPr>
          <w:p w14:paraId="2CDFB347" w14:textId="77777777" w:rsidR="004966A0" w:rsidRPr="00EB2982" w:rsidRDefault="004966A0" w:rsidP="002C7C5F">
            <w:pPr>
              <w:jc w:val="center"/>
              <w:rPr>
                <w:b/>
                <w:bCs/>
                <w:sz w:val="20"/>
                <w:szCs w:val="20"/>
              </w:rPr>
            </w:pPr>
            <w:r w:rsidRPr="00EB2982">
              <w:rPr>
                <w:b/>
                <w:bCs/>
                <w:sz w:val="20"/>
                <w:szCs w:val="20"/>
              </w:rPr>
              <w:t xml:space="preserve">Real </w:t>
            </w:r>
          </w:p>
          <w:p w14:paraId="1CED6683" w14:textId="77777777" w:rsidR="004966A0" w:rsidRPr="00EB2982" w:rsidRDefault="004966A0" w:rsidP="002C7C5F">
            <w:pPr>
              <w:jc w:val="center"/>
              <w:rPr>
                <w:b/>
                <w:bCs/>
                <w:sz w:val="20"/>
                <w:szCs w:val="20"/>
              </w:rPr>
            </w:pPr>
            <w:r w:rsidRPr="00EB2982">
              <w:rPr>
                <w:b/>
                <w:bCs/>
                <w:sz w:val="20"/>
                <w:szCs w:val="20"/>
              </w:rPr>
              <w:t>change</w:t>
            </w:r>
          </w:p>
          <w:p w14:paraId="5A828083" w14:textId="77777777" w:rsidR="004966A0" w:rsidRPr="00EB2982" w:rsidRDefault="004966A0" w:rsidP="002C7C5F">
            <w:pPr>
              <w:jc w:val="center"/>
              <w:rPr>
                <w:b/>
                <w:bCs/>
                <w:sz w:val="20"/>
                <w:szCs w:val="20"/>
              </w:rPr>
            </w:pPr>
            <w:r w:rsidRPr="00EB2982">
              <w:rPr>
                <w:b/>
                <w:bCs/>
                <w:sz w:val="20"/>
                <w:szCs w:val="20"/>
              </w:rPr>
              <w:t>Real change in 2019/20</w:t>
            </w:r>
          </w:p>
          <w:p w14:paraId="5B890205" w14:textId="77777777" w:rsidR="004966A0" w:rsidRPr="00EB2982" w:rsidRDefault="004966A0" w:rsidP="002C7C5F">
            <w:pPr>
              <w:jc w:val="center"/>
              <w:rPr>
                <w:b/>
                <w:bCs/>
                <w:sz w:val="20"/>
                <w:szCs w:val="20"/>
              </w:rPr>
            </w:pPr>
            <w:r w:rsidRPr="00EB2982">
              <w:rPr>
                <w:b/>
                <w:bCs/>
                <w:sz w:val="16"/>
                <w:szCs w:val="20"/>
              </w:rPr>
              <w:t>(Rand value)</w:t>
            </w:r>
          </w:p>
        </w:tc>
        <w:tc>
          <w:tcPr>
            <w:tcW w:w="1165" w:type="dxa"/>
            <w:vMerge w:val="restart"/>
            <w:shd w:val="clear" w:color="auto" w:fill="FDE9D9" w:themeFill="accent6" w:themeFillTint="33"/>
            <w:hideMark/>
          </w:tcPr>
          <w:p w14:paraId="321F7141" w14:textId="77777777" w:rsidR="004966A0" w:rsidRPr="00EB2982" w:rsidRDefault="004966A0" w:rsidP="002C7C5F">
            <w:pPr>
              <w:jc w:val="center"/>
              <w:rPr>
                <w:b/>
                <w:bCs/>
                <w:sz w:val="20"/>
                <w:szCs w:val="20"/>
              </w:rPr>
            </w:pPr>
            <w:r w:rsidRPr="00EB2982">
              <w:rPr>
                <w:b/>
                <w:bCs/>
                <w:sz w:val="20"/>
                <w:szCs w:val="20"/>
              </w:rPr>
              <w:t>Nominal Percent Nominal change in 2019/20</w:t>
            </w:r>
          </w:p>
        </w:tc>
        <w:tc>
          <w:tcPr>
            <w:tcW w:w="1080" w:type="dxa"/>
            <w:vMerge w:val="restart"/>
            <w:shd w:val="clear" w:color="auto" w:fill="FDE9D9" w:themeFill="accent6" w:themeFillTint="33"/>
            <w:hideMark/>
          </w:tcPr>
          <w:p w14:paraId="7B48929E" w14:textId="77777777" w:rsidR="004966A0" w:rsidRPr="00EB2982" w:rsidRDefault="004966A0" w:rsidP="002C7C5F">
            <w:pPr>
              <w:ind w:right="272"/>
              <w:jc w:val="center"/>
              <w:rPr>
                <w:b/>
                <w:bCs/>
                <w:sz w:val="20"/>
                <w:szCs w:val="20"/>
              </w:rPr>
            </w:pPr>
            <w:r w:rsidRPr="00EB2982">
              <w:rPr>
                <w:b/>
                <w:bCs/>
                <w:sz w:val="20"/>
                <w:szCs w:val="20"/>
              </w:rPr>
              <w:t>Real Percent Real change in 2019/20</w:t>
            </w:r>
          </w:p>
        </w:tc>
      </w:tr>
      <w:tr w:rsidR="004966A0" w:rsidRPr="00EB2982" w14:paraId="67DF682B" w14:textId="77777777" w:rsidTr="002C7C5F">
        <w:trPr>
          <w:trHeight w:val="264"/>
        </w:trPr>
        <w:tc>
          <w:tcPr>
            <w:tcW w:w="2547" w:type="dxa"/>
            <w:vMerge/>
            <w:shd w:val="clear" w:color="auto" w:fill="DBE5F1" w:themeFill="accent1" w:themeFillTint="33"/>
            <w:noWrap/>
            <w:hideMark/>
          </w:tcPr>
          <w:p w14:paraId="345CDDFA" w14:textId="77777777" w:rsidR="004966A0" w:rsidRPr="00EB2982" w:rsidRDefault="004966A0" w:rsidP="002C7C5F">
            <w:pPr>
              <w:rPr>
                <w:b/>
                <w:bCs/>
                <w:sz w:val="20"/>
                <w:szCs w:val="20"/>
              </w:rPr>
            </w:pPr>
          </w:p>
        </w:tc>
        <w:tc>
          <w:tcPr>
            <w:tcW w:w="992" w:type="dxa"/>
            <w:shd w:val="clear" w:color="auto" w:fill="FDE9D9" w:themeFill="accent6" w:themeFillTint="33"/>
            <w:noWrap/>
            <w:hideMark/>
          </w:tcPr>
          <w:p w14:paraId="69BC819B" w14:textId="77777777" w:rsidR="004966A0" w:rsidRPr="00EB2982" w:rsidRDefault="004966A0" w:rsidP="002C7C5F">
            <w:pPr>
              <w:rPr>
                <w:b/>
                <w:bCs/>
                <w:sz w:val="20"/>
                <w:szCs w:val="20"/>
              </w:rPr>
            </w:pPr>
            <w:r w:rsidRPr="00EB2982">
              <w:rPr>
                <w:b/>
                <w:bCs/>
                <w:sz w:val="20"/>
                <w:szCs w:val="20"/>
              </w:rPr>
              <w:t>2018/19</w:t>
            </w:r>
          </w:p>
        </w:tc>
        <w:tc>
          <w:tcPr>
            <w:tcW w:w="1331" w:type="dxa"/>
            <w:shd w:val="clear" w:color="auto" w:fill="FDE9D9" w:themeFill="accent6" w:themeFillTint="33"/>
            <w:noWrap/>
            <w:hideMark/>
          </w:tcPr>
          <w:p w14:paraId="7FC50394" w14:textId="77777777" w:rsidR="004966A0" w:rsidRPr="00EB2982" w:rsidRDefault="004966A0" w:rsidP="002C7C5F">
            <w:pPr>
              <w:rPr>
                <w:b/>
                <w:bCs/>
                <w:sz w:val="20"/>
                <w:szCs w:val="20"/>
              </w:rPr>
            </w:pPr>
            <w:r w:rsidRPr="00EB2982">
              <w:rPr>
                <w:b/>
                <w:bCs/>
                <w:sz w:val="20"/>
                <w:szCs w:val="20"/>
              </w:rPr>
              <w:t>2019/20</w:t>
            </w:r>
          </w:p>
        </w:tc>
        <w:tc>
          <w:tcPr>
            <w:tcW w:w="1276" w:type="dxa"/>
            <w:vMerge/>
            <w:hideMark/>
          </w:tcPr>
          <w:p w14:paraId="442730AA" w14:textId="77777777" w:rsidR="004966A0" w:rsidRPr="00EB2982" w:rsidRDefault="004966A0" w:rsidP="002C7C5F">
            <w:pPr>
              <w:rPr>
                <w:b/>
                <w:bCs/>
                <w:sz w:val="20"/>
                <w:szCs w:val="20"/>
              </w:rPr>
            </w:pPr>
          </w:p>
        </w:tc>
        <w:tc>
          <w:tcPr>
            <w:tcW w:w="1331" w:type="dxa"/>
            <w:vMerge/>
            <w:hideMark/>
          </w:tcPr>
          <w:p w14:paraId="2E82B2D0" w14:textId="77777777" w:rsidR="004966A0" w:rsidRPr="00EB2982" w:rsidRDefault="004966A0" w:rsidP="002C7C5F">
            <w:pPr>
              <w:rPr>
                <w:b/>
                <w:bCs/>
                <w:sz w:val="20"/>
                <w:szCs w:val="20"/>
              </w:rPr>
            </w:pPr>
          </w:p>
        </w:tc>
        <w:tc>
          <w:tcPr>
            <w:tcW w:w="1165" w:type="dxa"/>
            <w:vMerge/>
            <w:hideMark/>
          </w:tcPr>
          <w:p w14:paraId="6712B339" w14:textId="77777777" w:rsidR="004966A0" w:rsidRPr="00EB2982" w:rsidRDefault="004966A0" w:rsidP="002C7C5F">
            <w:pPr>
              <w:rPr>
                <w:b/>
                <w:bCs/>
                <w:sz w:val="20"/>
                <w:szCs w:val="20"/>
              </w:rPr>
            </w:pPr>
          </w:p>
        </w:tc>
        <w:tc>
          <w:tcPr>
            <w:tcW w:w="1080" w:type="dxa"/>
            <w:vMerge/>
            <w:hideMark/>
          </w:tcPr>
          <w:p w14:paraId="53726D7E" w14:textId="77777777" w:rsidR="004966A0" w:rsidRPr="00EB2982" w:rsidRDefault="004966A0" w:rsidP="002C7C5F">
            <w:pPr>
              <w:rPr>
                <w:b/>
                <w:bCs/>
                <w:sz w:val="20"/>
                <w:szCs w:val="20"/>
              </w:rPr>
            </w:pPr>
          </w:p>
        </w:tc>
      </w:tr>
      <w:tr w:rsidR="004966A0" w:rsidRPr="00EB2982" w14:paraId="6B4F73DA" w14:textId="77777777" w:rsidTr="002C7C5F">
        <w:trPr>
          <w:trHeight w:val="264"/>
        </w:trPr>
        <w:tc>
          <w:tcPr>
            <w:tcW w:w="2547" w:type="dxa"/>
            <w:noWrap/>
            <w:hideMark/>
          </w:tcPr>
          <w:p w14:paraId="00AC1AF5" w14:textId="77777777" w:rsidR="004966A0" w:rsidRPr="00EB2982" w:rsidRDefault="004966A0" w:rsidP="002C7C5F">
            <w:pPr>
              <w:rPr>
                <w:sz w:val="20"/>
                <w:szCs w:val="20"/>
              </w:rPr>
            </w:pPr>
            <w:r w:rsidRPr="00EB2982">
              <w:rPr>
                <w:sz w:val="20"/>
                <w:szCs w:val="20"/>
              </w:rPr>
              <w:t>Ministry</w:t>
            </w:r>
          </w:p>
        </w:tc>
        <w:tc>
          <w:tcPr>
            <w:tcW w:w="992" w:type="dxa"/>
            <w:noWrap/>
            <w:vAlign w:val="bottom"/>
          </w:tcPr>
          <w:p w14:paraId="6592DA9B" w14:textId="77777777" w:rsidR="004966A0" w:rsidRPr="00EB2982" w:rsidRDefault="004966A0" w:rsidP="002C7C5F">
            <w:pPr>
              <w:jc w:val="right"/>
              <w:rPr>
                <w:sz w:val="20"/>
                <w:szCs w:val="20"/>
              </w:rPr>
            </w:pPr>
            <w:r w:rsidRPr="00EB2982">
              <w:rPr>
                <w:sz w:val="20"/>
                <w:szCs w:val="20"/>
              </w:rPr>
              <w:t xml:space="preserve">  41,2</w:t>
            </w:r>
          </w:p>
        </w:tc>
        <w:tc>
          <w:tcPr>
            <w:tcW w:w="1331" w:type="dxa"/>
            <w:noWrap/>
            <w:vAlign w:val="bottom"/>
          </w:tcPr>
          <w:p w14:paraId="4DD94F97" w14:textId="77777777" w:rsidR="004966A0" w:rsidRPr="00EB2982" w:rsidRDefault="004966A0" w:rsidP="002C7C5F">
            <w:pPr>
              <w:jc w:val="right"/>
              <w:rPr>
                <w:sz w:val="20"/>
                <w:szCs w:val="20"/>
              </w:rPr>
            </w:pPr>
            <w:r w:rsidRPr="00EB2982">
              <w:rPr>
                <w:sz w:val="20"/>
                <w:szCs w:val="20"/>
              </w:rPr>
              <w:t xml:space="preserve">  40,5</w:t>
            </w:r>
          </w:p>
        </w:tc>
        <w:tc>
          <w:tcPr>
            <w:tcW w:w="1276" w:type="dxa"/>
            <w:noWrap/>
            <w:vAlign w:val="bottom"/>
          </w:tcPr>
          <w:p w14:paraId="24CF2CA6" w14:textId="77777777" w:rsidR="004966A0" w:rsidRPr="00EB2982" w:rsidRDefault="004966A0" w:rsidP="002C7C5F">
            <w:pPr>
              <w:jc w:val="right"/>
              <w:rPr>
                <w:sz w:val="20"/>
                <w:szCs w:val="20"/>
              </w:rPr>
            </w:pPr>
            <w:r w:rsidRPr="00EB2982">
              <w:rPr>
                <w:sz w:val="20"/>
                <w:szCs w:val="20"/>
              </w:rPr>
              <w:t>-  0,7</w:t>
            </w:r>
          </w:p>
        </w:tc>
        <w:tc>
          <w:tcPr>
            <w:tcW w:w="1331" w:type="dxa"/>
            <w:noWrap/>
            <w:vAlign w:val="bottom"/>
          </w:tcPr>
          <w:p w14:paraId="3AF09926" w14:textId="77777777" w:rsidR="004966A0" w:rsidRPr="00EB2982" w:rsidRDefault="004966A0" w:rsidP="002C7C5F">
            <w:pPr>
              <w:jc w:val="right"/>
              <w:rPr>
                <w:sz w:val="20"/>
                <w:szCs w:val="20"/>
              </w:rPr>
            </w:pPr>
            <w:r w:rsidRPr="00EB2982">
              <w:rPr>
                <w:sz w:val="20"/>
                <w:szCs w:val="20"/>
              </w:rPr>
              <w:t>-  2,7</w:t>
            </w:r>
          </w:p>
        </w:tc>
        <w:tc>
          <w:tcPr>
            <w:tcW w:w="1165" w:type="dxa"/>
            <w:noWrap/>
            <w:vAlign w:val="bottom"/>
          </w:tcPr>
          <w:p w14:paraId="3B300D2A" w14:textId="77777777" w:rsidR="004966A0" w:rsidRPr="00EB2982" w:rsidRDefault="004966A0" w:rsidP="002C7C5F">
            <w:pPr>
              <w:jc w:val="center"/>
              <w:rPr>
                <w:sz w:val="20"/>
                <w:szCs w:val="20"/>
              </w:rPr>
            </w:pPr>
            <w:r w:rsidRPr="00EB2982">
              <w:rPr>
                <w:sz w:val="20"/>
                <w:szCs w:val="20"/>
              </w:rPr>
              <w:t>-1,70%</w:t>
            </w:r>
          </w:p>
        </w:tc>
        <w:tc>
          <w:tcPr>
            <w:tcW w:w="1080" w:type="dxa"/>
            <w:noWrap/>
            <w:vAlign w:val="bottom"/>
          </w:tcPr>
          <w:p w14:paraId="3D75CD3D" w14:textId="77777777" w:rsidR="004966A0" w:rsidRPr="00EB2982" w:rsidRDefault="004966A0" w:rsidP="002C7C5F">
            <w:pPr>
              <w:jc w:val="center"/>
              <w:rPr>
                <w:sz w:val="20"/>
                <w:szCs w:val="20"/>
              </w:rPr>
            </w:pPr>
            <w:r w:rsidRPr="00EB2982">
              <w:rPr>
                <w:sz w:val="20"/>
                <w:szCs w:val="20"/>
              </w:rPr>
              <w:t>-6,56%</w:t>
            </w:r>
          </w:p>
        </w:tc>
      </w:tr>
      <w:tr w:rsidR="004966A0" w:rsidRPr="00EB2982" w14:paraId="40FD6A6F" w14:textId="77777777" w:rsidTr="002C7C5F">
        <w:trPr>
          <w:trHeight w:val="264"/>
        </w:trPr>
        <w:tc>
          <w:tcPr>
            <w:tcW w:w="2547" w:type="dxa"/>
            <w:noWrap/>
            <w:hideMark/>
          </w:tcPr>
          <w:p w14:paraId="621C521A" w14:textId="77777777" w:rsidR="004966A0" w:rsidRPr="00EB2982" w:rsidRDefault="004966A0" w:rsidP="002C7C5F">
            <w:pPr>
              <w:rPr>
                <w:sz w:val="20"/>
                <w:szCs w:val="20"/>
              </w:rPr>
            </w:pPr>
            <w:r w:rsidRPr="00EB2982">
              <w:rPr>
                <w:sz w:val="20"/>
                <w:szCs w:val="20"/>
              </w:rPr>
              <w:t>Department Management</w:t>
            </w:r>
          </w:p>
        </w:tc>
        <w:tc>
          <w:tcPr>
            <w:tcW w:w="992" w:type="dxa"/>
            <w:noWrap/>
            <w:vAlign w:val="bottom"/>
          </w:tcPr>
          <w:p w14:paraId="73869C77" w14:textId="77777777" w:rsidR="004966A0" w:rsidRPr="00EB2982" w:rsidRDefault="004966A0" w:rsidP="002C7C5F">
            <w:pPr>
              <w:jc w:val="right"/>
              <w:rPr>
                <w:sz w:val="20"/>
                <w:szCs w:val="20"/>
              </w:rPr>
            </w:pPr>
            <w:r w:rsidRPr="00EB2982">
              <w:rPr>
                <w:sz w:val="20"/>
                <w:szCs w:val="20"/>
              </w:rPr>
              <w:t xml:space="preserve">  70,7</w:t>
            </w:r>
          </w:p>
        </w:tc>
        <w:tc>
          <w:tcPr>
            <w:tcW w:w="1331" w:type="dxa"/>
            <w:noWrap/>
            <w:vAlign w:val="bottom"/>
          </w:tcPr>
          <w:p w14:paraId="0E2D6616" w14:textId="77777777" w:rsidR="004966A0" w:rsidRPr="00EB2982" w:rsidRDefault="004966A0" w:rsidP="002C7C5F">
            <w:pPr>
              <w:jc w:val="right"/>
              <w:rPr>
                <w:sz w:val="20"/>
                <w:szCs w:val="20"/>
              </w:rPr>
            </w:pPr>
            <w:r w:rsidRPr="00EB2982">
              <w:rPr>
                <w:sz w:val="20"/>
                <w:szCs w:val="20"/>
              </w:rPr>
              <w:t xml:space="preserve">  75,6</w:t>
            </w:r>
          </w:p>
        </w:tc>
        <w:tc>
          <w:tcPr>
            <w:tcW w:w="1276" w:type="dxa"/>
            <w:noWrap/>
            <w:vAlign w:val="bottom"/>
          </w:tcPr>
          <w:p w14:paraId="7EB22059" w14:textId="77777777" w:rsidR="004966A0" w:rsidRPr="00EB2982" w:rsidRDefault="004966A0" w:rsidP="002C7C5F">
            <w:pPr>
              <w:jc w:val="right"/>
              <w:rPr>
                <w:sz w:val="20"/>
                <w:szCs w:val="20"/>
              </w:rPr>
            </w:pPr>
            <w:r w:rsidRPr="00EB2982">
              <w:rPr>
                <w:sz w:val="20"/>
                <w:szCs w:val="20"/>
              </w:rPr>
              <w:t xml:space="preserve">  4,9</w:t>
            </w:r>
          </w:p>
        </w:tc>
        <w:tc>
          <w:tcPr>
            <w:tcW w:w="1331" w:type="dxa"/>
            <w:noWrap/>
            <w:vAlign w:val="bottom"/>
          </w:tcPr>
          <w:p w14:paraId="128FE5AE" w14:textId="77777777" w:rsidR="004966A0" w:rsidRPr="00EB2982" w:rsidRDefault="004966A0" w:rsidP="002C7C5F">
            <w:pPr>
              <w:jc w:val="right"/>
              <w:rPr>
                <w:sz w:val="20"/>
                <w:szCs w:val="20"/>
              </w:rPr>
            </w:pPr>
            <w:r w:rsidRPr="00EB2982">
              <w:rPr>
                <w:sz w:val="20"/>
                <w:szCs w:val="20"/>
              </w:rPr>
              <w:t xml:space="preserve">  1,2</w:t>
            </w:r>
          </w:p>
        </w:tc>
        <w:tc>
          <w:tcPr>
            <w:tcW w:w="1165" w:type="dxa"/>
            <w:noWrap/>
            <w:vAlign w:val="bottom"/>
          </w:tcPr>
          <w:p w14:paraId="356AF4B1" w14:textId="77777777" w:rsidR="004966A0" w:rsidRPr="00EB2982" w:rsidRDefault="004966A0" w:rsidP="002C7C5F">
            <w:pPr>
              <w:jc w:val="center"/>
              <w:rPr>
                <w:sz w:val="20"/>
                <w:szCs w:val="20"/>
              </w:rPr>
            </w:pPr>
            <w:r w:rsidRPr="00EB2982">
              <w:rPr>
                <w:sz w:val="20"/>
                <w:szCs w:val="20"/>
              </w:rPr>
              <w:t>6,93%</w:t>
            </w:r>
          </w:p>
        </w:tc>
        <w:tc>
          <w:tcPr>
            <w:tcW w:w="1080" w:type="dxa"/>
            <w:noWrap/>
            <w:vAlign w:val="bottom"/>
          </w:tcPr>
          <w:p w14:paraId="6339F1C8" w14:textId="77777777" w:rsidR="004966A0" w:rsidRPr="00EB2982" w:rsidRDefault="004966A0" w:rsidP="002C7C5F">
            <w:pPr>
              <w:jc w:val="center"/>
              <w:rPr>
                <w:sz w:val="20"/>
                <w:szCs w:val="20"/>
              </w:rPr>
            </w:pPr>
            <w:r w:rsidRPr="00EB2982">
              <w:rPr>
                <w:sz w:val="20"/>
                <w:szCs w:val="20"/>
              </w:rPr>
              <w:t>1,65%</w:t>
            </w:r>
          </w:p>
        </w:tc>
      </w:tr>
      <w:tr w:rsidR="004966A0" w:rsidRPr="00EB2982" w14:paraId="0F1909C8" w14:textId="77777777" w:rsidTr="002C7C5F">
        <w:trPr>
          <w:trHeight w:val="264"/>
        </w:trPr>
        <w:tc>
          <w:tcPr>
            <w:tcW w:w="2547" w:type="dxa"/>
            <w:noWrap/>
            <w:hideMark/>
          </w:tcPr>
          <w:p w14:paraId="54E909ED" w14:textId="77777777" w:rsidR="004966A0" w:rsidRPr="00EB2982" w:rsidRDefault="004966A0" w:rsidP="002C7C5F">
            <w:pPr>
              <w:rPr>
                <w:sz w:val="20"/>
                <w:szCs w:val="20"/>
              </w:rPr>
            </w:pPr>
            <w:r w:rsidRPr="00EB2982">
              <w:rPr>
                <w:sz w:val="20"/>
                <w:szCs w:val="20"/>
              </w:rPr>
              <w:t>Corporate Management</w:t>
            </w:r>
          </w:p>
        </w:tc>
        <w:tc>
          <w:tcPr>
            <w:tcW w:w="992" w:type="dxa"/>
            <w:noWrap/>
            <w:vAlign w:val="bottom"/>
          </w:tcPr>
          <w:p w14:paraId="0B2EAEA1" w14:textId="77777777" w:rsidR="004966A0" w:rsidRPr="00EB2982" w:rsidRDefault="004966A0" w:rsidP="002C7C5F">
            <w:pPr>
              <w:jc w:val="right"/>
              <w:rPr>
                <w:sz w:val="20"/>
                <w:szCs w:val="20"/>
              </w:rPr>
            </w:pPr>
            <w:r w:rsidRPr="00EB2982">
              <w:rPr>
                <w:sz w:val="20"/>
                <w:szCs w:val="20"/>
              </w:rPr>
              <w:t xml:space="preserve">  156,9</w:t>
            </w:r>
          </w:p>
        </w:tc>
        <w:tc>
          <w:tcPr>
            <w:tcW w:w="1331" w:type="dxa"/>
            <w:noWrap/>
            <w:vAlign w:val="bottom"/>
          </w:tcPr>
          <w:p w14:paraId="18EE0EB0" w14:textId="77777777" w:rsidR="004966A0" w:rsidRPr="00EB2982" w:rsidRDefault="004966A0" w:rsidP="002C7C5F">
            <w:pPr>
              <w:jc w:val="right"/>
              <w:rPr>
                <w:sz w:val="20"/>
                <w:szCs w:val="20"/>
              </w:rPr>
            </w:pPr>
            <w:r w:rsidRPr="00EB2982">
              <w:rPr>
                <w:sz w:val="20"/>
                <w:szCs w:val="20"/>
              </w:rPr>
              <w:t xml:space="preserve">  162,2</w:t>
            </w:r>
          </w:p>
        </w:tc>
        <w:tc>
          <w:tcPr>
            <w:tcW w:w="1276" w:type="dxa"/>
            <w:noWrap/>
            <w:vAlign w:val="bottom"/>
          </w:tcPr>
          <w:p w14:paraId="7FB63240" w14:textId="77777777" w:rsidR="004966A0" w:rsidRPr="00EB2982" w:rsidRDefault="004966A0" w:rsidP="002C7C5F">
            <w:pPr>
              <w:jc w:val="right"/>
              <w:rPr>
                <w:sz w:val="20"/>
                <w:szCs w:val="20"/>
              </w:rPr>
            </w:pPr>
            <w:r w:rsidRPr="00EB2982">
              <w:rPr>
                <w:sz w:val="20"/>
                <w:szCs w:val="20"/>
              </w:rPr>
              <w:t xml:space="preserve">  5,3</w:t>
            </w:r>
          </w:p>
        </w:tc>
        <w:tc>
          <w:tcPr>
            <w:tcW w:w="1331" w:type="dxa"/>
            <w:noWrap/>
            <w:vAlign w:val="bottom"/>
          </w:tcPr>
          <w:p w14:paraId="0BB2C9EC" w14:textId="77777777" w:rsidR="004966A0" w:rsidRPr="00EB2982" w:rsidRDefault="004966A0" w:rsidP="002C7C5F">
            <w:pPr>
              <w:jc w:val="right"/>
              <w:rPr>
                <w:sz w:val="20"/>
                <w:szCs w:val="20"/>
              </w:rPr>
            </w:pPr>
            <w:r w:rsidRPr="00EB2982">
              <w:rPr>
                <w:sz w:val="20"/>
                <w:szCs w:val="20"/>
              </w:rPr>
              <w:t>-  2,7</w:t>
            </w:r>
          </w:p>
        </w:tc>
        <w:tc>
          <w:tcPr>
            <w:tcW w:w="1165" w:type="dxa"/>
            <w:noWrap/>
            <w:vAlign w:val="bottom"/>
          </w:tcPr>
          <w:p w14:paraId="64F92232" w14:textId="77777777" w:rsidR="004966A0" w:rsidRPr="00EB2982" w:rsidRDefault="004966A0" w:rsidP="002C7C5F">
            <w:pPr>
              <w:jc w:val="center"/>
              <w:rPr>
                <w:sz w:val="20"/>
                <w:szCs w:val="20"/>
              </w:rPr>
            </w:pPr>
            <w:r w:rsidRPr="00EB2982">
              <w:rPr>
                <w:sz w:val="20"/>
                <w:szCs w:val="20"/>
              </w:rPr>
              <w:t>3,38%</w:t>
            </w:r>
          </w:p>
        </w:tc>
        <w:tc>
          <w:tcPr>
            <w:tcW w:w="1080" w:type="dxa"/>
            <w:noWrap/>
            <w:vAlign w:val="bottom"/>
          </w:tcPr>
          <w:p w14:paraId="44A1D299" w14:textId="77777777" w:rsidR="004966A0" w:rsidRPr="00EB2982" w:rsidRDefault="004966A0" w:rsidP="002C7C5F">
            <w:pPr>
              <w:jc w:val="center"/>
              <w:rPr>
                <w:sz w:val="20"/>
                <w:szCs w:val="20"/>
              </w:rPr>
            </w:pPr>
            <w:r w:rsidRPr="00EB2982">
              <w:rPr>
                <w:sz w:val="20"/>
                <w:szCs w:val="20"/>
              </w:rPr>
              <w:t>-1,73%</w:t>
            </w:r>
          </w:p>
        </w:tc>
      </w:tr>
      <w:tr w:rsidR="004966A0" w:rsidRPr="00EB2982" w14:paraId="010A49F9" w14:textId="77777777" w:rsidTr="002C7C5F">
        <w:trPr>
          <w:trHeight w:val="264"/>
        </w:trPr>
        <w:tc>
          <w:tcPr>
            <w:tcW w:w="2547" w:type="dxa"/>
            <w:noWrap/>
            <w:hideMark/>
          </w:tcPr>
          <w:p w14:paraId="4E98FB19" w14:textId="77777777" w:rsidR="004966A0" w:rsidRPr="00EB2982" w:rsidRDefault="004966A0" w:rsidP="002C7C5F">
            <w:pPr>
              <w:rPr>
                <w:sz w:val="20"/>
                <w:szCs w:val="20"/>
              </w:rPr>
            </w:pPr>
            <w:r w:rsidRPr="00EB2982">
              <w:rPr>
                <w:sz w:val="20"/>
                <w:szCs w:val="20"/>
              </w:rPr>
              <w:t>Finance</w:t>
            </w:r>
          </w:p>
        </w:tc>
        <w:tc>
          <w:tcPr>
            <w:tcW w:w="992" w:type="dxa"/>
            <w:noWrap/>
            <w:vAlign w:val="bottom"/>
          </w:tcPr>
          <w:p w14:paraId="5DE5C5D2" w14:textId="77777777" w:rsidR="004966A0" w:rsidRPr="00EB2982" w:rsidRDefault="004966A0" w:rsidP="002C7C5F">
            <w:pPr>
              <w:jc w:val="right"/>
              <w:rPr>
                <w:sz w:val="20"/>
                <w:szCs w:val="20"/>
              </w:rPr>
            </w:pPr>
            <w:r w:rsidRPr="00EB2982">
              <w:rPr>
                <w:sz w:val="20"/>
                <w:szCs w:val="20"/>
              </w:rPr>
              <w:t xml:space="preserve">  67,5</w:t>
            </w:r>
          </w:p>
        </w:tc>
        <w:tc>
          <w:tcPr>
            <w:tcW w:w="1331" w:type="dxa"/>
            <w:noWrap/>
            <w:vAlign w:val="bottom"/>
          </w:tcPr>
          <w:p w14:paraId="52E2FE07" w14:textId="77777777" w:rsidR="004966A0" w:rsidRPr="00EB2982" w:rsidRDefault="004966A0" w:rsidP="002C7C5F">
            <w:pPr>
              <w:jc w:val="right"/>
              <w:rPr>
                <w:sz w:val="20"/>
                <w:szCs w:val="20"/>
              </w:rPr>
            </w:pPr>
            <w:r w:rsidRPr="00EB2982">
              <w:rPr>
                <w:sz w:val="20"/>
                <w:szCs w:val="20"/>
              </w:rPr>
              <w:t xml:space="preserve">  71,7</w:t>
            </w:r>
          </w:p>
        </w:tc>
        <w:tc>
          <w:tcPr>
            <w:tcW w:w="1276" w:type="dxa"/>
            <w:noWrap/>
            <w:vAlign w:val="bottom"/>
          </w:tcPr>
          <w:p w14:paraId="69382C3B" w14:textId="77777777" w:rsidR="004966A0" w:rsidRPr="00EB2982" w:rsidRDefault="004966A0" w:rsidP="002C7C5F">
            <w:pPr>
              <w:jc w:val="right"/>
              <w:rPr>
                <w:sz w:val="20"/>
                <w:szCs w:val="20"/>
              </w:rPr>
            </w:pPr>
            <w:r w:rsidRPr="00EB2982">
              <w:rPr>
                <w:sz w:val="20"/>
                <w:szCs w:val="20"/>
              </w:rPr>
              <w:t xml:space="preserve">  4,2</w:t>
            </w:r>
          </w:p>
        </w:tc>
        <w:tc>
          <w:tcPr>
            <w:tcW w:w="1331" w:type="dxa"/>
            <w:noWrap/>
            <w:vAlign w:val="bottom"/>
          </w:tcPr>
          <w:p w14:paraId="2B05BD89" w14:textId="77777777" w:rsidR="004966A0" w:rsidRPr="00EB2982" w:rsidRDefault="004966A0" w:rsidP="002C7C5F">
            <w:pPr>
              <w:jc w:val="right"/>
              <w:rPr>
                <w:sz w:val="20"/>
                <w:szCs w:val="20"/>
              </w:rPr>
            </w:pPr>
            <w:r w:rsidRPr="00EB2982">
              <w:rPr>
                <w:sz w:val="20"/>
                <w:szCs w:val="20"/>
              </w:rPr>
              <w:t xml:space="preserve">  0,7</w:t>
            </w:r>
          </w:p>
        </w:tc>
        <w:tc>
          <w:tcPr>
            <w:tcW w:w="1165" w:type="dxa"/>
            <w:noWrap/>
            <w:vAlign w:val="bottom"/>
          </w:tcPr>
          <w:p w14:paraId="1644EC0A" w14:textId="77777777" w:rsidR="004966A0" w:rsidRPr="00EB2982" w:rsidRDefault="004966A0" w:rsidP="002C7C5F">
            <w:pPr>
              <w:jc w:val="center"/>
              <w:rPr>
                <w:sz w:val="20"/>
                <w:szCs w:val="20"/>
              </w:rPr>
            </w:pPr>
            <w:r w:rsidRPr="00EB2982">
              <w:rPr>
                <w:sz w:val="20"/>
                <w:szCs w:val="20"/>
              </w:rPr>
              <w:t>6,22%</w:t>
            </w:r>
          </w:p>
        </w:tc>
        <w:tc>
          <w:tcPr>
            <w:tcW w:w="1080" w:type="dxa"/>
            <w:noWrap/>
            <w:vAlign w:val="bottom"/>
          </w:tcPr>
          <w:p w14:paraId="6D20091B" w14:textId="77777777" w:rsidR="004966A0" w:rsidRPr="00EB2982" w:rsidRDefault="004966A0" w:rsidP="002C7C5F">
            <w:pPr>
              <w:jc w:val="center"/>
              <w:rPr>
                <w:sz w:val="20"/>
                <w:szCs w:val="20"/>
              </w:rPr>
            </w:pPr>
            <w:r w:rsidRPr="00EB2982">
              <w:rPr>
                <w:sz w:val="20"/>
                <w:szCs w:val="20"/>
              </w:rPr>
              <w:t>0,97%</w:t>
            </w:r>
          </w:p>
        </w:tc>
      </w:tr>
      <w:tr w:rsidR="004966A0" w:rsidRPr="00EB2982" w14:paraId="239FCEC8" w14:textId="77777777" w:rsidTr="002C7C5F">
        <w:trPr>
          <w:trHeight w:val="264"/>
        </w:trPr>
        <w:tc>
          <w:tcPr>
            <w:tcW w:w="2547" w:type="dxa"/>
            <w:noWrap/>
            <w:hideMark/>
          </w:tcPr>
          <w:p w14:paraId="02C47DFF" w14:textId="77777777" w:rsidR="004966A0" w:rsidRPr="00EB2982" w:rsidRDefault="004966A0" w:rsidP="002C7C5F">
            <w:pPr>
              <w:rPr>
                <w:sz w:val="20"/>
                <w:szCs w:val="20"/>
              </w:rPr>
            </w:pPr>
            <w:r w:rsidRPr="00EB2982">
              <w:rPr>
                <w:sz w:val="20"/>
                <w:szCs w:val="20"/>
              </w:rPr>
              <w:t>Internal Audit</w:t>
            </w:r>
          </w:p>
        </w:tc>
        <w:tc>
          <w:tcPr>
            <w:tcW w:w="992" w:type="dxa"/>
            <w:noWrap/>
            <w:vAlign w:val="bottom"/>
          </w:tcPr>
          <w:p w14:paraId="47225D61" w14:textId="77777777" w:rsidR="004966A0" w:rsidRPr="00EB2982" w:rsidRDefault="004966A0" w:rsidP="002C7C5F">
            <w:pPr>
              <w:jc w:val="right"/>
              <w:rPr>
                <w:sz w:val="20"/>
                <w:szCs w:val="20"/>
              </w:rPr>
            </w:pPr>
            <w:r w:rsidRPr="00EB2982">
              <w:rPr>
                <w:sz w:val="20"/>
                <w:szCs w:val="20"/>
              </w:rPr>
              <w:t xml:space="preserve">  15,3</w:t>
            </w:r>
          </w:p>
        </w:tc>
        <w:tc>
          <w:tcPr>
            <w:tcW w:w="1331" w:type="dxa"/>
            <w:noWrap/>
            <w:vAlign w:val="bottom"/>
          </w:tcPr>
          <w:p w14:paraId="0C652AFE" w14:textId="77777777" w:rsidR="004966A0" w:rsidRPr="00EB2982" w:rsidRDefault="004966A0" w:rsidP="002C7C5F">
            <w:pPr>
              <w:jc w:val="right"/>
              <w:rPr>
                <w:sz w:val="20"/>
                <w:szCs w:val="20"/>
              </w:rPr>
            </w:pPr>
            <w:r w:rsidRPr="00EB2982">
              <w:rPr>
                <w:sz w:val="20"/>
                <w:szCs w:val="20"/>
              </w:rPr>
              <w:t xml:space="preserve">  16,0</w:t>
            </w:r>
          </w:p>
        </w:tc>
        <w:tc>
          <w:tcPr>
            <w:tcW w:w="1276" w:type="dxa"/>
            <w:noWrap/>
            <w:vAlign w:val="bottom"/>
          </w:tcPr>
          <w:p w14:paraId="202F07D9" w14:textId="77777777" w:rsidR="004966A0" w:rsidRPr="00EB2982" w:rsidRDefault="004966A0" w:rsidP="002C7C5F">
            <w:pPr>
              <w:jc w:val="right"/>
              <w:rPr>
                <w:sz w:val="20"/>
                <w:szCs w:val="20"/>
              </w:rPr>
            </w:pPr>
            <w:r w:rsidRPr="00EB2982">
              <w:rPr>
                <w:sz w:val="20"/>
                <w:szCs w:val="20"/>
              </w:rPr>
              <w:t xml:space="preserve">  0,7</w:t>
            </w:r>
          </w:p>
        </w:tc>
        <w:tc>
          <w:tcPr>
            <w:tcW w:w="1331" w:type="dxa"/>
            <w:noWrap/>
            <w:vAlign w:val="bottom"/>
          </w:tcPr>
          <w:p w14:paraId="474CE4CD" w14:textId="77777777" w:rsidR="004966A0" w:rsidRPr="00EB2982" w:rsidRDefault="004966A0" w:rsidP="002C7C5F">
            <w:pPr>
              <w:jc w:val="right"/>
              <w:rPr>
                <w:sz w:val="20"/>
                <w:szCs w:val="20"/>
              </w:rPr>
            </w:pPr>
            <w:r w:rsidRPr="00EB2982">
              <w:rPr>
                <w:sz w:val="20"/>
                <w:szCs w:val="20"/>
              </w:rPr>
              <w:t>-  0,1</w:t>
            </w:r>
          </w:p>
        </w:tc>
        <w:tc>
          <w:tcPr>
            <w:tcW w:w="1165" w:type="dxa"/>
            <w:noWrap/>
            <w:vAlign w:val="bottom"/>
          </w:tcPr>
          <w:p w14:paraId="6BF2658F" w14:textId="77777777" w:rsidR="004966A0" w:rsidRPr="00EB2982" w:rsidRDefault="004966A0" w:rsidP="002C7C5F">
            <w:pPr>
              <w:jc w:val="center"/>
              <w:rPr>
                <w:sz w:val="20"/>
                <w:szCs w:val="20"/>
              </w:rPr>
            </w:pPr>
            <w:r w:rsidRPr="00EB2982">
              <w:rPr>
                <w:sz w:val="20"/>
                <w:szCs w:val="20"/>
              </w:rPr>
              <w:t>4,58%</w:t>
            </w:r>
          </w:p>
        </w:tc>
        <w:tc>
          <w:tcPr>
            <w:tcW w:w="1080" w:type="dxa"/>
            <w:noWrap/>
            <w:vAlign w:val="bottom"/>
          </w:tcPr>
          <w:p w14:paraId="4D2F1E07" w14:textId="77777777" w:rsidR="004966A0" w:rsidRPr="00EB2982" w:rsidRDefault="004966A0" w:rsidP="002C7C5F">
            <w:pPr>
              <w:jc w:val="center"/>
              <w:rPr>
                <w:sz w:val="20"/>
                <w:szCs w:val="20"/>
              </w:rPr>
            </w:pPr>
            <w:r w:rsidRPr="00EB2982">
              <w:rPr>
                <w:sz w:val="20"/>
                <w:szCs w:val="20"/>
              </w:rPr>
              <w:t>-0,59%</w:t>
            </w:r>
          </w:p>
        </w:tc>
      </w:tr>
      <w:tr w:rsidR="004966A0" w:rsidRPr="00EB2982" w14:paraId="21ABB797" w14:textId="77777777" w:rsidTr="002C7C5F">
        <w:trPr>
          <w:trHeight w:val="264"/>
        </w:trPr>
        <w:tc>
          <w:tcPr>
            <w:tcW w:w="2547" w:type="dxa"/>
            <w:noWrap/>
            <w:hideMark/>
          </w:tcPr>
          <w:p w14:paraId="44CC9923" w14:textId="77777777" w:rsidR="004966A0" w:rsidRPr="00EB2982" w:rsidRDefault="004966A0" w:rsidP="002C7C5F">
            <w:pPr>
              <w:rPr>
                <w:sz w:val="20"/>
                <w:szCs w:val="20"/>
              </w:rPr>
            </w:pPr>
            <w:r w:rsidRPr="00EB2982">
              <w:rPr>
                <w:sz w:val="20"/>
                <w:szCs w:val="20"/>
              </w:rPr>
              <w:t>Office Accommodation</w:t>
            </w:r>
          </w:p>
        </w:tc>
        <w:tc>
          <w:tcPr>
            <w:tcW w:w="992" w:type="dxa"/>
            <w:noWrap/>
            <w:vAlign w:val="bottom"/>
          </w:tcPr>
          <w:p w14:paraId="781B9C51" w14:textId="77777777" w:rsidR="004966A0" w:rsidRPr="00EB2982" w:rsidRDefault="004966A0" w:rsidP="002C7C5F">
            <w:pPr>
              <w:jc w:val="right"/>
              <w:rPr>
                <w:sz w:val="20"/>
                <w:szCs w:val="20"/>
              </w:rPr>
            </w:pPr>
            <w:r w:rsidRPr="00EB2982">
              <w:rPr>
                <w:sz w:val="20"/>
                <w:szCs w:val="20"/>
              </w:rPr>
              <w:t xml:space="preserve">  40,2</w:t>
            </w:r>
          </w:p>
        </w:tc>
        <w:tc>
          <w:tcPr>
            <w:tcW w:w="1331" w:type="dxa"/>
            <w:noWrap/>
            <w:vAlign w:val="bottom"/>
          </w:tcPr>
          <w:p w14:paraId="5648D000" w14:textId="77777777" w:rsidR="004966A0" w:rsidRPr="00EB2982" w:rsidRDefault="004966A0" w:rsidP="002C7C5F">
            <w:pPr>
              <w:jc w:val="right"/>
              <w:rPr>
                <w:sz w:val="20"/>
                <w:szCs w:val="20"/>
              </w:rPr>
            </w:pPr>
            <w:r w:rsidRPr="00EB2982">
              <w:rPr>
                <w:sz w:val="20"/>
                <w:szCs w:val="20"/>
              </w:rPr>
              <w:t xml:space="preserve">  42,3</w:t>
            </w:r>
          </w:p>
        </w:tc>
        <w:tc>
          <w:tcPr>
            <w:tcW w:w="1276" w:type="dxa"/>
            <w:noWrap/>
            <w:vAlign w:val="bottom"/>
          </w:tcPr>
          <w:p w14:paraId="42608483" w14:textId="77777777" w:rsidR="004966A0" w:rsidRPr="00EB2982" w:rsidRDefault="004966A0" w:rsidP="002C7C5F">
            <w:pPr>
              <w:jc w:val="right"/>
              <w:rPr>
                <w:sz w:val="20"/>
                <w:szCs w:val="20"/>
              </w:rPr>
            </w:pPr>
            <w:r w:rsidRPr="00EB2982">
              <w:rPr>
                <w:sz w:val="20"/>
                <w:szCs w:val="20"/>
              </w:rPr>
              <w:t xml:space="preserve">  2,1</w:t>
            </w:r>
          </w:p>
        </w:tc>
        <w:tc>
          <w:tcPr>
            <w:tcW w:w="1331" w:type="dxa"/>
            <w:noWrap/>
            <w:vAlign w:val="bottom"/>
          </w:tcPr>
          <w:p w14:paraId="0BC880BE" w14:textId="77777777" w:rsidR="004966A0" w:rsidRPr="00EB2982" w:rsidRDefault="004966A0" w:rsidP="002C7C5F">
            <w:pPr>
              <w:jc w:val="right"/>
              <w:rPr>
                <w:sz w:val="20"/>
                <w:szCs w:val="20"/>
              </w:rPr>
            </w:pPr>
            <w:r w:rsidRPr="00EB2982">
              <w:rPr>
                <w:sz w:val="20"/>
                <w:szCs w:val="20"/>
              </w:rPr>
              <w:t xml:space="preserve">  0,0</w:t>
            </w:r>
          </w:p>
        </w:tc>
        <w:tc>
          <w:tcPr>
            <w:tcW w:w="1165" w:type="dxa"/>
            <w:noWrap/>
            <w:vAlign w:val="bottom"/>
          </w:tcPr>
          <w:p w14:paraId="25FFA2C3" w14:textId="77777777" w:rsidR="004966A0" w:rsidRPr="00EB2982" w:rsidRDefault="004966A0" w:rsidP="002C7C5F">
            <w:pPr>
              <w:jc w:val="center"/>
              <w:rPr>
                <w:sz w:val="20"/>
                <w:szCs w:val="20"/>
              </w:rPr>
            </w:pPr>
            <w:r w:rsidRPr="00EB2982">
              <w:rPr>
                <w:sz w:val="20"/>
                <w:szCs w:val="20"/>
              </w:rPr>
              <w:t>5,22%</w:t>
            </w:r>
          </w:p>
        </w:tc>
        <w:tc>
          <w:tcPr>
            <w:tcW w:w="1080" w:type="dxa"/>
            <w:noWrap/>
            <w:vAlign w:val="bottom"/>
          </w:tcPr>
          <w:p w14:paraId="5B13CCFC" w14:textId="77777777" w:rsidR="004966A0" w:rsidRPr="00EB2982" w:rsidRDefault="004966A0" w:rsidP="002C7C5F">
            <w:pPr>
              <w:jc w:val="center"/>
              <w:rPr>
                <w:sz w:val="20"/>
                <w:szCs w:val="20"/>
              </w:rPr>
            </w:pPr>
            <w:r w:rsidRPr="00EB2982">
              <w:rPr>
                <w:sz w:val="20"/>
                <w:szCs w:val="20"/>
              </w:rPr>
              <w:t>0,02%</w:t>
            </w:r>
          </w:p>
        </w:tc>
      </w:tr>
      <w:tr w:rsidR="004966A0" w:rsidRPr="00EB2982" w14:paraId="272B66ED" w14:textId="77777777" w:rsidTr="002C7C5F">
        <w:trPr>
          <w:trHeight w:val="264"/>
        </w:trPr>
        <w:tc>
          <w:tcPr>
            <w:tcW w:w="2547" w:type="dxa"/>
            <w:noWrap/>
            <w:hideMark/>
          </w:tcPr>
          <w:p w14:paraId="53AEDFBD" w14:textId="77777777" w:rsidR="004966A0" w:rsidRPr="00EB2982" w:rsidRDefault="004966A0" w:rsidP="002C7C5F">
            <w:pPr>
              <w:rPr>
                <w:b/>
                <w:sz w:val="20"/>
                <w:szCs w:val="20"/>
              </w:rPr>
            </w:pPr>
            <w:r w:rsidRPr="00EB2982">
              <w:rPr>
                <w:b/>
                <w:sz w:val="20"/>
                <w:szCs w:val="20"/>
              </w:rPr>
              <w:t>TOTAL</w:t>
            </w:r>
          </w:p>
        </w:tc>
        <w:tc>
          <w:tcPr>
            <w:tcW w:w="992" w:type="dxa"/>
            <w:noWrap/>
            <w:vAlign w:val="bottom"/>
          </w:tcPr>
          <w:p w14:paraId="76CA453A" w14:textId="77777777" w:rsidR="004966A0" w:rsidRPr="00EB2982" w:rsidRDefault="004966A0" w:rsidP="002C7C5F">
            <w:pPr>
              <w:jc w:val="right"/>
              <w:rPr>
                <w:b/>
                <w:sz w:val="20"/>
                <w:szCs w:val="20"/>
              </w:rPr>
            </w:pPr>
            <w:r w:rsidRPr="00EB2982">
              <w:rPr>
                <w:sz w:val="20"/>
                <w:szCs w:val="20"/>
              </w:rPr>
              <w:t xml:space="preserve">  391,8</w:t>
            </w:r>
          </w:p>
        </w:tc>
        <w:tc>
          <w:tcPr>
            <w:tcW w:w="1331" w:type="dxa"/>
            <w:noWrap/>
            <w:vAlign w:val="bottom"/>
          </w:tcPr>
          <w:p w14:paraId="48CEADAB" w14:textId="77777777" w:rsidR="004966A0" w:rsidRPr="00EB2982" w:rsidRDefault="004966A0" w:rsidP="002C7C5F">
            <w:pPr>
              <w:jc w:val="right"/>
              <w:rPr>
                <w:b/>
                <w:sz w:val="20"/>
                <w:szCs w:val="20"/>
              </w:rPr>
            </w:pPr>
            <w:r w:rsidRPr="00EB2982">
              <w:rPr>
                <w:sz w:val="20"/>
                <w:szCs w:val="20"/>
              </w:rPr>
              <w:t xml:space="preserve">  408,3</w:t>
            </w:r>
          </w:p>
        </w:tc>
        <w:tc>
          <w:tcPr>
            <w:tcW w:w="1276" w:type="dxa"/>
            <w:noWrap/>
            <w:vAlign w:val="bottom"/>
          </w:tcPr>
          <w:p w14:paraId="3BE94CAB" w14:textId="77777777" w:rsidR="004966A0" w:rsidRPr="00EB2982" w:rsidRDefault="004966A0" w:rsidP="002C7C5F">
            <w:pPr>
              <w:jc w:val="right"/>
              <w:rPr>
                <w:b/>
                <w:sz w:val="20"/>
                <w:szCs w:val="20"/>
              </w:rPr>
            </w:pPr>
            <w:r w:rsidRPr="00EB2982">
              <w:rPr>
                <w:sz w:val="20"/>
                <w:szCs w:val="20"/>
              </w:rPr>
              <w:t xml:space="preserve">  16,5</w:t>
            </w:r>
          </w:p>
        </w:tc>
        <w:tc>
          <w:tcPr>
            <w:tcW w:w="1331" w:type="dxa"/>
            <w:noWrap/>
            <w:vAlign w:val="bottom"/>
          </w:tcPr>
          <w:p w14:paraId="002F03E8" w14:textId="77777777" w:rsidR="004966A0" w:rsidRPr="00EB2982" w:rsidRDefault="004966A0" w:rsidP="002C7C5F">
            <w:pPr>
              <w:jc w:val="right"/>
              <w:rPr>
                <w:b/>
                <w:sz w:val="20"/>
                <w:szCs w:val="20"/>
              </w:rPr>
            </w:pPr>
            <w:r w:rsidRPr="00EB2982">
              <w:rPr>
                <w:sz w:val="20"/>
                <w:szCs w:val="20"/>
              </w:rPr>
              <w:t>-  3,7</w:t>
            </w:r>
          </w:p>
        </w:tc>
        <w:tc>
          <w:tcPr>
            <w:tcW w:w="1165" w:type="dxa"/>
            <w:noWrap/>
            <w:vAlign w:val="bottom"/>
          </w:tcPr>
          <w:p w14:paraId="26B58F35" w14:textId="77777777" w:rsidR="004966A0" w:rsidRPr="00EB2982" w:rsidRDefault="004966A0" w:rsidP="002C7C5F">
            <w:pPr>
              <w:jc w:val="center"/>
              <w:rPr>
                <w:b/>
                <w:sz w:val="20"/>
                <w:szCs w:val="20"/>
              </w:rPr>
            </w:pPr>
            <w:r w:rsidRPr="00EB2982">
              <w:rPr>
                <w:sz w:val="20"/>
                <w:szCs w:val="20"/>
              </w:rPr>
              <w:t>4,2%</w:t>
            </w:r>
          </w:p>
        </w:tc>
        <w:tc>
          <w:tcPr>
            <w:tcW w:w="1080" w:type="dxa"/>
            <w:noWrap/>
            <w:vAlign w:val="bottom"/>
          </w:tcPr>
          <w:p w14:paraId="1E43B960" w14:textId="77777777" w:rsidR="004966A0" w:rsidRPr="00EB2982" w:rsidRDefault="004966A0" w:rsidP="002C7C5F">
            <w:pPr>
              <w:jc w:val="center"/>
              <w:rPr>
                <w:b/>
                <w:sz w:val="20"/>
                <w:szCs w:val="20"/>
              </w:rPr>
            </w:pPr>
            <w:r w:rsidRPr="00EB2982">
              <w:rPr>
                <w:sz w:val="20"/>
                <w:szCs w:val="20"/>
              </w:rPr>
              <w:t>-0,94%</w:t>
            </w:r>
          </w:p>
        </w:tc>
      </w:tr>
    </w:tbl>
    <w:p w14:paraId="47185DC6" w14:textId="77777777" w:rsidR="004966A0" w:rsidRPr="00EB2982" w:rsidRDefault="004966A0" w:rsidP="004966A0">
      <w:pPr>
        <w:pStyle w:val="Caption"/>
        <w:spacing w:line="280" w:lineRule="exact"/>
        <w:rPr>
          <w:rFonts w:ascii="Times New Roman" w:hAnsi="Times New Roman" w:cs="Times New Roman"/>
          <w:i w:val="0"/>
          <w:iCs w:val="0"/>
          <w:color w:val="000000" w:themeColor="text1"/>
          <w:sz w:val="16"/>
          <w:szCs w:val="16"/>
        </w:rPr>
      </w:pPr>
      <w:r w:rsidRPr="00EB2982">
        <w:rPr>
          <w:rFonts w:ascii="Times New Roman" w:hAnsi="Times New Roman" w:cs="Times New Roman"/>
          <w:color w:val="000000" w:themeColor="text1"/>
          <w:sz w:val="16"/>
          <w:szCs w:val="16"/>
        </w:rPr>
        <w:t>Source: National Treasury (2019)</w:t>
      </w:r>
    </w:p>
    <w:p w14:paraId="0CD2604E" w14:textId="77777777" w:rsidR="004966A0" w:rsidRPr="00EB2982" w:rsidRDefault="004966A0" w:rsidP="004966A0">
      <w:pPr>
        <w:autoSpaceDE w:val="0"/>
        <w:autoSpaceDN w:val="0"/>
        <w:adjustRightInd w:val="0"/>
        <w:jc w:val="both"/>
      </w:pPr>
      <w:r w:rsidRPr="00EB2982">
        <w:t>The Administration programme voted allocation for 2019/20 totals R408.3 million, as compared to R391.8 million in the previous year.  This reflects a 4.2 per cent nominal increase, but when taking into account the inflationary effect the programme budget in fact declines with -0.94 per cent.  The Ministry sub-programme declines both in nominal and real terms from the previous year.</w:t>
      </w:r>
    </w:p>
    <w:p w14:paraId="7DC54EF9" w14:textId="77777777" w:rsidR="004966A0" w:rsidRPr="00EB2982" w:rsidRDefault="004966A0" w:rsidP="004966A0">
      <w:pPr>
        <w:autoSpaceDE w:val="0"/>
        <w:autoSpaceDN w:val="0"/>
        <w:adjustRightInd w:val="0"/>
        <w:jc w:val="both"/>
      </w:pPr>
    </w:p>
    <w:p w14:paraId="1573A0F8" w14:textId="77777777" w:rsidR="004966A0" w:rsidRPr="00EB2982" w:rsidRDefault="004966A0" w:rsidP="004966A0">
      <w:pPr>
        <w:autoSpaceDE w:val="0"/>
        <w:autoSpaceDN w:val="0"/>
        <w:adjustRightInd w:val="0"/>
        <w:jc w:val="both"/>
      </w:pPr>
      <w:r w:rsidRPr="00EB2982">
        <w:t xml:space="preserve">The </w:t>
      </w:r>
      <w:r w:rsidRPr="00EB2982">
        <w:rPr>
          <w:i/>
        </w:rPr>
        <w:t>compensation of employees’</w:t>
      </w:r>
      <w:r w:rsidRPr="00EB2982">
        <w:t xml:space="preserve"> allocation increases from R197.8 million to R212.8 million – staying above inflation, i.e. 2.3 per cent real increase. However, </w:t>
      </w:r>
      <w:r w:rsidRPr="00EB2982">
        <w:rPr>
          <w:i/>
        </w:rPr>
        <w:t>travel and subsistence</w:t>
      </w:r>
      <w:r w:rsidRPr="00EB2982">
        <w:t xml:space="preserve"> (S&amp;T) declines in real terms with 7.6 per cent from the previous financial year (from R25.4 million previously to R24.7 million in 2019/20.) Programme 1 also reduced its allocation to </w:t>
      </w:r>
      <w:r w:rsidRPr="00EB2982">
        <w:rPr>
          <w:i/>
        </w:rPr>
        <w:t>machinery and equipment</w:t>
      </w:r>
      <w:r w:rsidRPr="00EB2982">
        <w:t xml:space="preserve"> from R5.2 million to R2.3 million – resulting in a 58 per cent real decrease from 2018/19.</w:t>
      </w:r>
    </w:p>
    <w:p w14:paraId="0FF2FCF9" w14:textId="77777777" w:rsidR="004966A0" w:rsidRPr="00EB2982" w:rsidRDefault="004966A0" w:rsidP="00F96CBE">
      <w:pPr>
        <w:autoSpaceDE w:val="0"/>
        <w:autoSpaceDN w:val="0"/>
        <w:adjustRightInd w:val="0"/>
        <w:spacing w:line="280" w:lineRule="exact"/>
        <w:jc w:val="both"/>
      </w:pPr>
    </w:p>
    <w:bookmarkEnd w:id="4"/>
    <w:bookmarkEnd w:id="5"/>
    <w:p w14:paraId="77DF9CBE" w14:textId="77777777" w:rsidR="009D6B16" w:rsidRPr="00EB2982" w:rsidRDefault="007E079A" w:rsidP="005E2F3A">
      <w:pPr>
        <w:autoSpaceDE w:val="0"/>
        <w:autoSpaceDN w:val="0"/>
        <w:adjustRightInd w:val="0"/>
        <w:spacing w:line="280" w:lineRule="exact"/>
        <w:jc w:val="both"/>
      </w:pPr>
      <w:r w:rsidRPr="00EB2982">
        <w:t xml:space="preserve">The total allocation for this Programme for 2018/19 </w:t>
      </w:r>
      <w:r w:rsidR="001A7360" w:rsidRPr="00EB2982">
        <w:t>wa</w:t>
      </w:r>
      <w:r w:rsidRPr="00EB2982">
        <w:t>s R383.2 million, which increased from R350.7 million in the previous year.  This indicates a nominal increase of 9.25 per cent. The increase in the budget allocation for</w:t>
      </w:r>
      <w:r w:rsidR="00E67FA0" w:rsidRPr="00EB2982">
        <w:t xml:space="preserve"> this Programme was </w:t>
      </w:r>
      <w:r w:rsidRPr="00EB2982">
        <w:t>due to the additional funding received for ICT infrastructure</w:t>
      </w:r>
      <w:r w:rsidR="009F0C88" w:rsidRPr="00EB2982">
        <w:t xml:space="preserve">. </w:t>
      </w:r>
      <w:r w:rsidR="000D6348" w:rsidRPr="00EB2982">
        <w:t xml:space="preserve">The department signed a </w:t>
      </w:r>
      <w:r w:rsidR="00BB0F02" w:rsidRPr="00EB2982">
        <w:t>5-year</w:t>
      </w:r>
      <w:r w:rsidR="000D6348" w:rsidRPr="00EB2982">
        <w:t xml:space="preserve"> contract with SITA to provide the department with a fully managed IT Turnkey Solution. An amount of R9 million was </w:t>
      </w:r>
      <w:r w:rsidR="00BB0F02" w:rsidRPr="00EB2982">
        <w:t xml:space="preserve">reprioritised from Line Functions to fund this project.  </w:t>
      </w:r>
    </w:p>
    <w:p w14:paraId="588D1F61" w14:textId="77777777" w:rsidR="009D6B16" w:rsidRPr="00EB2982" w:rsidRDefault="009D6B16" w:rsidP="008E441E">
      <w:pPr>
        <w:autoSpaceDE w:val="0"/>
        <w:autoSpaceDN w:val="0"/>
        <w:adjustRightInd w:val="0"/>
        <w:spacing w:line="280" w:lineRule="exact"/>
        <w:jc w:val="both"/>
      </w:pPr>
    </w:p>
    <w:p w14:paraId="38F9BDE8" w14:textId="77777777" w:rsidR="008C090A" w:rsidRPr="00EB2982" w:rsidRDefault="00A44469" w:rsidP="00F96CBE">
      <w:pPr>
        <w:autoSpaceDE w:val="0"/>
        <w:autoSpaceDN w:val="0"/>
        <w:adjustRightInd w:val="0"/>
        <w:spacing w:line="280" w:lineRule="exact"/>
        <w:jc w:val="both"/>
      </w:pPr>
      <w:r w:rsidRPr="00EB2982">
        <w:t>Notwithstanding the above</w:t>
      </w:r>
      <w:r w:rsidR="00E67FA0" w:rsidRPr="00EB2982">
        <w:t xml:space="preserve">, the normal trend of the budget allocation under this Programme is that </w:t>
      </w:r>
      <w:r w:rsidR="00E67FA0" w:rsidRPr="00EB2982">
        <w:rPr>
          <w:i/>
        </w:rPr>
        <w:t>Corporate Management</w:t>
      </w:r>
      <w:r w:rsidR="00E67FA0" w:rsidRPr="00EB2982">
        <w:t xml:space="preserve"> sub-programme has over the years received the bulk budget allocation as it provides administrative support to line functions within the department. </w:t>
      </w:r>
    </w:p>
    <w:p w14:paraId="5FF735CF" w14:textId="77777777" w:rsidR="007E079A" w:rsidRPr="00EB2982" w:rsidRDefault="007E079A" w:rsidP="00F96CBE">
      <w:pPr>
        <w:autoSpaceDE w:val="0"/>
        <w:autoSpaceDN w:val="0"/>
        <w:adjustRightInd w:val="0"/>
        <w:spacing w:line="280" w:lineRule="exact"/>
        <w:jc w:val="both"/>
      </w:pPr>
      <w:r w:rsidRPr="00EB2982">
        <w:t xml:space="preserve">  </w:t>
      </w:r>
    </w:p>
    <w:p w14:paraId="29D83FCF" w14:textId="77777777" w:rsidR="001E0691" w:rsidRPr="00EB2982" w:rsidRDefault="000826C3" w:rsidP="00F96CBE">
      <w:pPr>
        <w:tabs>
          <w:tab w:val="left" w:pos="360"/>
        </w:tabs>
        <w:spacing w:line="280" w:lineRule="exact"/>
        <w:jc w:val="both"/>
        <w:rPr>
          <w:b/>
          <w:color w:val="000000"/>
        </w:rPr>
      </w:pPr>
      <w:r w:rsidRPr="00EB2982">
        <w:rPr>
          <w:b/>
          <w:color w:val="000000"/>
        </w:rPr>
        <w:t>4</w:t>
      </w:r>
      <w:r w:rsidR="001E0691" w:rsidRPr="00EB2982">
        <w:rPr>
          <w:b/>
          <w:color w:val="000000"/>
        </w:rPr>
        <w:t>.2</w:t>
      </w:r>
      <w:r w:rsidR="001E0691" w:rsidRPr="00EB2982">
        <w:rPr>
          <w:b/>
          <w:color w:val="000000"/>
        </w:rPr>
        <w:tab/>
      </w:r>
      <w:r w:rsidR="001E0691" w:rsidRPr="00EB2982">
        <w:rPr>
          <w:b/>
          <w:color w:val="000000"/>
        </w:rPr>
        <w:tab/>
        <w:t>Programme 2: Social Assistance</w:t>
      </w:r>
    </w:p>
    <w:p w14:paraId="6814BA78" w14:textId="77777777" w:rsidR="007E079A" w:rsidRPr="00EB2982" w:rsidRDefault="007E079A" w:rsidP="00F96CBE">
      <w:pPr>
        <w:tabs>
          <w:tab w:val="left" w:pos="360"/>
        </w:tabs>
        <w:spacing w:line="280" w:lineRule="exact"/>
        <w:jc w:val="both"/>
        <w:rPr>
          <w:bCs/>
          <w:lang w:val="en-ZA" w:eastAsia="en-ZA"/>
        </w:rPr>
      </w:pPr>
    </w:p>
    <w:p w14:paraId="7E42785D" w14:textId="77777777" w:rsidR="00021009" w:rsidRPr="00EB2982" w:rsidRDefault="001E0691" w:rsidP="00F96CBE">
      <w:pPr>
        <w:tabs>
          <w:tab w:val="left" w:pos="360"/>
        </w:tabs>
        <w:spacing w:line="280" w:lineRule="exact"/>
        <w:jc w:val="both"/>
        <w:rPr>
          <w:lang w:val="en-ZA" w:eastAsia="en-ZA"/>
        </w:rPr>
      </w:pPr>
      <w:r w:rsidRPr="00EB2982">
        <w:rPr>
          <w:bCs/>
          <w:lang w:val="en-ZA" w:eastAsia="en-ZA"/>
        </w:rPr>
        <w:t>The purpose of this programme is to p</w:t>
      </w:r>
      <w:r w:rsidRPr="00EB2982">
        <w:rPr>
          <w:lang w:val="en-ZA" w:eastAsia="en-ZA"/>
        </w:rPr>
        <w:t>rovide social assistance to eligible beneficiaries in terms of the Social Assistance Act (no. 13 of 2004) and its regulations.</w:t>
      </w:r>
      <w:r w:rsidR="00021009" w:rsidRPr="00EB2982">
        <w:rPr>
          <w:b/>
          <w:lang w:val="en-ZA" w:eastAsia="en-ZA"/>
        </w:rPr>
        <w:t xml:space="preserve"> </w:t>
      </w:r>
    </w:p>
    <w:p w14:paraId="571081C4" w14:textId="77777777" w:rsidR="005D623F" w:rsidRPr="00EB2982" w:rsidRDefault="005D623F" w:rsidP="00F96CBE">
      <w:pPr>
        <w:tabs>
          <w:tab w:val="left" w:pos="360"/>
        </w:tabs>
        <w:spacing w:line="280" w:lineRule="exact"/>
        <w:jc w:val="both"/>
        <w:rPr>
          <w:lang w:val="en-ZA" w:eastAsia="en-ZA"/>
        </w:rPr>
      </w:pPr>
    </w:p>
    <w:p w14:paraId="2F4F3151" w14:textId="77777777" w:rsidR="00894761" w:rsidRPr="00EB2982" w:rsidRDefault="003D4E05" w:rsidP="00F96CBE">
      <w:pPr>
        <w:spacing w:line="280" w:lineRule="exact"/>
        <w:jc w:val="both"/>
      </w:pPr>
      <w:r w:rsidRPr="00EB2982">
        <w:t xml:space="preserve">This programmes deals mostly with the distribution of social grants. Social grant expenditure is an investment in human capital, justifying the future comprehensive growth. </w:t>
      </w:r>
    </w:p>
    <w:p w14:paraId="0C23C699" w14:textId="77777777" w:rsidR="00894761" w:rsidRPr="00EB2982" w:rsidRDefault="00894761" w:rsidP="00F96CBE">
      <w:pPr>
        <w:spacing w:line="280" w:lineRule="exact"/>
        <w:jc w:val="both"/>
      </w:pPr>
    </w:p>
    <w:p w14:paraId="53868AB6" w14:textId="77777777" w:rsidR="0020738C" w:rsidRPr="00EB2982" w:rsidRDefault="002F58DD" w:rsidP="001342C6">
      <w:pPr>
        <w:tabs>
          <w:tab w:val="left" w:pos="360"/>
        </w:tabs>
        <w:spacing w:line="280" w:lineRule="exact"/>
        <w:jc w:val="both"/>
        <w:rPr>
          <w:b/>
          <w:bCs/>
          <w:color w:val="000000"/>
        </w:rPr>
      </w:pPr>
      <w:r w:rsidRPr="00EB2982">
        <w:rPr>
          <w:b/>
          <w:bCs/>
          <w:color w:val="000000"/>
        </w:rPr>
        <w:t>E</w:t>
      </w:r>
      <w:r w:rsidR="0020738C" w:rsidRPr="00EB2982">
        <w:rPr>
          <w:b/>
          <w:bCs/>
          <w:color w:val="000000"/>
        </w:rPr>
        <w:t>xpenditure trends</w:t>
      </w:r>
    </w:p>
    <w:p w14:paraId="6B844B9F" w14:textId="77777777" w:rsidR="002D5273" w:rsidRPr="00EB2982" w:rsidRDefault="002D5273" w:rsidP="001342C6">
      <w:pPr>
        <w:autoSpaceDE w:val="0"/>
        <w:autoSpaceDN w:val="0"/>
        <w:adjustRightInd w:val="0"/>
        <w:jc w:val="both"/>
        <w:rPr>
          <w:lang w:val="en-US"/>
        </w:rPr>
      </w:pPr>
    </w:p>
    <w:p w14:paraId="4D55F4FE" w14:textId="77777777" w:rsidR="002D5273" w:rsidRPr="00EB2982" w:rsidRDefault="002D5273" w:rsidP="001342C6">
      <w:pPr>
        <w:autoSpaceDE w:val="0"/>
        <w:autoSpaceDN w:val="0"/>
        <w:adjustRightInd w:val="0"/>
        <w:jc w:val="both"/>
        <w:rPr>
          <w:lang w:val="en-US"/>
        </w:rPr>
      </w:pPr>
      <w:r w:rsidRPr="00EB2982">
        <w:rPr>
          <w:lang w:val="en-US"/>
        </w:rPr>
        <w:lastRenderedPageBreak/>
        <w:t>The following table depicts the budget for all grant types, including social relief of distress.</w:t>
      </w:r>
    </w:p>
    <w:p w14:paraId="75A49334" w14:textId="77777777" w:rsidR="002D5273" w:rsidRPr="00EB2982" w:rsidRDefault="002D5273" w:rsidP="001342C6">
      <w:pPr>
        <w:autoSpaceDE w:val="0"/>
        <w:autoSpaceDN w:val="0"/>
        <w:adjustRightInd w:val="0"/>
        <w:jc w:val="both"/>
        <w:rPr>
          <w:lang w:val="en-US"/>
        </w:rPr>
      </w:pPr>
    </w:p>
    <w:p w14:paraId="45B0376A" w14:textId="77777777" w:rsidR="002D5273" w:rsidRPr="00EB2982" w:rsidRDefault="002D5273" w:rsidP="001342C6">
      <w:pPr>
        <w:pStyle w:val="Caption"/>
        <w:spacing w:line="280" w:lineRule="exact"/>
        <w:rPr>
          <w:rFonts w:ascii="Times New Roman" w:hAnsi="Times New Roman" w:cs="Times New Roman"/>
          <w:iCs w:val="0"/>
          <w:color w:val="000000" w:themeColor="text1"/>
          <w:sz w:val="24"/>
          <w:szCs w:val="24"/>
          <w:lang w:val="en-GB"/>
        </w:rPr>
      </w:pPr>
      <w:r w:rsidRPr="00EB2982">
        <w:rPr>
          <w:rFonts w:ascii="Times New Roman" w:hAnsi="Times New Roman" w:cs="Times New Roman"/>
          <w:iCs w:val="0"/>
          <w:color w:val="000000" w:themeColor="text1"/>
          <w:sz w:val="24"/>
          <w:szCs w:val="24"/>
          <w:lang w:val="en-GB"/>
        </w:rPr>
        <w:t xml:space="preserve">Table 3: Social Assistance Programme </w:t>
      </w:r>
    </w:p>
    <w:tbl>
      <w:tblPr>
        <w:tblStyle w:val="TableGrid"/>
        <w:tblW w:w="9634" w:type="dxa"/>
        <w:tblLayout w:type="fixed"/>
        <w:tblLook w:val="04A0" w:firstRow="1" w:lastRow="0" w:firstColumn="1" w:lastColumn="0" w:noHBand="0" w:noVBand="1"/>
      </w:tblPr>
      <w:tblGrid>
        <w:gridCol w:w="2405"/>
        <w:gridCol w:w="1276"/>
        <w:gridCol w:w="1276"/>
        <w:gridCol w:w="1275"/>
        <w:gridCol w:w="1276"/>
        <w:gridCol w:w="1134"/>
        <w:gridCol w:w="992"/>
      </w:tblGrid>
      <w:tr w:rsidR="001342C6" w:rsidRPr="00EB2982" w14:paraId="7E5CE934" w14:textId="77777777" w:rsidTr="002C7C5F">
        <w:trPr>
          <w:trHeight w:val="765"/>
        </w:trPr>
        <w:tc>
          <w:tcPr>
            <w:tcW w:w="2405" w:type="dxa"/>
            <w:vMerge w:val="restart"/>
            <w:shd w:val="clear" w:color="auto" w:fill="FDE9D9" w:themeFill="accent6" w:themeFillTint="33"/>
            <w:noWrap/>
            <w:hideMark/>
          </w:tcPr>
          <w:p w14:paraId="144AAB5C" w14:textId="77777777" w:rsidR="002D5273" w:rsidRPr="00EB2982" w:rsidRDefault="002D5273" w:rsidP="001342C6">
            <w:pPr>
              <w:autoSpaceDE w:val="0"/>
              <w:autoSpaceDN w:val="0"/>
              <w:adjustRightInd w:val="0"/>
              <w:jc w:val="both"/>
              <w:rPr>
                <w:b/>
                <w:bCs/>
              </w:rPr>
            </w:pPr>
            <w:r w:rsidRPr="00EB2982">
              <w:rPr>
                <w:b/>
                <w:bCs/>
              </w:rPr>
              <w:t>Programme</w:t>
            </w:r>
          </w:p>
          <w:p w14:paraId="0F9CB7B3" w14:textId="77777777" w:rsidR="002D5273" w:rsidRPr="00EB2982" w:rsidRDefault="002D5273" w:rsidP="001342C6">
            <w:pPr>
              <w:autoSpaceDE w:val="0"/>
              <w:autoSpaceDN w:val="0"/>
              <w:adjustRightInd w:val="0"/>
              <w:jc w:val="both"/>
              <w:rPr>
                <w:b/>
                <w:bCs/>
              </w:rPr>
            </w:pPr>
          </w:p>
          <w:p w14:paraId="0A400840" w14:textId="77777777" w:rsidR="002D5273" w:rsidRPr="00EB2982" w:rsidRDefault="002D5273" w:rsidP="001342C6">
            <w:pPr>
              <w:autoSpaceDE w:val="0"/>
              <w:autoSpaceDN w:val="0"/>
              <w:adjustRightInd w:val="0"/>
              <w:jc w:val="both"/>
              <w:rPr>
                <w:b/>
                <w:bCs/>
              </w:rPr>
            </w:pPr>
          </w:p>
          <w:p w14:paraId="558937E5" w14:textId="77777777" w:rsidR="002D5273" w:rsidRPr="00EB2982" w:rsidRDefault="002D5273" w:rsidP="001342C6">
            <w:pPr>
              <w:autoSpaceDE w:val="0"/>
              <w:autoSpaceDN w:val="0"/>
              <w:adjustRightInd w:val="0"/>
              <w:jc w:val="both"/>
              <w:rPr>
                <w:b/>
                <w:bCs/>
              </w:rPr>
            </w:pPr>
          </w:p>
          <w:p w14:paraId="0C323252" w14:textId="77777777" w:rsidR="002D5273" w:rsidRPr="00EB2982" w:rsidRDefault="002D5273" w:rsidP="001342C6">
            <w:pPr>
              <w:autoSpaceDE w:val="0"/>
              <w:autoSpaceDN w:val="0"/>
              <w:adjustRightInd w:val="0"/>
              <w:jc w:val="both"/>
              <w:rPr>
                <w:b/>
                <w:bCs/>
              </w:rPr>
            </w:pPr>
            <w:r w:rsidRPr="00EB2982">
              <w:rPr>
                <w:b/>
                <w:bCs/>
              </w:rPr>
              <w:t>R million</w:t>
            </w:r>
          </w:p>
        </w:tc>
        <w:tc>
          <w:tcPr>
            <w:tcW w:w="2552" w:type="dxa"/>
            <w:gridSpan w:val="2"/>
            <w:shd w:val="clear" w:color="auto" w:fill="FDE9D9" w:themeFill="accent6" w:themeFillTint="33"/>
            <w:hideMark/>
          </w:tcPr>
          <w:p w14:paraId="7CC13D5E" w14:textId="77777777" w:rsidR="002D5273" w:rsidRPr="00EB2982" w:rsidRDefault="002D5273" w:rsidP="001342C6">
            <w:pPr>
              <w:autoSpaceDE w:val="0"/>
              <w:autoSpaceDN w:val="0"/>
              <w:adjustRightInd w:val="0"/>
              <w:jc w:val="both"/>
              <w:rPr>
                <w:b/>
                <w:bCs/>
              </w:rPr>
            </w:pPr>
            <w:r w:rsidRPr="00EB2982">
              <w:rPr>
                <w:b/>
                <w:bCs/>
              </w:rPr>
              <w:t>Budget</w:t>
            </w:r>
          </w:p>
        </w:tc>
        <w:tc>
          <w:tcPr>
            <w:tcW w:w="1275" w:type="dxa"/>
            <w:vMerge w:val="restart"/>
            <w:shd w:val="clear" w:color="auto" w:fill="FDE9D9" w:themeFill="accent6" w:themeFillTint="33"/>
            <w:hideMark/>
          </w:tcPr>
          <w:p w14:paraId="1C5C273A" w14:textId="77777777" w:rsidR="002D5273" w:rsidRPr="00EB2982" w:rsidRDefault="002D5273" w:rsidP="001342C6">
            <w:pPr>
              <w:autoSpaceDE w:val="0"/>
              <w:autoSpaceDN w:val="0"/>
              <w:adjustRightInd w:val="0"/>
              <w:jc w:val="both"/>
              <w:rPr>
                <w:b/>
                <w:bCs/>
              </w:rPr>
            </w:pPr>
            <w:r w:rsidRPr="00EB2982">
              <w:rPr>
                <w:b/>
                <w:bCs/>
              </w:rPr>
              <w:t>Nominal change in 2019/20</w:t>
            </w:r>
          </w:p>
          <w:p w14:paraId="16599B16" w14:textId="77777777" w:rsidR="002D5273" w:rsidRPr="00EB2982" w:rsidRDefault="002D5273" w:rsidP="001342C6">
            <w:pPr>
              <w:autoSpaceDE w:val="0"/>
              <w:autoSpaceDN w:val="0"/>
              <w:adjustRightInd w:val="0"/>
              <w:jc w:val="both"/>
              <w:rPr>
                <w:b/>
                <w:bCs/>
              </w:rPr>
            </w:pPr>
            <w:r w:rsidRPr="00EB2982">
              <w:rPr>
                <w:b/>
                <w:bCs/>
              </w:rPr>
              <w:t>(Rand value)</w:t>
            </w:r>
          </w:p>
        </w:tc>
        <w:tc>
          <w:tcPr>
            <w:tcW w:w="1276" w:type="dxa"/>
            <w:vMerge w:val="restart"/>
            <w:shd w:val="clear" w:color="auto" w:fill="FDE9D9" w:themeFill="accent6" w:themeFillTint="33"/>
            <w:hideMark/>
          </w:tcPr>
          <w:p w14:paraId="069F6B9E" w14:textId="77777777" w:rsidR="002D5273" w:rsidRPr="00EB2982" w:rsidRDefault="002D5273" w:rsidP="001342C6">
            <w:pPr>
              <w:autoSpaceDE w:val="0"/>
              <w:autoSpaceDN w:val="0"/>
              <w:adjustRightInd w:val="0"/>
              <w:jc w:val="both"/>
              <w:rPr>
                <w:b/>
                <w:bCs/>
              </w:rPr>
            </w:pPr>
            <w:r w:rsidRPr="00EB2982">
              <w:rPr>
                <w:b/>
                <w:bCs/>
              </w:rPr>
              <w:t>Real change in 2019/20</w:t>
            </w:r>
          </w:p>
          <w:p w14:paraId="2CF050F6" w14:textId="77777777" w:rsidR="002D5273" w:rsidRPr="00EB2982" w:rsidRDefault="002D5273" w:rsidP="001342C6">
            <w:pPr>
              <w:autoSpaceDE w:val="0"/>
              <w:autoSpaceDN w:val="0"/>
              <w:adjustRightInd w:val="0"/>
              <w:jc w:val="both"/>
              <w:rPr>
                <w:b/>
                <w:bCs/>
              </w:rPr>
            </w:pPr>
            <w:r w:rsidRPr="00EB2982">
              <w:rPr>
                <w:b/>
                <w:bCs/>
              </w:rPr>
              <w:t>(Rand value)</w:t>
            </w:r>
          </w:p>
        </w:tc>
        <w:tc>
          <w:tcPr>
            <w:tcW w:w="1134" w:type="dxa"/>
            <w:vMerge w:val="restart"/>
            <w:shd w:val="clear" w:color="auto" w:fill="FDE9D9" w:themeFill="accent6" w:themeFillTint="33"/>
            <w:hideMark/>
          </w:tcPr>
          <w:p w14:paraId="1A5EA890" w14:textId="77777777" w:rsidR="002D5273" w:rsidRPr="00EB2982" w:rsidRDefault="002D5273" w:rsidP="001342C6">
            <w:pPr>
              <w:autoSpaceDE w:val="0"/>
              <w:autoSpaceDN w:val="0"/>
              <w:adjustRightInd w:val="0"/>
              <w:jc w:val="both"/>
              <w:rPr>
                <w:b/>
                <w:bCs/>
              </w:rPr>
            </w:pPr>
            <w:r w:rsidRPr="00EB2982">
              <w:rPr>
                <w:b/>
                <w:bCs/>
              </w:rPr>
              <w:t>Nominal Percent change in 2019/20</w:t>
            </w:r>
          </w:p>
        </w:tc>
        <w:tc>
          <w:tcPr>
            <w:tcW w:w="992" w:type="dxa"/>
            <w:vMerge w:val="restart"/>
            <w:shd w:val="clear" w:color="auto" w:fill="FDE9D9" w:themeFill="accent6" w:themeFillTint="33"/>
            <w:hideMark/>
          </w:tcPr>
          <w:p w14:paraId="3C7562D2" w14:textId="77777777" w:rsidR="002D5273" w:rsidRPr="00EB2982" w:rsidRDefault="002D5273" w:rsidP="001342C6">
            <w:pPr>
              <w:autoSpaceDE w:val="0"/>
              <w:autoSpaceDN w:val="0"/>
              <w:adjustRightInd w:val="0"/>
              <w:jc w:val="both"/>
              <w:rPr>
                <w:b/>
                <w:bCs/>
              </w:rPr>
            </w:pPr>
            <w:r w:rsidRPr="00EB2982">
              <w:rPr>
                <w:b/>
                <w:bCs/>
              </w:rPr>
              <w:t>Real Percent change in 2019/20</w:t>
            </w:r>
          </w:p>
        </w:tc>
      </w:tr>
      <w:tr w:rsidR="001342C6" w:rsidRPr="00EB2982" w14:paraId="2920BB17" w14:textId="77777777" w:rsidTr="002C7C5F">
        <w:trPr>
          <w:trHeight w:val="264"/>
        </w:trPr>
        <w:tc>
          <w:tcPr>
            <w:tcW w:w="2405" w:type="dxa"/>
            <w:vMerge/>
            <w:shd w:val="clear" w:color="auto" w:fill="FDE9D9" w:themeFill="accent6" w:themeFillTint="33"/>
            <w:noWrap/>
            <w:hideMark/>
          </w:tcPr>
          <w:p w14:paraId="4D6B64B4" w14:textId="77777777" w:rsidR="002D5273" w:rsidRPr="00EB2982" w:rsidRDefault="002D5273" w:rsidP="001342C6">
            <w:pPr>
              <w:autoSpaceDE w:val="0"/>
              <w:autoSpaceDN w:val="0"/>
              <w:adjustRightInd w:val="0"/>
              <w:jc w:val="both"/>
              <w:rPr>
                <w:b/>
                <w:bCs/>
              </w:rPr>
            </w:pPr>
          </w:p>
        </w:tc>
        <w:tc>
          <w:tcPr>
            <w:tcW w:w="1276" w:type="dxa"/>
            <w:shd w:val="clear" w:color="auto" w:fill="FDE9D9" w:themeFill="accent6" w:themeFillTint="33"/>
            <w:noWrap/>
            <w:hideMark/>
          </w:tcPr>
          <w:p w14:paraId="2C032E20" w14:textId="77777777" w:rsidR="002D5273" w:rsidRPr="00EB2982" w:rsidRDefault="002D5273" w:rsidP="001342C6">
            <w:pPr>
              <w:autoSpaceDE w:val="0"/>
              <w:autoSpaceDN w:val="0"/>
              <w:adjustRightInd w:val="0"/>
              <w:jc w:val="both"/>
              <w:rPr>
                <w:b/>
                <w:bCs/>
              </w:rPr>
            </w:pPr>
            <w:r w:rsidRPr="00EB2982">
              <w:rPr>
                <w:b/>
                <w:bCs/>
              </w:rPr>
              <w:t>2018/19</w:t>
            </w:r>
          </w:p>
        </w:tc>
        <w:tc>
          <w:tcPr>
            <w:tcW w:w="1276" w:type="dxa"/>
            <w:shd w:val="clear" w:color="auto" w:fill="FDE9D9" w:themeFill="accent6" w:themeFillTint="33"/>
            <w:noWrap/>
            <w:hideMark/>
          </w:tcPr>
          <w:p w14:paraId="110D4836" w14:textId="77777777" w:rsidR="002D5273" w:rsidRPr="00EB2982" w:rsidRDefault="002D5273" w:rsidP="001342C6">
            <w:pPr>
              <w:autoSpaceDE w:val="0"/>
              <w:autoSpaceDN w:val="0"/>
              <w:adjustRightInd w:val="0"/>
              <w:jc w:val="both"/>
              <w:rPr>
                <w:b/>
                <w:bCs/>
              </w:rPr>
            </w:pPr>
            <w:r w:rsidRPr="00EB2982">
              <w:rPr>
                <w:b/>
                <w:bCs/>
              </w:rPr>
              <w:t>2019/20</w:t>
            </w:r>
          </w:p>
        </w:tc>
        <w:tc>
          <w:tcPr>
            <w:tcW w:w="1275" w:type="dxa"/>
            <w:vMerge/>
            <w:hideMark/>
          </w:tcPr>
          <w:p w14:paraId="4597F724" w14:textId="77777777" w:rsidR="002D5273" w:rsidRPr="00EB2982" w:rsidRDefault="002D5273" w:rsidP="001342C6">
            <w:pPr>
              <w:autoSpaceDE w:val="0"/>
              <w:autoSpaceDN w:val="0"/>
              <w:adjustRightInd w:val="0"/>
              <w:jc w:val="both"/>
              <w:rPr>
                <w:bCs/>
              </w:rPr>
            </w:pPr>
          </w:p>
        </w:tc>
        <w:tc>
          <w:tcPr>
            <w:tcW w:w="1276" w:type="dxa"/>
            <w:vMerge/>
            <w:hideMark/>
          </w:tcPr>
          <w:p w14:paraId="71F0EA67" w14:textId="77777777" w:rsidR="002D5273" w:rsidRPr="00EB2982" w:rsidRDefault="002D5273" w:rsidP="001342C6">
            <w:pPr>
              <w:autoSpaceDE w:val="0"/>
              <w:autoSpaceDN w:val="0"/>
              <w:adjustRightInd w:val="0"/>
              <w:jc w:val="both"/>
              <w:rPr>
                <w:bCs/>
              </w:rPr>
            </w:pPr>
          </w:p>
        </w:tc>
        <w:tc>
          <w:tcPr>
            <w:tcW w:w="1134" w:type="dxa"/>
            <w:vMerge/>
            <w:hideMark/>
          </w:tcPr>
          <w:p w14:paraId="425D78D0" w14:textId="77777777" w:rsidR="002D5273" w:rsidRPr="00EB2982" w:rsidRDefault="002D5273" w:rsidP="001342C6">
            <w:pPr>
              <w:autoSpaceDE w:val="0"/>
              <w:autoSpaceDN w:val="0"/>
              <w:adjustRightInd w:val="0"/>
              <w:jc w:val="both"/>
              <w:rPr>
                <w:bCs/>
              </w:rPr>
            </w:pPr>
          </w:p>
        </w:tc>
        <w:tc>
          <w:tcPr>
            <w:tcW w:w="992" w:type="dxa"/>
            <w:vMerge/>
            <w:hideMark/>
          </w:tcPr>
          <w:p w14:paraId="16F0A619" w14:textId="77777777" w:rsidR="002D5273" w:rsidRPr="00EB2982" w:rsidRDefault="002D5273" w:rsidP="001342C6">
            <w:pPr>
              <w:autoSpaceDE w:val="0"/>
              <w:autoSpaceDN w:val="0"/>
              <w:adjustRightInd w:val="0"/>
              <w:jc w:val="both"/>
              <w:rPr>
                <w:bCs/>
              </w:rPr>
            </w:pPr>
          </w:p>
        </w:tc>
      </w:tr>
      <w:tr w:rsidR="002D5273" w:rsidRPr="00EB2982" w14:paraId="3E55FF1E" w14:textId="77777777" w:rsidTr="002C7C5F">
        <w:trPr>
          <w:trHeight w:val="264"/>
        </w:trPr>
        <w:tc>
          <w:tcPr>
            <w:tcW w:w="2405" w:type="dxa"/>
            <w:noWrap/>
            <w:hideMark/>
          </w:tcPr>
          <w:p w14:paraId="67B6290F" w14:textId="77777777" w:rsidR="002D5273" w:rsidRPr="00EB2982" w:rsidRDefault="002D5273" w:rsidP="001342C6">
            <w:pPr>
              <w:autoSpaceDE w:val="0"/>
              <w:autoSpaceDN w:val="0"/>
              <w:adjustRightInd w:val="0"/>
              <w:jc w:val="both"/>
            </w:pPr>
            <w:r w:rsidRPr="00EB2982">
              <w:t>Old Age</w:t>
            </w:r>
          </w:p>
        </w:tc>
        <w:tc>
          <w:tcPr>
            <w:tcW w:w="1276" w:type="dxa"/>
            <w:noWrap/>
          </w:tcPr>
          <w:p w14:paraId="52521E22" w14:textId="77777777" w:rsidR="002D5273" w:rsidRPr="00EB2982" w:rsidRDefault="002D5273" w:rsidP="001342C6">
            <w:pPr>
              <w:autoSpaceDE w:val="0"/>
              <w:autoSpaceDN w:val="0"/>
              <w:adjustRightInd w:val="0"/>
              <w:jc w:val="both"/>
            </w:pPr>
            <w:r w:rsidRPr="00EB2982">
              <w:t>70 531,4</w:t>
            </w:r>
          </w:p>
        </w:tc>
        <w:tc>
          <w:tcPr>
            <w:tcW w:w="1276" w:type="dxa"/>
            <w:noWrap/>
          </w:tcPr>
          <w:p w14:paraId="335AD798" w14:textId="77777777" w:rsidR="002D5273" w:rsidRPr="00EB2982" w:rsidRDefault="002D5273" w:rsidP="001342C6">
            <w:pPr>
              <w:autoSpaceDE w:val="0"/>
              <w:autoSpaceDN w:val="0"/>
              <w:adjustRightInd w:val="0"/>
              <w:jc w:val="both"/>
            </w:pPr>
            <w:r w:rsidRPr="00EB2982">
              <w:t>76 950,9</w:t>
            </w:r>
          </w:p>
        </w:tc>
        <w:tc>
          <w:tcPr>
            <w:tcW w:w="1275" w:type="dxa"/>
            <w:noWrap/>
          </w:tcPr>
          <w:p w14:paraId="3F0DA282" w14:textId="77777777" w:rsidR="002D5273" w:rsidRPr="00EB2982" w:rsidRDefault="002D5273" w:rsidP="001342C6">
            <w:pPr>
              <w:autoSpaceDE w:val="0"/>
              <w:autoSpaceDN w:val="0"/>
              <w:adjustRightInd w:val="0"/>
              <w:jc w:val="both"/>
            </w:pPr>
            <w:r w:rsidRPr="00EB2982">
              <w:t>6 419,5</w:t>
            </w:r>
          </w:p>
        </w:tc>
        <w:tc>
          <w:tcPr>
            <w:tcW w:w="1276" w:type="dxa"/>
            <w:noWrap/>
          </w:tcPr>
          <w:p w14:paraId="0920293A" w14:textId="77777777" w:rsidR="002D5273" w:rsidRPr="00EB2982" w:rsidRDefault="002D5273" w:rsidP="001342C6">
            <w:pPr>
              <w:autoSpaceDE w:val="0"/>
              <w:autoSpaceDN w:val="0"/>
              <w:adjustRightInd w:val="0"/>
              <w:jc w:val="both"/>
            </w:pPr>
            <w:r w:rsidRPr="00EB2982">
              <w:t>2 615,8</w:t>
            </w:r>
          </w:p>
        </w:tc>
        <w:tc>
          <w:tcPr>
            <w:tcW w:w="1134" w:type="dxa"/>
            <w:noWrap/>
          </w:tcPr>
          <w:p w14:paraId="31DA3AF0" w14:textId="77777777" w:rsidR="002D5273" w:rsidRPr="00EB2982" w:rsidRDefault="002D5273" w:rsidP="001342C6">
            <w:pPr>
              <w:autoSpaceDE w:val="0"/>
              <w:autoSpaceDN w:val="0"/>
              <w:adjustRightInd w:val="0"/>
              <w:jc w:val="both"/>
            </w:pPr>
            <w:r w:rsidRPr="00EB2982">
              <w:t>9,10%</w:t>
            </w:r>
          </w:p>
        </w:tc>
        <w:tc>
          <w:tcPr>
            <w:tcW w:w="992" w:type="dxa"/>
            <w:noWrap/>
          </w:tcPr>
          <w:p w14:paraId="1C13CAC1" w14:textId="77777777" w:rsidR="002D5273" w:rsidRPr="00EB2982" w:rsidRDefault="002D5273" w:rsidP="001342C6">
            <w:pPr>
              <w:autoSpaceDE w:val="0"/>
              <w:autoSpaceDN w:val="0"/>
              <w:adjustRightInd w:val="0"/>
              <w:jc w:val="both"/>
            </w:pPr>
            <w:r w:rsidRPr="00EB2982">
              <w:t>3,71%</w:t>
            </w:r>
          </w:p>
        </w:tc>
      </w:tr>
      <w:tr w:rsidR="002D5273" w:rsidRPr="00EB2982" w14:paraId="5444F6F3" w14:textId="77777777" w:rsidTr="002C7C5F">
        <w:trPr>
          <w:trHeight w:val="264"/>
        </w:trPr>
        <w:tc>
          <w:tcPr>
            <w:tcW w:w="2405" w:type="dxa"/>
            <w:noWrap/>
            <w:hideMark/>
          </w:tcPr>
          <w:p w14:paraId="0428F3CD" w14:textId="77777777" w:rsidR="002D5273" w:rsidRPr="00EB2982" w:rsidRDefault="002D5273" w:rsidP="001342C6">
            <w:pPr>
              <w:autoSpaceDE w:val="0"/>
              <w:autoSpaceDN w:val="0"/>
              <w:adjustRightInd w:val="0"/>
              <w:jc w:val="both"/>
            </w:pPr>
            <w:r w:rsidRPr="00EB2982">
              <w:t>War Veterans</w:t>
            </w:r>
          </w:p>
        </w:tc>
        <w:tc>
          <w:tcPr>
            <w:tcW w:w="1276" w:type="dxa"/>
            <w:noWrap/>
          </w:tcPr>
          <w:p w14:paraId="321DA10B" w14:textId="77777777" w:rsidR="002D5273" w:rsidRPr="00EB2982" w:rsidRDefault="002D5273" w:rsidP="001342C6">
            <w:pPr>
              <w:autoSpaceDE w:val="0"/>
              <w:autoSpaceDN w:val="0"/>
              <w:adjustRightInd w:val="0"/>
              <w:jc w:val="both"/>
            </w:pPr>
            <w:r w:rsidRPr="00EB2982">
              <w:t>2,4</w:t>
            </w:r>
          </w:p>
        </w:tc>
        <w:tc>
          <w:tcPr>
            <w:tcW w:w="1276" w:type="dxa"/>
            <w:noWrap/>
          </w:tcPr>
          <w:p w14:paraId="35B7E4DC" w14:textId="77777777" w:rsidR="002D5273" w:rsidRPr="00EB2982" w:rsidRDefault="002D5273" w:rsidP="001342C6">
            <w:pPr>
              <w:autoSpaceDE w:val="0"/>
              <w:autoSpaceDN w:val="0"/>
              <w:adjustRightInd w:val="0"/>
              <w:jc w:val="both"/>
            </w:pPr>
            <w:r w:rsidRPr="00EB2982">
              <w:t>1,7</w:t>
            </w:r>
          </w:p>
        </w:tc>
        <w:tc>
          <w:tcPr>
            <w:tcW w:w="1275" w:type="dxa"/>
            <w:noWrap/>
          </w:tcPr>
          <w:p w14:paraId="6AD398CC" w14:textId="77777777" w:rsidR="002D5273" w:rsidRPr="00EB2982" w:rsidRDefault="002D5273" w:rsidP="001342C6">
            <w:pPr>
              <w:autoSpaceDE w:val="0"/>
              <w:autoSpaceDN w:val="0"/>
              <w:adjustRightInd w:val="0"/>
              <w:jc w:val="both"/>
            </w:pPr>
            <w:r w:rsidRPr="00EB2982">
              <w:t>-  0,7</w:t>
            </w:r>
          </w:p>
        </w:tc>
        <w:tc>
          <w:tcPr>
            <w:tcW w:w="1276" w:type="dxa"/>
            <w:noWrap/>
          </w:tcPr>
          <w:p w14:paraId="5299B1E2" w14:textId="77777777" w:rsidR="002D5273" w:rsidRPr="00EB2982" w:rsidRDefault="002D5273" w:rsidP="001342C6">
            <w:pPr>
              <w:autoSpaceDE w:val="0"/>
              <w:autoSpaceDN w:val="0"/>
              <w:adjustRightInd w:val="0"/>
              <w:jc w:val="both"/>
            </w:pPr>
            <w:r w:rsidRPr="00EB2982">
              <w:t>-  0,8</w:t>
            </w:r>
          </w:p>
        </w:tc>
        <w:tc>
          <w:tcPr>
            <w:tcW w:w="1134" w:type="dxa"/>
            <w:noWrap/>
          </w:tcPr>
          <w:p w14:paraId="6D4A1AF8" w14:textId="77777777" w:rsidR="002D5273" w:rsidRPr="00EB2982" w:rsidRDefault="002D5273" w:rsidP="001342C6">
            <w:pPr>
              <w:autoSpaceDE w:val="0"/>
              <w:autoSpaceDN w:val="0"/>
              <w:adjustRightInd w:val="0"/>
              <w:jc w:val="both"/>
            </w:pPr>
            <w:r w:rsidRPr="00EB2982">
              <w:t>-29,17%</w:t>
            </w:r>
          </w:p>
        </w:tc>
        <w:tc>
          <w:tcPr>
            <w:tcW w:w="992" w:type="dxa"/>
            <w:noWrap/>
          </w:tcPr>
          <w:p w14:paraId="4EF97D33" w14:textId="77777777" w:rsidR="002D5273" w:rsidRPr="00EB2982" w:rsidRDefault="002D5273" w:rsidP="001342C6">
            <w:pPr>
              <w:autoSpaceDE w:val="0"/>
              <w:autoSpaceDN w:val="0"/>
              <w:adjustRightInd w:val="0"/>
              <w:jc w:val="both"/>
            </w:pPr>
            <w:r w:rsidRPr="00EB2982">
              <w:t>-32,67%</w:t>
            </w:r>
          </w:p>
        </w:tc>
      </w:tr>
      <w:tr w:rsidR="002D5273" w:rsidRPr="00EB2982" w14:paraId="7CC766E9" w14:textId="77777777" w:rsidTr="002C7C5F">
        <w:trPr>
          <w:trHeight w:val="264"/>
        </w:trPr>
        <w:tc>
          <w:tcPr>
            <w:tcW w:w="2405" w:type="dxa"/>
            <w:noWrap/>
            <w:hideMark/>
          </w:tcPr>
          <w:p w14:paraId="74C2B7EB" w14:textId="77777777" w:rsidR="002D5273" w:rsidRPr="00EB2982" w:rsidRDefault="002D5273" w:rsidP="001342C6">
            <w:pPr>
              <w:autoSpaceDE w:val="0"/>
              <w:autoSpaceDN w:val="0"/>
              <w:adjustRightInd w:val="0"/>
              <w:jc w:val="both"/>
            </w:pPr>
            <w:r w:rsidRPr="00EB2982">
              <w:t>Disability</w:t>
            </w:r>
          </w:p>
        </w:tc>
        <w:tc>
          <w:tcPr>
            <w:tcW w:w="1276" w:type="dxa"/>
            <w:noWrap/>
          </w:tcPr>
          <w:p w14:paraId="6D16A4EF" w14:textId="77777777" w:rsidR="002D5273" w:rsidRPr="00EB2982" w:rsidRDefault="002D5273" w:rsidP="001342C6">
            <w:pPr>
              <w:autoSpaceDE w:val="0"/>
              <w:autoSpaceDN w:val="0"/>
              <w:adjustRightInd w:val="0"/>
              <w:jc w:val="both"/>
            </w:pPr>
            <w:r w:rsidRPr="00EB2982">
              <w:t>22 104,8</w:t>
            </w:r>
          </w:p>
        </w:tc>
        <w:tc>
          <w:tcPr>
            <w:tcW w:w="1276" w:type="dxa"/>
            <w:noWrap/>
          </w:tcPr>
          <w:p w14:paraId="18C25AB0" w14:textId="77777777" w:rsidR="002D5273" w:rsidRPr="00EB2982" w:rsidRDefault="002D5273" w:rsidP="001342C6">
            <w:pPr>
              <w:autoSpaceDE w:val="0"/>
              <w:autoSpaceDN w:val="0"/>
              <w:adjustRightInd w:val="0"/>
              <w:jc w:val="both"/>
            </w:pPr>
            <w:r w:rsidRPr="00EB2982">
              <w:t>23 077,6</w:t>
            </w:r>
          </w:p>
        </w:tc>
        <w:tc>
          <w:tcPr>
            <w:tcW w:w="1275" w:type="dxa"/>
            <w:noWrap/>
          </w:tcPr>
          <w:p w14:paraId="731DE122" w14:textId="77777777" w:rsidR="002D5273" w:rsidRPr="00EB2982" w:rsidRDefault="002D5273" w:rsidP="001342C6">
            <w:pPr>
              <w:autoSpaceDE w:val="0"/>
              <w:autoSpaceDN w:val="0"/>
              <w:adjustRightInd w:val="0"/>
              <w:jc w:val="both"/>
            </w:pPr>
            <w:r w:rsidRPr="00EB2982">
              <w:t>972,8</w:t>
            </w:r>
          </w:p>
        </w:tc>
        <w:tc>
          <w:tcPr>
            <w:tcW w:w="1276" w:type="dxa"/>
            <w:noWrap/>
          </w:tcPr>
          <w:p w14:paraId="5C52D554" w14:textId="77777777" w:rsidR="002D5273" w:rsidRPr="00EB2982" w:rsidRDefault="002D5273" w:rsidP="001342C6">
            <w:pPr>
              <w:autoSpaceDE w:val="0"/>
              <w:autoSpaceDN w:val="0"/>
              <w:adjustRightInd w:val="0"/>
              <w:jc w:val="both"/>
            </w:pPr>
            <w:r w:rsidRPr="00EB2982">
              <w:t>-  167,9</w:t>
            </w:r>
          </w:p>
        </w:tc>
        <w:tc>
          <w:tcPr>
            <w:tcW w:w="1134" w:type="dxa"/>
            <w:noWrap/>
          </w:tcPr>
          <w:p w14:paraId="70CEDAA5" w14:textId="77777777" w:rsidR="002D5273" w:rsidRPr="00EB2982" w:rsidRDefault="002D5273" w:rsidP="001342C6">
            <w:pPr>
              <w:autoSpaceDE w:val="0"/>
              <w:autoSpaceDN w:val="0"/>
              <w:adjustRightInd w:val="0"/>
              <w:jc w:val="both"/>
            </w:pPr>
            <w:r w:rsidRPr="00EB2982">
              <w:t>4,40%</w:t>
            </w:r>
          </w:p>
        </w:tc>
        <w:tc>
          <w:tcPr>
            <w:tcW w:w="992" w:type="dxa"/>
            <w:noWrap/>
          </w:tcPr>
          <w:p w14:paraId="4AA6D1B2" w14:textId="77777777" w:rsidR="002D5273" w:rsidRPr="00EB2982" w:rsidRDefault="002D5273" w:rsidP="001342C6">
            <w:pPr>
              <w:autoSpaceDE w:val="0"/>
              <w:autoSpaceDN w:val="0"/>
              <w:adjustRightInd w:val="0"/>
              <w:jc w:val="both"/>
            </w:pPr>
            <w:r w:rsidRPr="00EB2982">
              <w:t>-0,76%</w:t>
            </w:r>
          </w:p>
        </w:tc>
      </w:tr>
      <w:tr w:rsidR="002D5273" w:rsidRPr="00EB2982" w14:paraId="70FAF2F9" w14:textId="77777777" w:rsidTr="002C7C5F">
        <w:trPr>
          <w:trHeight w:val="264"/>
        </w:trPr>
        <w:tc>
          <w:tcPr>
            <w:tcW w:w="2405" w:type="dxa"/>
            <w:noWrap/>
            <w:hideMark/>
          </w:tcPr>
          <w:p w14:paraId="08C40344" w14:textId="77777777" w:rsidR="002D5273" w:rsidRPr="00EB2982" w:rsidRDefault="002D5273" w:rsidP="001342C6">
            <w:pPr>
              <w:autoSpaceDE w:val="0"/>
              <w:autoSpaceDN w:val="0"/>
              <w:adjustRightInd w:val="0"/>
              <w:jc w:val="both"/>
            </w:pPr>
            <w:r w:rsidRPr="00EB2982">
              <w:t>Foster Care</w:t>
            </w:r>
          </w:p>
        </w:tc>
        <w:tc>
          <w:tcPr>
            <w:tcW w:w="1276" w:type="dxa"/>
            <w:noWrap/>
          </w:tcPr>
          <w:p w14:paraId="62BDFCAD" w14:textId="77777777" w:rsidR="002D5273" w:rsidRPr="00EB2982" w:rsidRDefault="002D5273" w:rsidP="001342C6">
            <w:pPr>
              <w:autoSpaceDE w:val="0"/>
              <w:autoSpaceDN w:val="0"/>
              <w:adjustRightInd w:val="0"/>
              <w:jc w:val="both"/>
            </w:pPr>
            <w:r w:rsidRPr="00EB2982">
              <w:t>5 131,6</w:t>
            </w:r>
          </w:p>
        </w:tc>
        <w:tc>
          <w:tcPr>
            <w:tcW w:w="1276" w:type="dxa"/>
            <w:noWrap/>
          </w:tcPr>
          <w:p w14:paraId="2D9362CC" w14:textId="77777777" w:rsidR="002D5273" w:rsidRPr="00EB2982" w:rsidRDefault="002D5273" w:rsidP="001342C6">
            <w:pPr>
              <w:autoSpaceDE w:val="0"/>
              <w:autoSpaceDN w:val="0"/>
              <w:adjustRightInd w:val="0"/>
              <w:jc w:val="both"/>
            </w:pPr>
            <w:r w:rsidRPr="00EB2982">
              <w:t>5 080,8</w:t>
            </w:r>
          </w:p>
        </w:tc>
        <w:tc>
          <w:tcPr>
            <w:tcW w:w="1275" w:type="dxa"/>
            <w:noWrap/>
          </w:tcPr>
          <w:p w14:paraId="0A41FFCF" w14:textId="77777777" w:rsidR="002D5273" w:rsidRPr="00EB2982" w:rsidRDefault="002D5273" w:rsidP="001342C6">
            <w:pPr>
              <w:autoSpaceDE w:val="0"/>
              <w:autoSpaceDN w:val="0"/>
              <w:adjustRightInd w:val="0"/>
              <w:jc w:val="both"/>
            </w:pPr>
            <w:r w:rsidRPr="00EB2982">
              <w:t>-  50,8</w:t>
            </w:r>
          </w:p>
        </w:tc>
        <w:tc>
          <w:tcPr>
            <w:tcW w:w="1276" w:type="dxa"/>
            <w:noWrap/>
          </w:tcPr>
          <w:p w14:paraId="20FF578E" w14:textId="77777777" w:rsidR="002D5273" w:rsidRPr="00EB2982" w:rsidRDefault="002D5273" w:rsidP="001342C6">
            <w:pPr>
              <w:autoSpaceDE w:val="0"/>
              <w:autoSpaceDN w:val="0"/>
              <w:adjustRightInd w:val="0"/>
              <w:jc w:val="both"/>
            </w:pPr>
            <w:r w:rsidRPr="00EB2982">
              <w:t>-  301,9</w:t>
            </w:r>
          </w:p>
        </w:tc>
        <w:tc>
          <w:tcPr>
            <w:tcW w:w="1134" w:type="dxa"/>
            <w:noWrap/>
          </w:tcPr>
          <w:p w14:paraId="7ECEB4A1" w14:textId="77777777" w:rsidR="002D5273" w:rsidRPr="00EB2982" w:rsidRDefault="002D5273" w:rsidP="001342C6">
            <w:pPr>
              <w:autoSpaceDE w:val="0"/>
              <w:autoSpaceDN w:val="0"/>
              <w:adjustRightInd w:val="0"/>
              <w:jc w:val="both"/>
            </w:pPr>
            <w:r w:rsidRPr="00EB2982">
              <w:t>-0,99%</w:t>
            </w:r>
          </w:p>
        </w:tc>
        <w:tc>
          <w:tcPr>
            <w:tcW w:w="992" w:type="dxa"/>
            <w:noWrap/>
          </w:tcPr>
          <w:p w14:paraId="5AF480B8" w14:textId="77777777" w:rsidR="002D5273" w:rsidRPr="00EB2982" w:rsidRDefault="002D5273" w:rsidP="001342C6">
            <w:pPr>
              <w:autoSpaceDE w:val="0"/>
              <w:autoSpaceDN w:val="0"/>
              <w:adjustRightInd w:val="0"/>
              <w:jc w:val="both"/>
            </w:pPr>
            <w:r w:rsidRPr="00EB2982">
              <w:t>-5,88%</w:t>
            </w:r>
          </w:p>
        </w:tc>
      </w:tr>
      <w:tr w:rsidR="002D5273" w:rsidRPr="00EB2982" w14:paraId="32972CC0" w14:textId="77777777" w:rsidTr="002C7C5F">
        <w:trPr>
          <w:trHeight w:val="264"/>
        </w:trPr>
        <w:tc>
          <w:tcPr>
            <w:tcW w:w="2405" w:type="dxa"/>
            <w:noWrap/>
            <w:hideMark/>
          </w:tcPr>
          <w:p w14:paraId="66483C61" w14:textId="77777777" w:rsidR="002D5273" w:rsidRPr="00EB2982" w:rsidRDefault="002D5273" w:rsidP="001342C6">
            <w:pPr>
              <w:autoSpaceDE w:val="0"/>
              <w:autoSpaceDN w:val="0"/>
              <w:adjustRightInd w:val="0"/>
              <w:jc w:val="both"/>
            </w:pPr>
            <w:r w:rsidRPr="00EB2982">
              <w:t>Care Dependency</w:t>
            </w:r>
          </w:p>
        </w:tc>
        <w:tc>
          <w:tcPr>
            <w:tcW w:w="1276" w:type="dxa"/>
            <w:noWrap/>
          </w:tcPr>
          <w:p w14:paraId="7C41543D" w14:textId="77777777" w:rsidR="002D5273" w:rsidRPr="00EB2982" w:rsidRDefault="002D5273" w:rsidP="001342C6">
            <w:pPr>
              <w:autoSpaceDE w:val="0"/>
              <w:autoSpaceDN w:val="0"/>
              <w:adjustRightInd w:val="0"/>
              <w:jc w:val="both"/>
            </w:pPr>
            <w:r w:rsidRPr="00EB2982">
              <w:t>3 138,4</w:t>
            </w:r>
          </w:p>
        </w:tc>
        <w:tc>
          <w:tcPr>
            <w:tcW w:w="1276" w:type="dxa"/>
            <w:noWrap/>
          </w:tcPr>
          <w:p w14:paraId="7149A3CA" w14:textId="77777777" w:rsidR="002D5273" w:rsidRPr="00EB2982" w:rsidRDefault="002D5273" w:rsidP="001342C6">
            <w:pPr>
              <w:autoSpaceDE w:val="0"/>
              <w:autoSpaceDN w:val="0"/>
              <w:adjustRightInd w:val="0"/>
              <w:jc w:val="both"/>
            </w:pPr>
            <w:r w:rsidRPr="00EB2982">
              <w:t>3 429,8</w:t>
            </w:r>
          </w:p>
        </w:tc>
        <w:tc>
          <w:tcPr>
            <w:tcW w:w="1275" w:type="dxa"/>
            <w:noWrap/>
          </w:tcPr>
          <w:p w14:paraId="311D717F" w14:textId="77777777" w:rsidR="002D5273" w:rsidRPr="00EB2982" w:rsidRDefault="002D5273" w:rsidP="001342C6">
            <w:pPr>
              <w:autoSpaceDE w:val="0"/>
              <w:autoSpaceDN w:val="0"/>
              <w:adjustRightInd w:val="0"/>
              <w:jc w:val="both"/>
            </w:pPr>
            <w:r w:rsidRPr="00EB2982">
              <w:t>291,4</w:t>
            </w:r>
          </w:p>
        </w:tc>
        <w:tc>
          <w:tcPr>
            <w:tcW w:w="1276" w:type="dxa"/>
            <w:noWrap/>
          </w:tcPr>
          <w:p w14:paraId="5197EB61" w14:textId="77777777" w:rsidR="002D5273" w:rsidRPr="00EB2982" w:rsidRDefault="002D5273" w:rsidP="001342C6">
            <w:pPr>
              <w:autoSpaceDE w:val="0"/>
              <w:autoSpaceDN w:val="0"/>
              <w:adjustRightInd w:val="0"/>
              <w:jc w:val="both"/>
            </w:pPr>
            <w:r w:rsidRPr="00EB2982">
              <w:t>121,9</w:t>
            </w:r>
          </w:p>
        </w:tc>
        <w:tc>
          <w:tcPr>
            <w:tcW w:w="1134" w:type="dxa"/>
            <w:noWrap/>
          </w:tcPr>
          <w:p w14:paraId="4C2DC4B3" w14:textId="77777777" w:rsidR="002D5273" w:rsidRPr="00EB2982" w:rsidRDefault="002D5273" w:rsidP="001342C6">
            <w:pPr>
              <w:autoSpaceDE w:val="0"/>
              <w:autoSpaceDN w:val="0"/>
              <w:adjustRightInd w:val="0"/>
              <w:jc w:val="both"/>
            </w:pPr>
            <w:r w:rsidRPr="00EB2982">
              <w:t>9,28%</w:t>
            </w:r>
          </w:p>
        </w:tc>
        <w:tc>
          <w:tcPr>
            <w:tcW w:w="992" w:type="dxa"/>
            <w:noWrap/>
          </w:tcPr>
          <w:p w14:paraId="12DFE66A" w14:textId="77777777" w:rsidR="002D5273" w:rsidRPr="00EB2982" w:rsidRDefault="002D5273" w:rsidP="001342C6">
            <w:pPr>
              <w:autoSpaceDE w:val="0"/>
              <w:autoSpaceDN w:val="0"/>
              <w:adjustRightInd w:val="0"/>
              <w:jc w:val="both"/>
            </w:pPr>
            <w:r w:rsidRPr="00EB2982">
              <w:t>3,88%</w:t>
            </w:r>
          </w:p>
        </w:tc>
      </w:tr>
      <w:tr w:rsidR="002D5273" w:rsidRPr="00EB2982" w14:paraId="7F529210" w14:textId="77777777" w:rsidTr="002C7C5F">
        <w:trPr>
          <w:trHeight w:val="264"/>
        </w:trPr>
        <w:tc>
          <w:tcPr>
            <w:tcW w:w="2405" w:type="dxa"/>
            <w:noWrap/>
            <w:hideMark/>
          </w:tcPr>
          <w:p w14:paraId="6C9C9D16" w14:textId="77777777" w:rsidR="002D5273" w:rsidRPr="00EB2982" w:rsidRDefault="002D5273" w:rsidP="001342C6">
            <w:pPr>
              <w:autoSpaceDE w:val="0"/>
              <w:autoSpaceDN w:val="0"/>
              <w:adjustRightInd w:val="0"/>
              <w:jc w:val="both"/>
            </w:pPr>
            <w:r w:rsidRPr="00EB2982">
              <w:t>Child Support</w:t>
            </w:r>
          </w:p>
        </w:tc>
        <w:tc>
          <w:tcPr>
            <w:tcW w:w="1276" w:type="dxa"/>
            <w:noWrap/>
          </w:tcPr>
          <w:p w14:paraId="4F433EF1" w14:textId="77777777" w:rsidR="002D5273" w:rsidRPr="00EB2982" w:rsidRDefault="002D5273" w:rsidP="001342C6">
            <w:pPr>
              <w:autoSpaceDE w:val="0"/>
              <w:autoSpaceDN w:val="0"/>
              <w:adjustRightInd w:val="0"/>
              <w:jc w:val="both"/>
            </w:pPr>
            <w:r w:rsidRPr="00EB2982">
              <w:t>60 531,0</w:t>
            </w:r>
          </w:p>
        </w:tc>
        <w:tc>
          <w:tcPr>
            <w:tcW w:w="1276" w:type="dxa"/>
            <w:noWrap/>
          </w:tcPr>
          <w:p w14:paraId="61D27765" w14:textId="77777777" w:rsidR="002D5273" w:rsidRPr="00EB2982" w:rsidRDefault="002D5273" w:rsidP="001342C6">
            <w:pPr>
              <w:autoSpaceDE w:val="0"/>
              <w:autoSpaceDN w:val="0"/>
              <w:adjustRightInd w:val="0"/>
              <w:jc w:val="both"/>
            </w:pPr>
            <w:r w:rsidRPr="00EB2982">
              <w:t>64 967,3</w:t>
            </w:r>
          </w:p>
        </w:tc>
        <w:tc>
          <w:tcPr>
            <w:tcW w:w="1275" w:type="dxa"/>
            <w:noWrap/>
          </w:tcPr>
          <w:p w14:paraId="623B4158" w14:textId="77777777" w:rsidR="002D5273" w:rsidRPr="00EB2982" w:rsidRDefault="002D5273" w:rsidP="001342C6">
            <w:pPr>
              <w:autoSpaceDE w:val="0"/>
              <w:autoSpaceDN w:val="0"/>
              <w:adjustRightInd w:val="0"/>
              <w:jc w:val="both"/>
            </w:pPr>
            <w:r w:rsidRPr="00EB2982">
              <w:t>4 436,3</w:t>
            </w:r>
          </w:p>
        </w:tc>
        <w:tc>
          <w:tcPr>
            <w:tcW w:w="1276" w:type="dxa"/>
            <w:noWrap/>
          </w:tcPr>
          <w:p w14:paraId="1646BD24" w14:textId="77777777" w:rsidR="002D5273" w:rsidRPr="00EB2982" w:rsidRDefault="002D5273" w:rsidP="001342C6">
            <w:pPr>
              <w:autoSpaceDE w:val="0"/>
              <w:autoSpaceDN w:val="0"/>
              <w:adjustRightInd w:val="0"/>
              <w:jc w:val="both"/>
            </w:pPr>
            <w:r w:rsidRPr="00EB2982">
              <w:t>1 225,0</w:t>
            </w:r>
          </w:p>
        </w:tc>
        <w:tc>
          <w:tcPr>
            <w:tcW w:w="1134" w:type="dxa"/>
            <w:noWrap/>
          </w:tcPr>
          <w:p w14:paraId="32D2BE55" w14:textId="77777777" w:rsidR="002D5273" w:rsidRPr="00EB2982" w:rsidRDefault="002D5273" w:rsidP="001342C6">
            <w:pPr>
              <w:autoSpaceDE w:val="0"/>
              <w:autoSpaceDN w:val="0"/>
              <w:adjustRightInd w:val="0"/>
              <w:jc w:val="both"/>
            </w:pPr>
            <w:r w:rsidRPr="00EB2982">
              <w:t>7,33%</w:t>
            </w:r>
          </w:p>
        </w:tc>
        <w:tc>
          <w:tcPr>
            <w:tcW w:w="992" w:type="dxa"/>
            <w:noWrap/>
          </w:tcPr>
          <w:p w14:paraId="59DC9BD1" w14:textId="77777777" w:rsidR="002D5273" w:rsidRPr="00EB2982" w:rsidRDefault="002D5273" w:rsidP="001342C6">
            <w:pPr>
              <w:autoSpaceDE w:val="0"/>
              <w:autoSpaceDN w:val="0"/>
              <w:adjustRightInd w:val="0"/>
              <w:jc w:val="both"/>
            </w:pPr>
            <w:r w:rsidRPr="00EB2982">
              <w:t>2,02%</w:t>
            </w:r>
          </w:p>
        </w:tc>
      </w:tr>
      <w:tr w:rsidR="002D5273" w:rsidRPr="00EB2982" w14:paraId="169624D8" w14:textId="77777777" w:rsidTr="002C7C5F">
        <w:trPr>
          <w:trHeight w:val="264"/>
        </w:trPr>
        <w:tc>
          <w:tcPr>
            <w:tcW w:w="2405" w:type="dxa"/>
            <w:noWrap/>
            <w:hideMark/>
          </w:tcPr>
          <w:p w14:paraId="1DBA7AA8" w14:textId="77777777" w:rsidR="002D5273" w:rsidRPr="00EB2982" w:rsidRDefault="002D5273" w:rsidP="001342C6">
            <w:pPr>
              <w:autoSpaceDE w:val="0"/>
              <w:autoSpaceDN w:val="0"/>
              <w:adjustRightInd w:val="0"/>
              <w:jc w:val="both"/>
            </w:pPr>
            <w:r w:rsidRPr="00EB2982">
              <w:t>Grant-in-Aid</w:t>
            </w:r>
          </w:p>
        </w:tc>
        <w:tc>
          <w:tcPr>
            <w:tcW w:w="1276" w:type="dxa"/>
            <w:noWrap/>
          </w:tcPr>
          <w:p w14:paraId="160048D7" w14:textId="77777777" w:rsidR="002D5273" w:rsidRPr="00EB2982" w:rsidRDefault="002D5273" w:rsidP="001342C6">
            <w:pPr>
              <w:autoSpaceDE w:val="0"/>
              <w:autoSpaceDN w:val="0"/>
              <w:adjustRightInd w:val="0"/>
              <w:jc w:val="both"/>
            </w:pPr>
            <w:r w:rsidRPr="00EB2982">
              <w:t>1 011,1</w:t>
            </w:r>
          </w:p>
        </w:tc>
        <w:tc>
          <w:tcPr>
            <w:tcW w:w="1276" w:type="dxa"/>
            <w:noWrap/>
          </w:tcPr>
          <w:p w14:paraId="23F7105D" w14:textId="77777777" w:rsidR="002D5273" w:rsidRPr="00EB2982" w:rsidRDefault="002D5273" w:rsidP="001342C6">
            <w:pPr>
              <w:autoSpaceDE w:val="0"/>
              <w:autoSpaceDN w:val="0"/>
              <w:adjustRightInd w:val="0"/>
              <w:jc w:val="both"/>
            </w:pPr>
            <w:r w:rsidRPr="00EB2982">
              <w:t>1 237,5</w:t>
            </w:r>
          </w:p>
        </w:tc>
        <w:tc>
          <w:tcPr>
            <w:tcW w:w="1275" w:type="dxa"/>
            <w:noWrap/>
          </w:tcPr>
          <w:p w14:paraId="583B725C" w14:textId="77777777" w:rsidR="002D5273" w:rsidRPr="00EB2982" w:rsidRDefault="002D5273" w:rsidP="001342C6">
            <w:pPr>
              <w:autoSpaceDE w:val="0"/>
              <w:autoSpaceDN w:val="0"/>
              <w:adjustRightInd w:val="0"/>
              <w:jc w:val="both"/>
            </w:pPr>
            <w:r w:rsidRPr="00EB2982">
              <w:t>226,4</w:t>
            </w:r>
          </w:p>
        </w:tc>
        <w:tc>
          <w:tcPr>
            <w:tcW w:w="1276" w:type="dxa"/>
            <w:noWrap/>
          </w:tcPr>
          <w:p w14:paraId="7B9F248F" w14:textId="77777777" w:rsidR="002D5273" w:rsidRPr="00EB2982" w:rsidRDefault="002D5273" w:rsidP="001342C6">
            <w:pPr>
              <w:autoSpaceDE w:val="0"/>
              <w:autoSpaceDN w:val="0"/>
              <w:adjustRightInd w:val="0"/>
              <w:jc w:val="both"/>
            </w:pPr>
            <w:r w:rsidRPr="00EB2982">
              <w:t>165,2</w:t>
            </w:r>
          </w:p>
        </w:tc>
        <w:tc>
          <w:tcPr>
            <w:tcW w:w="1134" w:type="dxa"/>
            <w:noWrap/>
          </w:tcPr>
          <w:p w14:paraId="234A8CCB" w14:textId="77777777" w:rsidR="002D5273" w:rsidRPr="00EB2982" w:rsidRDefault="002D5273" w:rsidP="001342C6">
            <w:pPr>
              <w:autoSpaceDE w:val="0"/>
              <w:autoSpaceDN w:val="0"/>
              <w:adjustRightInd w:val="0"/>
              <w:jc w:val="both"/>
            </w:pPr>
            <w:r w:rsidRPr="00EB2982">
              <w:t>22,39%</w:t>
            </w:r>
          </w:p>
        </w:tc>
        <w:tc>
          <w:tcPr>
            <w:tcW w:w="992" w:type="dxa"/>
            <w:noWrap/>
          </w:tcPr>
          <w:p w14:paraId="7E08118C" w14:textId="77777777" w:rsidR="002D5273" w:rsidRPr="00EB2982" w:rsidRDefault="002D5273" w:rsidP="001342C6">
            <w:pPr>
              <w:autoSpaceDE w:val="0"/>
              <w:autoSpaceDN w:val="0"/>
              <w:adjustRightInd w:val="0"/>
              <w:jc w:val="both"/>
            </w:pPr>
            <w:r w:rsidRPr="00EB2982">
              <w:t>16,34%</w:t>
            </w:r>
          </w:p>
        </w:tc>
      </w:tr>
      <w:tr w:rsidR="002D5273" w:rsidRPr="00EB2982" w14:paraId="1A3CDD2F" w14:textId="77777777" w:rsidTr="002C7C5F">
        <w:trPr>
          <w:trHeight w:val="264"/>
        </w:trPr>
        <w:tc>
          <w:tcPr>
            <w:tcW w:w="2405" w:type="dxa"/>
            <w:noWrap/>
            <w:hideMark/>
          </w:tcPr>
          <w:p w14:paraId="1910250C" w14:textId="77777777" w:rsidR="002D5273" w:rsidRPr="00EB2982" w:rsidRDefault="002D5273" w:rsidP="001342C6">
            <w:pPr>
              <w:autoSpaceDE w:val="0"/>
              <w:autoSpaceDN w:val="0"/>
              <w:adjustRightInd w:val="0"/>
              <w:jc w:val="both"/>
            </w:pPr>
            <w:r w:rsidRPr="00EB2982">
              <w:t>Social Relief of Distress</w:t>
            </w:r>
          </w:p>
        </w:tc>
        <w:tc>
          <w:tcPr>
            <w:tcW w:w="1276" w:type="dxa"/>
            <w:noWrap/>
          </w:tcPr>
          <w:p w14:paraId="1B6A0824" w14:textId="77777777" w:rsidR="002D5273" w:rsidRPr="00EB2982" w:rsidRDefault="002D5273" w:rsidP="001342C6">
            <w:pPr>
              <w:autoSpaceDE w:val="0"/>
              <w:autoSpaceDN w:val="0"/>
              <w:adjustRightInd w:val="0"/>
              <w:jc w:val="both"/>
            </w:pPr>
            <w:r w:rsidRPr="00EB2982">
              <w:t>410,0</w:t>
            </w:r>
          </w:p>
        </w:tc>
        <w:tc>
          <w:tcPr>
            <w:tcW w:w="1276" w:type="dxa"/>
            <w:noWrap/>
          </w:tcPr>
          <w:p w14:paraId="4DC70B31" w14:textId="77777777" w:rsidR="002D5273" w:rsidRPr="00EB2982" w:rsidRDefault="002D5273" w:rsidP="001342C6">
            <w:pPr>
              <w:autoSpaceDE w:val="0"/>
              <w:autoSpaceDN w:val="0"/>
              <w:adjustRightInd w:val="0"/>
              <w:jc w:val="both"/>
            </w:pPr>
            <w:r w:rsidRPr="00EB2982">
              <w:t>410,0</w:t>
            </w:r>
          </w:p>
        </w:tc>
        <w:tc>
          <w:tcPr>
            <w:tcW w:w="1275" w:type="dxa"/>
            <w:noWrap/>
          </w:tcPr>
          <w:p w14:paraId="680546E4" w14:textId="77777777" w:rsidR="002D5273" w:rsidRPr="00EB2982" w:rsidRDefault="002D5273" w:rsidP="001342C6">
            <w:pPr>
              <w:autoSpaceDE w:val="0"/>
              <w:autoSpaceDN w:val="0"/>
              <w:adjustRightInd w:val="0"/>
              <w:jc w:val="both"/>
            </w:pPr>
            <w:r w:rsidRPr="00EB2982">
              <w:t>0,0</w:t>
            </w:r>
          </w:p>
        </w:tc>
        <w:tc>
          <w:tcPr>
            <w:tcW w:w="1276" w:type="dxa"/>
            <w:noWrap/>
          </w:tcPr>
          <w:p w14:paraId="2D7D8ED7" w14:textId="77777777" w:rsidR="002D5273" w:rsidRPr="00EB2982" w:rsidRDefault="002D5273" w:rsidP="001342C6">
            <w:pPr>
              <w:autoSpaceDE w:val="0"/>
              <w:autoSpaceDN w:val="0"/>
              <w:adjustRightInd w:val="0"/>
              <w:jc w:val="both"/>
            </w:pPr>
            <w:r w:rsidRPr="00EB2982">
              <w:t>-  20,3</w:t>
            </w:r>
          </w:p>
        </w:tc>
        <w:tc>
          <w:tcPr>
            <w:tcW w:w="1134" w:type="dxa"/>
            <w:noWrap/>
          </w:tcPr>
          <w:p w14:paraId="44DDAB2B" w14:textId="77777777" w:rsidR="002D5273" w:rsidRPr="00EB2982" w:rsidRDefault="002D5273" w:rsidP="001342C6">
            <w:pPr>
              <w:autoSpaceDE w:val="0"/>
              <w:autoSpaceDN w:val="0"/>
              <w:adjustRightInd w:val="0"/>
              <w:jc w:val="both"/>
            </w:pPr>
            <w:r w:rsidRPr="00EB2982">
              <w:t>0,0%</w:t>
            </w:r>
          </w:p>
        </w:tc>
        <w:tc>
          <w:tcPr>
            <w:tcW w:w="992" w:type="dxa"/>
            <w:noWrap/>
          </w:tcPr>
          <w:p w14:paraId="06FC5B07" w14:textId="77777777" w:rsidR="002D5273" w:rsidRPr="00EB2982" w:rsidRDefault="002D5273" w:rsidP="001342C6">
            <w:pPr>
              <w:autoSpaceDE w:val="0"/>
              <w:autoSpaceDN w:val="0"/>
              <w:adjustRightInd w:val="0"/>
              <w:jc w:val="both"/>
            </w:pPr>
            <w:r w:rsidRPr="00EB2982">
              <w:t>-4,94%</w:t>
            </w:r>
          </w:p>
        </w:tc>
      </w:tr>
      <w:tr w:rsidR="002D5273" w:rsidRPr="00EB2982" w14:paraId="4D47D65C" w14:textId="77777777" w:rsidTr="002C7C5F">
        <w:trPr>
          <w:trHeight w:val="264"/>
        </w:trPr>
        <w:tc>
          <w:tcPr>
            <w:tcW w:w="2405" w:type="dxa"/>
            <w:noWrap/>
            <w:hideMark/>
          </w:tcPr>
          <w:p w14:paraId="2BFE0C0C" w14:textId="77777777" w:rsidR="002D5273" w:rsidRPr="00EB2982" w:rsidRDefault="002D5273" w:rsidP="001342C6">
            <w:pPr>
              <w:autoSpaceDE w:val="0"/>
              <w:autoSpaceDN w:val="0"/>
              <w:adjustRightInd w:val="0"/>
              <w:jc w:val="both"/>
              <w:rPr>
                <w:b/>
              </w:rPr>
            </w:pPr>
            <w:r w:rsidRPr="00EB2982">
              <w:rPr>
                <w:b/>
              </w:rPr>
              <w:t>TOTAL</w:t>
            </w:r>
          </w:p>
        </w:tc>
        <w:tc>
          <w:tcPr>
            <w:tcW w:w="1276" w:type="dxa"/>
            <w:noWrap/>
            <w:vAlign w:val="bottom"/>
          </w:tcPr>
          <w:p w14:paraId="4C20F622" w14:textId="77777777" w:rsidR="002D5273" w:rsidRPr="00EB2982" w:rsidRDefault="002D5273" w:rsidP="001342C6">
            <w:pPr>
              <w:autoSpaceDE w:val="0"/>
              <w:autoSpaceDN w:val="0"/>
              <w:adjustRightInd w:val="0"/>
              <w:jc w:val="both"/>
              <w:rPr>
                <w:b/>
              </w:rPr>
            </w:pPr>
            <w:r w:rsidRPr="00EB2982">
              <w:rPr>
                <w:b/>
              </w:rPr>
              <w:t xml:space="preserve"> 162 860,7</w:t>
            </w:r>
          </w:p>
        </w:tc>
        <w:tc>
          <w:tcPr>
            <w:tcW w:w="1276" w:type="dxa"/>
            <w:noWrap/>
            <w:vAlign w:val="bottom"/>
          </w:tcPr>
          <w:p w14:paraId="278F6506" w14:textId="77777777" w:rsidR="002D5273" w:rsidRPr="00EB2982" w:rsidRDefault="002D5273" w:rsidP="001342C6">
            <w:pPr>
              <w:autoSpaceDE w:val="0"/>
              <w:autoSpaceDN w:val="0"/>
              <w:adjustRightInd w:val="0"/>
              <w:jc w:val="both"/>
              <w:rPr>
                <w:b/>
              </w:rPr>
            </w:pPr>
            <w:r w:rsidRPr="00EB2982">
              <w:rPr>
                <w:b/>
              </w:rPr>
              <w:t xml:space="preserve"> 175 155,6</w:t>
            </w:r>
          </w:p>
        </w:tc>
        <w:tc>
          <w:tcPr>
            <w:tcW w:w="1275" w:type="dxa"/>
            <w:noWrap/>
            <w:vAlign w:val="bottom"/>
          </w:tcPr>
          <w:p w14:paraId="43235585" w14:textId="77777777" w:rsidR="002D5273" w:rsidRPr="00EB2982" w:rsidRDefault="002D5273" w:rsidP="001342C6">
            <w:pPr>
              <w:autoSpaceDE w:val="0"/>
              <w:autoSpaceDN w:val="0"/>
              <w:adjustRightInd w:val="0"/>
              <w:jc w:val="both"/>
              <w:rPr>
                <w:b/>
              </w:rPr>
            </w:pPr>
            <w:r w:rsidRPr="00EB2982">
              <w:rPr>
                <w:b/>
                <w:bCs/>
              </w:rPr>
              <w:t xml:space="preserve"> 12 294,9</w:t>
            </w:r>
          </w:p>
        </w:tc>
        <w:tc>
          <w:tcPr>
            <w:tcW w:w="1276" w:type="dxa"/>
            <w:noWrap/>
            <w:vAlign w:val="bottom"/>
          </w:tcPr>
          <w:p w14:paraId="3D94ADF4" w14:textId="77777777" w:rsidR="002D5273" w:rsidRPr="00EB2982" w:rsidRDefault="002D5273" w:rsidP="001342C6">
            <w:pPr>
              <w:autoSpaceDE w:val="0"/>
              <w:autoSpaceDN w:val="0"/>
              <w:adjustRightInd w:val="0"/>
              <w:jc w:val="both"/>
            </w:pPr>
            <w:r w:rsidRPr="00EB2982">
              <w:rPr>
                <w:b/>
                <w:bCs/>
              </w:rPr>
              <w:t xml:space="preserve"> 3 637,0</w:t>
            </w:r>
          </w:p>
        </w:tc>
        <w:tc>
          <w:tcPr>
            <w:tcW w:w="1134" w:type="dxa"/>
            <w:noWrap/>
            <w:vAlign w:val="bottom"/>
          </w:tcPr>
          <w:p w14:paraId="0BE22CEE" w14:textId="77777777" w:rsidR="002D5273" w:rsidRPr="00EB2982" w:rsidRDefault="002D5273" w:rsidP="001342C6">
            <w:pPr>
              <w:autoSpaceDE w:val="0"/>
              <w:autoSpaceDN w:val="0"/>
              <w:adjustRightInd w:val="0"/>
              <w:jc w:val="both"/>
            </w:pPr>
            <w:r w:rsidRPr="00EB2982">
              <w:rPr>
                <w:b/>
                <w:bCs/>
              </w:rPr>
              <w:t>7,55%</w:t>
            </w:r>
          </w:p>
        </w:tc>
        <w:tc>
          <w:tcPr>
            <w:tcW w:w="992" w:type="dxa"/>
            <w:noWrap/>
            <w:vAlign w:val="bottom"/>
          </w:tcPr>
          <w:p w14:paraId="7EE25E47" w14:textId="77777777" w:rsidR="002D5273" w:rsidRPr="00EB2982" w:rsidRDefault="002D5273" w:rsidP="001342C6">
            <w:pPr>
              <w:autoSpaceDE w:val="0"/>
              <w:autoSpaceDN w:val="0"/>
              <w:adjustRightInd w:val="0"/>
              <w:jc w:val="both"/>
            </w:pPr>
            <w:r w:rsidRPr="00EB2982">
              <w:rPr>
                <w:b/>
                <w:bCs/>
              </w:rPr>
              <w:t>2,23%</w:t>
            </w:r>
          </w:p>
        </w:tc>
      </w:tr>
    </w:tbl>
    <w:p w14:paraId="57F757F8" w14:textId="77777777" w:rsidR="002D5273" w:rsidRPr="00EB2982" w:rsidRDefault="002D5273" w:rsidP="001342C6">
      <w:pPr>
        <w:pStyle w:val="Caption"/>
        <w:spacing w:line="280" w:lineRule="exact"/>
        <w:rPr>
          <w:rFonts w:ascii="Times New Roman" w:hAnsi="Times New Roman" w:cs="Times New Roman"/>
          <w:color w:val="000000" w:themeColor="text1"/>
          <w:sz w:val="16"/>
          <w:szCs w:val="16"/>
        </w:rPr>
      </w:pPr>
      <w:r w:rsidRPr="00EB2982">
        <w:rPr>
          <w:rFonts w:ascii="Times New Roman" w:hAnsi="Times New Roman" w:cs="Times New Roman"/>
          <w:color w:val="000000" w:themeColor="text1"/>
          <w:sz w:val="16"/>
          <w:szCs w:val="16"/>
        </w:rPr>
        <w:t>Source: National Treasury (2019)</w:t>
      </w:r>
    </w:p>
    <w:p w14:paraId="46F6A90C" w14:textId="77777777" w:rsidR="002D5273" w:rsidRPr="00EB2982" w:rsidRDefault="002D5273" w:rsidP="001342C6">
      <w:pPr>
        <w:autoSpaceDE w:val="0"/>
        <w:autoSpaceDN w:val="0"/>
        <w:adjustRightInd w:val="0"/>
        <w:jc w:val="both"/>
        <w:rPr>
          <w:lang w:val="en-US"/>
        </w:rPr>
      </w:pPr>
    </w:p>
    <w:p w14:paraId="7FC01709" w14:textId="77777777" w:rsidR="002D5273" w:rsidRPr="00EB2982" w:rsidRDefault="002D5273" w:rsidP="001342C6">
      <w:pPr>
        <w:autoSpaceDE w:val="0"/>
        <w:autoSpaceDN w:val="0"/>
        <w:adjustRightInd w:val="0"/>
        <w:jc w:val="both"/>
        <w:rPr>
          <w:color w:val="000000"/>
          <w:spacing w:val="6"/>
        </w:rPr>
      </w:pPr>
      <w:r w:rsidRPr="00EB2982">
        <w:rPr>
          <w:color w:val="000000"/>
          <w:lang w:val="en-US"/>
        </w:rPr>
        <w:t xml:space="preserve">Budget allocation for social Assistance increases from R162.8 billion in 2018/19 to R175.1 billion in 2019/2020. The focus is on providing income support to socially vulnerable groups such as the elderly, persons with disabilities, and caregivers of children. The 2019/20 allocation to the programme stays above inflation, representing a real increase of 2.23 per cent. </w:t>
      </w:r>
    </w:p>
    <w:p w14:paraId="0740A0C5" w14:textId="77777777" w:rsidR="002D5273" w:rsidRPr="00EB2982" w:rsidRDefault="002D5273" w:rsidP="001342C6">
      <w:pPr>
        <w:autoSpaceDE w:val="0"/>
        <w:autoSpaceDN w:val="0"/>
        <w:adjustRightInd w:val="0"/>
        <w:jc w:val="both"/>
        <w:rPr>
          <w:color w:val="000000"/>
          <w:lang w:val="en-US"/>
        </w:rPr>
      </w:pPr>
    </w:p>
    <w:p w14:paraId="556459A4" w14:textId="77777777" w:rsidR="002D5273" w:rsidRPr="00EB2982" w:rsidRDefault="002D5273" w:rsidP="001342C6">
      <w:pPr>
        <w:spacing w:after="160"/>
        <w:contextualSpacing/>
        <w:jc w:val="both"/>
        <w:rPr>
          <w:lang w:val="en-US"/>
        </w:rPr>
      </w:pPr>
      <w:r w:rsidRPr="00EB2982">
        <w:rPr>
          <w:color w:val="000000"/>
          <w:lang w:val="en-US"/>
        </w:rPr>
        <w:t xml:space="preserve">Expenditure under this </w:t>
      </w:r>
      <w:r w:rsidR="00925A34" w:rsidRPr="00EB2982">
        <w:rPr>
          <w:color w:val="000000"/>
          <w:lang w:val="en-US"/>
        </w:rPr>
        <w:t>programme is</w:t>
      </w:r>
      <w:r w:rsidRPr="00EB2982">
        <w:rPr>
          <w:color w:val="000000"/>
          <w:lang w:val="en-US"/>
        </w:rPr>
        <w:t xml:space="preserve"> dominated by the </w:t>
      </w:r>
      <w:r w:rsidRPr="00EB2982">
        <w:rPr>
          <w:i/>
          <w:color w:val="000000"/>
          <w:lang w:val="en-US"/>
        </w:rPr>
        <w:t>Old Age</w:t>
      </w:r>
      <w:r w:rsidRPr="00EB2982">
        <w:rPr>
          <w:color w:val="000000"/>
          <w:lang w:val="en-US"/>
        </w:rPr>
        <w:t xml:space="preserve"> and </w:t>
      </w:r>
      <w:r w:rsidRPr="00EB2982">
        <w:rPr>
          <w:i/>
          <w:color w:val="000000"/>
          <w:lang w:val="en-US"/>
        </w:rPr>
        <w:t>Child Support</w:t>
      </w:r>
      <w:r w:rsidRPr="00EB2982">
        <w:rPr>
          <w:color w:val="000000"/>
          <w:lang w:val="en-US"/>
        </w:rPr>
        <w:t xml:space="preserve"> grants, which are allocated R76.9 billion and R64.9 billion respectively. Both grant-types record above-inflation increases, i.e. 3.7 per cent and 2.02 per cent real growth respectively. The strongest growth in expenditure is projected for the </w:t>
      </w:r>
      <w:r w:rsidRPr="00EB2982">
        <w:rPr>
          <w:i/>
          <w:color w:val="000000"/>
          <w:lang w:val="en-US"/>
        </w:rPr>
        <w:t>Grant-in-Aid</w:t>
      </w:r>
      <w:r w:rsidRPr="00EB2982">
        <w:rPr>
          <w:color w:val="000000"/>
          <w:lang w:val="en-US"/>
        </w:rPr>
        <w:t xml:space="preserve"> (i.e. 16.34 per cent real growth). </w:t>
      </w:r>
      <w:r w:rsidRPr="00EB2982">
        <w:rPr>
          <w:i/>
          <w:iCs/>
          <w:lang w:val="en-US"/>
        </w:rPr>
        <w:t>Grant-in-Aid</w:t>
      </w:r>
      <w:r w:rsidRPr="00EB2982">
        <w:rPr>
          <w:iCs/>
          <w:lang w:val="en-US"/>
        </w:rPr>
        <w:t xml:space="preserve"> </w:t>
      </w:r>
      <w:r w:rsidRPr="00EB2982">
        <w:rPr>
          <w:lang w:val="en-US"/>
        </w:rPr>
        <w:t xml:space="preserve">is an additional grant to recipients of the Old Age, Disability or War Veterans grants, who require regular care from another person due to their physical or mental status. </w:t>
      </w:r>
    </w:p>
    <w:p w14:paraId="05CFCBA3" w14:textId="77777777" w:rsidR="002D5273" w:rsidRPr="00EB2982" w:rsidRDefault="002D5273" w:rsidP="001342C6">
      <w:pPr>
        <w:autoSpaceDE w:val="0"/>
        <w:autoSpaceDN w:val="0"/>
        <w:adjustRightInd w:val="0"/>
        <w:jc w:val="both"/>
        <w:rPr>
          <w:color w:val="000000"/>
          <w:lang w:val="en-US"/>
        </w:rPr>
      </w:pPr>
    </w:p>
    <w:p w14:paraId="0FC3E4A4" w14:textId="77777777" w:rsidR="002D5273" w:rsidRPr="00EB2982" w:rsidRDefault="002D5273" w:rsidP="001342C6">
      <w:pPr>
        <w:autoSpaceDE w:val="0"/>
        <w:autoSpaceDN w:val="0"/>
        <w:adjustRightInd w:val="0"/>
        <w:jc w:val="both"/>
        <w:rPr>
          <w:color w:val="000000"/>
          <w:lang w:val="en-US"/>
        </w:rPr>
      </w:pPr>
      <w:r w:rsidRPr="00EB2982">
        <w:t xml:space="preserve">Most of the social grants experience above-inflation increases for 2019/20, with the exception of the following: </w:t>
      </w:r>
    </w:p>
    <w:p w14:paraId="6927126F" w14:textId="77777777" w:rsidR="002D5273" w:rsidRPr="00EB2982" w:rsidRDefault="002D5273" w:rsidP="001342C6">
      <w:pPr>
        <w:autoSpaceDE w:val="0"/>
        <w:autoSpaceDN w:val="0"/>
        <w:adjustRightInd w:val="0"/>
        <w:jc w:val="both"/>
      </w:pPr>
    </w:p>
    <w:p w14:paraId="1AFB28A2" w14:textId="77777777" w:rsidR="002D5273" w:rsidRPr="00EB2982" w:rsidRDefault="002D5273" w:rsidP="001342C6">
      <w:pPr>
        <w:pStyle w:val="ListParagraph"/>
        <w:numPr>
          <w:ilvl w:val="0"/>
          <w:numId w:val="33"/>
        </w:numPr>
        <w:autoSpaceDE w:val="0"/>
        <w:autoSpaceDN w:val="0"/>
        <w:adjustRightInd w:val="0"/>
        <w:spacing w:after="0" w:line="280" w:lineRule="exact"/>
        <w:jc w:val="both"/>
        <w:rPr>
          <w:rFonts w:ascii="Times New Roman" w:hAnsi="Times New Roman"/>
          <w:sz w:val="24"/>
          <w:szCs w:val="24"/>
        </w:rPr>
      </w:pPr>
      <w:r w:rsidRPr="00EB2982">
        <w:rPr>
          <w:rFonts w:ascii="Times New Roman" w:hAnsi="Times New Roman"/>
          <w:i/>
          <w:sz w:val="24"/>
          <w:szCs w:val="24"/>
        </w:rPr>
        <w:t>War Veterans</w:t>
      </w:r>
      <w:r w:rsidRPr="00EB2982">
        <w:rPr>
          <w:rFonts w:ascii="Times New Roman" w:hAnsi="Times New Roman"/>
          <w:sz w:val="24"/>
          <w:szCs w:val="24"/>
        </w:rPr>
        <w:t xml:space="preserve"> (-32.67 per cent); </w:t>
      </w:r>
    </w:p>
    <w:p w14:paraId="30528F71" w14:textId="77777777" w:rsidR="002D5273" w:rsidRPr="00EB2982" w:rsidRDefault="002D5273" w:rsidP="001342C6">
      <w:pPr>
        <w:pStyle w:val="ListParagraph"/>
        <w:numPr>
          <w:ilvl w:val="0"/>
          <w:numId w:val="33"/>
        </w:numPr>
        <w:autoSpaceDE w:val="0"/>
        <w:autoSpaceDN w:val="0"/>
        <w:adjustRightInd w:val="0"/>
        <w:spacing w:after="0" w:line="280" w:lineRule="exact"/>
        <w:jc w:val="both"/>
        <w:rPr>
          <w:rFonts w:ascii="Times New Roman" w:hAnsi="Times New Roman"/>
          <w:sz w:val="24"/>
          <w:szCs w:val="24"/>
        </w:rPr>
      </w:pPr>
      <w:r w:rsidRPr="00EB2982">
        <w:rPr>
          <w:rFonts w:ascii="Times New Roman" w:hAnsi="Times New Roman"/>
          <w:i/>
          <w:sz w:val="24"/>
          <w:szCs w:val="24"/>
        </w:rPr>
        <w:t>Disability</w:t>
      </w:r>
      <w:r w:rsidRPr="00EB2982">
        <w:rPr>
          <w:rFonts w:ascii="Times New Roman" w:hAnsi="Times New Roman"/>
          <w:sz w:val="24"/>
          <w:szCs w:val="24"/>
        </w:rPr>
        <w:t xml:space="preserve"> (-0.76 per cent); </w:t>
      </w:r>
    </w:p>
    <w:p w14:paraId="6A55AB8E" w14:textId="77777777" w:rsidR="002D5273" w:rsidRPr="00EB2982" w:rsidRDefault="002D5273" w:rsidP="001342C6">
      <w:pPr>
        <w:pStyle w:val="ListParagraph"/>
        <w:numPr>
          <w:ilvl w:val="0"/>
          <w:numId w:val="33"/>
        </w:numPr>
        <w:autoSpaceDE w:val="0"/>
        <w:autoSpaceDN w:val="0"/>
        <w:adjustRightInd w:val="0"/>
        <w:spacing w:after="0" w:line="280" w:lineRule="exact"/>
        <w:jc w:val="both"/>
        <w:rPr>
          <w:rFonts w:ascii="Times New Roman" w:hAnsi="Times New Roman"/>
          <w:color w:val="000000"/>
          <w:sz w:val="24"/>
          <w:szCs w:val="24"/>
        </w:rPr>
      </w:pPr>
      <w:r w:rsidRPr="00EB2982">
        <w:rPr>
          <w:rFonts w:ascii="Times New Roman" w:hAnsi="Times New Roman"/>
          <w:i/>
          <w:sz w:val="24"/>
          <w:szCs w:val="24"/>
        </w:rPr>
        <w:t>Foster Care</w:t>
      </w:r>
      <w:r w:rsidRPr="00EB2982">
        <w:rPr>
          <w:rFonts w:ascii="Times New Roman" w:hAnsi="Times New Roman"/>
          <w:sz w:val="24"/>
          <w:szCs w:val="24"/>
        </w:rPr>
        <w:t xml:space="preserve"> (-5.88 per cent); and </w:t>
      </w:r>
    </w:p>
    <w:p w14:paraId="73A347B1" w14:textId="77777777" w:rsidR="002D5273" w:rsidRPr="00EB2982" w:rsidRDefault="002D5273" w:rsidP="001342C6">
      <w:pPr>
        <w:pStyle w:val="ListParagraph"/>
        <w:numPr>
          <w:ilvl w:val="0"/>
          <w:numId w:val="33"/>
        </w:numPr>
        <w:autoSpaceDE w:val="0"/>
        <w:autoSpaceDN w:val="0"/>
        <w:adjustRightInd w:val="0"/>
        <w:spacing w:after="0" w:line="280" w:lineRule="exact"/>
        <w:jc w:val="both"/>
        <w:rPr>
          <w:rFonts w:ascii="Times New Roman" w:hAnsi="Times New Roman"/>
          <w:color w:val="000000"/>
          <w:sz w:val="24"/>
          <w:szCs w:val="24"/>
        </w:rPr>
      </w:pPr>
      <w:r w:rsidRPr="00EB2982">
        <w:rPr>
          <w:rFonts w:ascii="Times New Roman" w:hAnsi="Times New Roman"/>
          <w:i/>
          <w:sz w:val="24"/>
          <w:szCs w:val="24"/>
        </w:rPr>
        <w:t xml:space="preserve">Social Relief of Distress </w:t>
      </w:r>
      <w:r w:rsidRPr="00EB2982">
        <w:rPr>
          <w:rFonts w:ascii="Times New Roman" w:hAnsi="Times New Roman"/>
          <w:sz w:val="24"/>
          <w:szCs w:val="24"/>
        </w:rPr>
        <w:t>(-4.94 per cent).</w:t>
      </w:r>
    </w:p>
    <w:p w14:paraId="5A023AB9" w14:textId="77777777" w:rsidR="002D5273" w:rsidRPr="00EB2982" w:rsidRDefault="002D5273" w:rsidP="001342C6">
      <w:pPr>
        <w:autoSpaceDE w:val="0"/>
        <w:autoSpaceDN w:val="0"/>
        <w:adjustRightInd w:val="0"/>
        <w:jc w:val="both"/>
        <w:rPr>
          <w:color w:val="000000"/>
          <w:lang w:val="en-US"/>
        </w:rPr>
      </w:pPr>
    </w:p>
    <w:p w14:paraId="2293BAED" w14:textId="77777777" w:rsidR="002D5273" w:rsidRPr="00EB2982" w:rsidRDefault="002D5273" w:rsidP="001342C6">
      <w:pPr>
        <w:autoSpaceDE w:val="0"/>
        <w:autoSpaceDN w:val="0"/>
        <w:adjustRightInd w:val="0"/>
        <w:jc w:val="both"/>
        <w:rPr>
          <w:color w:val="000000"/>
          <w:lang w:val="en-US"/>
        </w:rPr>
      </w:pPr>
      <w:r w:rsidRPr="00EB2982">
        <w:rPr>
          <w:color w:val="000000"/>
          <w:lang w:val="en-US"/>
        </w:rPr>
        <w:t xml:space="preserve">The below inflation changes indicated for the four grants types listed above, is linked to projected numbers for the 2019/20 financial year. Beneficiaries for the Disability grant is projected to remain at about 1 million (same as previous year), while the Foster and War </w:t>
      </w:r>
      <w:r w:rsidRPr="00EB2982">
        <w:rPr>
          <w:color w:val="000000"/>
          <w:lang w:val="en-US"/>
        </w:rPr>
        <w:lastRenderedPageBreak/>
        <w:t>Veterans grants beneficiaries are projected to decline. In fact, the number</w:t>
      </w:r>
      <w:r w:rsidR="008B342D" w:rsidRPr="00EB2982">
        <w:rPr>
          <w:color w:val="000000"/>
          <w:lang w:val="en-US"/>
        </w:rPr>
        <w:t xml:space="preserve"> of Foster grant beneficiaries </w:t>
      </w:r>
      <w:r w:rsidRPr="00EB2982">
        <w:rPr>
          <w:color w:val="000000"/>
          <w:lang w:val="en-US"/>
        </w:rPr>
        <w:t>projections have been declining consistently over the past few years, and in 2019/20 is likely to decrease even further from 397 888 previously, to 351 418.</w:t>
      </w:r>
    </w:p>
    <w:p w14:paraId="1876E945" w14:textId="77777777" w:rsidR="002D5273" w:rsidRPr="00EB2982" w:rsidRDefault="002D5273" w:rsidP="001342C6">
      <w:pPr>
        <w:autoSpaceDE w:val="0"/>
        <w:autoSpaceDN w:val="0"/>
        <w:adjustRightInd w:val="0"/>
        <w:jc w:val="both"/>
      </w:pPr>
    </w:p>
    <w:p w14:paraId="24DFC75F" w14:textId="77777777" w:rsidR="002D5273" w:rsidRPr="00EB2982" w:rsidRDefault="002D5273" w:rsidP="001342C6">
      <w:pPr>
        <w:spacing w:after="160"/>
        <w:contextualSpacing/>
        <w:jc w:val="both"/>
        <w:rPr>
          <w:lang w:val="en-US"/>
        </w:rPr>
      </w:pPr>
      <w:r w:rsidRPr="00EB2982">
        <w:rPr>
          <w:lang w:val="en-US"/>
        </w:rPr>
        <w:t xml:space="preserve">The </w:t>
      </w:r>
      <w:r w:rsidRPr="00EB2982">
        <w:rPr>
          <w:i/>
          <w:lang w:val="en-US"/>
        </w:rPr>
        <w:t>Social Relief of Distress</w:t>
      </w:r>
      <w:r w:rsidRPr="00EB2982">
        <w:rPr>
          <w:lang w:val="en-US"/>
        </w:rPr>
        <w:t xml:space="preserve"> grant provides temporary income support, food parcels and other forms of relief to people experiencing undue hardship.</w:t>
      </w:r>
      <w:r w:rsidRPr="00EB2982">
        <w:t xml:space="preserve"> </w:t>
      </w:r>
    </w:p>
    <w:p w14:paraId="37F0500B" w14:textId="77777777" w:rsidR="002D5273" w:rsidRPr="00EB2982" w:rsidRDefault="002D5273" w:rsidP="001342C6">
      <w:pPr>
        <w:spacing w:after="160"/>
        <w:contextualSpacing/>
        <w:jc w:val="both"/>
        <w:rPr>
          <w:lang w:val="en-US"/>
        </w:rPr>
      </w:pPr>
    </w:p>
    <w:p w14:paraId="193B893E" w14:textId="77777777" w:rsidR="002D5273" w:rsidRPr="00EB2982" w:rsidRDefault="002D5273" w:rsidP="001342C6">
      <w:pPr>
        <w:spacing w:after="160"/>
        <w:contextualSpacing/>
        <w:jc w:val="both"/>
      </w:pPr>
      <w:r w:rsidRPr="00EB2982">
        <w:t>Due to delays in finalising legislative provisions for an extended Child Support grant for double orphans, Cabinet has approved a reduction in social grants of R500 million per year for 2019/20 and 2020/21. The Social Assistance Amendment Bill, which provides for these provisions, is expected to be tabled in Parliament for approval over the new MTEF period.</w:t>
      </w:r>
    </w:p>
    <w:p w14:paraId="1C0CE1CC" w14:textId="77777777" w:rsidR="002D5273" w:rsidRPr="00EB2982" w:rsidRDefault="002D5273" w:rsidP="001342C6">
      <w:pPr>
        <w:autoSpaceDE w:val="0"/>
        <w:autoSpaceDN w:val="0"/>
        <w:adjustRightInd w:val="0"/>
        <w:jc w:val="both"/>
        <w:rPr>
          <w:lang w:val="en-US"/>
        </w:rPr>
      </w:pPr>
    </w:p>
    <w:p w14:paraId="353F1385" w14:textId="77777777" w:rsidR="00894761" w:rsidRPr="00EB2982" w:rsidRDefault="00894761" w:rsidP="001342C6">
      <w:pPr>
        <w:autoSpaceDE w:val="0"/>
        <w:autoSpaceDN w:val="0"/>
        <w:adjustRightInd w:val="0"/>
        <w:spacing w:line="280" w:lineRule="exact"/>
        <w:jc w:val="both"/>
        <w:rPr>
          <w:color w:val="000000"/>
          <w:lang w:val="en-US"/>
        </w:rPr>
      </w:pPr>
      <w:r w:rsidRPr="00EB2982">
        <w:rPr>
          <w:color w:val="000000"/>
          <w:lang w:val="en-US"/>
        </w:rPr>
        <w:t xml:space="preserve">Social Assistance increases from R162.8 billion in 2018/19, reaching R175.1 billion currently. The focus is on providing income support to socially vulnerable groups such as the elderly, persons with disabilities, and caregivers of children.  The 2019/20 allocation to the programme stays above inflation, representing a real increase of 2.23 per cent. </w:t>
      </w:r>
    </w:p>
    <w:p w14:paraId="4FDCA8F0" w14:textId="77777777" w:rsidR="0087686A" w:rsidRPr="00EB2982" w:rsidRDefault="0087686A" w:rsidP="001342C6">
      <w:pPr>
        <w:autoSpaceDE w:val="0"/>
        <w:autoSpaceDN w:val="0"/>
        <w:adjustRightInd w:val="0"/>
        <w:spacing w:line="280" w:lineRule="exact"/>
        <w:jc w:val="both"/>
        <w:rPr>
          <w:color w:val="000000"/>
          <w:lang w:val="en-US"/>
        </w:rPr>
      </w:pPr>
    </w:p>
    <w:p w14:paraId="5F49CDF0" w14:textId="77777777" w:rsidR="001E0691" w:rsidRPr="00EB2982" w:rsidRDefault="000826C3" w:rsidP="005E2F3A">
      <w:pPr>
        <w:tabs>
          <w:tab w:val="left" w:pos="360"/>
        </w:tabs>
        <w:spacing w:line="280" w:lineRule="exact"/>
        <w:jc w:val="both"/>
        <w:rPr>
          <w:b/>
          <w:bCs/>
          <w:color w:val="000000"/>
          <w:lang w:val="en-ZA"/>
        </w:rPr>
      </w:pPr>
      <w:r w:rsidRPr="00EB2982">
        <w:rPr>
          <w:b/>
          <w:bCs/>
          <w:color w:val="000000"/>
          <w:lang w:val="en-ZA"/>
        </w:rPr>
        <w:t>4</w:t>
      </w:r>
      <w:r w:rsidR="001E0691" w:rsidRPr="00EB2982">
        <w:rPr>
          <w:b/>
          <w:bCs/>
          <w:color w:val="000000"/>
          <w:lang w:val="en-ZA"/>
        </w:rPr>
        <w:t>.3</w:t>
      </w:r>
      <w:r w:rsidR="001E0691" w:rsidRPr="00EB2982">
        <w:rPr>
          <w:b/>
          <w:bCs/>
          <w:color w:val="000000"/>
          <w:lang w:val="en-ZA"/>
        </w:rPr>
        <w:tab/>
      </w:r>
      <w:r w:rsidR="001E0691" w:rsidRPr="00EB2982">
        <w:rPr>
          <w:b/>
          <w:bCs/>
          <w:color w:val="000000"/>
          <w:lang w:val="en-ZA"/>
        </w:rPr>
        <w:tab/>
        <w:t xml:space="preserve">Programme 3: Social Security </w:t>
      </w:r>
      <w:r w:rsidR="00894761" w:rsidRPr="00EB2982">
        <w:rPr>
          <w:b/>
          <w:bCs/>
          <w:color w:val="000000"/>
          <w:lang w:val="en-ZA"/>
        </w:rPr>
        <w:t xml:space="preserve">Policy </w:t>
      </w:r>
      <w:r w:rsidR="001E0691" w:rsidRPr="00EB2982">
        <w:rPr>
          <w:b/>
          <w:bCs/>
          <w:color w:val="000000"/>
          <w:lang w:val="en-ZA"/>
        </w:rPr>
        <w:t>and Administration</w:t>
      </w:r>
    </w:p>
    <w:p w14:paraId="2D6E465B" w14:textId="77777777" w:rsidR="001E0691" w:rsidRPr="00EB2982" w:rsidRDefault="001E0691" w:rsidP="005E2F3A">
      <w:pPr>
        <w:tabs>
          <w:tab w:val="left" w:pos="360"/>
        </w:tabs>
        <w:spacing w:line="280" w:lineRule="exact"/>
        <w:jc w:val="both"/>
        <w:rPr>
          <w:b/>
          <w:bCs/>
          <w:color w:val="000000"/>
          <w:lang w:val="en-ZA"/>
        </w:rPr>
      </w:pPr>
    </w:p>
    <w:p w14:paraId="7A8DE68C" w14:textId="77777777" w:rsidR="001E0691" w:rsidRPr="00EB2982" w:rsidRDefault="001E0691" w:rsidP="008E441E">
      <w:pPr>
        <w:tabs>
          <w:tab w:val="left" w:pos="360"/>
        </w:tabs>
        <w:spacing w:line="280" w:lineRule="exact"/>
        <w:jc w:val="both"/>
        <w:rPr>
          <w:color w:val="000000" w:themeColor="text1"/>
          <w:lang w:val="en-ZA" w:eastAsia="en-ZA"/>
        </w:rPr>
      </w:pPr>
      <w:r w:rsidRPr="00EB2982">
        <w:rPr>
          <w:lang w:val="en-ZA" w:eastAsia="en-ZA"/>
        </w:rPr>
        <w:t>The purpose of this programme is to provide social security policy development administrative justice and the administration of social grant</w:t>
      </w:r>
      <w:r w:rsidR="00037DC7" w:rsidRPr="00EB2982">
        <w:rPr>
          <w:lang w:val="en-ZA" w:eastAsia="en-ZA"/>
        </w:rPr>
        <w:t>s</w:t>
      </w:r>
      <w:r w:rsidRPr="00EB2982">
        <w:rPr>
          <w:lang w:val="en-ZA" w:eastAsia="en-ZA"/>
        </w:rPr>
        <w:t xml:space="preserve"> </w:t>
      </w:r>
      <w:r w:rsidR="00F30A6B" w:rsidRPr="00EB2982">
        <w:rPr>
          <w:lang w:val="en-ZA" w:eastAsia="en-ZA"/>
        </w:rPr>
        <w:t xml:space="preserve">and the </w:t>
      </w:r>
      <w:r w:rsidRPr="00EB2982">
        <w:rPr>
          <w:lang w:val="en-ZA" w:eastAsia="en-ZA"/>
        </w:rPr>
        <w:t xml:space="preserve">reduction </w:t>
      </w:r>
      <w:r w:rsidRPr="00EB2982">
        <w:rPr>
          <w:color w:val="000000" w:themeColor="text1"/>
          <w:lang w:val="en-ZA" w:eastAsia="en-ZA"/>
        </w:rPr>
        <w:t>of incorrect benefits payments.</w:t>
      </w:r>
    </w:p>
    <w:p w14:paraId="30D292BB" w14:textId="77777777" w:rsidR="001E0691" w:rsidRPr="00EB2982" w:rsidRDefault="001E0691" w:rsidP="00F96CBE">
      <w:pPr>
        <w:tabs>
          <w:tab w:val="left" w:pos="360"/>
        </w:tabs>
        <w:spacing w:line="280" w:lineRule="exact"/>
        <w:jc w:val="both"/>
        <w:rPr>
          <w:lang w:val="en-ZA" w:eastAsia="en-ZA"/>
        </w:rPr>
      </w:pPr>
    </w:p>
    <w:p w14:paraId="1953CBCE" w14:textId="77777777" w:rsidR="00921243" w:rsidRPr="00EB2982" w:rsidRDefault="00335679" w:rsidP="00F96CBE">
      <w:pPr>
        <w:spacing w:line="280" w:lineRule="exact"/>
        <w:jc w:val="both"/>
      </w:pPr>
      <w:r w:rsidRPr="00EB2982">
        <w:t>This programme has a total of 4 targets for 2019</w:t>
      </w:r>
      <w:r w:rsidR="00921243" w:rsidRPr="00EB2982">
        <w:t xml:space="preserve">/2020, which are as follows: </w:t>
      </w:r>
    </w:p>
    <w:p w14:paraId="3EBE5655" w14:textId="77777777" w:rsidR="00037DC7" w:rsidRPr="00EB2982" w:rsidRDefault="00037DC7" w:rsidP="00F96CBE">
      <w:pPr>
        <w:spacing w:line="280" w:lineRule="exact"/>
        <w:jc w:val="both"/>
      </w:pPr>
    </w:p>
    <w:p w14:paraId="2702D312" w14:textId="77777777" w:rsidR="00C65167" w:rsidRPr="00EB2982" w:rsidRDefault="00921243" w:rsidP="001342C6">
      <w:pPr>
        <w:numPr>
          <w:ilvl w:val="0"/>
          <w:numId w:val="7"/>
        </w:numPr>
        <w:spacing w:line="280" w:lineRule="exact"/>
        <w:jc w:val="both"/>
        <w:rPr>
          <w:rStyle w:val="st1"/>
        </w:rPr>
      </w:pPr>
      <w:r w:rsidRPr="00EB2982">
        <w:t>Submit revised policy on mandatory cover for</w:t>
      </w:r>
      <w:r w:rsidR="00037DC7" w:rsidRPr="00EB2982">
        <w:t xml:space="preserve"> retirement, disability and survivor benefits</w:t>
      </w:r>
      <w:r w:rsidRPr="00EB2982">
        <w:t xml:space="preserve"> to relevant </w:t>
      </w:r>
      <w:r w:rsidRPr="00EB2982">
        <w:rPr>
          <w:rStyle w:val="st1"/>
        </w:rPr>
        <w:t>Forum of South African Directors-General (FOSAD) cluster</w:t>
      </w:r>
      <w:r w:rsidRPr="00EB2982">
        <w:t xml:space="preserve">. </w:t>
      </w:r>
    </w:p>
    <w:p w14:paraId="32682B5D" w14:textId="77777777" w:rsidR="00037DC7" w:rsidRPr="00EB2982" w:rsidRDefault="00921243" w:rsidP="001342C6">
      <w:pPr>
        <w:numPr>
          <w:ilvl w:val="0"/>
          <w:numId w:val="7"/>
        </w:numPr>
        <w:spacing w:line="280" w:lineRule="exact"/>
        <w:jc w:val="both"/>
      </w:pPr>
      <w:r w:rsidRPr="00EB2982">
        <w:rPr>
          <w:rStyle w:val="st1"/>
        </w:rPr>
        <w:t>S</w:t>
      </w:r>
      <w:r w:rsidR="00C65167" w:rsidRPr="00EB2982">
        <w:rPr>
          <w:rStyle w:val="st1"/>
        </w:rPr>
        <w:t>ubmit policy on voluntary</w:t>
      </w:r>
      <w:r w:rsidR="00037DC7" w:rsidRPr="00EB2982">
        <w:t xml:space="preserve"> inclusion of informal sector workers in social </w:t>
      </w:r>
      <w:r w:rsidR="000B5395" w:rsidRPr="00EB2982">
        <w:t xml:space="preserve">security </w:t>
      </w:r>
      <w:r w:rsidRPr="00EB2982">
        <w:t>to</w:t>
      </w:r>
      <w:r w:rsidR="00037DC7" w:rsidRPr="00EB2982">
        <w:t xml:space="preserve"> </w:t>
      </w:r>
      <w:r w:rsidR="00037DC7" w:rsidRPr="00EB2982">
        <w:rPr>
          <w:rStyle w:val="Emphasis"/>
          <w:b w:val="0"/>
        </w:rPr>
        <w:t>FOSAD</w:t>
      </w:r>
      <w:r w:rsidRPr="00EB2982">
        <w:rPr>
          <w:rStyle w:val="st1"/>
        </w:rPr>
        <w:t>.</w:t>
      </w:r>
      <w:r w:rsidR="00037DC7" w:rsidRPr="00EB2982">
        <w:t xml:space="preserve"> </w:t>
      </w:r>
    </w:p>
    <w:p w14:paraId="61544FBF" w14:textId="77777777" w:rsidR="00037DC7" w:rsidRPr="00EB2982" w:rsidRDefault="00921243" w:rsidP="001342C6">
      <w:pPr>
        <w:numPr>
          <w:ilvl w:val="0"/>
          <w:numId w:val="7"/>
        </w:numPr>
        <w:spacing w:line="280" w:lineRule="exact"/>
        <w:jc w:val="both"/>
      </w:pPr>
      <w:r w:rsidRPr="00EB2982">
        <w:t>C</w:t>
      </w:r>
      <w:r w:rsidR="00037DC7" w:rsidRPr="00EB2982">
        <w:t xml:space="preserve">omplete the discussion paper on linking Child Support Grant beneficiaries with government services.  </w:t>
      </w:r>
    </w:p>
    <w:p w14:paraId="7A843EBB" w14:textId="77777777" w:rsidR="00037DC7" w:rsidRPr="00EB2982" w:rsidRDefault="00921243" w:rsidP="001342C6">
      <w:pPr>
        <w:numPr>
          <w:ilvl w:val="0"/>
          <w:numId w:val="7"/>
        </w:numPr>
        <w:spacing w:line="280" w:lineRule="exact"/>
        <w:jc w:val="both"/>
      </w:pPr>
      <w:r w:rsidRPr="00EB2982">
        <w:t>D</w:t>
      </w:r>
      <w:r w:rsidR="00037DC7" w:rsidRPr="00EB2982">
        <w:t xml:space="preserve">raft regulations to support the implementation of the Social Assistance legislation. </w:t>
      </w:r>
    </w:p>
    <w:p w14:paraId="3E677ECD" w14:textId="77777777" w:rsidR="00037DC7" w:rsidRPr="00EB2982" w:rsidRDefault="00037DC7" w:rsidP="00F96CBE">
      <w:pPr>
        <w:tabs>
          <w:tab w:val="left" w:pos="360"/>
        </w:tabs>
        <w:spacing w:line="280" w:lineRule="exact"/>
        <w:jc w:val="both"/>
        <w:rPr>
          <w:lang w:val="en-ZA" w:eastAsia="en-ZA"/>
        </w:rPr>
      </w:pPr>
    </w:p>
    <w:p w14:paraId="2378437C" w14:textId="77777777" w:rsidR="002C7C5F" w:rsidRPr="00EB2982" w:rsidRDefault="002C7C5F" w:rsidP="00F96CBE">
      <w:pPr>
        <w:tabs>
          <w:tab w:val="left" w:pos="360"/>
        </w:tabs>
        <w:spacing w:line="280" w:lineRule="exact"/>
        <w:jc w:val="both"/>
        <w:rPr>
          <w:lang w:val="en-ZA" w:eastAsia="en-ZA"/>
        </w:rPr>
      </w:pPr>
    </w:p>
    <w:p w14:paraId="57C1AAB0" w14:textId="77777777" w:rsidR="00E86145" w:rsidRPr="00EB2982" w:rsidRDefault="002F58DD" w:rsidP="00F96CBE">
      <w:pPr>
        <w:tabs>
          <w:tab w:val="left" w:pos="360"/>
        </w:tabs>
        <w:spacing w:line="280" w:lineRule="exact"/>
        <w:jc w:val="both"/>
        <w:rPr>
          <w:b/>
          <w:bCs/>
          <w:color w:val="000000"/>
        </w:rPr>
      </w:pPr>
      <w:r w:rsidRPr="00EB2982">
        <w:rPr>
          <w:b/>
          <w:bCs/>
          <w:color w:val="000000"/>
        </w:rPr>
        <w:t>E</w:t>
      </w:r>
      <w:r w:rsidR="00E86145" w:rsidRPr="00EB2982">
        <w:rPr>
          <w:b/>
          <w:bCs/>
          <w:color w:val="000000"/>
        </w:rPr>
        <w:t>xpenditure trends</w:t>
      </w:r>
    </w:p>
    <w:p w14:paraId="3BBDF615" w14:textId="77777777" w:rsidR="00162BEE" w:rsidRPr="00EB2982" w:rsidRDefault="00162BEE" w:rsidP="00F96CBE">
      <w:pPr>
        <w:tabs>
          <w:tab w:val="left" w:pos="360"/>
        </w:tabs>
        <w:spacing w:line="280" w:lineRule="exact"/>
        <w:jc w:val="both"/>
        <w:rPr>
          <w:b/>
          <w:bCs/>
          <w:color w:val="000000"/>
        </w:rPr>
      </w:pPr>
    </w:p>
    <w:p w14:paraId="01965CCC" w14:textId="77777777" w:rsidR="00972CD1" w:rsidRPr="00EB2982" w:rsidRDefault="00972CD1" w:rsidP="00972CD1">
      <w:pPr>
        <w:pStyle w:val="Caption"/>
        <w:spacing w:line="280" w:lineRule="exact"/>
        <w:rPr>
          <w:rFonts w:ascii="Times New Roman" w:hAnsi="Times New Roman" w:cs="Times New Roman"/>
          <w:iCs w:val="0"/>
          <w:color w:val="000000" w:themeColor="text1"/>
          <w:sz w:val="20"/>
          <w:szCs w:val="22"/>
          <w:lang w:val="en-GB"/>
        </w:rPr>
      </w:pPr>
      <w:r w:rsidRPr="00EB2982">
        <w:rPr>
          <w:rFonts w:ascii="Times New Roman" w:hAnsi="Times New Roman" w:cs="Times New Roman"/>
          <w:iCs w:val="0"/>
          <w:color w:val="000000" w:themeColor="text1"/>
          <w:sz w:val="20"/>
          <w:szCs w:val="22"/>
          <w:lang w:val="en-GB"/>
        </w:rPr>
        <w:t xml:space="preserve">Table 4: Social Security Policy and Administration Programme </w:t>
      </w:r>
    </w:p>
    <w:tbl>
      <w:tblPr>
        <w:tblStyle w:val="TableGrid"/>
        <w:tblW w:w="9634" w:type="dxa"/>
        <w:tblLayout w:type="fixed"/>
        <w:tblLook w:val="04A0" w:firstRow="1" w:lastRow="0" w:firstColumn="1" w:lastColumn="0" w:noHBand="0" w:noVBand="1"/>
      </w:tblPr>
      <w:tblGrid>
        <w:gridCol w:w="2689"/>
        <w:gridCol w:w="992"/>
        <w:gridCol w:w="1081"/>
        <w:gridCol w:w="1329"/>
        <w:gridCol w:w="1275"/>
        <w:gridCol w:w="1134"/>
        <w:gridCol w:w="1134"/>
      </w:tblGrid>
      <w:tr w:rsidR="00972CD1" w:rsidRPr="00EB2982" w14:paraId="7A6F8F96" w14:textId="77777777" w:rsidTr="002C7C5F">
        <w:trPr>
          <w:trHeight w:val="765"/>
        </w:trPr>
        <w:tc>
          <w:tcPr>
            <w:tcW w:w="2689" w:type="dxa"/>
            <w:vMerge w:val="restart"/>
            <w:shd w:val="clear" w:color="auto" w:fill="FDE9D9" w:themeFill="accent6" w:themeFillTint="33"/>
            <w:noWrap/>
            <w:hideMark/>
          </w:tcPr>
          <w:p w14:paraId="0072B76F" w14:textId="77777777" w:rsidR="00972CD1" w:rsidRPr="00EB2982" w:rsidRDefault="00972CD1" w:rsidP="002C7C5F">
            <w:pPr>
              <w:rPr>
                <w:b/>
                <w:bCs/>
                <w:sz w:val="20"/>
                <w:szCs w:val="20"/>
              </w:rPr>
            </w:pPr>
            <w:r w:rsidRPr="00EB2982">
              <w:rPr>
                <w:b/>
                <w:bCs/>
                <w:sz w:val="20"/>
                <w:szCs w:val="20"/>
              </w:rPr>
              <w:t>Programme</w:t>
            </w:r>
          </w:p>
          <w:p w14:paraId="4BF3CF14" w14:textId="77777777" w:rsidR="00972CD1" w:rsidRPr="00EB2982" w:rsidRDefault="00972CD1" w:rsidP="002C7C5F">
            <w:pPr>
              <w:rPr>
                <w:b/>
                <w:bCs/>
                <w:sz w:val="20"/>
                <w:szCs w:val="20"/>
              </w:rPr>
            </w:pPr>
          </w:p>
          <w:p w14:paraId="635C089E" w14:textId="77777777" w:rsidR="00972CD1" w:rsidRPr="00EB2982" w:rsidRDefault="00972CD1" w:rsidP="002C7C5F">
            <w:pPr>
              <w:rPr>
                <w:b/>
                <w:bCs/>
                <w:sz w:val="20"/>
                <w:szCs w:val="20"/>
              </w:rPr>
            </w:pPr>
          </w:p>
          <w:p w14:paraId="5CC37887" w14:textId="77777777" w:rsidR="00972CD1" w:rsidRPr="00EB2982" w:rsidRDefault="00972CD1" w:rsidP="002C7C5F">
            <w:pPr>
              <w:rPr>
                <w:b/>
                <w:bCs/>
                <w:sz w:val="20"/>
                <w:szCs w:val="20"/>
              </w:rPr>
            </w:pPr>
          </w:p>
          <w:p w14:paraId="51F3B8CB" w14:textId="77777777" w:rsidR="00972CD1" w:rsidRPr="00EB2982" w:rsidRDefault="00972CD1" w:rsidP="002C7C5F">
            <w:pPr>
              <w:rPr>
                <w:b/>
                <w:bCs/>
                <w:sz w:val="20"/>
                <w:szCs w:val="20"/>
              </w:rPr>
            </w:pPr>
            <w:r w:rsidRPr="00EB2982">
              <w:rPr>
                <w:b/>
                <w:bCs/>
                <w:sz w:val="20"/>
                <w:szCs w:val="20"/>
              </w:rPr>
              <w:t>R million</w:t>
            </w:r>
          </w:p>
        </w:tc>
        <w:tc>
          <w:tcPr>
            <w:tcW w:w="2073" w:type="dxa"/>
            <w:gridSpan w:val="2"/>
            <w:shd w:val="clear" w:color="auto" w:fill="FDE9D9" w:themeFill="accent6" w:themeFillTint="33"/>
            <w:hideMark/>
          </w:tcPr>
          <w:p w14:paraId="0E053737" w14:textId="77777777" w:rsidR="00972CD1" w:rsidRPr="00EB2982" w:rsidRDefault="00972CD1" w:rsidP="002C7C5F">
            <w:pPr>
              <w:jc w:val="center"/>
              <w:rPr>
                <w:b/>
                <w:bCs/>
                <w:sz w:val="20"/>
                <w:szCs w:val="20"/>
              </w:rPr>
            </w:pPr>
            <w:r w:rsidRPr="00EB2982">
              <w:rPr>
                <w:b/>
                <w:bCs/>
                <w:sz w:val="20"/>
                <w:szCs w:val="20"/>
              </w:rPr>
              <w:t>Budget</w:t>
            </w:r>
          </w:p>
        </w:tc>
        <w:tc>
          <w:tcPr>
            <w:tcW w:w="1329" w:type="dxa"/>
            <w:vMerge w:val="restart"/>
            <w:shd w:val="clear" w:color="auto" w:fill="FDE9D9" w:themeFill="accent6" w:themeFillTint="33"/>
          </w:tcPr>
          <w:p w14:paraId="7923E8EE" w14:textId="77777777" w:rsidR="00972CD1" w:rsidRPr="00EB2982" w:rsidRDefault="00972CD1" w:rsidP="002C7C5F">
            <w:pPr>
              <w:autoSpaceDE w:val="0"/>
              <w:autoSpaceDN w:val="0"/>
              <w:adjustRightInd w:val="0"/>
              <w:jc w:val="center"/>
              <w:rPr>
                <w:b/>
                <w:bCs/>
                <w:sz w:val="20"/>
                <w:szCs w:val="20"/>
              </w:rPr>
            </w:pPr>
            <w:r w:rsidRPr="00EB2982">
              <w:rPr>
                <w:b/>
                <w:bCs/>
                <w:sz w:val="20"/>
                <w:szCs w:val="20"/>
              </w:rPr>
              <w:t>Nominal change in 2019/20</w:t>
            </w:r>
          </w:p>
          <w:p w14:paraId="71ABFC40" w14:textId="77777777" w:rsidR="00972CD1" w:rsidRPr="00EB2982" w:rsidRDefault="00972CD1" w:rsidP="002C7C5F">
            <w:pPr>
              <w:jc w:val="center"/>
              <w:rPr>
                <w:b/>
                <w:bCs/>
                <w:sz w:val="20"/>
                <w:szCs w:val="20"/>
              </w:rPr>
            </w:pPr>
            <w:r w:rsidRPr="00EB2982">
              <w:rPr>
                <w:b/>
                <w:bCs/>
                <w:sz w:val="16"/>
                <w:szCs w:val="20"/>
              </w:rPr>
              <w:t>(Rand value)</w:t>
            </w:r>
          </w:p>
        </w:tc>
        <w:tc>
          <w:tcPr>
            <w:tcW w:w="1275" w:type="dxa"/>
            <w:vMerge w:val="restart"/>
            <w:shd w:val="clear" w:color="auto" w:fill="FDE9D9" w:themeFill="accent6" w:themeFillTint="33"/>
          </w:tcPr>
          <w:p w14:paraId="6DF924F3" w14:textId="77777777" w:rsidR="00972CD1" w:rsidRPr="00EB2982" w:rsidRDefault="00972CD1" w:rsidP="002C7C5F">
            <w:pPr>
              <w:autoSpaceDE w:val="0"/>
              <w:autoSpaceDN w:val="0"/>
              <w:adjustRightInd w:val="0"/>
              <w:jc w:val="center"/>
              <w:rPr>
                <w:b/>
                <w:bCs/>
                <w:sz w:val="20"/>
                <w:szCs w:val="20"/>
              </w:rPr>
            </w:pPr>
            <w:r w:rsidRPr="00EB2982">
              <w:rPr>
                <w:b/>
                <w:bCs/>
                <w:sz w:val="20"/>
                <w:szCs w:val="20"/>
              </w:rPr>
              <w:t>Real change in 2019/20</w:t>
            </w:r>
          </w:p>
          <w:p w14:paraId="0A0B684E" w14:textId="77777777" w:rsidR="00972CD1" w:rsidRPr="00EB2982" w:rsidRDefault="00972CD1" w:rsidP="002C7C5F">
            <w:pPr>
              <w:jc w:val="center"/>
              <w:rPr>
                <w:b/>
                <w:bCs/>
                <w:sz w:val="20"/>
                <w:szCs w:val="20"/>
              </w:rPr>
            </w:pPr>
            <w:r w:rsidRPr="00EB2982">
              <w:rPr>
                <w:b/>
                <w:bCs/>
                <w:sz w:val="16"/>
                <w:szCs w:val="20"/>
              </w:rPr>
              <w:t>(Rand value)</w:t>
            </w:r>
          </w:p>
        </w:tc>
        <w:tc>
          <w:tcPr>
            <w:tcW w:w="1134" w:type="dxa"/>
            <w:vMerge w:val="restart"/>
            <w:shd w:val="clear" w:color="auto" w:fill="FDE9D9" w:themeFill="accent6" w:themeFillTint="33"/>
            <w:hideMark/>
          </w:tcPr>
          <w:p w14:paraId="72AD2CB5" w14:textId="77777777" w:rsidR="00972CD1" w:rsidRPr="00EB2982" w:rsidRDefault="00972CD1" w:rsidP="002C7C5F">
            <w:pPr>
              <w:jc w:val="center"/>
              <w:rPr>
                <w:b/>
                <w:bCs/>
                <w:sz w:val="20"/>
                <w:szCs w:val="20"/>
              </w:rPr>
            </w:pPr>
            <w:r w:rsidRPr="00EB2982">
              <w:rPr>
                <w:b/>
                <w:bCs/>
                <w:sz w:val="20"/>
                <w:szCs w:val="20"/>
              </w:rPr>
              <w:t>Nominal Percent change in 2019/20</w:t>
            </w:r>
          </w:p>
        </w:tc>
        <w:tc>
          <w:tcPr>
            <w:tcW w:w="1134" w:type="dxa"/>
            <w:vMerge w:val="restart"/>
            <w:shd w:val="clear" w:color="auto" w:fill="FDE9D9" w:themeFill="accent6" w:themeFillTint="33"/>
            <w:hideMark/>
          </w:tcPr>
          <w:p w14:paraId="78991AAE" w14:textId="77777777" w:rsidR="00972CD1" w:rsidRPr="00EB2982" w:rsidRDefault="00972CD1" w:rsidP="002C7C5F">
            <w:pPr>
              <w:jc w:val="center"/>
              <w:rPr>
                <w:b/>
                <w:bCs/>
                <w:sz w:val="20"/>
                <w:szCs w:val="20"/>
              </w:rPr>
            </w:pPr>
            <w:r w:rsidRPr="00EB2982">
              <w:rPr>
                <w:b/>
                <w:bCs/>
                <w:sz w:val="20"/>
                <w:szCs w:val="20"/>
              </w:rPr>
              <w:t xml:space="preserve">Real Percent change </w:t>
            </w:r>
          </w:p>
          <w:p w14:paraId="24A17A07" w14:textId="77777777" w:rsidR="00972CD1" w:rsidRPr="00EB2982" w:rsidRDefault="00972CD1" w:rsidP="002C7C5F">
            <w:pPr>
              <w:jc w:val="center"/>
              <w:rPr>
                <w:b/>
                <w:bCs/>
                <w:sz w:val="20"/>
                <w:szCs w:val="20"/>
              </w:rPr>
            </w:pPr>
            <w:r w:rsidRPr="00EB2982">
              <w:rPr>
                <w:b/>
                <w:bCs/>
                <w:sz w:val="20"/>
                <w:szCs w:val="20"/>
              </w:rPr>
              <w:t xml:space="preserve">in </w:t>
            </w:r>
          </w:p>
          <w:p w14:paraId="61D318E9" w14:textId="77777777" w:rsidR="00972CD1" w:rsidRPr="00EB2982" w:rsidRDefault="00972CD1" w:rsidP="002C7C5F">
            <w:pPr>
              <w:jc w:val="center"/>
              <w:rPr>
                <w:b/>
                <w:bCs/>
                <w:sz w:val="20"/>
                <w:szCs w:val="20"/>
              </w:rPr>
            </w:pPr>
            <w:r w:rsidRPr="00EB2982">
              <w:rPr>
                <w:b/>
                <w:bCs/>
                <w:sz w:val="20"/>
                <w:szCs w:val="20"/>
              </w:rPr>
              <w:t>2019/20</w:t>
            </w:r>
          </w:p>
        </w:tc>
      </w:tr>
      <w:tr w:rsidR="00972CD1" w:rsidRPr="00EB2982" w14:paraId="09EA5503" w14:textId="77777777" w:rsidTr="002C7C5F">
        <w:trPr>
          <w:trHeight w:val="264"/>
        </w:trPr>
        <w:tc>
          <w:tcPr>
            <w:tcW w:w="2689" w:type="dxa"/>
            <w:vMerge/>
            <w:shd w:val="clear" w:color="auto" w:fill="FDE9D9" w:themeFill="accent6" w:themeFillTint="33"/>
            <w:noWrap/>
            <w:hideMark/>
          </w:tcPr>
          <w:p w14:paraId="24E471BE" w14:textId="77777777" w:rsidR="00972CD1" w:rsidRPr="00EB2982" w:rsidRDefault="00972CD1" w:rsidP="002C7C5F">
            <w:pPr>
              <w:rPr>
                <w:b/>
                <w:bCs/>
                <w:sz w:val="20"/>
                <w:szCs w:val="20"/>
              </w:rPr>
            </w:pPr>
          </w:p>
        </w:tc>
        <w:tc>
          <w:tcPr>
            <w:tcW w:w="992" w:type="dxa"/>
            <w:shd w:val="clear" w:color="auto" w:fill="FDE9D9" w:themeFill="accent6" w:themeFillTint="33"/>
            <w:noWrap/>
            <w:hideMark/>
          </w:tcPr>
          <w:p w14:paraId="6AEC506D" w14:textId="77777777" w:rsidR="00972CD1" w:rsidRPr="00EB2982" w:rsidRDefault="00972CD1" w:rsidP="002C7C5F">
            <w:pPr>
              <w:jc w:val="center"/>
              <w:rPr>
                <w:b/>
                <w:bCs/>
                <w:sz w:val="20"/>
                <w:szCs w:val="20"/>
              </w:rPr>
            </w:pPr>
            <w:r w:rsidRPr="00EB2982">
              <w:rPr>
                <w:b/>
                <w:bCs/>
                <w:sz w:val="20"/>
                <w:szCs w:val="20"/>
              </w:rPr>
              <w:t>2018/19</w:t>
            </w:r>
          </w:p>
        </w:tc>
        <w:tc>
          <w:tcPr>
            <w:tcW w:w="1081" w:type="dxa"/>
            <w:shd w:val="clear" w:color="auto" w:fill="FDE9D9" w:themeFill="accent6" w:themeFillTint="33"/>
            <w:noWrap/>
            <w:hideMark/>
          </w:tcPr>
          <w:p w14:paraId="06D64D9A" w14:textId="77777777" w:rsidR="00972CD1" w:rsidRPr="00EB2982" w:rsidRDefault="00972CD1" w:rsidP="002C7C5F">
            <w:pPr>
              <w:jc w:val="center"/>
              <w:rPr>
                <w:b/>
                <w:bCs/>
                <w:sz w:val="20"/>
                <w:szCs w:val="20"/>
              </w:rPr>
            </w:pPr>
            <w:r w:rsidRPr="00EB2982">
              <w:rPr>
                <w:b/>
                <w:bCs/>
                <w:sz w:val="20"/>
                <w:szCs w:val="20"/>
              </w:rPr>
              <w:t>2019/20</w:t>
            </w:r>
          </w:p>
        </w:tc>
        <w:tc>
          <w:tcPr>
            <w:tcW w:w="1329" w:type="dxa"/>
            <w:vMerge/>
            <w:shd w:val="clear" w:color="auto" w:fill="FDE9D9" w:themeFill="accent6" w:themeFillTint="33"/>
          </w:tcPr>
          <w:p w14:paraId="666BC4EA" w14:textId="77777777" w:rsidR="00972CD1" w:rsidRPr="00EB2982" w:rsidRDefault="00972CD1" w:rsidP="002C7C5F">
            <w:pPr>
              <w:rPr>
                <w:b/>
                <w:bCs/>
                <w:sz w:val="20"/>
                <w:szCs w:val="20"/>
              </w:rPr>
            </w:pPr>
          </w:p>
        </w:tc>
        <w:tc>
          <w:tcPr>
            <w:tcW w:w="1275" w:type="dxa"/>
            <w:vMerge/>
            <w:shd w:val="clear" w:color="auto" w:fill="FDE9D9" w:themeFill="accent6" w:themeFillTint="33"/>
          </w:tcPr>
          <w:p w14:paraId="4F6E3925" w14:textId="77777777" w:rsidR="00972CD1" w:rsidRPr="00EB2982" w:rsidRDefault="00972CD1" w:rsidP="002C7C5F">
            <w:pPr>
              <w:rPr>
                <w:b/>
                <w:bCs/>
                <w:sz w:val="20"/>
                <w:szCs w:val="20"/>
              </w:rPr>
            </w:pPr>
          </w:p>
        </w:tc>
        <w:tc>
          <w:tcPr>
            <w:tcW w:w="1134" w:type="dxa"/>
            <w:vMerge/>
            <w:shd w:val="clear" w:color="auto" w:fill="FDE9D9" w:themeFill="accent6" w:themeFillTint="33"/>
            <w:hideMark/>
          </w:tcPr>
          <w:p w14:paraId="52932F1C" w14:textId="77777777" w:rsidR="00972CD1" w:rsidRPr="00EB2982" w:rsidRDefault="00972CD1" w:rsidP="002C7C5F">
            <w:pPr>
              <w:rPr>
                <w:b/>
                <w:bCs/>
                <w:sz w:val="20"/>
                <w:szCs w:val="20"/>
              </w:rPr>
            </w:pPr>
          </w:p>
        </w:tc>
        <w:tc>
          <w:tcPr>
            <w:tcW w:w="1134" w:type="dxa"/>
            <w:vMerge/>
            <w:shd w:val="clear" w:color="auto" w:fill="FDE9D9" w:themeFill="accent6" w:themeFillTint="33"/>
            <w:hideMark/>
          </w:tcPr>
          <w:p w14:paraId="738329DF" w14:textId="77777777" w:rsidR="00972CD1" w:rsidRPr="00EB2982" w:rsidRDefault="00972CD1" w:rsidP="002C7C5F">
            <w:pPr>
              <w:rPr>
                <w:b/>
                <w:bCs/>
                <w:sz w:val="20"/>
                <w:szCs w:val="20"/>
              </w:rPr>
            </w:pPr>
          </w:p>
        </w:tc>
      </w:tr>
      <w:tr w:rsidR="00972CD1" w:rsidRPr="00EB2982" w14:paraId="4B90AEB4" w14:textId="77777777" w:rsidTr="002C7C5F">
        <w:trPr>
          <w:trHeight w:val="264"/>
        </w:trPr>
        <w:tc>
          <w:tcPr>
            <w:tcW w:w="2689" w:type="dxa"/>
            <w:noWrap/>
            <w:hideMark/>
          </w:tcPr>
          <w:p w14:paraId="7DCC1772" w14:textId="77777777" w:rsidR="00972CD1" w:rsidRPr="00EB2982" w:rsidRDefault="00972CD1" w:rsidP="002C7C5F">
            <w:pPr>
              <w:rPr>
                <w:sz w:val="20"/>
                <w:szCs w:val="20"/>
              </w:rPr>
            </w:pPr>
            <w:r w:rsidRPr="00EB2982">
              <w:rPr>
                <w:sz w:val="20"/>
                <w:szCs w:val="20"/>
              </w:rPr>
              <w:t>Social Security Policy Development</w:t>
            </w:r>
          </w:p>
        </w:tc>
        <w:tc>
          <w:tcPr>
            <w:tcW w:w="992" w:type="dxa"/>
            <w:noWrap/>
            <w:hideMark/>
          </w:tcPr>
          <w:p w14:paraId="19AC7BEF" w14:textId="77777777" w:rsidR="00972CD1" w:rsidRPr="00EB2982" w:rsidRDefault="00972CD1" w:rsidP="002C7C5F">
            <w:pPr>
              <w:jc w:val="right"/>
              <w:rPr>
                <w:sz w:val="20"/>
                <w:szCs w:val="20"/>
              </w:rPr>
            </w:pPr>
            <w:r w:rsidRPr="00EB2982">
              <w:rPr>
                <w:sz w:val="20"/>
                <w:szCs w:val="20"/>
              </w:rPr>
              <w:t xml:space="preserve">  72,0</w:t>
            </w:r>
          </w:p>
        </w:tc>
        <w:tc>
          <w:tcPr>
            <w:tcW w:w="1081" w:type="dxa"/>
            <w:noWrap/>
            <w:hideMark/>
          </w:tcPr>
          <w:p w14:paraId="091B3BB2" w14:textId="77777777" w:rsidR="00972CD1" w:rsidRPr="00EB2982" w:rsidRDefault="00972CD1" w:rsidP="002C7C5F">
            <w:pPr>
              <w:jc w:val="right"/>
              <w:rPr>
                <w:sz w:val="20"/>
                <w:szCs w:val="20"/>
              </w:rPr>
            </w:pPr>
            <w:r w:rsidRPr="00EB2982">
              <w:rPr>
                <w:sz w:val="20"/>
                <w:szCs w:val="20"/>
              </w:rPr>
              <w:t xml:space="preserve">  82,6</w:t>
            </w:r>
          </w:p>
        </w:tc>
        <w:tc>
          <w:tcPr>
            <w:tcW w:w="1329" w:type="dxa"/>
            <w:noWrap/>
            <w:hideMark/>
          </w:tcPr>
          <w:p w14:paraId="74CDD428" w14:textId="77777777" w:rsidR="00972CD1" w:rsidRPr="00EB2982" w:rsidRDefault="00972CD1" w:rsidP="002C7C5F">
            <w:pPr>
              <w:jc w:val="right"/>
              <w:rPr>
                <w:sz w:val="20"/>
                <w:szCs w:val="20"/>
              </w:rPr>
            </w:pPr>
            <w:r w:rsidRPr="00EB2982">
              <w:rPr>
                <w:sz w:val="20"/>
                <w:szCs w:val="20"/>
              </w:rPr>
              <w:t xml:space="preserve">  10,6</w:t>
            </w:r>
          </w:p>
        </w:tc>
        <w:tc>
          <w:tcPr>
            <w:tcW w:w="1275" w:type="dxa"/>
            <w:noWrap/>
            <w:hideMark/>
          </w:tcPr>
          <w:p w14:paraId="17510117" w14:textId="77777777" w:rsidR="00972CD1" w:rsidRPr="00EB2982" w:rsidRDefault="00972CD1" w:rsidP="002C7C5F">
            <w:pPr>
              <w:jc w:val="right"/>
              <w:rPr>
                <w:sz w:val="20"/>
                <w:szCs w:val="20"/>
              </w:rPr>
            </w:pPr>
            <w:r w:rsidRPr="00EB2982">
              <w:rPr>
                <w:sz w:val="20"/>
                <w:szCs w:val="20"/>
              </w:rPr>
              <w:t xml:space="preserve">  6,5</w:t>
            </w:r>
          </w:p>
        </w:tc>
        <w:tc>
          <w:tcPr>
            <w:tcW w:w="1134" w:type="dxa"/>
            <w:noWrap/>
            <w:hideMark/>
          </w:tcPr>
          <w:p w14:paraId="19A37AE4" w14:textId="77777777" w:rsidR="00972CD1" w:rsidRPr="00EB2982" w:rsidRDefault="00972CD1" w:rsidP="002C7C5F">
            <w:pPr>
              <w:jc w:val="center"/>
              <w:rPr>
                <w:sz w:val="20"/>
                <w:szCs w:val="20"/>
              </w:rPr>
            </w:pPr>
            <w:r w:rsidRPr="00EB2982">
              <w:rPr>
                <w:sz w:val="20"/>
                <w:szCs w:val="20"/>
              </w:rPr>
              <w:t>14,72%</w:t>
            </w:r>
          </w:p>
        </w:tc>
        <w:tc>
          <w:tcPr>
            <w:tcW w:w="1134" w:type="dxa"/>
            <w:noWrap/>
            <w:hideMark/>
          </w:tcPr>
          <w:p w14:paraId="2FAE44C3" w14:textId="77777777" w:rsidR="00972CD1" w:rsidRPr="00EB2982" w:rsidRDefault="00972CD1" w:rsidP="002C7C5F">
            <w:pPr>
              <w:jc w:val="center"/>
              <w:rPr>
                <w:sz w:val="20"/>
                <w:szCs w:val="20"/>
              </w:rPr>
            </w:pPr>
            <w:r w:rsidRPr="00EB2982">
              <w:rPr>
                <w:sz w:val="20"/>
                <w:szCs w:val="20"/>
              </w:rPr>
              <w:t>9,05%</w:t>
            </w:r>
          </w:p>
        </w:tc>
      </w:tr>
      <w:tr w:rsidR="00972CD1" w:rsidRPr="00EB2982" w14:paraId="4C19488C" w14:textId="77777777" w:rsidTr="002C7C5F">
        <w:trPr>
          <w:trHeight w:val="264"/>
        </w:trPr>
        <w:tc>
          <w:tcPr>
            <w:tcW w:w="2689" w:type="dxa"/>
            <w:noWrap/>
            <w:hideMark/>
          </w:tcPr>
          <w:p w14:paraId="088AFC45" w14:textId="77777777" w:rsidR="00972CD1" w:rsidRPr="00EB2982" w:rsidRDefault="00972CD1" w:rsidP="002C7C5F">
            <w:pPr>
              <w:rPr>
                <w:sz w:val="20"/>
                <w:szCs w:val="20"/>
              </w:rPr>
            </w:pPr>
            <w:r w:rsidRPr="00EB2982">
              <w:rPr>
                <w:sz w:val="20"/>
                <w:szCs w:val="20"/>
              </w:rPr>
              <w:t>Appeals Adjudication</w:t>
            </w:r>
          </w:p>
        </w:tc>
        <w:tc>
          <w:tcPr>
            <w:tcW w:w="992" w:type="dxa"/>
            <w:noWrap/>
            <w:hideMark/>
          </w:tcPr>
          <w:p w14:paraId="56FCA47A" w14:textId="77777777" w:rsidR="00972CD1" w:rsidRPr="00EB2982" w:rsidRDefault="00972CD1" w:rsidP="002C7C5F">
            <w:pPr>
              <w:jc w:val="right"/>
              <w:rPr>
                <w:sz w:val="20"/>
                <w:szCs w:val="20"/>
              </w:rPr>
            </w:pPr>
            <w:r w:rsidRPr="00EB2982">
              <w:rPr>
                <w:sz w:val="20"/>
                <w:szCs w:val="20"/>
              </w:rPr>
              <w:t xml:space="preserve">  37,3</w:t>
            </w:r>
          </w:p>
        </w:tc>
        <w:tc>
          <w:tcPr>
            <w:tcW w:w="1081" w:type="dxa"/>
            <w:noWrap/>
            <w:hideMark/>
          </w:tcPr>
          <w:p w14:paraId="353ECC1D" w14:textId="77777777" w:rsidR="00972CD1" w:rsidRPr="00EB2982" w:rsidRDefault="00972CD1" w:rsidP="002C7C5F">
            <w:pPr>
              <w:jc w:val="right"/>
              <w:rPr>
                <w:sz w:val="20"/>
                <w:szCs w:val="20"/>
              </w:rPr>
            </w:pPr>
            <w:r w:rsidRPr="00EB2982">
              <w:rPr>
                <w:sz w:val="20"/>
                <w:szCs w:val="20"/>
              </w:rPr>
              <w:t xml:space="preserve">  39,3</w:t>
            </w:r>
          </w:p>
        </w:tc>
        <w:tc>
          <w:tcPr>
            <w:tcW w:w="1329" w:type="dxa"/>
            <w:noWrap/>
            <w:hideMark/>
          </w:tcPr>
          <w:p w14:paraId="45294EAD" w14:textId="77777777" w:rsidR="00972CD1" w:rsidRPr="00EB2982" w:rsidRDefault="00972CD1" w:rsidP="002C7C5F">
            <w:pPr>
              <w:jc w:val="right"/>
              <w:rPr>
                <w:sz w:val="20"/>
                <w:szCs w:val="20"/>
              </w:rPr>
            </w:pPr>
            <w:r w:rsidRPr="00EB2982">
              <w:rPr>
                <w:sz w:val="20"/>
                <w:szCs w:val="20"/>
              </w:rPr>
              <w:t xml:space="preserve">  2,0</w:t>
            </w:r>
          </w:p>
        </w:tc>
        <w:tc>
          <w:tcPr>
            <w:tcW w:w="1275" w:type="dxa"/>
            <w:noWrap/>
            <w:hideMark/>
          </w:tcPr>
          <w:p w14:paraId="5CBC0A07" w14:textId="77777777" w:rsidR="00972CD1" w:rsidRPr="00EB2982" w:rsidRDefault="00972CD1" w:rsidP="002C7C5F">
            <w:pPr>
              <w:jc w:val="right"/>
              <w:rPr>
                <w:sz w:val="20"/>
                <w:szCs w:val="20"/>
              </w:rPr>
            </w:pPr>
            <w:r w:rsidRPr="00EB2982">
              <w:rPr>
                <w:sz w:val="20"/>
                <w:szCs w:val="20"/>
              </w:rPr>
              <w:t xml:space="preserve">  0,1</w:t>
            </w:r>
          </w:p>
        </w:tc>
        <w:tc>
          <w:tcPr>
            <w:tcW w:w="1134" w:type="dxa"/>
            <w:noWrap/>
            <w:hideMark/>
          </w:tcPr>
          <w:p w14:paraId="34D99DD0" w14:textId="77777777" w:rsidR="00972CD1" w:rsidRPr="00EB2982" w:rsidRDefault="00972CD1" w:rsidP="002C7C5F">
            <w:pPr>
              <w:jc w:val="center"/>
              <w:rPr>
                <w:sz w:val="20"/>
                <w:szCs w:val="20"/>
              </w:rPr>
            </w:pPr>
            <w:r w:rsidRPr="00EB2982">
              <w:rPr>
                <w:sz w:val="20"/>
                <w:szCs w:val="20"/>
              </w:rPr>
              <w:t>5,36%</w:t>
            </w:r>
          </w:p>
        </w:tc>
        <w:tc>
          <w:tcPr>
            <w:tcW w:w="1134" w:type="dxa"/>
            <w:noWrap/>
            <w:hideMark/>
          </w:tcPr>
          <w:p w14:paraId="1B88044A" w14:textId="77777777" w:rsidR="00972CD1" w:rsidRPr="00EB2982" w:rsidRDefault="00972CD1" w:rsidP="002C7C5F">
            <w:pPr>
              <w:jc w:val="center"/>
              <w:rPr>
                <w:sz w:val="20"/>
                <w:szCs w:val="20"/>
              </w:rPr>
            </w:pPr>
            <w:r w:rsidRPr="00EB2982">
              <w:rPr>
                <w:sz w:val="20"/>
                <w:szCs w:val="20"/>
              </w:rPr>
              <w:t>0,15%</w:t>
            </w:r>
          </w:p>
        </w:tc>
      </w:tr>
      <w:tr w:rsidR="00972CD1" w:rsidRPr="00EB2982" w14:paraId="03F85F1D" w14:textId="77777777" w:rsidTr="002C7C5F">
        <w:trPr>
          <w:trHeight w:val="264"/>
        </w:trPr>
        <w:tc>
          <w:tcPr>
            <w:tcW w:w="2689" w:type="dxa"/>
            <w:noWrap/>
            <w:hideMark/>
          </w:tcPr>
          <w:p w14:paraId="01010F82" w14:textId="77777777" w:rsidR="00972CD1" w:rsidRPr="00EB2982" w:rsidRDefault="00972CD1" w:rsidP="002C7C5F">
            <w:pPr>
              <w:rPr>
                <w:sz w:val="20"/>
                <w:szCs w:val="20"/>
              </w:rPr>
            </w:pPr>
            <w:r w:rsidRPr="00EB2982">
              <w:rPr>
                <w:sz w:val="20"/>
                <w:szCs w:val="20"/>
              </w:rPr>
              <w:t>Social Grants Administration</w:t>
            </w:r>
          </w:p>
        </w:tc>
        <w:tc>
          <w:tcPr>
            <w:tcW w:w="992" w:type="dxa"/>
            <w:noWrap/>
            <w:hideMark/>
          </w:tcPr>
          <w:p w14:paraId="20BCB03E" w14:textId="77777777" w:rsidR="00972CD1" w:rsidRPr="00EB2982" w:rsidRDefault="00972CD1" w:rsidP="002C7C5F">
            <w:pPr>
              <w:jc w:val="right"/>
              <w:rPr>
                <w:sz w:val="20"/>
                <w:szCs w:val="20"/>
              </w:rPr>
            </w:pPr>
            <w:r w:rsidRPr="00EB2982">
              <w:rPr>
                <w:sz w:val="20"/>
                <w:szCs w:val="20"/>
              </w:rPr>
              <w:t xml:space="preserve"> 7 697,6</w:t>
            </w:r>
          </w:p>
        </w:tc>
        <w:tc>
          <w:tcPr>
            <w:tcW w:w="1081" w:type="dxa"/>
            <w:noWrap/>
            <w:hideMark/>
          </w:tcPr>
          <w:p w14:paraId="01C1EEFB" w14:textId="77777777" w:rsidR="00972CD1" w:rsidRPr="00EB2982" w:rsidRDefault="00972CD1" w:rsidP="002C7C5F">
            <w:pPr>
              <w:jc w:val="right"/>
              <w:rPr>
                <w:sz w:val="20"/>
                <w:szCs w:val="20"/>
              </w:rPr>
            </w:pPr>
            <w:r w:rsidRPr="00EB2982">
              <w:rPr>
                <w:sz w:val="20"/>
                <w:szCs w:val="20"/>
              </w:rPr>
              <w:t xml:space="preserve"> 7 553,0</w:t>
            </w:r>
          </w:p>
        </w:tc>
        <w:tc>
          <w:tcPr>
            <w:tcW w:w="1329" w:type="dxa"/>
            <w:noWrap/>
            <w:hideMark/>
          </w:tcPr>
          <w:p w14:paraId="07F9B17F" w14:textId="77777777" w:rsidR="00972CD1" w:rsidRPr="00EB2982" w:rsidRDefault="00972CD1" w:rsidP="002C7C5F">
            <w:pPr>
              <w:jc w:val="right"/>
              <w:rPr>
                <w:sz w:val="20"/>
                <w:szCs w:val="20"/>
              </w:rPr>
            </w:pPr>
            <w:r w:rsidRPr="00EB2982">
              <w:rPr>
                <w:sz w:val="20"/>
                <w:szCs w:val="20"/>
              </w:rPr>
              <w:t>-  144,6</w:t>
            </w:r>
          </w:p>
        </w:tc>
        <w:tc>
          <w:tcPr>
            <w:tcW w:w="1275" w:type="dxa"/>
            <w:noWrap/>
            <w:hideMark/>
          </w:tcPr>
          <w:p w14:paraId="111B079B" w14:textId="77777777" w:rsidR="00972CD1" w:rsidRPr="00EB2982" w:rsidRDefault="00972CD1" w:rsidP="002C7C5F">
            <w:pPr>
              <w:jc w:val="right"/>
              <w:rPr>
                <w:sz w:val="20"/>
                <w:szCs w:val="20"/>
              </w:rPr>
            </w:pPr>
            <w:r w:rsidRPr="00EB2982">
              <w:rPr>
                <w:sz w:val="20"/>
                <w:szCs w:val="20"/>
              </w:rPr>
              <w:t>-  517,9</w:t>
            </w:r>
          </w:p>
        </w:tc>
        <w:tc>
          <w:tcPr>
            <w:tcW w:w="1134" w:type="dxa"/>
            <w:noWrap/>
            <w:hideMark/>
          </w:tcPr>
          <w:p w14:paraId="54FF8972" w14:textId="77777777" w:rsidR="00972CD1" w:rsidRPr="00EB2982" w:rsidRDefault="00972CD1" w:rsidP="002C7C5F">
            <w:pPr>
              <w:jc w:val="center"/>
              <w:rPr>
                <w:sz w:val="20"/>
                <w:szCs w:val="20"/>
              </w:rPr>
            </w:pPr>
            <w:r w:rsidRPr="00EB2982">
              <w:rPr>
                <w:sz w:val="20"/>
                <w:szCs w:val="20"/>
              </w:rPr>
              <w:t>-1,88%</w:t>
            </w:r>
          </w:p>
        </w:tc>
        <w:tc>
          <w:tcPr>
            <w:tcW w:w="1134" w:type="dxa"/>
            <w:noWrap/>
            <w:hideMark/>
          </w:tcPr>
          <w:p w14:paraId="6A48BFF1" w14:textId="77777777" w:rsidR="00972CD1" w:rsidRPr="00EB2982" w:rsidRDefault="00972CD1" w:rsidP="002C7C5F">
            <w:pPr>
              <w:jc w:val="center"/>
              <w:rPr>
                <w:sz w:val="20"/>
                <w:szCs w:val="20"/>
              </w:rPr>
            </w:pPr>
            <w:r w:rsidRPr="00EB2982">
              <w:rPr>
                <w:sz w:val="20"/>
                <w:szCs w:val="20"/>
              </w:rPr>
              <w:t>-6,73%</w:t>
            </w:r>
          </w:p>
        </w:tc>
      </w:tr>
      <w:tr w:rsidR="00972CD1" w:rsidRPr="00EB2982" w14:paraId="07B92AFD" w14:textId="77777777" w:rsidTr="002C7C5F">
        <w:trPr>
          <w:trHeight w:val="264"/>
        </w:trPr>
        <w:tc>
          <w:tcPr>
            <w:tcW w:w="2689" w:type="dxa"/>
            <w:noWrap/>
            <w:hideMark/>
          </w:tcPr>
          <w:p w14:paraId="6A6597DA" w14:textId="77777777" w:rsidR="00972CD1" w:rsidRPr="00EB2982" w:rsidRDefault="00972CD1" w:rsidP="002C7C5F">
            <w:pPr>
              <w:rPr>
                <w:sz w:val="20"/>
                <w:szCs w:val="20"/>
              </w:rPr>
            </w:pPr>
            <w:r w:rsidRPr="00EB2982">
              <w:rPr>
                <w:sz w:val="20"/>
                <w:szCs w:val="20"/>
              </w:rPr>
              <w:t>Social Grants Fraud Investigations</w:t>
            </w:r>
          </w:p>
        </w:tc>
        <w:tc>
          <w:tcPr>
            <w:tcW w:w="992" w:type="dxa"/>
            <w:noWrap/>
            <w:hideMark/>
          </w:tcPr>
          <w:p w14:paraId="567F6880" w14:textId="77777777" w:rsidR="00972CD1" w:rsidRPr="00EB2982" w:rsidRDefault="00972CD1" w:rsidP="002C7C5F">
            <w:pPr>
              <w:jc w:val="right"/>
              <w:rPr>
                <w:sz w:val="20"/>
                <w:szCs w:val="20"/>
              </w:rPr>
            </w:pPr>
            <w:r w:rsidRPr="00EB2982">
              <w:rPr>
                <w:sz w:val="20"/>
                <w:szCs w:val="20"/>
              </w:rPr>
              <w:t xml:space="preserve">  65,2</w:t>
            </w:r>
          </w:p>
        </w:tc>
        <w:tc>
          <w:tcPr>
            <w:tcW w:w="1081" w:type="dxa"/>
            <w:noWrap/>
            <w:hideMark/>
          </w:tcPr>
          <w:p w14:paraId="70D8DC53" w14:textId="77777777" w:rsidR="00972CD1" w:rsidRPr="00EB2982" w:rsidRDefault="00972CD1" w:rsidP="002C7C5F">
            <w:pPr>
              <w:jc w:val="right"/>
              <w:rPr>
                <w:sz w:val="20"/>
                <w:szCs w:val="20"/>
              </w:rPr>
            </w:pPr>
            <w:r w:rsidRPr="00EB2982">
              <w:rPr>
                <w:sz w:val="20"/>
                <w:szCs w:val="20"/>
              </w:rPr>
              <w:t xml:space="preserve">  68,8</w:t>
            </w:r>
          </w:p>
        </w:tc>
        <w:tc>
          <w:tcPr>
            <w:tcW w:w="1329" w:type="dxa"/>
            <w:noWrap/>
            <w:hideMark/>
          </w:tcPr>
          <w:p w14:paraId="4A895696" w14:textId="77777777" w:rsidR="00972CD1" w:rsidRPr="00EB2982" w:rsidRDefault="00972CD1" w:rsidP="002C7C5F">
            <w:pPr>
              <w:jc w:val="right"/>
              <w:rPr>
                <w:sz w:val="20"/>
                <w:szCs w:val="20"/>
              </w:rPr>
            </w:pPr>
            <w:r w:rsidRPr="00EB2982">
              <w:rPr>
                <w:sz w:val="20"/>
                <w:szCs w:val="20"/>
              </w:rPr>
              <w:t xml:space="preserve">  3,6</w:t>
            </w:r>
          </w:p>
        </w:tc>
        <w:tc>
          <w:tcPr>
            <w:tcW w:w="1275" w:type="dxa"/>
            <w:noWrap/>
            <w:hideMark/>
          </w:tcPr>
          <w:p w14:paraId="11CB8AD7" w14:textId="77777777" w:rsidR="00972CD1" w:rsidRPr="00EB2982" w:rsidRDefault="00972CD1" w:rsidP="002C7C5F">
            <w:pPr>
              <w:jc w:val="right"/>
              <w:rPr>
                <w:sz w:val="20"/>
                <w:szCs w:val="20"/>
              </w:rPr>
            </w:pPr>
            <w:r w:rsidRPr="00EB2982">
              <w:rPr>
                <w:sz w:val="20"/>
                <w:szCs w:val="20"/>
              </w:rPr>
              <w:t xml:space="preserve">  0,2</w:t>
            </w:r>
          </w:p>
        </w:tc>
        <w:tc>
          <w:tcPr>
            <w:tcW w:w="1134" w:type="dxa"/>
            <w:noWrap/>
            <w:hideMark/>
          </w:tcPr>
          <w:p w14:paraId="489A257C" w14:textId="77777777" w:rsidR="00972CD1" w:rsidRPr="00EB2982" w:rsidRDefault="00972CD1" w:rsidP="002C7C5F">
            <w:pPr>
              <w:jc w:val="center"/>
              <w:rPr>
                <w:sz w:val="20"/>
                <w:szCs w:val="20"/>
              </w:rPr>
            </w:pPr>
            <w:r w:rsidRPr="00EB2982">
              <w:rPr>
                <w:sz w:val="20"/>
                <w:szCs w:val="20"/>
              </w:rPr>
              <w:t>5,52%</w:t>
            </w:r>
          </w:p>
        </w:tc>
        <w:tc>
          <w:tcPr>
            <w:tcW w:w="1134" w:type="dxa"/>
            <w:noWrap/>
            <w:hideMark/>
          </w:tcPr>
          <w:p w14:paraId="5C9CD58B" w14:textId="77777777" w:rsidR="00972CD1" w:rsidRPr="00EB2982" w:rsidRDefault="00972CD1" w:rsidP="002C7C5F">
            <w:pPr>
              <w:jc w:val="center"/>
              <w:rPr>
                <w:sz w:val="20"/>
                <w:szCs w:val="20"/>
              </w:rPr>
            </w:pPr>
            <w:r w:rsidRPr="00EB2982">
              <w:rPr>
                <w:sz w:val="20"/>
                <w:szCs w:val="20"/>
              </w:rPr>
              <w:t>0,31%</w:t>
            </w:r>
          </w:p>
        </w:tc>
      </w:tr>
      <w:tr w:rsidR="00972CD1" w:rsidRPr="00EB2982" w14:paraId="4B2B34E9" w14:textId="77777777" w:rsidTr="002C7C5F">
        <w:trPr>
          <w:trHeight w:val="264"/>
        </w:trPr>
        <w:tc>
          <w:tcPr>
            <w:tcW w:w="2689" w:type="dxa"/>
            <w:noWrap/>
            <w:hideMark/>
          </w:tcPr>
          <w:p w14:paraId="65B2D831" w14:textId="77777777" w:rsidR="00972CD1" w:rsidRPr="00EB2982" w:rsidRDefault="00972CD1" w:rsidP="002C7C5F">
            <w:pPr>
              <w:rPr>
                <w:sz w:val="20"/>
                <w:szCs w:val="20"/>
              </w:rPr>
            </w:pPr>
            <w:r w:rsidRPr="00EB2982">
              <w:rPr>
                <w:sz w:val="20"/>
                <w:szCs w:val="20"/>
              </w:rPr>
              <w:t>Programme Management</w:t>
            </w:r>
          </w:p>
        </w:tc>
        <w:tc>
          <w:tcPr>
            <w:tcW w:w="992" w:type="dxa"/>
            <w:noWrap/>
            <w:hideMark/>
          </w:tcPr>
          <w:p w14:paraId="191CB70E" w14:textId="77777777" w:rsidR="00972CD1" w:rsidRPr="00EB2982" w:rsidRDefault="00972CD1" w:rsidP="002C7C5F">
            <w:pPr>
              <w:jc w:val="right"/>
              <w:rPr>
                <w:sz w:val="20"/>
                <w:szCs w:val="20"/>
              </w:rPr>
            </w:pPr>
            <w:r w:rsidRPr="00EB2982">
              <w:rPr>
                <w:sz w:val="20"/>
                <w:szCs w:val="20"/>
              </w:rPr>
              <w:t xml:space="preserve">  4,8</w:t>
            </w:r>
          </w:p>
        </w:tc>
        <w:tc>
          <w:tcPr>
            <w:tcW w:w="1081" w:type="dxa"/>
            <w:noWrap/>
            <w:hideMark/>
          </w:tcPr>
          <w:p w14:paraId="7DA75319" w14:textId="77777777" w:rsidR="00972CD1" w:rsidRPr="00EB2982" w:rsidRDefault="00972CD1" w:rsidP="002C7C5F">
            <w:pPr>
              <w:jc w:val="right"/>
              <w:rPr>
                <w:sz w:val="20"/>
                <w:szCs w:val="20"/>
              </w:rPr>
            </w:pPr>
            <w:r w:rsidRPr="00EB2982">
              <w:rPr>
                <w:sz w:val="20"/>
                <w:szCs w:val="20"/>
              </w:rPr>
              <w:t xml:space="preserve">  5,2</w:t>
            </w:r>
          </w:p>
        </w:tc>
        <w:tc>
          <w:tcPr>
            <w:tcW w:w="1329" w:type="dxa"/>
            <w:noWrap/>
            <w:hideMark/>
          </w:tcPr>
          <w:p w14:paraId="172BDD12" w14:textId="77777777" w:rsidR="00972CD1" w:rsidRPr="00EB2982" w:rsidRDefault="00972CD1" w:rsidP="002C7C5F">
            <w:pPr>
              <w:jc w:val="right"/>
              <w:rPr>
                <w:sz w:val="20"/>
                <w:szCs w:val="20"/>
              </w:rPr>
            </w:pPr>
            <w:r w:rsidRPr="00EB2982">
              <w:rPr>
                <w:sz w:val="20"/>
                <w:szCs w:val="20"/>
              </w:rPr>
              <w:t xml:space="preserve">  0,4</w:t>
            </w:r>
          </w:p>
        </w:tc>
        <w:tc>
          <w:tcPr>
            <w:tcW w:w="1275" w:type="dxa"/>
            <w:noWrap/>
            <w:hideMark/>
          </w:tcPr>
          <w:p w14:paraId="08CCC01A" w14:textId="77777777" w:rsidR="00972CD1" w:rsidRPr="00EB2982" w:rsidRDefault="00972CD1" w:rsidP="002C7C5F">
            <w:pPr>
              <w:jc w:val="right"/>
              <w:rPr>
                <w:sz w:val="20"/>
                <w:szCs w:val="20"/>
              </w:rPr>
            </w:pPr>
            <w:r w:rsidRPr="00EB2982">
              <w:rPr>
                <w:sz w:val="20"/>
                <w:szCs w:val="20"/>
              </w:rPr>
              <w:t xml:space="preserve">  0,1</w:t>
            </w:r>
          </w:p>
        </w:tc>
        <w:tc>
          <w:tcPr>
            <w:tcW w:w="1134" w:type="dxa"/>
            <w:noWrap/>
            <w:hideMark/>
          </w:tcPr>
          <w:p w14:paraId="31F260A4" w14:textId="77777777" w:rsidR="00972CD1" w:rsidRPr="00EB2982" w:rsidRDefault="00972CD1" w:rsidP="002C7C5F">
            <w:pPr>
              <w:jc w:val="center"/>
              <w:rPr>
                <w:sz w:val="20"/>
                <w:szCs w:val="20"/>
              </w:rPr>
            </w:pPr>
            <w:r w:rsidRPr="00EB2982">
              <w:rPr>
                <w:sz w:val="20"/>
                <w:szCs w:val="20"/>
              </w:rPr>
              <w:t>8,33%</w:t>
            </w:r>
          </w:p>
        </w:tc>
        <w:tc>
          <w:tcPr>
            <w:tcW w:w="1134" w:type="dxa"/>
            <w:noWrap/>
            <w:hideMark/>
          </w:tcPr>
          <w:p w14:paraId="3A723A16" w14:textId="77777777" w:rsidR="00972CD1" w:rsidRPr="00EB2982" w:rsidRDefault="00972CD1" w:rsidP="002C7C5F">
            <w:pPr>
              <w:jc w:val="center"/>
              <w:rPr>
                <w:sz w:val="20"/>
                <w:szCs w:val="20"/>
              </w:rPr>
            </w:pPr>
            <w:r w:rsidRPr="00EB2982">
              <w:rPr>
                <w:sz w:val="20"/>
                <w:szCs w:val="20"/>
              </w:rPr>
              <w:t>2,98%</w:t>
            </w:r>
          </w:p>
        </w:tc>
      </w:tr>
      <w:tr w:rsidR="00972CD1" w:rsidRPr="00EB2982" w14:paraId="293A9745" w14:textId="77777777" w:rsidTr="002C7C5F">
        <w:trPr>
          <w:trHeight w:val="264"/>
        </w:trPr>
        <w:tc>
          <w:tcPr>
            <w:tcW w:w="2689" w:type="dxa"/>
            <w:noWrap/>
            <w:hideMark/>
          </w:tcPr>
          <w:p w14:paraId="53999D18" w14:textId="77777777" w:rsidR="00972CD1" w:rsidRPr="00EB2982" w:rsidRDefault="00972CD1" w:rsidP="002C7C5F">
            <w:pPr>
              <w:rPr>
                <w:b/>
                <w:sz w:val="20"/>
                <w:szCs w:val="20"/>
              </w:rPr>
            </w:pPr>
            <w:r w:rsidRPr="00EB2982">
              <w:rPr>
                <w:b/>
                <w:sz w:val="20"/>
                <w:szCs w:val="20"/>
              </w:rPr>
              <w:t>TOTAL</w:t>
            </w:r>
          </w:p>
        </w:tc>
        <w:tc>
          <w:tcPr>
            <w:tcW w:w="992" w:type="dxa"/>
            <w:noWrap/>
            <w:hideMark/>
          </w:tcPr>
          <w:p w14:paraId="472C8260" w14:textId="77777777" w:rsidR="00972CD1" w:rsidRPr="00EB2982" w:rsidRDefault="00972CD1" w:rsidP="002C7C5F">
            <w:pPr>
              <w:jc w:val="right"/>
              <w:rPr>
                <w:b/>
                <w:sz w:val="20"/>
                <w:szCs w:val="20"/>
              </w:rPr>
            </w:pPr>
            <w:r w:rsidRPr="00EB2982">
              <w:rPr>
                <w:b/>
                <w:sz w:val="20"/>
                <w:szCs w:val="20"/>
              </w:rPr>
              <w:t xml:space="preserve"> 7 877,0</w:t>
            </w:r>
          </w:p>
        </w:tc>
        <w:tc>
          <w:tcPr>
            <w:tcW w:w="1081" w:type="dxa"/>
            <w:noWrap/>
            <w:hideMark/>
          </w:tcPr>
          <w:p w14:paraId="119282DB" w14:textId="77777777" w:rsidR="00972CD1" w:rsidRPr="00EB2982" w:rsidRDefault="00972CD1" w:rsidP="002C7C5F">
            <w:pPr>
              <w:jc w:val="right"/>
              <w:rPr>
                <w:b/>
                <w:sz w:val="20"/>
                <w:szCs w:val="20"/>
              </w:rPr>
            </w:pPr>
            <w:r w:rsidRPr="00EB2982">
              <w:rPr>
                <w:b/>
                <w:sz w:val="20"/>
                <w:szCs w:val="20"/>
              </w:rPr>
              <w:t xml:space="preserve"> 7 748,9</w:t>
            </w:r>
          </w:p>
        </w:tc>
        <w:tc>
          <w:tcPr>
            <w:tcW w:w="1329" w:type="dxa"/>
            <w:noWrap/>
            <w:hideMark/>
          </w:tcPr>
          <w:p w14:paraId="3CB2C734" w14:textId="77777777" w:rsidR="00972CD1" w:rsidRPr="00EB2982" w:rsidRDefault="00972CD1" w:rsidP="002C7C5F">
            <w:pPr>
              <w:jc w:val="right"/>
              <w:rPr>
                <w:b/>
                <w:sz w:val="20"/>
                <w:szCs w:val="20"/>
              </w:rPr>
            </w:pPr>
            <w:r w:rsidRPr="00EB2982">
              <w:rPr>
                <w:b/>
                <w:sz w:val="20"/>
                <w:szCs w:val="20"/>
              </w:rPr>
              <w:t>-  128,1</w:t>
            </w:r>
          </w:p>
        </w:tc>
        <w:tc>
          <w:tcPr>
            <w:tcW w:w="1275" w:type="dxa"/>
            <w:noWrap/>
            <w:hideMark/>
          </w:tcPr>
          <w:p w14:paraId="3190DFD9" w14:textId="77777777" w:rsidR="00972CD1" w:rsidRPr="00EB2982" w:rsidRDefault="00972CD1" w:rsidP="002C7C5F">
            <w:pPr>
              <w:jc w:val="right"/>
              <w:rPr>
                <w:b/>
                <w:sz w:val="20"/>
                <w:szCs w:val="20"/>
              </w:rPr>
            </w:pPr>
            <w:r w:rsidRPr="00EB2982">
              <w:rPr>
                <w:b/>
                <w:sz w:val="20"/>
                <w:szCs w:val="20"/>
              </w:rPr>
              <w:t>-  511,1</w:t>
            </w:r>
          </w:p>
        </w:tc>
        <w:tc>
          <w:tcPr>
            <w:tcW w:w="1134" w:type="dxa"/>
            <w:noWrap/>
            <w:hideMark/>
          </w:tcPr>
          <w:p w14:paraId="1DE84606" w14:textId="77777777" w:rsidR="00972CD1" w:rsidRPr="00EB2982" w:rsidRDefault="00972CD1" w:rsidP="002C7C5F">
            <w:pPr>
              <w:jc w:val="center"/>
              <w:rPr>
                <w:b/>
                <w:sz w:val="20"/>
                <w:szCs w:val="20"/>
              </w:rPr>
            </w:pPr>
            <w:r w:rsidRPr="00EB2982">
              <w:rPr>
                <w:b/>
                <w:sz w:val="20"/>
                <w:szCs w:val="20"/>
              </w:rPr>
              <w:t>-1,63%</w:t>
            </w:r>
          </w:p>
        </w:tc>
        <w:tc>
          <w:tcPr>
            <w:tcW w:w="1134" w:type="dxa"/>
            <w:noWrap/>
            <w:hideMark/>
          </w:tcPr>
          <w:p w14:paraId="72D324E0" w14:textId="77777777" w:rsidR="00972CD1" w:rsidRPr="00EB2982" w:rsidRDefault="00972CD1" w:rsidP="002C7C5F">
            <w:pPr>
              <w:jc w:val="center"/>
              <w:rPr>
                <w:b/>
                <w:sz w:val="20"/>
                <w:szCs w:val="20"/>
              </w:rPr>
            </w:pPr>
            <w:r w:rsidRPr="00EB2982">
              <w:rPr>
                <w:b/>
                <w:sz w:val="20"/>
                <w:szCs w:val="20"/>
              </w:rPr>
              <w:t>-6,49%</w:t>
            </w:r>
          </w:p>
        </w:tc>
      </w:tr>
    </w:tbl>
    <w:p w14:paraId="47C9E923" w14:textId="77777777" w:rsidR="00972CD1" w:rsidRPr="00EB2982" w:rsidRDefault="00972CD1" w:rsidP="00972CD1">
      <w:pPr>
        <w:rPr>
          <w:color w:val="000000" w:themeColor="text1"/>
          <w:sz w:val="14"/>
          <w:szCs w:val="18"/>
        </w:rPr>
      </w:pPr>
      <w:r w:rsidRPr="00EB2982">
        <w:rPr>
          <w:color w:val="000000" w:themeColor="text1"/>
          <w:sz w:val="14"/>
          <w:szCs w:val="18"/>
        </w:rPr>
        <w:t>Source: National Treasury (2019)</w:t>
      </w:r>
    </w:p>
    <w:p w14:paraId="2801D0F6" w14:textId="77777777" w:rsidR="00972CD1" w:rsidRPr="00EB2982" w:rsidRDefault="00972CD1" w:rsidP="00F96CBE">
      <w:pPr>
        <w:tabs>
          <w:tab w:val="left" w:pos="360"/>
        </w:tabs>
        <w:spacing w:line="280" w:lineRule="exact"/>
        <w:jc w:val="both"/>
        <w:rPr>
          <w:bCs/>
          <w:color w:val="000000"/>
        </w:rPr>
      </w:pPr>
    </w:p>
    <w:p w14:paraId="68BA40C3" w14:textId="77777777" w:rsidR="000B5395" w:rsidRPr="00EB2982" w:rsidRDefault="00972CD1" w:rsidP="00F96CBE">
      <w:pPr>
        <w:spacing w:after="108" w:line="280" w:lineRule="exact"/>
        <w:ind w:right="45" w:hanging="11"/>
        <w:jc w:val="both"/>
        <w:rPr>
          <w:lang w:val="en-US"/>
        </w:rPr>
      </w:pPr>
      <w:r w:rsidRPr="00EB2982">
        <w:rPr>
          <w:lang w:val="en-US"/>
        </w:rPr>
        <w:t>Budget</w:t>
      </w:r>
      <w:r w:rsidRPr="00EB2982">
        <w:rPr>
          <w:i/>
          <w:lang w:val="en-US"/>
        </w:rPr>
        <w:t xml:space="preserve"> </w:t>
      </w:r>
      <w:r w:rsidRPr="00EB2982">
        <w:rPr>
          <w:lang w:val="en-US"/>
        </w:rPr>
        <w:t xml:space="preserve">for </w:t>
      </w:r>
      <w:r w:rsidR="000B5395" w:rsidRPr="00EB2982">
        <w:rPr>
          <w:i/>
          <w:lang w:val="en-US"/>
        </w:rPr>
        <w:t>Social Security Policy and Administration</w:t>
      </w:r>
      <w:r w:rsidR="000B5395" w:rsidRPr="00EB2982">
        <w:rPr>
          <w:lang w:val="en-US"/>
        </w:rPr>
        <w:t xml:space="preserve"> programme decreases from R7.8 billion in 2018/19 to R7.7 billion. This represents a decline from the previous year both in nominal (1.63 per cent) and real terms (6.49 per cent).</w:t>
      </w:r>
    </w:p>
    <w:p w14:paraId="4C53590C" w14:textId="77777777" w:rsidR="002C7C5F" w:rsidRPr="00EB2982" w:rsidRDefault="002C7C5F" w:rsidP="00F96CBE">
      <w:pPr>
        <w:spacing w:after="108" w:line="280" w:lineRule="exact"/>
        <w:ind w:right="45" w:hanging="11"/>
        <w:jc w:val="both"/>
        <w:rPr>
          <w:lang w:val="en-US"/>
        </w:rPr>
      </w:pPr>
    </w:p>
    <w:p w14:paraId="348C03E4" w14:textId="77777777" w:rsidR="000B5395" w:rsidRPr="00EB2982" w:rsidRDefault="000B5395" w:rsidP="00F96CBE">
      <w:pPr>
        <w:spacing w:after="108" w:line="280" w:lineRule="exact"/>
        <w:ind w:right="45" w:hanging="11"/>
        <w:jc w:val="both"/>
        <w:rPr>
          <w:lang w:val="en-US"/>
        </w:rPr>
      </w:pPr>
      <w:r w:rsidRPr="00EB2982">
        <w:rPr>
          <w:lang w:val="en-US"/>
        </w:rPr>
        <w:t>The decline in the voted allocation of this programme is driven by the Social Grants Administration sub-programme, which declines both in nominal (1.88 per cent) and real (6.73 per cent) terms from the previous year. This sub-programme provides for the South African Social Security Agency (SASSA) operational costs related to administering social grants, the management information systems and the reimbursement of payment contractors. Over the medium term, administration costs are set to decrease proportionally to the increases in social grants values due to the rationalisation of grant cash pay-points due to the new arrangement between the SA Post Office and SASSA. It is anticipated that this arrangement will result in greater operational efficiencies in future. This new arrangement was also acknowledged in the February 2019 SONA.</w:t>
      </w:r>
    </w:p>
    <w:p w14:paraId="7A7E1632" w14:textId="77777777" w:rsidR="000B5395" w:rsidRPr="00EB2982" w:rsidRDefault="000B5395" w:rsidP="005E2F3A">
      <w:pPr>
        <w:tabs>
          <w:tab w:val="left" w:pos="360"/>
        </w:tabs>
        <w:spacing w:line="280" w:lineRule="exact"/>
        <w:jc w:val="both"/>
        <w:rPr>
          <w:b/>
          <w:bCs/>
          <w:color w:val="000000"/>
        </w:rPr>
      </w:pPr>
    </w:p>
    <w:p w14:paraId="52266A3C" w14:textId="77777777" w:rsidR="001E0691" w:rsidRPr="00EB2982" w:rsidRDefault="00206FF6" w:rsidP="005E2F3A">
      <w:pPr>
        <w:tabs>
          <w:tab w:val="left" w:pos="360"/>
        </w:tabs>
        <w:spacing w:line="280" w:lineRule="exact"/>
        <w:jc w:val="both"/>
        <w:rPr>
          <w:b/>
          <w:color w:val="000000"/>
        </w:rPr>
      </w:pPr>
      <w:r w:rsidRPr="00EB2982">
        <w:rPr>
          <w:b/>
          <w:color w:val="000000"/>
        </w:rPr>
        <w:t>4</w:t>
      </w:r>
      <w:r w:rsidR="001E0691" w:rsidRPr="00EB2982">
        <w:rPr>
          <w:b/>
          <w:color w:val="000000"/>
        </w:rPr>
        <w:t>.4</w:t>
      </w:r>
      <w:r w:rsidR="001E0691" w:rsidRPr="00EB2982">
        <w:rPr>
          <w:b/>
          <w:color w:val="000000"/>
        </w:rPr>
        <w:tab/>
        <w:t xml:space="preserve"> Programme 4: Welfare Services Policy Development and Implementation support </w:t>
      </w:r>
    </w:p>
    <w:p w14:paraId="26C65332" w14:textId="77777777" w:rsidR="001E0691" w:rsidRPr="00EB2982" w:rsidRDefault="001E0691" w:rsidP="005E2F3A">
      <w:pPr>
        <w:tabs>
          <w:tab w:val="left" w:pos="360"/>
        </w:tabs>
        <w:spacing w:line="280" w:lineRule="exact"/>
        <w:jc w:val="both"/>
        <w:rPr>
          <w:color w:val="000000"/>
        </w:rPr>
      </w:pPr>
    </w:p>
    <w:p w14:paraId="21725F03" w14:textId="77777777" w:rsidR="001E0691" w:rsidRPr="00EB2982" w:rsidRDefault="001E0691" w:rsidP="008E441E">
      <w:pPr>
        <w:autoSpaceDE w:val="0"/>
        <w:autoSpaceDN w:val="0"/>
        <w:adjustRightInd w:val="0"/>
        <w:spacing w:line="280" w:lineRule="exact"/>
        <w:jc w:val="both"/>
        <w:rPr>
          <w:lang w:val="en-ZA" w:eastAsia="en-ZA"/>
        </w:rPr>
      </w:pPr>
      <w:r w:rsidRPr="00EB2982">
        <w:rPr>
          <w:bCs/>
          <w:lang w:val="en-ZA" w:eastAsia="en-ZA"/>
        </w:rPr>
        <w:t>The purpose</w:t>
      </w:r>
      <w:r w:rsidRPr="00EB2982">
        <w:rPr>
          <w:lang w:val="en-ZA" w:eastAsia="en-ZA"/>
        </w:rPr>
        <w:t xml:space="preserve"> of this </w:t>
      </w:r>
      <w:r w:rsidR="002134D9" w:rsidRPr="00EB2982">
        <w:rPr>
          <w:lang w:val="en-ZA" w:eastAsia="en-ZA"/>
        </w:rPr>
        <w:t>P</w:t>
      </w:r>
      <w:r w:rsidRPr="00EB2982">
        <w:rPr>
          <w:lang w:val="en-ZA" w:eastAsia="en-ZA"/>
        </w:rPr>
        <w:t>rogramme is to create an enabling environment for the delivery of equitable developmental welfare services through the formulation of policies, norms and standards, and best practices. It also provide</w:t>
      </w:r>
      <w:r w:rsidR="00A74F6C" w:rsidRPr="00EB2982">
        <w:rPr>
          <w:lang w:val="en-ZA" w:eastAsia="en-ZA"/>
        </w:rPr>
        <w:t>s</w:t>
      </w:r>
      <w:r w:rsidRPr="00EB2982">
        <w:rPr>
          <w:lang w:val="en-ZA" w:eastAsia="en-ZA"/>
        </w:rPr>
        <w:t xml:space="preserve"> support to </w:t>
      </w:r>
      <w:r w:rsidR="00A74F6C" w:rsidRPr="00EB2982">
        <w:rPr>
          <w:lang w:val="en-ZA" w:eastAsia="en-ZA"/>
        </w:rPr>
        <w:t xml:space="preserve">the </w:t>
      </w:r>
      <w:r w:rsidRPr="00EB2982">
        <w:rPr>
          <w:lang w:val="en-ZA" w:eastAsia="en-ZA"/>
        </w:rPr>
        <w:t>implementation agencies</w:t>
      </w:r>
      <w:r w:rsidR="00711204" w:rsidRPr="00EB2982">
        <w:rPr>
          <w:lang w:val="en-ZA" w:eastAsia="en-ZA"/>
        </w:rPr>
        <w:t xml:space="preserve">. </w:t>
      </w:r>
    </w:p>
    <w:p w14:paraId="3BB3B242" w14:textId="77777777" w:rsidR="00EC37EB" w:rsidRPr="00EB2982" w:rsidRDefault="00EC37EB" w:rsidP="00F96CBE">
      <w:pPr>
        <w:autoSpaceDE w:val="0"/>
        <w:autoSpaceDN w:val="0"/>
        <w:adjustRightInd w:val="0"/>
        <w:spacing w:line="280" w:lineRule="exact"/>
        <w:jc w:val="both"/>
        <w:rPr>
          <w:lang w:val="en-ZA" w:eastAsia="en-ZA"/>
        </w:rPr>
      </w:pPr>
    </w:p>
    <w:p w14:paraId="77CA6258" w14:textId="77777777" w:rsidR="002E04EC" w:rsidRPr="00EB2982" w:rsidRDefault="00CD3AD3" w:rsidP="00F96CBE">
      <w:pPr>
        <w:autoSpaceDE w:val="0"/>
        <w:autoSpaceDN w:val="0"/>
        <w:adjustRightInd w:val="0"/>
        <w:spacing w:line="280" w:lineRule="exact"/>
        <w:jc w:val="both"/>
        <w:rPr>
          <w:color w:val="000000"/>
          <w:spacing w:val="6"/>
        </w:rPr>
      </w:pPr>
      <w:r w:rsidRPr="00EB2982">
        <w:t xml:space="preserve">This programme has a total of 21 targets for 2019/20.  </w:t>
      </w:r>
      <w:r w:rsidR="00D16648" w:rsidRPr="00EB2982">
        <w:rPr>
          <w:color w:val="000000"/>
          <w:spacing w:val="6"/>
        </w:rPr>
        <w:t>For the year under review, the department plan</w:t>
      </w:r>
      <w:r w:rsidR="00105BDB" w:rsidRPr="00EB2982">
        <w:rPr>
          <w:color w:val="000000"/>
          <w:spacing w:val="6"/>
        </w:rPr>
        <w:t>s</w:t>
      </w:r>
      <w:r w:rsidR="00D16648" w:rsidRPr="00EB2982">
        <w:rPr>
          <w:color w:val="000000"/>
          <w:spacing w:val="6"/>
        </w:rPr>
        <w:t xml:space="preserve"> to </w:t>
      </w:r>
      <w:r w:rsidR="002E04EC" w:rsidRPr="00EB2982">
        <w:rPr>
          <w:color w:val="000000"/>
          <w:spacing w:val="6"/>
        </w:rPr>
        <w:t xml:space="preserve">submit </w:t>
      </w:r>
      <w:r w:rsidR="00105BDB" w:rsidRPr="00EB2982">
        <w:rPr>
          <w:color w:val="000000"/>
          <w:spacing w:val="6"/>
        </w:rPr>
        <w:t xml:space="preserve">to Cabinet the </w:t>
      </w:r>
      <w:r w:rsidR="002E04EC" w:rsidRPr="00EB2982">
        <w:rPr>
          <w:color w:val="000000"/>
          <w:spacing w:val="6"/>
        </w:rPr>
        <w:t>Draft</w:t>
      </w:r>
      <w:r w:rsidR="002E04EC" w:rsidRPr="00EB2982">
        <w:rPr>
          <w:lang w:val="en-ZA" w:eastAsia="en-ZA"/>
        </w:rPr>
        <w:t xml:space="preserve"> </w:t>
      </w:r>
      <w:r w:rsidR="00E03104" w:rsidRPr="00EB2982">
        <w:rPr>
          <w:lang w:val="en-ZA" w:eastAsia="en-ZA"/>
        </w:rPr>
        <w:t>National Drug Master Plan (NDMP)</w:t>
      </w:r>
      <w:r w:rsidR="00270781" w:rsidRPr="00EB2982">
        <w:rPr>
          <w:lang w:val="en-ZA" w:eastAsia="en-ZA"/>
        </w:rPr>
        <w:t xml:space="preserve"> </w:t>
      </w:r>
      <w:r w:rsidR="002E04EC" w:rsidRPr="00EB2982">
        <w:rPr>
          <w:color w:val="000000"/>
          <w:spacing w:val="6"/>
        </w:rPr>
        <w:t xml:space="preserve">and the </w:t>
      </w:r>
      <w:r w:rsidR="002E04EC" w:rsidRPr="00EB2982">
        <w:rPr>
          <w:lang w:val="en-ZA" w:eastAsia="en-ZA"/>
        </w:rPr>
        <w:t xml:space="preserve">White Paper on Social Welfare </w:t>
      </w:r>
      <w:r w:rsidR="001171D3" w:rsidRPr="00EB2982">
        <w:rPr>
          <w:color w:val="000000"/>
          <w:spacing w:val="6"/>
        </w:rPr>
        <w:t xml:space="preserve">for </w:t>
      </w:r>
      <w:r w:rsidR="00105BDB" w:rsidRPr="00EB2982">
        <w:rPr>
          <w:color w:val="000000"/>
          <w:spacing w:val="6"/>
        </w:rPr>
        <w:t xml:space="preserve">approval and </w:t>
      </w:r>
      <w:r w:rsidR="002E04EC" w:rsidRPr="00EB2982">
        <w:rPr>
          <w:color w:val="000000"/>
          <w:spacing w:val="6"/>
        </w:rPr>
        <w:t>consideration.</w:t>
      </w:r>
      <w:r w:rsidR="00225FDF" w:rsidRPr="00EB2982">
        <w:rPr>
          <w:color w:val="000000"/>
          <w:spacing w:val="6"/>
        </w:rPr>
        <w:t xml:space="preserve"> It will also submit Children’s Amendment Bill to Parliament for consideration. It will also submit a draft policy on services to persons with disabilities and their families to FOSAD for approval for public comments.    </w:t>
      </w:r>
    </w:p>
    <w:p w14:paraId="2A2BB80A" w14:textId="77777777" w:rsidR="002E04EC" w:rsidRPr="00EB2982" w:rsidRDefault="002E04EC" w:rsidP="00F96CBE">
      <w:pPr>
        <w:autoSpaceDE w:val="0"/>
        <w:autoSpaceDN w:val="0"/>
        <w:adjustRightInd w:val="0"/>
        <w:spacing w:line="280" w:lineRule="exact"/>
        <w:jc w:val="both"/>
        <w:rPr>
          <w:color w:val="000000"/>
          <w:spacing w:val="6"/>
        </w:rPr>
      </w:pPr>
    </w:p>
    <w:p w14:paraId="6A402B07" w14:textId="77777777" w:rsidR="00BA3DF0" w:rsidRPr="00EB2982" w:rsidRDefault="002E04EC" w:rsidP="00F96CBE">
      <w:pPr>
        <w:autoSpaceDE w:val="0"/>
        <w:autoSpaceDN w:val="0"/>
        <w:adjustRightInd w:val="0"/>
        <w:spacing w:line="280" w:lineRule="exact"/>
        <w:jc w:val="both"/>
        <w:rPr>
          <w:color w:val="000000"/>
          <w:spacing w:val="6"/>
        </w:rPr>
      </w:pPr>
      <w:r w:rsidRPr="00EB2982">
        <w:rPr>
          <w:color w:val="000000"/>
          <w:spacing w:val="6"/>
        </w:rPr>
        <w:t xml:space="preserve">The </w:t>
      </w:r>
      <w:r w:rsidR="00105BDB" w:rsidRPr="00EB2982">
        <w:rPr>
          <w:color w:val="000000"/>
          <w:spacing w:val="6"/>
        </w:rPr>
        <w:t>d</w:t>
      </w:r>
      <w:r w:rsidRPr="00EB2982">
        <w:rPr>
          <w:color w:val="000000"/>
          <w:spacing w:val="6"/>
        </w:rPr>
        <w:t>epartment has set target</w:t>
      </w:r>
      <w:r w:rsidR="001F1F24" w:rsidRPr="00EB2982">
        <w:rPr>
          <w:color w:val="000000"/>
          <w:spacing w:val="6"/>
        </w:rPr>
        <w:t>s</w:t>
      </w:r>
      <w:r w:rsidRPr="00EB2982">
        <w:rPr>
          <w:color w:val="000000"/>
          <w:spacing w:val="6"/>
        </w:rPr>
        <w:t xml:space="preserve"> to revise the White Paper on Families and develop a policy on provision of counselling under the year under review.  I</w:t>
      </w:r>
      <w:r w:rsidR="00105BDB" w:rsidRPr="00EB2982">
        <w:rPr>
          <w:color w:val="000000"/>
          <w:spacing w:val="6"/>
        </w:rPr>
        <w:t>t</w:t>
      </w:r>
      <w:r w:rsidRPr="00EB2982">
        <w:rPr>
          <w:color w:val="000000"/>
          <w:spacing w:val="6"/>
        </w:rPr>
        <w:t xml:space="preserve"> will</w:t>
      </w:r>
      <w:r w:rsidR="00105BDB" w:rsidRPr="00EB2982">
        <w:rPr>
          <w:color w:val="000000"/>
          <w:spacing w:val="6"/>
        </w:rPr>
        <w:t xml:space="preserve"> also develop a framework on Social Development Bill. It </w:t>
      </w:r>
      <w:r w:rsidRPr="00EB2982">
        <w:rPr>
          <w:color w:val="000000"/>
          <w:spacing w:val="6"/>
        </w:rPr>
        <w:t>develop</w:t>
      </w:r>
      <w:r w:rsidR="006E504D" w:rsidRPr="00EB2982">
        <w:rPr>
          <w:color w:val="000000"/>
          <w:spacing w:val="6"/>
        </w:rPr>
        <w:t>s</w:t>
      </w:r>
      <w:r w:rsidRPr="00EB2982">
        <w:rPr>
          <w:color w:val="000000"/>
          <w:spacing w:val="6"/>
        </w:rPr>
        <w:t xml:space="preserve"> an inter-sectoral policy on sheltering services</w:t>
      </w:r>
      <w:r w:rsidR="00105BDB" w:rsidRPr="00EB2982">
        <w:rPr>
          <w:color w:val="000000"/>
          <w:spacing w:val="6"/>
        </w:rPr>
        <w:t xml:space="preserve">, </w:t>
      </w:r>
      <w:r w:rsidRPr="00EB2982">
        <w:rPr>
          <w:color w:val="000000"/>
          <w:spacing w:val="6"/>
        </w:rPr>
        <w:t>monitor the implementation of Policy Framework on Accreditation of Diversion Services in five (5) provinces</w:t>
      </w:r>
      <w:r w:rsidR="00105BDB" w:rsidRPr="00EB2982">
        <w:rPr>
          <w:color w:val="000000"/>
          <w:spacing w:val="6"/>
        </w:rPr>
        <w:t xml:space="preserve"> and</w:t>
      </w:r>
      <w:r w:rsidRPr="00EB2982">
        <w:rPr>
          <w:color w:val="000000"/>
          <w:spacing w:val="6"/>
        </w:rPr>
        <w:t xml:space="preserve"> capacitate </w:t>
      </w:r>
      <w:r w:rsidR="00105BDB" w:rsidRPr="00EB2982">
        <w:rPr>
          <w:color w:val="000000"/>
          <w:spacing w:val="6"/>
        </w:rPr>
        <w:t>four (</w:t>
      </w:r>
      <w:r w:rsidRPr="00EB2982">
        <w:rPr>
          <w:color w:val="000000"/>
          <w:spacing w:val="6"/>
        </w:rPr>
        <w:t>4</w:t>
      </w:r>
      <w:r w:rsidR="00105BDB" w:rsidRPr="00EB2982">
        <w:rPr>
          <w:color w:val="000000"/>
          <w:spacing w:val="6"/>
        </w:rPr>
        <w:t>)</w:t>
      </w:r>
      <w:r w:rsidRPr="00EB2982">
        <w:rPr>
          <w:color w:val="000000"/>
          <w:spacing w:val="6"/>
        </w:rPr>
        <w:t xml:space="preserve"> provinces on Universal treatment curricul</w:t>
      </w:r>
      <w:r w:rsidR="00BA3DF0" w:rsidRPr="00EB2982">
        <w:rPr>
          <w:color w:val="000000"/>
          <w:spacing w:val="6"/>
        </w:rPr>
        <w:t>um.</w:t>
      </w:r>
    </w:p>
    <w:p w14:paraId="3ABF8BC0" w14:textId="77777777" w:rsidR="00BA3DF0" w:rsidRPr="00EB2982" w:rsidRDefault="00BA3DF0" w:rsidP="00F96CBE">
      <w:pPr>
        <w:autoSpaceDE w:val="0"/>
        <w:autoSpaceDN w:val="0"/>
        <w:adjustRightInd w:val="0"/>
        <w:spacing w:line="280" w:lineRule="exact"/>
        <w:jc w:val="both"/>
        <w:rPr>
          <w:color w:val="000000"/>
          <w:spacing w:val="6"/>
        </w:rPr>
      </w:pPr>
    </w:p>
    <w:p w14:paraId="61612747" w14:textId="77777777" w:rsidR="00D16648" w:rsidRPr="00EB2982" w:rsidRDefault="00BA3DF0" w:rsidP="00F96CBE">
      <w:pPr>
        <w:autoSpaceDE w:val="0"/>
        <w:autoSpaceDN w:val="0"/>
        <w:adjustRightInd w:val="0"/>
        <w:spacing w:line="280" w:lineRule="exact"/>
        <w:jc w:val="both"/>
        <w:rPr>
          <w:lang w:val="en-ZA" w:eastAsia="en-ZA"/>
        </w:rPr>
      </w:pPr>
      <w:r w:rsidRPr="00EB2982">
        <w:rPr>
          <w:color w:val="000000"/>
          <w:spacing w:val="6"/>
        </w:rPr>
        <w:t>It</w:t>
      </w:r>
      <w:r w:rsidR="001F1F24" w:rsidRPr="00EB2982">
        <w:rPr>
          <w:color w:val="000000"/>
          <w:spacing w:val="6"/>
        </w:rPr>
        <w:t xml:space="preserve"> will</w:t>
      </w:r>
      <w:r w:rsidRPr="00EB2982">
        <w:rPr>
          <w:color w:val="000000"/>
          <w:spacing w:val="6"/>
        </w:rPr>
        <w:t xml:space="preserve"> develop a Community Based Disability Inclusive Development Programme (CBID)</w:t>
      </w:r>
      <w:r w:rsidR="001F1F24" w:rsidRPr="00EB2982">
        <w:rPr>
          <w:color w:val="000000"/>
          <w:spacing w:val="6"/>
        </w:rPr>
        <w:t xml:space="preserve"> and </w:t>
      </w:r>
      <w:r w:rsidR="00EE2CB0" w:rsidRPr="00EB2982">
        <w:t>capacitate nine (9) provinces on the implementation of Guidelines for Community based prevention and early intervention services to vulnerable children</w:t>
      </w:r>
      <w:r w:rsidR="002E04EC" w:rsidRPr="00EB2982">
        <w:rPr>
          <w:color w:val="000000"/>
          <w:spacing w:val="6"/>
        </w:rPr>
        <w:t xml:space="preserve"> </w:t>
      </w:r>
    </w:p>
    <w:p w14:paraId="672CC986" w14:textId="77777777" w:rsidR="00C42E53" w:rsidRPr="00EB2982" w:rsidRDefault="00C42E53" w:rsidP="00F96CBE">
      <w:pPr>
        <w:spacing w:line="280" w:lineRule="exact"/>
        <w:jc w:val="both"/>
        <w:rPr>
          <w:b/>
          <w:color w:val="000000"/>
          <w:spacing w:val="6"/>
        </w:rPr>
      </w:pPr>
    </w:p>
    <w:p w14:paraId="3C3C07C0" w14:textId="77777777" w:rsidR="00EB2982" w:rsidRDefault="00EB2982">
      <w:pPr>
        <w:rPr>
          <w:b/>
          <w:color w:val="000000"/>
          <w:spacing w:val="6"/>
        </w:rPr>
      </w:pPr>
      <w:r>
        <w:rPr>
          <w:b/>
          <w:color w:val="000000"/>
          <w:spacing w:val="6"/>
        </w:rPr>
        <w:br w:type="page"/>
      </w:r>
    </w:p>
    <w:p w14:paraId="66022411" w14:textId="77777777" w:rsidR="00EA412C" w:rsidRPr="00EB2982" w:rsidRDefault="00F57084" w:rsidP="008F0E74">
      <w:pPr>
        <w:spacing w:line="280" w:lineRule="exact"/>
        <w:jc w:val="both"/>
        <w:rPr>
          <w:b/>
          <w:color w:val="000000"/>
          <w:spacing w:val="6"/>
        </w:rPr>
      </w:pPr>
      <w:r w:rsidRPr="00EB2982">
        <w:rPr>
          <w:b/>
          <w:color w:val="000000"/>
          <w:spacing w:val="6"/>
        </w:rPr>
        <w:lastRenderedPageBreak/>
        <w:t>Expenditure</w:t>
      </w:r>
      <w:r w:rsidR="00EA412C" w:rsidRPr="00EB2982">
        <w:rPr>
          <w:b/>
          <w:color w:val="000000"/>
          <w:spacing w:val="6"/>
        </w:rPr>
        <w:t xml:space="preserve"> trends</w:t>
      </w:r>
    </w:p>
    <w:p w14:paraId="7B2E9FC6" w14:textId="77777777" w:rsidR="00270781" w:rsidRPr="00EB2982" w:rsidRDefault="00270781" w:rsidP="008F0E74">
      <w:pPr>
        <w:spacing w:line="280" w:lineRule="exact"/>
        <w:jc w:val="both"/>
        <w:rPr>
          <w:b/>
          <w:color w:val="000000"/>
          <w:spacing w:val="6"/>
        </w:rPr>
      </w:pPr>
    </w:p>
    <w:p w14:paraId="46B47BF2" w14:textId="77777777" w:rsidR="00C42E53" w:rsidRPr="00EB2982" w:rsidRDefault="00C42E53" w:rsidP="00C42E53">
      <w:pPr>
        <w:pStyle w:val="Caption"/>
        <w:spacing w:line="280" w:lineRule="exact"/>
        <w:rPr>
          <w:rFonts w:ascii="Times New Roman" w:hAnsi="Times New Roman" w:cs="Times New Roman"/>
          <w:iCs w:val="0"/>
          <w:color w:val="000000" w:themeColor="text1"/>
          <w:sz w:val="20"/>
          <w:szCs w:val="22"/>
          <w:lang w:val="en-GB"/>
        </w:rPr>
      </w:pPr>
      <w:r w:rsidRPr="00EB2982">
        <w:rPr>
          <w:rFonts w:ascii="Times New Roman" w:hAnsi="Times New Roman" w:cs="Times New Roman"/>
          <w:iCs w:val="0"/>
          <w:color w:val="000000" w:themeColor="text1"/>
          <w:sz w:val="20"/>
          <w:szCs w:val="22"/>
          <w:lang w:val="en-GB"/>
        </w:rPr>
        <w:t>Table 5: Welfare Services Policy Development and Implementation Support Programme</w:t>
      </w:r>
    </w:p>
    <w:p w14:paraId="1503C710" w14:textId="77777777" w:rsidR="00C42E53" w:rsidRPr="00EB2982" w:rsidRDefault="00C42E53" w:rsidP="008F0E74">
      <w:pPr>
        <w:spacing w:line="280" w:lineRule="exact"/>
        <w:jc w:val="both"/>
        <w:rPr>
          <w:i/>
          <w:color w:val="000000"/>
          <w:spacing w:val="6"/>
        </w:rPr>
      </w:pPr>
    </w:p>
    <w:tbl>
      <w:tblPr>
        <w:tblStyle w:val="TableGrid"/>
        <w:tblW w:w="9498" w:type="dxa"/>
        <w:tblInd w:w="-5" w:type="dxa"/>
        <w:tblLayout w:type="fixed"/>
        <w:tblLook w:val="04A0" w:firstRow="1" w:lastRow="0" w:firstColumn="1" w:lastColumn="0" w:noHBand="0" w:noVBand="1"/>
      </w:tblPr>
      <w:tblGrid>
        <w:gridCol w:w="2694"/>
        <w:gridCol w:w="992"/>
        <w:gridCol w:w="992"/>
        <w:gridCol w:w="1276"/>
        <w:gridCol w:w="1276"/>
        <w:gridCol w:w="1134"/>
        <w:gridCol w:w="1134"/>
      </w:tblGrid>
      <w:tr w:rsidR="00C42E53" w:rsidRPr="00EB2982" w14:paraId="0374A84D" w14:textId="77777777" w:rsidTr="002C7C5F">
        <w:trPr>
          <w:trHeight w:val="765"/>
        </w:trPr>
        <w:tc>
          <w:tcPr>
            <w:tcW w:w="2694" w:type="dxa"/>
            <w:vMerge w:val="restart"/>
            <w:shd w:val="clear" w:color="auto" w:fill="FDE9D9" w:themeFill="accent6" w:themeFillTint="33"/>
            <w:noWrap/>
            <w:hideMark/>
          </w:tcPr>
          <w:p w14:paraId="4CF8639D" w14:textId="77777777" w:rsidR="00C42E53" w:rsidRPr="00EB2982" w:rsidRDefault="00C42E53" w:rsidP="002C7C5F">
            <w:pPr>
              <w:rPr>
                <w:b/>
                <w:bCs/>
                <w:sz w:val="20"/>
                <w:szCs w:val="20"/>
              </w:rPr>
            </w:pPr>
            <w:r w:rsidRPr="00EB2982">
              <w:rPr>
                <w:b/>
                <w:bCs/>
                <w:sz w:val="20"/>
                <w:szCs w:val="20"/>
              </w:rPr>
              <w:t>Programme</w:t>
            </w:r>
          </w:p>
          <w:p w14:paraId="70125DB7" w14:textId="77777777" w:rsidR="00C42E53" w:rsidRPr="00EB2982" w:rsidRDefault="00C42E53" w:rsidP="002C7C5F">
            <w:pPr>
              <w:jc w:val="center"/>
              <w:rPr>
                <w:b/>
                <w:bCs/>
                <w:sz w:val="20"/>
                <w:szCs w:val="20"/>
              </w:rPr>
            </w:pPr>
          </w:p>
          <w:p w14:paraId="0BA233F7" w14:textId="77777777" w:rsidR="00C42E53" w:rsidRPr="00EB2982" w:rsidRDefault="00C42E53" w:rsidP="002C7C5F">
            <w:pPr>
              <w:jc w:val="center"/>
              <w:rPr>
                <w:b/>
                <w:bCs/>
                <w:sz w:val="20"/>
                <w:szCs w:val="20"/>
              </w:rPr>
            </w:pPr>
          </w:p>
          <w:p w14:paraId="68B02F38" w14:textId="77777777" w:rsidR="00C42E53" w:rsidRPr="00EB2982" w:rsidRDefault="00C42E53" w:rsidP="002C7C5F">
            <w:pPr>
              <w:jc w:val="center"/>
              <w:rPr>
                <w:b/>
                <w:bCs/>
                <w:sz w:val="20"/>
                <w:szCs w:val="20"/>
              </w:rPr>
            </w:pPr>
          </w:p>
          <w:p w14:paraId="4A1062CA" w14:textId="77777777" w:rsidR="00C42E53" w:rsidRPr="00EB2982" w:rsidRDefault="00C42E53" w:rsidP="002C7C5F">
            <w:pPr>
              <w:rPr>
                <w:b/>
                <w:bCs/>
                <w:sz w:val="20"/>
                <w:szCs w:val="20"/>
              </w:rPr>
            </w:pPr>
            <w:r w:rsidRPr="00EB2982">
              <w:rPr>
                <w:b/>
                <w:bCs/>
                <w:sz w:val="20"/>
                <w:szCs w:val="20"/>
              </w:rPr>
              <w:t>R million</w:t>
            </w:r>
          </w:p>
        </w:tc>
        <w:tc>
          <w:tcPr>
            <w:tcW w:w="1984" w:type="dxa"/>
            <w:gridSpan w:val="2"/>
            <w:shd w:val="clear" w:color="auto" w:fill="FDE9D9" w:themeFill="accent6" w:themeFillTint="33"/>
            <w:hideMark/>
          </w:tcPr>
          <w:p w14:paraId="71AACB5A" w14:textId="77777777" w:rsidR="00C42E53" w:rsidRPr="00EB2982" w:rsidRDefault="00C42E53" w:rsidP="002C7C5F">
            <w:pPr>
              <w:jc w:val="center"/>
              <w:rPr>
                <w:b/>
                <w:bCs/>
                <w:sz w:val="20"/>
                <w:szCs w:val="20"/>
              </w:rPr>
            </w:pPr>
            <w:r w:rsidRPr="00EB2982">
              <w:rPr>
                <w:b/>
                <w:bCs/>
                <w:sz w:val="20"/>
                <w:szCs w:val="20"/>
              </w:rPr>
              <w:t>Budget</w:t>
            </w:r>
          </w:p>
        </w:tc>
        <w:tc>
          <w:tcPr>
            <w:tcW w:w="1276" w:type="dxa"/>
            <w:vMerge w:val="restart"/>
            <w:shd w:val="clear" w:color="auto" w:fill="FDE9D9" w:themeFill="accent6" w:themeFillTint="33"/>
          </w:tcPr>
          <w:p w14:paraId="40483215" w14:textId="77777777" w:rsidR="00C42E53" w:rsidRPr="00EB2982" w:rsidRDefault="00C42E53" w:rsidP="002C7C5F">
            <w:pPr>
              <w:autoSpaceDE w:val="0"/>
              <w:autoSpaceDN w:val="0"/>
              <w:adjustRightInd w:val="0"/>
              <w:jc w:val="center"/>
              <w:rPr>
                <w:b/>
                <w:bCs/>
                <w:sz w:val="20"/>
                <w:szCs w:val="20"/>
              </w:rPr>
            </w:pPr>
            <w:r w:rsidRPr="00EB2982">
              <w:rPr>
                <w:b/>
                <w:bCs/>
                <w:sz w:val="20"/>
                <w:szCs w:val="20"/>
              </w:rPr>
              <w:t>Nominal change in 2019/20</w:t>
            </w:r>
          </w:p>
          <w:p w14:paraId="2CB6292B" w14:textId="77777777" w:rsidR="00C42E53" w:rsidRPr="00EB2982" w:rsidRDefault="00C42E53" w:rsidP="002C7C5F">
            <w:pPr>
              <w:jc w:val="center"/>
              <w:rPr>
                <w:b/>
                <w:bCs/>
                <w:sz w:val="20"/>
                <w:szCs w:val="20"/>
              </w:rPr>
            </w:pPr>
            <w:r w:rsidRPr="00EB2982">
              <w:rPr>
                <w:b/>
                <w:bCs/>
                <w:sz w:val="16"/>
                <w:szCs w:val="20"/>
              </w:rPr>
              <w:t>(Rand value)</w:t>
            </w:r>
          </w:p>
        </w:tc>
        <w:tc>
          <w:tcPr>
            <w:tcW w:w="1276" w:type="dxa"/>
            <w:vMerge w:val="restart"/>
            <w:shd w:val="clear" w:color="auto" w:fill="FDE9D9" w:themeFill="accent6" w:themeFillTint="33"/>
          </w:tcPr>
          <w:p w14:paraId="635632C8" w14:textId="77777777" w:rsidR="00C42E53" w:rsidRPr="00EB2982" w:rsidRDefault="00C42E53" w:rsidP="002C7C5F">
            <w:pPr>
              <w:autoSpaceDE w:val="0"/>
              <w:autoSpaceDN w:val="0"/>
              <w:adjustRightInd w:val="0"/>
              <w:jc w:val="center"/>
              <w:rPr>
                <w:b/>
                <w:bCs/>
                <w:sz w:val="20"/>
                <w:szCs w:val="20"/>
              </w:rPr>
            </w:pPr>
            <w:r w:rsidRPr="00EB2982">
              <w:rPr>
                <w:b/>
                <w:bCs/>
                <w:sz w:val="20"/>
                <w:szCs w:val="20"/>
              </w:rPr>
              <w:t>Real change in 2019/20</w:t>
            </w:r>
          </w:p>
          <w:p w14:paraId="7CE70C87" w14:textId="77777777" w:rsidR="00C42E53" w:rsidRPr="00EB2982" w:rsidRDefault="00C42E53" w:rsidP="002C7C5F">
            <w:pPr>
              <w:jc w:val="center"/>
              <w:rPr>
                <w:b/>
                <w:bCs/>
                <w:sz w:val="20"/>
                <w:szCs w:val="20"/>
              </w:rPr>
            </w:pPr>
            <w:r w:rsidRPr="00EB2982">
              <w:rPr>
                <w:b/>
                <w:bCs/>
                <w:sz w:val="16"/>
                <w:szCs w:val="20"/>
              </w:rPr>
              <w:t>(Rand value)</w:t>
            </w:r>
          </w:p>
        </w:tc>
        <w:tc>
          <w:tcPr>
            <w:tcW w:w="1134" w:type="dxa"/>
            <w:vMerge w:val="restart"/>
            <w:shd w:val="clear" w:color="auto" w:fill="FDE9D9" w:themeFill="accent6" w:themeFillTint="33"/>
          </w:tcPr>
          <w:p w14:paraId="46D88A22" w14:textId="77777777" w:rsidR="00C42E53" w:rsidRPr="00EB2982" w:rsidRDefault="00C42E53" w:rsidP="002C7C5F">
            <w:pPr>
              <w:jc w:val="center"/>
              <w:rPr>
                <w:b/>
                <w:bCs/>
                <w:sz w:val="20"/>
                <w:szCs w:val="20"/>
              </w:rPr>
            </w:pPr>
            <w:r w:rsidRPr="00EB2982">
              <w:rPr>
                <w:b/>
                <w:bCs/>
                <w:sz w:val="20"/>
                <w:szCs w:val="20"/>
              </w:rPr>
              <w:t>Nominal Percent change in 2019/20</w:t>
            </w:r>
          </w:p>
        </w:tc>
        <w:tc>
          <w:tcPr>
            <w:tcW w:w="1134" w:type="dxa"/>
            <w:vMerge w:val="restart"/>
            <w:shd w:val="clear" w:color="auto" w:fill="FDE9D9" w:themeFill="accent6" w:themeFillTint="33"/>
          </w:tcPr>
          <w:p w14:paraId="7C381430" w14:textId="77777777" w:rsidR="00C42E53" w:rsidRPr="00EB2982" w:rsidRDefault="00C42E53" w:rsidP="002C7C5F">
            <w:pPr>
              <w:jc w:val="center"/>
              <w:rPr>
                <w:b/>
                <w:bCs/>
                <w:sz w:val="20"/>
                <w:szCs w:val="20"/>
              </w:rPr>
            </w:pPr>
            <w:r w:rsidRPr="00EB2982">
              <w:rPr>
                <w:b/>
                <w:bCs/>
                <w:sz w:val="20"/>
                <w:szCs w:val="20"/>
              </w:rPr>
              <w:t xml:space="preserve">Real Percent change </w:t>
            </w:r>
          </w:p>
          <w:p w14:paraId="0E6B6D7A" w14:textId="77777777" w:rsidR="00C42E53" w:rsidRPr="00EB2982" w:rsidRDefault="00C42E53" w:rsidP="002C7C5F">
            <w:pPr>
              <w:jc w:val="center"/>
              <w:rPr>
                <w:b/>
                <w:bCs/>
                <w:sz w:val="20"/>
                <w:szCs w:val="20"/>
              </w:rPr>
            </w:pPr>
            <w:r w:rsidRPr="00EB2982">
              <w:rPr>
                <w:b/>
                <w:bCs/>
                <w:sz w:val="20"/>
                <w:szCs w:val="20"/>
              </w:rPr>
              <w:t xml:space="preserve">in </w:t>
            </w:r>
          </w:p>
          <w:p w14:paraId="4A53947F" w14:textId="77777777" w:rsidR="00C42E53" w:rsidRPr="00EB2982" w:rsidRDefault="00C42E53" w:rsidP="002C7C5F">
            <w:pPr>
              <w:jc w:val="center"/>
              <w:rPr>
                <w:b/>
                <w:bCs/>
                <w:sz w:val="20"/>
                <w:szCs w:val="20"/>
              </w:rPr>
            </w:pPr>
            <w:r w:rsidRPr="00EB2982">
              <w:rPr>
                <w:b/>
                <w:bCs/>
                <w:sz w:val="20"/>
                <w:szCs w:val="20"/>
              </w:rPr>
              <w:t>2019/20</w:t>
            </w:r>
          </w:p>
        </w:tc>
      </w:tr>
      <w:tr w:rsidR="00C42E53" w:rsidRPr="00EB2982" w14:paraId="7A348AC9" w14:textId="77777777" w:rsidTr="002C7C5F">
        <w:trPr>
          <w:trHeight w:val="264"/>
        </w:trPr>
        <w:tc>
          <w:tcPr>
            <w:tcW w:w="2694" w:type="dxa"/>
            <w:vMerge/>
            <w:shd w:val="clear" w:color="auto" w:fill="FDE9D9" w:themeFill="accent6" w:themeFillTint="33"/>
            <w:noWrap/>
            <w:hideMark/>
          </w:tcPr>
          <w:p w14:paraId="2D69557C" w14:textId="77777777" w:rsidR="00C42E53" w:rsidRPr="00EB2982" w:rsidRDefault="00C42E53" w:rsidP="002C7C5F">
            <w:pPr>
              <w:rPr>
                <w:b/>
                <w:bCs/>
                <w:sz w:val="20"/>
                <w:szCs w:val="20"/>
              </w:rPr>
            </w:pPr>
          </w:p>
        </w:tc>
        <w:tc>
          <w:tcPr>
            <w:tcW w:w="992" w:type="dxa"/>
            <w:shd w:val="clear" w:color="auto" w:fill="FDE9D9" w:themeFill="accent6" w:themeFillTint="33"/>
            <w:noWrap/>
            <w:hideMark/>
          </w:tcPr>
          <w:p w14:paraId="3D0142C6" w14:textId="77777777" w:rsidR="00C42E53" w:rsidRPr="00EB2982" w:rsidRDefault="00C42E53" w:rsidP="002C7C5F">
            <w:pPr>
              <w:rPr>
                <w:b/>
                <w:bCs/>
                <w:sz w:val="20"/>
                <w:szCs w:val="20"/>
              </w:rPr>
            </w:pPr>
            <w:r w:rsidRPr="00EB2982">
              <w:rPr>
                <w:b/>
                <w:bCs/>
                <w:sz w:val="20"/>
                <w:szCs w:val="20"/>
              </w:rPr>
              <w:t>2018/19</w:t>
            </w:r>
          </w:p>
        </w:tc>
        <w:tc>
          <w:tcPr>
            <w:tcW w:w="992" w:type="dxa"/>
            <w:shd w:val="clear" w:color="auto" w:fill="FDE9D9" w:themeFill="accent6" w:themeFillTint="33"/>
            <w:noWrap/>
            <w:hideMark/>
          </w:tcPr>
          <w:p w14:paraId="746B7FC4" w14:textId="77777777" w:rsidR="00C42E53" w:rsidRPr="00EB2982" w:rsidRDefault="00C42E53" w:rsidP="002C7C5F">
            <w:pPr>
              <w:rPr>
                <w:b/>
                <w:bCs/>
                <w:sz w:val="20"/>
                <w:szCs w:val="20"/>
              </w:rPr>
            </w:pPr>
            <w:r w:rsidRPr="00EB2982">
              <w:rPr>
                <w:b/>
                <w:bCs/>
                <w:sz w:val="20"/>
                <w:szCs w:val="20"/>
              </w:rPr>
              <w:t>2019/20</w:t>
            </w:r>
          </w:p>
        </w:tc>
        <w:tc>
          <w:tcPr>
            <w:tcW w:w="1276" w:type="dxa"/>
            <w:vMerge/>
          </w:tcPr>
          <w:p w14:paraId="5B117A3D" w14:textId="77777777" w:rsidR="00C42E53" w:rsidRPr="00EB2982" w:rsidRDefault="00C42E53" w:rsidP="002C7C5F">
            <w:pPr>
              <w:rPr>
                <w:b/>
                <w:bCs/>
                <w:sz w:val="20"/>
                <w:szCs w:val="20"/>
              </w:rPr>
            </w:pPr>
          </w:p>
        </w:tc>
        <w:tc>
          <w:tcPr>
            <w:tcW w:w="1276" w:type="dxa"/>
            <w:vMerge/>
          </w:tcPr>
          <w:p w14:paraId="488B4FB3" w14:textId="77777777" w:rsidR="00C42E53" w:rsidRPr="00EB2982" w:rsidRDefault="00C42E53" w:rsidP="002C7C5F">
            <w:pPr>
              <w:rPr>
                <w:b/>
                <w:bCs/>
                <w:sz w:val="20"/>
                <w:szCs w:val="20"/>
              </w:rPr>
            </w:pPr>
          </w:p>
        </w:tc>
        <w:tc>
          <w:tcPr>
            <w:tcW w:w="1134" w:type="dxa"/>
            <w:vMerge/>
          </w:tcPr>
          <w:p w14:paraId="237D6231" w14:textId="77777777" w:rsidR="00C42E53" w:rsidRPr="00EB2982" w:rsidRDefault="00C42E53" w:rsidP="002C7C5F">
            <w:pPr>
              <w:rPr>
                <w:b/>
                <w:bCs/>
                <w:sz w:val="20"/>
                <w:szCs w:val="20"/>
              </w:rPr>
            </w:pPr>
          </w:p>
        </w:tc>
        <w:tc>
          <w:tcPr>
            <w:tcW w:w="1134" w:type="dxa"/>
            <w:vMerge/>
          </w:tcPr>
          <w:p w14:paraId="1C2CB550" w14:textId="77777777" w:rsidR="00C42E53" w:rsidRPr="00EB2982" w:rsidRDefault="00C42E53" w:rsidP="002C7C5F">
            <w:pPr>
              <w:rPr>
                <w:b/>
                <w:bCs/>
                <w:sz w:val="20"/>
                <w:szCs w:val="20"/>
              </w:rPr>
            </w:pPr>
          </w:p>
        </w:tc>
      </w:tr>
      <w:tr w:rsidR="00C42E53" w:rsidRPr="00EB2982" w14:paraId="452BDE3C" w14:textId="77777777" w:rsidTr="002C7C5F">
        <w:trPr>
          <w:trHeight w:val="264"/>
        </w:trPr>
        <w:tc>
          <w:tcPr>
            <w:tcW w:w="2694" w:type="dxa"/>
            <w:noWrap/>
            <w:hideMark/>
          </w:tcPr>
          <w:p w14:paraId="4CBD4139" w14:textId="77777777" w:rsidR="00C42E53" w:rsidRPr="00EB2982" w:rsidRDefault="00C42E53" w:rsidP="002C7C5F">
            <w:pPr>
              <w:rPr>
                <w:sz w:val="20"/>
                <w:szCs w:val="20"/>
              </w:rPr>
            </w:pPr>
            <w:r w:rsidRPr="00EB2982">
              <w:rPr>
                <w:sz w:val="20"/>
                <w:szCs w:val="20"/>
              </w:rPr>
              <w:t>Service Standards</w:t>
            </w:r>
          </w:p>
        </w:tc>
        <w:tc>
          <w:tcPr>
            <w:tcW w:w="992" w:type="dxa"/>
            <w:noWrap/>
            <w:hideMark/>
          </w:tcPr>
          <w:p w14:paraId="137BF975" w14:textId="77777777" w:rsidR="00C42E53" w:rsidRPr="00EB2982" w:rsidRDefault="00C42E53" w:rsidP="002C7C5F">
            <w:pPr>
              <w:jc w:val="right"/>
              <w:rPr>
                <w:sz w:val="20"/>
                <w:szCs w:val="20"/>
              </w:rPr>
            </w:pPr>
            <w:r w:rsidRPr="00EB2982">
              <w:rPr>
                <w:sz w:val="20"/>
                <w:szCs w:val="20"/>
              </w:rPr>
              <w:t xml:space="preserve">  31,1</w:t>
            </w:r>
          </w:p>
        </w:tc>
        <w:tc>
          <w:tcPr>
            <w:tcW w:w="992" w:type="dxa"/>
            <w:noWrap/>
            <w:hideMark/>
          </w:tcPr>
          <w:p w14:paraId="161DB780" w14:textId="77777777" w:rsidR="00C42E53" w:rsidRPr="00EB2982" w:rsidRDefault="00C42E53" w:rsidP="002C7C5F">
            <w:pPr>
              <w:jc w:val="right"/>
              <w:rPr>
                <w:sz w:val="20"/>
                <w:szCs w:val="20"/>
              </w:rPr>
            </w:pPr>
            <w:r w:rsidRPr="00EB2982">
              <w:rPr>
                <w:sz w:val="20"/>
                <w:szCs w:val="20"/>
              </w:rPr>
              <w:t xml:space="preserve">  32,5</w:t>
            </w:r>
          </w:p>
        </w:tc>
        <w:tc>
          <w:tcPr>
            <w:tcW w:w="1276" w:type="dxa"/>
            <w:noWrap/>
            <w:hideMark/>
          </w:tcPr>
          <w:p w14:paraId="0D15739C" w14:textId="77777777" w:rsidR="00C42E53" w:rsidRPr="00EB2982" w:rsidRDefault="00C42E53" w:rsidP="002C7C5F">
            <w:pPr>
              <w:jc w:val="right"/>
              <w:rPr>
                <w:sz w:val="20"/>
                <w:szCs w:val="20"/>
              </w:rPr>
            </w:pPr>
            <w:r w:rsidRPr="00EB2982">
              <w:rPr>
                <w:sz w:val="20"/>
                <w:szCs w:val="20"/>
              </w:rPr>
              <w:t xml:space="preserve">  1,4</w:t>
            </w:r>
          </w:p>
        </w:tc>
        <w:tc>
          <w:tcPr>
            <w:tcW w:w="1276" w:type="dxa"/>
            <w:noWrap/>
            <w:hideMark/>
          </w:tcPr>
          <w:p w14:paraId="0B00CD70" w14:textId="77777777" w:rsidR="00C42E53" w:rsidRPr="00EB2982" w:rsidRDefault="00C42E53" w:rsidP="002C7C5F">
            <w:pPr>
              <w:jc w:val="right"/>
              <w:rPr>
                <w:sz w:val="20"/>
                <w:szCs w:val="20"/>
              </w:rPr>
            </w:pPr>
            <w:r w:rsidRPr="00EB2982">
              <w:rPr>
                <w:sz w:val="20"/>
                <w:szCs w:val="20"/>
              </w:rPr>
              <w:t>-  0,2</w:t>
            </w:r>
          </w:p>
        </w:tc>
        <w:tc>
          <w:tcPr>
            <w:tcW w:w="1134" w:type="dxa"/>
            <w:noWrap/>
            <w:hideMark/>
          </w:tcPr>
          <w:p w14:paraId="38D60A25" w14:textId="77777777" w:rsidR="00C42E53" w:rsidRPr="00EB2982" w:rsidRDefault="00C42E53" w:rsidP="002C7C5F">
            <w:pPr>
              <w:jc w:val="center"/>
              <w:rPr>
                <w:sz w:val="20"/>
                <w:szCs w:val="20"/>
              </w:rPr>
            </w:pPr>
            <w:r w:rsidRPr="00EB2982">
              <w:rPr>
                <w:sz w:val="20"/>
                <w:szCs w:val="20"/>
              </w:rPr>
              <w:t>4,50%</w:t>
            </w:r>
          </w:p>
        </w:tc>
        <w:tc>
          <w:tcPr>
            <w:tcW w:w="1134" w:type="dxa"/>
            <w:noWrap/>
            <w:hideMark/>
          </w:tcPr>
          <w:p w14:paraId="064FF9B9" w14:textId="77777777" w:rsidR="00C42E53" w:rsidRPr="00EB2982" w:rsidRDefault="00C42E53" w:rsidP="002C7C5F">
            <w:pPr>
              <w:jc w:val="center"/>
              <w:rPr>
                <w:sz w:val="20"/>
                <w:szCs w:val="20"/>
              </w:rPr>
            </w:pPr>
            <w:r w:rsidRPr="00EB2982">
              <w:rPr>
                <w:sz w:val="20"/>
                <w:szCs w:val="20"/>
              </w:rPr>
              <w:t>-0,66%</w:t>
            </w:r>
          </w:p>
        </w:tc>
      </w:tr>
      <w:tr w:rsidR="00C42E53" w:rsidRPr="00EB2982" w14:paraId="3B37F0A7" w14:textId="77777777" w:rsidTr="002C7C5F">
        <w:trPr>
          <w:trHeight w:val="264"/>
        </w:trPr>
        <w:tc>
          <w:tcPr>
            <w:tcW w:w="2694" w:type="dxa"/>
            <w:noWrap/>
            <w:hideMark/>
          </w:tcPr>
          <w:p w14:paraId="3EF98E32" w14:textId="77777777" w:rsidR="00C42E53" w:rsidRPr="00EB2982" w:rsidRDefault="00C42E53" w:rsidP="002C7C5F">
            <w:pPr>
              <w:rPr>
                <w:sz w:val="20"/>
                <w:szCs w:val="20"/>
              </w:rPr>
            </w:pPr>
            <w:r w:rsidRPr="00EB2982">
              <w:rPr>
                <w:sz w:val="20"/>
                <w:szCs w:val="20"/>
              </w:rPr>
              <w:t>Substance Abuse</w:t>
            </w:r>
          </w:p>
        </w:tc>
        <w:tc>
          <w:tcPr>
            <w:tcW w:w="992" w:type="dxa"/>
            <w:noWrap/>
            <w:hideMark/>
          </w:tcPr>
          <w:p w14:paraId="06D0EB4F" w14:textId="77777777" w:rsidR="00C42E53" w:rsidRPr="00EB2982" w:rsidRDefault="00C42E53" w:rsidP="002C7C5F">
            <w:pPr>
              <w:jc w:val="right"/>
              <w:rPr>
                <w:sz w:val="20"/>
                <w:szCs w:val="20"/>
              </w:rPr>
            </w:pPr>
            <w:r w:rsidRPr="00EB2982">
              <w:rPr>
                <w:sz w:val="20"/>
                <w:szCs w:val="20"/>
              </w:rPr>
              <w:t xml:space="preserve">  109,1</w:t>
            </w:r>
          </w:p>
        </w:tc>
        <w:tc>
          <w:tcPr>
            <w:tcW w:w="992" w:type="dxa"/>
            <w:noWrap/>
            <w:hideMark/>
          </w:tcPr>
          <w:p w14:paraId="17DFF2B2" w14:textId="77777777" w:rsidR="00C42E53" w:rsidRPr="00EB2982" w:rsidRDefault="00C42E53" w:rsidP="002C7C5F">
            <w:pPr>
              <w:jc w:val="right"/>
              <w:rPr>
                <w:sz w:val="20"/>
                <w:szCs w:val="20"/>
              </w:rPr>
            </w:pPr>
            <w:r w:rsidRPr="00EB2982">
              <w:rPr>
                <w:sz w:val="20"/>
                <w:szCs w:val="20"/>
              </w:rPr>
              <w:t xml:space="preserve">  20,9</w:t>
            </w:r>
          </w:p>
        </w:tc>
        <w:tc>
          <w:tcPr>
            <w:tcW w:w="1276" w:type="dxa"/>
            <w:noWrap/>
            <w:hideMark/>
          </w:tcPr>
          <w:p w14:paraId="056E4499" w14:textId="77777777" w:rsidR="00C42E53" w:rsidRPr="00EB2982" w:rsidRDefault="00C42E53" w:rsidP="002C7C5F">
            <w:pPr>
              <w:jc w:val="right"/>
              <w:rPr>
                <w:sz w:val="20"/>
                <w:szCs w:val="20"/>
              </w:rPr>
            </w:pPr>
            <w:r w:rsidRPr="00EB2982">
              <w:rPr>
                <w:sz w:val="20"/>
                <w:szCs w:val="20"/>
              </w:rPr>
              <w:t>-  88,2</w:t>
            </w:r>
          </w:p>
        </w:tc>
        <w:tc>
          <w:tcPr>
            <w:tcW w:w="1276" w:type="dxa"/>
            <w:noWrap/>
            <w:hideMark/>
          </w:tcPr>
          <w:p w14:paraId="724A6251" w14:textId="77777777" w:rsidR="00C42E53" w:rsidRPr="00EB2982" w:rsidRDefault="00C42E53" w:rsidP="002C7C5F">
            <w:pPr>
              <w:jc w:val="right"/>
              <w:rPr>
                <w:sz w:val="20"/>
                <w:szCs w:val="20"/>
              </w:rPr>
            </w:pPr>
            <w:r w:rsidRPr="00EB2982">
              <w:rPr>
                <w:sz w:val="20"/>
                <w:szCs w:val="20"/>
              </w:rPr>
              <w:t>-  89,2</w:t>
            </w:r>
          </w:p>
        </w:tc>
        <w:tc>
          <w:tcPr>
            <w:tcW w:w="1134" w:type="dxa"/>
            <w:noWrap/>
            <w:hideMark/>
          </w:tcPr>
          <w:p w14:paraId="2AAABB3B" w14:textId="77777777" w:rsidR="00C42E53" w:rsidRPr="00EB2982" w:rsidRDefault="00C42E53" w:rsidP="002C7C5F">
            <w:pPr>
              <w:jc w:val="center"/>
              <w:rPr>
                <w:sz w:val="20"/>
                <w:szCs w:val="20"/>
              </w:rPr>
            </w:pPr>
            <w:r w:rsidRPr="00EB2982">
              <w:rPr>
                <w:sz w:val="20"/>
                <w:szCs w:val="20"/>
              </w:rPr>
              <w:t>-80,84%</w:t>
            </w:r>
          </w:p>
        </w:tc>
        <w:tc>
          <w:tcPr>
            <w:tcW w:w="1134" w:type="dxa"/>
            <w:noWrap/>
            <w:hideMark/>
          </w:tcPr>
          <w:p w14:paraId="72DD9F5F" w14:textId="77777777" w:rsidR="00C42E53" w:rsidRPr="00EB2982" w:rsidRDefault="00C42E53" w:rsidP="002C7C5F">
            <w:pPr>
              <w:jc w:val="center"/>
              <w:rPr>
                <w:sz w:val="20"/>
                <w:szCs w:val="20"/>
              </w:rPr>
            </w:pPr>
            <w:r w:rsidRPr="00EB2982">
              <w:rPr>
                <w:sz w:val="20"/>
                <w:szCs w:val="20"/>
              </w:rPr>
              <w:t>-81,79%</w:t>
            </w:r>
          </w:p>
        </w:tc>
      </w:tr>
      <w:tr w:rsidR="00C42E53" w:rsidRPr="00EB2982" w14:paraId="0840482F" w14:textId="77777777" w:rsidTr="002C7C5F">
        <w:trPr>
          <w:trHeight w:val="264"/>
        </w:trPr>
        <w:tc>
          <w:tcPr>
            <w:tcW w:w="2694" w:type="dxa"/>
            <w:noWrap/>
            <w:hideMark/>
          </w:tcPr>
          <w:p w14:paraId="6C181B4B" w14:textId="77777777" w:rsidR="00C42E53" w:rsidRPr="00EB2982" w:rsidRDefault="00C42E53" w:rsidP="002C7C5F">
            <w:pPr>
              <w:rPr>
                <w:sz w:val="20"/>
                <w:szCs w:val="20"/>
              </w:rPr>
            </w:pPr>
            <w:r w:rsidRPr="00EB2982">
              <w:rPr>
                <w:sz w:val="20"/>
                <w:szCs w:val="20"/>
              </w:rPr>
              <w:t>Older Persons</w:t>
            </w:r>
          </w:p>
        </w:tc>
        <w:tc>
          <w:tcPr>
            <w:tcW w:w="992" w:type="dxa"/>
            <w:noWrap/>
            <w:hideMark/>
          </w:tcPr>
          <w:p w14:paraId="73DC0A46" w14:textId="77777777" w:rsidR="00C42E53" w:rsidRPr="00EB2982" w:rsidRDefault="00C42E53" w:rsidP="002C7C5F">
            <w:pPr>
              <w:jc w:val="right"/>
              <w:rPr>
                <w:sz w:val="20"/>
                <w:szCs w:val="20"/>
              </w:rPr>
            </w:pPr>
            <w:r w:rsidRPr="00EB2982">
              <w:rPr>
                <w:sz w:val="20"/>
                <w:szCs w:val="20"/>
              </w:rPr>
              <w:t xml:space="preserve">  20,3</w:t>
            </w:r>
          </w:p>
        </w:tc>
        <w:tc>
          <w:tcPr>
            <w:tcW w:w="992" w:type="dxa"/>
            <w:noWrap/>
            <w:hideMark/>
          </w:tcPr>
          <w:p w14:paraId="5B830D59" w14:textId="77777777" w:rsidR="00C42E53" w:rsidRPr="00EB2982" w:rsidRDefault="00C42E53" w:rsidP="002C7C5F">
            <w:pPr>
              <w:jc w:val="right"/>
              <w:rPr>
                <w:sz w:val="20"/>
                <w:szCs w:val="20"/>
              </w:rPr>
            </w:pPr>
            <w:r w:rsidRPr="00EB2982">
              <w:rPr>
                <w:sz w:val="20"/>
                <w:szCs w:val="20"/>
              </w:rPr>
              <w:t xml:space="preserve">  20,5</w:t>
            </w:r>
          </w:p>
        </w:tc>
        <w:tc>
          <w:tcPr>
            <w:tcW w:w="1276" w:type="dxa"/>
            <w:noWrap/>
            <w:hideMark/>
          </w:tcPr>
          <w:p w14:paraId="4DA3FB27" w14:textId="77777777" w:rsidR="00C42E53" w:rsidRPr="00EB2982" w:rsidRDefault="00C42E53" w:rsidP="002C7C5F">
            <w:pPr>
              <w:jc w:val="right"/>
              <w:rPr>
                <w:sz w:val="20"/>
                <w:szCs w:val="20"/>
              </w:rPr>
            </w:pPr>
            <w:r w:rsidRPr="00EB2982">
              <w:rPr>
                <w:sz w:val="20"/>
                <w:szCs w:val="20"/>
              </w:rPr>
              <w:t xml:space="preserve">  0,2</w:t>
            </w:r>
          </w:p>
        </w:tc>
        <w:tc>
          <w:tcPr>
            <w:tcW w:w="1276" w:type="dxa"/>
            <w:noWrap/>
            <w:hideMark/>
          </w:tcPr>
          <w:p w14:paraId="26E6EF9F" w14:textId="77777777" w:rsidR="00C42E53" w:rsidRPr="00EB2982" w:rsidRDefault="00C42E53" w:rsidP="002C7C5F">
            <w:pPr>
              <w:jc w:val="right"/>
              <w:rPr>
                <w:sz w:val="20"/>
                <w:szCs w:val="20"/>
              </w:rPr>
            </w:pPr>
            <w:r w:rsidRPr="00EB2982">
              <w:rPr>
                <w:sz w:val="20"/>
                <w:szCs w:val="20"/>
              </w:rPr>
              <w:t>-  0,8</w:t>
            </w:r>
          </w:p>
        </w:tc>
        <w:tc>
          <w:tcPr>
            <w:tcW w:w="1134" w:type="dxa"/>
            <w:noWrap/>
            <w:hideMark/>
          </w:tcPr>
          <w:p w14:paraId="0483622F" w14:textId="77777777" w:rsidR="00C42E53" w:rsidRPr="00EB2982" w:rsidRDefault="00C42E53" w:rsidP="002C7C5F">
            <w:pPr>
              <w:jc w:val="center"/>
              <w:rPr>
                <w:sz w:val="20"/>
                <w:szCs w:val="20"/>
              </w:rPr>
            </w:pPr>
            <w:r w:rsidRPr="00EB2982">
              <w:rPr>
                <w:sz w:val="20"/>
                <w:szCs w:val="20"/>
              </w:rPr>
              <w:t>0,99%</w:t>
            </w:r>
          </w:p>
        </w:tc>
        <w:tc>
          <w:tcPr>
            <w:tcW w:w="1134" w:type="dxa"/>
            <w:noWrap/>
            <w:hideMark/>
          </w:tcPr>
          <w:p w14:paraId="3F5A5A20" w14:textId="77777777" w:rsidR="00C42E53" w:rsidRPr="00EB2982" w:rsidRDefault="00C42E53" w:rsidP="002C7C5F">
            <w:pPr>
              <w:jc w:val="center"/>
              <w:rPr>
                <w:sz w:val="20"/>
                <w:szCs w:val="20"/>
              </w:rPr>
            </w:pPr>
            <w:r w:rsidRPr="00EB2982">
              <w:rPr>
                <w:sz w:val="20"/>
                <w:szCs w:val="20"/>
              </w:rPr>
              <w:t>-4,01%</w:t>
            </w:r>
          </w:p>
        </w:tc>
      </w:tr>
      <w:tr w:rsidR="00C42E53" w:rsidRPr="00EB2982" w14:paraId="4FA60F82" w14:textId="77777777" w:rsidTr="002C7C5F">
        <w:trPr>
          <w:trHeight w:val="264"/>
        </w:trPr>
        <w:tc>
          <w:tcPr>
            <w:tcW w:w="2694" w:type="dxa"/>
            <w:noWrap/>
            <w:hideMark/>
          </w:tcPr>
          <w:p w14:paraId="251DDC49" w14:textId="77777777" w:rsidR="00C42E53" w:rsidRPr="00EB2982" w:rsidRDefault="00C42E53" w:rsidP="002C7C5F">
            <w:pPr>
              <w:rPr>
                <w:sz w:val="20"/>
                <w:szCs w:val="20"/>
              </w:rPr>
            </w:pPr>
            <w:r w:rsidRPr="00EB2982">
              <w:rPr>
                <w:sz w:val="20"/>
                <w:szCs w:val="20"/>
              </w:rPr>
              <w:t>People with Disabilities</w:t>
            </w:r>
          </w:p>
        </w:tc>
        <w:tc>
          <w:tcPr>
            <w:tcW w:w="992" w:type="dxa"/>
            <w:noWrap/>
            <w:hideMark/>
          </w:tcPr>
          <w:p w14:paraId="0598B29E" w14:textId="77777777" w:rsidR="00C42E53" w:rsidRPr="00EB2982" w:rsidRDefault="00C42E53" w:rsidP="002C7C5F">
            <w:pPr>
              <w:jc w:val="right"/>
              <w:rPr>
                <w:sz w:val="20"/>
                <w:szCs w:val="20"/>
              </w:rPr>
            </w:pPr>
            <w:r w:rsidRPr="00EB2982">
              <w:rPr>
                <w:sz w:val="20"/>
                <w:szCs w:val="20"/>
              </w:rPr>
              <w:t xml:space="preserve">  30,0</w:t>
            </w:r>
          </w:p>
        </w:tc>
        <w:tc>
          <w:tcPr>
            <w:tcW w:w="992" w:type="dxa"/>
            <w:noWrap/>
            <w:hideMark/>
          </w:tcPr>
          <w:p w14:paraId="4E08FF8F" w14:textId="77777777" w:rsidR="00C42E53" w:rsidRPr="00EB2982" w:rsidRDefault="00C42E53" w:rsidP="002C7C5F">
            <w:pPr>
              <w:jc w:val="right"/>
              <w:rPr>
                <w:sz w:val="20"/>
                <w:szCs w:val="20"/>
              </w:rPr>
            </w:pPr>
            <w:r w:rsidRPr="00EB2982">
              <w:rPr>
                <w:sz w:val="20"/>
                <w:szCs w:val="20"/>
              </w:rPr>
              <w:t xml:space="preserve">  31,1</w:t>
            </w:r>
          </w:p>
        </w:tc>
        <w:tc>
          <w:tcPr>
            <w:tcW w:w="1276" w:type="dxa"/>
            <w:noWrap/>
            <w:hideMark/>
          </w:tcPr>
          <w:p w14:paraId="4A40F893" w14:textId="77777777" w:rsidR="00C42E53" w:rsidRPr="00EB2982" w:rsidRDefault="00C42E53" w:rsidP="002C7C5F">
            <w:pPr>
              <w:jc w:val="right"/>
              <w:rPr>
                <w:sz w:val="20"/>
                <w:szCs w:val="20"/>
              </w:rPr>
            </w:pPr>
            <w:r w:rsidRPr="00EB2982">
              <w:rPr>
                <w:sz w:val="20"/>
                <w:szCs w:val="20"/>
              </w:rPr>
              <w:t xml:space="preserve">  1,1</w:t>
            </w:r>
          </w:p>
        </w:tc>
        <w:tc>
          <w:tcPr>
            <w:tcW w:w="1276" w:type="dxa"/>
            <w:noWrap/>
            <w:hideMark/>
          </w:tcPr>
          <w:p w14:paraId="398D0142" w14:textId="77777777" w:rsidR="00C42E53" w:rsidRPr="00EB2982" w:rsidRDefault="00C42E53" w:rsidP="002C7C5F">
            <w:pPr>
              <w:jc w:val="right"/>
              <w:rPr>
                <w:sz w:val="20"/>
                <w:szCs w:val="20"/>
              </w:rPr>
            </w:pPr>
            <w:r w:rsidRPr="00EB2982">
              <w:rPr>
                <w:sz w:val="20"/>
                <w:szCs w:val="20"/>
              </w:rPr>
              <w:t>-  0,4</w:t>
            </w:r>
          </w:p>
        </w:tc>
        <w:tc>
          <w:tcPr>
            <w:tcW w:w="1134" w:type="dxa"/>
            <w:noWrap/>
            <w:hideMark/>
          </w:tcPr>
          <w:p w14:paraId="7176235B" w14:textId="77777777" w:rsidR="00C42E53" w:rsidRPr="00EB2982" w:rsidRDefault="00C42E53" w:rsidP="002C7C5F">
            <w:pPr>
              <w:jc w:val="center"/>
              <w:rPr>
                <w:sz w:val="20"/>
                <w:szCs w:val="20"/>
              </w:rPr>
            </w:pPr>
            <w:r w:rsidRPr="00EB2982">
              <w:rPr>
                <w:sz w:val="20"/>
                <w:szCs w:val="20"/>
              </w:rPr>
              <w:t>3,67%</w:t>
            </w:r>
          </w:p>
        </w:tc>
        <w:tc>
          <w:tcPr>
            <w:tcW w:w="1134" w:type="dxa"/>
            <w:noWrap/>
            <w:hideMark/>
          </w:tcPr>
          <w:p w14:paraId="5C3746DA" w14:textId="77777777" w:rsidR="00C42E53" w:rsidRPr="00EB2982" w:rsidRDefault="00C42E53" w:rsidP="002C7C5F">
            <w:pPr>
              <w:jc w:val="center"/>
              <w:rPr>
                <w:sz w:val="20"/>
                <w:szCs w:val="20"/>
              </w:rPr>
            </w:pPr>
            <w:r w:rsidRPr="00EB2982">
              <w:rPr>
                <w:sz w:val="20"/>
                <w:szCs w:val="20"/>
              </w:rPr>
              <w:t>-1,46%</w:t>
            </w:r>
          </w:p>
        </w:tc>
      </w:tr>
      <w:tr w:rsidR="00C42E53" w:rsidRPr="00EB2982" w14:paraId="260B2431" w14:textId="77777777" w:rsidTr="002C7C5F">
        <w:trPr>
          <w:trHeight w:val="264"/>
        </w:trPr>
        <w:tc>
          <w:tcPr>
            <w:tcW w:w="2694" w:type="dxa"/>
            <w:noWrap/>
            <w:hideMark/>
          </w:tcPr>
          <w:p w14:paraId="30ADC0CC" w14:textId="77777777" w:rsidR="00C42E53" w:rsidRPr="00EB2982" w:rsidRDefault="00C42E53" w:rsidP="002C7C5F">
            <w:pPr>
              <w:rPr>
                <w:sz w:val="20"/>
                <w:szCs w:val="20"/>
              </w:rPr>
            </w:pPr>
            <w:r w:rsidRPr="00EB2982">
              <w:rPr>
                <w:sz w:val="20"/>
                <w:szCs w:val="20"/>
              </w:rPr>
              <w:t>Children</w:t>
            </w:r>
          </w:p>
        </w:tc>
        <w:tc>
          <w:tcPr>
            <w:tcW w:w="992" w:type="dxa"/>
            <w:noWrap/>
            <w:hideMark/>
          </w:tcPr>
          <w:p w14:paraId="14CA3265" w14:textId="77777777" w:rsidR="00C42E53" w:rsidRPr="00EB2982" w:rsidRDefault="00C42E53" w:rsidP="002C7C5F">
            <w:pPr>
              <w:jc w:val="right"/>
              <w:rPr>
                <w:sz w:val="20"/>
                <w:szCs w:val="20"/>
              </w:rPr>
            </w:pPr>
            <w:r w:rsidRPr="00EB2982">
              <w:rPr>
                <w:sz w:val="20"/>
                <w:szCs w:val="20"/>
              </w:rPr>
              <w:t xml:space="preserve">  573,5</w:t>
            </w:r>
          </w:p>
        </w:tc>
        <w:tc>
          <w:tcPr>
            <w:tcW w:w="992" w:type="dxa"/>
            <w:noWrap/>
            <w:hideMark/>
          </w:tcPr>
          <w:p w14:paraId="2BFC0FD4" w14:textId="77777777" w:rsidR="00C42E53" w:rsidRPr="00EB2982" w:rsidRDefault="00C42E53" w:rsidP="002C7C5F">
            <w:pPr>
              <w:jc w:val="right"/>
              <w:rPr>
                <w:sz w:val="20"/>
                <w:szCs w:val="20"/>
              </w:rPr>
            </w:pPr>
            <w:r w:rsidRPr="00EB2982">
              <w:rPr>
                <w:sz w:val="20"/>
                <w:szCs w:val="20"/>
              </w:rPr>
              <w:t xml:space="preserve">  605,5</w:t>
            </w:r>
          </w:p>
        </w:tc>
        <w:tc>
          <w:tcPr>
            <w:tcW w:w="1276" w:type="dxa"/>
            <w:noWrap/>
            <w:hideMark/>
          </w:tcPr>
          <w:p w14:paraId="7FF80843" w14:textId="77777777" w:rsidR="00C42E53" w:rsidRPr="00EB2982" w:rsidRDefault="00C42E53" w:rsidP="002C7C5F">
            <w:pPr>
              <w:jc w:val="right"/>
              <w:rPr>
                <w:sz w:val="20"/>
                <w:szCs w:val="20"/>
              </w:rPr>
            </w:pPr>
            <w:r w:rsidRPr="00EB2982">
              <w:rPr>
                <w:sz w:val="20"/>
                <w:szCs w:val="20"/>
              </w:rPr>
              <w:t xml:space="preserve">  32,0</w:t>
            </w:r>
          </w:p>
        </w:tc>
        <w:tc>
          <w:tcPr>
            <w:tcW w:w="1276" w:type="dxa"/>
            <w:noWrap/>
            <w:hideMark/>
          </w:tcPr>
          <w:p w14:paraId="6961E0C8" w14:textId="77777777" w:rsidR="00C42E53" w:rsidRPr="00EB2982" w:rsidRDefault="00C42E53" w:rsidP="002C7C5F">
            <w:pPr>
              <w:jc w:val="right"/>
              <w:rPr>
                <w:sz w:val="20"/>
                <w:szCs w:val="20"/>
              </w:rPr>
            </w:pPr>
            <w:r w:rsidRPr="00EB2982">
              <w:rPr>
                <w:sz w:val="20"/>
                <w:szCs w:val="20"/>
              </w:rPr>
              <w:t xml:space="preserve">  2,1</w:t>
            </w:r>
          </w:p>
        </w:tc>
        <w:tc>
          <w:tcPr>
            <w:tcW w:w="1134" w:type="dxa"/>
            <w:noWrap/>
            <w:hideMark/>
          </w:tcPr>
          <w:p w14:paraId="6AF94EF7" w14:textId="77777777" w:rsidR="00C42E53" w:rsidRPr="00EB2982" w:rsidRDefault="00C42E53" w:rsidP="002C7C5F">
            <w:pPr>
              <w:jc w:val="center"/>
              <w:rPr>
                <w:sz w:val="20"/>
                <w:szCs w:val="20"/>
              </w:rPr>
            </w:pPr>
            <w:r w:rsidRPr="00EB2982">
              <w:rPr>
                <w:sz w:val="20"/>
                <w:szCs w:val="20"/>
              </w:rPr>
              <w:t>5,58%</w:t>
            </w:r>
          </w:p>
        </w:tc>
        <w:tc>
          <w:tcPr>
            <w:tcW w:w="1134" w:type="dxa"/>
            <w:noWrap/>
            <w:hideMark/>
          </w:tcPr>
          <w:p w14:paraId="795752A9" w14:textId="77777777" w:rsidR="00C42E53" w:rsidRPr="00EB2982" w:rsidRDefault="00C42E53" w:rsidP="002C7C5F">
            <w:pPr>
              <w:jc w:val="center"/>
              <w:rPr>
                <w:sz w:val="20"/>
                <w:szCs w:val="20"/>
              </w:rPr>
            </w:pPr>
            <w:r w:rsidRPr="00EB2982">
              <w:rPr>
                <w:sz w:val="20"/>
                <w:szCs w:val="20"/>
              </w:rPr>
              <w:t>0,36%</w:t>
            </w:r>
          </w:p>
        </w:tc>
      </w:tr>
      <w:tr w:rsidR="00C42E53" w:rsidRPr="00EB2982" w14:paraId="383124C8" w14:textId="77777777" w:rsidTr="002C7C5F">
        <w:trPr>
          <w:trHeight w:val="264"/>
        </w:trPr>
        <w:tc>
          <w:tcPr>
            <w:tcW w:w="2694" w:type="dxa"/>
            <w:noWrap/>
            <w:hideMark/>
          </w:tcPr>
          <w:p w14:paraId="14783CF3" w14:textId="77777777" w:rsidR="00C42E53" w:rsidRPr="00EB2982" w:rsidRDefault="00C42E53" w:rsidP="002C7C5F">
            <w:pPr>
              <w:rPr>
                <w:sz w:val="20"/>
                <w:szCs w:val="20"/>
              </w:rPr>
            </w:pPr>
            <w:r w:rsidRPr="00EB2982">
              <w:rPr>
                <w:sz w:val="20"/>
                <w:szCs w:val="20"/>
              </w:rPr>
              <w:t>Families</w:t>
            </w:r>
          </w:p>
        </w:tc>
        <w:tc>
          <w:tcPr>
            <w:tcW w:w="992" w:type="dxa"/>
            <w:noWrap/>
            <w:hideMark/>
          </w:tcPr>
          <w:p w14:paraId="63C70540" w14:textId="77777777" w:rsidR="00C42E53" w:rsidRPr="00EB2982" w:rsidRDefault="00C42E53" w:rsidP="002C7C5F">
            <w:pPr>
              <w:jc w:val="right"/>
              <w:rPr>
                <w:sz w:val="20"/>
                <w:szCs w:val="20"/>
              </w:rPr>
            </w:pPr>
            <w:r w:rsidRPr="00EB2982">
              <w:rPr>
                <w:sz w:val="20"/>
                <w:szCs w:val="20"/>
              </w:rPr>
              <w:t xml:space="preserve">  9,8</w:t>
            </w:r>
          </w:p>
        </w:tc>
        <w:tc>
          <w:tcPr>
            <w:tcW w:w="992" w:type="dxa"/>
            <w:noWrap/>
            <w:hideMark/>
          </w:tcPr>
          <w:p w14:paraId="65215352" w14:textId="77777777" w:rsidR="00C42E53" w:rsidRPr="00EB2982" w:rsidRDefault="00C42E53" w:rsidP="002C7C5F">
            <w:pPr>
              <w:jc w:val="right"/>
              <w:rPr>
                <w:sz w:val="20"/>
                <w:szCs w:val="20"/>
              </w:rPr>
            </w:pPr>
            <w:r w:rsidRPr="00EB2982">
              <w:rPr>
                <w:sz w:val="20"/>
                <w:szCs w:val="20"/>
              </w:rPr>
              <w:t xml:space="preserve">  10,4</w:t>
            </w:r>
          </w:p>
        </w:tc>
        <w:tc>
          <w:tcPr>
            <w:tcW w:w="1276" w:type="dxa"/>
            <w:noWrap/>
            <w:hideMark/>
          </w:tcPr>
          <w:p w14:paraId="4A866048" w14:textId="77777777" w:rsidR="00C42E53" w:rsidRPr="00EB2982" w:rsidRDefault="00C42E53" w:rsidP="002C7C5F">
            <w:pPr>
              <w:jc w:val="right"/>
              <w:rPr>
                <w:sz w:val="20"/>
                <w:szCs w:val="20"/>
              </w:rPr>
            </w:pPr>
            <w:r w:rsidRPr="00EB2982">
              <w:rPr>
                <w:sz w:val="20"/>
                <w:szCs w:val="20"/>
              </w:rPr>
              <w:t xml:space="preserve">  0,6</w:t>
            </w:r>
          </w:p>
        </w:tc>
        <w:tc>
          <w:tcPr>
            <w:tcW w:w="1276" w:type="dxa"/>
            <w:noWrap/>
            <w:hideMark/>
          </w:tcPr>
          <w:p w14:paraId="20288ECA" w14:textId="77777777" w:rsidR="00C42E53" w:rsidRPr="00EB2982" w:rsidRDefault="00C42E53" w:rsidP="002C7C5F">
            <w:pPr>
              <w:jc w:val="right"/>
              <w:rPr>
                <w:sz w:val="20"/>
                <w:szCs w:val="20"/>
              </w:rPr>
            </w:pPr>
            <w:r w:rsidRPr="00EB2982">
              <w:rPr>
                <w:sz w:val="20"/>
                <w:szCs w:val="20"/>
              </w:rPr>
              <w:t xml:space="preserve">  0,1</w:t>
            </w:r>
          </w:p>
        </w:tc>
        <w:tc>
          <w:tcPr>
            <w:tcW w:w="1134" w:type="dxa"/>
            <w:noWrap/>
            <w:hideMark/>
          </w:tcPr>
          <w:p w14:paraId="4EFA8CAF" w14:textId="77777777" w:rsidR="00C42E53" w:rsidRPr="00EB2982" w:rsidRDefault="00C42E53" w:rsidP="002C7C5F">
            <w:pPr>
              <w:jc w:val="center"/>
              <w:rPr>
                <w:sz w:val="20"/>
                <w:szCs w:val="20"/>
              </w:rPr>
            </w:pPr>
            <w:r w:rsidRPr="00EB2982">
              <w:rPr>
                <w:sz w:val="20"/>
                <w:szCs w:val="20"/>
              </w:rPr>
              <w:t>6,12%</w:t>
            </w:r>
          </w:p>
        </w:tc>
        <w:tc>
          <w:tcPr>
            <w:tcW w:w="1134" w:type="dxa"/>
            <w:noWrap/>
            <w:hideMark/>
          </w:tcPr>
          <w:p w14:paraId="7CF40357" w14:textId="77777777" w:rsidR="00C42E53" w:rsidRPr="00EB2982" w:rsidRDefault="00C42E53" w:rsidP="002C7C5F">
            <w:pPr>
              <w:jc w:val="center"/>
              <w:rPr>
                <w:sz w:val="20"/>
                <w:szCs w:val="20"/>
              </w:rPr>
            </w:pPr>
            <w:r w:rsidRPr="00EB2982">
              <w:rPr>
                <w:sz w:val="20"/>
                <w:szCs w:val="20"/>
              </w:rPr>
              <w:t>0,88%</w:t>
            </w:r>
          </w:p>
        </w:tc>
      </w:tr>
      <w:tr w:rsidR="00C42E53" w:rsidRPr="00EB2982" w14:paraId="3CD1A1E5" w14:textId="77777777" w:rsidTr="002C7C5F">
        <w:trPr>
          <w:trHeight w:val="264"/>
        </w:trPr>
        <w:tc>
          <w:tcPr>
            <w:tcW w:w="2694" w:type="dxa"/>
            <w:noWrap/>
            <w:hideMark/>
          </w:tcPr>
          <w:p w14:paraId="505CD004" w14:textId="77777777" w:rsidR="00C42E53" w:rsidRPr="00EB2982" w:rsidRDefault="00C42E53" w:rsidP="002C7C5F">
            <w:pPr>
              <w:rPr>
                <w:sz w:val="20"/>
                <w:szCs w:val="20"/>
              </w:rPr>
            </w:pPr>
            <w:r w:rsidRPr="00EB2982">
              <w:rPr>
                <w:sz w:val="20"/>
                <w:szCs w:val="20"/>
              </w:rPr>
              <w:t>Social Crime Prevention and Victim Empowerment</w:t>
            </w:r>
          </w:p>
        </w:tc>
        <w:tc>
          <w:tcPr>
            <w:tcW w:w="992" w:type="dxa"/>
            <w:noWrap/>
            <w:hideMark/>
          </w:tcPr>
          <w:p w14:paraId="13A50E9C" w14:textId="77777777" w:rsidR="00C42E53" w:rsidRPr="00EB2982" w:rsidRDefault="00C42E53" w:rsidP="002C7C5F">
            <w:pPr>
              <w:jc w:val="right"/>
              <w:rPr>
                <w:sz w:val="20"/>
                <w:szCs w:val="20"/>
              </w:rPr>
            </w:pPr>
            <w:r w:rsidRPr="00EB2982">
              <w:rPr>
                <w:sz w:val="20"/>
                <w:szCs w:val="20"/>
              </w:rPr>
              <w:t xml:space="preserve">  63,7</w:t>
            </w:r>
          </w:p>
        </w:tc>
        <w:tc>
          <w:tcPr>
            <w:tcW w:w="992" w:type="dxa"/>
            <w:noWrap/>
            <w:hideMark/>
          </w:tcPr>
          <w:p w14:paraId="3E2E3264" w14:textId="77777777" w:rsidR="00C42E53" w:rsidRPr="00EB2982" w:rsidRDefault="00C42E53" w:rsidP="002C7C5F">
            <w:pPr>
              <w:jc w:val="right"/>
              <w:rPr>
                <w:sz w:val="20"/>
                <w:szCs w:val="20"/>
              </w:rPr>
            </w:pPr>
            <w:r w:rsidRPr="00EB2982">
              <w:rPr>
                <w:sz w:val="20"/>
                <w:szCs w:val="20"/>
              </w:rPr>
              <w:t xml:space="preserve">  69,6</w:t>
            </w:r>
          </w:p>
        </w:tc>
        <w:tc>
          <w:tcPr>
            <w:tcW w:w="1276" w:type="dxa"/>
            <w:noWrap/>
            <w:hideMark/>
          </w:tcPr>
          <w:p w14:paraId="0D4FF741" w14:textId="77777777" w:rsidR="00C42E53" w:rsidRPr="00EB2982" w:rsidRDefault="00C42E53" w:rsidP="002C7C5F">
            <w:pPr>
              <w:jc w:val="right"/>
              <w:rPr>
                <w:sz w:val="20"/>
                <w:szCs w:val="20"/>
              </w:rPr>
            </w:pPr>
            <w:r w:rsidRPr="00EB2982">
              <w:rPr>
                <w:sz w:val="20"/>
                <w:szCs w:val="20"/>
              </w:rPr>
              <w:t xml:space="preserve">  5,9</w:t>
            </w:r>
          </w:p>
        </w:tc>
        <w:tc>
          <w:tcPr>
            <w:tcW w:w="1276" w:type="dxa"/>
            <w:noWrap/>
            <w:hideMark/>
          </w:tcPr>
          <w:p w14:paraId="4FCD32AF" w14:textId="77777777" w:rsidR="00C42E53" w:rsidRPr="00EB2982" w:rsidRDefault="00C42E53" w:rsidP="002C7C5F">
            <w:pPr>
              <w:jc w:val="right"/>
              <w:rPr>
                <w:sz w:val="20"/>
                <w:szCs w:val="20"/>
              </w:rPr>
            </w:pPr>
            <w:r w:rsidRPr="00EB2982">
              <w:rPr>
                <w:sz w:val="20"/>
                <w:szCs w:val="20"/>
              </w:rPr>
              <w:t xml:space="preserve">  2,5</w:t>
            </w:r>
          </w:p>
        </w:tc>
        <w:tc>
          <w:tcPr>
            <w:tcW w:w="1134" w:type="dxa"/>
            <w:noWrap/>
            <w:hideMark/>
          </w:tcPr>
          <w:p w14:paraId="0E1E34A6" w14:textId="77777777" w:rsidR="00C42E53" w:rsidRPr="00EB2982" w:rsidRDefault="00C42E53" w:rsidP="002C7C5F">
            <w:pPr>
              <w:jc w:val="center"/>
              <w:rPr>
                <w:sz w:val="20"/>
                <w:szCs w:val="20"/>
              </w:rPr>
            </w:pPr>
            <w:r w:rsidRPr="00EB2982">
              <w:rPr>
                <w:sz w:val="20"/>
                <w:szCs w:val="20"/>
              </w:rPr>
              <w:t>9,26%</w:t>
            </w:r>
          </w:p>
        </w:tc>
        <w:tc>
          <w:tcPr>
            <w:tcW w:w="1134" w:type="dxa"/>
            <w:noWrap/>
            <w:hideMark/>
          </w:tcPr>
          <w:p w14:paraId="37D68C50" w14:textId="77777777" w:rsidR="00C42E53" w:rsidRPr="00EB2982" w:rsidRDefault="00C42E53" w:rsidP="002C7C5F">
            <w:pPr>
              <w:jc w:val="center"/>
              <w:rPr>
                <w:sz w:val="20"/>
                <w:szCs w:val="20"/>
              </w:rPr>
            </w:pPr>
            <w:r w:rsidRPr="00EB2982">
              <w:rPr>
                <w:sz w:val="20"/>
                <w:szCs w:val="20"/>
              </w:rPr>
              <w:t>3,86%</w:t>
            </w:r>
          </w:p>
        </w:tc>
      </w:tr>
      <w:tr w:rsidR="00C42E53" w:rsidRPr="00EB2982" w14:paraId="2DCE6B99" w14:textId="77777777" w:rsidTr="002C7C5F">
        <w:trPr>
          <w:trHeight w:val="264"/>
        </w:trPr>
        <w:tc>
          <w:tcPr>
            <w:tcW w:w="2694" w:type="dxa"/>
            <w:noWrap/>
            <w:hideMark/>
          </w:tcPr>
          <w:p w14:paraId="513C96F2" w14:textId="77777777" w:rsidR="00C42E53" w:rsidRPr="00EB2982" w:rsidRDefault="00C42E53" w:rsidP="002C7C5F">
            <w:pPr>
              <w:rPr>
                <w:sz w:val="20"/>
                <w:szCs w:val="20"/>
              </w:rPr>
            </w:pPr>
            <w:r w:rsidRPr="00EB2982">
              <w:rPr>
                <w:sz w:val="20"/>
                <w:szCs w:val="20"/>
              </w:rPr>
              <w:t>Youth</w:t>
            </w:r>
          </w:p>
        </w:tc>
        <w:tc>
          <w:tcPr>
            <w:tcW w:w="992" w:type="dxa"/>
            <w:noWrap/>
            <w:hideMark/>
          </w:tcPr>
          <w:p w14:paraId="1C77AA11" w14:textId="77777777" w:rsidR="00C42E53" w:rsidRPr="00EB2982" w:rsidRDefault="00C42E53" w:rsidP="002C7C5F">
            <w:pPr>
              <w:jc w:val="right"/>
              <w:rPr>
                <w:sz w:val="20"/>
                <w:szCs w:val="20"/>
              </w:rPr>
            </w:pPr>
            <w:r w:rsidRPr="00EB2982">
              <w:rPr>
                <w:sz w:val="20"/>
                <w:szCs w:val="20"/>
              </w:rPr>
              <w:t xml:space="preserve">  14,4</w:t>
            </w:r>
          </w:p>
        </w:tc>
        <w:tc>
          <w:tcPr>
            <w:tcW w:w="992" w:type="dxa"/>
            <w:noWrap/>
            <w:hideMark/>
          </w:tcPr>
          <w:p w14:paraId="35C41416" w14:textId="77777777" w:rsidR="00C42E53" w:rsidRPr="00EB2982" w:rsidRDefault="00C42E53" w:rsidP="002C7C5F">
            <w:pPr>
              <w:jc w:val="right"/>
              <w:rPr>
                <w:sz w:val="20"/>
                <w:szCs w:val="20"/>
              </w:rPr>
            </w:pPr>
            <w:r w:rsidRPr="00EB2982">
              <w:rPr>
                <w:sz w:val="20"/>
                <w:szCs w:val="20"/>
              </w:rPr>
              <w:t xml:space="preserve">  14,3</w:t>
            </w:r>
          </w:p>
        </w:tc>
        <w:tc>
          <w:tcPr>
            <w:tcW w:w="1276" w:type="dxa"/>
            <w:noWrap/>
            <w:hideMark/>
          </w:tcPr>
          <w:p w14:paraId="3E435587" w14:textId="77777777" w:rsidR="00C42E53" w:rsidRPr="00EB2982" w:rsidRDefault="00C42E53" w:rsidP="002C7C5F">
            <w:pPr>
              <w:jc w:val="right"/>
              <w:rPr>
                <w:sz w:val="20"/>
                <w:szCs w:val="20"/>
              </w:rPr>
            </w:pPr>
            <w:r w:rsidRPr="00EB2982">
              <w:rPr>
                <w:sz w:val="20"/>
                <w:szCs w:val="20"/>
              </w:rPr>
              <w:t>-  0,1</w:t>
            </w:r>
          </w:p>
        </w:tc>
        <w:tc>
          <w:tcPr>
            <w:tcW w:w="1276" w:type="dxa"/>
            <w:noWrap/>
            <w:hideMark/>
          </w:tcPr>
          <w:p w14:paraId="3834E519" w14:textId="77777777" w:rsidR="00C42E53" w:rsidRPr="00EB2982" w:rsidRDefault="00C42E53" w:rsidP="002C7C5F">
            <w:pPr>
              <w:jc w:val="right"/>
              <w:rPr>
                <w:sz w:val="20"/>
                <w:szCs w:val="20"/>
              </w:rPr>
            </w:pPr>
            <w:r w:rsidRPr="00EB2982">
              <w:rPr>
                <w:sz w:val="20"/>
                <w:szCs w:val="20"/>
              </w:rPr>
              <w:t>-  0,8</w:t>
            </w:r>
          </w:p>
        </w:tc>
        <w:tc>
          <w:tcPr>
            <w:tcW w:w="1134" w:type="dxa"/>
            <w:noWrap/>
            <w:hideMark/>
          </w:tcPr>
          <w:p w14:paraId="6045CDBE" w14:textId="77777777" w:rsidR="00C42E53" w:rsidRPr="00EB2982" w:rsidRDefault="00C42E53" w:rsidP="002C7C5F">
            <w:pPr>
              <w:jc w:val="center"/>
              <w:rPr>
                <w:sz w:val="20"/>
                <w:szCs w:val="20"/>
              </w:rPr>
            </w:pPr>
            <w:r w:rsidRPr="00EB2982">
              <w:rPr>
                <w:sz w:val="20"/>
                <w:szCs w:val="20"/>
              </w:rPr>
              <w:t>-0,69%</w:t>
            </w:r>
          </w:p>
        </w:tc>
        <w:tc>
          <w:tcPr>
            <w:tcW w:w="1134" w:type="dxa"/>
            <w:noWrap/>
            <w:hideMark/>
          </w:tcPr>
          <w:p w14:paraId="70F2CDCF" w14:textId="77777777" w:rsidR="00C42E53" w:rsidRPr="00EB2982" w:rsidRDefault="00C42E53" w:rsidP="002C7C5F">
            <w:pPr>
              <w:jc w:val="center"/>
              <w:rPr>
                <w:sz w:val="20"/>
                <w:szCs w:val="20"/>
              </w:rPr>
            </w:pPr>
            <w:r w:rsidRPr="00EB2982">
              <w:rPr>
                <w:sz w:val="20"/>
                <w:szCs w:val="20"/>
              </w:rPr>
              <w:t>-5,6%</w:t>
            </w:r>
          </w:p>
        </w:tc>
      </w:tr>
      <w:tr w:rsidR="00C42E53" w:rsidRPr="00EB2982" w14:paraId="05EC9344" w14:textId="77777777" w:rsidTr="002C7C5F">
        <w:trPr>
          <w:trHeight w:val="264"/>
        </w:trPr>
        <w:tc>
          <w:tcPr>
            <w:tcW w:w="2694" w:type="dxa"/>
            <w:noWrap/>
            <w:hideMark/>
          </w:tcPr>
          <w:p w14:paraId="6302878C" w14:textId="77777777" w:rsidR="00C42E53" w:rsidRPr="00EB2982" w:rsidRDefault="00C42E53" w:rsidP="002C7C5F">
            <w:pPr>
              <w:rPr>
                <w:sz w:val="20"/>
                <w:szCs w:val="20"/>
              </w:rPr>
            </w:pPr>
            <w:r w:rsidRPr="00EB2982">
              <w:rPr>
                <w:sz w:val="20"/>
                <w:szCs w:val="20"/>
              </w:rPr>
              <w:t>HIV and AIDS</w:t>
            </w:r>
          </w:p>
        </w:tc>
        <w:tc>
          <w:tcPr>
            <w:tcW w:w="992" w:type="dxa"/>
            <w:noWrap/>
            <w:hideMark/>
          </w:tcPr>
          <w:p w14:paraId="73170430" w14:textId="77777777" w:rsidR="00C42E53" w:rsidRPr="00EB2982" w:rsidRDefault="00C42E53" w:rsidP="002C7C5F">
            <w:pPr>
              <w:jc w:val="right"/>
              <w:rPr>
                <w:sz w:val="20"/>
                <w:szCs w:val="20"/>
              </w:rPr>
            </w:pPr>
            <w:r w:rsidRPr="00EB2982">
              <w:rPr>
                <w:sz w:val="20"/>
                <w:szCs w:val="20"/>
              </w:rPr>
              <w:t xml:space="preserve">  121,4</w:t>
            </w:r>
          </w:p>
        </w:tc>
        <w:tc>
          <w:tcPr>
            <w:tcW w:w="992" w:type="dxa"/>
            <w:noWrap/>
            <w:hideMark/>
          </w:tcPr>
          <w:p w14:paraId="550888B7" w14:textId="77777777" w:rsidR="00C42E53" w:rsidRPr="00EB2982" w:rsidRDefault="00C42E53" w:rsidP="002C7C5F">
            <w:pPr>
              <w:jc w:val="right"/>
              <w:rPr>
                <w:sz w:val="20"/>
                <w:szCs w:val="20"/>
              </w:rPr>
            </w:pPr>
            <w:r w:rsidRPr="00EB2982">
              <w:rPr>
                <w:sz w:val="20"/>
                <w:szCs w:val="20"/>
              </w:rPr>
              <w:t xml:space="preserve">  128,0</w:t>
            </w:r>
          </w:p>
        </w:tc>
        <w:tc>
          <w:tcPr>
            <w:tcW w:w="1276" w:type="dxa"/>
            <w:noWrap/>
            <w:hideMark/>
          </w:tcPr>
          <w:p w14:paraId="4371C83F" w14:textId="77777777" w:rsidR="00C42E53" w:rsidRPr="00EB2982" w:rsidRDefault="00C42E53" w:rsidP="002C7C5F">
            <w:pPr>
              <w:jc w:val="right"/>
              <w:rPr>
                <w:sz w:val="20"/>
                <w:szCs w:val="20"/>
              </w:rPr>
            </w:pPr>
            <w:r w:rsidRPr="00EB2982">
              <w:rPr>
                <w:sz w:val="20"/>
                <w:szCs w:val="20"/>
              </w:rPr>
              <w:t xml:space="preserve">  6,6</w:t>
            </w:r>
          </w:p>
        </w:tc>
        <w:tc>
          <w:tcPr>
            <w:tcW w:w="1276" w:type="dxa"/>
            <w:noWrap/>
            <w:hideMark/>
          </w:tcPr>
          <w:p w14:paraId="7F1BE4B6" w14:textId="77777777" w:rsidR="00C42E53" w:rsidRPr="00EB2982" w:rsidRDefault="00C42E53" w:rsidP="002C7C5F">
            <w:pPr>
              <w:jc w:val="right"/>
              <w:rPr>
                <w:sz w:val="20"/>
                <w:szCs w:val="20"/>
              </w:rPr>
            </w:pPr>
            <w:r w:rsidRPr="00EB2982">
              <w:rPr>
                <w:sz w:val="20"/>
                <w:szCs w:val="20"/>
              </w:rPr>
              <w:t xml:space="preserve">  0,3</w:t>
            </w:r>
          </w:p>
        </w:tc>
        <w:tc>
          <w:tcPr>
            <w:tcW w:w="1134" w:type="dxa"/>
            <w:noWrap/>
            <w:hideMark/>
          </w:tcPr>
          <w:p w14:paraId="6C22136C" w14:textId="77777777" w:rsidR="00C42E53" w:rsidRPr="00EB2982" w:rsidRDefault="00C42E53" w:rsidP="002C7C5F">
            <w:pPr>
              <w:jc w:val="center"/>
              <w:rPr>
                <w:sz w:val="20"/>
                <w:szCs w:val="20"/>
              </w:rPr>
            </w:pPr>
            <w:r w:rsidRPr="00EB2982">
              <w:rPr>
                <w:sz w:val="20"/>
                <w:szCs w:val="20"/>
              </w:rPr>
              <w:t>5,44%</w:t>
            </w:r>
          </w:p>
        </w:tc>
        <w:tc>
          <w:tcPr>
            <w:tcW w:w="1134" w:type="dxa"/>
            <w:noWrap/>
            <w:hideMark/>
          </w:tcPr>
          <w:p w14:paraId="7250196E" w14:textId="77777777" w:rsidR="00C42E53" w:rsidRPr="00EB2982" w:rsidRDefault="00C42E53" w:rsidP="002C7C5F">
            <w:pPr>
              <w:jc w:val="center"/>
              <w:rPr>
                <w:sz w:val="20"/>
                <w:szCs w:val="20"/>
              </w:rPr>
            </w:pPr>
            <w:r w:rsidRPr="00EB2982">
              <w:rPr>
                <w:sz w:val="20"/>
                <w:szCs w:val="20"/>
              </w:rPr>
              <w:t>0,22%</w:t>
            </w:r>
          </w:p>
        </w:tc>
      </w:tr>
      <w:tr w:rsidR="00C42E53" w:rsidRPr="00EB2982" w14:paraId="45204F1A" w14:textId="77777777" w:rsidTr="002C7C5F">
        <w:trPr>
          <w:trHeight w:val="264"/>
        </w:trPr>
        <w:tc>
          <w:tcPr>
            <w:tcW w:w="2694" w:type="dxa"/>
            <w:noWrap/>
            <w:hideMark/>
          </w:tcPr>
          <w:p w14:paraId="5FDA4662" w14:textId="77777777" w:rsidR="00C42E53" w:rsidRPr="00EB2982" w:rsidRDefault="00C42E53" w:rsidP="002C7C5F">
            <w:pPr>
              <w:rPr>
                <w:sz w:val="20"/>
                <w:szCs w:val="20"/>
              </w:rPr>
            </w:pPr>
            <w:r w:rsidRPr="00EB2982">
              <w:rPr>
                <w:sz w:val="20"/>
                <w:szCs w:val="20"/>
              </w:rPr>
              <w:t>Social Worker Scholarships</w:t>
            </w:r>
          </w:p>
        </w:tc>
        <w:tc>
          <w:tcPr>
            <w:tcW w:w="992" w:type="dxa"/>
            <w:noWrap/>
            <w:hideMark/>
          </w:tcPr>
          <w:p w14:paraId="53CAFDA9" w14:textId="77777777" w:rsidR="00C42E53" w:rsidRPr="00EB2982" w:rsidRDefault="00C42E53" w:rsidP="002C7C5F">
            <w:pPr>
              <w:jc w:val="right"/>
              <w:rPr>
                <w:sz w:val="20"/>
                <w:szCs w:val="20"/>
              </w:rPr>
            </w:pPr>
            <w:r w:rsidRPr="00EB2982">
              <w:rPr>
                <w:sz w:val="20"/>
                <w:szCs w:val="20"/>
              </w:rPr>
              <w:t xml:space="preserve">  323,0</w:t>
            </w:r>
          </w:p>
        </w:tc>
        <w:tc>
          <w:tcPr>
            <w:tcW w:w="992" w:type="dxa"/>
            <w:noWrap/>
            <w:hideMark/>
          </w:tcPr>
          <w:p w14:paraId="2D7210FD" w14:textId="77777777" w:rsidR="00C42E53" w:rsidRPr="00EB2982" w:rsidRDefault="00C42E53" w:rsidP="002C7C5F">
            <w:pPr>
              <w:jc w:val="right"/>
              <w:rPr>
                <w:sz w:val="20"/>
                <w:szCs w:val="20"/>
              </w:rPr>
            </w:pPr>
            <w:r w:rsidRPr="00EB2982">
              <w:rPr>
                <w:sz w:val="20"/>
                <w:szCs w:val="20"/>
              </w:rPr>
              <w:t xml:space="preserve">  128,5</w:t>
            </w:r>
          </w:p>
        </w:tc>
        <w:tc>
          <w:tcPr>
            <w:tcW w:w="1276" w:type="dxa"/>
            <w:noWrap/>
            <w:hideMark/>
          </w:tcPr>
          <w:p w14:paraId="0C029686" w14:textId="77777777" w:rsidR="00C42E53" w:rsidRPr="00EB2982" w:rsidRDefault="00C42E53" w:rsidP="002C7C5F">
            <w:pPr>
              <w:jc w:val="right"/>
              <w:rPr>
                <w:sz w:val="20"/>
                <w:szCs w:val="20"/>
              </w:rPr>
            </w:pPr>
            <w:r w:rsidRPr="00EB2982">
              <w:rPr>
                <w:sz w:val="20"/>
                <w:szCs w:val="20"/>
              </w:rPr>
              <w:t>-  194,5</w:t>
            </w:r>
          </w:p>
        </w:tc>
        <w:tc>
          <w:tcPr>
            <w:tcW w:w="1276" w:type="dxa"/>
            <w:noWrap/>
            <w:hideMark/>
          </w:tcPr>
          <w:p w14:paraId="5A5559A3" w14:textId="77777777" w:rsidR="00C42E53" w:rsidRPr="00EB2982" w:rsidRDefault="00C42E53" w:rsidP="002C7C5F">
            <w:pPr>
              <w:jc w:val="right"/>
              <w:rPr>
                <w:sz w:val="20"/>
                <w:szCs w:val="20"/>
              </w:rPr>
            </w:pPr>
            <w:r w:rsidRPr="00EB2982">
              <w:rPr>
                <w:sz w:val="20"/>
                <w:szCs w:val="20"/>
              </w:rPr>
              <w:t>-  200,9</w:t>
            </w:r>
          </w:p>
        </w:tc>
        <w:tc>
          <w:tcPr>
            <w:tcW w:w="1134" w:type="dxa"/>
            <w:noWrap/>
            <w:hideMark/>
          </w:tcPr>
          <w:p w14:paraId="175C9C95" w14:textId="77777777" w:rsidR="00C42E53" w:rsidRPr="00EB2982" w:rsidRDefault="00C42E53" w:rsidP="002C7C5F">
            <w:pPr>
              <w:jc w:val="center"/>
              <w:rPr>
                <w:sz w:val="20"/>
                <w:szCs w:val="20"/>
              </w:rPr>
            </w:pPr>
            <w:r w:rsidRPr="00EB2982">
              <w:rPr>
                <w:sz w:val="20"/>
                <w:szCs w:val="20"/>
              </w:rPr>
              <w:t>-60,22per cent</w:t>
            </w:r>
          </w:p>
        </w:tc>
        <w:tc>
          <w:tcPr>
            <w:tcW w:w="1134" w:type="dxa"/>
            <w:noWrap/>
            <w:hideMark/>
          </w:tcPr>
          <w:p w14:paraId="56EFB5DA" w14:textId="77777777" w:rsidR="00C42E53" w:rsidRPr="00EB2982" w:rsidRDefault="00C42E53" w:rsidP="002C7C5F">
            <w:pPr>
              <w:jc w:val="center"/>
              <w:rPr>
                <w:sz w:val="20"/>
                <w:szCs w:val="20"/>
              </w:rPr>
            </w:pPr>
            <w:r w:rsidRPr="00EB2982">
              <w:rPr>
                <w:sz w:val="20"/>
                <w:szCs w:val="20"/>
              </w:rPr>
              <w:t>-62,18per cent</w:t>
            </w:r>
          </w:p>
        </w:tc>
      </w:tr>
      <w:tr w:rsidR="00C42E53" w:rsidRPr="00EB2982" w14:paraId="1D18DCFE" w14:textId="77777777" w:rsidTr="002C7C5F">
        <w:trPr>
          <w:trHeight w:val="264"/>
        </w:trPr>
        <w:tc>
          <w:tcPr>
            <w:tcW w:w="2694" w:type="dxa"/>
            <w:noWrap/>
            <w:hideMark/>
          </w:tcPr>
          <w:p w14:paraId="0387694C" w14:textId="77777777" w:rsidR="00C42E53" w:rsidRPr="00EB2982" w:rsidRDefault="00C42E53" w:rsidP="002C7C5F">
            <w:pPr>
              <w:rPr>
                <w:sz w:val="20"/>
                <w:szCs w:val="20"/>
              </w:rPr>
            </w:pPr>
            <w:r w:rsidRPr="00EB2982">
              <w:rPr>
                <w:sz w:val="20"/>
                <w:szCs w:val="20"/>
              </w:rPr>
              <w:t>Programme Management</w:t>
            </w:r>
          </w:p>
        </w:tc>
        <w:tc>
          <w:tcPr>
            <w:tcW w:w="992" w:type="dxa"/>
            <w:noWrap/>
            <w:hideMark/>
          </w:tcPr>
          <w:p w14:paraId="7CDF3BB5" w14:textId="77777777" w:rsidR="00C42E53" w:rsidRPr="00EB2982" w:rsidRDefault="00C42E53" w:rsidP="002C7C5F">
            <w:pPr>
              <w:jc w:val="right"/>
              <w:rPr>
                <w:sz w:val="20"/>
                <w:szCs w:val="20"/>
              </w:rPr>
            </w:pPr>
            <w:r w:rsidRPr="00EB2982">
              <w:rPr>
                <w:sz w:val="20"/>
                <w:szCs w:val="20"/>
              </w:rPr>
              <w:t xml:space="preserve">  4,2</w:t>
            </w:r>
          </w:p>
        </w:tc>
        <w:tc>
          <w:tcPr>
            <w:tcW w:w="992" w:type="dxa"/>
            <w:noWrap/>
            <w:hideMark/>
          </w:tcPr>
          <w:p w14:paraId="1B028A50" w14:textId="77777777" w:rsidR="00C42E53" w:rsidRPr="00EB2982" w:rsidRDefault="00C42E53" w:rsidP="002C7C5F">
            <w:pPr>
              <w:jc w:val="right"/>
              <w:rPr>
                <w:sz w:val="20"/>
                <w:szCs w:val="20"/>
              </w:rPr>
            </w:pPr>
            <w:r w:rsidRPr="00EB2982">
              <w:rPr>
                <w:sz w:val="20"/>
                <w:szCs w:val="20"/>
              </w:rPr>
              <w:t xml:space="preserve">  4,5</w:t>
            </w:r>
          </w:p>
        </w:tc>
        <w:tc>
          <w:tcPr>
            <w:tcW w:w="1276" w:type="dxa"/>
            <w:noWrap/>
            <w:hideMark/>
          </w:tcPr>
          <w:p w14:paraId="4B80E6C5" w14:textId="77777777" w:rsidR="00C42E53" w:rsidRPr="00EB2982" w:rsidRDefault="00C42E53" w:rsidP="002C7C5F">
            <w:pPr>
              <w:jc w:val="right"/>
              <w:rPr>
                <w:sz w:val="20"/>
                <w:szCs w:val="20"/>
              </w:rPr>
            </w:pPr>
            <w:r w:rsidRPr="00EB2982">
              <w:rPr>
                <w:sz w:val="20"/>
                <w:szCs w:val="20"/>
              </w:rPr>
              <w:t xml:space="preserve">  0,3</w:t>
            </w:r>
          </w:p>
        </w:tc>
        <w:tc>
          <w:tcPr>
            <w:tcW w:w="1276" w:type="dxa"/>
            <w:noWrap/>
            <w:hideMark/>
          </w:tcPr>
          <w:p w14:paraId="2B21E6E3" w14:textId="77777777" w:rsidR="00C42E53" w:rsidRPr="00EB2982" w:rsidRDefault="00C42E53" w:rsidP="002C7C5F">
            <w:pPr>
              <w:jc w:val="right"/>
              <w:rPr>
                <w:sz w:val="20"/>
                <w:szCs w:val="20"/>
              </w:rPr>
            </w:pPr>
            <w:r w:rsidRPr="00EB2982">
              <w:rPr>
                <w:sz w:val="20"/>
                <w:szCs w:val="20"/>
              </w:rPr>
              <w:t xml:space="preserve">  0,1</w:t>
            </w:r>
          </w:p>
        </w:tc>
        <w:tc>
          <w:tcPr>
            <w:tcW w:w="1134" w:type="dxa"/>
            <w:noWrap/>
            <w:hideMark/>
          </w:tcPr>
          <w:p w14:paraId="4EA36BB4" w14:textId="77777777" w:rsidR="00C42E53" w:rsidRPr="00EB2982" w:rsidRDefault="00C42E53" w:rsidP="002C7C5F">
            <w:pPr>
              <w:jc w:val="center"/>
              <w:rPr>
                <w:sz w:val="20"/>
                <w:szCs w:val="20"/>
              </w:rPr>
            </w:pPr>
            <w:r w:rsidRPr="00EB2982">
              <w:rPr>
                <w:sz w:val="20"/>
                <w:szCs w:val="20"/>
              </w:rPr>
              <w:t>7,14per cent</w:t>
            </w:r>
          </w:p>
        </w:tc>
        <w:tc>
          <w:tcPr>
            <w:tcW w:w="1134" w:type="dxa"/>
            <w:noWrap/>
            <w:hideMark/>
          </w:tcPr>
          <w:p w14:paraId="6E67BF0A" w14:textId="77777777" w:rsidR="00C42E53" w:rsidRPr="00EB2982" w:rsidRDefault="00C42E53" w:rsidP="002C7C5F">
            <w:pPr>
              <w:jc w:val="center"/>
              <w:rPr>
                <w:sz w:val="20"/>
                <w:szCs w:val="20"/>
              </w:rPr>
            </w:pPr>
            <w:r w:rsidRPr="00EB2982">
              <w:rPr>
                <w:sz w:val="20"/>
                <w:szCs w:val="20"/>
              </w:rPr>
              <w:t>1,85per cent</w:t>
            </w:r>
          </w:p>
        </w:tc>
      </w:tr>
      <w:tr w:rsidR="00C42E53" w:rsidRPr="00EB2982" w14:paraId="5F3DA5B3" w14:textId="77777777" w:rsidTr="002C7C5F">
        <w:trPr>
          <w:trHeight w:val="264"/>
        </w:trPr>
        <w:tc>
          <w:tcPr>
            <w:tcW w:w="2694" w:type="dxa"/>
            <w:noWrap/>
            <w:hideMark/>
          </w:tcPr>
          <w:p w14:paraId="5DE2C793" w14:textId="77777777" w:rsidR="00C42E53" w:rsidRPr="00EB2982" w:rsidRDefault="00C42E53" w:rsidP="002C7C5F">
            <w:pPr>
              <w:rPr>
                <w:b/>
                <w:sz w:val="20"/>
                <w:szCs w:val="20"/>
              </w:rPr>
            </w:pPr>
            <w:r w:rsidRPr="00EB2982">
              <w:rPr>
                <w:b/>
                <w:sz w:val="20"/>
                <w:szCs w:val="20"/>
              </w:rPr>
              <w:t>TOTAL</w:t>
            </w:r>
          </w:p>
        </w:tc>
        <w:tc>
          <w:tcPr>
            <w:tcW w:w="992" w:type="dxa"/>
            <w:noWrap/>
            <w:hideMark/>
          </w:tcPr>
          <w:p w14:paraId="600F414B" w14:textId="77777777" w:rsidR="00C42E53" w:rsidRPr="00EB2982" w:rsidRDefault="00C42E53" w:rsidP="002C7C5F">
            <w:pPr>
              <w:jc w:val="right"/>
              <w:rPr>
                <w:b/>
                <w:sz w:val="20"/>
                <w:szCs w:val="20"/>
              </w:rPr>
            </w:pPr>
            <w:r w:rsidRPr="00EB2982">
              <w:rPr>
                <w:b/>
                <w:sz w:val="20"/>
                <w:szCs w:val="20"/>
              </w:rPr>
              <w:t xml:space="preserve"> 1 300,4</w:t>
            </w:r>
          </w:p>
        </w:tc>
        <w:tc>
          <w:tcPr>
            <w:tcW w:w="992" w:type="dxa"/>
            <w:noWrap/>
            <w:hideMark/>
          </w:tcPr>
          <w:p w14:paraId="4448D3DB" w14:textId="77777777" w:rsidR="00C42E53" w:rsidRPr="00EB2982" w:rsidRDefault="00C42E53" w:rsidP="002C7C5F">
            <w:pPr>
              <w:jc w:val="right"/>
              <w:rPr>
                <w:b/>
                <w:sz w:val="20"/>
                <w:szCs w:val="20"/>
              </w:rPr>
            </w:pPr>
            <w:r w:rsidRPr="00EB2982">
              <w:rPr>
                <w:b/>
                <w:sz w:val="20"/>
                <w:szCs w:val="20"/>
              </w:rPr>
              <w:t xml:space="preserve"> 1 065,8</w:t>
            </w:r>
          </w:p>
        </w:tc>
        <w:tc>
          <w:tcPr>
            <w:tcW w:w="1276" w:type="dxa"/>
            <w:noWrap/>
            <w:hideMark/>
          </w:tcPr>
          <w:p w14:paraId="38F44AD5" w14:textId="77777777" w:rsidR="00C42E53" w:rsidRPr="00EB2982" w:rsidRDefault="00C42E53" w:rsidP="002C7C5F">
            <w:pPr>
              <w:jc w:val="right"/>
              <w:rPr>
                <w:b/>
                <w:sz w:val="20"/>
                <w:szCs w:val="20"/>
              </w:rPr>
            </w:pPr>
            <w:r w:rsidRPr="00EB2982">
              <w:rPr>
                <w:b/>
                <w:sz w:val="20"/>
                <w:szCs w:val="20"/>
              </w:rPr>
              <w:t>-  234,6</w:t>
            </w:r>
          </w:p>
        </w:tc>
        <w:tc>
          <w:tcPr>
            <w:tcW w:w="1276" w:type="dxa"/>
            <w:noWrap/>
            <w:hideMark/>
          </w:tcPr>
          <w:p w14:paraId="0EE791CB" w14:textId="77777777" w:rsidR="00C42E53" w:rsidRPr="00EB2982" w:rsidRDefault="00C42E53" w:rsidP="002C7C5F">
            <w:pPr>
              <w:jc w:val="right"/>
              <w:rPr>
                <w:b/>
                <w:sz w:val="20"/>
                <w:szCs w:val="20"/>
              </w:rPr>
            </w:pPr>
            <w:r w:rsidRPr="00EB2982">
              <w:rPr>
                <w:b/>
                <w:sz w:val="20"/>
                <w:szCs w:val="20"/>
              </w:rPr>
              <w:t>-  287,3</w:t>
            </w:r>
          </w:p>
        </w:tc>
        <w:tc>
          <w:tcPr>
            <w:tcW w:w="1134" w:type="dxa"/>
            <w:noWrap/>
            <w:hideMark/>
          </w:tcPr>
          <w:p w14:paraId="64D0C600" w14:textId="77777777" w:rsidR="00C42E53" w:rsidRPr="00EB2982" w:rsidRDefault="00C42E53" w:rsidP="002C7C5F">
            <w:pPr>
              <w:jc w:val="center"/>
              <w:rPr>
                <w:b/>
                <w:sz w:val="20"/>
                <w:szCs w:val="20"/>
              </w:rPr>
            </w:pPr>
            <w:r w:rsidRPr="00EB2982">
              <w:rPr>
                <w:b/>
                <w:sz w:val="20"/>
                <w:szCs w:val="20"/>
              </w:rPr>
              <w:t>-18,04%</w:t>
            </w:r>
          </w:p>
        </w:tc>
        <w:tc>
          <w:tcPr>
            <w:tcW w:w="1134" w:type="dxa"/>
            <w:noWrap/>
            <w:hideMark/>
          </w:tcPr>
          <w:p w14:paraId="3848E31D" w14:textId="77777777" w:rsidR="00C42E53" w:rsidRPr="00EB2982" w:rsidRDefault="00C42E53" w:rsidP="002C7C5F">
            <w:pPr>
              <w:jc w:val="center"/>
              <w:rPr>
                <w:b/>
                <w:sz w:val="20"/>
                <w:szCs w:val="20"/>
              </w:rPr>
            </w:pPr>
            <w:r w:rsidRPr="00EB2982">
              <w:rPr>
                <w:b/>
                <w:sz w:val="20"/>
                <w:szCs w:val="20"/>
              </w:rPr>
              <w:t>-22,09%</w:t>
            </w:r>
          </w:p>
        </w:tc>
      </w:tr>
    </w:tbl>
    <w:p w14:paraId="5B0ABFE2" w14:textId="77777777" w:rsidR="00C42E53" w:rsidRPr="00EB2982" w:rsidRDefault="004969A8" w:rsidP="008F0E74">
      <w:pPr>
        <w:spacing w:line="280" w:lineRule="exact"/>
        <w:jc w:val="both"/>
        <w:rPr>
          <w:color w:val="000000"/>
          <w:spacing w:val="6"/>
          <w:sz w:val="16"/>
          <w:szCs w:val="16"/>
        </w:rPr>
      </w:pPr>
      <w:r w:rsidRPr="00EB2982">
        <w:rPr>
          <w:color w:val="000000"/>
          <w:spacing w:val="6"/>
          <w:sz w:val="16"/>
          <w:szCs w:val="16"/>
        </w:rPr>
        <w:t>Source: National Treasury,</w:t>
      </w:r>
      <w:r w:rsidR="00202899" w:rsidRPr="00EB2982">
        <w:rPr>
          <w:color w:val="000000"/>
          <w:spacing w:val="6"/>
          <w:sz w:val="16"/>
          <w:szCs w:val="16"/>
        </w:rPr>
        <w:t xml:space="preserve"> (</w:t>
      </w:r>
      <w:r w:rsidRPr="00EB2982">
        <w:rPr>
          <w:color w:val="000000"/>
          <w:spacing w:val="6"/>
          <w:sz w:val="16"/>
          <w:szCs w:val="16"/>
        </w:rPr>
        <w:t>2019</w:t>
      </w:r>
      <w:r w:rsidR="00202899" w:rsidRPr="00EB2982">
        <w:rPr>
          <w:color w:val="000000"/>
          <w:spacing w:val="6"/>
          <w:sz w:val="16"/>
          <w:szCs w:val="16"/>
        </w:rPr>
        <w:t>)</w:t>
      </w:r>
    </w:p>
    <w:p w14:paraId="4670249B" w14:textId="77777777" w:rsidR="004969A8" w:rsidRPr="00EB2982" w:rsidRDefault="004969A8" w:rsidP="008F0E74">
      <w:pPr>
        <w:spacing w:line="280" w:lineRule="exact"/>
        <w:jc w:val="both"/>
        <w:rPr>
          <w:i/>
          <w:color w:val="000000"/>
          <w:spacing w:val="6"/>
          <w:sz w:val="16"/>
          <w:szCs w:val="16"/>
        </w:rPr>
      </w:pPr>
    </w:p>
    <w:p w14:paraId="5739308A" w14:textId="77777777" w:rsidR="00EE2CB0" w:rsidRPr="00EB2982" w:rsidRDefault="00EE2CB0" w:rsidP="00F96CBE">
      <w:pPr>
        <w:spacing w:line="280" w:lineRule="exact"/>
        <w:jc w:val="both"/>
        <w:rPr>
          <w:color w:val="000000"/>
          <w:spacing w:val="6"/>
        </w:rPr>
      </w:pPr>
      <w:r w:rsidRPr="00EB2982">
        <w:rPr>
          <w:color w:val="000000"/>
          <w:spacing w:val="6"/>
        </w:rPr>
        <w:t>Programme 4’s voted allocation decreases from R1.3 billion in 2018/19 to R1.065 billion in 2019/20 which denotes a nominal decrease of 18.0 per cent, and a real decrease of 22.0 per cent.</w:t>
      </w:r>
      <w:r w:rsidRPr="00EB2982">
        <w:t xml:space="preserve"> </w:t>
      </w:r>
      <w:r w:rsidRPr="00EB2982">
        <w:rPr>
          <w:color w:val="000000"/>
          <w:spacing w:val="6"/>
        </w:rPr>
        <w:t xml:space="preserve">This decline driven by reductions in allocations to the </w:t>
      </w:r>
      <w:r w:rsidRPr="00EB2982">
        <w:rPr>
          <w:i/>
          <w:color w:val="000000"/>
          <w:spacing w:val="6"/>
        </w:rPr>
        <w:t>Substance Abuse</w:t>
      </w:r>
      <w:r w:rsidRPr="00EB2982">
        <w:rPr>
          <w:color w:val="000000"/>
          <w:spacing w:val="6"/>
        </w:rPr>
        <w:t xml:space="preserve"> and </w:t>
      </w:r>
      <w:r w:rsidRPr="00EB2982">
        <w:rPr>
          <w:i/>
          <w:color w:val="000000"/>
          <w:spacing w:val="6"/>
        </w:rPr>
        <w:t>Social Worker Scholarships</w:t>
      </w:r>
      <w:r w:rsidRPr="00EB2982">
        <w:rPr>
          <w:color w:val="000000"/>
          <w:spacing w:val="6"/>
        </w:rPr>
        <w:t xml:space="preserve"> sub-programmes; these declines in real terms with 81.97 per cent and 62.18 per cent respectively. Significant changes in </w:t>
      </w:r>
      <w:r w:rsidR="00202899" w:rsidRPr="00EB2982">
        <w:rPr>
          <w:color w:val="000000"/>
          <w:spacing w:val="6"/>
        </w:rPr>
        <w:t xml:space="preserve">allocation </w:t>
      </w:r>
      <w:r w:rsidRPr="00EB2982">
        <w:rPr>
          <w:color w:val="000000"/>
          <w:spacing w:val="6"/>
        </w:rPr>
        <w:t xml:space="preserve">ns to these two sub-programmes are directed by the phasing out of the following conditional grants:   </w:t>
      </w:r>
    </w:p>
    <w:p w14:paraId="4807FCFE" w14:textId="77777777" w:rsidR="00EE2CB0" w:rsidRPr="00EB2982" w:rsidRDefault="00EE2CB0" w:rsidP="00F96CBE">
      <w:pPr>
        <w:spacing w:line="280" w:lineRule="exact"/>
        <w:rPr>
          <w:color w:val="000000"/>
          <w:spacing w:val="6"/>
        </w:rPr>
      </w:pPr>
    </w:p>
    <w:p w14:paraId="75817476" w14:textId="77777777" w:rsidR="00EE2CB0" w:rsidRPr="00EB2982" w:rsidRDefault="00EE2CB0" w:rsidP="001342C6">
      <w:pPr>
        <w:pStyle w:val="ListParagraph"/>
        <w:numPr>
          <w:ilvl w:val="0"/>
          <w:numId w:val="8"/>
        </w:numPr>
        <w:spacing w:after="0" w:line="280" w:lineRule="exact"/>
        <w:jc w:val="both"/>
        <w:rPr>
          <w:rFonts w:ascii="Times New Roman" w:hAnsi="Times New Roman"/>
          <w:color w:val="000000"/>
          <w:spacing w:val="6"/>
          <w:sz w:val="24"/>
          <w:szCs w:val="24"/>
          <w:lang w:val="en-GB" w:eastAsia="en-GB"/>
        </w:rPr>
      </w:pPr>
      <w:r w:rsidRPr="00EB2982">
        <w:rPr>
          <w:rFonts w:ascii="Times New Roman" w:hAnsi="Times New Roman"/>
          <w:color w:val="000000"/>
          <w:spacing w:val="6"/>
          <w:sz w:val="24"/>
          <w:szCs w:val="24"/>
          <w:lang w:val="en-GB" w:eastAsia="en-GB"/>
        </w:rPr>
        <w:t xml:space="preserve">The </w:t>
      </w:r>
      <w:r w:rsidRPr="00EB2982">
        <w:rPr>
          <w:rFonts w:ascii="Times New Roman" w:hAnsi="Times New Roman"/>
          <w:i/>
          <w:color w:val="000000"/>
          <w:spacing w:val="6"/>
          <w:sz w:val="24"/>
          <w:szCs w:val="24"/>
          <w:lang w:val="en-GB" w:eastAsia="en-GB"/>
        </w:rPr>
        <w:t>Social Worker Employment grant</w:t>
      </w:r>
      <w:r w:rsidRPr="00EB2982">
        <w:rPr>
          <w:rFonts w:ascii="Times New Roman" w:hAnsi="Times New Roman"/>
          <w:color w:val="000000"/>
          <w:spacing w:val="6"/>
          <w:sz w:val="24"/>
          <w:szCs w:val="24"/>
          <w:lang w:val="en-GB" w:eastAsia="en-GB"/>
        </w:rPr>
        <w:t xml:space="preserve"> has been successfully implemented at national level, and the grant has thus been discontinued. As from 2019/20, funding will be incorporated into the provincial equitable share. This means that R678.9 million will be shifted directly to provinces over the MTEF period.</w:t>
      </w:r>
    </w:p>
    <w:p w14:paraId="025DCB0E" w14:textId="77777777" w:rsidR="00EE2CB0" w:rsidRPr="00EB2982" w:rsidRDefault="00EE2CB0" w:rsidP="00F96CBE">
      <w:pPr>
        <w:pStyle w:val="ListParagraph"/>
        <w:spacing w:line="280" w:lineRule="exact"/>
        <w:rPr>
          <w:rFonts w:ascii="Times New Roman" w:hAnsi="Times New Roman"/>
          <w:color w:val="000000"/>
          <w:spacing w:val="6"/>
          <w:sz w:val="24"/>
          <w:szCs w:val="24"/>
          <w:lang w:val="en-GB" w:eastAsia="en-GB"/>
        </w:rPr>
      </w:pPr>
    </w:p>
    <w:p w14:paraId="6343990C" w14:textId="77777777" w:rsidR="00EE2CB0" w:rsidRPr="00EB2982" w:rsidRDefault="00EE2CB0" w:rsidP="001342C6">
      <w:pPr>
        <w:pStyle w:val="ListParagraph"/>
        <w:numPr>
          <w:ilvl w:val="0"/>
          <w:numId w:val="8"/>
        </w:numPr>
        <w:spacing w:after="0" w:line="280" w:lineRule="exact"/>
        <w:jc w:val="both"/>
        <w:rPr>
          <w:rFonts w:ascii="Times New Roman" w:hAnsi="Times New Roman"/>
          <w:color w:val="000000"/>
          <w:spacing w:val="6"/>
          <w:sz w:val="24"/>
          <w:szCs w:val="24"/>
          <w:lang w:val="en-GB" w:eastAsia="en-GB"/>
        </w:rPr>
      </w:pPr>
      <w:r w:rsidRPr="00EB2982">
        <w:rPr>
          <w:rFonts w:ascii="Times New Roman" w:hAnsi="Times New Roman"/>
          <w:color w:val="000000"/>
          <w:spacing w:val="6"/>
          <w:sz w:val="24"/>
          <w:szCs w:val="24"/>
          <w:lang w:val="en-GB" w:eastAsia="en-GB"/>
        </w:rPr>
        <w:t xml:space="preserve">The </w:t>
      </w:r>
      <w:r w:rsidRPr="00EB2982">
        <w:rPr>
          <w:rFonts w:ascii="Times New Roman" w:hAnsi="Times New Roman"/>
          <w:i/>
          <w:color w:val="000000"/>
          <w:spacing w:val="6"/>
          <w:sz w:val="24"/>
          <w:szCs w:val="24"/>
          <w:lang w:val="en-GB" w:eastAsia="en-GB"/>
        </w:rPr>
        <w:t>Substance Abuse Treatment</w:t>
      </w:r>
      <w:r w:rsidRPr="00EB2982">
        <w:rPr>
          <w:rFonts w:ascii="Times New Roman" w:hAnsi="Times New Roman"/>
          <w:color w:val="000000"/>
          <w:spacing w:val="6"/>
          <w:sz w:val="24"/>
          <w:szCs w:val="24"/>
          <w:lang w:val="en-GB" w:eastAsia="en-GB"/>
        </w:rPr>
        <w:t xml:space="preserve"> grant resulted in the operationalisation </w:t>
      </w:r>
      <w:r w:rsidRPr="00EB2982">
        <w:rPr>
          <w:rFonts w:ascii="Times New Roman" w:hAnsi="Times New Roman"/>
          <w:color w:val="000000" w:themeColor="text1"/>
          <w:spacing w:val="6"/>
          <w:sz w:val="24"/>
          <w:szCs w:val="24"/>
          <w:lang w:val="en-GB" w:eastAsia="en-GB"/>
        </w:rPr>
        <w:t xml:space="preserve">of </w:t>
      </w:r>
      <w:r w:rsidR="00B526B0" w:rsidRPr="00EB2982">
        <w:rPr>
          <w:rFonts w:ascii="Times New Roman" w:hAnsi="Times New Roman"/>
          <w:spacing w:val="6"/>
          <w:sz w:val="24"/>
          <w:szCs w:val="24"/>
          <w:lang w:val="en-GB" w:eastAsia="en-GB"/>
        </w:rPr>
        <w:t>3</w:t>
      </w:r>
      <w:r w:rsidRPr="00EB2982">
        <w:rPr>
          <w:rFonts w:ascii="Times New Roman" w:hAnsi="Times New Roman"/>
          <w:spacing w:val="6"/>
          <w:sz w:val="24"/>
          <w:szCs w:val="24"/>
          <w:lang w:val="en-GB" w:eastAsia="en-GB"/>
        </w:rPr>
        <w:t xml:space="preserve"> new substance abuse treatment</w:t>
      </w:r>
      <w:r w:rsidRPr="00EB2982">
        <w:rPr>
          <w:rFonts w:ascii="Times New Roman" w:hAnsi="Times New Roman"/>
          <w:b/>
          <w:spacing w:val="6"/>
          <w:sz w:val="24"/>
          <w:szCs w:val="24"/>
          <w:lang w:val="en-GB" w:eastAsia="en-GB"/>
        </w:rPr>
        <w:t xml:space="preserve"> </w:t>
      </w:r>
      <w:r w:rsidRPr="00EB2982">
        <w:rPr>
          <w:rFonts w:ascii="Times New Roman" w:hAnsi="Times New Roman"/>
          <w:color w:val="000000"/>
          <w:spacing w:val="6"/>
          <w:sz w:val="24"/>
          <w:szCs w:val="24"/>
          <w:lang w:val="en-GB" w:eastAsia="en-GB"/>
        </w:rPr>
        <w:t>centres in 4 provinces, and it has thus been discontinued. R237 million over the MTEF will be shifted to the provincial equitable share, to allow provinces full responsibility for functioning of these centres.</w:t>
      </w:r>
    </w:p>
    <w:p w14:paraId="33534DB6" w14:textId="77777777" w:rsidR="00BA3DF0" w:rsidRPr="00EB2982" w:rsidRDefault="00BA3DF0" w:rsidP="005E2F3A">
      <w:pPr>
        <w:spacing w:line="280" w:lineRule="exact"/>
        <w:jc w:val="both"/>
        <w:rPr>
          <w:b/>
          <w:color w:val="000000"/>
          <w:spacing w:val="6"/>
        </w:rPr>
      </w:pPr>
    </w:p>
    <w:p w14:paraId="1DD8FC43" w14:textId="77777777" w:rsidR="007D7A8A" w:rsidRPr="00EB2982" w:rsidRDefault="00206FF6" w:rsidP="005E2F3A">
      <w:pPr>
        <w:spacing w:line="280" w:lineRule="exact"/>
        <w:jc w:val="both"/>
        <w:rPr>
          <w:b/>
          <w:lang w:val="en-ZA" w:eastAsia="en-ZA"/>
        </w:rPr>
      </w:pPr>
      <w:r w:rsidRPr="00EB2982">
        <w:rPr>
          <w:b/>
          <w:lang w:val="en-ZA" w:eastAsia="en-ZA"/>
        </w:rPr>
        <w:t xml:space="preserve">4.5 </w:t>
      </w:r>
      <w:r w:rsidR="007D7A8A" w:rsidRPr="00EB2982">
        <w:rPr>
          <w:b/>
          <w:lang w:val="en-ZA" w:eastAsia="en-ZA"/>
        </w:rPr>
        <w:t>Programme 5: Social Policy and Integrated Service Delivery</w:t>
      </w:r>
    </w:p>
    <w:p w14:paraId="28525236" w14:textId="77777777" w:rsidR="00991D9B" w:rsidRPr="00EB2982" w:rsidRDefault="00991D9B" w:rsidP="008E441E">
      <w:pPr>
        <w:autoSpaceDE w:val="0"/>
        <w:autoSpaceDN w:val="0"/>
        <w:adjustRightInd w:val="0"/>
        <w:spacing w:line="280" w:lineRule="exact"/>
        <w:jc w:val="both"/>
        <w:rPr>
          <w:lang w:val="en-ZA" w:eastAsia="en-ZA"/>
        </w:rPr>
      </w:pPr>
    </w:p>
    <w:p w14:paraId="79289A1C" w14:textId="77777777" w:rsidR="00AA6C72" w:rsidRPr="00EB2982" w:rsidRDefault="00CD3B8F" w:rsidP="00B7417D">
      <w:pPr>
        <w:autoSpaceDE w:val="0"/>
        <w:autoSpaceDN w:val="0"/>
        <w:adjustRightInd w:val="0"/>
        <w:spacing w:line="280" w:lineRule="exact"/>
        <w:jc w:val="both"/>
        <w:rPr>
          <w:lang w:val="en-ZA" w:eastAsia="en-ZA"/>
        </w:rPr>
      </w:pPr>
      <w:r w:rsidRPr="00EB2982">
        <w:rPr>
          <w:lang w:val="en-ZA" w:eastAsia="en-ZA"/>
        </w:rPr>
        <w:t>This programme provides support to community development and promote</w:t>
      </w:r>
      <w:r w:rsidR="009B18BB" w:rsidRPr="00EB2982">
        <w:rPr>
          <w:lang w:val="en-ZA" w:eastAsia="en-ZA"/>
        </w:rPr>
        <w:t>s</w:t>
      </w:r>
      <w:r w:rsidRPr="00EB2982">
        <w:rPr>
          <w:lang w:val="en-ZA" w:eastAsia="en-ZA"/>
        </w:rPr>
        <w:t xml:space="preserve"> evidence-based policy-making in the</w:t>
      </w:r>
      <w:r w:rsidR="00206FF6" w:rsidRPr="00EB2982">
        <w:rPr>
          <w:lang w:val="en-ZA" w:eastAsia="en-ZA"/>
        </w:rPr>
        <w:t xml:space="preserve"> </w:t>
      </w:r>
      <w:r w:rsidR="00494FE5" w:rsidRPr="00EB2982">
        <w:rPr>
          <w:lang w:val="en-ZA" w:eastAsia="en-ZA"/>
        </w:rPr>
        <w:t>D</w:t>
      </w:r>
      <w:r w:rsidRPr="00EB2982">
        <w:rPr>
          <w:lang w:val="en-ZA" w:eastAsia="en-ZA"/>
        </w:rPr>
        <w:t>epartment and the social development sector.</w:t>
      </w:r>
    </w:p>
    <w:p w14:paraId="25AD22BA" w14:textId="77777777" w:rsidR="00CD3B8F" w:rsidRPr="00EB2982" w:rsidRDefault="00CD3B8F" w:rsidP="00B7417D">
      <w:pPr>
        <w:autoSpaceDE w:val="0"/>
        <w:autoSpaceDN w:val="0"/>
        <w:adjustRightInd w:val="0"/>
        <w:spacing w:line="280" w:lineRule="exact"/>
        <w:jc w:val="both"/>
        <w:rPr>
          <w:lang w:val="en-ZA" w:eastAsia="en-ZA"/>
        </w:rPr>
      </w:pPr>
    </w:p>
    <w:p w14:paraId="7E1A0B77" w14:textId="77777777" w:rsidR="00494FE5" w:rsidRPr="00EB2982" w:rsidRDefault="000A0605" w:rsidP="001342C6">
      <w:pPr>
        <w:spacing w:line="280" w:lineRule="exact"/>
        <w:jc w:val="both"/>
        <w:rPr>
          <w:lang w:val="en-ZA" w:eastAsia="en-ZA"/>
        </w:rPr>
      </w:pPr>
      <w:r w:rsidRPr="00EB2982">
        <w:rPr>
          <w:lang w:val="en-ZA" w:eastAsia="en-ZA"/>
        </w:rPr>
        <w:lastRenderedPageBreak/>
        <w:t xml:space="preserve">Under this Programme, the department has set to achieve 16 targets. Among these targets, it plans </w:t>
      </w:r>
      <w:r w:rsidR="00494FE5" w:rsidRPr="00EB2982">
        <w:rPr>
          <w:lang w:val="en-ZA" w:eastAsia="en-ZA"/>
        </w:rPr>
        <w:t>to co</w:t>
      </w:r>
      <w:r w:rsidR="0036395E" w:rsidRPr="00EB2982">
        <w:rPr>
          <w:lang w:val="en-ZA" w:eastAsia="en-ZA"/>
        </w:rPr>
        <w:t>o</w:t>
      </w:r>
      <w:r w:rsidR="00494FE5" w:rsidRPr="00EB2982">
        <w:rPr>
          <w:lang w:val="en-ZA" w:eastAsia="en-ZA"/>
        </w:rPr>
        <w:t>rdi</w:t>
      </w:r>
      <w:r w:rsidR="0036395E" w:rsidRPr="00EB2982">
        <w:rPr>
          <w:lang w:val="en-ZA" w:eastAsia="en-ZA"/>
        </w:rPr>
        <w:t>nate</w:t>
      </w:r>
      <w:r w:rsidR="00494FE5" w:rsidRPr="00EB2982">
        <w:rPr>
          <w:lang w:val="en-ZA" w:eastAsia="en-ZA"/>
        </w:rPr>
        <w:t xml:space="preserve"> the implementation of the </w:t>
      </w:r>
      <w:r w:rsidR="00494FE5" w:rsidRPr="00EB2982">
        <w:t>Expanded Public Work Programme (EPWP) Social Sector Phase 4 Plan.</w:t>
      </w:r>
      <w:r w:rsidR="00494FE5" w:rsidRPr="00EB2982">
        <w:rPr>
          <w:lang w:val="en-ZA" w:eastAsia="en-ZA"/>
        </w:rPr>
        <w:t xml:space="preserve"> </w:t>
      </w:r>
      <w:r w:rsidRPr="00EB2982">
        <w:t>It</w:t>
      </w:r>
      <w:r w:rsidRPr="00EB2982">
        <w:rPr>
          <w:i/>
        </w:rPr>
        <w:t xml:space="preserve"> </w:t>
      </w:r>
      <w:r w:rsidRPr="00EB2982">
        <w:t xml:space="preserve">will </w:t>
      </w:r>
      <w:r w:rsidR="00494FE5" w:rsidRPr="00EB2982">
        <w:t>process all received NPO applications and submitted reports of registered N</w:t>
      </w:r>
      <w:r w:rsidR="00AC5297" w:rsidRPr="00EB2982">
        <w:t xml:space="preserve">on </w:t>
      </w:r>
      <w:r w:rsidR="00494FE5" w:rsidRPr="00EB2982">
        <w:t>P</w:t>
      </w:r>
      <w:r w:rsidR="00AC5297" w:rsidRPr="00EB2982">
        <w:t xml:space="preserve">rofit </w:t>
      </w:r>
      <w:r w:rsidR="00494FE5" w:rsidRPr="00EB2982">
        <w:t>O</w:t>
      </w:r>
      <w:r w:rsidR="00AC5297" w:rsidRPr="00EB2982">
        <w:t>rganisation</w:t>
      </w:r>
      <w:r w:rsidR="00494FE5" w:rsidRPr="00EB2982">
        <w:t>s</w:t>
      </w:r>
      <w:r w:rsidR="00AC5297" w:rsidRPr="00EB2982">
        <w:t xml:space="preserve"> (NPOs)</w:t>
      </w:r>
      <w:r w:rsidR="00494FE5" w:rsidRPr="00EB2982">
        <w:t xml:space="preserve"> within 2 months. </w:t>
      </w:r>
      <w:r w:rsidR="00AC5297" w:rsidRPr="00EB2982">
        <w:t xml:space="preserve"> </w:t>
      </w:r>
      <w:r w:rsidR="00C6516A" w:rsidRPr="00EB2982">
        <w:t>It will submit t</w:t>
      </w:r>
      <w:r w:rsidR="00494FE5" w:rsidRPr="00EB2982">
        <w:t>he NPO Amendment Bill to Cabinet</w:t>
      </w:r>
      <w:r w:rsidR="00C6516A" w:rsidRPr="00EB2982">
        <w:t>.</w:t>
      </w:r>
      <w:r w:rsidR="00494FE5" w:rsidRPr="00EB2982">
        <w:t xml:space="preserve"> </w:t>
      </w:r>
      <w:r w:rsidR="00AC5297" w:rsidRPr="00EB2982">
        <w:t xml:space="preserve"> It will also f</w:t>
      </w:r>
      <w:r w:rsidR="00494FE5" w:rsidRPr="00EB2982">
        <w:t>acilitate implementation of the DSD-NPO Partnership Model</w:t>
      </w:r>
      <w:r w:rsidR="00AC5297" w:rsidRPr="00EB2982">
        <w:t>.</w:t>
      </w:r>
    </w:p>
    <w:p w14:paraId="4836C286" w14:textId="77777777" w:rsidR="00AC5297" w:rsidRPr="00EB2982" w:rsidRDefault="00AC5297" w:rsidP="00F96CBE">
      <w:pPr>
        <w:spacing w:line="280" w:lineRule="exact"/>
        <w:jc w:val="both"/>
        <w:rPr>
          <w:b/>
        </w:rPr>
      </w:pPr>
    </w:p>
    <w:p w14:paraId="77D176E7" w14:textId="77777777" w:rsidR="00AC5297" w:rsidRPr="00EB2982" w:rsidRDefault="00AC5297" w:rsidP="00B7417D">
      <w:pPr>
        <w:spacing w:line="280" w:lineRule="exact"/>
        <w:jc w:val="both"/>
        <w:rPr>
          <w:b/>
        </w:rPr>
      </w:pPr>
      <w:r w:rsidRPr="00EB2982">
        <w:t xml:space="preserve">The </w:t>
      </w:r>
      <w:r w:rsidR="008017AD" w:rsidRPr="00EB2982">
        <w:t>d</w:t>
      </w:r>
      <w:r w:rsidRPr="00EB2982">
        <w:t>epartment also plans to facilitate the implementation of Social Development Youth Strategy</w:t>
      </w:r>
      <w:r w:rsidR="008017AD" w:rsidRPr="00EB2982">
        <w:t xml:space="preserve">. A total </w:t>
      </w:r>
      <w:r w:rsidRPr="00EB2982">
        <w:t>number of 2 800 youth are anticipated to participate in Social Development Youth Camps.  It will also evaluate the implementation of the National food and nutrition security plan in 9 provinces</w:t>
      </w:r>
      <w:r w:rsidR="0074406E" w:rsidRPr="00EB2982">
        <w:t>.</w:t>
      </w:r>
    </w:p>
    <w:p w14:paraId="39CB6F29" w14:textId="77777777" w:rsidR="00AC5297" w:rsidRPr="00EB2982" w:rsidRDefault="00AC5297" w:rsidP="00B7417D">
      <w:pPr>
        <w:spacing w:line="280" w:lineRule="exact"/>
        <w:jc w:val="both"/>
        <w:rPr>
          <w:b/>
        </w:rPr>
      </w:pPr>
    </w:p>
    <w:p w14:paraId="4C743975" w14:textId="77777777" w:rsidR="00342661" w:rsidRPr="00EB2982" w:rsidRDefault="002F58DD" w:rsidP="00B7417D">
      <w:pPr>
        <w:tabs>
          <w:tab w:val="left" w:pos="360"/>
        </w:tabs>
        <w:spacing w:line="280" w:lineRule="exact"/>
        <w:jc w:val="both"/>
        <w:rPr>
          <w:b/>
          <w:bCs/>
          <w:color w:val="000000"/>
        </w:rPr>
      </w:pPr>
      <w:r w:rsidRPr="00EB2982">
        <w:rPr>
          <w:b/>
          <w:bCs/>
          <w:color w:val="000000"/>
        </w:rPr>
        <w:t>E</w:t>
      </w:r>
      <w:r w:rsidR="00342661" w:rsidRPr="00EB2982">
        <w:rPr>
          <w:b/>
          <w:bCs/>
          <w:color w:val="000000"/>
        </w:rPr>
        <w:t>xpenditure trends</w:t>
      </w:r>
    </w:p>
    <w:p w14:paraId="21CD14DF" w14:textId="77777777" w:rsidR="00D83A5F" w:rsidRPr="00EB2982" w:rsidRDefault="00D83A5F" w:rsidP="008F0E74">
      <w:pPr>
        <w:spacing w:line="280" w:lineRule="exact"/>
        <w:rPr>
          <w:color w:val="000000"/>
          <w:spacing w:val="6"/>
        </w:rPr>
      </w:pPr>
    </w:p>
    <w:p w14:paraId="53A680E8" w14:textId="77777777" w:rsidR="008017AD" w:rsidRPr="00EB2982" w:rsidRDefault="008017AD" w:rsidP="008017AD">
      <w:pPr>
        <w:pStyle w:val="Caption"/>
        <w:spacing w:line="280" w:lineRule="exact"/>
        <w:rPr>
          <w:rFonts w:ascii="Times New Roman" w:hAnsi="Times New Roman" w:cs="Times New Roman"/>
          <w:i w:val="0"/>
          <w:color w:val="000000" w:themeColor="text1"/>
          <w:sz w:val="20"/>
          <w:lang w:val="en-GB"/>
        </w:rPr>
      </w:pPr>
      <w:r w:rsidRPr="00EB2982">
        <w:rPr>
          <w:rFonts w:ascii="Times New Roman" w:hAnsi="Times New Roman" w:cs="Times New Roman"/>
          <w:i w:val="0"/>
          <w:iCs w:val="0"/>
          <w:color w:val="000000" w:themeColor="text1"/>
          <w:sz w:val="20"/>
          <w:szCs w:val="22"/>
          <w:lang w:val="en-GB"/>
        </w:rPr>
        <w:t>Table 6: Social Policy and Integrated Service Delivery Programme</w:t>
      </w:r>
    </w:p>
    <w:tbl>
      <w:tblPr>
        <w:tblStyle w:val="TableGrid"/>
        <w:tblW w:w="9781" w:type="dxa"/>
        <w:tblInd w:w="-147" w:type="dxa"/>
        <w:tblLayout w:type="fixed"/>
        <w:tblLook w:val="04A0" w:firstRow="1" w:lastRow="0" w:firstColumn="1" w:lastColumn="0" w:noHBand="0" w:noVBand="1"/>
      </w:tblPr>
      <w:tblGrid>
        <w:gridCol w:w="2977"/>
        <w:gridCol w:w="1134"/>
        <w:gridCol w:w="993"/>
        <w:gridCol w:w="1275"/>
        <w:gridCol w:w="1276"/>
        <w:gridCol w:w="1134"/>
        <w:gridCol w:w="992"/>
      </w:tblGrid>
      <w:tr w:rsidR="008017AD" w:rsidRPr="00EB2982" w14:paraId="0FE6423F" w14:textId="77777777" w:rsidTr="002C7C5F">
        <w:trPr>
          <w:trHeight w:val="763"/>
        </w:trPr>
        <w:tc>
          <w:tcPr>
            <w:tcW w:w="2977" w:type="dxa"/>
            <w:vMerge w:val="restart"/>
            <w:shd w:val="clear" w:color="auto" w:fill="FDE9D9" w:themeFill="accent6" w:themeFillTint="33"/>
            <w:noWrap/>
            <w:hideMark/>
          </w:tcPr>
          <w:p w14:paraId="35AC3294" w14:textId="77777777" w:rsidR="008017AD" w:rsidRPr="00EB2982" w:rsidRDefault="008017AD" w:rsidP="002C7C5F">
            <w:pPr>
              <w:rPr>
                <w:b/>
                <w:bCs/>
                <w:color w:val="000000"/>
                <w:spacing w:val="6"/>
                <w:sz w:val="20"/>
                <w:szCs w:val="20"/>
              </w:rPr>
            </w:pPr>
            <w:r w:rsidRPr="00EB2982">
              <w:rPr>
                <w:b/>
                <w:bCs/>
                <w:color w:val="000000"/>
                <w:spacing w:val="6"/>
                <w:sz w:val="20"/>
                <w:szCs w:val="20"/>
              </w:rPr>
              <w:t>Programme</w:t>
            </w:r>
          </w:p>
          <w:p w14:paraId="2A1D19A1" w14:textId="77777777" w:rsidR="008017AD" w:rsidRPr="00EB2982" w:rsidRDefault="008017AD" w:rsidP="002C7C5F">
            <w:pPr>
              <w:rPr>
                <w:b/>
                <w:bCs/>
                <w:color w:val="000000"/>
                <w:spacing w:val="6"/>
                <w:sz w:val="20"/>
                <w:szCs w:val="20"/>
              </w:rPr>
            </w:pPr>
          </w:p>
          <w:p w14:paraId="396D025E" w14:textId="77777777" w:rsidR="008017AD" w:rsidRPr="00EB2982" w:rsidRDefault="008017AD" w:rsidP="002C7C5F">
            <w:pPr>
              <w:rPr>
                <w:b/>
                <w:bCs/>
                <w:color w:val="000000"/>
                <w:spacing w:val="6"/>
                <w:sz w:val="20"/>
                <w:szCs w:val="20"/>
              </w:rPr>
            </w:pPr>
          </w:p>
          <w:p w14:paraId="26009190" w14:textId="77777777" w:rsidR="008017AD" w:rsidRPr="00EB2982" w:rsidRDefault="008017AD" w:rsidP="002C7C5F">
            <w:pPr>
              <w:rPr>
                <w:b/>
                <w:bCs/>
                <w:color w:val="000000"/>
                <w:spacing w:val="6"/>
                <w:sz w:val="20"/>
                <w:szCs w:val="20"/>
              </w:rPr>
            </w:pPr>
          </w:p>
          <w:p w14:paraId="7EDD0ABD" w14:textId="77777777" w:rsidR="008017AD" w:rsidRPr="00EB2982" w:rsidRDefault="008017AD" w:rsidP="002C7C5F">
            <w:pPr>
              <w:rPr>
                <w:b/>
                <w:bCs/>
                <w:color w:val="000000"/>
                <w:spacing w:val="6"/>
                <w:sz w:val="20"/>
                <w:szCs w:val="20"/>
              </w:rPr>
            </w:pPr>
            <w:r w:rsidRPr="00EB2982">
              <w:rPr>
                <w:b/>
                <w:bCs/>
                <w:color w:val="000000"/>
                <w:spacing w:val="6"/>
                <w:sz w:val="20"/>
                <w:szCs w:val="20"/>
              </w:rPr>
              <w:t>R million</w:t>
            </w:r>
          </w:p>
        </w:tc>
        <w:tc>
          <w:tcPr>
            <w:tcW w:w="2127" w:type="dxa"/>
            <w:gridSpan w:val="2"/>
            <w:shd w:val="clear" w:color="auto" w:fill="FDE9D9" w:themeFill="accent6" w:themeFillTint="33"/>
            <w:hideMark/>
          </w:tcPr>
          <w:p w14:paraId="00F1F52B" w14:textId="77777777" w:rsidR="008017AD" w:rsidRPr="00EB2982" w:rsidRDefault="008017AD" w:rsidP="002C7C5F">
            <w:pPr>
              <w:jc w:val="center"/>
              <w:rPr>
                <w:b/>
                <w:bCs/>
                <w:color w:val="000000"/>
                <w:spacing w:val="6"/>
                <w:sz w:val="20"/>
                <w:szCs w:val="20"/>
              </w:rPr>
            </w:pPr>
            <w:r w:rsidRPr="00EB2982">
              <w:rPr>
                <w:b/>
                <w:bCs/>
                <w:color w:val="000000"/>
                <w:spacing w:val="6"/>
                <w:sz w:val="20"/>
                <w:szCs w:val="20"/>
              </w:rPr>
              <w:t>Budget</w:t>
            </w:r>
          </w:p>
        </w:tc>
        <w:tc>
          <w:tcPr>
            <w:tcW w:w="1275" w:type="dxa"/>
            <w:vMerge w:val="restart"/>
            <w:shd w:val="clear" w:color="auto" w:fill="FDE9D9" w:themeFill="accent6" w:themeFillTint="33"/>
          </w:tcPr>
          <w:p w14:paraId="5D571383" w14:textId="77777777" w:rsidR="008017AD" w:rsidRPr="00EB2982" w:rsidRDefault="008017AD" w:rsidP="002C7C5F">
            <w:pPr>
              <w:jc w:val="center"/>
              <w:rPr>
                <w:b/>
                <w:bCs/>
                <w:color w:val="000000"/>
                <w:spacing w:val="6"/>
                <w:sz w:val="20"/>
                <w:szCs w:val="20"/>
              </w:rPr>
            </w:pPr>
            <w:r w:rsidRPr="00EB2982">
              <w:rPr>
                <w:b/>
                <w:bCs/>
                <w:color w:val="000000"/>
                <w:spacing w:val="6"/>
                <w:sz w:val="20"/>
                <w:szCs w:val="20"/>
              </w:rPr>
              <w:t>Nominal change in 2019/20</w:t>
            </w:r>
          </w:p>
          <w:p w14:paraId="70947ED3" w14:textId="77777777" w:rsidR="008017AD" w:rsidRPr="00EB2982" w:rsidRDefault="008017AD" w:rsidP="002C7C5F">
            <w:pPr>
              <w:jc w:val="center"/>
              <w:rPr>
                <w:b/>
                <w:bCs/>
                <w:color w:val="000000"/>
                <w:spacing w:val="6"/>
                <w:sz w:val="20"/>
                <w:szCs w:val="20"/>
              </w:rPr>
            </w:pPr>
            <w:r w:rsidRPr="00EB2982">
              <w:rPr>
                <w:b/>
                <w:bCs/>
                <w:color w:val="000000"/>
                <w:spacing w:val="6"/>
                <w:sz w:val="16"/>
                <w:szCs w:val="20"/>
              </w:rPr>
              <w:t>(Rand value)</w:t>
            </w:r>
          </w:p>
        </w:tc>
        <w:tc>
          <w:tcPr>
            <w:tcW w:w="1276" w:type="dxa"/>
            <w:vMerge w:val="restart"/>
            <w:shd w:val="clear" w:color="auto" w:fill="FDE9D9" w:themeFill="accent6" w:themeFillTint="33"/>
          </w:tcPr>
          <w:p w14:paraId="0BD26216" w14:textId="77777777" w:rsidR="008017AD" w:rsidRPr="00EB2982" w:rsidRDefault="008017AD" w:rsidP="002C7C5F">
            <w:pPr>
              <w:jc w:val="center"/>
              <w:rPr>
                <w:b/>
                <w:bCs/>
                <w:color w:val="000000"/>
                <w:spacing w:val="6"/>
                <w:sz w:val="20"/>
                <w:szCs w:val="20"/>
              </w:rPr>
            </w:pPr>
            <w:r w:rsidRPr="00EB2982">
              <w:rPr>
                <w:b/>
                <w:bCs/>
                <w:color w:val="000000"/>
                <w:spacing w:val="6"/>
                <w:sz w:val="20"/>
                <w:szCs w:val="20"/>
              </w:rPr>
              <w:t>Real change in 2019/20</w:t>
            </w:r>
          </w:p>
          <w:p w14:paraId="21099C2B" w14:textId="77777777" w:rsidR="008017AD" w:rsidRPr="00EB2982" w:rsidRDefault="008017AD" w:rsidP="002C7C5F">
            <w:pPr>
              <w:jc w:val="center"/>
              <w:rPr>
                <w:b/>
                <w:bCs/>
                <w:color w:val="000000"/>
                <w:spacing w:val="6"/>
                <w:sz w:val="20"/>
                <w:szCs w:val="20"/>
              </w:rPr>
            </w:pPr>
            <w:r w:rsidRPr="00EB2982">
              <w:rPr>
                <w:b/>
                <w:bCs/>
                <w:color w:val="000000"/>
                <w:spacing w:val="6"/>
                <w:sz w:val="16"/>
                <w:szCs w:val="20"/>
              </w:rPr>
              <w:t>(Rand value)</w:t>
            </w:r>
          </w:p>
        </w:tc>
        <w:tc>
          <w:tcPr>
            <w:tcW w:w="1134" w:type="dxa"/>
            <w:vMerge w:val="restart"/>
            <w:shd w:val="clear" w:color="auto" w:fill="FDE9D9" w:themeFill="accent6" w:themeFillTint="33"/>
          </w:tcPr>
          <w:p w14:paraId="08B8DD9D" w14:textId="77777777" w:rsidR="008017AD" w:rsidRPr="00EB2982" w:rsidRDefault="008017AD" w:rsidP="002C7C5F">
            <w:pPr>
              <w:jc w:val="center"/>
              <w:rPr>
                <w:b/>
                <w:bCs/>
                <w:color w:val="000000"/>
                <w:spacing w:val="6"/>
                <w:sz w:val="20"/>
                <w:szCs w:val="20"/>
              </w:rPr>
            </w:pPr>
            <w:r w:rsidRPr="00EB2982">
              <w:rPr>
                <w:b/>
                <w:bCs/>
                <w:color w:val="000000"/>
                <w:spacing w:val="6"/>
                <w:sz w:val="20"/>
                <w:szCs w:val="20"/>
              </w:rPr>
              <w:t>Nominal Percent change in 2019/20</w:t>
            </w:r>
          </w:p>
        </w:tc>
        <w:tc>
          <w:tcPr>
            <w:tcW w:w="992" w:type="dxa"/>
            <w:vMerge w:val="restart"/>
            <w:shd w:val="clear" w:color="auto" w:fill="FDE9D9" w:themeFill="accent6" w:themeFillTint="33"/>
          </w:tcPr>
          <w:p w14:paraId="371A8828" w14:textId="77777777" w:rsidR="008017AD" w:rsidRPr="00EB2982" w:rsidRDefault="008017AD" w:rsidP="002C7C5F">
            <w:pPr>
              <w:jc w:val="center"/>
              <w:rPr>
                <w:b/>
                <w:bCs/>
                <w:color w:val="000000"/>
                <w:spacing w:val="6"/>
                <w:sz w:val="20"/>
                <w:szCs w:val="20"/>
              </w:rPr>
            </w:pPr>
            <w:r w:rsidRPr="00EB2982">
              <w:rPr>
                <w:b/>
                <w:bCs/>
                <w:color w:val="000000"/>
                <w:spacing w:val="6"/>
                <w:sz w:val="20"/>
                <w:szCs w:val="20"/>
              </w:rPr>
              <w:t>Real Percent change in 2019/20</w:t>
            </w:r>
          </w:p>
        </w:tc>
      </w:tr>
      <w:tr w:rsidR="008017AD" w:rsidRPr="00EB2982" w14:paraId="7DE3B07B" w14:textId="77777777" w:rsidTr="002C7C5F">
        <w:trPr>
          <w:trHeight w:val="263"/>
        </w:trPr>
        <w:tc>
          <w:tcPr>
            <w:tcW w:w="2977" w:type="dxa"/>
            <w:vMerge/>
            <w:shd w:val="clear" w:color="auto" w:fill="DBE5F1" w:themeFill="accent1" w:themeFillTint="33"/>
            <w:noWrap/>
            <w:hideMark/>
          </w:tcPr>
          <w:p w14:paraId="0F882AF4" w14:textId="77777777" w:rsidR="008017AD" w:rsidRPr="00EB2982" w:rsidRDefault="008017AD" w:rsidP="002C7C5F">
            <w:pPr>
              <w:rPr>
                <w:b/>
                <w:bCs/>
                <w:color w:val="000000"/>
                <w:spacing w:val="6"/>
                <w:sz w:val="20"/>
                <w:szCs w:val="20"/>
              </w:rPr>
            </w:pPr>
          </w:p>
        </w:tc>
        <w:tc>
          <w:tcPr>
            <w:tcW w:w="1134" w:type="dxa"/>
            <w:shd w:val="clear" w:color="auto" w:fill="FDE9D9" w:themeFill="accent6" w:themeFillTint="33"/>
            <w:noWrap/>
            <w:hideMark/>
          </w:tcPr>
          <w:p w14:paraId="75E491BA" w14:textId="77777777" w:rsidR="008017AD" w:rsidRPr="00EB2982" w:rsidRDefault="008017AD" w:rsidP="002C7C5F">
            <w:pPr>
              <w:jc w:val="center"/>
              <w:rPr>
                <w:b/>
                <w:bCs/>
                <w:color w:val="000000"/>
                <w:spacing w:val="6"/>
                <w:sz w:val="20"/>
                <w:szCs w:val="20"/>
              </w:rPr>
            </w:pPr>
            <w:r w:rsidRPr="00EB2982">
              <w:rPr>
                <w:b/>
                <w:bCs/>
                <w:color w:val="000000"/>
                <w:spacing w:val="6"/>
                <w:sz w:val="20"/>
                <w:szCs w:val="20"/>
              </w:rPr>
              <w:t>2018/19</w:t>
            </w:r>
          </w:p>
        </w:tc>
        <w:tc>
          <w:tcPr>
            <w:tcW w:w="993" w:type="dxa"/>
            <w:shd w:val="clear" w:color="auto" w:fill="FDE9D9" w:themeFill="accent6" w:themeFillTint="33"/>
            <w:noWrap/>
            <w:hideMark/>
          </w:tcPr>
          <w:p w14:paraId="5CB78A86" w14:textId="77777777" w:rsidR="008017AD" w:rsidRPr="00EB2982" w:rsidRDefault="008017AD" w:rsidP="002C7C5F">
            <w:pPr>
              <w:jc w:val="center"/>
              <w:rPr>
                <w:b/>
                <w:bCs/>
                <w:color w:val="000000"/>
                <w:spacing w:val="6"/>
                <w:sz w:val="20"/>
                <w:szCs w:val="20"/>
              </w:rPr>
            </w:pPr>
            <w:r w:rsidRPr="00EB2982">
              <w:rPr>
                <w:b/>
                <w:bCs/>
                <w:color w:val="000000"/>
                <w:spacing w:val="6"/>
                <w:sz w:val="20"/>
                <w:szCs w:val="20"/>
              </w:rPr>
              <w:t>2019/20</w:t>
            </w:r>
          </w:p>
        </w:tc>
        <w:tc>
          <w:tcPr>
            <w:tcW w:w="1275" w:type="dxa"/>
            <w:vMerge/>
          </w:tcPr>
          <w:p w14:paraId="084A1D8F" w14:textId="77777777" w:rsidR="008017AD" w:rsidRPr="00EB2982" w:rsidRDefault="008017AD" w:rsidP="002C7C5F">
            <w:pPr>
              <w:rPr>
                <w:bCs/>
                <w:color w:val="000000"/>
                <w:spacing w:val="6"/>
                <w:sz w:val="20"/>
                <w:szCs w:val="20"/>
              </w:rPr>
            </w:pPr>
          </w:p>
        </w:tc>
        <w:tc>
          <w:tcPr>
            <w:tcW w:w="1276" w:type="dxa"/>
            <w:vMerge/>
          </w:tcPr>
          <w:p w14:paraId="1E5CB97D" w14:textId="77777777" w:rsidR="008017AD" w:rsidRPr="00EB2982" w:rsidRDefault="008017AD" w:rsidP="002C7C5F">
            <w:pPr>
              <w:rPr>
                <w:bCs/>
                <w:color w:val="000000"/>
                <w:spacing w:val="6"/>
                <w:sz w:val="20"/>
                <w:szCs w:val="20"/>
              </w:rPr>
            </w:pPr>
          </w:p>
        </w:tc>
        <w:tc>
          <w:tcPr>
            <w:tcW w:w="1134" w:type="dxa"/>
            <w:vMerge/>
          </w:tcPr>
          <w:p w14:paraId="6644AF46" w14:textId="77777777" w:rsidR="008017AD" w:rsidRPr="00EB2982" w:rsidRDefault="008017AD" w:rsidP="002C7C5F">
            <w:pPr>
              <w:rPr>
                <w:bCs/>
                <w:color w:val="000000"/>
                <w:spacing w:val="6"/>
                <w:sz w:val="20"/>
                <w:szCs w:val="20"/>
              </w:rPr>
            </w:pPr>
          </w:p>
        </w:tc>
        <w:tc>
          <w:tcPr>
            <w:tcW w:w="992" w:type="dxa"/>
            <w:vMerge/>
          </w:tcPr>
          <w:p w14:paraId="7404F97A" w14:textId="77777777" w:rsidR="008017AD" w:rsidRPr="00EB2982" w:rsidRDefault="008017AD" w:rsidP="002C7C5F">
            <w:pPr>
              <w:rPr>
                <w:bCs/>
                <w:color w:val="000000"/>
                <w:spacing w:val="6"/>
                <w:sz w:val="20"/>
                <w:szCs w:val="20"/>
              </w:rPr>
            </w:pPr>
          </w:p>
        </w:tc>
      </w:tr>
      <w:tr w:rsidR="008017AD" w:rsidRPr="00EB2982" w14:paraId="735115BB" w14:textId="77777777" w:rsidTr="002C7C5F">
        <w:trPr>
          <w:trHeight w:val="263"/>
        </w:trPr>
        <w:tc>
          <w:tcPr>
            <w:tcW w:w="2977" w:type="dxa"/>
            <w:noWrap/>
            <w:hideMark/>
          </w:tcPr>
          <w:p w14:paraId="22F665EE" w14:textId="77777777" w:rsidR="008017AD" w:rsidRPr="00EB2982" w:rsidRDefault="008017AD" w:rsidP="002C7C5F">
            <w:pPr>
              <w:rPr>
                <w:color w:val="000000"/>
                <w:spacing w:val="6"/>
                <w:sz w:val="20"/>
                <w:szCs w:val="20"/>
              </w:rPr>
            </w:pPr>
            <w:r w:rsidRPr="00EB2982">
              <w:rPr>
                <w:color w:val="000000"/>
                <w:spacing w:val="6"/>
                <w:sz w:val="20"/>
                <w:szCs w:val="20"/>
              </w:rPr>
              <w:t>Social Policy Research and Development</w:t>
            </w:r>
          </w:p>
        </w:tc>
        <w:tc>
          <w:tcPr>
            <w:tcW w:w="1134" w:type="dxa"/>
            <w:noWrap/>
            <w:hideMark/>
          </w:tcPr>
          <w:p w14:paraId="61B1300E"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5,9</w:t>
            </w:r>
          </w:p>
        </w:tc>
        <w:tc>
          <w:tcPr>
            <w:tcW w:w="993" w:type="dxa"/>
            <w:noWrap/>
            <w:hideMark/>
          </w:tcPr>
          <w:p w14:paraId="658D65B2"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6,3</w:t>
            </w:r>
          </w:p>
        </w:tc>
        <w:tc>
          <w:tcPr>
            <w:tcW w:w="1275" w:type="dxa"/>
            <w:noWrap/>
            <w:hideMark/>
          </w:tcPr>
          <w:p w14:paraId="7C834AFB"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0,4</w:t>
            </w:r>
          </w:p>
        </w:tc>
        <w:tc>
          <w:tcPr>
            <w:tcW w:w="1276" w:type="dxa"/>
            <w:noWrap/>
            <w:hideMark/>
          </w:tcPr>
          <w:p w14:paraId="53E07FE9"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0,1</w:t>
            </w:r>
          </w:p>
        </w:tc>
        <w:tc>
          <w:tcPr>
            <w:tcW w:w="1134" w:type="dxa"/>
            <w:noWrap/>
            <w:hideMark/>
          </w:tcPr>
          <w:p w14:paraId="6697E9E1" w14:textId="77777777" w:rsidR="008017AD" w:rsidRPr="00EB2982" w:rsidRDefault="008017AD" w:rsidP="002C7C5F">
            <w:pPr>
              <w:jc w:val="center"/>
              <w:rPr>
                <w:color w:val="000000"/>
                <w:spacing w:val="6"/>
                <w:sz w:val="20"/>
                <w:szCs w:val="20"/>
              </w:rPr>
            </w:pPr>
            <w:r w:rsidRPr="00EB2982">
              <w:rPr>
                <w:color w:val="000000"/>
                <w:spacing w:val="6"/>
                <w:sz w:val="20"/>
                <w:szCs w:val="20"/>
              </w:rPr>
              <w:t>6,78%</w:t>
            </w:r>
          </w:p>
        </w:tc>
        <w:tc>
          <w:tcPr>
            <w:tcW w:w="992" w:type="dxa"/>
            <w:noWrap/>
            <w:hideMark/>
          </w:tcPr>
          <w:p w14:paraId="6CF44D94" w14:textId="77777777" w:rsidR="008017AD" w:rsidRPr="00EB2982" w:rsidRDefault="008017AD" w:rsidP="002C7C5F">
            <w:pPr>
              <w:jc w:val="center"/>
              <w:rPr>
                <w:color w:val="000000"/>
                <w:spacing w:val="6"/>
                <w:sz w:val="20"/>
                <w:szCs w:val="20"/>
              </w:rPr>
            </w:pPr>
            <w:r w:rsidRPr="00EB2982">
              <w:rPr>
                <w:color w:val="000000"/>
                <w:spacing w:val="6"/>
                <w:sz w:val="20"/>
                <w:szCs w:val="20"/>
              </w:rPr>
              <w:t>1,5%</w:t>
            </w:r>
          </w:p>
        </w:tc>
      </w:tr>
      <w:tr w:rsidR="008017AD" w:rsidRPr="00EB2982" w14:paraId="63DB7DF8" w14:textId="77777777" w:rsidTr="002C7C5F">
        <w:trPr>
          <w:trHeight w:val="263"/>
        </w:trPr>
        <w:tc>
          <w:tcPr>
            <w:tcW w:w="2977" w:type="dxa"/>
            <w:noWrap/>
            <w:hideMark/>
          </w:tcPr>
          <w:p w14:paraId="08BBA797" w14:textId="77777777" w:rsidR="008017AD" w:rsidRPr="00EB2982" w:rsidRDefault="008017AD" w:rsidP="002C7C5F">
            <w:pPr>
              <w:rPr>
                <w:color w:val="000000"/>
                <w:spacing w:val="6"/>
                <w:sz w:val="20"/>
                <w:szCs w:val="20"/>
              </w:rPr>
            </w:pPr>
            <w:r w:rsidRPr="00EB2982">
              <w:rPr>
                <w:color w:val="000000"/>
                <w:spacing w:val="6"/>
                <w:sz w:val="20"/>
                <w:szCs w:val="20"/>
              </w:rPr>
              <w:t>Special Project and Innovation</w:t>
            </w:r>
          </w:p>
        </w:tc>
        <w:tc>
          <w:tcPr>
            <w:tcW w:w="1134" w:type="dxa"/>
            <w:noWrap/>
            <w:hideMark/>
          </w:tcPr>
          <w:p w14:paraId="2218FAB0"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11,0</w:t>
            </w:r>
          </w:p>
        </w:tc>
        <w:tc>
          <w:tcPr>
            <w:tcW w:w="993" w:type="dxa"/>
            <w:noWrap/>
            <w:hideMark/>
          </w:tcPr>
          <w:p w14:paraId="3355F992"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11,8</w:t>
            </w:r>
          </w:p>
        </w:tc>
        <w:tc>
          <w:tcPr>
            <w:tcW w:w="1275" w:type="dxa"/>
            <w:noWrap/>
            <w:hideMark/>
          </w:tcPr>
          <w:p w14:paraId="04542265"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0,8</w:t>
            </w:r>
          </w:p>
        </w:tc>
        <w:tc>
          <w:tcPr>
            <w:tcW w:w="1276" w:type="dxa"/>
            <w:noWrap/>
            <w:hideMark/>
          </w:tcPr>
          <w:p w14:paraId="2AB833B1"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0,2</w:t>
            </w:r>
          </w:p>
        </w:tc>
        <w:tc>
          <w:tcPr>
            <w:tcW w:w="1134" w:type="dxa"/>
            <w:noWrap/>
            <w:hideMark/>
          </w:tcPr>
          <w:p w14:paraId="77A3CD36" w14:textId="77777777" w:rsidR="008017AD" w:rsidRPr="00EB2982" w:rsidRDefault="008017AD" w:rsidP="002C7C5F">
            <w:pPr>
              <w:jc w:val="center"/>
              <w:rPr>
                <w:color w:val="000000"/>
                <w:spacing w:val="6"/>
                <w:sz w:val="20"/>
                <w:szCs w:val="20"/>
              </w:rPr>
            </w:pPr>
            <w:r w:rsidRPr="00EB2982">
              <w:rPr>
                <w:color w:val="000000"/>
                <w:spacing w:val="6"/>
                <w:sz w:val="20"/>
                <w:szCs w:val="20"/>
              </w:rPr>
              <w:t>7,27%</w:t>
            </w:r>
          </w:p>
        </w:tc>
        <w:tc>
          <w:tcPr>
            <w:tcW w:w="992" w:type="dxa"/>
            <w:noWrap/>
            <w:hideMark/>
          </w:tcPr>
          <w:p w14:paraId="62048E7F" w14:textId="77777777" w:rsidR="008017AD" w:rsidRPr="00EB2982" w:rsidRDefault="008017AD" w:rsidP="002C7C5F">
            <w:pPr>
              <w:jc w:val="center"/>
              <w:rPr>
                <w:color w:val="000000"/>
                <w:spacing w:val="6"/>
                <w:sz w:val="20"/>
                <w:szCs w:val="20"/>
              </w:rPr>
            </w:pPr>
            <w:r w:rsidRPr="00EB2982">
              <w:rPr>
                <w:color w:val="000000"/>
                <w:spacing w:val="6"/>
                <w:sz w:val="20"/>
                <w:szCs w:val="20"/>
              </w:rPr>
              <w:t>1,97%</w:t>
            </w:r>
          </w:p>
        </w:tc>
      </w:tr>
      <w:tr w:rsidR="008017AD" w:rsidRPr="00EB2982" w14:paraId="37EAA546" w14:textId="77777777" w:rsidTr="002C7C5F">
        <w:trPr>
          <w:trHeight w:val="263"/>
        </w:trPr>
        <w:tc>
          <w:tcPr>
            <w:tcW w:w="2977" w:type="dxa"/>
            <w:noWrap/>
            <w:hideMark/>
          </w:tcPr>
          <w:p w14:paraId="767C7925" w14:textId="77777777" w:rsidR="008017AD" w:rsidRPr="00EB2982" w:rsidRDefault="008017AD" w:rsidP="002C7C5F">
            <w:pPr>
              <w:rPr>
                <w:color w:val="000000"/>
                <w:spacing w:val="6"/>
                <w:sz w:val="20"/>
                <w:szCs w:val="20"/>
              </w:rPr>
            </w:pPr>
            <w:r w:rsidRPr="00EB2982">
              <w:rPr>
                <w:color w:val="000000"/>
                <w:spacing w:val="6"/>
                <w:sz w:val="20"/>
                <w:szCs w:val="20"/>
              </w:rPr>
              <w:t>Population Policy Promotion</w:t>
            </w:r>
          </w:p>
        </w:tc>
        <w:tc>
          <w:tcPr>
            <w:tcW w:w="1134" w:type="dxa"/>
            <w:noWrap/>
            <w:hideMark/>
          </w:tcPr>
          <w:p w14:paraId="2040696B"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34,5</w:t>
            </w:r>
          </w:p>
        </w:tc>
        <w:tc>
          <w:tcPr>
            <w:tcW w:w="993" w:type="dxa"/>
            <w:noWrap/>
            <w:hideMark/>
          </w:tcPr>
          <w:p w14:paraId="6218F3C7"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36,9</w:t>
            </w:r>
          </w:p>
        </w:tc>
        <w:tc>
          <w:tcPr>
            <w:tcW w:w="1275" w:type="dxa"/>
            <w:noWrap/>
            <w:hideMark/>
          </w:tcPr>
          <w:p w14:paraId="724D0530"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2,4</w:t>
            </w:r>
          </w:p>
        </w:tc>
        <w:tc>
          <w:tcPr>
            <w:tcW w:w="1276" w:type="dxa"/>
            <w:noWrap/>
            <w:hideMark/>
          </w:tcPr>
          <w:p w14:paraId="0FCCF1DC"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0,6</w:t>
            </w:r>
          </w:p>
        </w:tc>
        <w:tc>
          <w:tcPr>
            <w:tcW w:w="1134" w:type="dxa"/>
            <w:noWrap/>
            <w:hideMark/>
          </w:tcPr>
          <w:p w14:paraId="44673C4B" w14:textId="77777777" w:rsidR="008017AD" w:rsidRPr="00EB2982" w:rsidRDefault="008017AD" w:rsidP="002C7C5F">
            <w:pPr>
              <w:jc w:val="center"/>
              <w:rPr>
                <w:color w:val="000000"/>
                <w:spacing w:val="6"/>
                <w:sz w:val="20"/>
                <w:szCs w:val="20"/>
              </w:rPr>
            </w:pPr>
            <w:r w:rsidRPr="00EB2982">
              <w:rPr>
                <w:color w:val="000000"/>
                <w:spacing w:val="6"/>
                <w:sz w:val="20"/>
                <w:szCs w:val="20"/>
              </w:rPr>
              <w:t>6,96%</w:t>
            </w:r>
          </w:p>
        </w:tc>
        <w:tc>
          <w:tcPr>
            <w:tcW w:w="992" w:type="dxa"/>
            <w:noWrap/>
            <w:hideMark/>
          </w:tcPr>
          <w:p w14:paraId="4780EC00" w14:textId="77777777" w:rsidR="008017AD" w:rsidRPr="00EB2982" w:rsidRDefault="008017AD" w:rsidP="002C7C5F">
            <w:pPr>
              <w:jc w:val="center"/>
              <w:rPr>
                <w:color w:val="000000"/>
                <w:spacing w:val="6"/>
                <w:sz w:val="20"/>
                <w:szCs w:val="20"/>
              </w:rPr>
            </w:pPr>
            <w:r w:rsidRPr="00EB2982">
              <w:rPr>
                <w:color w:val="000000"/>
                <w:spacing w:val="6"/>
                <w:sz w:val="20"/>
                <w:szCs w:val="20"/>
              </w:rPr>
              <w:t>1,67%</w:t>
            </w:r>
          </w:p>
        </w:tc>
      </w:tr>
      <w:tr w:rsidR="008017AD" w:rsidRPr="00EB2982" w14:paraId="45CCA345" w14:textId="77777777" w:rsidTr="002C7C5F">
        <w:trPr>
          <w:trHeight w:val="263"/>
        </w:trPr>
        <w:tc>
          <w:tcPr>
            <w:tcW w:w="2977" w:type="dxa"/>
            <w:noWrap/>
            <w:hideMark/>
          </w:tcPr>
          <w:p w14:paraId="3FD35023" w14:textId="77777777" w:rsidR="008017AD" w:rsidRPr="00EB2982" w:rsidRDefault="008017AD" w:rsidP="002C7C5F">
            <w:pPr>
              <w:rPr>
                <w:color w:val="000000"/>
                <w:spacing w:val="6"/>
                <w:sz w:val="20"/>
                <w:szCs w:val="20"/>
              </w:rPr>
            </w:pPr>
            <w:r w:rsidRPr="00EB2982">
              <w:rPr>
                <w:color w:val="000000"/>
                <w:spacing w:val="6"/>
                <w:sz w:val="20"/>
                <w:szCs w:val="20"/>
              </w:rPr>
              <w:t>Registration  and Monitoring of No-profit Organisations</w:t>
            </w:r>
          </w:p>
        </w:tc>
        <w:tc>
          <w:tcPr>
            <w:tcW w:w="1134" w:type="dxa"/>
            <w:noWrap/>
            <w:hideMark/>
          </w:tcPr>
          <w:p w14:paraId="28B62329"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37,5</w:t>
            </w:r>
          </w:p>
        </w:tc>
        <w:tc>
          <w:tcPr>
            <w:tcW w:w="993" w:type="dxa"/>
            <w:noWrap/>
            <w:hideMark/>
          </w:tcPr>
          <w:p w14:paraId="6E6FAA91"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40,1</w:t>
            </w:r>
          </w:p>
        </w:tc>
        <w:tc>
          <w:tcPr>
            <w:tcW w:w="1275" w:type="dxa"/>
            <w:noWrap/>
            <w:hideMark/>
          </w:tcPr>
          <w:p w14:paraId="4CEF723D"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2,6</w:t>
            </w:r>
          </w:p>
        </w:tc>
        <w:tc>
          <w:tcPr>
            <w:tcW w:w="1276" w:type="dxa"/>
            <w:noWrap/>
            <w:hideMark/>
          </w:tcPr>
          <w:p w14:paraId="18FE67DA"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0,6</w:t>
            </w:r>
          </w:p>
        </w:tc>
        <w:tc>
          <w:tcPr>
            <w:tcW w:w="1134" w:type="dxa"/>
            <w:noWrap/>
            <w:hideMark/>
          </w:tcPr>
          <w:p w14:paraId="72E2D9ED" w14:textId="77777777" w:rsidR="008017AD" w:rsidRPr="00EB2982" w:rsidRDefault="008017AD" w:rsidP="002C7C5F">
            <w:pPr>
              <w:jc w:val="center"/>
              <w:rPr>
                <w:color w:val="000000"/>
                <w:spacing w:val="6"/>
                <w:sz w:val="20"/>
                <w:szCs w:val="20"/>
              </w:rPr>
            </w:pPr>
            <w:r w:rsidRPr="00EB2982">
              <w:rPr>
                <w:color w:val="000000"/>
                <w:spacing w:val="6"/>
                <w:sz w:val="20"/>
                <w:szCs w:val="20"/>
              </w:rPr>
              <w:t>6,93%</w:t>
            </w:r>
          </w:p>
        </w:tc>
        <w:tc>
          <w:tcPr>
            <w:tcW w:w="992" w:type="dxa"/>
            <w:noWrap/>
            <w:hideMark/>
          </w:tcPr>
          <w:p w14:paraId="03CF6119" w14:textId="77777777" w:rsidR="008017AD" w:rsidRPr="00EB2982" w:rsidRDefault="008017AD" w:rsidP="002C7C5F">
            <w:pPr>
              <w:jc w:val="center"/>
              <w:rPr>
                <w:color w:val="000000"/>
                <w:spacing w:val="6"/>
                <w:sz w:val="20"/>
                <w:szCs w:val="20"/>
              </w:rPr>
            </w:pPr>
            <w:r w:rsidRPr="00EB2982">
              <w:rPr>
                <w:color w:val="000000"/>
                <w:spacing w:val="6"/>
                <w:sz w:val="20"/>
                <w:szCs w:val="20"/>
              </w:rPr>
              <w:t>1,65%</w:t>
            </w:r>
          </w:p>
        </w:tc>
      </w:tr>
      <w:tr w:rsidR="008017AD" w:rsidRPr="00EB2982" w14:paraId="46199E84" w14:textId="77777777" w:rsidTr="002C7C5F">
        <w:trPr>
          <w:trHeight w:val="263"/>
        </w:trPr>
        <w:tc>
          <w:tcPr>
            <w:tcW w:w="2977" w:type="dxa"/>
            <w:noWrap/>
            <w:hideMark/>
          </w:tcPr>
          <w:p w14:paraId="56A067D4" w14:textId="77777777" w:rsidR="008017AD" w:rsidRPr="00EB2982" w:rsidRDefault="008017AD" w:rsidP="002C7C5F">
            <w:pPr>
              <w:rPr>
                <w:color w:val="000000"/>
                <w:spacing w:val="6"/>
                <w:sz w:val="20"/>
                <w:szCs w:val="20"/>
              </w:rPr>
            </w:pPr>
            <w:r w:rsidRPr="00EB2982">
              <w:rPr>
                <w:color w:val="000000"/>
                <w:spacing w:val="6"/>
                <w:sz w:val="20"/>
                <w:szCs w:val="20"/>
              </w:rPr>
              <w:t>Substance Abuse Advisory Services and Oversight</w:t>
            </w:r>
          </w:p>
        </w:tc>
        <w:tc>
          <w:tcPr>
            <w:tcW w:w="1134" w:type="dxa"/>
            <w:noWrap/>
            <w:hideMark/>
          </w:tcPr>
          <w:p w14:paraId="62BC2115"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6,2</w:t>
            </w:r>
          </w:p>
        </w:tc>
        <w:tc>
          <w:tcPr>
            <w:tcW w:w="993" w:type="dxa"/>
            <w:noWrap/>
            <w:hideMark/>
          </w:tcPr>
          <w:p w14:paraId="664E0023"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6,6</w:t>
            </w:r>
          </w:p>
        </w:tc>
        <w:tc>
          <w:tcPr>
            <w:tcW w:w="1275" w:type="dxa"/>
            <w:noWrap/>
            <w:hideMark/>
          </w:tcPr>
          <w:p w14:paraId="596832ED"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0,4</w:t>
            </w:r>
          </w:p>
        </w:tc>
        <w:tc>
          <w:tcPr>
            <w:tcW w:w="1276" w:type="dxa"/>
            <w:noWrap/>
            <w:hideMark/>
          </w:tcPr>
          <w:p w14:paraId="0D76A3BD"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0,1</w:t>
            </w:r>
          </w:p>
        </w:tc>
        <w:tc>
          <w:tcPr>
            <w:tcW w:w="1134" w:type="dxa"/>
            <w:noWrap/>
            <w:hideMark/>
          </w:tcPr>
          <w:p w14:paraId="1B7443E2" w14:textId="77777777" w:rsidR="008017AD" w:rsidRPr="00EB2982" w:rsidRDefault="008017AD" w:rsidP="002C7C5F">
            <w:pPr>
              <w:jc w:val="center"/>
              <w:rPr>
                <w:color w:val="000000"/>
                <w:spacing w:val="6"/>
                <w:sz w:val="20"/>
                <w:szCs w:val="20"/>
              </w:rPr>
            </w:pPr>
            <w:r w:rsidRPr="00EB2982">
              <w:rPr>
                <w:color w:val="000000"/>
                <w:spacing w:val="6"/>
                <w:sz w:val="20"/>
                <w:szCs w:val="20"/>
              </w:rPr>
              <w:t>6,45%</w:t>
            </w:r>
          </w:p>
        </w:tc>
        <w:tc>
          <w:tcPr>
            <w:tcW w:w="992" w:type="dxa"/>
            <w:noWrap/>
            <w:hideMark/>
          </w:tcPr>
          <w:p w14:paraId="565CEDBF" w14:textId="77777777" w:rsidR="008017AD" w:rsidRPr="00EB2982" w:rsidRDefault="008017AD" w:rsidP="002C7C5F">
            <w:pPr>
              <w:jc w:val="center"/>
              <w:rPr>
                <w:color w:val="000000"/>
                <w:spacing w:val="6"/>
                <w:sz w:val="20"/>
                <w:szCs w:val="20"/>
              </w:rPr>
            </w:pPr>
            <w:r w:rsidRPr="00EB2982">
              <w:rPr>
                <w:color w:val="000000"/>
                <w:spacing w:val="6"/>
                <w:sz w:val="20"/>
                <w:szCs w:val="20"/>
              </w:rPr>
              <w:t>1,19%</w:t>
            </w:r>
          </w:p>
        </w:tc>
      </w:tr>
      <w:tr w:rsidR="008017AD" w:rsidRPr="00EB2982" w14:paraId="0F2DE1C0" w14:textId="77777777" w:rsidTr="002C7C5F">
        <w:trPr>
          <w:trHeight w:val="263"/>
        </w:trPr>
        <w:tc>
          <w:tcPr>
            <w:tcW w:w="2977" w:type="dxa"/>
            <w:noWrap/>
            <w:hideMark/>
          </w:tcPr>
          <w:p w14:paraId="5FE2F788" w14:textId="77777777" w:rsidR="008017AD" w:rsidRPr="00EB2982" w:rsidRDefault="008017AD" w:rsidP="002C7C5F">
            <w:pPr>
              <w:rPr>
                <w:color w:val="000000"/>
                <w:spacing w:val="6"/>
                <w:sz w:val="20"/>
                <w:szCs w:val="20"/>
              </w:rPr>
            </w:pPr>
            <w:r w:rsidRPr="00EB2982">
              <w:rPr>
                <w:color w:val="000000"/>
                <w:spacing w:val="6"/>
                <w:sz w:val="20"/>
                <w:szCs w:val="20"/>
              </w:rPr>
              <w:t>Community Development</w:t>
            </w:r>
          </w:p>
        </w:tc>
        <w:tc>
          <w:tcPr>
            <w:tcW w:w="1134" w:type="dxa"/>
            <w:noWrap/>
            <w:hideMark/>
          </w:tcPr>
          <w:p w14:paraId="213F047C"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91,2</w:t>
            </w:r>
          </w:p>
        </w:tc>
        <w:tc>
          <w:tcPr>
            <w:tcW w:w="993" w:type="dxa"/>
            <w:noWrap/>
            <w:hideMark/>
          </w:tcPr>
          <w:p w14:paraId="099BC7FE"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95,5</w:t>
            </w:r>
          </w:p>
        </w:tc>
        <w:tc>
          <w:tcPr>
            <w:tcW w:w="1275" w:type="dxa"/>
            <w:noWrap/>
            <w:hideMark/>
          </w:tcPr>
          <w:p w14:paraId="3853FE91"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4,3</w:t>
            </w:r>
          </w:p>
        </w:tc>
        <w:tc>
          <w:tcPr>
            <w:tcW w:w="1276" w:type="dxa"/>
            <w:noWrap/>
            <w:hideMark/>
          </w:tcPr>
          <w:p w14:paraId="0959C95C" w14:textId="77777777" w:rsidR="008017AD" w:rsidRPr="00EB2982" w:rsidRDefault="008017AD" w:rsidP="002C7C5F">
            <w:pPr>
              <w:jc w:val="right"/>
              <w:rPr>
                <w:color w:val="000000"/>
                <w:spacing w:val="6"/>
                <w:sz w:val="20"/>
                <w:szCs w:val="20"/>
              </w:rPr>
            </w:pPr>
            <w:r w:rsidRPr="00EB2982">
              <w:rPr>
                <w:color w:val="000000"/>
                <w:spacing w:val="6"/>
                <w:sz w:val="20"/>
                <w:szCs w:val="20"/>
              </w:rPr>
              <w:t>-  0,4</w:t>
            </w:r>
          </w:p>
        </w:tc>
        <w:tc>
          <w:tcPr>
            <w:tcW w:w="1134" w:type="dxa"/>
            <w:noWrap/>
            <w:hideMark/>
          </w:tcPr>
          <w:p w14:paraId="548E893D" w14:textId="77777777" w:rsidR="008017AD" w:rsidRPr="00EB2982" w:rsidRDefault="008017AD" w:rsidP="002C7C5F">
            <w:pPr>
              <w:jc w:val="center"/>
              <w:rPr>
                <w:color w:val="000000"/>
                <w:spacing w:val="6"/>
                <w:sz w:val="20"/>
                <w:szCs w:val="20"/>
              </w:rPr>
            </w:pPr>
            <w:r w:rsidRPr="00EB2982">
              <w:rPr>
                <w:color w:val="000000"/>
                <w:spacing w:val="6"/>
                <w:sz w:val="20"/>
                <w:szCs w:val="20"/>
              </w:rPr>
              <w:t>4,71%</w:t>
            </w:r>
          </w:p>
        </w:tc>
        <w:tc>
          <w:tcPr>
            <w:tcW w:w="992" w:type="dxa"/>
            <w:noWrap/>
            <w:hideMark/>
          </w:tcPr>
          <w:p w14:paraId="7B33D98D" w14:textId="77777777" w:rsidR="008017AD" w:rsidRPr="00EB2982" w:rsidRDefault="008017AD" w:rsidP="002C7C5F">
            <w:pPr>
              <w:jc w:val="center"/>
              <w:rPr>
                <w:color w:val="000000"/>
                <w:spacing w:val="6"/>
                <w:sz w:val="20"/>
                <w:szCs w:val="20"/>
              </w:rPr>
            </w:pPr>
            <w:r w:rsidRPr="00EB2982">
              <w:rPr>
                <w:color w:val="000000"/>
                <w:spacing w:val="6"/>
                <w:sz w:val="20"/>
                <w:szCs w:val="20"/>
              </w:rPr>
              <w:t>-0,46%</w:t>
            </w:r>
          </w:p>
        </w:tc>
      </w:tr>
      <w:tr w:rsidR="008017AD" w:rsidRPr="00EB2982" w14:paraId="38782996" w14:textId="77777777" w:rsidTr="002C7C5F">
        <w:trPr>
          <w:trHeight w:val="263"/>
        </w:trPr>
        <w:tc>
          <w:tcPr>
            <w:tcW w:w="2977" w:type="dxa"/>
            <w:noWrap/>
            <w:hideMark/>
          </w:tcPr>
          <w:p w14:paraId="6E3A2909" w14:textId="77777777" w:rsidR="008017AD" w:rsidRPr="00EB2982" w:rsidRDefault="008017AD" w:rsidP="002C7C5F">
            <w:pPr>
              <w:rPr>
                <w:color w:val="000000"/>
                <w:spacing w:val="6"/>
                <w:sz w:val="20"/>
                <w:szCs w:val="20"/>
              </w:rPr>
            </w:pPr>
            <w:r w:rsidRPr="00EB2982">
              <w:rPr>
                <w:color w:val="000000"/>
                <w:spacing w:val="6"/>
                <w:sz w:val="20"/>
                <w:szCs w:val="20"/>
              </w:rPr>
              <w:t>National Development Agency</w:t>
            </w:r>
          </w:p>
        </w:tc>
        <w:tc>
          <w:tcPr>
            <w:tcW w:w="1134" w:type="dxa"/>
            <w:noWrap/>
            <w:hideMark/>
          </w:tcPr>
          <w:p w14:paraId="48453781"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202,6</w:t>
            </w:r>
          </w:p>
        </w:tc>
        <w:tc>
          <w:tcPr>
            <w:tcW w:w="993" w:type="dxa"/>
            <w:noWrap/>
            <w:hideMark/>
          </w:tcPr>
          <w:p w14:paraId="226F25CF"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212,4</w:t>
            </w:r>
          </w:p>
        </w:tc>
        <w:tc>
          <w:tcPr>
            <w:tcW w:w="1275" w:type="dxa"/>
            <w:noWrap/>
            <w:hideMark/>
          </w:tcPr>
          <w:p w14:paraId="1D0A36CA"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9,8</w:t>
            </w:r>
          </w:p>
        </w:tc>
        <w:tc>
          <w:tcPr>
            <w:tcW w:w="1276" w:type="dxa"/>
            <w:noWrap/>
            <w:hideMark/>
          </w:tcPr>
          <w:p w14:paraId="2BE4ACE4" w14:textId="77777777" w:rsidR="008017AD" w:rsidRPr="00EB2982" w:rsidRDefault="008017AD" w:rsidP="002C7C5F">
            <w:pPr>
              <w:jc w:val="right"/>
              <w:rPr>
                <w:color w:val="000000"/>
                <w:spacing w:val="6"/>
                <w:sz w:val="20"/>
                <w:szCs w:val="20"/>
              </w:rPr>
            </w:pPr>
            <w:r w:rsidRPr="00EB2982">
              <w:rPr>
                <w:color w:val="000000"/>
                <w:spacing w:val="6"/>
                <w:sz w:val="20"/>
                <w:szCs w:val="20"/>
              </w:rPr>
              <w:t>-  0,7</w:t>
            </w:r>
          </w:p>
        </w:tc>
        <w:tc>
          <w:tcPr>
            <w:tcW w:w="1134" w:type="dxa"/>
            <w:noWrap/>
            <w:hideMark/>
          </w:tcPr>
          <w:p w14:paraId="7EC96192" w14:textId="77777777" w:rsidR="008017AD" w:rsidRPr="00EB2982" w:rsidRDefault="008017AD" w:rsidP="002C7C5F">
            <w:pPr>
              <w:jc w:val="center"/>
              <w:rPr>
                <w:color w:val="000000"/>
                <w:spacing w:val="6"/>
                <w:sz w:val="20"/>
                <w:szCs w:val="20"/>
              </w:rPr>
            </w:pPr>
            <w:r w:rsidRPr="00EB2982">
              <w:rPr>
                <w:color w:val="000000"/>
                <w:spacing w:val="6"/>
                <w:sz w:val="20"/>
                <w:szCs w:val="20"/>
              </w:rPr>
              <w:t>4,84%</w:t>
            </w:r>
          </w:p>
        </w:tc>
        <w:tc>
          <w:tcPr>
            <w:tcW w:w="992" w:type="dxa"/>
            <w:noWrap/>
            <w:hideMark/>
          </w:tcPr>
          <w:p w14:paraId="0EB10777" w14:textId="77777777" w:rsidR="008017AD" w:rsidRPr="00EB2982" w:rsidRDefault="008017AD" w:rsidP="002C7C5F">
            <w:pPr>
              <w:jc w:val="center"/>
              <w:rPr>
                <w:color w:val="000000"/>
                <w:spacing w:val="6"/>
                <w:sz w:val="20"/>
                <w:szCs w:val="20"/>
              </w:rPr>
            </w:pPr>
            <w:r w:rsidRPr="00EB2982">
              <w:rPr>
                <w:color w:val="000000"/>
                <w:spacing w:val="6"/>
                <w:sz w:val="20"/>
                <w:szCs w:val="20"/>
              </w:rPr>
              <w:t>-0,34%</w:t>
            </w:r>
          </w:p>
        </w:tc>
      </w:tr>
      <w:tr w:rsidR="008017AD" w:rsidRPr="00EB2982" w14:paraId="19794122" w14:textId="77777777" w:rsidTr="002C7C5F">
        <w:trPr>
          <w:trHeight w:val="263"/>
        </w:trPr>
        <w:tc>
          <w:tcPr>
            <w:tcW w:w="2977" w:type="dxa"/>
            <w:noWrap/>
            <w:hideMark/>
          </w:tcPr>
          <w:p w14:paraId="74E032A9" w14:textId="77777777" w:rsidR="008017AD" w:rsidRPr="00EB2982" w:rsidRDefault="008017AD" w:rsidP="002C7C5F">
            <w:pPr>
              <w:rPr>
                <w:color w:val="000000"/>
                <w:spacing w:val="6"/>
                <w:sz w:val="20"/>
                <w:szCs w:val="20"/>
              </w:rPr>
            </w:pPr>
            <w:r w:rsidRPr="00EB2982">
              <w:rPr>
                <w:color w:val="000000"/>
                <w:spacing w:val="6"/>
                <w:sz w:val="20"/>
                <w:szCs w:val="20"/>
              </w:rPr>
              <w:t>Programme Management</w:t>
            </w:r>
          </w:p>
        </w:tc>
        <w:tc>
          <w:tcPr>
            <w:tcW w:w="1134" w:type="dxa"/>
            <w:noWrap/>
            <w:hideMark/>
          </w:tcPr>
          <w:p w14:paraId="58046F0F"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3,5</w:t>
            </w:r>
          </w:p>
        </w:tc>
        <w:tc>
          <w:tcPr>
            <w:tcW w:w="993" w:type="dxa"/>
            <w:noWrap/>
            <w:hideMark/>
          </w:tcPr>
          <w:p w14:paraId="3D25816B"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3,7</w:t>
            </w:r>
          </w:p>
        </w:tc>
        <w:tc>
          <w:tcPr>
            <w:tcW w:w="1275" w:type="dxa"/>
            <w:noWrap/>
            <w:hideMark/>
          </w:tcPr>
          <w:p w14:paraId="62E2C015"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0,2</w:t>
            </w:r>
          </w:p>
        </w:tc>
        <w:tc>
          <w:tcPr>
            <w:tcW w:w="1276" w:type="dxa"/>
            <w:noWrap/>
            <w:hideMark/>
          </w:tcPr>
          <w:p w14:paraId="2FEFDA25" w14:textId="77777777" w:rsidR="008017AD" w:rsidRPr="00EB2982" w:rsidRDefault="008017AD" w:rsidP="002C7C5F">
            <w:pPr>
              <w:jc w:val="right"/>
              <w:rPr>
                <w:color w:val="000000"/>
                <w:spacing w:val="6"/>
                <w:sz w:val="20"/>
                <w:szCs w:val="20"/>
              </w:rPr>
            </w:pPr>
            <w:r w:rsidRPr="00EB2982">
              <w:rPr>
                <w:color w:val="000000"/>
                <w:spacing w:val="6"/>
                <w:sz w:val="20"/>
                <w:szCs w:val="20"/>
              </w:rPr>
              <w:t xml:space="preserve">  0,0</w:t>
            </w:r>
          </w:p>
        </w:tc>
        <w:tc>
          <w:tcPr>
            <w:tcW w:w="1134" w:type="dxa"/>
            <w:noWrap/>
            <w:hideMark/>
          </w:tcPr>
          <w:p w14:paraId="1F90823A" w14:textId="77777777" w:rsidR="008017AD" w:rsidRPr="00EB2982" w:rsidRDefault="008017AD" w:rsidP="002C7C5F">
            <w:pPr>
              <w:jc w:val="center"/>
              <w:rPr>
                <w:color w:val="000000"/>
                <w:spacing w:val="6"/>
                <w:sz w:val="20"/>
                <w:szCs w:val="20"/>
              </w:rPr>
            </w:pPr>
            <w:r w:rsidRPr="00EB2982">
              <w:rPr>
                <w:color w:val="000000"/>
                <w:spacing w:val="6"/>
                <w:sz w:val="20"/>
                <w:szCs w:val="20"/>
              </w:rPr>
              <w:t>5,71%</w:t>
            </w:r>
          </w:p>
        </w:tc>
        <w:tc>
          <w:tcPr>
            <w:tcW w:w="992" w:type="dxa"/>
            <w:noWrap/>
            <w:hideMark/>
          </w:tcPr>
          <w:p w14:paraId="05E0BB2C" w14:textId="77777777" w:rsidR="008017AD" w:rsidRPr="00EB2982" w:rsidRDefault="008017AD" w:rsidP="002C7C5F">
            <w:pPr>
              <w:jc w:val="center"/>
              <w:rPr>
                <w:color w:val="000000"/>
                <w:spacing w:val="6"/>
                <w:sz w:val="20"/>
                <w:szCs w:val="20"/>
              </w:rPr>
            </w:pPr>
            <w:r w:rsidRPr="00EB2982">
              <w:rPr>
                <w:color w:val="000000"/>
                <w:spacing w:val="6"/>
                <w:sz w:val="20"/>
                <w:szCs w:val="20"/>
              </w:rPr>
              <w:t>0,49%</w:t>
            </w:r>
          </w:p>
        </w:tc>
      </w:tr>
      <w:tr w:rsidR="008017AD" w:rsidRPr="00EB2982" w14:paraId="51EDFCA4" w14:textId="77777777" w:rsidTr="002C7C5F">
        <w:trPr>
          <w:trHeight w:val="263"/>
        </w:trPr>
        <w:tc>
          <w:tcPr>
            <w:tcW w:w="2977" w:type="dxa"/>
            <w:noWrap/>
            <w:hideMark/>
          </w:tcPr>
          <w:p w14:paraId="5BC46707" w14:textId="77777777" w:rsidR="008017AD" w:rsidRPr="00EB2982" w:rsidRDefault="008017AD" w:rsidP="002C7C5F">
            <w:pPr>
              <w:rPr>
                <w:b/>
                <w:color w:val="000000"/>
                <w:spacing w:val="6"/>
                <w:sz w:val="20"/>
                <w:szCs w:val="20"/>
              </w:rPr>
            </w:pPr>
            <w:r w:rsidRPr="00EB2982">
              <w:rPr>
                <w:b/>
                <w:color w:val="000000"/>
                <w:spacing w:val="6"/>
                <w:sz w:val="20"/>
                <w:szCs w:val="20"/>
              </w:rPr>
              <w:t>TOTAL</w:t>
            </w:r>
          </w:p>
        </w:tc>
        <w:tc>
          <w:tcPr>
            <w:tcW w:w="1134" w:type="dxa"/>
            <w:noWrap/>
            <w:hideMark/>
          </w:tcPr>
          <w:p w14:paraId="18B161CB" w14:textId="77777777" w:rsidR="008017AD" w:rsidRPr="00EB2982" w:rsidRDefault="008017AD" w:rsidP="002C7C5F">
            <w:pPr>
              <w:jc w:val="right"/>
              <w:rPr>
                <w:b/>
                <w:color w:val="000000"/>
                <w:spacing w:val="6"/>
                <w:sz w:val="20"/>
                <w:szCs w:val="20"/>
              </w:rPr>
            </w:pPr>
            <w:r w:rsidRPr="00EB2982">
              <w:rPr>
                <w:b/>
                <w:color w:val="000000"/>
                <w:spacing w:val="6"/>
                <w:sz w:val="20"/>
                <w:szCs w:val="20"/>
              </w:rPr>
              <w:t xml:space="preserve">  392,3</w:t>
            </w:r>
          </w:p>
        </w:tc>
        <w:tc>
          <w:tcPr>
            <w:tcW w:w="993" w:type="dxa"/>
            <w:noWrap/>
            <w:hideMark/>
          </w:tcPr>
          <w:p w14:paraId="680171F3" w14:textId="77777777" w:rsidR="008017AD" w:rsidRPr="00EB2982" w:rsidRDefault="008017AD" w:rsidP="002C7C5F">
            <w:pPr>
              <w:jc w:val="right"/>
              <w:rPr>
                <w:b/>
                <w:color w:val="000000"/>
                <w:spacing w:val="6"/>
                <w:sz w:val="20"/>
                <w:szCs w:val="20"/>
              </w:rPr>
            </w:pPr>
            <w:r w:rsidRPr="00EB2982">
              <w:rPr>
                <w:b/>
                <w:color w:val="000000"/>
                <w:spacing w:val="6"/>
                <w:sz w:val="20"/>
                <w:szCs w:val="20"/>
              </w:rPr>
              <w:t xml:space="preserve">  413,3</w:t>
            </w:r>
          </w:p>
        </w:tc>
        <w:tc>
          <w:tcPr>
            <w:tcW w:w="1275" w:type="dxa"/>
            <w:noWrap/>
            <w:hideMark/>
          </w:tcPr>
          <w:p w14:paraId="1A7D62E1" w14:textId="77777777" w:rsidR="008017AD" w:rsidRPr="00EB2982" w:rsidRDefault="008017AD" w:rsidP="002C7C5F">
            <w:pPr>
              <w:jc w:val="right"/>
              <w:rPr>
                <w:b/>
                <w:color w:val="000000"/>
                <w:spacing w:val="6"/>
                <w:sz w:val="20"/>
                <w:szCs w:val="20"/>
              </w:rPr>
            </w:pPr>
            <w:r w:rsidRPr="00EB2982">
              <w:rPr>
                <w:b/>
                <w:color w:val="000000"/>
                <w:spacing w:val="6"/>
                <w:sz w:val="20"/>
                <w:szCs w:val="20"/>
              </w:rPr>
              <w:t xml:space="preserve">  21,0</w:t>
            </w:r>
          </w:p>
        </w:tc>
        <w:tc>
          <w:tcPr>
            <w:tcW w:w="1276" w:type="dxa"/>
            <w:noWrap/>
            <w:hideMark/>
          </w:tcPr>
          <w:p w14:paraId="5746FEEB" w14:textId="77777777" w:rsidR="008017AD" w:rsidRPr="00EB2982" w:rsidRDefault="008017AD" w:rsidP="002C7C5F">
            <w:pPr>
              <w:jc w:val="right"/>
              <w:rPr>
                <w:b/>
                <w:color w:val="000000"/>
                <w:spacing w:val="6"/>
                <w:sz w:val="20"/>
                <w:szCs w:val="20"/>
              </w:rPr>
            </w:pPr>
            <w:r w:rsidRPr="00EB2982">
              <w:rPr>
                <w:b/>
                <w:color w:val="000000"/>
                <w:spacing w:val="6"/>
                <w:sz w:val="20"/>
                <w:szCs w:val="20"/>
              </w:rPr>
              <w:t xml:space="preserve">  0,6</w:t>
            </w:r>
          </w:p>
        </w:tc>
        <w:tc>
          <w:tcPr>
            <w:tcW w:w="1134" w:type="dxa"/>
            <w:noWrap/>
            <w:hideMark/>
          </w:tcPr>
          <w:p w14:paraId="59AE6B84" w14:textId="77777777" w:rsidR="008017AD" w:rsidRPr="00EB2982" w:rsidRDefault="008017AD" w:rsidP="002C7C5F">
            <w:pPr>
              <w:jc w:val="center"/>
              <w:rPr>
                <w:b/>
                <w:color w:val="000000"/>
                <w:spacing w:val="6"/>
                <w:sz w:val="20"/>
                <w:szCs w:val="20"/>
              </w:rPr>
            </w:pPr>
            <w:r w:rsidRPr="00EB2982">
              <w:rPr>
                <w:b/>
                <w:color w:val="000000"/>
                <w:spacing w:val="6"/>
                <w:sz w:val="20"/>
                <w:szCs w:val="20"/>
              </w:rPr>
              <w:t>5,4%</w:t>
            </w:r>
          </w:p>
        </w:tc>
        <w:tc>
          <w:tcPr>
            <w:tcW w:w="992" w:type="dxa"/>
            <w:noWrap/>
            <w:hideMark/>
          </w:tcPr>
          <w:p w14:paraId="135F813F" w14:textId="77777777" w:rsidR="008017AD" w:rsidRPr="00EB2982" w:rsidRDefault="008017AD" w:rsidP="002C7C5F">
            <w:pPr>
              <w:jc w:val="center"/>
              <w:rPr>
                <w:b/>
                <w:color w:val="000000"/>
                <w:spacing w:val="6"/>
                <w:sz w:val="20"/>
                <w:szCs w:val="20"/>
              </w:rPr>
            </w:pPr>
            <w:r w:rsidRPr="00EB2982">
              <w:rPr>
                <w:b/>
                <w:color w:val="000000"/>
                <w:spacing w:val="6"/>
                <w:sz w:val="20"/>
                <w:szCs w:val="20"/>
              </w:rPr>
              <w:t>0,15%</w:t>
            </w:r>
          </w:p>
        </w:tc>
      </w:tr>
    </w:tbl>
    <w:p w14:paraId="3202069B" w14:textId="77777777" w:rsidR="008017AD" w:rsidRPr="00EB2982" w:rsidRDefault="008017AD" w:rsidP="008017AD">
      <w:pPr>
        <w:rPr>
          <w:color w:val="000000" w:themeColor="text1"/>
          <w:sz w:val="16"/>
          <w:szCs w:val="18"/>
        </w:rPr>
      </w:pPr>
      <w:r w:rsidRPr="00EB2982">
        <w:rPr>
          <w:color w:val="000000" w:themeColor="text1"/>
          <w:sz w:val="16"/>
          <w:szCs w:val="18"/>
        </w:rPr>
        <w:t>Source: National Treasury, (2019)</w:t>
      </w:r>
    </w:p>
    <w:p w14:paraId="12C438C9" w14:textId="77777777" w:rsidR="008017AD" w:rsidRPr="00EB2982" w:rsidRDefault="008017AD" w:rsidP="008F0E74">
      <w:pPr>
        <w:spacing w:line="280" w:lineRule="exact"/>
        <w:jc w:val="both"/>
        <w:rPr>
          <w:color w:val="000000" w:themeColor="text1"/>
          <w:spacing w:val="6"/>
        </w:rPr>
      </w:pPr>
    </w:p>
    <w:p w14:paraId="0CC32DA5" w14:textId="77777777" w:rsidR="00D4081C" w:rsidRPr="00EB2982" w:rsidRDefault="00D4081C" w:rsidP="008F0E74">
      <w:pPr>
        <w:spacing w:line="280" w:lineRule="exact"/>
        <w:jc w:val="both"/>
        <w:rPr>
          <w:color w:val="000000"/>
          <w:spacing w:val="6"/>
        </w:rPr>
      </w:pPr>
      <w:r w:rsidRPr="00EB2982">
        <w:rPr>
          <w:color w:val="000000"/>
          <w:spacing w:val="6"/>
        </w:rPr>
        <w:t xml:space="preserve">The allocation for Programme 5 increases from R392.3 million to R413.3, denoting a nominal increase of 5.4 per cent translating and a 0.15 per cent real increase. </w:t>
      </w:r>
    </w:p>
    <w:p w14:paraId="36BAD661" w14:textId="77777777" w:rsidR="00D4081C" w:rsidRPr="00EB2982" w:rsidRDefault="00D4081C" w:rsidP="008F0E74">
      <w:pPr>
        <w:spacing w:line="280" w:lineRule="exact"/>
        <w:jc w:val="both"/>
        <w:rPr>
          <w:color w:val="000000"/>
          <w:spacing w:val="6"/>
        </w:rPr>
      </w:pPr>
    </w:p>
    <w:p w14:paraId="38BF0CFF" w14:textId="77777777" w:rsidR="00D4081C" w:rsidRPr="00EB2982" w:rsidRDefault="00D4081C" w:rsidP="008F0E74">
      <w:pPr>
        <w:spacing w:line="280" w:lineRule="exact"/>
        <w:jc w:val="both"/>
        <w:rPr>
          <w:color w:val="000000"/>
          <w:spacing w:val="6"/>
        </w:rPr>
      </w:pPr>
      <w:r w:rsidRPr="00EB2982">
        <w:rPr>
          <w:color w:val="000000"/>
          <w:spacing w:val="6"/>
        </w:rPr>
        <w:t xml:space="preserve">The </w:t>
      </w:r>
      <w:r w:rsidRPr="00EB2982">
        <w:rPr>
          <w:i/>
          <w:color w:val="000000"/>
          <w:spacing w:val="6"/>
        </w:rPr>
        <w:t>National Development Agency</w:t>
      </w:r>
      <w:r w:rsidRPr="00EB2982">
        <w:rPr>
          <w:color w:val="000000"/>
          <w:spacing w:val="6"/>
        </w:rPr>
        <w:t xml:space="preserve"> (NDA), an entity of the </w:t>
      </w:r>
      <w:r w:rsidR="003A54E8" w:rsidRPr="00EB2982">
        <w:rPr>
          <w:color w:val="000000"/>
          <w:spacing w:val="6"/>
        </w:rPr>
        <w:t>d</w:t>
      </w:r>
      <w:r w:rsidRPr="00EB2982">
        <w:rPr>
          <w:color w:val="000000"/>
          <w:spacing w:val="6"/>
        </w:rPr>
        <w:t xml:space="preserve">epartment, is located within this programme. The NDA dominates, with 51.4 per cent of the voted allocation under Programme 5 designated to the entity to support sustainable, community-driven programmes that serves poor and vulnerable communities.  The NDA transfer from the </w:t>
      </w:r>
      <w:r w:rsidR="003A54E8" w:rsidRPr="00EB2982">
        <w:rPr>
          <w:color w:val="000000"/>
          <w:spacing w:val="6"/>
        </w:rPr>
        <w:t>d</w:t>
      </w:r>
      <w:r w:rsidRPr="00EB2982">
        <w:rPr>
          <w:color w:val="000000"/>
          <w:spacing w:val="6"/>
        </w:rPr>
        <w:t xml:space="preserve">epartment increases from R202.6 million in 2018/19 to R213.9 million in 2019/20. Its allocation therefore declines by 0.3 in real terms. </w:t>
      </w:r>
    </w:p>
    <w:p w14:paraId="1462709A" w14:textId="77777777" w:rsidR="00747196" w:rsidRPr="00EB2982" w:rsidRDefault="00747196" w:rsidP="008F0E74">
      <w:pPr>
        <w:spacing w:line="280" w:lineRule="exact"/>
        <w:jc w:val="both"/>
        <w:rPr>
          <w:color w:val="000000"/>
          <w:spacing w:val="6"/>
        </w:rPr>
      </w:pPr>
    </w:p>
    <w:p w14:paraId="1F866EE2" w14:textId="77777777" w:rsidR="00747196" w:rsidRPr="00EB2982" w:rsidRDefault="00747196" w:rsidP="001342C6">
      <w:pPr>
        <w:jc w:val="both"/>
        <w:rPr>
          <w:color w:val="000000"/>
          <w:spacing w:val="6"/>
        </w:rPr>
      </w:pPr>
      <w:r w:rsidRPr="00EB2982">
        <w:rPr>
          <w:i/>
          <w:color w:val="000000"/>
          <w:spacing w:val="6"/>
        </w:rPr>
        <w:t xml:space="preserve">The Community Development </w:t>
      </w:r>
      <w:r w:rsidRPr="00EB2982">
        <w:rPr>
          <w:color w:val="000000"/>
          <w:spacing w:val="6"/>
        </w:rPr>
        <w:t>sub-programme has the second largest allocation in this programme, which accounts for R95.5 million.</w:t>
      </w:r>
      <w:r w:rsidRPr="00EB2982">
        <w:rPr>
          <w:i/>
          <w:color w:val="000000"/>
          <w:spacing w:val="6"/>
        </w:rPr>
        <w:t xml:space="preserve"> </w:t>
      </w:r>
      <w:r w:rsidRPr="00EB2982">
        <w:rPr>
          <w:color w:val="000000"/>
          <w:spacing w:val="6"/>
        </w:rPr>
        <w:t>Expenditure declines by 0.46 per cent in 2019/20</w:t>
      </w:r>
      <w:r w:rsidRPr="00EB2982">
        <w:t xml:space="preserve"> </w:t>
      </w:r>
      <w:r w:rsidRPr="00EB2982">
        <w:rPr>
          <w:color w:val="000000"/>
          <w:spacing w:val="6"/>
        </w:rPr>
        <w:t xml:space="preserve">real terms. </w:t>
      </w:r>
    </w:p>
    <w:p w14:paraId="03588AA7" w14:textId="77777777" w:rsidR="00747196" w:rsidRPr="00EB2982" w:rsidRDefault="00747196" w:rsidP="001342C6">
      <w:pPr>
        <w:jc w:val="both"/>
        <w:rPr>
          <w:color w:val="000000"/>
          <w:spacing w:val="6"/>
        </w:rPr>
      </w:pPr>
    </w:p>
    <w:p w14:paraId="76CBE522" w14:textId="77777777" w:rsidR="00747196" w:rsidRPr="00EB2982" w:rsidRDefault="00747196" w:rsidP="001342C6">
      <w:pPr>
        <w:spacing w:line="280" w:lineRule="exact"/>
        <w:jc w:val="both"/>
        <w:rPr>
          <w:color w:val="000000"/>
          <w:spacing w:val="6"/>
        </w:rPr>
      </w:pPr>
      <w:r w:rsidRPr="00EB2982">
        <w:t xml:space="preserve">A total amount of R40.1 million as compared to R37.5 million in 2018/19 financial year has been allocated to the </w:t>
      </w:r>
      <w:r w:rsidRPr="00EB2982">
        <w:rPr>
          <w:i/>
        </w:rPr>
        <w:t xml:space="preserve">Registration and Monitoring </w:t>
      </w:r>
      <w:r w:rsidRPr="00EB2982">
        <w:t>sub-programme, resulting in the nominal increase of 6.9 per cent and a real increase of 1.6 per cent.</w:t>
      </w:r>
      <w:r w:rsidRPr="00EB2982">
        <w:rPr>
          <w:rFonts w:eastAsia="Calibri"/>
        </w:rPr>
        <w:t xml:space="preserve"> The Department is also facilitating amendments to the Non-profit Organisations Act (1997), mainly to shift from a universal funding to a risk-based approach to NPOs</w:t>
      </w:r>
    </w:p>
    <w:p w14:paraId="07223999" w14:textId="77777777" w:rsidR="00712CE6" w:rsidRPr="00EB2982" w:rsidRDefault="00712CE6" w:rsidP="008F0E74">
      <w:pPr>
        <w:spacing w:line="280" w:lineRule="exact"/>
        <w:jc w:val="both"/>
        <w:rPr>
          <w:color w:val="000000"/>
          <w:spacing w:val="6"/>
        </w:rPr>
      </w:pPr>
    </w:p>
    <w:p w14:paraId="470859F4" w14:textId="77777777" w:rsidR="00E259D2" w:rsidRPr="00EB2982" w:rsidRDefault="004E2118" w:rsidP="005E2F3A">
      <w:pPr>
        <w:numPr>
          <w:ilvl w:val="0"/>
          <w:numId w:val="1"/>
        </w:numPr>
        <w:spacing w:line="280" w:lineRule="exact"/>
        <w:ind w:left="37"/>
        <w:jc w:val="both"/>
        <w:rPr>
          <w:b/>
          <w:color w:val="000000"/>
          <w:lang w:val="en-US"/>
        </w:rPr>
      </w:pPr>
      <w:r w:rsidRPr="00EB2982">
        <w:rPr>
          <w:b/>
          <w:color w:val="000000"/>
          <w:lang w:val="en-US"/>
        </w:rPr>
        <w:t>FINANCIAL IMPLICATIONS</w:t>
      </w:r>
    </w:p>
    <w:p w14:paraId="266FC866" w14:textId="77777777" w:rsidR="001468B2" w:rsidRPr="00EB2982" w:rsidRDefault="001468B2" w:rsidP="005E2F3A">
      <w:pPr>
        <w:spacing w:line="280" w:lineRule="exact"/>
        <w:jc w:val="both"/>
        <w:rPr>
          <w:b/>
          <w:color w:val="000000"/>
          <w:lang w:val="en-US"/>
        </w:rPr>
      </w:pPr>
    </w:p>
    <w:p w14:paraId="2967B3F8" w14:textId="77777777" w:rsidR="00041574" w:rsidRPr="00EB2982" w:rsidRDefault="004D6145" w:rsidP="005E2F3A">
      <w:pPr>
        <w:spacing w:line="280" w:lineRule="exact"/>
        <w:jc w:val="both"/>
        <w:rPr>
          <w:bCs/>
        </w:rPr>
      </w:pPr>
      <w:r w:rsidRPr="00EB2982">
        <w:rPr>
          <w:bCs/>
        </w:rPr>
        <w:t xml:space="preserve">Below is the table that illustrates the budget allocation for the Medium Term </w:t>
      </w:r>
      <w:r w:rsidR="00776F0D" w:rsidRPr="00EB2982">
        <w:rPr>
          <w:bCs/>
        </w:rPr>
        <w:t>Expenditure Framework</w:t>
      </w:r>
      <w:r w:rsidR="00077E3A" w:rsidRPr="00EB2982">
        <w:rPr>
          <w:bCs/>
        </w:rPr>
        <w:t>:</w:t>
      </w:r>
    </w:p>
    <w:p w14:paraId="0A6FEC71" w14:textId="77777777" w:rsidR="00D83A5F" w:rsidRPr="00EB2982" w:rsidRDefault="00D83A5F" w:rsidP="008E441E">
      <w:pPr>
        <w:spacing w:line="280" w:lineRule="exact"/>
        <w:jc w:val="both"/>
        <w:rPr>
          <w:bCs/>
        </w:rPr>
      </w:pPr>
    </w:p>
    <w:p w14:paraId="02CE5923" w14:textId="77777777" w:rsidR="00DE516E" w:rsidRPr="00EB2982" w:rsidRDefault="008D24C6" w:rsidP="00B7417D">
      <w:pPr>
        <w:tabs>
          <w:tab w:val="right" w:pos="9639"/>
        </w:tabs>
        <w:spacing w:line="280" w:lineRule="exact"/>
        <w:jc w:val="both"/>
        <w:rPr>
          <w:i/>
          <w:lang w:val="en-ZA"/>
        </w:rPr>
      </w:pPr>
      <w:r w:rsidRPr="00EB2982">
        <w:rPr>
          <w:i/>
          <w:lang w:val="en-ZA"/>
        </w:rPr>
        <w:t xml:space="preserve">Table </w:t>
      </w:r>
      <w:r w:rsidR="0014242D" w:rsidRPr="00EB2982">
        <w:rPr>
          <w:i/>
          <w:lang w:val="en-ZA"/>
        </w:rPr>
        <w:t>7</w:t>
      </w:r>
      <w:r w:rsidRPr="00EB2982">
        <w:rPr>
          <w:i/>
          <w:lang w:val="en-ZA"/>
        </w:rPr>
        <w:t>: Social Development Operational Programme Budget: 201</w:t>
      </w:r>
      <w:r w:rsidR="00D83A5F" w:rsidRPr="00EB2982">
        <w:rPr>
          <w:i/>
          <w:lang w:val="en-ZA"/>
        </w:rPr>
        <w:t>8</w:t>
      </w:r>
      <w:r w:rsidRPr="00EB2982">
        <w:rPr>
          <w:i/>
          <w:lang w:val="en-ZA"/>
        </w:rPr>
        <w:t>/201</w:t>
      </w:r>
      <w:r w:rsidR="00D83A5F" w:rsidRPr="00EB2982">
        <w:rPr>
          <w:i/>
          <w:lang w:val="en-ZA"/>
        </w:rPr>
        <w:t>9</w:t>
      </w:r>
    </w:p>
    <w:p w14:paraId="413E3C07" w14:textId="77777777" w:rsidR="00943B59" w:rsidRPr="00EB2982" w:rsidRDefault="00943B59" w:rsidP="00B7417D">
      <w:pPr>
        <w:tabs>
          <w:tab w:val="right" w:pos="9639"/>
        </w:tabs>
        <w:spacing w:line="280" w:lineRule="exact"/>
        <w:jc w:val="both"/>
        <w:rPr>
          <w:b/>
          <w:lang w:val="en-ZA"/>
        </w:rPr>
      </w:pPr>
    </w:p>
    <w:tbl>
      <w:tblPr>
        <w:tblStyle w:val="TableGrid"/>
        <w:tblW w:w="10916" w:type="dxa"/>
        <w:tblInd w:w="-725" w:type="dxa"/>
        <w:tblLook w:val="04A0" w:firstRow="1" w:lastRow="0" w:firstColumn="1" w:lastColumn="0" w:noHBand="0" w:noVBand="1"/>
      </w:tblPr>
      <w:tblGrid>
        <w:gridCol w:w="2836"/>
        <w:gridCol w:w="1559"/>
        <w:gridCol w:w="1560"/>
        <w:gridCol w:w="1417"/>
        <w:gridCol w:w="1559"/>
        <w:gridCol w:w="1985"/>
      </w:tblGrid>
      <w:tr w:rsidR="00DE516E" w:rsidRPr="00EB2982" w14:paraId="06A51A50" w14:textId="77777777" w:rsidTr="00EB2982">
        <w:trPr>
          <w:trHeight w:val="361"/>
        </w:trPr>
        <w:tc>
          <w:tcPr>
            <w:tcW w:w="2836" w:type="dxa"/>
            <w:vMerge w:val="restart"/>
            <w:shd w:val="clear" w:color="auto" w:fill="BFBFBF" w:themeFill="background1" w:themeFillShade="BF"/>
          </w:tcPr>
          <w:p w14:paraId="0B91A7BF" w14:textId="77777777" w:rsidR="00DE516E" w:rsidRPr="00EB2982" w:rsidRDefault="00DE516E" w:rsidP="00B7417D">
            <w:pPr>
              <w:spacing w:line="280" w:lineRule="exact"/>
            </w:pPr>
          </w:p>
          <w:p w14:paraId="6DDD14A3" w14:textId="77777777" w:rsidR="00DE516E" w:rsidRPr="00EB2982" w:rsidRDefault="00DE516E" w:rsidP="008F0E74">
            <w:pPr>
              <w:spacing w:line="280" w:lineRule="exact"/>
            </w:pPr>
            <w:r w:rsidRPr="00EB2982">
              <w:rPr>
                <w:b/>
              </w:rPr>
              <w:t>Programme</w:t>
            </w:r>
          </w:p>
        </w:tc>
        <w:tc>
          <w:tcPr>
            <w:tcW w:w="1559" w:type="dxa"/>
            <w:shd w:val="clear" w:color="auto" w:fill="BFBFBF" w:themeFill="background1" w:themeFillShade="BF"/>
          </w:tcPr>
          <w:p w14:paraId="556DB1A4" w14:textId="77777777" w:rsidR="00DE516E" w:rsidRPr="00EB2982" w:rsidRDefault="00DE516E" w:rsidP="008F0E74">
            <w:pPr>
              <w:spacing w:line="280" w:lineRule="exact"/>
              <w:rPr>
                <w:b/>
              </w:rPr>
            </w:pPr>
            <w:r w:rsidRPr="00EB2982">
              <w:rPr>
                <w:b/>
              </w:rPr>
              <w:t>201</w:t>
            </w:r>
            <w:r w:rsidR="00670600" w:rsidRPr="00EB2982">
              <w:rPr>
                <w:b/>
              </w:rPr>
              <w:t>9</w:t>
            </w:r>
            <w:r w:rsidRPr="00EB2982">
              <w:rPr>
                <w:b/>
              </w:rPr>
              <w:t>/</w:t>
            </w:r>
            <w:r w:rsidR="00670600" w:rsidRPr="00EB2982">
              <w:rPr>
                <w:b/>
              </w:rPr>
              <w:t>20</w:t>
            </w:r>
          </w:p>
          <w:p w14:paraId="6C44C74D" w14:textId="77777777" w:rsidR="00DE516E" w:rsidRPr="00EB2982" w:rsidRDefault="00DE516E" w:rsidP="008F0E74">
            <w:pPr>
              <w:spacing w:line="280" w:lineRule="exact"/>
              <w:rPr>
                <w:b/>
              </w:rPr>
            </w:pPr>
          </w:p>
        </w:tc>
        <w:tc>
          <w:tcPr>
            <w:tcW w:w="2977" w:type="dxa"/>
            <w:gridSpan w:val="2"/>
            <w:shd w:val="clear" w:color="auto" w:fill="BFBFBF" w:themeFill="background1" w:themeFillShade="BF"/>
          </w:tcPr>
          <w:p w14:paraId="259ED64D" w14:textId="77777777" w:rsidR="00DE516E" w:rsidRPr="00EB2982" w:rsidRDefault="00DE516E" w:rsidP="008F0E74">
            <w:pPr>
              <w:spacing w:line="280" w:lineRule="exact"/>
              <w:jc w:val="center"/>
              <w:rPr>
                <w:b/>
              </w:rPr>
            </w:pPr>
            <w:r w:rsidRPr="00EB2982">
              <w:rPr>
                <w:b/>
              </w:rPr>
              <w:t>20</w:t>
            </w:r>
            <w:r w:rsidR="00670600" w:rsidRPr="00EB2982">
              <w:rPr>
                <w:b/>
              </w:rPr>
              <w:t>20</w:t>
            </w:r>
            <w:r w:rsidRPr="00EB2982">
              <w:rPr>
                <w:b/>
              </w:rPr>
              <w:t>/</w:t>
            </w:r>
            <w:r w:rsidR="00751124" w:rsidRPr="00EB2982">
              <w:rPr>
                <w:b/>
              </w:rPr>
              <w:t>2</w:t>
            </w:r>
            <w:r w:rsidR="00670600" w:rsidRPr="00EB2982">
              <w:rPr>
                <w:b/>
              </w:rPr>
              <w:t>1</w:t>
            </w:r>
          </w:p>
        </w:tc>
        <w:tc>
          <w:tcPr>
            <w:tcW w:w="3544" w:type="dxa"/>
            <w:gridSpan w:val="2"/>
            <w:shd w:val="clear" w:color="auto" w:fill="BFBFBF" w:themeFill="background1" w:themeFillShade="BF"/>
          </w:tcPr>
          <w:p w14:paraId="59900F3A" w14:textId="77777777" w:rsidR="00DE516E" w:rsidRPr="00EB2982" w:rsidRDefault="00DE516E" w:rsidP="008F0E74">
            <w:pPr>
              <w:spacing w:line="280" w:lineRule="exact"/>
              <w:jc w:val="center"/>
              <w:rPr>
                <w:b/>
              </w:rPr>
            </w:pPr>
            <w:r w:rsidRPr="00EB2982">
              <w:rPr>
                <w:b/>
              </w:rPr>
              <w:t>20</w:t>
            </w:r>
            <w:r w:rsidR="00751124" w:rsidRPr="00EB2982">
              <w:rPr>
                <w:b/>
              </w:rPr>
              <w:t>2</w:t>
            </w:r>
            <w:r w:rsidR="00670600" w:rsidRPr="00EB2982">
              <w:rPr>
                <w:b/>
              </w:rPr>
              <w:t>1</w:t>
            </w:r>
            <w:r w:rsidRPr="00EB2982">
              <w:rPr>
                <w:b/>
              </w:rPr>
              <w:t>/</w:t>
            </w:r>
            <w:r w:rsidR="00091DBA" w:rsidRPr="00EB2982">
              <w:rPr>
                <w:b/>
              </w:rPr>
              <w:t>2</w:t>
            </w:r>
            <w:r w:rsidR="00670600" w:rsidRPr="00EB2982">
              <w:rPr>
                <w:b/>
              </w:rPr>
              <w:t>2</w:t>
            </w:r>
          </w:p>
        </w:tc>
      </w:tr>
      <w:tr w:rsidR="00DE516E" w:rsidRPr="00EB2982" w14:paraId="1215BE29" w14:textId="77777777" w:rsidTr="00EB2982">
        <w:tc>
          <w:tcPr>
            <w:tcW w:w="2836" w:type="dxa"/>
            <w:vMerge/>
            <w:shd w:val="clear" w:color="auto" w:fill="BFBFBF" w:themeFill="background1" w:themeFillShade="BF"/>
          </w:tcPr>
          <w:p w14:paraId="06EF144E" w14:textId="77777777" w:rsidR="00DE516E" w:rsidRPr="00EB2982" w:rsidRDefault="00DE516E" w:rsidP="008F0E74">
            <w:pPr>
              <w:spacing w:line="280" w:lineRule="exact"/>
            </w:pPr>
          </w:p>
        </w:tc>
        <w:tc>
          <w:tcPr>
            <w:tcW w:w="1559" w:type="dxa"/>
            <w:shd w:val="clear" w:color="auto" w:fill="BFBFBF" w:themeFill="background1" w:themeFillShade="BF"/>
          </w:tcPr>
          <w:p w14:paraId="1CEAB261" w14:textId="77777777" w:rsidR="00DE516E" w:rsidRPr="00EB2982" w:rsidRDefault="00DE516E" w:rsidP="008F0E74">
            <w:pPr>
              <w:spacing w:line="280" w:lineRule="exact"/>
              <w:rPr>
                <w:b/>
              </w:rPr>
            </w:pPr>
            <w:r w:rsidRPr="00EB2982">
              <w:rPr>
                <w:b/>
              </w:rPr>
              <w:t>R’000</w:t>
            </w:r>
          </w:p>
        </w:tc>
        <w:tc>
          <w:tcPr>
            <w:tcW w:w="1560" w:type="dxa"/>
            <w:shd w:val="clear" w:color="auto" w:fill="BFBFBF" w:themeFill="background1" w:themeFillShade="BF"/>
          </w:tcPr>
          <w:p w14:paraId="72C9F5FF" w14:textId="77777777" w:rsidR="00DE516E" w:rsidRPr="00EB2982" w:rsidRDefault="00DE516E" w:rsidP="008F0E74">
            <w:pPr>
              <w:spacing w:line="280" w:lineRule="exact"/>
              <w:rPr>
                <w:b/>
              </w:rPr>
            </w:pPr>
            <w:r w:rsidRPr="00EB2982">
              <w:rPr>
                <w:b/>
              </w:rPr>
              <w:t>R’000</w:t>
            </w:r>
          </w:p>
        </w:tc>
        <w:tc>
          <w:tcPr>
            <w:tcW w:w="1417" w:type="dxa"/>
            <w:shd w:val="clear" w:color="auto" w:fill="BFBFBF" w:themeFill="background1" w:themeFillShade="BF"/>
          </w:tcPr>
          <w:p w14:paraId="48EF31C5" w14:textId="77777777" w:rsidR="00DE516E" w:rsidRPr="00EB2982" w:rsidRDefault="00DE516E" w:rsidP="008F0E74">
            <w:pPr>
              <w:spacing w:line="280" w:lineRule="exact"/>
              <w:rPr>
                <w:b/>
              </w:rPr>
            </w:pPr>
            <w:r w:rsidRPr="00EB2982">
              <w:rPr>
                <w:b/>
              </w:rPr>
              <w:t>% increase</w:t>
            </w:r>
          </w:p>
        </w:tc>
        <w:tc>
          <w:tcPr>
            <w:tcW w:w="1559" w:type="dxa"/>
            <w:shd w:val="clear" w:color="auto" w:fill="BFBFBF" w:themeFill="background1" w:themeFillShade="BF"/>
          </w:tcPr>
          <w:p w14:paraId="1B552F68" w14:textId="77777777" w:rsidR="00DE516E" w:rsidRPr="00EB2982" w:rsidRDefault="00DE516E" w:rsidP="008F0E74">
            <w:pPr>
              <w:spacing w:line="280" w:lineRule="exact"/>
              <w:rPr>
                <w:b/>
              </w:rPr>
            </w:pPr>
            <w:r w:rsidRPr="00EB2982">
              <w:rPr>
                <w:b/>
              </w:rPr>
              <w:t>R’000</w:t>
            </w:r>
          </w:p>
        </w:tc>
        <w:tc>
          <w:tcPr>
            <w:tcW w:w="1985" w:type="dxa"/>
            <w:shd w:val="clear" w:color="auto" w:fill="BFBFBF" w:themeFill="background1" w:themeFillShade="BF"/>
          </w:tcPr>
          <w:p w14:paraId="2E085E48" w14:textId="77777777" w:rsidR="00DE516E" w:rsidRPr="00EB2982" w:rsidRDefault="00DE516E" w:rsidP="008F0E74">
            <w:pPr>
              <w:spacing w:line="280" w:lineRule="exact"/>
              <w:rPr>
                <w:b/>
              </w:rPr>
            </w:pPr>
            <w:r w:rsidRPr="00EB2982">
              <w:rPr>
                <w:b/>
              </w:rPr>
              <w:t>% increase</w:t>
            </w:r>
          </w:p>
        </w:tc>
      </w:tr>
      <w:tr w:rsidR="00DE516E" w:rsidRPr="00EB2982" w14:paraId="4182019C" w14:textId="77777777" w:rsidTr="00EB2982">
        <w:tc>
          <w:tcPr>
            <w:tcW w:w="2836" w:type="dxa"/>
          </w:tcPr>
          <w:p w14:paraId="672CE1BD" w14:textId="77777777" w:rsidR="00DE516E" w:rsidRPr="00EB2982" w:rsidRDefault="00DE516E" w:rsidP="005E2F3A">
            <w:pPr>
              <w:spacing w:line="280" w:lineRule="exact"/>
            </w:pPr>
            <w:r w:rsidRPr="00EB2982">
              <w:t>P1: Administration</w:t>
            </w:r>
          </w:p>
        </w:tc>
        <w:tc>
          <w:tcPr>
            <w:tcW w:w="1559" w:type="dxa"/>
          </w:tcPr>
          <w:p w14:paraId="3FDD0E5D" w14:textId="77777777" w:rsidR="00DE516E" w:rsidRPr="00EB2982" w:rsidRDefault="0076535E" w:rsidP="005E2F3A">
            <w:pPr>
              <w:spacing w:line="280" w:lineRule="exact"/>
            </w:pPr>
            <w:r w:rsidRPr="00EB2982">
              <w:t xml:space="preserve">      </w:t>
            </w:r>
            <w:r w:rsidR="004B0809" w:rsidRPr="00EB2982">
              <w:t xml:space="preserve"> </w:t>
            </w:r>
            <w:r w:rsidR="00670600" w:rsidRPr="00EB2982">
              <w:t>408 374</w:t>
            </w:r>
          </w:p>
        </w:tc>
        <w:tc>
          <w:tcPr>
            <w:tcW w:w="1560" w:type="dxa"/>
          </w:tcPr>
          <w:p w14:paraId="1E7CE58C" w14:textId="77777777" w:rsidR="00DE516E" w:rsidRPr="00EB2982" w:rsidRDefault="004B0809" w:rsidP="005E2F3A">
            <w:pPr>
              <w:spacing w:line="280" w:lineRule="exact"/>
            </w:pPr>
            <w:r w:rsidRPr="00EB2982">
              <w:t xml:space="preserve">      </w:t>
            </w:r>
            <w:r w:rsidR="00091DBA" w:rsidRPr="00EB2982">
              <w:t>4</w:t>
            </w:r>
            <w:r w:rsidR="00670600" w:rsidRPr="00EB2982">
              <w:t>33 987</w:t>
            </w:r>
          </w:p>
        </w:tc>
        <w:tc>
          <w:tcPr>
            <w:tcW w:w="1417" w:type="dxa"/>
          </w:tcPr>
          <w:p w14:paraId="387EE495" w14:textId="77777777" w:rsidR="00DE516E" w:rsidRPr="00EB2982" w:rsidRDefault="00751124" w:rsidP="008E441E">
            <w:pPr>
              <w:spacing w:line="280" w:lineRule="exact"/>
            </w:pPr>
            <w:r w:rsidRPr="00EB2982">
              <w:t>6</w:t>
            </w:r>
            <w:r w:rsidR="00DE516E" w:rsidRPr="00EB2982">
              <w:t>.</w:t>
            </w:r>
            <w:r w:rsidR="003E10DF" w:rsidRPr="00EB2982">
              <w:t>27</w:t>
            </w:r>
            <w:r w:rsidR="00DE516E" w:rsidRPr="00EB2982">
              <w:t>%</w:t>
            </w:r>
          </w:p>
        </w:tc>
        <w:tc>
          <w:tcPr>
            <w:tcW w:w="1559" w:type="dxa"/>
          </w:tcPr>
          <w:p w14:paraId="7713EEDC" w14:textId="77777777" w:rsidR="00DE516E" w:rsidRPr="00EB2982" w:rsidRDefault="004B0809" w:rsidP="00B7417D">
            <w:pPr>
              <w:spacing w:line="280" w:lineRule="exact"/>
            </w:pPr>
            <w:r w:rsidRPr="00EB2982">
              <w:t xml:space="preserve">       </w:t>
            </w:r>
            <w:r w:rsidR="007468F1" w:rsidRPr="00EB2982">
              <w:t>4</w:t>
            </w:r>
            <w:r w:rsidR="003E10DF" w:rsidRPr="00EB2982">
              <w:t>59 670</w:t>
            </w:r>
          </w:p>
        </w:tc>
        <w:tc>
          <w:tcPr>
            <w:tcW w:w="1985" w:type="dxa"/>
          </w:tcPr>
          <w:p w14:paraId="52BF59BE" w14:textId="77777777" w:rsidR="00DE516E" w:rsidRPr="00EB2982" w:rsidRDefault="003E10DF" w:rsidP="00B7417D">
            <w:pPr>
              <w:spacing w:line="280" w:lineRule="exact"/>
            </w:pPr>
            <w:r w:rsidRPr="00EB2982">
              <w:t>5.92</w:t>
            </w:r>
            <w:r w:rsidR="00DE516E" w:rsidRPr="00EB2982">
              <w:t>%</w:t>
            </w:r>
          </w:p>
          <w:p w14:paraId="11E2B68D" w14:textId="77777777" w:rsidR="0081063C" w:rsidRPr="00EB2982" w:rsidRDefault="0081063C" w:rsidP="00B7417D">
            <w:pPr>
              <w:spacing w:line="280" w:lineRule="exact"/>
            </w:pPr>
          </w:p>
        </w:tc>
      </w:tr>
      <w:tr w:rsidR="00DE516E" w:rsidRPr="00EB2982" w14:paraId="3FABAFFF" w14:textId="77777777" w:rsidTr="00EB2982">
        <w:tc>
          <w:tcPr>
            <w:tcW w:w="2836" w:type="dxa"/>
          </w:tcPr>
          <w:p w14:paraId="338494F7" w14:textId="77777777" w:rsidR="00DE516E" w:rsidRPr="00EB2982" w:rsidRDefault="00DE516E" w:rsidP="005E2F3A">
            <w:pPr>
              <w:spacing w:line="280" w:lineRule="exact"/>
            </w:pPr>
            <w:r w:rsidRPr="00EB2982">
              <w:t>P2: Social Assistance</w:t>
            </w:r>
          </w:p>
        </w:tc>
        <w:tc>
          <w:tcPr>
            <w:tcW w:w="1559" w:type="dxa"/>
          </w:tcPr>
          <w:p w14:paraId="005392AA" w14:textId="77777777" w:rsidR="00DE516E" w:rsidRPr="00EB2982" w:rsidRDefault="00670600" w:rsidP="005E2F3A">
            <w:pPr>
              <w:spacing w:line="280" w:lineRule="exact"/>
            </w:pPr>
            <w:r w:rsidRPr="00EB2982">
              <w:t>175 155 593</w:t>
            </w:r>
          </w:p>
        </w:tc>
        <w:tc>
          <w:tcPr>
            <w:tcW w:w="1560" w:type="dxa"/>
          </w:tcPr>
          <w:p w14:paraId="212E2973" w14:textId="77777777" w:rsidR="00DE516E" w:rsidRPr="00EB2982" w:rsidRDefault="00670600" w:rsidP="005E2F3A">
            <w:pPr>
              <w:spacing w:line="280" w:lineRule="exact"/>
            </w:pPr>
            <w:r w:rsidRPr="00EB2982">
              <w:t>189 273 511</w:t>
            </w:r>
          </w:p>
        </w:tc>
        <w:tc>
          <w:tcPr>
            <w:tcW w:w="1417" w:type="dxa"/>
          </w:tcPr>
          <w:p w14:paraId="02F8E245" w14:textId="77777777" w:rsidR="00DE516E" w:rsidRPr="00EB2982" w:rsidRDefault="003E10DF" w:rsidP="008E441E">
            <w:pPr>
              <w:spacing w:line="280" w:lineRule="exact"/>
            </w:pPr>
            <w:r w:rsidRPr="00EB2982">
              <w:t>8</w:t>
            </w:r>
            <w:r w:rsidR="00DE516E" w:rsidRPr="00EB2982">
              <w:t>.</w:t>
            </w:r>
            <w:r w:rsidRPr="00EB2982">
              <w:t>06</w:t>
            </w:r>
            <w:r w:rsidR="00DE516E" w:rsidRPr="00EB2982">
              <w:t>%</w:t>
            </w:r>
          </w:p>
        </w:tc>
        <w:tc>
          <w:tcPr>
            <w:tcW w:w="1559" w:type="dxa"/>
          </w:tcPr>
          <w:p w14:paraId="210D297D" w14:textId="77777777" w:rsidR="00DE516E" w:rsidRPr="00EB2982" w:rsidRDefault="003E10DF" w:rsidP="00B7417D">
            <w:pPr>
              <w:spacing w:line="280" w:lineRule="exact"/>
            </w:pPr>
            <w:r w:rsidRPr="00EB2982">
              <w:t>202 867 882</w:t>
            </w:r>
          </w:p>
        </w:tc>
        <w:tc>
          <w:tcPr>
            <w:tcW w:w="1985" w:type="dxa"/>
          </w:tcPr>
          <w:p w14:paraId="10FD71A3" w14:textId="77777777" w:rsidR="0081063C" w:rsidRPr="00EB2982" w:rsidRDefault="003E10DF" w:rsidP="00B7417D">
            <w:pPr>
              <w:spacing w:line="280" w:lineRule="exact"/>
            </w:pPr>
            <w:r w:rsidRPr="00EB2982">
              <w:t>7</w:t>
            </w:r>
            <w:r w:rsidR="00DE516E" w:rsidRPr="00EB2982">
              <w:t>.</w:t>
            </w:r>
            <w:r w:rsidRPr="00EB2982">
              <w:t>18</w:t>
            </w:r>
            <w:r w:rsidR="0081063C" w:rsidRPr="00EB2982">
              <w:t>%</w:t>
            </w:r>
          </w:p>
          <w:p w14:paraId="65FD40CC" w14:textId="77777777" w:rsidR="00DE516E" w:rsidRPr="00EB2982" w:rsidRDefault="00DE516E" w:rsidP="00B7417D">
            <w:pPr>
              <w:spacing w:line="280" w:lineRule="exact"/>
            </w:pPr>
          </w:p>
        </w:tc>
      </w:tr>
      <w:tr w:rsidR="00DE516E" w:rsidRPr="00EB2982" w14:paraId="4A56377C" w14:textId="77777777" w:rsidTr="00EB2982">
        <w:tc>
          <w:tcPr>
            <w:tcW w:w="2836" w:type="dxa"/>
          </w:tcPr>
          <w:p w14:paraId="388B93F7" w14:textId="77777777" w:rsidR="00DE516E" w:rsidRPr="00EB2982" w:rsidRDefault="00DE516E" w:rsidP="005E2F3A">
            <w:pPr>
              <w:spacing w:line="280" w:lineRule="exact"/>
            </w:pPr>
            <w:r w:rsidRPr="00EB2982">
              <w:t>P3: Social Security Policy and Administration</w:t>
            </w:r>
          </w:p>
        </w:tc>
        <w:tc>
          <w:tcPr>
            <w:tcW w:w="1559" w:type="dxa"/>
          </w:tcPr>
          <w:p w14:paraId="5DB84BC3" w14:textId="77777777" w:rsidR="00DE516E" w:rsidRPr="00EB2982" w:rsidRDefault="0076535E" w:rsidP="005E2F3A">
            <w:pPr>
              <w:spacing w:line="280" w:lineRule="exact"/>
            </w:pPr>
            <w:r w:rsidRPr="00EB2982">
              <w:t xml:space="preserve">    </w:t>
            </w:r>
            <w:r w:rsidR="00670600" w:rsidRPr="00EB2982">
              <w:t>7 748 916</w:t>
            </w:r>
          </w:p>
        </w:tc>
        <w:tc>
          <w:tcPr>
            <w:tcW w:w="1560" w:type="dxa"/>
          </w:tcPr>
          <w:p w14:paraId="023F5A4D" w14:textId="77777777" w:rsidR="00DE516E" w:rsidRPr="00EB2982" w:rsidRDefault="004B0809" w:rsidP="005E2F3A">
            <w:pPr>
              <w:spacing w:line="280" w:lineRule="exact"/>
            </w:pPr>
            <w:r w:rsidRPr="00EB2982">
              <w:t xml:space="preserve">    </w:t>
            </w:r>
            <w:r w:rsidR="00670600" w:rsidRPr="00EB2982">
              <w:t>8 261 107</w:t>
            </w:r>
          </w:p>
        </w:tc>
        <w:tc>
          <w:tcPr>
            <w:tcW w:w="1417" w:type="dxa"/>
          </w:tcPr>
          <w:p w14:paraId="5377E302" w14:textId="77777777" w:rsidR="00DE516E" w:rsidRPr="00EB2982" w:rsidRDefault="003E10DF" w:rsidP="008E441E">
            <w:pPr>
              <w:spacing w:line="280" w:lineRule="exact"/>
            </w:pPr>
            <w:r w:rsidRPr="00EB2982">
              <w:t>6</w:t>
            </w:r>
            <w:r w:rsidR="00FE6C8B" w:rsidRPr="00EB2982">
              <w:t>.</w:t>
            </w:r>
            <w:r w:rsidR="00697B15" w:rsidRPr="00EB2982">
              <w:t>6</w:t>
            </w:r>
            <w:r w:rsidRPr="00EB2982">
              <w:t>1</w:t>
            </w:r>
            <w:r w:rsidR="00FE6C8B" w:rsidRPr="00EB2982">
              <w:t>%</w:t>
            </w:r>
          </w:p>
        </w:tc>
        <w:tc>
          <w:tcPr>
            <w:tcW w:w="1559" w:type="dxa"/>
          </w:tcPr>
          <w:p w14:paraId="394CB5EC" w14:textId="77777777" w:rsidR="00DE516E" w:rsidRPr="00EB2982" w:rsidRDefault="004B0809" w:rsidP="00B7417D">
            <w:pPr>
              <w:spacing w:line="280" w:lineRule="exact"/>
            </w:pPr>
            <w:r w:rsidRPr="00EB2982">
              <w:t xml:space="preserve">    </w:t>
            </w:r>
            <w:r w:rsidR="003E10DF" w:rsidRPr="00EB2982">
              <w:t>8 768 942</w:t>
            </w:r>
          </w:p>
        </w:tc>
        <w:tc>
          <w:tcPr>
            <w:tcW w:w="1985" w:type="dxa"/>
          </w:tcPr>
          <w:p w14:paraId="4EEBE252" w14:textId="77777777" w:rsidR="00DE516E" w:rsidRPr="00EB2982" w:rsidRDefault="003E10DF" w:rsidP="00B7417D">
            <w:pPr>
              <w:spacing w:line="280" w:lineRule="exact"/>
            </w:pPr>
            <w:r w:rsidRPr="00EB2982">
              <w:t>6</w:t>
            </w:r>
            <w:r w:rsidR="0081063C" w:rsidRPr="00EB2982">
              <w:t>.</w:t>
            </w:r>
            <w:r w:rsidRPr="00EB2982">
              <w:t>1</w:t>
            </w:r>
            <w:r w:rsidR="007468F1" w:rsidRPr="00EB2982">
              <w:t>5</w:t>
            </w:r>
            <w:r w:rsidR="0081063C" w:rsidRPr="00EB2982">
              <w:t>%</w:t>
            </w:r>
          </w:p>
        </w:tc>
      </w:tr>
      <w:tr w:rsidR="00DE516E" w:rsidRPr="00EB2982" w14:paraId="0CC8FC50" w14:textId="77777777" w:rsidTr="00EB2982">
        <w:tc>
          <w:tcPr>
            <w:tcW w:w="2836" w:type="dxa"/>
          </w:tcPr>
          <w:p w14:paraId="689B65C3" w14:textId="77777777" w:rsidR="00DE516E" w:rsidRPr="00EB2982" w:rsidRDefault="00FE6C8B" w:rsidP="005E2F3A">
            <w:pPr>
              <w:spacing w:line="280" w:lineRule="exact"/>
            </w:pPr>
            <w:r w:rsidRPr="00EB2982">
              <w:t>P4: Welfare Services Policy Development and implement Support</w:t>
            </w:r>
          </w:p>
        </w:tc>
        <w:tc>
          <w:tcPr>
            <w:tcW w:w="1559" w:type="dxa"/>
          </w:tcPr>
          <w:p w14:paraId="2C9BE240" w14:textId="77777777" w:rsidR="00DE516E" w:rsidRPr="00EB2982" w:rsidRDefault="00B7735F" w:rsidP="005E2F3A">
            <w:pPr>
              <w:spacing w:line="280" w:lineRule="exact"/>
            </w:pPr>
            <w:r w:rsidRPr="00EB2982">
              <w:t xml:space="preserve">    </w:t>
            </w:r>
            <w:r w:rsidR="0081063C" w:rsidRPr="00EB2982">
              <w:t>1</w:t>
            </w:r>
            <w:r w:rsidR="00751124" w:rsidRPr="00EB2982">
              <w:t> </w:t>
            </w:r>
            <w:r w:rsidR="00670600" w:rsidRPr="00EB2982">
              <w:t>065 807</w:t>
            </w:r>
          </w:p>
        </w:tc>
        <w:tc>
          <w:tcPr>
            <w:tcW w:w="1560" w:type="dxa"/>
          </w:tcPr>
          <w:p w14:paraId="7343871D" w14:textId="77777777" w:rsidR="00DE516E" w:rsidRPr="00EB2982" w:rsidRDefault="004B0809" w:rsidP="005E2F3A">
            <w:pPr>
              <w:spacing w:line="280" w:lineRule="exact"/>
            </w:pPr>
            <w:r w:rsidRPr="00EB2982">
              <w:t xml:space="preserve">    </w:t>
            </w:r>
            <w:r w:rsidR="00670600" w:rsidRPr="00EB2982">
              <w:t>1 132 752</w:t>
            </w:r>
          </w:p>
        </w:tc>
        <w:tc>
          <w:tcPr>
            <w:tcW w:w="1417" w:type="dxa"/>
          </w:tcPr>
          <w:p w14:paraId="00A369E3" w14:textId="77777777" w:rsidR="00DE516E" w:rsidRPr="00EB2982" w:rsidRDefault="003E10DF" w:rsidP="008E441E">
            <w:pPr>
              <w:spacing w:line="280" w:lineRule="exact"/>
            </w:pPr>
            <w:r w:rsidRPr="00EB2982">
              <w:t>6</w:t>
            </w:r>
            <w:r w:rsidR="00FE6C8B" w:rsidRPr="00EB2982">
              <w:t>.</w:t>
            </w:r>
            <w:r w:rsidRPr="00EB2982">
              <w:t>2</w:t>
            </w:r>
            <w:r w:rsidR="00697B15" w:rsidRPr="00EB2982">
              <w:t>8</w:t>
            </w:r>
            <w:r w:rsidR="00FE6C8B" w:rsidRPr="00EB2982">
              <w:t>%</w:t>
            </w:r>
          </w:p>
        </w:tc>
        <w:tc>
          <w:tcPr>
            <w:tcW w:w="1559" w:type="dxa"/>
          </w:tcPr>
          <w:p w14:paraId="1821D0CE" w14:textId="77777777" w:rsidR="00DE516E" w:rsidRPr="00EB2982" w:rsidRDefault="004B0809" w:rsidP="00B7417D">
            <w:pPr>
              <w:spacing w:line="280" w:lineRule="exact"/>
            </w:pPr>
            <w:r w:rsidRPr="00EB2982">
              <w:t xml:space="preserve">    </w:t>
            </w:r>
            <w:r w:rsidR="003E10DF" w:rsidRPr="00EB2982">
              <w:t>1 203 988</w:t>
            </w:r>
          </w:p>
        </w:tc>
        <w:tc>
          <w:tcPr>
            <w:tcW w:w="1985" w:type="dxa"/>
          </w:tcPr>
          <w:p w14:paraId="6454302C" w14:textId="77777777" w:rsidR="00DE516E" w:rsidRPr="00EB2982" w:rsidRDefault="007468F1" w:rsidP="00B7417D">
            <w:pPr>
              <w:spacing w:line="280" w:lineRule="exact"/>
            </w:pPr>
            <w:r w:rsidRPr="00EB2982">
              <w:t>6</w:t>
            </w:r>
            <w:r w:rsidR="00FE6C8B" w:rsidRPr="00EB2982">
              <w:t>.</w:t>
            </w:r>
            <w:r w:rsidRPr="00EB2982">
              <w:t>2</w:t>
            </w:r>
            <w:r w:rsidR="003E10DF" w:rsidRPr="00EB2982">
              <w:t>9</w:t>
            </w:r>
            <w:r w:rsidR="00FE6C8B" w:rsidRPr="00EB2982">
              <w:t>%</w:t>
            </w:r>
          </w:p>
        </w:tc>
      </w:tr>
      <w:tr w:rsidR="00DE516E" w:rsidRPr="00EB2982" w14:paraId="3C4A791C" w14:textId="77777777" w:rsidTr="00EB2982">
        <w:tc>
          <w:tcPr>
            <w:tcW w:w="2836" w:type="dxa"/>
          </w:tcPr>
          <w:p w14:paraId="15844FA6" w14:textId="77777777" w:rsidR="00DE516E" w:rsidRPr="00EB2982" w:rsidRDefault="00FE6C8B" w:rsidP="005E2F3A">
            <w:pPr>
              <w:spacing w:line="280" w:lineRule="exact"/>
            </w:pPr>
            <w:r w:rsidRPr="00EB2982">
              <w:t>P5: Social Policy and Integrated Service Delivery</w:t>
            </w:r>
          </w:p>
        </w:tc>
        <w:tc>
          <w:tcPr>
            <w:tcW w:w="1559" w:type="dxa"/>
          </w:tcPr>
          <w:p w14:paraId="0FF04AD4" w14:textId="77777777" w:rsidR="00DE516E" w:rsidRPr="00EB2982" w:rsidRDefault="00B7735F" w:rsidP="005E2F3A">
            <w:pPr>
              <w:spacing w:line="280" w:lineRule="exact"/>
            </w:pPr>
            <w:r w:rsidRPr="00EB2982">
              <w:t xml:space="preserve">      </w:t>
            </w:r>
            <w:r w:rsidR="00670600" w:rsidRPr="00EB2982">
              <w:t>413 282</w:t>
            </w:r>
          </w:p>
        </w:tc>
        <w:tc>
          <w:tcPr>
            <w:tcW w:w="1560" w:type="dxa"/>
          </w:tcPr>
          <w:p w14:paraId="10737159" w14:textId="77777777" w:rsidR="00DE516E" w:rsidRPr="00EB2982" w:rsidRDefault="004B0809" w:rsidP="005E2F3A">
            <w:pPr>
              <w:spacing w:line="280" w:lineRule="exact"/>
            </w:pPr>
            <w:r w:rsidRPr="00EB2982">
              <w:t xml:space="preserve">       </w:t>
            </w:r>
            <w:r w:rsidR="00670600" w:rsidRPr="00EB2982">
              <w:t>370 168</w:t>
            </w:r>
          </w:p>
        </w:tc>
        <w:tc>
          <w:tcPr>
            <w:tcW w:w="1417" w:type="dxa"/>
          </w:tcPr>
          <w:p w14:paraId="37D01E00" w14:textId="77777777" w:rsidR="00DE516E" w:rsidRPr="00EB2982" w:rsidRDefault="003E10DF" w:rsidP="008E441E">
            <w:pPr>
              <w:spacing w:line="280" w:lineRule="exact"/>
            </w:pPr>
            <w:r w:rsidRPr="00EB2982">
              <w:t>-10.43</w:t>
            </w:r>
            <w:r w:rsidR="004F74FB" w:rsidRPr="00EB2982">
              <w:t>%</w:t>
            </w:r>
          </w:p>
        </w:tc>
        <w:tc>
          <w:tcPr>
            <w:tcW w:w="1559" w:type="dxa"/>
          </w:tcPr>
          <w:p w14:paraId="461BC875" w14:textId="77777777" w:rsidR="00DE516E" w:rsidRPr="00EB2982" w:rsidRDefault="004B0809" w:rsidP="00B7417D">
            <w:pPr>
              <w:spacing w:line="280" w:lineRule="exact"/>
            </w:pPr>
            <w:r w:rsidRPr="00EB2982">
              <w:t xml:space="preserve">      </w:t>
            </w:r>
            <w:r w:rsidR="003E10DF" w:rsidRPr="00EB2982">
              <w:t>392 623</w:t>
            </w:r>
          </w:p>
        </w:tc>
        <w:tc>
          <w:tcPr>
            <w:tcW w:w="1985" w:type="dxa"/>
          </w:tcPr>
          <w:p w14:paraId="32E5FDE8" w14:textId="77777777" w:rsidR="00DE516E" w:rsidRPr="00EB2982" w:rsidRDefault="003E10DF" w:rsidP="00B7417D">
            <w:pPr>
              <w:spacing w:line="280" w:lineRule="exact"/>
            </w:pPr>
            <w:r w:rsidRPr="00EB2982">
              <w:t>6</w:t>
            </w:r>
            <w:r w:rsidR="004F74FB" w:rsidRPr="00EB2982">
              <w:t>.</w:t>
            </w:r>
            <w:r w:rsidRPr="00EB2982">
              <w:t>0</w:t>
            </w:r>
            <w:r w:rsidR="00697B15" w:rsidRPr="00EB2982">
              <w:t>7</w:t>
            </w:r>
            <w:r w:rsidR="004F74FB" w:rsidRPr="00EB2982">
              <w:t>%</w:t>
            </w:r>
          </w:p>
        </w:tc>
      </w:tr>
      <w:tr w:rsidR="00FE6C8B" w:rsidRPr="00EB2982" w14:paraId="7DCC8353" w14:textId="77777777" w:rsidTr="00EB2982">
        <w:tc>
          <w:tcPr>
            <w:tcW w:w="2836" w:type="dxa"/>
          </w:tcPr>
          <w:p w14:paraId="1014FA1F" w14:textId="77777777" w:rsidR="00FE6C8B" w:rsidRPr="00EB2982" w:rsidRDefault="004F74FB" w:rsidP="005E2F3A">
            <w:pPr>
              <w:spacing w:line="280" w:lineRule="exact"/>
              <w:rPr>
                <w:b/>
              </w:rPr>
            </w:pPr>
            <w:r w:rsidRPr="00EB2982">
              <w:rPr>
                <w:b/>
              </w:rPr>
              <w:t>TOTAL</w:t>
            </w:r>
          </w:p>
        </w:tc>
        <w:tc>
          <w:tcPr>
            <w:tcW w:w="1559" w:type="dxa"/>
          </w:tcPr>
          <w:p w14:paraId="0FCC2DAA" w14:textId="77777777" w:rsidR="00FE6C8B" w:rsidRPr="00EB2982" w:rsidRDefault="004F74FB" w:rsidP="005E2F3A">
            <w:pPr>
              <w:spacing w:line="280" w:lineRule="exact"/>
              <w:rPr>
                <w:b/>
              </w:rPr>
            </w:pPr>
            <w:r w:rsidRPr="00EB2982">
              <w:rPr>
                <w:b/>
              </w:rPr>
              <w:t>1</w:t>
            </w:r>
            <w:r w:rsidR="00670600" w:rsidRPr="00EB2982">
              <w:rPr>
                <w:b/>
              </w:rPr>
              <w:t>84 791 972</w:t>
            </w:r>
          </w:p>
        </w:tc>
        <w:tc>
          <w:tcPr>
            <w:tcW w:w="1560" w:type="dxa"/>
          </w:tcPr>
          <w:p w14:paraId="2700814A" w14:textId="77777777" w:rsidR="00FE6C8B" w:rsidRPr="00EB2982" w:rsidRDefault="004F74FB" w:rsidP="005E2F3A">
            <w:pPr>
              <w:spacing w:line="280" w:lineRule="exact"/>
              <w:rPr>
                <w:b/>
              </w:rPr>
            </w:pPr>
            <w:r w:rsidRPr="00EB2982">
              <w:rPr>
                <w:b/>
              </w:rPr>
              <w:t>1</w:t>
            </w:r>
            <w:r w:rsidR="003E10DF" w:rsidRPr="00EB2982">
              <w:rPr>
                <w:b/>
              </w:rPr>
              <w:t>99 471 525</w:t>
            </w:r>
          </w:p>
        </w:tc>
        <w:tc>
          <w:tcPr>
            <w:tcW w:w="1417" w:type="dxa"/>
          </w:tcPr>
          <w:p w14:paraId="596CC601" w14:textId="77777777" w:rsidR="00FE6C8B" w:rsidRPr="00EB2982" w:rsidRDefault="00297FB6" w:rsidP="008E441E">
            <w:pPr>
              <w:spacing w:line="280" w:lineRule="exact"/>
              <w:rPr>
                <w:b/>
              </w:rPr>
            </w:pPr>
            <w:r w:rsidRPr="00EB2982">
              <w:rPr>
                <w:b/>
              </w:rPr>
              <w:t>7</w:t>
            </w:r>
            <w:r w:rsidR="004F74FB" w:rsidRPr="00EB2982">
              <w:rPr>
                <w:b/>
              </w:rPr>
              <w:t>.</w:t>
            </w:r>
            <w:r w:rsidR="00751124" w:rsidRPr="00EB2982">
              <w:rPr>
                <w:b/>
              </w:rPr>
              <w:t>9</w:t>
            </w:r>
            <w:r w:rsidR="003E10DF" w:rsidRPr="00EB2982">
              <w:rPr>
                <w:b/>
              </w:rPr>
              <w:t>4</w:t>
            </w:r>
            <w:r w:rsidR="004F74FB" w:rsidRPr="00EB2982">
              <w:rPr>
                <w:b/>
              </w:rPr>
              <w:t>%</w:t>
            </w:r>
          </w:p>
        </w:tc>
        <w:tc>
          <w:tcPr>
            <w:tcW w:w="1559" w:type="dxa"/>
          </w:tcPr>
          <w:p w14:paraId="3CF4F133" w14:textId="77777777" w:rsidR="00FE6C8B" w:rsidRPr="00EB2982" w:rsidRDefault="00697B15" w:rsidP="00B7417D">
            <w:pPr>
              <w:spacing w:line="280" w:lineRule="exact"/>
              <w:rPr>
                <w:b/>
              </w:rPr>
            </w:pPr>
            <w:r w:rsidRPr="00EB2982">
              <w:rPr>
                <w:b/>
              </w:rPr>
              <w:t>2</w:t>
            </w:r>
            <w:r w:rsidR="003E10DF" w:rsidRPr="00EB2982">
              <w:rPr>
                <w:b/>
              </w:rPr>
              <w:t>13 693 105</w:t>
            </w:r>
          </w:p>
        </w:tc>
        <w:tc>
          <w:tcPr>
            <w:tcW w:w="1985" w:type="dxa"/>
          </w:tcPr>
          <w:p w14:paraId="1BD60D64" w14:textId="77777777" w:rsidR="00FE6C8B" w:rsidRPr="00EB2982" w:rsidRDefault="00297FB6" w:rsidP="00B7417D">
            <w:pPr>
              <w:spacing w:line="280" w:lineRule="exact"/>
              <w:rPr>
                <w:b/>
              </w:rPr>
            </w:pPr>
            <w:r w:rsidRPr="00EB2982">
              <w:rPr>
                <w:b/>
              </w:rPr>
              <w:t>7</w:t>
            </w:r>
            <w:r w:rsidR="004F74FB" w:rsidRPr="00EB2982">
              <w:rPr>
                <w:b/>
              </w:rPr>
              <w:t>.</w:t>
            </w:r>
            <w:r w:rsidR="003E10DF" w:rsidRPr="00EB2982">
              <w:rPr>
                <w:b/>
              </w:rPr>
              <w:t>13</w:t>
            </w:r>
            <w:r w:rsidR="004F74FB" w:rsidRPr="00EB2982">
              <w:rPr>
                <w:b/>
              </w:rPr>
              <w:t>%</w:t>
            </w:r>
          </w:p>
        </w:tc>
      </w:tr>
    </w:tbl>
    <w:p w14:paraId="29D70ABA" w14:textId="77777777" w:rsidR="00AE25D0" w:rsidRPr="00EB2982" w:rsidRDefault="00AE25D0" w:rsidP="005E2F3A">
      <w:pPr>
        <w:spacing w:line="280" w:lineRule="exact"/>
        <w:jc w:val="both"/>
        <w:rPr>
          <w:rFonts w:eastAsiaTheme="minorHAnsi"/>
          <w:lang w:val="en-ZA"/>
        </w:rPr>
      </w:pPr>
    </w:p>
    <w:p w14:paraId="39C359E9" w14:textId="77777777" w:rsidR="002C7C5F" w:rsidRPr="00EB2982" w:rsidRDefault="002C7C5F" w:rsidP="005E2F3A">
      <w:pPr>
        <w:spacing w:line="280" w:lineRule="exact"/>
        <w:jc w:val="both"/>
        <w:rPr>
          <w:rFonts w:eastAsiaTheme="minorHAnsi"/>
          <w:lang w:val="en-ZA"/>
        </w:rPr>
      </w:pPr>
    </w:p>
    <w:p w14:paraId="165D1F68" w14:textId="77777777" w:rsidR="00507BEC" w:rsidRPr="00EB2982" w:rsidRDefault="005B4BF7" w:rsidP="005E2F3A">
      <w:pPr>
        <w:pStyle w:val="ListParagraph"/>
        <w:numPr>
          <w:ilvl w:val="0"/>
          <w:numId w:val="1"/>
        </w:numPr>
        <w:spacing w:line="280" w:lineRule="exact"/>
        <w:jc w:val="both"/>
        <w:rPr>
          <w:rFonts w:ascii="Times New Roman" w:hAnsi="Times New Roman"/>
          <w:b/>
          <w:sz w:val="24"/>
          <w:szCs w:val="24"/>
        </w:rPr>
      </w:pPr>
      <w:r w:rsidRPr="00EB2982">
        <w:rPr>
          <w:rFonts w:ascii="Times New Roman" w:hAnsi="Times New Roman"/>
          <w:b/>
          <w:sz w:val="24"/>
          <w:szCs w:val="24"/>
        </w:rPr>
        <w:t>COMMITTEE DELIBERATIONS</w:t>
      </w:r>
      <w:r w:rsidR="001B5E21" w:rsidRPr="00EB2982">
        <w:rPr>
          <w:rFonts w:ascii="Times New Roman" w:hAnsi="Times New Roman"/>
          <w:b/>
          <w:sz w:val="24"/>
          <w:szCs w:val="24"/>
        </w:rPr>
        <w:t xml:space="preserve"> AND OBSERVATIONS</w:t>
      </w:r>
    </w:p>
    <w:p w14:paraId="0D8A9181" w14:textId="77777777" w:rsidR="000F22FE" w:rsidRPr="00EB2982" w:rsidRDefault="000F22FE" w:rsidP="00F96CBE">
      <w:pPr>
        <w:spacing w:before="100" w:beforeAutospacing="1" w:after="100" w:afterAutospacing="1" w:line="280" w:lineRule="exact"/>
        <w:jc w:val="both"/>
        <w:rPr>
          <w:b/>
          <w:spacing w:val="6"/>
          <w:lang w:val="en-US"/>
        </w:rPr>
      </w:pPr>
      <w:r w:rsidRPr="00EB2982">
        <w:rPr>
          <w:b/>
          <w:spacing w:val="6"/>
          <w:lang w:val="en-US"/>
        </w:rPr>
        <w:t>Deliberations and observations</w:t>
      </w:r>
    </w:p>
    <w:p w14:paraId="17FCC899" w14:textId="77777777" w:rsidR="000F22FE" w:rsidRPr="00EB2982" w:rsidRDefault="000F22FE" w:rsidP="001342C6">
      <w:pPr>
        <w:numPr>
          <w:ilvl w:val="0"/>
          <w:numId w:val="12"/>
        </w:numPr>
        <w:spacing w:before="100" w:beforeAutospacing="1" w:after="100" w:afterAutospacing="1" w:line="280" w:lineRule="exact"/>
        <w:jc w:val="both"/>
        <w:rPr>
          <w:spacing w:val="6"/>
          <w:lang w:val="en-US"/>
        </w:rPr>
      </w:pPr>
      <w:r w:rsidRPr="00EB2982">
        <w:rPr>
          <w:spacing w:val="6"/>
          <w:lang w:val="en-US"/>
        </w:rPr>
        <w:t>The Committee supported the proposal of the Minister to turn the department and its entities to work as a portfolio. This will put an end the practice of them working in silos</w:t>
      </w:r>
      <w:r w:rsidR="00F165EF" w:rsidRPr="00EB2982">
        <w:rPr>
          <w:spacing w:val="6"/>
          <w:lang w:val="en-US"/>
        </w:rPr>
        <w:t xml:space="preserve"> and eliminate duplication of functions</w:t>
      </w:r>
      <w:r w:rsidRPr="00EB2982">
        <w:rPr>
          <w:spacing w:val="6"/>
          <w:lang w:val="en-US"/>
        </w:rPr>
        <w:t>. It will make sure that their internal systems are integrated. They have common objectives</w:t>
      </w:r>
      <w:r w:rsidR="00F165EF" w:rsidRPr="00EB2982">
        <w:rPr>
          <w:spacing w:val="6"/>
          <w:lang w:val="en-US"/>
        </w:rPr>
        <w:t>.</w:t>
      </w:r>
      <w:r w:rsidRPr="00EB2982">
        <w:rPr>
          <w:spacing w:val="6"/>
          <w:lang w:val="en-US"/>
        </w:rPr>
        <w:t xml:space="preserve"> </w:t>
      </w:r>
    </w:p>
    <w:p w14:paraId="57A85B0A" w14:textId="77777777" w:rsidR="000F22FE" w:rsidRPr="00EB2982" w:rsidRDefault="000F22FE" w:rsidP="00F96CBE">
      <w:pPr>
        <w:spacing w:before="100" w:beforeAutospacing="1" w:after="100" w:afterAutospacing="1" w:line="280" w:lineRule="exact"/>
        <w:ind w:left="720"/>
        <w:jc w:val="both"/>
        <w:rPr>
          <w:spacing w:val="6"/>
          <w:lang w:val="en-US"/>
        </w:rPr>
      </w:pPr>
    </w:p>
    <w:p w14:paraId="70B97715" w14:textId="77777777" w:rsidR="000F22FE" w:rsidRPr="00EB2982" w:rsidRDefault="000F22FE" w:rsidP="001342C6">
      <w:pPr>
        <w:numPr>
          <w:ilvl w:val="0"/>
          <w:numId w:val="12"/>
        </w:numPr>
        <w:spacing w:before="100" w:beforeAutospacing="1" w:after="100" w:afterAutospacing="1" w:line="280" w:lineRule="exact"/>
        <w:jc w:val="both"/>
        <w:rPr>
          <w:spacing w:val="6"/>
          <w:lang w:val="en-US"/>
        </w:rPr>
      </w:pPr>
      <w:r w:rsidRPr="00EB2982">
        <w:rPr>
          <w:spacing w:val="6"/>
          <w:lang w:val="en-US"/>
        </w:rPr>
        <w:t xml:space="preserve">It also supported the Minister’s plan to change the narrative about the department from being mainly perceived as about payment of social grants to be about self-development. This will be in line with the mandate of the department, which is to provide social protection and create an enabling environment for communities to become capable and be self-reliant as they participate in their own development. </w:t>
      </w:r>
    </w:p>
    <w:p w14:paraId="161A426A" w14:textId="77777777" w:rsidR="000F22FE" w:rsidRPr="00EB2982" w:rsidRDefault="000F22FE" w:rsidP="00F96CBE">
      <w:pPr>
        <w:pStyle w:val="ListParagraph"/>
        <w:spacing w:line="280" w:lineRule="exact"/>
        <w:rPr>
          <w:rFonts w:ascii="Times New Roman" w:hAnsi="Times New Roman"/>
          <w:spacing w:val="6"/>
          <w:sz w:val="24"/>
          <w:szCs w:val="24"/>
        </w:rPr>
      </w:pPr>
    </w:p>
    <w:p w14:paraId="087291A3" w14:textId="77777777" w:rsidR="000F22FE" w:rsidRPr="00EB2982" w:rsidRDefault="000F22FE" w:rsidP="001342C6">
      <w:pPr>
        <w:numPr>
          <w:ilvl w:val="0"/>
          <w:numId w:val="12"/>
        </w:numPr>
        <w:spacing w:before="100" w:beforeAutospacing="1" w:after="100" w:afterAutospacing="1" w:line="280" w:lineRule="exact"/>
        <w:jc w:val="both"/>
        <w:rPr>
          <w:spacing w:val="6"/>
          <w:lang w:val="en-US"/>
        </w:rPr>
      </w:pPr>
      <w:r w:rsidRPr="00EB2982">
        <w:rPr>
          <w:spacing w:val="6"/>
          <w:lang w:val="en-US"/>
        </w:rPr>
        <w:t xml:space="preserve">It also welcomed the target of the department to develop an inter-sectoral policy on sheltering services. It was however concerned about the lack of adequate funding of these shelters. This was one of the findings of the Commission on Gender Equality (CGE) Systemic Investigation Report of Shelters that Accommodate Victims of Violence. </w:t>
      </w:r>
      <w:r w:rsidR="00EE76ED" w:rsidRPr="00EB2982">
        <w:rPr>
          <w:spacing w:val="6"/>
          <w:lang w:val="en-US"/>
        </w:rPr>
        <w:t>The Committee</w:t>
      </w:r>
      <w:r w:rsidRPr="00EB2982">
        <w:rPr>
          <w:spacing w:val="6"/>
          <w:lang w:val="en-US"/>
        </w:rPr>
        <w:t xml:space="preserve"> wanted to know if the department took into consideration all the findings contained in the report.</w:t>
      </w:r>
    </w:p>
    <w:p w14:paraId="2E49C560" w14:textId="77777777" w:rsidR="000F22FE" w:rsidRPr="00EB2982" w:rsidRDefault="000F22FE" w:rsidP="00F96CBE">
      <w:pPr>
        <w:pStyle w:val="ListParagraph"/>
        <w:spacing w:line="280" w:lineRule="exact"/>
        <w:rPr>
          <w:rFonts w:ascii="Times New Roman" w:hAnsi="Times New Roman"/>
          <w:spacing w:val="6"/>
          <w:sz w:val="24"/>
          <w:szCs w:val="24"/>
        </w:rPr>
      </w:pPr>
    </w:p>
    <w:p w14:paraId="5F25BF54" w14:textId="77777777" w:rsidR="000F22FE" w:rsidRPr="00EB2982" w:rsidRDefault="000F22FE" w:rsidP="00F96CBE">
      <w:pPr>
        <w:pStyle w:val="ListParagraph"/>
        <w:spacing w:line="280" w:lineRule="exact"/>
        <w:rPr>
          <w:rFonts w:ascii="Times New Roman" w:hAnsi="Times New Roman"/>
          <w:spacing w:val="6"/>
          <w:sz w:val="24"/>
          <w:szCs w:val="24"/>
        </w:rPr>
      </w:pPr>
      <w:r w:rsidRPr="00EB2982">
        <w:rPr>
          <w:rFonts w:ascii="Times New Roman" w:hAnsi="Times New Roman"/>
          <w:spacing w:val="6"/>
          <w:sz w:val="24"/>
          <w:szCs w:val="24"/>
        </w:rPr>
        <w:t xml:space="preserve">The department responded that it </w:t>
      </w:r>
      <w:r w:rsidR="00EE76ED" w:rsidRPr="00EB2982">
        <w:rPr>
          <w:rFonts w:ascii="Times New Roman" w:hAnsi="Times New Roman"/>
          <w:spacing w:val="6"/>
          <w:sz w:val="24"/>
          <w:szCs w:val="24"/>
        </w:rPr>
        <w:t>developed</w:t>
      </w:r>
      <w:r w:rsidRPr="00EB2982">
        <w:rPr>
          <w:rFonts w:ascii="Times New Roman" w:hAnsi="Times New Roman"/>
          <w:spacing w:val="6"/>
          <w:sz w:val="24"/>
          <w:szCs w:val="24"/>
        </w:rPr>
        <w:t xml:space="preserve"> regulations on sheltering. It will however submit a Victim Empowerment Bill to Parliament which addresses funding of shelters. </w:t>
      </w:r>
    </w:p>
    <w:p w14:paraId="4629CFFC" w14:textId="77777777" w:rsidR="000F22FE" w:rsidRPr="00EB2982" w:rsidRDefault="000F22FE" w:rsidP="001342C6">
      <w:pPr>
        <w:numPr>
          <w:ilvl w:val="0"/>
          <w:numId w:val="12"/>
        </w:numPr>
        <w:spacing w:before="100" w:beforeAutospacing="1" w:after="100" w:afterAutospacing="1" w:line="280" w:lineRule="exact"/>
        <w:jc w:val="both"/>
        <w:rPr>
          <w:spacing w:val="6"/>
          <w:lang w:val="en-US"/>
        </w:rPr>
      </w:pPr>
      <w:r w:rsidRPr="00EB2982">
        <w:rPr>
          <w:spacing w:val="6"/>
          <w:lang w:val="en-US"/>
        </w:rPr>
        <w:t xml:space="preserve">The Committee raised a concern over the high number of unemployed social work graduates. Services rendered by social worker profession are critical across government departments. They are needed is schools where there have been alarming </w:t>
      </w:r>
      <w:r w:rsidR="00E2686E" w:rsidRPr="00EB2982">
        <w:rPr>
          <w:spacing w:val="6"/>
          <w:lang w:val="en-US"/>
        </w:rPr>
        <w:t xml:space="preserve">increase </w:t>
      </w:r>
      <w:r w:rsidRPr="00EB2982">
        <w:rPr>
          <w:spacing w:val="6"/>
          <w:lang w:val="en-US"/>
        </w:rPr>
        <w:t>violence, murder, substance abuse and sexual abuse among learners. There is also violence between learners and educators. Social workers are also needed in correctional facilities as probation officers. The Department of Health also need services of social workers</w:t>
      </w:r>
      <w:r w:rsidR="00E2686E" w:rsidRPr="00EB2982">
        <w:rPr>
          <w:spacing w:val="6"/>
          <w:lang w:val="en-US"/>
        </w:rPr>
        <w:t xml:space="preserve"> to provide counselling services</w:t>
      </w:r>
      <w:r w:rsidRPr="00EB2982">
        <w:rPr>
          <w:spacing w:val="6"/>
          <w:lang w:val="en-US"/>
        </w:rPr>
        <w:t>. Institutions of higher learning have also experienced an increasing number of students committing suicide.</w:t>
      </w:r>
    </w:p>
    <w:p w14:paraId="4D1CC18D" w14:textId="77777777" w:rsidR="000F22FE" w:rsidRPr="00EB2982" w:rsidRDefault="000F22FE" w:rsidP="00F96CBE">
      <w:pPr>
        <w:spacing w:line="280" w:lineRule="exact"/>
        <w:ind w:left="720"/>
        <w:contextualSpacing/>
        <w:jc w:val="both"/>
        <w:rPr>
          <w:spacing w:val="6"/>
          <w:lang w:val="en-US" w:eastAsia="en-ZA"/>
        </w:rPr>
      </w:pPr>
      <w:r w:rsidRPr="00EB2982">
        <w:rPr>
          <w:spacing w:val="6"/>
          <w:lang w:val="en-US" w:eastAsia="en-ZA"/>
        </w:rPr>
        <w:t xml:space="preserve">The department responded that through its engagements with other government departments it noted that these departments do not prioritize social work services in their plans. In some instances, social work positions are not included in the organizational structures, therefore there </w:t>
      </w:r>
      <w:r w:rsidR="00E2686E" w:rsidRPr="00EB2982">
        <w:rPr>
          <w:spacing w:val="6"/>
          <w:lang w:val="en-US" w:eastAsia="en-ZA"/>
        </w:rPr>
        <w:t xml:space="preserve">are </w:t>
      </w:r>
      <w:r w:rsidRPr="00EB2982">
        <w:rPr>
          <w:spacing w:val="6"/>
          <w:lang w:val="en-US" w:eastAsia="en-ZA"/>
        </w:rPr>
        <w:t xml:space="preserve">no budget allocations for them. </w:t>
      </w:r>
    </w:p>
    <w:p w14:paraId="633A113E" w14:textId="77777777" w:rsidR="000F22FE" w:rsidRPr="00EB2982" w:rsidRDefault="000F22FE" w:rsidP="00F96CBE">
      <w:pPr>
        <w:pStyle w:val="ListParagraph"/>
        <w:spacing w:line="280" w:lineRule="exact"/>
        <w:rPr>
          <w:rFonts w:ascii="Times New Roman" w:hAnsi="Times New Roman"/>
          <w:spacing w:val="6"/>
          <w:sz w:val="24"/>
          <w:szCs w:val="24"/>
        </w:rPr>
      </w:pPr>
    </w:p>
    <w:p w14:paraId="45B45B41" w14:textId="77777777" w:rsidR="000F22FE" w:rsidRPr="00EB2982" w:rsidRDefault="000F22FE" w:rsidP="001342C6">
      <w:pPr>
        <w:numPr>
          <w:ilvl w:val="0"/>
          <w:numId w:val="12"/>
        </w:numPr>
        <w:spacing w:before="100" w:beforeAutospacing="1" w:after="100" w:afterAutospacing="1" w:line="280" w:lineRule="exact"/>
        <w:jc w:val="both"/>
        <w:rPr>
          <w:spacing w:val="6"/>
          <w:lang w:val="en-US"/>
        </w:rPr>
      </w:pPr>
      <w:r w:rsidRPr="00EB2982">
        <w:rPr>
          <w:spacing w:val="6"/>
          <w:lang w:val="en-US"/>
        </w:rPr>
        <w:t xml:space="preserve">The Committee reiterated a concern of the previous committee of the misalignment between the achievement of targets and financial expenditure. </w:t>
      </w:r>
      <w:r w:rsidR="00E2686E" w:rsidRPr="00EB2982">
        <w:rPr>
          <w:spacing w:val="6"/>
          <w:lang w:val="en-US"/>
        </w:rPr>
        <w:t>In the previous years t</w:t>
      </w:r>
      <w:r w:rsidRPr="00EB2982">
        <w:rPr>
          <w:spacing w:val="6"/>
          <w:lang w:val="en-US"/>
        </w:rPr>
        <w:t xml:space="preserve">he department reported achieving 99% expenditure but would only achieve around 60% of its targets. </w:t>
      </w:r>
      <w:r w:rsidR="009E3FB0" w:rsidRPr="00EB2982">
        <w:rPr>
          <w:spacing w:val="6"/>
          <w:lang w:val="en-US"/>
        </w:rPr>
        <w:t xml:space="preserve">Some targets would be over achieved while others would be partially achieved or not achieved. </w:t>
      </w:r>
      <w:r w:rsidRPr="00EB2982">
        <w:rPr>
          <w:spacing w:val="6"/>
          <w:lang w:val="en-US"/>
        </w:rPr>
        <w:t xml:space="preserve">The Committee wanted to know what measures has the department taken to address this. </w:t>
      </w:r>
      <w:r w:rsidR="00223076" w:rsidRPr="00EB2982">
        <w:rPr>
          <w:spacing w:val="6"/>
          <w:lang w:val="en-US"/>
        </w:rPr>
        <w:t xml:space="preserve">This indicates either poor planning and budgeting or gaps in the service delivery. Budget expenditure should be aligned with performance. </w:t>
      </w:r>
    </w:p>
    <w:p w14:paraId="331D9D63" w14:textId="77777777" w:rsidR="000F22FE" w:rsidRPr="00EB2982" w:rsidRDefault="000F22FE" w:rsidP="00F96CBE">
      <w:pPr>
        <w:spacing w:before="100" w:beforeAutospacing="1" w:after="100" w:afterAutospacing="1" w:line="280" w:lineRule="exact"/>
        <w:ind w:left="720"/>
        <w:jc w:val="both"/>
        <w:rPr>
          <w:spacing w:val="6"/>
          <w:lang w:val="en-US"/>
        </w:rPr>
      </w:pPr>
      <w:r w:rsidRPr="00EB2982">
        <w:rPr>
          <w:spacing w:val="6"/>
          <w:lang w:val="en-US"/>
        </w:rPr>
        <w:t>The department responded that it was working with its entities to review their organizational structures. It would seek permission from the Minister</w:t>
      </w:r>
      <w:r w:rsidR="00D47479" w:rsidRPr="00EB2982">
        <w:rPr>
          <w:spacing w:val="6"/>
          <w:lang w:val="en-US"/>
        </w:rPr>
        <w:t xml:space="preserve"> of Social Development</w:t>
      </w:r>
      <w:r w:rsidRPr="00EB2982">
        <w:rPr>
          <w:spacing w:val="6"/>
          <w:lang w:val="en-US"/>
        </w:rPr>
        <w:t xml:space="preserve"> to lift the moratorium on the filling of the vacant posts. It expects to complete the review of the organizational structure in December 2019.</w:t>
      </w:r>
    </w:p>
    <w:p w14:paraId="122BB177" w14:textId="77777777" w:rsidR="000F22FE" w:rsidRPr="00EB2982" w:rsidRDefault="000F22FE" w:rsidP="001342C6">
      <w:pPr>
        <w:numPr>
          <w:ilvl w:val="0"/>
          <w:numId w:val="12"/>
        </w:numPr>
        <w:spacing w:before="100" w:beforeAutospacing="1" w:after="100" w:afterAutospacing="1" w:line="280" w:lineRule="exact"/>
        <w:jc w:val="both"/>
        <w:rPr>
          <w:spacing w:val="6"/>
          <w:lang w:val="en-US"/>
        </w:rPr>
      </w:pPr>
      <w:r w:rsidRPr="00EB2982">
        <w:rPr>
          <w:spacing w:val="6"/>
          <w:lang w:val="en-US"/>
        </w:rPr>
        <w:t>The Committee reminded the department of the previous committees’ (4</w:t>
      </w:r>
      <w:r w:rsidRPr="00EB2982">
        <w:rPr>
          <w:spacing w:val="6"/>
          <w:vertAlign w:val="superscript"/>
          <w:lang w:val="en-US"/>
        </w:rPr>
        <w:t>th</w:t>
      </w:r>
      <w:r w:rsidRPr="00EB2982">
        <w:rPr>
          <w:spacing w:val="6"/>
          <w:lang w:val="en-US"/>
        </w:rPr>
        <w:t xml:space="preserve"> and 5</w:t>
      </w:r>
      <w:r w:rsidRPr="00EB2982">
        <w:rPr>
          <w:spacing w:val="6"/>
          <w:vertAlign w:val="superscript"/>
          <w:lang w:val="en-US"/>
        </w:rPr>
        <w:t>th</w:t>
      </w:r>
      <w:r w:rsidRPr="00EB2982">
        <w:rPr>
          <w:spacing w:val="6"/>
          <w:lang w:val="en-US"/>
        </w:rPr>
        <w:t xml:space="preserve"> Parliament) recommendation that the South African Social Security Act (No. 9 of 2004) be amended to provide for the establishment of the board. Without the board</w:t>
      </w:r>
      <w:r w:rsidR="008A5DB2" w:rsidRPr="00EB2982">
        <w:rPr>
          <w:spacing w:val="6"/>
          <w:lang w:val="en-US"/>
        </w:rPr>
        <w:t xml:space="preserve"> for instance</w:t>
      </w:r>
      <w:r w:rsidRPr="00EB2982">
        <w:rPr>
          <w:spacing w:val="6"/>
          <w:lang w:val="en-US"/>
        </w:rPr>
        <w:t xml:space="preserve"> the previous Minister had to account for the challenges that were encountered by SASSA pertaining to the implementation of the deliverables of the Constitutional Court Judgement </w:t>
      </w:r>
      <w:r w:rsidR="00FC12CD" w:rsidRPr="00EB2982">
        <w:rPr>
          <w:spacing w:val="6"/>
          <w:lang w:val="en-US"/>
        </w:rPr>
        <w:t>i</w:t>
      </w:r>
      <w:r w:rsidRPr="00EB2982">
        <w:rPr>
          <w:spacing w:val="6"/>
          <w:lang w:val="en-US"/>
        </w:rPr>
        <w:t>n the case between Black</w:t>
      </w:r>
      <w:r w:rsidR="00D77070" w:rsidRPr="00EB2982">
        <w:rPr>
          <w:spacing w:val="6"/>
          <w:lang w:val="en-US"/>
        </w:rPr>
        <w:t xml:space="preserve"> S</w:t>
      </w:r>
      <w:r w:rsidRPr="00EB2982">
        <w:rPr>
          <w:spacing w:val="6"/>
          <w:lang w:val="en-US"/>
        </w:rPr>
        <w:t>ash, SASSA and the department o</w:t>
      </w:r>
      <w:r w:rsidR="0004184E" w:rsidRPr="00EB2982">
        <w:rPr>
          <w:spacing w:val="6"/>
          <w:lang w:val="en-US"/>
        </w:rPr>
        <w:t>ver</w:t>
      </w:r>
      <w:r w:rsidRPr="00EB2982">
        <w:rPr>
          <w:spacing w:val="6"/>
          <w:lang w:val="en-US"/>
        </w:rPr>
        <w:t xml:space="preserve"> the awarding of the tender to pay social grants to Cash Paymaster</w:t>
      </w:r>
      <w:r w:rsidR="006E504D" w:rsidRPr="00EB2982">
        <w:rPr>
          <w:spacing w:val="6"/>
          <w:lang w:val="en-US"/>
        </w:rPr>
        <w:t xml:space="preserve"> System</w:t>
      </w:r>
      <w:r w:rsidRPr="00EB2982">
        <w:rPr>
          <w:spacing w:val="6"/>
          <w:lang w:val="en-US"/>
        </w:rPr>
        <w:t xml:space="preserve"> (CPS).</w:t>
      </w:r>
    </w:p>
    <w:p w14:paraId="3143D52F" w14:textId="77777777" w:rsidR="000F22FE" w:rsidRPr="00EB2982" w:rsidRDefault="000F22FE" w:rsidP="00F96CBE">
      <w:pPr>
        <w:spacing w:before="100" w:beforeAutospacing="1" w:after="100" w:afterAutospacing="1" w:line="280" w:lineRule="exact"/>
        <w:ind w:left="720"/>
        <w:jc w:val="both"/>
        <w:rPr>
          <w:spacing w:val="6"/>
          <w:lang w:val="en-US"/>
        </w:rPr>
      </w:pPr>
      <w:r w:rsidRPr="00EB2982">
        <w:rPr>
          <w:spacing w:val="6"/>
          <w:lang w:val="en-US"/>
        </w:rPr>
        <w:t xml:space="preserve">The Minister acknowledged that she was also concerned that SASSA does not have a board. She undertook that she will ensure that the department and SASSA start a process of amending the Act.  </w:t>
      </w:r>
    </w:p>
    <w:p w14:paraId="12563356" w14:textId="77777777" w:rsidR="00C54396" w:rsidRPr="00EB2982" w:rsidRDefault="00C54396" w:rsidP="005E2F3A">
      <w:pPr>
        <w:pStyle w:val="ListParagraph"/>
        <w:suppressAutoHyphens/>
        <w:autoSpaceDN w:val="0"/>
        <w:spacing w:before="100" w:beforeAutospacing="1" w:after="100" w:afterAutospacing="1" w:line="280" w:lineRule="exact"/>
        <w:ind w:left="780"/>
        <w:jc w:val="both"/>
        <w:textAlignment w:val="baseline"/>
        <w:rPr>
          <w:rFonts w:ascii="Times New Roman" w:hAnsi="Times New Roman"/>
          <w:sz w:val="24"/>
          <w:szCs w:val="24"/>
        </w:rPr>
      </w:pPr>
    </w:p>
    <w:p w14:paraId="0FFC13C1" w14:textId="77777777" w:rsidR="002D76CE" w:rsidRPr="00EB2982" w:rsidRDefault="001D29FF" w:rsidP="005E2F3A">
      <w:pPr>
        <w:pStyle w:val="ListParagraph"/>
        <w:numPr>
          <w:ilvl w:val="0"/>
          <w:numId w:val="1"/>
        </w:numPr>
        <w:suppressAutoHyphens/>
        <w:autoSpaceDN w:val="0"/>
        <w:spacing w:before="100" w:beforeAutospacing="1" w:after="100" w:afterAutospacing="1" w:line="280" w:lineRule="exact"/>
        <w:jc w:val="both"/>
        <w:textAlignment w:val="baseline"/>
        <w:rPr>
          <w:rFonts w:ascii="Times New Roman" w:hAnsi="Times New Roman"/>
          <w:b/>
          <w:sz w:val="24"/>
          <w:szCs w:val="24"/>
        </w:rPr>
      </w:pPr>
      <w:r w:rsidRPr="00EB2982">
        <w:rPr>
          <w:rFonts w:ascii="Times New Roman" w:hAnsi="Times New Roman"/>
          <w:b/>
          <w:sz w:val="24"/>
          <w:szCs w:val="24"/>
        </w:rPr>
        <w:t>THE SOUTH</w:t>
      </w:r>
      <w:r w:rsidRPr="00EB2982">
        <w:rPr>
          <w:rFonts w:ascii="Times New Roman" w:hAnsi="Times New Roman"/>
          <w:b/>
          <w:sz w:val="24"/>
          <w:szCs w:val="24"/>
          <w:lang w:val="en-ZA"/>
        </w:rPr>
        <w:t xml:space="preserve"> AFRICAN SOCIAL SECURITY AGENCY (SASSA)</w:t>
      </w:r>
      <w:r w:rsidR="000C0F41" w:rsidRPr="00EB2982">
        <w:rPr>
          <w:rFonts w:ascii="Times New Roman" w:hAnsi="Times New Roman"/>
          <w:b/>
          <w:sz w:val="24"/>
          <w:szCs w:val="24"/>
          <w:lang w:val="en-ZA"/>
        </w:rPr>
        <w:t xml:space="preserve"> </w:t>
      </w:r>
      <w:r w:rsidR="00187656" w:rsidRPr="00EB2982">
        <w:rPr>
          <w:rFonts w:ascii="Times New Roman" w:hAnsi="Times New Roman"/>
          <w:b/>
          <w:sz w:val="24"/>
          <w:szCs w:val="24"/>
          <w:lang w:val="en-ZA"/>
        </w:rPr>
        <w:t>ANNUAL PERFORMANCE PLAN 201</w:t>
      </w:r>
      <w:r w:rsidR="00712CE6" w:rsidRPr="00EB2982">
        <w:rPr>
          <w:rFonts w:ascii="Times New Roman" w:hAnsi="Times New Roman"/>
          <w:b/>
          <w:sz w:val="24"/>
          <w:szCs w:val="24"/>
          <w:lang w:val="en-ZA"/>
        </w:rPr>
        <w:t>9</w:t>
      </w:r>
      <w:r w:rsidR="00187656" w:rsidRPr="00EB2982">
        <w:rPr>
          <w:rFonts w:ascii="Times New Roman" w:hAnsi="Times New Roman"/>
          <w:b/>
          <w:sz w:val="24"/>
          <w:szCs w:val="24"/>
          <w:lang w:val="en-ZA"/>
        </w:rPr>
        <w:t>/20</w:t>
      </w:r>
      <w:r w:rsidR="00712CE6" w:rsidRPr="00EB2982">
        <w:rPr>
          <w:rFonts w:ascii="Times New Roman" w:hAnsi="Times New Roman"/>
          <w:b/>
          <w:sz w:val="24"/>
          <w:szCs w:val="24"/>
          <w:lang w:val="en-ZA"/>
        </w:rPr>
        <w:t>20</w:t>
      </w:r>
    </w:p>
    <w:p w14:paraId="548E9EB7" w14:textId="77777777" w:rsidR="009F4820" w:rsidRPr="00EB2982" w:rsidRDefault="009F4820" w:rsidP="005E2F3A">
      <w:pPr>
        <w:autoSpaceDE w:val="0"/>
        <w:autoSpaceDN w:val="0"/>
        <w:adjustRightInd w:val="0"/>
        <w:spacing w:line="280" w:lineRule="exact"/>
        <w:jc w:val="both"/>
        <w:rPr>
          <w:b/>
          <w:bCs/>
        </w:rPr>
      </w:pPr>
    </w:p>
    <w:p w14:paraId="7E6BB6E2" w14:textId="77777777" w:rsidR="00F2616E" w:rsidRPr="00EB2982" w:rsidRDefault="00A612D4" w:rsidP="008E441E">
      <w:pPr>
        <w:autoSpaceDE w:val="0"/>
        <w:autoSpaceDN w:val="0"/>
        <w:adjustRightInd w:val="0"/>
        <w:spacing w:line="280" w:lineRule="exact"/>
        <w:jc w:val="both"/>
        <w:rPr>
          <w:lang w:val="en-US" w:eastAsia="en-US"/>
        </w:rPr>
      </w:pPr>
      <w:r w:rsidRPr="00EB2982">
        <w:rPr>
          <w:lang w:val="en-ZA"/>
        </w:rPr>
        <w:t>T</w:t>
      </w:r>
      <w:r w:rsidR="00F2616E" w:rsidRPr="00EB2982">
        <w:rPr>
          <w:lang w:val="en-ZA"/>
        </w:rPr>
        <w:t>he mandate for South African Social Security Agency (SASSA) is to ensure the provision of comprehensive social security services against vulnerability and poverty within the constitutional and legislative framework.</w:t>
      </w:r>
      <w:r w:rsidR="00F2616E" w:rsidRPr="00EB2982">
        <w:t xml:space="preserve"> </w:t>
      </w:r>
    </w:p>
    <w:p w14:paraId="0553E53B" w14:textId="77777777" w:rsidR="00F2616E" w:rsidRPr="00EB2982" w:rsidRDefault="00F2616E" w:rsidP="00B7417D">
      <w:pPr>
        <w:autoSpaceDE w:val="0"/>
        <w:autoSpaceDN w:val="0"/>
        <w:adjustRightInd w:val="0"/>
        <w:spacing w:line="280" w:lineRule="exact"/>
        <w:jc w:val="both"/>
        <w:rPr>
          <w:lang w:val="en-US" w:eastAsia="en-US"/>
        </w:rPr>
      </w:pPr>
    </w:p>
    <w:p w14:paraId="7E8DB5E9" w14:textId="77777777" w:rsidR="00F2616E" w:rsidRPr="00EB2982" w:rsidRDefault="00F2616E" w:rsidP="00B7417D">
      <w:pPr>
        <w:autoSpaceDE w:val="0"/>
        <w:autoSpaceDN w:val="0"/>
        <w:adjustRightInd w:val="0"/>
        <w:spacing w:line="280" w:lineRule="exact"/>
        <w:jc w:val="both"/>
        <w:rPr>
          <w:lang w:val="en-US" w:eastAsia="en-US"/>
        </w:rPr>
      </w:pPr>
      <w:r w:rsidRPr="00EB2982">
        <w:rPr>
          <w:lang w:val="en-US" w:eastAsia="en-US"/>
        </w:rPr>
        <w:t xml:space="preserve">SASSA sets its performance plans in line with Government Outcome 13 of the Medium Term Strategic Framework (MTSF). This outcome includes actions to strengthen social welfare service delivery through legislative reforms, expand and accelerate social welfare service delivery to poor, vulnerable and special focus groups, develop a comprehensive social protection infrastructure plan and deepen social assistance; and expand access to social security. </w:t>
      </w:r>
    </w:p>
    <w:p w14:paraId="1D88B5AA" w14:textId="77777777" w:rsidR="00BD4731" w:rsidRPr="00EB2982" w:rsidRDefault="00F2616E" w:rsidP="008F0E74">
      <w:pPr>
        <w:autoSpaceDE w:val="0"/>
        <w:autoSpaceDN w:val="0"/>
        <w:adjustRightInd w:val="0"/>
        <w:spacing w:line="280" w:lineRule="exact"/>
        <w:jc w:val="both"/>
        <w:rPr>
          <w:lang w:val="en-US" w:eastAsia="en-US"/>
        </w:rPr>
      </w:pPr>
      <w:r w:rsidRPr="00EB2982">
        <w:rPr>
          <w:lang w:val="en-US" w:eastAsia="en-US"/>
        </w:rPr>
        <w:t xml:space="preserve">SASSA is instrumental in government achieving its goal of providing comprehensive social security through the reforms in the Old Age Pension and Child Support Grant. This entails universalization of these grants to ensure that old people and children who are currently excluded in the system are included. This comes at a period when SASSA is preparing to implement its core mandate, that of insourcing the payment of social grants over the medium term, which had been outsourced to a private company. </w:t>
      </w:r>
    </w:p>
    <w:p w14:paraId="20AE04B7" w14:textId="77777777" w:rsidR="00BD4731" w:rsidRPr="00EB2982" w:rsidRDefault="00BD4731" w:rsidP="008F0E74">
      <w:pPr>
        <w:autoSpaceDE w:val="0"/>
        <w:autoSpaceDN w:val="0"/>
        <w:adjustRightInd w:val="0"/>
        <w:spacing w:line="280" w:lineRule="exact"/>
        <w:jc w:val="both"/>
        <w:rPr>
          <w:lang w:val="en-US" w:eastAsia="en-US"/>
        </w:rPr>
      </w:pPr>
    </w:p>
    <w:p w14:paraId="4EF79EAC" w14:textId="77777777" w:rsidR="00F2616E" w:rsidRPr="00EB2982" w:rsidRDefault="00F2616E" w:rsidP="008F0E74">
      <w:pPr>
        <w:autoSpaceDE w:val="0"/>
        <w:autoSpaceDN w:val="0"/>
        <w:adjustRightInd w:val="0"/>
        <w:spacing w:line="280" w:lineRule="exact"/>
        <w:jc w:val="both"/>
        <w:rPr>
          <w:lang w:val="en-US" w:eastAsia="en-US"/>
        </w:rPr>
      </w:pPr>
      <w:r w:rsidRPr="00EB2982">
        <w:rPr>
          <w:lang w:val="en-US" w:eastAsia="en-US"/>
        </w:rPr>
        <w:t>During the transition period</w:t>
      </w:r>
      <w:r w:rsidR="00BD4731" w:rsidRPr="00EB2982">
        <w:rPr>
          <w:lang w:val="en-US" w:eastAsia="en-US"/>
        </w:rPr>
        <w:t>,</w:t>
      </w:r>
      <w:r w:rsidRPr="00EB2982">
        <w:rPr>
          <w:lang w:val="en-US" w:eastAsia="en-US"/>
        </w:rPr>
        <w:t xml:space="preserve"> the payment system will be implemented through a hybrid model which involves partnership with the South African Post Office, commercial banks (for electronic payments) and corporate financial institutions (CFIs). It is expected that the transition period will take five years and thereafter service providers will transfer resources or assets to SASSA. The 2019/2020 APP sets targets aimed at achieving deliverables of this process for over the medium term period. </w:t>
      </w:r>
    </w:p>
    <w:p w14:paraId="0C8EFD30" w14:textId="77777777" w:rsidR="00F2616E" w:rsidRPr="00EB2982" w:rsidRDefault="00F2616E" w:rsidP="008F0E74">
      <w:pPr>
        <w:autoSpaceDE w:val="0"/>
        <w:autoSpaceDN w:val="0"/>
        <w:adjustRightInd w:val="0"/>
        <w:spacing w:line="280" w:lineRule="exact"/>
        <w:jc w:val="both"/>
        <w:rPr>
          <w:lang w:val="en-US" w:eastAsia="en-US"/>
        </w:rPr>
      </w:pPr>
    </w:p>
    <w:p w14:paraId="6493BF9A" w14:textId="77777777" w:rsidR="00F2616E" w:rsidRPr="00EB2982" w:rsidRDefault="00F2616E" w:rsidP="008F0E74">
      <w:pPr>
        <w:autoSpaceDE w:val="0"/>
        <w:autoSpaceDN w:val="0"/>
        <w:adjustRightInd w:val="0"/>
        <w:spacing w:line="280" w:lineRule="exact"/>
        <w:jc w:val="both"/>
        <w:rPr>
          <w:lang w:val="en-US" w:eastAsia="en-US"/>
        </w:rPr>
      </w:pPr>
      <w:r w:rsidRPr="00EB2982">
        <w:rPr>
          <w:lang w:val="en-US" w:eastAsia="en-US"/>
        </w:rPr>
        <w:t xml:space="preserve">It is expected that the APP should address targets relating to these strategic focus areas – ultimate insourcing of the social grant payment system, filling of acting positions, fight against fraud, improved awarding of the Social Relief of Distress (SRD), network connectivity at SASSA offices, queue management at pay points and linking grants to economic livelihood.  </w:t>
      </w:r>
    </w:p>
    <w:p w14:paraId="132A5462" w14:textId="77777777" w:rsidR="00F2616E" w:rsidRPr="00EB2982" w:rsidRDefault="00F2616E" w:rsidP="008F0E74">
      <w:pPr>
        <w:autoSpaceDE w:val="0"/>
        <w:autoSpaceDN w:val="0"/>
        <w:adjustRightInd w:val="0"/>
        <w:spacing w:line="280" w:lineRule="exact"/>
        <w:jc w:val="both"/>
        <w:rPr>
          <w:b/>
          <w:bCs/>
        </w:rPr>
      </w:pPr>
    </w:p>
    <w:p w14:paraId="59F3FA7C" w14:textId="77777777" w:rsidR="00D851E3" w:rsidRPr="00EB2982" w:rsidRDefault="00D851E3" w:rsidP="00F96CBE">
      <w:pPr>
        <w:autoSpaceDE w:val="0"/>
        <w:autoSpaceDN w:val="0"/>
        <w:adjustRightInd w:val="0"/>
        <w:spacing w:line="280" w:lineRule="exact"/>
        <w:jc w:val="both"/>
        <w:rPr>
          <w:lang w:val="en-US" w:eastAsia="en-US"/>
        </w:rPr>
      </w:pPr>
      <w:r w:rsidRPr="00EB2982">
        <w:rPr>
          <w:lang w:val="en-US" w:eastAsia="en-US"/>
        </w:rPr>
        <w:t>It should also speak to the strategic outcome to expand access to social assistance and creating a platform for future payment of social security benefits. It should be aligned to SASSA goal to render social assistance to eligible beneficiaries.</w:t>
      </w:r>
    </w:p>
    <w:p w14:paraId="7FDD3A70" w14:textId="77777777" w:rsidR="00D851E3" w:rsidRPr="00EB2982" w:rsidRDefault="00D851E3" w:rsidP="00B7417D">
      <w:pPr>
        <w:autoSpaceDE w:val="0"/>
        <w:autoSpaceDN w:val="0"/>
        <w:adjustRightInd w:val="0"/>
        <w:spacing w:line="280" w:lineRule="exact"/>
        <w:jc w:val="both"/>
        <w:rPr>
          <w:lang w:val="en-US" w:eastAsia="en-US"/>
        </w:rPr>
      </w:pPr>
    </w:p>
    <w:p w14:paraId="6517E142" w14:textId="77777777" w:rsidR="00B249AB" w:rsidRPr="00EB2982" w:rsidRDefault="00A26107" w:rsidP="00B7417D">
      <w:pPr>
        <w:autoSpaceDE w:val="0"/>
        <w:autoSpaceDN w:val="0"/>
        <w:adjustRightInd w:val="0"/>
        <w:spacing w:line="280" w:lineRule="exact"/>
        <w:jc w:val="both"/>
        <w:rPr>
          <w:b/>
          <w:bCs/>
        </w:rPr>
      </w:pPr>
      <w:r w:rsidRPr="00EB2982">
        <w:rPr>
          <w:b/>
          <w:bCs/>
        </w:rPr>
        <w:t>8.</w:t>
      </w:r>
      <w:r w:rsidRPr="00EB2982">
        <w:rPr>
          <w:b/>
          <w:bCs/>
        </w:rPr>
        <w:tab/>
      </w:r>
      <w:r w:rsidR="00B249AB" w:rsidRPr="00EB2982">
        <w:rPr>
          <w:b/>
          <w:bCs/>
        </w:rPr>
        <w:t>Programme Analysis</w:t>
      </w:r>
    </w:p>
    <w:p w14:paraId="60298381" w14:textId="77777777" w:rsidR="00741764" w:rsidRPr="00EB2982" w:rsidRDefault="00741764" w:rsidP="00B7417D">
      <w:pPr>
        <w:autoSpaceDE w:val="0"/>
        <w:autoSpaceDN w:val="0"/>
        <w:adjustRightInd w:val="0"/>
        <w:spacing w:line="280" w:lineRule="exact"/>
        <w:jc w:val="both"/>
        <w:rPr>
          <w:color w:val="0D0D0D"/>
          <w:lang w:val="en-US" w:eastAsia="en-US"/>
        </w:rPr>
      </w:pPr>
    </w:p>
    <w:p w14:paraId="33A6E699" w14:textId="77777777" w:rsidR="00B249AB" w:rsidRPr="00EB2982" w:rsidRDefault="00B249AB" w:rsidP="008F0E74">
      <w:pPr>
        <w:autoSpaceDE w:val="0"/>
        <w:autoSpaceDN w:val="0"/>
        <w:adjustRightInd w:val="0"/>
        <w:spacing w:line="280" w:lineRule="exact"/>
        <w:jc w:val="both"/>
        <w:rPr>
          <w:b/>
          <w:bCs/>
        </w:rPr>
      </w:pPr>
      <w:r w:rsidRPr="00EB2982">
        <w:rPr>
          <w:color w:val="0D0D0D"/>
          <w:lang w:val="en-US" w:eastAsia="en-US"/>
        </w:rPr>
        <w:t>SASSA’s budget structure is implemented through two programmes, namely:</w:t>
      </w:r>
    </w:p>
    <w:p w14:paraId="24E9434A" w14:textId="77777777" w:rsidR="00B249AB" w:rsidRPr="00EB2982" w:rsidRDefault="00A26107" w:rsidP="008F0E74">
      <w:pPr>
        <w:pStyle w:val="ListParagraph"/>
        <w:autoSpaceDE w:val="0"/>
        <w:autoSpaceDN w:val="0"/>
        <w:adjustRightInd w:val="0"/>
        <w:spacing w:line="280" w:lineRule="exact"/>
        <w:ind w:left="0"/>
        <w:jc w:val="both"/>
        <w:rPr>
          <w:rFonts w:ascii="Times New Roman" w:hAnsi="Times New Roman"/>
          <w:b/>
          <w:bCs/>
          <w:sz w:val="24"/>
          <w:szCs w:val="24"/>
        </w:rPr>
      </w:pPr>
      <w:r w:rsidRPr="00EB2982">
        <w:rPr>
          <w:rFonts w:ascii="Times New Roman" w:hAnsi="Times New Roman"/>
          <w:b/>
          <w:bCs/>
          <w:sz w:val="24"/>
          <w:szCs w:val="24"/>
        </w:rPr>
        <w:t>8.1</w:t>
      </w:r>
      <w:r w:rsidRPr="00EB2982">
        <w:rPr>
          <w:rFonts w:ascii="Times New Roman" w:hAnsi="Times New Roman"/>
          <w:b/>
          <w:bCs/>
          <w:sz w:val="24"/>
          <w:szCs w:val="24"/>
        </w:rPr>
        <w:tab/>
      </w:r>
      <w:r w:rsidR="00B249AB" w:rsidRPr="00EB2982">
        <w:rPr>
          <w:rFonts w:ascii="Times New Roman" w:hAnsi="Times New Roman"/>
          <w:b/>
          <w:bCs/>
          <w:sz w:val="24"/>
          <w:szCs w:val="24"/>
        </w:rPr>
        <w:t>Programme 1: Administration</w:t>
      </w:r>
    </w:p>
    <w:p w14:paraId="23C74135" w14:textId="77777777" w:rsidR="00B249AB" w:rsidRPr="00EB2982" w:rsidRDefault="00B249AB" w:rsidP="008F0E74">
      <w:pPr>
        <w:autoSpaceDE w:val="0"/>
        <w:autoSpaceDN w:val="0"/>
        <w:adjustRightInd w:val="0"/>
        <w:spacing w:line="280" w:lineRule="exact"/>
        <w:jc w:val="both"/>
        <w:rPr>
          <w:bCs/>
          <w:lang w:val="en-US"/>
        </w:rPr>
      </w:pPr>
      <w:r w:rsidRPr="00EB2982">
        <w:rPr>
          <w:bCs/>
          <w:lang w:val="en-US"/>
        </w:rPr>
        <w:t xml:space="preserve">This programme provides leadership, management and support services, which constitute as </w:t>
      </w:r>
      <w:r w:rsidR="00867A69" w:rsidRPr="00EB2982">
        <w:rPr>
          <w:bCs/>
          <w:lang w:val="en-US"/>
        </w:rPr>
        <w:t xml:space="preserve">its </w:t>
      </w:r>
      <w:r w:rsidRPr="00EB2982">
        <w:rPr>
          <w:bCs/>
          <w:lang w:val="en-US"/>
        </w:rPr>
        <w:t>sub-programmes. They are Executive Management, Corporate Services, Financial Management, Information and Communication Technology and Strategy and Business Development.</w:t>
      </w:r>
    </w:p>
    <w:p w14:paraId="2E1D4122" w14:textId="77777777" w:rsidR="00B249AB" w:rsidRPr="00EB2982" w:rsidRDefault="00B249AB" w:rsidP="008F0E74">
      <w:pPr>
        <w:autoSpaceDE w:val="0"/>
        <w:autoSpaceDN w:val="0"/>
        <w:adjustRightInd w:val="0"/>
        <w:spacing w:line="280" w:lineRule="exact"/>
        <w:jc w:val="both"/>
        <w:rPr>
          <w:b/>
          <w:bCs/>
          <w:lang w:val="en-US"/>
        </w:rPr>
      </w:pPr>
    </w:p>
    <w:p w14:paraId="335875A4" w14:textId="77777777" w:rsidR="00B249AB" w:rsidRPr="00EB2982" w:rsidRDefault="00B249AB" w:rsidP="008F0E74">
      <w:pPr>
        <w:autoSpaceDE w:val="0"/>
        <w:autoSpaceDN w:val="0"/>
        <w:adjustRightInd w:val="0"/>
        <w:spacing w:line="280" w:lineRule="exact"/>
        <w:jc w:val="both"/>
        <w:rPr>
          <w:bCs/>
          <w:lang w:val="en-US"/>
        </w:rPr>
      </w:pPr>
      <w:r w:rsidRPr="00EB2982">
        <w:rPr>
          <w:bCs/>
          <w:lang w:val="en-US"/>
        </w:rPr>
        <w:t xml:space="preserve">Under this programme it is important to look at how the targets set speak to the transition towards the insourcing of the social grants payment. In a presentation to the PC on Social Development on 6 September 2017, SASSA reported on 5 activities that it will undertake during this transition period (2018 -2021). This is a period when SASSA will implement a hybrid payment model through South Africa Post Office (SAPO), cash payments and online payment through commercial banks and retailers.  The activities identified were: </w:t>
      </w:r>
    </w:p>
    <w:p w14:paraId="63A5E892" w14:textId="77777777" w:rsidR="00B249AB" w:rsidRPr="00EB2982" w:rsidRDefault="00B249AB" w:rsidP="008F0E74">
      <w:pPr>
        <w:autoSpaceDE w:val="0"/>
        <w:autoSpaceDN w:val="0"/>
        <w:adjustRightInd w:val="0"/>
        <w:spacing w:line="280" w:lineRule="exact"/>
        <w:jc w:val="both"/>
        <w:rPr>
          <w:bCs/>
          <w:lang w:val="en-US"/>
        </w:rPr>
      </w:pPr>
    </w:p>
    <w:p w14:paraId="6ED81AA1" w14:textId="77777777" w:rsidR="00B249AB" w:rsidRPr="00EB2982" w:rsidRDefault="00B249AB" w:rsidP="001342C6">
      <w:pPr>
        <w:pStyle w:val="ListParagraph"/>
        <w:numPr>
          <w:ilvl w:val="0"/>
          <w:numId w:val="9"/>
        </w:numPr>
        <w:autoSpaceDE w:val="0"/>
        <w:autoSpaceDN w:val="0"/>
        <w:adjustRightInd w:val="0"/>
        <w:spacing w:after="0" w:line="280" w:lineRule="exact"/>
        <w:jc w:val="both"/>
        <w:rPr>
          <w:rFonts w:ascii="Times New Roman" w:hAnsi="Times New Roman"/>
          <w:bCs/>
          <w:sz w:val="24"/>
          <w:szCs w:val="24"/>
        </w:rPr>
      </w:pPr>
      <w:r w:rsidRPr="00EB2982">
        <w:rPr>
          <w:rFonts w:ascii="Times New Roman" w:hAnsi="Times New Roman"/>
          <w:bCs/>
          <w:sz w:val="24"/>
          <w:szCs w:val="24"/>
        </w:rPr>
        <w:t>Introduction of the new SASSA cards</w:t>
      </w:r>
    </w:p>
    <w:p w14:paraId="73827A69" w14:textId="77777777" w:rsidR="00B249AB" w:rsidRPr="00EB2982" w:rsidRDefault="00B249AB" w:rsidP="001342C6">
      <w:pPr>
        <w:pStyle w:val="ListParagraph"/>
        <w:numPr>
          <w:ilvl w:val="0"/>
          <w:numId w:val="9"/>
        </w:numPr>
        <w:autoSpaceDE w:val="0"/>
        <w:autoSpaceDN w:val="0"/>
        <w:adjustRightInd w:val="0"/>
        <w:spacing w:after="0" w:line="280" w:lineRule="exact"/>
        <w:jc w:val="both"/>
        <w:rPr>
          <w:rFonts w:ascii="Times New Roman" w:hAnsi="Times New Roman"/>
          <w:bCs/>
          <w:sz w:val="24"/>
          <w:szCs w:val="24"/>
        </w:rPr>
      </w:pPr>
      <w:r w:rsidRPr="00EB2982">
        <w:rPr>
          <w:rFonts w:ascii="Times New Roman" w:hAnsi="Times New Roman"/>
          <w:bCs/>
          <w:sz w:val="24"/>
          <w:szCs w:val="24"/>
        </w:rPr>
        <w:t>Management of new SASSA cards</w:t>
      </w:r>
    </w:p>
    <w:p w14:paraId="6F9F0BF2" w14:textId="77777777" w:rsidR="00B249AB" w:rsidRPr="00EB2982" w:rsidRDefault="00B249AB" w:rsidP="001342C6">
      <w:pPr>
        <w:pStyle w:val="ListParagraph"/>
        <w:numPr>
          <w:ilvl w:val="0"/>
          <w:numId w:val="9"/>
        </w:numPr>
        <w:autoSpaceDE w:val="0"/>
        <w:autoSpaceDN w:val="0"/>
        <w:adjustRightInd w:val="0"/>
        <w:spacing w:after="0" w:line="280" w:lineRule="exact"/>
        <w:jc w:val="both"/>
        <w:rPr>
          <w:rFonts w:ascii="Times New Roman" w:hAnsi="Times New Roman"/>
          <w:bCs/>
          <w:sz w:val="24"/>
          <w:szCs w:val="24"/>
        </w:rPr>
      </w:pPr>
      <w:r w:rsidRPr="00EB2982">
        <w:rPr>
          <w:rFonts w:ascii="Times New Roman" w:hAnsi="Times New Roman"/>
          <w:bCs/>
          <w:sz w:val="24"/>
          <w:szCs w:val="24"/>
        </w:rPr>
        <w:t>Collaboration with other spheres of government</w:t>
      </w:r>
    </w:p>
    <w:p w14:paraId="439A4238" w14:textId="77777777" w:rsidR="00B249AB" w:rsidRPr="00EB2982" w:rsidRDefault="00B249AB" w:rsidP="001342C6">
      <w:pPr>
        <w:pStyle w:val="ListParagraph"/>
        <w:numPr>
          <w:ilvl w:val="0"/>
          <w:numId w:val="9"/>
        </w:numPr>
        <w:autoSpaceDE w:val="0"/>
        <w:autoSpaceDN w:val="0"/>
        <w:adjustRightInd w:val="0"/>
        <w:spacing w:after="0" w:line="280" w:lineRule="exact"/>
        <w:jc w:val="both"/>
        <w:rPr>
          <w:rFonts w:ascii="Times New Roman" w:hAnsi="Times New Roman"/>
          <w:bCs/>
          <w:sz w:val="24"/>
          <w:szCs w:val="24"/>
        </w:rPr>
      </w:pPr>
      <w:r w:rsidRPr="00EB2982">
        <w:rPr>
          <w:rFonts w:ascii="Times New Roman" w:hAnsi="Times New Roman"/>
          <w:bCs/>
          <w:sz w:val="24"/>
          <w:szCs w:val="24"/>
        </w:rPr>
        <w:t>Management of new payment arrangement mechanisms</w:t>
      </w:r>
    </w:p>
    <w:p w14:paraId="0FEB2933" w14:textId="77777777" w:rsidR="00B249AB" w:rsidRPr="00EB2982" w:rsidRDefault="00B249AB" w:rsidP="001342C6">
      <w:pPr>
        <w:pStyle w:val="ListParagraph"/>
        <w:numPr>
          <w:ilvl w:val="0"/>
          <w:numId w:val="9"/>
        </w:numPr>
        <w:autoSpaceDE w:val="0"/>
        <w:autoSpaceDN w:val="0"/>
        <w:adjustRightInd w:val="0"/>
        <w:spacing w:after="0" w:line="280" w:lineRule="exact"/>
        <w:jc w:val="both"/>
        <w:rPr>
          <w:rFonts w:ascii="Times New Roman" w:hAnsi="Times New Roman"/>
          <w:bCs/>
          <w:sz w:val="24"/>
          <w:szCs w:val="24"/>
        </w:rPr>
      </w:pPr>
      <w:r w:rsidRPr="00EB2982">
        <w:rPr>
          <w:rFonts w:ascii="Times New Roman" w:hAnsi="Times New Roman"/>
          <w:bCs/>
          <w:sz w:val="24"/>
          <w:szCs w:val="24"/>
        </w:rPr>
        <w:t>Management of biometric management system</w:t>
      </w:r>
    </w:p>
    <w:p w14:paraId="4B984E9C" w14:textId="77777777" w:rsidR="00B249AB" w:rsidRPr="00EB2982" w:rsidRDefault="00B249AB" w:rsidP="008F0E74">
      <w:pPr>
        <w:kinsoku w:val="0"/>
        <w:overflowPunct w:val="0"/>
        <w:spacing w:line="280" w:lineRule="exact"/>
        <w:jc w:val="both"/>
        <w:textAlignment w:val="baseline"/>
        <w:rPr>
          <w:rFonts w:eastAsiaTheme="minorEastAsia"/>
          <w:color w:val="FF0000"/>
        </w:rPr>
      </w:pPr>
      <w:r w:rsidRPr="00EB2982">
        <w:rPr>
          <w:bCs/>
          <w:lang w:val="en-US"/>
        </w:rPr>
        <w:t>SASSA partially achieved the first three activities. SASSA had planned to complete the migration of beneficiaries from old SASSA cards to new cards by end of December 2018. However, by end February 2019, a total of 220</w:t>
      </w:r>
      <w:r w:rsidRPr="00EB2982">
        <w:rPr>
          <w:rFonts w:eastAsiaTheme="minorEastAsia"/>
          <w:color w:val="000000" w:themeColor="text1"/>
        </w:rPr>
        <w:t xml:space="preserve"> 271 (59%) auto migrated beneficiaries had collected and activated their new cards. A total of 154 628 beneficiaries had still not collected their cards. SASSA told the committee that it was in a process of looking into the reasons for non-activation.  </w:t>
      </w:r>
    </w:p>
    <w:p w14:paraId="2D0CA2A5" w14:textId="77777777" w:rsidR="00B249AB" w:rsidRPr="00EB2982" w:rsidRDefault="00B249AB" w:rsidP="008F0E74">
      <w:pPr>
        <w:kinsoku w:val="0"/>
        <w:overflowPunct w:val="0"/>
        <w:spacing w:line="280" w:lineRule="exact"/>
        <w:jc w:val="both"/>
        <w:textAlignment w:val="baseline"/>
      </w:pPr>
    </w:p>
    <w:p w14:paraId="58C863F7" w14:textId="77777777" w:rsidR="00B249AB" w:rsidRPr="00EB2982" w:rsidRDefault="00B249AB" w:rsidP="00F96CBE">
      <w:pPr>
        <w:spacing w:line="280" w:lineRule="exact"/>
        <w:jc w:val="both"/>
      </w:pPr>
      <w:r w:rsidRPr="00EB2982">
        <w:t xml:space="preserve">With regard to collaboration with other spheres of government, the Agency achieved this by signing a </w:t>
      </w:r>
      <w:r w:rsidRPr="00EB2982">
        <w:rPr>
          <w:rFonts w:eastAsiaTheme="minorEastAsia"/>
          <w:color w:val="000000" w:themeColor="text1"/>
        </w:rPr>
        <w:t>Master Services Agreement</w:t>
      </w:r>
      <w:r w:rsidRPr="00EB2982">
        <w:t xml:space="preserve"> (MSA) and Service Level Agreement (SLA) with SAPO in September and November 2018. It also collaborated with the Department of Home Affairs to establish o</w:t>
      </w:r>
      <w:r w:rsidRPr="00EB2982">
        <w:rPr>
          <w:rFonts w:eastAsiaTheme="minorEastAsia"/>
          <w:color w:val="000000" w:themeColor="text1"/>
          <w:kern w:val="24"/>
          <w:lang w:val="en-ZA"/>
        </w:rPr>
        <w:t xml:space="preserve">ne – to – one verification of biometric data and interface its biometric data with Home Affairs National Identification System (HANIS) to enable production of new SASSA/SAPO cards. It is yet to form partnership with the Department of Small Business Development to achieve its goal of utilising social grants payments to stimulate local economy and empowerment of small business and co-operatives. </w:t>
      </w:r>
    </w:p>
    <w:p w14:paraId="1AAFD446" w14:textId="77777777" w:rsidR="00B249AB" w:rsidRPr="00EB2982" w:rsidRDefault="00B249AB" w:rsidP="00F96CBE">
      <w:pPr>
        <w:kinsoku w:val="0"/>
        <w:overflowPunct w:val="0"/>
        <w:spacing w:line="280" w:lineRule="exact"/>
        <w:jc w:val="both"/>
        <w:textAlignment w:val="baseline"/>
      </w:pPr>
      <w:r w:rsidRPr="00EB2982">
        <w:t xml:space="preserve">  </w:t>
      </w:r>
    </w:p>
    <w:p w14:paraId="666F373A" w14:textId="77777777" w:rsidR="00B249AB" w:rsidRPr="00EB2982" w:rsidRDefault="00B249AB" w:rsidP="005E2F3A">
      <w:pPr>
        <w:autoSpaceDE w:val="0"/>
        <w:autoSpaceDN w:val="0"/>
        <w:adjustRightInd w:val="0"/>
        <w:spacing w:line="280" w:lineRule="exact"/>
        <w:jc w:val="both"/>
        <w:rPr>
          <w:bCs/>
          <w:lang w:val="en-US"/>
        </w:rPr>
      </w:pPr>
      <w:r w:rsidRPr="00EB2982">
        <w:rPr>
          <w:bCs/>
          <w:lang w:val="en-US"/>
        </w:rPr>
        <w:t>For 2019/2020 financial year, SASSA plans to implement the following key interventions under this Programme:</w:t>
      </w:r>
    </w:p>
    <w:p w14:paraId="53A695F1" w14:textId="77777777" w:rsidR="004D48AF" w:rsidRPr="00EB2982" w:rsidRDefault="004D48AF" w:rsidP="005E2F3A">
      <w:pPr>
        <w:autoSpaceDE w:val="0"/>
        <w:autoSpaceDN w:val="0"/>
        <w:adjustRightInd w:val="0"/>
        <w:spacing w:line="280" w:lineRule="exact"/>
        <w:jc w:val="both"/>
        <w:rPr>
          <w:bCs/>
          <w:lang w:val="en-US"/>
        </w:rPr>
      </w:pPr>
    </w:p>
    <w:p w14:paraId="38D331A4" w14:textId="77777777" w:rsidR="00B249AB" w:rsidRPr="00EB2982" w:rsidRDefault="00B249AB" w:rsidP="001342C6">
      <w:pPr>
        <w:pStyle w:val="Pa3"/>
        <w:numPr>
          <w:ilvl w:val="0"/>
          <w:numId w:val="10"/>
        </w:numPr>
        <w:spacing w:line="280" w:lineRule="exact"/>
        <w:jc w:val="both"/>
        <w:rPr>
          <w:rFonts w:ascii="Times New Roman" w:hAnsi="Times New Roman" w:cs="Times New Roman"/>
          <w:color w:val="000000"/>
        </w:rPr>
      </w:pPr>
      <w:r w:rsidRPr="00EB2982">
        <w:rPr>
          <w:rStyle w:val="A6"/>
          <w:rFonts w:ascii="Times New Roman" w:hAnsi="Times New Roman" w:cs="Times New Roman"/>
          <w:sz w:val="24"/>
          <w:szCs w:val="24"/>
        </w:rPr>
        <w:t xml:space="preserve">Implementation of biometric authentication for system users; </w:t>
      </w:r>
    </w:p>
    <w:p w14:paraId="19243A6B" w14:textId="77777777" w:rsidR="00B249AB" w:rsidRPr="00EB2982" w:rsidRDefault="00B249AB" w:rsidP="001342C6">
      <w:pPr>
        <w:pStyle w:val="Pa3"/>
        <w:numPr>
          <w:ilvl w:val="0"/>
          <w:numId w:val="10"/>
        </w:numPr>
        <w:spacing w:line="280" w:lineRule="exact"/>
        <w:jc w:val="both"/>
        <w:rPr>
          <w:rFonts w:ascii="Times New Roman" w:hAnsi="Times New Roman" w:cs="Times New Roman"/>
          <w:color w:val="000000"/>
        </w:rPr>
      </w:pPr>
      <w:r w:rsidRPr="00EB2982">
        <w:rPr>
          <w:rStyle w:val="A6"/>
          <w:rFonts w:ascii="Times New Roman" w:hAnsi="Times New Roman" w:cs="Times New Roman"/>
          <w:sz w:val="24"/>
          <w:szCs w:val="24"/>
        </w:rPr>
        <w:t xml:space="preserve">Review of the interim organisational structure to align it with current developments particularly payment model; </w:t>
      </w:r>
    </w:p>
    <w:p w14:paraId="1DE1EC8C" w14:textId="77777777" w:rsidR="00B249AB" w:rsidRPr="00EB2982" w:rsidRDefault="00B249AB" w:rsidP="001342C6">
      <w:pPr>
        <w:pStyle w:val="Pa3"/>
        <w:numPr>
          <w:ilvl w:val="0"/>
          <w:numId w:val="10"/>
        </w:numPr>
        <w:spacing w:line="280" w:lineRule="exact"/>
        <w:jc w:val="both"/>
        <w:rPr>
          <w:rFonts w:ascii="Times New Roman" w:hAnsi="Times New Roman" w:cs="Times New Roman"/>
          <w:color w:val="000000"/>
        </w:rPr>
      </w:pPr>
      <w:r w:rsidRPr="00EB2982">
        <w:rPr>
          <w:rStyle w:val="A6"/>
          <w:rFonts w:ascii="Times New Roman" w:hAnsi="Times New Roman" w:cs="Times New Roman"/>
          <w:sz w:val="24"/>
          <w:szCs w:val="24"/>
        </w:rPr>
        <w:t xml:space="preserve">Development of a SASSA 10-year building infrastructure plan; </w:t>
      </w:r>
    </w:p>
    <w:p w14:paraId="7F3C69E2" w14:textId="77777777" w:rsidR="00B249AB" w:rsidRPr="00EB2982" w:rsidRDefault="00B249AB" w:rsidP="001342C6">
      <w:pPr>
        <w:pStyle w:val="Pa3"/>
        <w:numPr>
          <w:ilvl w:val="0"/>
          <w:numId w:val="10"/>
        </w:numPr>
        <w:spacing w:line="280" w:lineRule="exact"/>
        <w:jc w:val="both"/>
        <w:rPr>
          <w:rFonts w:ascii="Times New Roman" w:hAnsi="Times New Roman" w:cs="Times New Roman"/>
          <w:color w:val="000000"/>
        </w:rPr>
      </w:pPr>
      <w:r w:rsidRPr="00EB2982">
        <w:rPr>
          <w:rStyle w:val="A6"/>
          <w:rFonts w:ascii="Times New Roman" w:hAnsi="Times New Roman" w:cs="Times New Roman"/>
          <w:sz w:val="24"/>
          <w:szCs w:val="24"/>
        </w:rPr>
        <w:t xml:space="preserve">Upgrading of network connectivity infrastructure; </w:t>
      </w:r>
    </w:p>
    <w:p w14:paraId="4BB6F7B1" w14:textId="77777777" w:rsidR="00B249AB" w:rsidRPr="00EB2982" w:rsidRDefault="00B249AB" w:rsidP="001342C6">
      <w:pPr>
        <w:pStyle w:val="Pa3"/>
        <w:numPr>
          <w:ilvl w:val="0"/>
          <w:numId w:val="10"/>
        </w:numPr>
        <w:spacing w:line="280" w:lineRule="exact"/>
        <w:jc w:val="both"/>
        <w:rPr>
          <w:rFonts w:ascii="Times New Roman" w:hAnsi="Times New Roman" w:cs="Times New Roman"/>
          <w:color w:val="000000"/>
        </w:rPr>
      </w:pPr>
      <w:r w:rsidRPr="00EB2982">
        <w:rPr>
          <w:rStyle w:val="A6"/>
          <w:rFonts w:ascii="Times New Roman" w:hAnsi="Times New Roman" w:cs="Times New Roman"/>
          <w:sz w:val="24"/>
          <w:szCs w:val="24"/>
        </w:rPr>
        <w:t xml:space="preserve">Interfacing with other institutions, such as SAPO and Bankserv; </w:t>
      </w:r>
    </w:p>
    <w:p w14:paraId="45490D0E" w14:textId="77777777" w:rsidR="00B249AB" w:rsidRPr="00EB2982" w:rsidRDefault="00B249AB" w:rsidP="001342C6">
      <w:pPr>
        <w:pStyle w:val="Pa3"/>
        <w:numPr>
          <w:ilvl w:val="0"/>
          <w:numId w:val="10"/>
        </w:numPr>
        <w:spacing w:line="280" w:lineRule="exact"/>
        <w:jc w:val="both"/>
        <w:rPr>
          <w:rFonts w:ascii="Times New Roman" w:hAnsi="Times New Roman" w:cs="Times New Roman"/>
          <w:color w:val="000000"/>
        </w:rPr>
      </w:pPr>
      <w:r w:rsidRPr="00EB2982">
        <w:rPr>
          <w:rStyle w:val="A6"/>
          <w:rFonts w:ascii="Times New Roman" w:hAnsi="Times New Roman" w:cs="Times New Roman"/>
          <w:sz w:val="24"/>
          <w:szCs w:val="24"/>
        </w:rPr>
        <w:t xml:space="preserve">Strengthening internal controls to improve audit outcomes; </w:t>
      </w:r>
    </w:p>
    <w:p w14:paraId="1E869E11" w14:textId="77777777" w:rsidR="00B249AB" w:rsidRPr="00EB2982" w:rsidRDefault="00B249AB" w:rsidP="001342C6">
      <w:pPr>
        <w:pStyle w:val="ListParagraph"/>
        <w:numPr>
          <w:ilvl w:val="0"/>
          <w:numId w:val="10"/>
        </w:numPr>
        <w:autoSpaceDE w:val="0"/>
        <w:autoSpaceDN w:val="0"/>
        <w:adjustRightInd w:val="0"/>
        <w:spacing w:after="0" w:line="280" w:lineRule="exact"/>
        <w:jc w:val="both"/>
        <w:rPr>
          <w:rFonts w:ascii="Times New Roman" w:hAnsi="Times New Roman"/>
          <w:bCs/>
          <w:sz w:val="24"/>
          <w:szCs w:val="24"/>
        </w:rPr>
      </w:pPr>
      <w:r w:rsidRPr="00EB2982">
        <w:rPr>
          <w:rStyle w:val="A6"/>
          <w:rFonts w:ascii="Times New Roman" w:hAnsi="Times New Roman"/>
          <w:sz w:val="24"/>
          <w:szCs w:val="24"/>
        </w:rPr>
        <w:t>Reviewing of fraud and prevention strategy to improve SASSA’s approach towards the fight against fraudulent activities.</w:t>
      </w:r>
    </w:p>
    <w:p w14:paraId="2D6AACB2" w14:textId="77777777" w:rsidR="00B249AB" w:rsidRPr="00EB2982" w:rsidRDefault="00B249AB" w:rsidP="005E2F3A">
      <w:pPr>
        <w:autoSpaceDE w:val="0"/>
        <w:autoSpaceDN w:val="0"/>
        <w:adjustRightInd w:val="0"/>
        <w:spacing w:line="280" w:lineRule="exact"/>
        <w:jc w:val="both"/>
        <w:rPr>
          <w:bCs/>
          <w:lang w:val="en-US"/>
        </w:rPr>
      </w:pPr>
    </w:p>
    <w:p w14:paraId="706FFD2E" w14:textId="77777777" w:rsidR="00B249AB" w:rsidRPr="00EB2982" w:rsidRDefault="00B249AB" w:rsidP="005E2F3A">
      <w:pPr>
        <w:autoSpaceDE w:val="0"/>
        <w:autoSpaceDN w:val="0"/>
        <w:adjustRightInd w:val="0"/>
        <w:spacing w:line="280" w:lineRule="exact"/>
        <w:jc w:val="both"/>
        <w:rPr>
          <w:bCs/>
          <w:lang w:val="en-US"/>
        </w:rPr>
      </w:pPr>
      <w:r w:rsidRPr="00EB2982">
        <w:rPr>
          <w:bCs/>
          <w:lang w:val="en-US"/>
        </w:rPr>
        <w:t>Under this Programme, SASSA</w:t>
      </w:r>
      <w:r w:rsidR="00FD4BB5" w:rsidRPr="00EB2982">
        <w:rPr>
          <w:bCs/>
          <w:lang w:val="en-US"/>
        </w:rPr>
        <w:t xml:space="preserve"> has </w:t>
      </w:r>
      <w:r w:rsidRPr="00EB2982">
        <w:rPr>
          <w:bCs/>
          <w:lang w:val="en-US"/>
        </w:rPr>
        <w:t>set to achieve 22 targets for 2019/2020 financial year. These are reflected under the sub-programmes below.</w:t>
      </w:r>
    </w:p>
    <w:p w14:paraId="1350C9B8" w14:textId="77777777" w:rsidR="00B249AB" w:rsidRPr="00EB2982" w:rsidRDefault="00B249AB" w:rsidP="00B7417D">
      <w:pPr>
        <w:autoSpaceDE w:val="0"/>
        <w:autoSpaceDN w:val="0"/>
        <w:adjustRightInd w:val="0"/>
        <w:spacing w:line="280" w:lineRule="exact"/>
        <w:jc w:val="both"/>
        <w:rPr>
          <w:b/>
          <w:bCs/>
          <w:i/>
          <w:lang w:val="en-US"/>
        </w:rPr>
      </w:pPr>
      <w:r w:rsidRPr="00EB2982">
        <w:rPr>
          <w:b/>
          <w:bCs/>
          <w:i/>
          <w:lang w:val="en-US"/>
        </w:rPr>
        <w:t>Sub-programmes</w:t>
      </w:r>
    </w:p>
    <w:p w14:paraId="1D576300" w14:textId="77777777" w:rsidR="00B249AB" w:rsidRPr="00EB2982" w:rsidRDefault="00B249AB" w:rsidP="00B7417D">
      <w:pPr>
        <w:autoSpaceDE w:val="0"/>
        <w:autoSpaceDN w:val="0"/>
        <w:adjustRightInd w:val="0"/>
        <w:spacing w:line="280" w:lineRule="exact"/>
        <w:jc w:val="both"/>
        <w:rPr>
          <w:bCs/>
          <w:lang w:val="en-US"/>
        </w:rPr>
      </w:pPr>
    </w:p>
    <w:p w14:paraId="3C7DB198" w14:textId="77777777" w:rsidR="00B249AB" w:rsidRPr="00EB2982" w:rsidRDefault="00B249AB" w:rsidP="001342C6">
      <w:pPr>
        <w:autoSpaceDE w:val="0"/>
        <w:autoSpaceDN w:val="0"/>
        <w:adjustRightInd w:val="0"/>
        <w:spacing w:line="280" w:lineRule="exact"/>
        <w:jc w:val="both"/>
        <w:rPr>
          <w:b/>
          <w:bCs/>
        </w:rPr>
      </w:pPr>
      <w:r w:rsidRPr="00EB2982">
        <w:rPr>
          <w:b/>
          <w:bCs/>
        </w:rPr>
        <w:t>Fraud, Risk and Internal Audit (formerly, Executive Management)</w:t>
      </w:r>
    </w:p>
    <w:p w14:paraId="3D12EFB5" w14:textId="77777777" w:rsidR="00FD4BB5" w:rsidRPr="00EB2982" w:rsidRDefault="00FD4BB5" w:rsidP="001342C6">
      <w:pPr>
        <w:autoSpaceDE w:val="0"/>
        <w:autoSpaceDN w:val="0"/>
        <w:adjustRightInd w:val="0"/>
        <w:spacing w:line="280" w:lineRule="exact"/>
        <w:jc w:val="both"/>
        <w:rPr>
          <w:b/>
          <w:bCs/>
        </w:rPr>
      </w:pPr>
    </w:p>
    <w:p w14:paraId="1A82C447" w14:textId="77777777" w:rsidR="00B249AB" w:rsidRPr="00EB2982" w:rsidRDefault="00B249AB" w:rsidP="008F0E74">
      <w:pPr>
        <w:autoSpaceDE w:val="0"/>
        <w:autoSpaceDN w:val="0"/>
        <w:adjustRightInd w:val="0"/>
        <w:spacing w:line="280" w:lineRule="exact"/>
        <w:jc w:val="both"/>
        <w:rPr>
          <w:bCs/>
          <w:lang w:val="en-US"/>
        </w:rPr>
      </w:pPr>
      <w:r w:rsidRPr="00EB2982">
        <w:rPr>
          <w:bCs/>
          <w:lang w:val="en-US"/>
        </w:rPr>
        <w:t xml:space="preserve">Under this sub-programme SASSA has set itself to achieve four (4) targets. Most importantly it plans to review its Fraud Management Strategy and investigate 70% reported fraud and corruption cases and complete them. It also plans to maintain a Strategic Risk Register and conduct 20 internal audit reviews on high risk areas. It is important to note that these targets are set for three (3) financial years (2019/2020 to 2021/ 2022), with the exception of the target to review the Fraud Management Strategy. This is a new target. This target is very important as SASSA continues to be faced with challenges of fraud and corruption in the social grants payment.  </w:t>
      </w:r>
    </w:p>
    <w:p w14:paraId="25B0A33F" w14:textId="77777777" w:rsidR="00B249AB" w:rsidRPr="00EB2982" w:rsidRDefault="00B249AB" w:rsidP="008F0E74">
      <w:pPr>
        <w:autoSpaceDE w:val="0"/>
        <w:autoSpaceDN w:val="0"/>
        <w:adjustRightInd w:val="0"/>
        <w:spacing w:line="280" w:lineRule="exact"/>
        <w:jc w:val="both"/>
        <w:rPr>
          <w:bCs/>
          <w:lang w:val="en-US"/>
        </w:rPr>
      </w:pPr>
    </w:p>
    <w:p w14:paraId="04737E5C" w14:textId="77777777" w:rsidR="00B249AB" w:rsidRPr="00EB2982" w:rsidRDefault="00B249AB" w:rsidP="001342C6">
      <w:pPr>
        <w:autoSpaceDE w:val="0"/>
        <w:autoSpaceDN w:val="0"/>
        <w:adjustRightInd w:val="0"/>
        <w:spacing w:line="280" w:lineRule="exact"/>
        <w:jc w:val="both"/>
        <w:rPr>
          <w:b/>
          <w:bCs/>
        </w:rPr>
      </w:pPr>
      <w:r w:rsidRPr="00EB2982">
        <w:rPr>
          <w:b/>
          <w:bCs/>
        </w:rPr>
        <w:t>Corporate Services</w:t>
      </w:r>
    </w:p>
    <w:p w14:paraId="5DC3340F" w14:textId="77777777" w:rsidR="00FD4BB5" w:rsidRPr="00EB2982" w:rsidRDefault="00FD4BB5" w:rsidP="001342C6">
      <w:pPr>
        <w:autoSpaceDE w:val="0"/>
        <w:autoSpaceDN w:val="0"/>
        <w:adjustRightInd w:val="0"/>
        <w:spacing w:line="280" w:lineRule="exact"/>
        <w:jc w:val="both"/>
        <w:rPr>
          <w:b/>
          <w:bCs/>
        </w:rPr>
      </w:pPr>
    </w:p>
    <w:p w14:paraId="24B11CD6" w14:textId="77777777" w:rsidR="00B249AB" w:rsidRPr="00EB2982" w:rsidRDefault="00B249AB" w:rsidP="008F0E74">
      <w:pPr>
        <w:autoSpaceDE w:val="0"/>
        <w:autoSpaceDN w:val="0"/>
        <w:adjustRightInd w:val="0"/>
        <w:spacing w:line="280" w:lineRule="exact"/>
        <w:jc w:val="both"/>
        <w:rPr>
          <w:bCs/>
          <w:lang w:val="en-US"/>
        </w:rPr>
      </w:pPr>
      <w:r w:rsidRPr="00EB2982">
        <w:rPr>
          <w:bCs/>
          <w:lang w:val="en-US"/>
        </w:rPr>
        <w:t xml:space="preserve">Under this sub-programme, SASSA has set to achieve four (4) targets. It plans to review the Interim Organizational Structure, finalize 60% of labour relations cases and approve its Ten Year Building Infrastructure Plan. The target to review the Interim Organizational Structure is particularly important as SASSA is planning towards fully insourcing the payment of social grants. This will inevitably have an impact on how SASSA is structured. Currently, SASSA is only partially implementing its mandate, with the payment still outsourced. It only manages applications and approval of social grants applications. SASSA has an approved structure to function with 19 415 staff compliment, however to due social grant administration still outsourced its staff compliment was 9 349 in 2016/2017. This meant its vacancy rate stood at 52%. </w:t>
      </w:r>
    </w:p>
    <w:p w14:paraId="39ABFB1C" w14:textId="77777777" w:rsidR="00B249AB" w:rsidRPr="00EB2982" w:rsidRDefault="00B249AB" w:rsidP="008F0E74">
      <w:pPr>
        <w:autoSpaceDE w:val="0"/>
        <w:autoSpaceDN w:val="0"/>
        <w:adjustRightInd w:val="0"/>
        <w:spacing w:line="280" w:lineRule="exact"/>
        <w:jc w:val="both"/>
        <w:rPr>
          <w:bCs/>
          <w:lang w:val="en-US"/>
        </w:rPr>
      </w:pPr>
    </w:p>
    <w:p w14:paraId="15CD31F3" w14:textId="77777777" w:rsidR="00B249AB" w:rsidRPr="00EB2982" w:rsidRDefault="00B249AB" w:rsidP="008F0E74">
      <w:pPr>
        <w:autoSpaceDE w:val="0"/>
        <w:autoSpaceDN w:val="0"/>
        <w:adjustRightInd w:val="0"/>
        <w:spacing w:line="280" w:lineRule="exact"/>
        <w:jc w:val="both"/>
        <w:rPr>
          <w:bCs/>
          <w:lang w:val="en-US"/>
        </w:rPr>
      </w:pPr>
      <w:r w:rsidRPr="00EB2982">
        <w:rPr>
          <w:bCs/>
          <w:lang w:val="en-US"/>
        </w:rPr>
        <w:t>The target to approve the Ten Year Building Infrastructure Plan is also important because during its oversight visits the previous committee found that SASSA’s local offices and service points needed serious upgrade. Also, SASSA had challenges resulting from leasing or sharing office space with the Department of Social Development.</w:t>
      </w:r>
    </w:p>
    <w:p w14:paraId="7C01E368" w14:textId="77777777" w:rsidR="00B249AB" w:rsidRPr="00EB2982" w:rsidRDefault="00B249AB" w:rsidP="008F0E74">
      <w:pPr>
        <w:autoSpaceDE w:val="0"/>
        <w:autoSpaceDN w:val="0"/>
        <w:adjustRightInd w:val="0"/>
        <w:spacing w:line="280" w:lineRule="exact"/>
        <w:jc w:val="both"/>
        <w:rPr>
          <w:b/>
          <w:bCs/>
        </w:rPr>
      </w:pPr>
    </w:p>
    <w:p w14:paraId="6F7E0C75" w14:textId="77777777" w:rsidR="009053CF" w:rsidRPr="00EB2982" w:rsidRDefault="009053CF" w:rsidP="001342C6">
      <w:pPr>
        <w:autoSpaceDE w:val="0"/>
        <w:autoSpaceDN w:val="0"/>
        <w:adjustRightInd w:val="0"/>
        <w:spacing w:line="280" w:lineRule="exact"/>
        <w:jc w:val="both"/>
        <w:rPr>
          <w:b/>
          <w:bCs/>
        </w:rPr>
      </w:pPr>
      <w:r w:rsidRPr="00EB2982">
        <w:rPr>
          <w:b/>
          <w:bCs/>
        </w:rPr>
        <w:t>Information and Communication Technology</w:t>
      </w:r>
    </w:p>
    <w:p w14:paraId="51B0D220" w14:textId="77777777" w:rsidR="009053CF" w:rsidRPr="00EB2982" w:rsidRDefault="009053CF" w:rsidP="00B7417D">
      <w:pPr>
        <w:pStyle w:val="ListParagraph"/>
        <w:autoSpaceDE w:val="0"/>
        <w:autoSpaceDN w:val="0"/>
        <w:adjustRightInd w:val="0"/>
        <w:spacing w:line="280" w:lineRule="exact"/>
        <w:jc w:val="both"/>
        <w:rPr>
          <w:rFonts w:ascii="Times New Roman" w:hAnsi="Times New Roman"/>
          <w:b/>
          <w:bCs/>
          <w:sz w:val="24"/>
          <w:szCs w:val="24"/>
        </w:rPr>
      </w:pPr>
    </w:p>
    <w:p w14:paraId="0779E594" w14:textId="77777777" w:rsidR="009053CF" w:rsidRPr="00EB2982" w:rsidRDefault="009053CF" w:rsidP="00B7417D">
      <w:pPr>
        <w:pStyle w:val="ListParagraph"/>
        <w:autoSpaceDE w:val="0"/>
        <w:autoSpaceDN w:val="0"/>
        <w:adjustRightInd w:val="0"/>
        <w:spacing w:line="280" w:lineRule="exact"/>
        <w:ind w:left="0"/>
        <w:jc w:val="both"/>
        <w:rPr>
          <w:rFonts w:ascii="Times New Roman" w:hAnsi="Times New Roman"/>
          <w:bCs/>
          <w:sz w:val="24"/>
          <w:szCs w:val="24"/>
        </w:rPr>
      </w:pPr>
      <w:r w:rsidRPr="00EB2982">
        <w:rPr>
          <w:rFonts w:ascii="Times New Roman" w:hAnsi="Times New Roman"/>
          <w:bCs/>
          <w:sz w:val="24"/>
          <w:szCs w:val="24"/>
        </w:rPr>
        <w:t>Under this sub-programme, SASSA set to achieve eight (8) targets. Most importantly, it set itself targets to establish interfaces with SAPO, Bankserv and the Department of Social Development, upgrade network connectivity infrastructure at 116 offices, automate social grants payment reports and pilot electronic queue management system at 1 office. All these targets speak to SASSA’s move towards institutionalization of the social grant payment system.</w:t>
      </w:r>
    </w:p>
    <w:p w14:paraId="6A690AF9" w14:textId="77777777" w:rsidR="009053CF" w:rsidRPr="00EB2982" w:rsidRDefault="009053CF" w:rsidP="00B7417D">
      <w:pPr>
        <w:autoSpaceDE w:val="0"/>
        <w:autoSpaceDN w:val="0"/>
        <w:adjustRightInd w:val="0"/>
        <w:spacing w:line="280" w:lineRule="exact"/>
        <w:jc w:val="both"/>
        <w:rPr>
          <w:b/>
          <w:bCs/>
          <w:lang w:val="en-US"/>
        </w:rPr>
      </w:pPr>
      <w:r w:rsidRPr="00EB2982">
        <w:rPr>
          <w:b/>
          <w:bCs/>
          <w:lang w:val="en-US"/>
        </w:rPr>
        <w:t>Financial Management</w:t>
      </w:r>
    </w:p>
    <w:p w14:paraId="5AD6D2BD" w14:textId="77777777" w:rsidR="009053CF" w:rsidRPr="00EB2982" w:rsidRDefault="009053CF" w:rsidP="008F0E74">
      <w:pPr>
        <w:autoSpaceDE w:val="0"/>
        <w:autoSpaceDN w:val="0"/>
        <w:adjustRightInd w:val="0"/>
        <w:spacing w:line="280" w:lineRule="exact"/>
        <w:jc w:val="both"/>
        <w:rPr>
          <w:bCs/>
          <w:lang w:val="en-US"/>
        </w:rPr>
      </w:pPr>
    </w:p>
    <w:p w14:paraId="7E5F8628" w14:textId="77777777" w:rsidR="009053CF" w:rsidRPr="00EB2982" w:rsidRDefault="009053CF" w:rsidP="008F0E74">
      <w:pPr>
        <w:autoSpaceDE w:val="0"/>
        <w:autoSpaceDN w:val="0"/>
        <w:adjustRightInd w:val="0"/>
        <w:spacing w:line="280" w:lineRule="exact"/>
        <w:jc w:val="both"/>
        <w:rPr>
          <w:bCs/>
          <w:lang w:val="en-US"/>
        </w:rPr>
      </w:pPr>
      <w:r w:rsidRPr="00EB2982">
        <w:rPr>
          <w:bCs/>
          <w:lang w:val="en-US"/>
        </w:rPr>
        <w:t xml:space="preserve">SASSA plans to achieve five (5) targets under this sub-programme. Yet again for this financial year it plans to receive an unqualified audit outcome. It failed to achieve this target in 2017/2018 financial year. It received a qualified audit outcome. One of the findings that resulted in a qualified audit outcome was the financial misconduct of officials that resulted in irregular and wasteful expenditure. The concern of the erstwhile committee was the lack of accountability measures taken against those implicated. SASSA has now for this financial year set targets to finalize 60% of financial misconduct cases within 120 days. It also plans to finalise 95% backlog of financial misconduct cases. </w:t>
      </w:r>
    </w:p>
    <w:p w14:paraId="31AAA325" w14:textId="77777777" w:rsidR="009053CF" w:rsidRPr="00EB2982" w:rsidRDefault="009053CF" w:rsidP="008F0E74">
      <w:pPr>
        <w:autoSpaceDE w:val="0"/>
        <w:autoSpaceDN w:val="0"/>
        <w:adjustRightInd w:val="0"/>
        <w:spacing w:after="200" w:line="280" w:lineRule="exact"/>
        <w:jc w:val="both"/>
        <w:rPr>
          <w:b/>
          <w:color w:val="FF0000"/>
        </w:rPr>
      </w:pPr>
      <w:r w:rsidRPr="00EB2982">
        <w:rPr>
          <w:b/>
        </w:rPr>
        <w:t xml:space="preserve">Communication and Marketing </w:t>
      </w:r>
    </w:p>
    <w:p w14:paraId="7A418A98" w14:textId="77777777" w:rsidR="009053CF" w:rsidRPr="00EB2982" w:rsidRDefault="009053CF" w:rsidP="008F0E74">
      <w:pPr>
        <w:autoSpaceDE w:val="0"/>
        <w:autoSpaceDN w:val="0"/>
        <w:adjustRightInd w:val="0"/>
        <w:spacing w:after="200" w:line="280" w:lineRule="exact"/>
        <w:jc w:val="both"/>
        <w:rPr>
          <w:bCs/>
          <w:lang w:val="en-US"/>
        </w:rPr>
      </w:pPr>
      <w:r w:rsidRPr="00EB2982">
        <w:rPr>
          <w:bCs/>
          <w:lang w:val="en-US"/>
        </w:rPr>
        <w:t xml:space="preserve">Under this sub-programme SASSA has set itself a target to implement an Integrated Communication and Marketing Strategy. </w:t>
      </w:r>
    </w:p>
    <w:p w14:paraId="3F6EE659" w14:textId="77777777" w:rsidR="009053CF" w:rsidRPr="00EB2982" w:rsidRDefault="009053CF" w:rsidP="008F0E74">
      <w:pPr>
        <w:autoSpaceDE w:val="0"/>
        <w:autoSpaceDN w:val="0"/>
        <w:adjustRightInd w:val="0"/>
        <w:spacing w:line="280" w:lineRule="exact"/>
        <w:jc w:val="both"/>
        <w:rPr>
          <w:b/>
          <w:bCs/>
        </w:rPr>
      </w:pPr>
    </w:p>
    <w:p w14:paraId="1C87CB5C" w14:textId="77777777" w:rsidR="009053CF" w:rsidRPr="00EB2982" w:rsidRDefault="009053CF" w:rsidP="008F0E74">
      <w:pPr>
        <w:autoSpaceDE w:val="0"/>
        <w:autoSpaceDN w:val="0"/>
        <w:adjustRightInd w:val="0"/>
        <w:spacing w:after="200" w:line="280" w:lineRule="exact"/>
        <w:jc w:val="both"/>
        <w:rPr>
          <w:b/>
          <w:color w:val="FF0000"/>
        </w:rPr>
      </w:pPr>
      <w:r w:rsidRPr="00EB2982">
        <w:rPr>
          <w:b/>
          <w:bCs/>
          <w:lang w:val="en-US"/>
        </w:rPr>
        <w:t xml:space="preserve">Budget and expenditure trend </w:t>
      </w:r>
    </w:p>
    <w:p w14:paraId="209158E6" w14:textId="77777777" w:rsidR="00AB51AF" w:rsidRPr="00EB2982" w:rsidRDefault="00AB51AF" w:rsidP="008F0E74">
      <w:pPr>
        <w:pStyle w:val="ListParagraph"/>
        <w:autoSpaceDE w:val="0"/>
        <w:autoSpaceDN w:val="0"/>
        <w:adjustRightInd w:val="0"/>
        <w:spacing w:line="280" w:lineRule="exact"/>
        <w:ind w:left="0"/>
        <w:jc w:val="both"/>
        <w:rPr>
          <w:rFonts w:ascii="Times New Roman" w:hAnsi="Times New Roman"/>
          <w:i/>
          <w:sz w:val="24"/>
          <w:szCs w:val="24"/>
        </w:rPr>
      </w:pPr>
      <w:r w:rsidRPr="00EB2982">
        <w:rPr>
          <w:rFonts w:ascii="Times New Roman" w:hAnsi="Times New Roman"/>
          <w:noProof/>
          <w:lang w:val="en-ZA" w:eastAsia="en-ZA"/>
        </w:rPr>
        <w:drawing>
          <wp:anchor distT="0" distB="0" distL="114300" distR="114300" simplePos="0" relativeHeight="251659264" behindDoc="1" locked="0" layoutInCell="1" allowOverlap="1" wp14:anchorId="448CB7CE" wp14:editId="6574444F">
            <wp:simplePos x="0" y="0"/>
            <wp:positionH relativeFrom="margin">
              <wp:posOffset>0</wp:posOffset>
            </wp:positionH>
            <wp:positionV relativeFrom="paragraph">
              <wp:posOffset>180340</wp:posOffset>
            </wp:positionV>
            <wp:extent cx="6120130" cy="1375410"/>
            <wp:effectExtent l="0" t="0" r="0" b="0"/>
            <wp:wrapTight wrapText="bothSides">
              <wp:wrapPolygon edited="0">
                <wp:start x="0" y="0"/>
                <wp:lineTo x="0" y="21241"/>
                <wp:lineTo x="21515" y="21241"/>
                <wp:lineTo x="215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120130" cy="1375410"/>
                    </a:xfrm>
                    <a:prstGeom prst="rect">
                      <a:avLst/>
                    </a:prstGeom>
                  </pic:spPr>
                </pic:pic>
              </a:graphicData>
            </a:graphic>
          </wp:anchor>
        </w:drawing>
      </w:r>
      <w:r w:rsidRPr="00EB2982">
        <w:rPr>
          <w:rFonts w:ascii="Times New Roman" w:hAnsi="Times New Roman"/>
          <w:i/>
          <w:sz w:val="24"/>
          <w:szCs w:val="24"/>
        </w:rPr>
        <w:t>Table 8: SASSA Programme 1 budget allocation</w:t>
      </w:r>
    </w:p>
    <w:p w14:paraId="030C262E" w14:textId="77777777" w:rsidR="00AB51AF" w:rsidRPr="00EB2982" w:rsidRDefault="00565E0D" w:rsidP="008F0E74">
      <w:pPr>
        <w:pStyle w:val="ListParagraph"/>
        <w:autoSpaceDE w:val="0"/>
        <w:autoSpaceDN w:val="0"/>
        <w:adjustRightInd w:val="0"/>
        <w:spacing w:line="280" w:lineRule="exact"/>
        <w:ind w:left="0"/>
        <w:jc w:val="both"/>
        <w:rPr>
          <w:rFonts w:ascii="Times New Roman" w:hAnsi="Times New Roman"/>
          <w:sz w:val="16"/>
          <w:szCs w:val="16"/>
        </w:rPr>
      </w:pPr>
      <w:r w:rsidRPr="00EB2982">
        <w:rPr>
          <w:rFonts w:ascii="Times New Roman" w:hAnsi="Times New Roman"/>
          <w:sz w:val="16"/>
          <w:szCs w:val="16"/>
        </w:rPr>
        <w:t xml:space="preserve">Source: National Treasury, </w:t>
      </w:r>
      <w:r w:rsidR="001342C6" w:rsidRPr="00EB2982">
        <w:rPr>
          <w:rFonts w:ascii="Times New Roman" w:hAnsi="Times New Roman"/>
          <w:sz w:val="16"/>
          <w:szCs w:val="16"/>
        </w:rPr>
        <w:t>(</w:t>
      </w:r>
      <w:r w:rsidRPr="00EB2982">
        <w:rPr>
          <w:rFonts w:ascii="Times New Roman" w:hAnsi="Times New Roman"/>
          <w:sz w:val="16"/>
          <w:szCs w:val="16"/>
        </w:rPr>
        <w:t>2019</w:t>
      </w:r>
      <w:r w:rsidR="001342C6" w:rsidRPr="00EB2982">
        <w:rPr>
          <w:rFonts w:ascii="Times New Roman" w:hAnsi="Times New Roman"/>
          <w:sz w:val="16"/>
          <w:szCs w:val="16"/>
        </w:rPr>
        <w:t>)</w:t>
      </w:r>
      <w:r w:rsidR="00AB51AF" w:rsidRPr="00EB2982">
        <w:rPr>
          <w:rFonts w:ascii="Times New Roman" w:hAnsi="Times New Roman"/>
          <w:sz w:val="16"/>
          <w:szCs w:val="16"/>
        </w:rPr>
        <w:t xml:space="preserve"> </w:t>
      </w:r>
    </w:p>
    <w:p w14:paraId="04217626" w14:textId="77777777" w:rsidR="00AB51AF" w:rsidRPr="00EB2982" w:rsidRDefault="00AB51AF" w:rsidP="008F0E74">
      <w:pPr>
        <w:pStyle w:val="ListParagraph"/>
        <w:autoSpaceDE w:val="0"/>
        <w:autoSpaceDN w:val="0"/>
        <w:adjustRightInd w:val="0"/>
        <w:spacing w:line="280" w:lineRule="exact"/>
        <w:ind w:left="0"/>
        <w:jc w:val="both"/>
        <w:rPr>
          <w:rFonts w:ascii="Times New Roman" w:hAnsi="Times New Roman"/>
          <w:sz w:val="24"/>
          <w:szCs w:val="24"/>
        </w:rPr>
      </w:pPr>
    </w:p>
    <w:p w14:paraId="12BE5591" w14:textId="77777777" w:rsidR="009053CF" w:rsidRPr="00EB2982" w:rsidRDefault="009053CF" w:rsidP="008F0E74">
      <w:pPr>
        <w:pStyle w:val="ListParagraph"/>
        <w:autoSpaceDE w:val="0"/>
        <w:autoSpaceDN w:val="0"/>
        <w:adjustRightInd w:val="0"/>
        <w:spacing w:line="280" w:lineRule="exact"/>
        <w:ind w:left="0"/>
        <w:jc w:val="both"/>
        <w:rPr>
          <w:rFonts w:ascii="Times New Roman" w:hAnsi="Times New Roman"/>
          <w:sz w:val="24"/>
          <w:szCs w:val="24"/>
        </w:rPr>
      </w:pPr>
      <w:r w:rsidRPr="00EB2982">
        <w:rPr>
          <w:rFonts w:ascii="Times New Roman" w:hAnsi="Times New Roman"/>
          <w:sz w:val="24"/>
          <w:szCs w:val="24"/>
        </w:rPr>
        <w:t xml:space="preserve">SASSA has a budget allocation of R7 621 billion for 2019/2020 financial year compared to R7 760 billion for 2018/2019. </w:t>
      </w:r>
    </w:p>
    <w:p w14:paraId="2AE56A45" w14:textId="77777777" w:rsidR="009053CF" w:rsidRPr="00EB2982" w:rsidRDefault="009053CF" w:rsidP="008F0E74">
      <w:pPr>
        <w:pStyle w:val="ListParagraph"/>
        <w:autoSpaceDE w:val="0"/>
        <w:autoSpaceDN w:val="0"/>
        <w:adjustRightInd w:val="0"/>
        <w:spacing w:line="280" w:lineRule="exact"/>
        <w:ind w:left="0"/>
        <w:jc w:val="both"/>
        <w:rPr>
          <w:rFonts w:ascii="Times New Roman" w:hAnsi="Times New Roman"/>
          <w:sz w:val="24"/>
          <w:szCs w:val="24"/>
        </w:rPr>
      </w:pPr>
    </w:p>
    <w:p w14:paraId="3E2A920D" w14:textId="77777777" w:rsidR="009053CF" w:rsidRPr="00EB2982" w:rsidRDefault="009053CF" w:rsidP="008F0E74">
      <w:pPr>
        <w:pStyle w:val="ListParagraph"/>
        <w:autoSpaceDE w:val="0"/>
        <w:autoSpaceDN w:val="0"/>
        <w:adjustRightInd w:val="0"/>
        <w:spacing w:line="280" w:lineRule="exact"/>
        <w:ind w:left="0"/>
        <w:jc w:val="both"/>
        <w:rPr>
          <w:rFonts w:ascii="Times New Roman" w:hAnsi="Times New Roman"/>
          <w:sz w:val="24"/>
          <w:szCs w:val="24"/>
        </w:rPr>
      </w:pPr>
      <w:r w:rsidRPr="00EB2982">
        <w:rPr>
          <w:rFonts w:ascii="Times New Roman" w:hAnsi="Times New Roman"/>
          <w:sz w:val="24"/>
          <w:szCs w:val="24"/>
        </w:rPr>
        <w:t>Programme 1</w:t>
      </w:r>
      <w:r w:rsidR="001C714B" w:rsidRPr="00EB2982">
        <w:rPr>
          <w:rFonts w:ascii="Times New Roman" w:hAnsi="Times New Roman"/>
          <w:sz w:val="24"/>
          <w:szCs w:val="24"/>
        </w:rPr>
        <w:t>’s</w:t>
      </w:r>
      <w:r w:rsidRPr="00EB2982">
        <w:rPr>
          <w:rFonts w:ascii="Times New Roman" w:hAnsi="Times New Roman"/>
          <w:sz w:val="24"/>
          <w:szCs w:val="24"/>
        </w:rPr>
        <w:t xml:space="preserve"> budget allocation for 2019/2020 decreased slightly from R3.178 billion in 2019/20 to R3 032 billion. There is an overall decrease of budget allocation in sub-programmes 2,3 and 5. The latter programme has the sharp decrease of 67.9%. There are however no targets set for this programme in the APP.  </w:t>
      </w:r>
    </w:p>
    <w:p w14:paraId="0231C8AB" w14:textId="77777777" w:rsidR="009053CF" w:rsidRPr="00EB2982" w:rsidRDefault="009053CF" w:rsidP="008F0E74">
      <w:pPr>
        <w:pStyle w:val="ListParagraph"/>
        <w:autoSpaceDE w:val="0"/>
        <w:autoSpaceDN w:val="0"/>
        <w:adjustRightInd w:val="0"/>
        <w:spacing w:line="280" w:lineRule="exact"/>
        <w:ind w:left="0"/>
        <w:jc w:val="both"/>
        <w:rPr>
          <w:rFonts w:ascii="Times New Roman" w:hAnsi="Times New Roman"/>
          <w:b/>
          <w:sz w:val="24"/>
          <w:szCs w:val="24"/>
        </w:rPr>
      </w:pPr>
    </w:p>
    <w:p w14:paraId="4AEBEBF0" w14:textId="77777777" w:rsidR="009053CF" w:rsidRPr="00EB2982" w:rsidRDefault="001C714B" w:rsidP="008F0E74">
      <w:pPr>
        <w:pStyle w:val="ListParagraph"/>
        <w:autoSpaceDE w:val="0"/>
        <w:autoSpaceDN w:val="0"/>
        <w:adjustRightInd w:val="0"/>
        <w:spacing w:line="280" w:lineRule="exact"/>
        <w:ind w:left="0"/>
        <w:jc w:val="both"/>
        <w:rPr>
          <w:rFonts w:ascii="Times New Roman" w:hAnsi="Times New Roman"/>
          <w:color w:val="FF0000"/>
          <w:sz w:val="24"/>
          <w:szCs w:val="24"/>
        </w:rPr>
      </w:pPr>
      <w:r w:rsidRPr="00EB2982">
        <w:rPr>
          <w:rFonts w:ascii="Times New Roman" w:hAnsi="Times New Roman"/>
          <w:sz w:val="24"/>
          <w:szCs w:val="24"/>
        </w:rPr>
        <w:t>B</w:t>
      </w:r>
      <w:r w:rsidR="009053CF" w:rsidRPr="00EB2982">
        <w:rPr>
          <w:rFonts w:ascii="Times New Roman" w:hAnsi="Times New Roman"/>
          <w:sz w:val="24"/>
          <w:szCs w:val="24"/>
        </w:rPr>
        <w:t xml:space="preserve">udget allocations for sub-programmes 1 and 4 have been increased. The increase in sub-programme 1 can be attributed to an added target (review of the Fraud Management Strategy) for this financial year. Under sub-programme 4, SASSA set 5 targets compared to 6 targets in the previous year. It has however increased percentages in two targets relating to finalising financial misconduct cases. For 2018/2019 it had planned to finalise 50% of current financial misconduct. For 2019/2020 the percentage is 60% within 120 days as opposed to 90 days as set in 2018/2019. SASSA also increased the percentage of finalising a backlog of financial misconduct cases from 90% to 95% in 2019/2020.   </w:t>
      </w:r>
    </w:p>
    <w:p w14:paraId="57C72949" w14:textId="77777777" w:rsidR="009053CF" w:rsidRPr="00EB2982" w:rsidRDefault="009053CF" w:rsidP="008F0E74">
      <w:pPr>
        <w:pStyle w:val="ListParagraph"/>
        <w:autoSpaceDE w:val="0"/>
        <w:autoSpaceDN w:val="0"/>
        <w:adjustRightInd w:val="0"/>
        <w:spacing w:line="280" w:lineRule="exact"/>
        <w:ind w:left="0"/>
        <w:jc w:val="both"/>
        <w:rPr>
          <w:rFonts w:ascii="Times New Roman" w:hAnsi="Times New Roman"/>
          <w:color w:val="FF0000"/>
          <w:sz w:val="24"/>
          <w:szCs w:val="24"/>
        </w:rPr>
      </w:pPr>
    </w:p>
    <w:p w14:paraId="0E87B0DC" w14:textId="77777777" w:rsidR="009053CF" w:rsidRPr="00EB2982" w:rsidRDefault="009053CF" w:rsidP="001342C6">
      <w:pPr>
        <w:autoSpaceDE w:val="0"/>
        <w:autoSpaceDN w:val="0"/>
        <w:adjustRightInd w:val="0"/>
        <w:spacing w:line="280" w:lineRule="exact"/>
        <w:jc w:val="both"/>
        <w:rPr>
          <w:b/>
          <w:bCs/>
        </w:rPr>
      </w:pPr>
      <w:r w:rsidRPr="00EB2982">
        <w:rPr>
          <w:b/>
          <w:bCs/>
        </w:rPr>
        <w:t>Programme 2: Benefits Administration and Support</w:t>
      </w:r>
    </w:p>
    <w:p w14:paraId="0698AB83" w14:textId="77777777" w:rsidR="00F2761F" w:rsidRPr="00EB2982" w:rsidRDefault="00F2761F" w:rsidP="001342C6">
      <w:pPr>
        <w:autoSpaceDE w:val="0"/>
        <w:autoSpaceDN w:val="0"/>
        <w:adjustRightInd w:val="0"/>
        <w:spacing w:line="280" w:lineRule="exact"/>
        <w:jc w:val="both"/>
        <w:rPr>
          <w:b/>
          <w:bCs/>
        </w:rPr>
      </w:pPr>
    </w:p>
    <w:p w14:paraId="29F86DEC" w14:textId="77777777" w:rsidR="009053CF" w:rsidRPr="00EB2982" w:rsidRDefault="009053CF" w:rsidP="008F0E74">
      <w:pPr>
        <w:autoSpaceDE w:val="0"/>
        <w:autoSpaceDN w:val="0"/>
        <w:adjustRightInd w:val="0"/>
        <w:spacing w:line="280" w:lineRule="exact"/>
        <w:jc w:val="both"/>
        <w:rPr>
          <w:bCs/>
          <w:lang w:val="en-US"/>
        </w:rPr>
      </w:pPr>
      <w:r w:rsidRPr="00EB2982">
        <w:rPr>
          <w:bCs/>
          <w:lang w:val="en-US"/>
        </w:rPr>
        <w:t xml:space="preserve">This programme provides grant administration service and ensures that operations within SASSA are integrated. </w:t>
      </w:r>
    </w:p>
    <w:p w14:paraId="3A9DCC74" w14:textId="77777777" w:rsidR="009053CF" w:rsidRPr="00EB2982" w:rsidRDefault="009053CF" w:rsidP="008F0E74">
      <w:pPr>
        <w:autoSpaceDE w:val="0"/>
        <w:autoSpaceDN w:val="0"/>
        <w:adjustRightInd w:val="0"/>
        <w:spacing w:line="280" w:lineRule="exact"/>
        <w:jc w:val="both"/>
        <w:rPr>
          <w:bCs/>
          <w:lang w:val="en-US"/>
        </w:rPr>
      </w:pPr>
    </w:p>
    <w:p w14:paraId="52B95030" w14:textId="77777777" w:rsidR="009053CF" w:rsidRPr="00EB2982" w:rsidRDefault="009053CF" w:rsidP="008F0E74">
      <w:pPr>
        <w:autoSpaceDE w:val="0"/>
        <w:autoSpaceDN w:val="0"/>
        <w:adjustRightInd w:val="0"/>
        <w:spacing w:line="280" w:lineRule="exact"/>
        <w:jc w:val="both"/>
        <w:rPr>
          <w:bCs/>
          <w:lang w:val="en-US"/>
        </w:rPr>
      </w:pPr>
      <w:r w:rsidRPr="00EB2982">
        <w:rPr>
          <w:bCs/>
          <w:lang w:val="en-US"/>
        </w:rPr>
        <w:t>For 2019/2020 financial year, SASSA plans to implement the following key interventions under this Programme:</w:t>
      </w:r>
    </w:p>
    <w:p w14:paraId="2A46174F" w14:textId="77777777" w:rsidR="004E04A7" w:rsidRPr="00EB2982" w:rsidRDefault="004E04A7" w:rsidP="008F0E74">
      <w:pPr>
        <w:autoSpaceDE w:val="0"/>
        <w:autoSpaceDN w:val="0"/>
        <w:adjustRightInd w:val="0"/>
        <w:spacing w:line="280" w:lineRule="exact"/>
        <w:jc w:val="both"/>
        <w:rPr>
          <w:bCs/>
          <w:lang w:val="en-US"/>
        </w:rPr>
      </w:pPr>
    </w:p>
    <w:p w14:paraId="5DF8EB51" w14:textId="77777777" w:rsidR="009053CF" w:rsidRPr="00EB2982" w:rsidRDefault="009053CF" w:rsidP="001342C6">
      <w:pPr>
        <w:pStyle w:val="Pa0"/>
        <w:numPr>
          <w:ilvl w:val="0"/>
          <w:numId w:val="11"/>
        </w:numPr>
        <w:spacing w:line="280" w:lineRule="exact"/>
        <w:rPr>
          <w:rFonts w:ascii="Times New Roman" w:hAnsi="Times New Roman" w:cs="Times New Roman"/>
          <w:color w:val="000000"/>
        </w:rPr>
      </w:pPr>
      <w:r w:rsidRPr="00EB2982">
        <w:rPr>
          <w:rStyle w:val="A6"/>
          <w:rFonts w:ascii="Times New Roman" w:hAnsi="Times New Roman" w:cs="Times New Roman"/>
          <w:sz w:val="24"/>
          <w:szCs w:val="24"/>
        </w:rPr>
        <w:t xml:space="preserve">Implementation of social assistance programmes, including the Social Relief of Distress; </w:t>
      </w:r>
    </w:p>
    <w:p w14:paraId="3168766A" w14:textId="77777777" w:rsidR="009053CF" w:rsidRPr="00EB2982" w:rsidRDefault="009053CF" w:rsidP="001342C6">
      <w:pPr>
        <w:pStyle w:val="Pa0"/>
        <w:numPr>
          <w:ilvl w:val="0"/>
          <w:numId w:val="11"/>
        </w:numPr>
        <w:spacing w:line="280" w:lineRule="exact"/>
        <w:rPr>
          <w:rFonts w:ascii="Times New Roman" w:hAnsi="Times New Roman" w:cs="Times New Roman"/>
          <w:color w:val="000000"/>
        </w:rPr>
      </w:pPr>
      <w:r w:rsidRPr="00EB2982">
        <w:rPr>
          <w:rStyle w:val="A6"/>
          <w:rFonts w:ascii="Times New Roman" w:hAnsi="Times New Roman" w:cs="Times New Roman"/>
          <w:sz w:val="24"/>
          <w:szCs w:val="24"/>
        </w:rPr>
        <w:t xml:space="preserve">Biometric enrolment of new beneficiaries in line with the approved project plan; </w:t>
      </w:r>
    </w:p>
    <w:p w14:paraId="0F93A13E" w14:textId="77777777" w:rsidR="009053CF" w:rsidRPr="00EB2982" w:rsidRDefault="009053CF" w:rsidP="001342C6">
      <w:pPr>
        <w:pStyle w:val="Pa0"/>
        <w:numPr>
          <w:ilvl w:val="0"/>
          <w:numId w:val="11"/>
        </w:numPr>
        <w:spacing w:line="280" w:lineRule="exact"/>
        <w:rPr>
          <w:rFonts w:ascii="Times New Roman" w:hAnsi="Times New Roman" w:cs="Times New Roman"/>
          <w:color w:val="000000"/>
        </w:rPr>
      </w:pPr>
      <w:r w:rsidRPr="00EB2982">
        <w:rPr>
          <w:rStyle w:val="A6"/>
          <w:rFonts w:ascii="Times New Roman" w:hAnsi="Times New Roman" w:cs="Times New Roman"/>
          <w:sz w:val="24"/>
          <w:szCs w:val="24"/>
        </w:rPr>
        <w:t xml:space="preserve">Implementing of the Integrated Community Registration Outreach Programme (ICROP) including its impact assessment; </w:t>
      </w:r>
    </w:p>
    <w:p w14:paraId="2D9D8E1B" w14:textId="77777777" w:rsidR="009053CF" w:rsidRPr="00EB2982" w:rsidRDefault="009053CF" w:rsidP="001342C6">
      <w:pPr>
        <w:pStyle w:val="ListParagraph"/>
        <w:numPr>
          <w:ilvl w:val="0"/>
          <w:numId w:val="11"/>
        </w:numPr>
        <w:autoSpaceDE w:val="0"/>
        <w:autoSpaceDN w:val="0"/>
        <w:adjustRightInd w:val="0"/>
        <w:spacing w:after="0" w:line="280" w:lineRule="exact"/>
        <w:jc w:val="both"/>
        <w:rPr>
          <w:rFonts w:ascii="Times New Roman" w:hAnsi="Times New Roman"/>
          <w:bCs/>
          <w:sz w:val="24"/>
          <w:szCs w:val="24"/>
        </w:rPr>
      </w:pPr>
      <w:r w:rsidRPr="00EB2982">
        <w:rPr>
          <w:rStyle w:val="A6"/>
          <w:rFonts w:ascii="Times New Roman" w:hAnsi="Times New Roman"/>
          <w:sz w:val="24"/>
          <w:szCs w:val="24"/>
        </w:rPr>
        <w:t>Review of social grants excluding old age (OAG) in line with policy.</w:t>
      </w:r>
    </w:p>
    <w:p w14:paraId="10617FB2" w14:textId="77777777" w:rsidR="009053CF" w:rsidRPr="00EB2982" w:rsidRDefault="009053CF" w:rsidP="005E2F3A">
      <w:pPr>
        <w:autoSpaceDE w:val="0"/>
        <w:autoSpaceDN w:val="0"/>
        <w:adjustRightInd w:val="0"/>
        <w:spacing w:line="280" w:lineRule="exact"/>
        <w:jc w:val="both"/>
        <w:rPr>
          <w:bCs/>
          <w:lang w:val="en-US"/>
        </w:rPr>
      </w:pPr>
    </w:p>
    <w:p w14:paraId="076C99FF" w14:textId="77777777" w:rsidR="009053CF" w:rsidRPr="00EB2982" w:rsidRDefault="009053CF" w:rsidP="005E2F3A">
      <w:pPr>
        <w:autoSpaceDE w:val="0"/>
        <w:autoSpaceDN w:val="0"/>
        <w:adjustRightInd w:val="0"/>
        <w:spacing w:line="280" w:lineRule="exact"/>
        <w:jc w:val="both"/>
        <w:rPr>
          <w:bCs/>
          <w:lang w:val="en-US"/>
        </w:rPr>
      </w:pPr>
      <w:r w:rsidRPr="00EB2982">
        <w:rPr>
          <w:bCs/>
          <w:lang w:val="en-US"/>
        </w:rPr>
        <w:t>This Programme functions according to two sub-programmes, namely:</w:t>
      </w:r>
    </w:p>
    <w:p w14:paraId="6C5C864E" w14:textId="77777777" w:rsidR="009053CF" w:rsidRPr="00EB2982" w:rsidRDefault="009053CF" w:rsidP="008E441E">
      <w:pPr>
        <w:autoSpaceDE w:val="0"/>
        <w:autoSpaceDN w:val="0"/>
        <w:adjustRightInd w:val="0"/>
        <w:spacing w:line="280" w:lineRule="exact"/>
        <w:jc w:val="both"/>
        <w:rPr>
          <w:bCs/>
          <w:lang w:val="en-US"/>
        </w:rPr>
      </w:pPr>
      <w:r w:rsidRPr="00EB2982">
        <w:rPr>
          <w:bCs/>
          <w:lang w:val="en-US"/>
        </w:rPr>
        <w:t xml:space="preserve"> </w:t>
      </w:r>
    </w:p>
    <w:p w14:paraId="349940CB" w14:textId="77777777" w:rsidR="009053CF" w:rsidRPr="00EB2982" w:rsidRDefault="009053CF" w:rsidP="004E04A7">
      <w:pPr>
        <w:autoSpaceDE w:val="0"/>
        <w:autoSpaceDN w:val="0"/>
        <w:adjustRightInd w:val="0"/>
        <w:spacing w:line="280" w:lineRule="exact"/>
        <w:jc w:val="both"/>
        <w:rPr>
          <w:b/>
          <w:bCs/>
        </w:rPr>
      </w:pPr>
      <w:r w:rsidRPr="00EB2982">
        <w:rPr>
          <w:b/>
          <w:bCs/>
        </w:rPr>
        <w:t>Benefit Administration</w:t>
      </w:r>
    </w:p>
    <w:p w14:paraId="7657794B" w14:textId="77777777" w:rsidR="004E04A7" w:rsidRPr="00EB2982" w:rsidRDefault="004E04A7" w:rsidP="004E04A7">
      <w:pPr>
        <w:autoSpaceDE w:val="0"/>
        <w:autoSpaceDN w:val="0"/>
        <w:adjustRightInd w:val="0"/>
        <w:spacing w:line="280" w:lineRule="exact"/>
        <w:jc w:val="both"/>
        <w:rPr>
          <w:b/>
          <w:bCs/>
        </w:rPr>
      </w:pPr>
    </w:p>
    <w:p w14:paraId="14D53260" w14:textId="77777777" w:rsidR="009053CF" w:rsidRPr="00EB2982" w:rsidRDefault="009053CF" w:rsidP="00B7417D">
      <w:pPr>
        <w:autoSpaceDE w:val="0"/>
        <w:autoSpaceDN w:val="0"/>
        <w:adjustRightInd w:val="0"/>
        <w:spacing w:line="280" w:lineRule="exact"/>
        <w:jc w:val="both"/>
        <w:rPr>
          <w:bCs/>
        </w:rPr>
      </w:pPr>
      <w:r w:rsidRPr="00EB2982">
        <w:rPr>
          <w:bCs/>
        </w:rPr>
        <w:t xml:space="preserve">This programme has a total number of 11 targets for 2019/20 financial year. Most importantly SASSA plans to award 252 833 SRD applications. It also plans to award 123 million of total Social Relief of Distress (SRD) rand value awarded through cooperatives and Small Medium and Micro-Enterprises (SMMEs). This is an important target because SRD provides assistance </w:t>
      </w:r>
      <w:r w:rsidRPr="00EB2982">
        <w:rPr>
          <w:rFonts w:eastAsia="Calibri"/>
          <w:bCs/>
          <w:lang w:val="en-US" w:eastAsia="en-ZA"/>
        </w:rPr>
        <w:t xml:space="preserve">who are waiting for their social grants. It is also paid to people who have suffered a personal disaster that has resulted in loss of property. </w:t>
      </w:r>
    </w:p>
    <w:p w14:paraId="51FA57BA" w14:textId="77777777" w:rsidR="009053CF" w:rsidRPr="00EB2982" w:rsidRDefault="009053CF" w:rsidP="00B7417D">
      <w:pPr>
        <w:autoSpaceDE w:val="0"/>
        <w:autoSpaceDN w:val="0"/>
        <w:adjustRightInd w:val="0"/>
        <w:spacing w:line="280" w:lineRule="exact"/>
        <w:jc w:val="both"/>
        <w:rPr>
          <w:bCs/>
        </w:rPr>
      </w:pPr>
    </w:p>
    <w:p w14:paraId="0C046605" w14:textId="77777777" w:rsidR="009053CF" w:rsidRPr="00EB2982" w:rsidRDefault="009053CF" w:rsidP="00B7417D">
      <w:pPr>
        <w:autoSpaceDE w:val="0"/>
        <w:autoSpaceDN w:val="0"/>
        <w:adjustRightInd w:val="0"/>
        <w:spacing w:line="280" w:lineRule="exact"/>
        <w:jc w:val="both"/>
        <w:rPr>
          <w:rFonts w:eastAsia="Calibri"/>
          <w:bCs/>
          <w:lang w:val="en-US" w:eastAsia="en-ZA"/>
        </w:rPr>
      </w:pPr>
      <w:r w:rsidRPr="00EB2982">
        <w:rPr>
          <w:bCs/>
        </w:rPr>
        <w:t xml:space="preserve">The other important targets involve processing 560 000 applications for children aged 0-1 and processing 100% received Foster Care Grant orders within 10 days. These are important in that they address some of the challenges of exclusions in the social assistance programme. A study commissioned by the Department of Social Development, </w:t>
      </w:r>
      <w:r w:rsidRPr="00EB2982">
        <w:rPr>
          <w:rFonts w:eastAsia="Calibri"/>
          <w:bCs/>
          <w:lang w:val="en-US" w:eastAsia="en-ZA"/>
        </w:rPr>
        <w:t xml:space="preserve">SASSA and the United Nations Children’s Fund (Unicef) to the Economic Policy Research Institute found that there was a very high exclusion (43.3%) of children aged 0 -1 from the children social grants. </w:t>
      </w:r>
    </w:p>
    <w:p w14:paraId="1FCA936D" w14:textId="77777777" w:rsidR="009053CF" w:rsidRPr="00EB2982" w:rsidRDefault="009053CF" w:rsidP="008F0E74">
      <w:pPr>
        <w:autoSpaceDE w:val="0"/>
        <w:autoSpaceDN w:val="0"/>
        <w:adjustRightInd w:val="0"/>
        <w:spacing w:line="280" w:lineRule="exact"/>
        <w:jc w:val="both"/>
        <w:rPr>
          <w:rFonts w:eastAsia="Calibri"/>
          <w:bCs/>
          <w:lang w:val="en-US" w:eastAsia="en-ZA"/>
        </w:rPr>
      </w:pPr>
    </w:p>
    <w:p w14:paraId="39868C9F" w14:textId="77777777" w:rsidR="009053CF" w:rsidRPr="00EB2982" w:rsidRDefault="009053CF" w:rsidP="008F0E74">
      <w:pPr>
        <w:pStyle w:val="ListParagraph"/>
        <w:spacing w:line="280" w:lineRule="exact"/>
        <w:ind w:left="0"/>
        <w:jc w:val="both"/>
        <w:rPr>
          <w:rFonts w:ascii="Times New Roman" w:eastAsia="ヒラギノ角ゴ Pro W3" w:hAnsi="Times New Roman"/>
          <w:bCs/>
          <w:color w:val="000000"/>
          <w:kern w:val="24"/>
          <w:sz w:val="24"/>
          <w:szCs w:val="24"/>
        </w:rPr>
      </w:pPr>
      <w:r w:rsidRPr="00EB2982">
        <w:rPr>
          <w:rFonts w:ascii="Times New Roman" w:eastAsia="Calibri" w:hAnsi="Times New Roman"/>
          <w:bCs/>
          <w:sz w:val="24"/>
          <w:szCs w:val="24"/>
        </w:rPr>
        <w:t>Many children have been left without Foster Care Grant due to delays in processing reviews of court orders, which resulted in some orders lapsing.  SASSA reported to the erstwhile Committee that a</w:t>
      </w:r>
      <w:r w:rsidRPr="00EB2982">
        <w:rPr>
          <w:rFonts w:ascii="Times New Roman" w:eastAsia="ヒラギノ角ゴ Pro W3" w:hAnsi="Times New Roman"/>
          <w:bCs/>
          <w:color w:val="000000"/>
          <w:kern w:val="24"/>
          <w:sz w:val="24"/>
          <w:szCs w:val="24"/>
        </w:rPr>
        <w:t xml:space="preserve">s at November 2017, there was a total of 49 534 foster care orders in terms of the Children’s Act, which needed to be extended by the Children’s Court before 31 December 2017. It projected an estimated 30 232 orders that were going to lapse between January – March 2018. </w:t>
      </w:r>
    </w:p>
    <w:p w14:paraId="79CD894C" w14:textId="77777777" w:rsidR="009053CF" w:rsidRPr="00EB2982" w:rsidRDefault="009053CF" w:rsidP="008F0E74">
      <w:pPr>
        <w:autoSpaceDE w:val="0"/>
        <w:autoSpaceDN w:val="0"/>
        <w:adjustRightInd w:val="0"/>
        <w:spacing w:line="280" w:lineRule="exact"/>
        <w:jc w:val="both"/>
        <w:rPr>
          <w:b/>
          <w:bCs/>
        </w:rPr>
      </w:pPr>
    </w:p>
    <w:p w14:paraId="5D192B22" w14:textId="77777777" w:rsidR="009053CF" w:rsidRPr="00EB2982" w:rsidRDefault="009053CF" w:rsidP="004E04A7">
      <w:pPr>
        <w:autoSpaceDE w:val="0"/>
        <w:autoSpaceDN w:val="0"/>
        <w:adjustRightInd w:val="0"/>
        <w:spacing w:line="280" w:lineRule="exact"/>
        <w:jc w:val="both"/>
        <w:rPr>
          <w:b/>
          <w:bCs/>
        </w:rPr>
      </w:pPr>
      <w:r w:rsidRPr="00EB2982">
        <w:rPr>
          <w:b/>
          <w:bCs/>
        </w:rPr>
        <w:t>Payment Administration</w:t>
      </w:r>
    </w:p>
    <w:p w14:paraId="2998A160" w14:textId="77777777" w:rsidR="009053CF" w:rsidRPr="00EB2982" w:rsidRDefault="009053CF" w:rsidP="008F0E74">
      <w:pPr>
        <w:autoSpaceDE w:val="0"/>
        <w:autoSpaceDN w:val="0"/>
        <w:adjustRightInd w:val="0"/>
        <w:spacing w:line="280" w:lineRule="exact"/>
        <w:jc w:val="both"/>
        <w:rPr>
          <w:b/>
          <w:bCs/>
        </w:rPr>
      </w:pPr>
    </w:p>
    <w:p w14:paraId="5F73BA89" w14:textId="77777777" w:rsidR="009053CF" w:rsidRPr="00EB2982" w:rsidRDefault="009053CF" w:rsidP="008F0E74">
      <w:pPr>
        <w:autoSpaceDE w:val="0"/>
        <w:autoSpaceDN w:val="0"/>
        <w:adjustRightInd w:val="0"/>
        <w:spacing w:line="280" w:lineRule="exact"/>
        <w:jc w:val="both"/>
        <w:rPr>
          <w:bCs/>
        </w:rPr>
      </w:pPr>
      <w:r w:rsidRPr="00EB2982">
        <w:rPr>
          <w:bCs/>
        </w:rPr>
        <w:t xml:space="preserve">This sub-programme is set to achieve two (2) targets. The important target is that of managing service provider for social grant payment (SAPO). This is one of five activities that SASSA had set (as mentioned above in section 5.1) to undertake during the transition period   </w:t>
      </w:r>
    </w:p>
    <w:p w14:paraId="75C811BA" w14:textId="77777777" w:rsidR="009053CF" w:rsidRPr="00EB2982" w:rsidRDefault="009053CF" w:rsidP="008F0E74">
      <w:pPr>
        <w:autoSpaceDE w:val="0"/>
        <w:autoSpaceDN w:val="0"/>
        <w:adjustRightInd w:val="0"/>
        <w:spacing w:line="280" w:lineRule="exact"/>
        <w:jc w:val="both"/>
        <w:rPr>
          <w:bCs/>
        </w:rPr>
      </w:pPr>
    </w:p>
    <w:p w14:paraId="175D055C" w14:textId="77777777" w:rsidR="009053CF" w:rsidRPr="00EB2982" w:rsidRDefault="009053CF" w:rsidP="008F0E74">
      <w:pPr>
        <w:autoSpaceDE w:val="0"/>
        <w:autoSpaceDN w:val="0"/>
        <w:adjustRightInd w:val="0"/>
        <w:spacing w:line="280" w:lineRule="exact"/>
        <w:jc w:val="both"/>
        <w:rPr>
          <w:b/>
          <w:bCs/>
        </w:rPr>
      </w:pPr>
      <w:r w:rsidRPr="00EB2982">
        <w:rPr>
          <w:b/>
          <w:bCs/>
        </w:rPr>
        <w:t>Expenditure Trends and estimates</w:t>
      </w:r>
    </w:p>
    <w:p w14:paraId="66A34667" w14:textId="77777777" w:rsidR="009053CF" w:rsidRPr="00EB2982" w:rsidRDefault="009053CF" w:rsidP="008F0E74">
      <w:pPr>
        <w:autoSpaceDE w:val="0"/>
        <w:autoSpaceDN w:val="0"/>
        <w:adjustRightInd w:val="0"/>
        <w:spacing w:line="280" w:lineRule="exact"/>
        <w:jc w:val="both"/>
        <w:rPr>
          <w:b/>
          <w:bCs/>
        </w:rPr>
      </w:pPr>
    </w:p>
    <w:p w14:paraId="20D0CF29" w14:textId="77777777" w:rsidR="009053CF" w:rsidRPr="00EB2982" w:rsidRDefault="009053CF" w:rsidP="008E441E">
      <w:pPr>
        <w:autoSpaceDE w:val="0"/>
        <w:autoSpaceDN w:val="0"/>
        <w:adjustRightInd w:val="0"/>
        <w:spacing w:line="280" w:lineRule="exact"/>
        <w:jc w:val="both"/>
        <w:rPr>
          <w:bCs/>
        </w:rPr>
      </w:pPr>
      <w:r w:rsidRPr="00EB2982">
        <w:rPr>
          <w:bCs/>
        </w:rPr>
        <w:t>Programme 2 has a total of 13 ta</w:t>
      </w:r>
      <w:r w:rsidR="004E04A7" w:rsidRPr="00EB2982">
        <w:rPr>
          <w:bCs/>
        </w:rPr>
        <w:t xml:space="preserve">rgets. It has a total </w:t>
      </w:r>
      <w:r w:rsidRPr="00EB2982">
        <w:rPr>
          <w:bCs/>
        </w:rPr>
        <w:t>budget allocation of R4.785</w:t>
      </w:r>
      <w:r w:rsidRPr="00EB2982">
        <w:rPr>
          <w:b/>
          <w:bCs/>
        </w:rPr>
        <w:t xml:space="preserve"> </w:t>
      </w:r>
      <w:r w:rsidRPr="00EB2982">
        <w:rPr>
          <w:bCs/>
        </w:rPr>
        <w:t xml:space="preserve">billion for 2019/20, as opposed to an approved budget of R5.003 billion in the previous year. In the previous year this programme had 18 targets, which may explain the slight decrease in the budget allocation. </w:t>
      </w:r>
    </w:p>
    <w:p w14:paraId="05A82766" w14:textId="77777777" w:rsidR="00C6588B" w:rsidRPr="00EB2982" w:rsidRDefault="00C6588B" w:rsidP="00B7417D">
      <w:pPr>
        <w:autoSpaceDE w:val="0"/>
        <w:autoSpaceDN w:val="0"/>
        <w:adjustRightInd w:val="0"/>
        <w:spacing w:line="280" w:lineRule="exact"/>
        <w:jc w:val="both"/>
        <w:rPr>
          <w:b/>
          <w:bCs/>
        </w:rPr>
      </w:pPr>
    </w:p>
    <w:p w14:paraId="1EFC1CD1" w14:textId="77777777" w:rsidR="002D76CE" w:rsidRPr="00EB2982" w:rsidRDefault="00994C2E" w:rsidP="00B7417D">
      <w:pPr>
        <w:tabs>
          <w:tab w:val="left" w:pos="5925"/>
        </w:tabs>
        <w:spacing w:line="280" w:lineRule="exact"/>
        <w:jc w:val="both"/>
        <w:rPr>
          <w:b/>
        </w:rPr>
      </w:pPr>
      <w:r w:rsidRPr="00EB2982">
        <w:rPr>
          <w:b/>
        </w:rPr>
        <w:t>9</w:t>
      </w:r>
      <w:r w:rsidR="001B5E21" w:rsidRPr="00EB2982">
        <w:rPr>
          <w:b/>
        </w:rPr>
        <w:t>. COMMITTEE DELIBERATIONS AND OBSERVATIONS</w:t>
      </w:r>
    </w:p>
    <w:p w14:paraId="48EA5092" w14:textId="77777777" w:rsidR="00845FEB" w:rsidRPr="00EB2982" w:rsidRDefault="00845FEB" w:rsidP="008F0E74">
      <w:pPr>
        <w:tabs>
          <w:tab w:val="left" w:pos="5925"/>
        </w:tabs>
        <w:spacing w:line="280" w:lineRule="exact"/>
        <w:jc w:val="both"/>
        <w:rPr>
          <w:b/>
        </w:rPr>
      </w:pPr>
    </w:p>
    <w:p w14:paraId="6021D84A" w14:textId="77777777" w:rsidR="00741764" w:rsidRPr="00EB2982" w:rsidRDefault="00741764" w:rsidP="001342C6">
      <w:pPr>
        <w:pStyle w:val="ListParagraph"/>
        <w:numPr>
          <w:ilvl w:val="0"/>
          <w:numId w:val="13"/>
        </w:numPr>
        <w:spacing w:after="0" w:line="280" w:lineRule="exact"/>
        <w:jc w:val="both"/>
        <w:rPr>
          <w:rFonts w:ascii="Times New Roman" w:hAnsi="Times New Roman"/>
          <w:sz w:val="24"/>
          <w:szCs w:val="24"/>
        </w:rPr>
      </w:pPr>
      <w:r w:rsidRPr="00EB2982">
        <w:rPr>
          <w:rFonts w:ascii="Times New Roman" w:hAnsi="Times New Roman"/>
          <w:sz w:val="24"/>
          <w:szCs w:val="24"/>
        </w:rPr>
        <w:t>The Committee noted that SASSA was stabl</w:t>
      </w:r>
      <w:r w:rsidR="004E04A7" w:rsidRPr="00EB2982">
        <w:rPr>
          <w:rFonts w:ascii="Times New Roman" w:hAnsi="Times New Roman"/>
          <w:sz w:val="24"/>
          <w:szCs w:val="24"/>
        </w:rPr>
        <w:t>e after the transition period of</w:t>
      </w:r>
      <w:r w:rsidRPr="00EB2982">
        <w:rPr>
          <w:rFonts w:ascii="Times New Roman" w:hAnsi="Times New Roman"/>
          <w:sz w:val="24"/>
          <w:szCs w:val="24"/>
        </w:rPr>
        <w:t xml:space="preserve"> 2017 – 2018 from the old social payment system to a hybrid system</w:t>
      </w:r>
      <w:r w:rsidR="004E04A7" w:rsidRPr="00EB2982">
        <w:rPr>
          <w:rFonts w:ascii="Times New Roman" w:hAnsi="Times New Roman"/>
          <w:sz w:val="24"/>
          <w:szCs w:val="24"/>
        </w:rPr>
        <w:t>. The new system</w:t>
      </w:r>
      <w:r w:rsidRPr="00EB2982">
        <w:rPr>
          <w:rFonts w:ascii="Times New Roman" w:hAnsi="Times New Roman"/>
          <w:sz w:val="24"/>
          <w:szCs w:val="24"/>
        </w:rPr>
        <w:t xml:space="preserve"> involves payments through SAPO, commercial banks and retailers. It welcomed progress made by SASSA in meeting the deliverables of the transition. </w:t>
      </w:r>
    </w:p>
    <w:p w14:paraId="0D737444" w14:textId="77777777" w:rsidR="00741764" w:rsidRPr="00EB2982" w:rsidRDefault="00741764" w:rsidP="008E441E">
      <w:pPr>
        <w:pStyle w:val="ListParagraph"/>
        <w:spacing w:line="280" w:lineRule="exact"/>
        <w:jc w:val="both"/>
        <w:rPr>
          <w:rFonts w:ascii="Times New Roman" w:hAnsi="Times New Roman"/>
          <w:sz w:val="24"/>
          <w:szCs w:val="24"/>
        </w:rPr>
      </w:pPr>
    </w:p>
    <w:p w14:paraId="213FFEF7" w14:textId="77777777" w:rsidR="00741764" w:rsidRPr="00EB2982" w:rsidRDefault="00741764" w:rsidP="001342C6">
      <w:pPr>
        <w:pStyle w:val="ListParagraph"/>
        <w:numPr>
          <w:ilvl w:val="0"/>
          <w:numId w:val="13"/>
        </w:numPr>
        <w:spacing w:after="0" w:line="280" w:lineRule="exact"/>
        <w:jc w:val="both"/>
        <w:rPr>
          <w:rFonts w:ascii="Times New Roman" w:hAnsi="Times New Roman"/>
          <w:sz w:val="24"/>
          <w:szCs w:val="24"/>
        </w:rPr>
      </w:pPr>
      <w:r w:rsidRPr="00EB2982">
        <w:rPr>
          <w:rFonts w:ascii="Times New Roman" w:hAnsi="Times New Roman"/>
          <w:sz w:val="24"/>
          <w:szCs w:val="24"/>
        </w:rPr>
        <w:t>The Committee raised concerns over the renewed cases of fraud particularly targeting older persons whereby their grants are withdrawn by unknown people. It was also concerned about the persistent high number of fraud cases and investigations that take long, allegedly up to six (6) months. It wanted to know the number of the existing fraud cases.</w:t>
      </w:r>
    </w:p>
    <w:p w14:paraId="2F250E4B" w14:textId="77777777" w:rsidR="00741764" w:rsidRPr="00EB2982" w:rsidRDefault="00741764" w:rsidP="008E441E">
      <w:pPr>
        <w:pStyle w:val="ListParagraph"/>
        <w:spacing w:line="280" w:lineRule="exact"/>
        <w:jc w:val="both"/>
        <w:rPr>
          <w:rFonts w:ascii="Times New Roman" w:hAnsi="Times New Roman"/>
          <w:sz w:val="24"/>
          <w:szCs w:val="24"/>
        </w:rPr>
      </w:pPr>
    </w:p>
    <w:p w14:paraId="3BA20E71" w14:textId="77777777" w:rsidR="00741764" w:rsidRPr="00EB2982" w:rsidRDefault="00741764" w:rsidP="008E441E">
      <w:pPr>
        <w:pStyle w:val="ListParagraph"/>
        <w:spacing w:line="280" w:lineRule="exact"/>
        <w:jc w:val="both"/>
        <w:rPr>
          <w:rFonts w:ascii="Times New Roman" w:hAnsi="Times New Roman"/>
          <w:sz w:val="24"/>
          <w:szCs w:val="24"/>
        </w:rPr>
      </w:pPr>
      <w:r w:rsidRPr="00EB2982">
        <w:rPr>
          <w:rFonts w:ascii="Times New Roman" w:hAnsi="Times New Roman"/>
          <w:sz w:val="24"/>
          <w:szCs w:val="24"/>
        </w:rPr>
        <w:t xml:space="preserve">SASSA reported that there were 20 250 reported cases. The weakness has been that the Fraud Management Unit within SASSA has been operating without a senior manager since 2016. Also, the Unit has only been focusing mainly on fraud investigation and less on prevention. The other weakness has been that due to loopholes in the biometric system officials at local offices are able to access the system and change banking details of the beneficiaries. Hence, there have been </w:t>
      </w:r>
      <w:r w:rsidR="00701518" w:rsidRPr="00EB2982">
        <w:rPr>
          <w:rFonts w:ascii="Times New Roman" w:hAnsi="Times New Roman"/>
          <w:sz w:val="24"/>
          <w:szCs w:val="24"/>
        </w:rPr>
        <w:t>unauthorized</w:t>
      </w:r>
      <w:r w:rsidRPr="00EB2982">
        <w:rPr>
          <w:rFonts w:ascii="Times New Roman" w:hAnsi="Times New Roman"/>
          <w:sz w:val="24"/>
          <w:szCs w:val="24"/>
        </w:rPr>
        <w:t xml:space="preserve"> withdrawals from beneficiaries’ accounts. Investigations on these transactions resulted in SASSA stopping transactions on 2 000 cards. Over 3 000 cases were being investigated. </w:t>
      </w:r>
    </w:p>
    <w:p w14:paraId="5310CB8F" w14:textId="77777777" w:rsidR="00741764" w:rsidRPr="00EB2982" w:rsidRDefault="00741764" w:rsidP="008E441E">
      <w:pPr>
        <w:pStyle w:val="ListParagraph"/>
        <w:spacing w:line="280" w:lineRule="exact"/>
        <w:jc w:val="both"/>
        <w:rPr>
          <w:rFonts w:ascii="Times New Roman" w:hAnsi="Times New Roman"/>
          <w:sz w:val="24"/>
          <w:szCs w:val="24"/>
        </w:rPr>
      </w:pPr>
    </w:p>
    <w:p w14:paraId="465E03DE" w14:textId="77777777" w:rsidR="00741764" w:rsidRPr="00EB2982" w:rsidRDefault="00741764" w:rsidP="001342C6">
      <w:pPr>
        <w:pStyle w:val="ListParagraph"/>
        <w:numPr>
          <w:ilvl w:val="0"/>
          <w:numId w:val="13"/>
        </w:numPr>
        <w:spacing w:after="0" w:line="280" w:lineRule="exact"/>
        <w:jc w:val="both"/>
        <w:rPr>
          <w:rFonts w:ascii="Times New Roman" w:hAnsi="Times New Roman"/>
          <w:sz w:val="24"/>
          <w:szCs w:val="24"/>
        </w:rPr>
      </w:pPr>
      <w:r w:rsidRPr="00EB2982">
        <w:rPr>
          <w:rFonts w:ascii="Times New Roman" w:hAnsi="Times New Roman"/>
          <w:sz w:val="24"/>
          <w:szCs w:val="24"/>
        </w:rPr>
        <w:t>The Committee also raised a concern that there is no strict enforcement of conditions attached to the payment of social gr</w:t>
      </w:r>
      <w:r w:rsidR="00AF51D4" w:rsidRPr="00EB2982">
        <w:rPr>
          <w:rFonts w:ascii="Times New Roman" w:hAnsi="Times New Roman"/>
          <w:sz w:val="24"/>
          <w:szCs w:val="24"/>
        </w:rPr>
        <w:t>ants, particularly CSG.</w:t>
      </w:r>
      <w:r w:rsidRPr="00EB2982">
        <w:rPr>
          <w:rFonts w:ascii="Times New Roman" w:hAnsi="Times New Roman"/>
          <w:sz w:val="24"/>
          <w:szCs w:val="24"/>
        </w:rPr>
        <w:t xml:space="preserve"> Amendments to </w:t>
      </w:r>
      <w:r w:rsidR="00AF51D4" w:rsidRPr="00EB2982">
        <w:rPr>
          <w:rFonts w:ascii="Times New Roman" w:hAnsi="Times New Roman"/>
          <w:sz w:val="24"/>
          <w:szCs w:val="24"/>
        </w:rPr>
        <w:t xml:space="preserve">the </w:t>
      </w:r>
      <w:r w:rsidRPr="00EB2982">
        <w:rPr>
          <w:rFonts w:ascii="Times New Roman" w:hAnsi="Times New Roman"/>
          <w:sz w:val="24"/>
          <w:szCs w:val="24"/>
        </w:rPr>
        <w:t xml:space="preserve">2008 Regulations Relating to the Application for and Payment of Social Assistance and the Requirements or Conditions in Respect of Eligibility for Social Assistance made certain conditions of payment of social grants. </w:t>
      </w:r>
      <w:r w:rsidR="00AF51D4" w:rsidRPr="00EB2982">
        <w:rPr>
          <w:rFonts w:ascii="Times New Roman" w:hAnsi="Times New Roman"/>
          <w:sz w:val="24"/>
          <w:szCs w:val="24"/>
        </w:rPr>
        <w:t xml:space="preserve">The regulations came into effect into effect in January 2010. They </w:t>
      </w:r>
      <w:r w:rsidRPr="00EB2982">
        <w:rPr>
          <w:rFonts w:ascii="Times New Roman" w:hAnsi="Times New Roman"/>
          <w:sz w:val="24"/>
          <w:szCs w:val="24"/>
        </w:rPr>
        <w:t xml:space="preserve">stipulated that a child who receives a CSG must be enrolled at and attend school. Proof of school attendance must be submitted to the Agency within a month of approval of the grant. It must also be submitted to the Director-General of the Department of Social Development every six (6) months. These amendments came into effect on 1 January 2010. </w:t>
      </w:r>
    </w:p>
    <w:p w14:paraId="1FC72A1A" w14:textId="77777777" w:rsidR="00741764" w:rsidRPr="00EB2982" w:rsidRDefault="00741764" w:rsidP="008E441E">
      <w:pPr>
        <w:pStyle w:val="ListParagraph"/>
        <w:spacing w:line="280" w:lineRule="exact"/>
        <w:jc w:val="both"/>
        <w:rPr>
          <w:rFonts w:ascii="Times New Roman" w:hAnsi="Times New Roman"/>
          <w:sz w:val="24"/>
          <w:szCs w:val="24"/>
        </w:rPr>
      </w:pPr>
    </w:p>
    <w:p w14:paraId="36A6E1BE" w14:textId="77777777" w:rsidR="00741764" w:rsidRPr="00EB2982" w:rsidRDefault="00741764" w:rsidP="008E441E">
      <w:pPr>
        <w:pStyle w:val="ListParagraph"/>
        <w:spacing w:line="280" w:lineRule="exact"/>
        <w:jc w:val="both"/>
        <w:rPr>
          <w:rFonts w:ascii="Times New Roman" w:hAnsi="Times New Roman"/>
          <w:sz w:val="24"/>
          <w:szCs w:val="24"/>
        </w:rPr>
      </w:pPr>
      <w:r w:rsidRPr="00EB2982">
        <w:rPr>
          <w:rFonts w:ascii="Times New Roman" w:hAnsi="Times New Roman"/>
          <w:sz w:val="24"/>
          <w:szCs w:val="24"/>
        </w:rPr>
        <w:t xml:space="preserve">These conditions are not adhered to because of a tendency of some recipients of the CSG not spending it on the needs of the child. In some of these instances these recipients do not even stay with the children. The children stay with their grandchildren. </w:t>
      </w:r>
    </w:p>
    <w:p w14:paraId="3B2EF5A3" w14:textId="77777777" w:rsidR="00741764" w:rsidRPr="00EB2982" w:rsidRDefault="00741764" w:rsidP="008E441E">
      <w:pPr>
        <w:pStyle w:val="ListParagraph"/>
        <w:spacing w:line="280" w:lineRule="exact"/>
        <w:jc w:val="both"/>
        <w:rPr>
          <w:rFonts w:ascii="Times New Roman" w:hAnsi="Times New Roman"/>
          <w:sz w:val="24"/>
          <w:szCs w:val="24"/>
        </w:rPr>
      </w:pPr>
    </w:p>
    <w:p w14:paraId="13925039" w14:textId="77777777" w:rsidR="00741764" w:rsidRPr="00EB2982" w:rsidRDefault="00741764" w:rsidP="001342C6">
      <w:pPr>
        <w:pStyle w:val="ListParagraph"/>
        <w:numPr>
          <w:ilvl w:val="0"/>
          <w:numId w:val="13"/>
        </w:numPr>
        <w:spacing w:after="0" w:line="280" w:lineRule="exact"/>
        <w:jc w:val="both"/>
        <w:rPr>
          <w:rFonts w:ascii="Times New Roman" w:hAnsi="Times New Roman"/>
          <w:sz w:val="24"/>
          <w:szCs w:val="24"/>
        </w:rPr>
      </w:pPr>
      <w:r w:rsidRPr="00EB2982">
        <w:rPr>
          <w:rFonts w:ascii="Times New Roman" w:hAnsi="Times New Roman"/>
          <w:sz w:val="24"/>
          <w:szCs w:val="24"/>
        </w:rPr>
        <w:t xml:space="preserve">The Committee further raised concerns over the lack of </w:t>
      </w:r>
      <w:r w:rsidR="00597375" w:rsidRPr="00EB2982">
        <w:rPr>
          <w:rFonts w:ascii="Times New Roman" w:hAnsi="Times New Roman"/>
          <w:sz w:val="24"/>
          <w:szCs w:val="24"/>
        </w:rPr>
        <w:t>user friendly</w:t>
      </w:r>
      <w:r w:rsidRPr="00EB2982">
        <w:rPr>
          <w:rFonts w:ascii="Times New Roman" w:hAnsi="Times New Roman"/>
          <w:sz w:val="24"/>
          <w:szCs w:val="24"/>
        </w:rPr>
        <w:t xml:space="preserve"> infrastructure and facilities</w:t>
      </w:r>
      <w:r w:rsidR="00597375" w:rsidRPr="00EB2982">
        <w:rPr>
          <w:rFonts w:ascii="Times New Roman" w:hAnsi="Times New Roman"/>
          <w:sz w:val="24"/>
          <w:szCs w:val="24"/>
        </w:rPr>
        <w:t>, particularly for older persons and people with disabilities,</w:t>
      </w:r>
      <w:r w:rsidRPr="00EB2982">
        <w:rPr>
          <w:rFonts w:ascii="Times New Roman" w:hAnsi="Times New Roman"/>
          <w:sz w:val="24"/>
          <w:szCs w:val="24"/>
        </w:rPr>
        <w:t xml:space="preserve"> at post offices</w:t>
      </w:r>
      <w:r w:rsidR="00597375" w:rsidRPr="00EB2982">
        <w:rPr>
          <w:rFonts w:ascii="Times New Roman" w:hAnsi="Times New Roman"/>
          <w:sz w:val="24"/>
          <w:szCs w:val="24"/>
        </w:rPr>
        <w:t>.</w:t>
      </w:r>
      <w:r w:rsidRPr="00EB2982">
        <w:rPr>
          <w:rFonts w:ascii="Times New Roman" w:hAnsi="Times New Roman"/>
          <w:sz w:val="24"/>
          <w:szCs w:val="24"/>
        </w:rPr>
        <w:t xml:space="preserve"> This should have been provided for in </w:t>
      </w:r>
      <w:r w:rsidR="000C2F45" w:rsidRPr="00EB2982">
        <w:rPr>
          <w:rFonts w:ascii="Times New Roman" w:hAnsi="Times New Roman"/>
          <w:sz w:val="24"/>
          <w:szCs w:val="24"/>
        </w:rPr>
        <w:t xml:space="preserve">the </w:t>
      </w:r>
      <w:r w:rsidRPr="00EB2982">
        <w:rPr>
          <w:rFonts w:ascii="Times New Roman" w:hAnsi="Times New Roman"/>
          <w:sz w:val="24"/>
          <w:szCs w:val="24"/>
        </w:rPr>
        <w:t>SLA between SASSA and SAPO. It also raised a concern over the</w:t>
      </w:r>
      <w:r w:rsidRPr="00EB2982">
        <w:rPr>
          <w:rFonts w:ascii="Times New Roman" w:hAnsi="Times New Roman"/>
          <w:color w:val="FF0000"/>
          <w:sz w:val="24"/>
          <w:szCs w:val="24"/>
        </w:rPr>
        <w:t xml:space="preserve"> </w:t>
      </w:r>
      <w:r w:rsidRPr="00EB2982">
        <w:rPr>
          <w:rFonts w:ascii="Times New Roman" w:hAnsi="Times New Roman"/>
          <w:sz w:val="24"/>
          <w:szCs w:val="24"/>
        </w:rPr>
        <w:t>late delivery of cash at pay points. Timeous delivery of cash should</w:t>
      </w:r>
      <w:r w:rsidR="000C2F45" w:rsidRPr="00EB2982">
        <w:rPr>
          <w:rFonts w:ascii="Times New Roman" w:hAnsi="Times New Roman"/>
          <w:sz w:val="24"/>
          <w:szCs w:val="24"/>
        </w:rPr>
        <w:t xml:space="preserve"> also</w:t>
      </w:r>
      <w:r w:rsidRPr="00EB2982">
        <w:rPr>
          <w:rFonts w:ascii="Times New Roman" w:hAnsi="Times New Roman"/>
          <w:sz w:val="24"/>
          <w:szCs w:val="24"/>
        </w:rPr>
        <w:t xml:space="preserve"> have been specified in the SLA.  </w:t>
      </w:r>
    </w:p>
    <w:p w14:paraId="6F1C64A9" w14:textId="77777777" w:rsidR="00741764" w:rsidRPr="00EB2982" w:rsidRDefault="00741764" w:rsidP="008E441E">
      <w:pPr>
        <w:pStyle w:val="ListParagraph"/>
        <w:spacing w:line="280" w:lineRule="exact"/>
        <w:jc w:val="both"/>
        <w:rPr>
          <w:rFonts w:ascii="Times New Roman" w:hAnsi="Times New Roman"/>
          <w:sz w:val="24"/>
          <w:szCs w:val="24"/>
        </w:rPr>
      </w:pPr>
    </w:p>
    <w:p w14:paraId="2F4E8BF3" w14:textId="77777777" w:rsidR="00741764" w:rsidRPr="00EB2982" w:rsidRDefault="00741764" w:rsidP="008E441E">
      <w:pPr>
        <w:pStyle w:val="ListParagraph"/>
        <w:spacing w:line="280" w:lineRule="exact"/>
        <w:jc w:val="both"/>
        <w:rPr>
          <w:rFonts w:ascii="Times New Roman" w:hAnsi="Times New Roman"/>
          <w:sz w:val="24"/>
          <w:szCs w:val="24"/>
        </w:rPr>
      </w:pPr>
      <w:r w:rsidRPr="00EB2982">
        <w:rPr>
          <w:rFonts w:ascii="Times New Roman" w:hAnsi="Times New Roman"/>
          <w:sz w:val="24"/>
          <w:szCs w:val="24"/>
        </w:rPr>
        <w:t xml:space="preserve">SASSA acknowledged that SAPO compliance to the SLA has not been optimum. </w:t>
      </w:r>
      <w:r w:rsidR="000C2F45" w:rsidRPr="00EB2982">
        <w:rPr>
          <w:rFonts w:ascii="Times New Roman" w:hAnsi="Times New Roman"/>
          <w:sz w:val="24"/>
          <w:szCs w:val="24"/>
        </w:rPr>
        <w:t>It explained that p</w:t>
      </w:r>
      <w:r w:rsidRPr="00EB2982">
        <w:rPr>
          <w:rFonts w:ascii="Times New Roman" w:hAnsi="Times New Roman"/>
          <w:sz w:val="24"/>
          <w:szCs w:val="24"/>
        </w:rPr>
        <w:t xml:space="preserve">ost </w:t>
      </w:r>
      <w:r w:rsidR="000C2F45" w:rsidRPr="00EB2982">
        <w:rPr>
          <w:rFonts w:ascii="Times New Roman" w:hAnsi="Times New Roman"/>
          <w:sz w:val="24"/>
          <w:szCs w:val="24"/>
        </w:rPr>
        <w:t>o</w:t>
      </w:r>
      <w:r w:rsidRPr="00EB2982">
        <w:rPr>
          <w:rFonts w:ascii="Times New Roman" w:hAnsi="Times New Roman"/>
          <w:sz w:val="24"/>
          <w:szCs w:val="24"/>
        </w:rPr>
        <w:t>ffices were not designed to deal with payments of social grants. It has however, requested SAPO to submit a plan that will address how it aims to provide required infrastructure and facilities as agreed on in the SLA. SASSA gave SAPO funds to finance infrastructure upgrades.</w:t>
      </w:r>
    </w:p>
    <w:p w14:paraId="735BBA1F" w14:textId="77777777" w:rsidR="00741764" w:rsidRPr="00EB2982" w:rsidRDefault="00741764" w:rsidP="008E441E">
      <w:pPr>
        <w:pStyle w:val="ListParagraph"/>
        <w:spacing w:line="280" w:lineRule="exact"/>
        <w:jc w:val="both"/>
        <w:rPr>
          <w:rFonts w:ascii="Times New Roman" w:hAnsi="Times New Roman"/>
          <w:sz w:val="24"/>
          <w:szCs w:val="24"/>
        </w:rPr>
      </w:pPr>
    </w:p>
    <w:p w14:paraId="21003717" w14:textId="77777777" w:rsidR="00741764" w:rsidRPr="00EB2982" w:rsidRDefault="00741764" w:rsidP="008E441E">
      <w:pPr>
        <w:pStyle w:val="ListParagraph"/>
        <w:spacing w:line="280" w:lineRule="exact"/>
        <w:jc w:val="both"/>
        <w:rPr>
          <w:rFonts w:ascii="Times New Roman" w:hAnsi="Times New Roman"/>
          <w:sz w:val="24"/>
          <w:szCs w:val="24"/>
        </w:rPr>
      </w:pPr>
      <w:r w:rsidRPr="00EB2982">
        <w:rPr>
          <w:rFonts w:ascii="Times New Roman" w:hAnsi="Times New Roman"/>
          <w:sz w:val="24"/>
          <w:szCs w:val="24"/>
        </w:rPr>
        <w:t xml:space="preserve">Pertaining to late delivery of cash at pay points, SASSA explained that SAPO contracted CIT service provider to deliver cash. CIT is given route schedules and dates but it </w:t>
      </w:r>
      <w:r w:rsidR="000C2F45" w:rsidRPr="00EB2982">
        <w:rPr>
          <w:rFonts w:ascii="Times New Roman" w:hAnsi="Times New Roman"/>
          <w:sz w:val="24"/>
          <w:szCs w:val="24"/>
        </w:rPr>
        <w:t>some</w:t>
      </w:r>
      <w:r w:rsidRPr="00EB2982">
        <w:rPr>
          <w:rFonts w:ascii="Times New Roman" w:hAnsi="Times New Roman"/>
          <w:sz w:val="24"/>
          <w:szCs w:val="24"/>
        </w:rPr>
        <w:t>times alter</w:t>
      </w:r>
      <w:r w:rsidR="00F223AD" w:rsidRPr="00EB2982">
        <w:rPr>
          <w:rFonts w:ascii="Times New Roman" w:hAnsi="Times New Roman"/>
          <w:sz w:val="24"/>
          <w:szCs w:val="24"/>
        </w:rPr>
        <w:t>s</w:t>
      </w:r>
      <w:r w:rsidRPr="00EB2982">
        <w:rPr>
          <w:rFonts w:ascii="Times New Roman" w:hAnsi="Times New Roman"/>
          <w:sz w:val="24"/>
          <w:szCs w:val="24"/>
        </w:rPr>
        <w:t xml:space="preserve"> the routes </w:t>
      </w:r>
      <w:r w:rsidR="000C2F45" w:rsidRPr="00EB2982">
        <w:rPr>
          <w:rFonts w:ascii="Times New Roman" w:hAnsi="Times New Roman"/>
          <w:sz w:val="24"/>
          <w:szCs w:val="24"/>
        </w:rPr>
        <w:t>because of security concerns. SASSA</w:t>
      </w:r>
      <w:r w:rsidRPr="00EB2982">
        <w:rPr>
          <w:rFonts w:ascii="Times New Roman" w:hAnsi="Times New Roman"/>
          <w:sz w:val="24"/>
          <w:szCs w:val="24"/>
        </w:rPr>
        <w:t xml:space="preserve"> has however, requested SAPO to address this with CIT and ensure that cash is delivered on time.</w:t>
      </w:r>
    </w:p>
    <w:p w14:paraId="204E42B3" w14:textId="77777777" w:rsidR="00741764" w:rsidRPr="00EB2982" w:rsidRDefault="00741764" w:rsidP="008E441E">
      <w:pPr>
        <w:pStyle w:val="ListParagraph"/>
        <w:spacing w:line="280" w:lineRule="exact"/>
        <w:jc w:val="both"/>
        <w:rPr>
          <w:rFonts w:ascii="Times New Roman" w:hAnsi="Times New Roman"/>
          <w:sz w:val="24"/>
          <w:szCs w:val="24"/>
        </w:rPr>
      </w:pPr>
    </w:p>
    <w:p w14:paraId="7561A298" w14:textId="77777777" w:rsidR="00741764" w:rsidRPr="00EB2982" w:rsidRDefault="00741764" w:rsidP="001342C6">
      <w:pPr>
        <w:pStyle w:val="ListParagraph"/>
        <w:numPr>
          <w:ilvl w:val="0"/>
          <w:numId w:val="13"/>
        </w:numPr>
        <w:spacing w:after="0" w:line="280" w:lineRule="exact"/>
        <w:jc w:val="both"/>
        <w:rPr>
          <w:rFonts w:ascii="Times New Roman" w:hAnsi="Times New Roman"/>
          <w:sz w:val="24"/>
          <w:szCs w:val="24"/>
        </w:rPr>
      </w:pPr>
      <w:r w:rsidRPr="00EB2982">
        <w:rPr>
          <w:rFonts w:ascii="Times New Roman" w:hAnsi="Times New Roman"/>
          <w:sz w:val="24"/>
          <w:szCs w:val="24"/>
        </w:rPr>
        <w:t xml:space="preserve">The Committee expresses concerns that most SASSA offices are only located in towns and therefore not easily accessible to people living in </w:t>
      </w:r>
      <w:r w:rsidR="005177A2" w:rsidRPr="00EB2982">
        <w:rPr>
          <w:rFonts w:ascii="Times New Roman" w:hAnsi="Times New Roman"/>
          <w:sz w:val="24"/>
          <w:szCs w:val="24"/>
        </w:rPr>
        <w:t xml:space="preserve">semi-urban and </w:t>
      </w:r>
      <w:r w:rsidRPr="00EB2982">
        <w:rPr>
          <w:rFonts w:ascii="Times New Roman" w:hAnsi="Times New Roman"/>
          <w:sz w:val="24"/>
          <w:szCs w:val="24"/>
        </w:rPr>
        <w:t>rural areas. Also, these offices need to be upgraded. It questioned why SASSA relies on the Department of Public Works to obtain office space</w:t>
      </w:r>
      <w:r w:rsidR="005177A2" w:rsidRPr="00EB2982">
        <w:rPr>
          <w:rFonts w:ascii="Times New Roman" w:hAnsi="Times New Roman"/>
          <w:sz w:val="24"/>
          <w:szCs w:val="24"/>
        </w:rPr>
        <w:t>s</w:t>
      </w:r>
      <w:r w:rsidRPr="00EB2982">
        <w:rPr>
          <w:rFonts w:ascii="Times New Roman" w:hAnsi="Times New Roman"/>
          <w:sz w:val="24"/>
          <w:szCs w:val="24"/>
        </w:rPr>
        <w:t>.</w:t>
      </w:r>
    </w:p>
    <w:p w14:paraId="3DA78BB1" w14:textId="77777777" w:rsidR="00741764" w:rsidRPr="00EB2982" w:rsidRDefault="00741764" w:rsidP="008E441E">
      <w:pPr>
        <w:pStyle w:val="ListParagraph"/>
        <w:spacing w:line="280" w:lineRule="exact"/>
        <w:jc w:val="both"/>
        <w:rPr>
          <w:rFonts w:ascii="Times New Roman" w:hAnsi="Times New Roman"/>
          <w:sz w:val="24"/>
          <w:szCs w:val="24"/>
        </w:rPr>
      </w:pPr>
    </w:p>
    <w:p w14:paraId="5FA6E37C" w14:textId="77777777" w:rsidR="00741764" w:rsidRPr="00EB2982" w:rsidRDefault="00741764" w:rsidP="008E441E">
      <w:pPr>
        <w:pStyle w:val="ListParagraph"/>
        <w:spacing w:line="280" w:lineRule="exact"/>
        <w:jc w:val="both"/>
        <w:rPr>
          <w:rFonts w:ascii="Times New Roman" w:hAnsi="Times New Roman"/>
          <w:sz w:val="24"/>
          <w:szCs w:val="24"/>
        </w:rPr>
      </w:pPr>
      <w:r w:rsidRPr="00EB2982">
        <w:rPr>
          <w:rFonts w:ascii="Times New Roman" w:hAnsi="Times New Roman"/>
          <w:sz w:val="24"/>
          <w:szCs w:val="24"/>
        </w:rPr>
        <w:t xml:space="preserve">SASSA explained that the Ten Year Building Infrastructure Plan aims to address infrastructural challenges – shortage of suitable facilities, upgrading and repairs of existing facilities. It was also in a process to formulate a proposal to the Minister of Social Development to allow </w:t>
      </w:r>
      <w:r w:rsidR="005177A2" w:rsidRPr="00EB2982">
        <w:rPr>
          <w:rFonts w:ascii="Times New Roman" w:hAnsi="Times New Roman"/>
          <w:sz w:val="24"/>
          <w:szCs w:val="24"/>
        </w:rPr>
        <w:t>it</w:t>
      </w:r>
      <w:r w:rsidRPr="00EB2982">
        <w:rPr>
          <w:rFonts w:ascii="Times New Roman" w:hAnsi="Times New Roman"/>
          <w:sz w:val="24"/>
          <w:szCs w:val="24"/>
        </w:rPr>
        <w:t xml:space="preserve"> to procure its own spaces.  </w:t>
      </w:r>
    </w:p>
    <w:p w14:paraId="2071F240" w14:textId="77777777" w:rsidR="00741764" w:rsidRPr="00EB2982" w:rsidRDefault="00741764" w:rsidP="008E441E">
      <w:pPr>
        <w:pStyle w:val="ListParagraph"/>
        <w:spacing w:line="280" w:lineRule="exact"/>
        <w:jc w:val="both"/>
        <w:rPr>
          <w:rFonts w:ascii="Times New Roman" w:hAnsi="Times New Roman"/>
          <w:sz w:val="24"/>
          <w:szCs w:val="24"/>
        </w:rPr>
      </w:pPr>
    </w:p>
    <w:p w14:paraId="4E6751CC" w14:textId="77777777" w:rsidR="00741764" w:rsidRPr="00EB2982" w:rsidRDefault="00741764" w:rsidP="001342C6">
      <w:pPr>
        <w:pStyle w:val="ListParagraph"/>
        <w:numPr>
          <w:ilvl w:val="0"/>
          <w:numId w:val="13"/>
        </w:numPr>
        <w:spacing w:after="0" w:line="280" w:lineRule="exact"/>
        <w:jc w:val="both"/>
        <w:rPr>
          <w:rFonts w:ascii="Times New Roman" w:hAnsi="Times New Roman"/>
          <w:sz w:val="24"/>
          <w:szCs w:val="24"/>
        </w:rPr>
      </w:pPr>
      <w:r w:rsidRPr="00EB2982">
        <w:rPr>
          <w:rFonts w:ascii="Times New Roman" w:hAnsi="Times New Roman"/>
          <w:sz w:val="24"/>
          <w:szCs w:val="24"/>
        </w:rPr>
        <w:t>The Committee noted that SASSA has not had any success in meeting its objective of linking social grant beneficiaries, particularly of CSG, to economic livelihoods. Projects of producing school uniforms have not had the intended outcome of graduating beneficiaries out of the social assistance programme. Also, these projects are not linked to schools that need uniforms.</w:t>
      </w:r>
    </w:p>
    <w:p w14:paraId="6CB9E310" w14:textId="77777777" w:rsidR="00741764" w:rsidRPr="00EB2982" w:rsidRDefault="00741764" w:rsidP="008E441E">
      <w:pPr>
        <w:pStyle w:val="ListParagraph"/>
        <w:spacing w:line="280" w:lineRule="exact"/>
        <w:jc w:val="both"/>
        <w:rPr>
          <w:rFonts w:ascii="Times New Roman" w:hAnsi="Times New Roman"/>
          <w:sz w:val="24"/>
          <w:szCs w:val="24"/>
        </w:rPr>
      </w:pPr>
    </w:p>
    <w:p w14:paraId="3248C27E" w14:textId="77777777" w:rsidR="00741764" w:rsidRPr="00EB2982" w:rsidRDefault="00741764" w:rsidP="001342C6">
      <w:pPr>
        <w:pStyle w:val="ListParagraph"/>
        <w:numPr>
          <w:ilvl w:val="0"/>
          <w:numId w:val="13"/>
        </w:numPr>
        <w:spacing w:after="0" w:line="280" w:lineRule="exact"/>
        <w:jc w:val="both"/>
        <w:rPr>
          <w:rFonts w:ascii="Times New Roman" w:hAnsi="Times New Roman"/>
          <w:sz w:val="24"/>
          <w:szCs w:val="24"/>
        </w:rPr>
      </w:pPr>
      <w:r w:rsidRPr="00EB2982">
        <w:rPr>
          <w:rFonts w:ascii="Times New Roman" w:hAnsi="Times New Roman"/>
          <w:sz w:val="24"/>
          <w:szCs w:val="24"/>
        </w:rPr>
        <w:t xml:space="preserve">The Committee further raised concerns over the lack of customer care at local offices. SASSA officials are often rude and disrespectful to the applicants and beneficiaries. Also, people are sent between SAPO and SASSA offices when they have complaints. The Committee was seriously concerned that officials from the two offices are not able to address issues relating to each other’s services. This shows a lack of synergy between the two offices.   </w:t>
      </w:r>
    </w:p>
    <w:p w14:paraId="2C5A21FC" w14:textId="77777777" w:rsidR="00741764" w:rsidRPr="00EB2982" w:rsidRDefault="00741764" w:rsidP="008F0E74">
      <w:pPr>
        <w:pStyle w:val="ListParagraph"/>
        <w:spacing w:line="280" w:lineRule="exact"/>
        <w:rPr>
          <w:rFonts w:ascii="Times New Roman" w:hAnsi="Times New Roman"/>
          <w:sz w:val="24"/>
          <w:szCs w:val="24"/>
        </w:rPr>
      </w:pPr>
    </w:p>
    <w:p w14:paraId="18D67B98" w14:textId="77777777" w:rsidR="00741764" w:rsidRPr="00EB2982" w:rsidRDefault="00741764" w:rsidP="002C7C5F">
      <w:pPr>
        <w:pStyle w:val="ListParagraph"/>
        <w:numPr>
          <w:ilvl w:val="0"/>
          <w:numId w:val="13"/>
        </w:numPr>
        <w:tabs>
          <w:tab w:val="left" w:pos="5925"/>
        </w:tabs>
        <w:spacing w:after="0" w:line="280" w:lineRule="exact"/>
        <w:jc w:val="both"/>
        <w:rPr>
          <w:rFonts w:ascii="Times New Roman" w:hAnsi="Times New Roman"/>
          <w:b/>
        </w:rPr>
      </w:pPr>
      <w:r w:rsidRPr="00EB2982">
        <w:rPr>
          <w:rFonts w:ascii="Times New Roman" w:hAnsi="Times New Roman"/>
          <w:sz w:val="24"/>
          <w:szCs w:val="24"/>
        </w:rPr>
        <w:t xml:space="preserve">The Committee expressed a concern that large funds had been allocated to the Integrated Community Registration Outreach Programme (ICROP). It has however not had any tangible impact of the lives of people. Instead, incurred irregular expenditure of R162 795 billion in 2017/2018 financial year. In 2016/2017 it incurred an irregular expenditure of R115 922 billion.   </w:t>
      </w:r>
    </w:p>
    <w:p w14:paraId="77502EC9" w14:textId="77777777" w:rsidR="00FC11A6" w:rsidRPr="00EB2982" w:rsidRDefault="00FC11A6" w:rsidP="00FC11A6">
      <w:pPr>
        <w:pStyle w:val="ListParagraph"/>
        <w:tabs>
          <w:tab w:val="left" w:pos="5925"/>
        </w:tabs>
        <w:spacing w:after="0" w:line="280" w:lineRule="exact"/>
        <w:jc w:val="both"/>
        <w:rPr>
          <w:rFonts w:ascii="Times New Roman" w:hAnsi="Times New Roman"/>
          <w:b/>
        </w:rPr>
      </w:pPr>
    </w:p>
    <w:p w14:paraId="5A1FDA8A" w14:textId="77777777" w:rsidR="002D76CE" w:rsidRPr="00EB2982" w:rsidRDefault="00994C2E" w:rsidP="005E2F3A">
      <w:pPr>
        <w:spacing w:line="280" w:lineRule="exact"/>
        <w:jc w:val="both"/>
        <w:rPr>
          <w:b/>
          <w:spacing w:val="6"/>
        </w:rPr>
      </w:pPr>
      <w:r w:rsidRPr="00EB2982">
        <w:rPr>
          <w:b/>
          <w:spacing w:val="6"/>
        </w:rPr>
        <w:t>10</w:t>
      </w:r>
      <w:r w:rsidR="009C0668" w:rsidRPr="00EB2982">
        <w:rPr>
          <w:b/>
          <w:spacing w:val="6"/>
        </w:rPr>
        <w:t>. NATIONAL DEVELOPMENT AGENCY (NDA) ANNUAL PERFORMANCE PLAN 201</w:t>
      </w:r>
      <w:r w:rsidR="00F72AB5" w:rsidRPr="00EB2982">
        <w:rPr>
          <w:b/>
          <w:spacing w:val="6"/>
        </w:rPr>
        <w:t>9</w:t>
      </w:r>
      <w:r w:rsidR="009C0668" w:rsidRPr="00EB2982">
        <w:rPr>
          <w:b/>
          <w:spacing w:val="6"/>
        </w:rPr>
        <w:t>/201</w:t>
      </w:r>
      <w:r w:rsidR="00F72AB5" w:rsidRPr="00EB2982">
        <w:rPr>
          <w:b/>
          <w:spacing w:val="6"/>
        </w:rPr>
        <w:t>0</w:t>
      </w:r>
    </w:p>
    <w:p w14:paraId="130FD45A" w14:textId="77777777" w:rsidR="00F72AB5" w:rsidRPr="00EB2982" w:rsidRDefault="00F72AB5" w:rsidP="008E441E">
      <w:pPr>
        <w:spacing w:line="280" w:lineRule="exact"/>
        <w:jc w:val="both"/>
        <w:rPr>
          <w:b/>
        </w:rPr>
      </w:pPr>
    </w:p>
    <w:p w14:paraId="6152299B" w14:textId="77777777" w:rsidR="009E7EEB" w:rsidRPr="00EB2982" w:rsidRDefault="009E7EEB" w:rsidP="00B7417D">
      <w:pPr>
        <w:spacing w:line="280" w:lineRule="exact"/>
        <w:jc w:val="both"/>
      </w:pPr>
      <w:r w:rsidRPr="00EB2982">
        <w:t xml:space="preserve">The National Development Agency (NDA or </w:t>
      </w:r>
      <w:r w:rsidR="00FD48B6" w:rsidRPr="00EB2982">
        <w:t>A</w:t>
      </w:r>
      <w:r w:rsidRPr="00EB2982">
        <w:t>gency) is a Schedule 3 (A) Public Entity</w:t>
      </w:r>
      <w:r w:rsidRPr="00EB2982">
        <w:rPr>
          <w:rStyle w:val="EndnoteReference"/>
        </w:rPr>
        <w:t xml:space="preserve"> </w:t>
      </w:r>
      <w:r w:rsidRPr="00EB2982">
        <w:t xml:space="preserve">established in terms of </w:t>
      </w:r>
      <w:r w:rsidRPr="00EB2982">
        <w:rPr>
          <w:i/>
        </w:rPr>
        <w:t>Section 2 of the</w:t>
      </w:r>
      <w:r w:rsidRPr="00EB2982">
        <w:t xml:space="preserve"> </w:t>
      </w:r>
      <w:r w:rsidRPr="00EB2982">
        <w:rPr>
          <w:i/>
        </w:rPr>
        <w:t>National Development Agency Act (108 of 1998)</w:t>
      </w:r>
      <w:r w:rsidR="00F62A87" w:rsidRPr="00EB2982">
        <w:rPr>
          <w:i/>
        </w:rPr>
        <w:t>.</w:t>
      </w:r>
      <w:r w:rsidRPr="00EB2982">
        <w:t xml:space="preserve"> </w:t>
      </w:r>
      <w:r w:rsidR="00F62A87" w:rsidRPr="00EB2982">
        <w:t>It</w:t>
      </w:r>
      <w:r w:rsidRPr="00EB2982">
        <w:t xml:space="preserve"> reports to the Parliament of the Republic of South Africa through the Minister of Social Development.</w:t>
      </w:r>
      <w:r w:rsidR="00E34AC7" w:rsidRPr="00EB2982">
        <w:t xml:space="preserve">  NDA is a S</w:t>
      </w:r>
      <w:r w:rsidR="00AC6012" w:rsidRPr="00EB2982">
        <w:t xml:space="preserve">chedule 3A entity administratively </w:t>
      </w:r>
      <w:r w:rsidR="00E34AC7" w:rsidRPr="00EB2982">
        <w:t>report</w:t>
      </w:r>
      <w:r w:rsidR="00AC6012" w:rsidRPr="00EB2982">
        <w:t>ing</w:t>
      </w:r>
      <w:r w:rsidR="00E34AC7" w:rsidRPr="00EB2982">
        <w:t xml:space="preserve"> to </w:t>
      </w:r>
      <w:r w:rsidR="00AC6012" w:rsidRPr="00EB2982">
        <w:t xml:space="preserve">the </w:t>
      </w:r>
      <w:r w:rsidR="00E34AC7" w:rsidRPr="00EB2982">
        <w:t>D</w:t>
      </w:r>
      <w:r w:rsidR="00AC6012" w:rsidRPr="00EB2982">
        <w:t xml:space="preserve">epartment of </w:t>
      </w:r>
      <w:r w:rsidR="00E34AC7" w:rsidRPr="00EB2982">
        <w:t>S</w:t>
      </w:r>
      <w:r w:rsidR="00AC6012" w:rsidRPr="00EB2982">
        <w:t xml:space="preserve">ocial </w:t>
      </w:r>
      <w:r w:rsidR="00E34AC7" w:rsidRPr="00EB2982">
        <w:t>D</w:t>
      </w:r>
      <w:r w:rsidR="00AC6012" w:rsidRPr="00EB2982">
        <w:t>evelopment</w:t>
      </w:r>
      <w:r w:rsidR="00E34AC7" w:rsidRPr="00EB2982">
        <w:t xml:space="preserve"> but </w:t>
      </w:r>
      <w:r w:rsidR="00AC6012" w:rsidRPr="00EB2982">
        <w:t>operationally attached to all departments.</w:t>
      </w:r>
    </w:p>
    <w:p w14:paraId="2812FFE5" w14:textId="77777777" w:rsidR="00B47510" w:rsidRPr="00EB2982" w:rsidRDefault="00FD48B6" w:rsidP="00B7417D">
      <w:pPr>
        <w:spacing w:line="280" w:lineRule="exact"/>
        <w:jc w:val="both"/>
        <w:rPr>
          <w:lang w:val="en-ZA"/>
        </w:rPr>
      </w:pPr>
      <w:r w:rsidRPr="00EB2982">
        <w:rPr>
          <w:lang w:val="en-ZA"/>
        </w:rPr>
        <w:t xml:space="preserve"> </w:t>
      </w:r>
    </w:p>
    <w:p w14:paraId="7BEFACD5" w14:textId="77777777" w:rsidR="00EF6D42" w:rsidRPr="00EB2982" w:rsidRDefault="00994C2E" w:rsidP="00B7417D">
      <w:pPr>
        <w:spacing w:line="280" w:lineRule="exact"/>
        <w:jc w:val="both"/>
        <w:rPr>
          <w:b/>
        </w:rPr>
      </w:pPr>
      <w:r w:rsidRPr="00EB2982">
        <w:rPr>
          <w:b/>
        </w:rPr>
        <w:t>10</w:t>
      </w:r>
      <w:r w:rsidR="00274A33" w:rsidRPr="00EB2982">
        <w:rPr>
          <w:b/>
        </w:rPr>
        <w:t>.</w:t>
      </w:r>
      <w:r w:rsidR="006803B2" w:rsidRPr="00EB2982">
        <w:rPr>
          <w:b/>
        </w:rPr>
        <w:t>1</w:t>
      </w:r>
      <w:r w:rsidR="00EF6D42" w:rsidRPr="00EB2982">
        <w:rPr>
          <w:b/>
        </w:rPr>
        <w:t xml:space="preserve"> Legislative mandate of the NDA</w:t>
      </w:r>
    </w:p>
    <w:p w14:paraId="34C673DF" w14:textId="77777777" w:rsidR="00EF6D42" w:rsidRPr="00EB2982" w:rsidRDefault="00EF6D42" w:rsidP="008F0E74">
      <w:pPr>
        <w:spacing w:line="280" w:lineRule="exact"/>
        <w:jc w:val="both"/>
      </w:pPr>
    </w:p>
    <w:p w14:paraId="3C57FBAB" w14:textId="77777777" w:rsidR="00EF6D42" w:rsidRPr="00EB2982" w:rsidRDefault="00EF6D42" w:rsidP="008F0E74">
      <w:pPr>
        <w:spacing w:line="280" w:lineRule="exact"/>
        <w:jc w:val="both"/>
      </w:pPr>
      <w:r w:rsidRPr="00EB2982">
        <w:t>The NDA’s two-fold legislative mandate, consisting of a primary and a secondary mandate, is in the main to contribute towards the eradication of poverty and its causes. This is achieved through the granting of funds to civil society organisations (CSOs) to enable them to implement development projects in poor communities. The NDA is also charged with strengthening the institutional capacity of other civil society organisations which provide services to poor communities.</w:t>
      </w:r>
    </w:p>
    <w:p w14:paraId="165E97CE" w14:textId="77777777" w:rsidR="00EF6D42" w:rsidRPr="00EB2982" w:rsidRDefault="00EF6D42" w:rsidP="008F0E74">
      <w:pPr>
        <w:spacing w:line="280" w:lineRule="exact"/>
        <w:jc w:val="both"/>
      </w:pPr>
    </w:p>
    <w:p w14:paraId="45F274A8" w14:textId="77777777" w:rsidR="00EB2982" w:rsidRDefault="00EB2982">
      <w:pPr>
        <w:rPr>
          <w:b/>
        </w:rPr>
      </w:pPr>
      <w:r>
        <w:rPr>
          <w:b/>
        </w:rPr>
        <w:br w:type="page"/>
      </w:r>
    </w:p>
    <w:p w14:paraId="01721B11" w14:textId="77777777" w:rsidR="00EF6D42" w:rsidRPr="00EB2982" w:rsidRDefault="00EF6D42" w:rsidP="008F0E74">
      <w:pPr>
        <w:spacing w:line="280" w:lineRule="exact"/>
        <w:jc w:val="both"/>
        <w:rPr>
          <w:b/>
        </w:rPr>
      </w:pPr>
      <w:r w:rsidRPr="00EB2982">
        <w:rPr>
          <w:b/>
        </w:rPr>
        <w:t>Primary mandate</w:t>
      </w:r>
    </w:p>
    <w:p w14:paraId="1184F9F9" w14:textId="77777777" w:rsidR="00EF6D42" w:rsidRPr="00EB2982" w:rsidRDefault="00EF6D42" w:rsidP="008F0E74">
      <w:pPr>
        <w:spacing w:line="280" w:lineRule="exact"/>
        <w:jc w:val="both"/>
        <w:rPr>
          <w:i/>
        </w:rPr>
      </w:pPr>
    </w:p>
    <w:p w14:paraId="35769209" w14:textId="77777777" w:rsidR="00EF6D42" w:rsidRPr="00EB2982" w:rsidRDefault="00EF6D42" w:rsidP="008F0E74">
      <w:pPr>
        <w:spacing w:line="280" w:lineRule="exact"/>
        <w:jc w:val="both"/>
      </w:pPr>
      <w:r w:rsidRPr="00EB2982">
        <w:t>The NDA’s primary mandate is to contribute towards the eradication of poverty and its causes by granting funds to civil society organisations for the purpose of carrying out projects or programmes aimed at meeting development needs of poor</w:t>
      </w:r>
      <w:r w:rsidR="00AC6012" w:rsidRPr="00EB2982">
        <w:t>.</w:t>
      </w:r>
      <w:r w:rsidRPr="00EB2982">
        <w:t xml:space="preserve"> </w:t>
      </w:r>
      <w:r w:rsidR="00AC6012" w:rsidRPr="00EB2982">
        <w:t xml:space="preserve">In addition, it strengthens the </w:t>
      </w:r>
      <w:r w:rsidRPr="00EB2982">
        <w:t xml:space="preserve">institutional capacity of </w:t>
      </w:r>
      <w:r w:rsidR="00AC6012" w:rsidRPr="00EB2982">
        <w:t xml:space="preserve">other </w:t>
      </w:r>
      <w:r w:rsidRPr="00EB2982">
        <w:t>civil society organisation</w:t>
      </w:r>
      <w:r w:rsidR="00AC6012" w:rsidRPr="00EB2982">
        <w:t xml:space="preserve">s </w:t>
      </w:r>
      <w:r w:rsidRPr="00EB2982">
        <w:t xml:space="preserve">involved in direct service provision to </w:t>
      </w:r>
      <w:r w:rsidR="00AC6012" w:rsidRPr="00EB2982">
        <w:t xml:space="preserve">the </w:t>
      </w:r>
      <w:r w:rsidRPr="00EB2982">
        <w:t>poor communities.</w:t>
      </w:r>
    </w:p>
    <w:p w14:paraId="20CD3AAD" w14:textId="77777777" w:rsidR="0028076C" w:rsidRPr="00EB2982" w:rsidRDefault="0028076C" w:rsidP="008F0E74">
      <w:pPr>
        <w:spacing w:line="280" w:lineRule="exact"/>
        <w:jc w:val="both"/>
        <w:rPr>
          <w:b/>
        </w:rPr>
      </w:pPr>
    </w:p>
    <w:p w14:paraId="7C50C115" w14:textId="77777777" w:rsidR="00EF6D42" w:rsidRPr="00EB2982" w:rsidRDefault="00EF6D42" w:rsidP="008F0E74">
      <w:pPr>
        <w:spacing w:line="280" w:lineRule="exact"/>
        <w:jc w:val="both"/>
        <w:rPr>
          <w:b/>
        </w:rPr>
      </w:pPr>
      <w:r w:rsidRPr="00EB2982">
        <w:rPr>
          <w:b/>
        </w:rPr>
        <w:t>Secondary mandate</w:t>
      </w:r>
    </w:p>
    <w:p w14:paraId="410C3259" w14:textId="77777777" w:rsidR="0028076C" w:rsidRPr="00EB2982" w:rsidRDefault="0028076C" w:rsidP="008F0E74">
      <w:pPr>
        <w:spacing w:line="280" w:lineRule="exact"/>
        <w:jc w:val="both"/>
        <w:rPr>
          <w:b/>
        </w:rPr>
      </w:pPr>
    </w:p>
    <w:p w14:paraId="0BF45395" w14:textId="77777777" w:rsidR="00EF6D42" w:rsidRPr="00EB2982" w:rsidRDefault="00EF6D42" w:rsidP="008F0E74">
      <w:pPr>
        <w:spacing w:line="280" w:lineRule="exact"/>
        <w:jc w:val="both"/>
      </w:pPr>
      <w:r w:rsidRPr="00EB2982">
        <w:t>The NDA</w:t>
      </w:r>
      <w:r w:rsidR="008E2960" w:rsidRPr="00EB2982">
        <w:t>’s</w:t>
      </w:r>
      <w:r w:rsidRPr="00EB2982">
        <w:t xml:space="preserve"> secondary mandate is to promote consultation, dialogue and sharing of development experience between </w:t>
      </w:r>
      <w:r w:rsidR="00CC729D" w:rsidRPr="00EB2982">
        <w:t>C</w:t>
      </w:r>
      <w:r w:rsidRPr="00EB2982">
        <w:t xml:space="preserve">ivil </w:t>
      </w:r>
      <w:r w:rsidR="00CC729D" w:rsidRPr="00EB2982">
        <w:t>S</w:t>
      </w:r>
      <w:r w:rsidRPr="00EB2982">
        <w:t xml:space="preserve">ociety </w:t>
      </w:r>
      <w:r w:rsidR="00CC729D" w:rsidRPr="00EB2982">
        <w:t>O</w:t>
      </w:r>
      <w:r w:rsidRPr="00EB2982">
        <w:t>rganisations</w:t>
      </w:r>
      <w:r w:rsidR="00CC729D" w:rsidRPr="00EB2982">
        <w:t xml:space="preserve"> (CSO)</w:t>
      </w:r>
      <w:r w:rsidRPr="00EB2982">
        <w:t xml:space="preserve"> and relevant organs of state</w:t>
      </w:r>
      <w:r w:rsidR="00CC729D" w:rsidRPr="00EB2982">
        <w:t xml:space="preserve"> through</w:t>
      </w:r>
      <w:r w:rsidRPr="00EB2982">
        <w:t xml:space="preserve"> debat</w:t>
      </w:r>
      <w:r w:rsidR="00CC729D" w:rsidRPr="00EB2982">
        <w:t>ing</w:t>
      </w:r>
      <w:r w:rsidRPr="00EB2982">
        <w:t xml:space="preserve"> on development policy; undertak</w:t>
      </w:r>
      <w:r w:rsidR="008E2960" w:rsidRPr="00EB2982">
        <w:t>ing</w:t>
      </w:r>
      <w:r w:rsidRPr="00EB2982">
        <w:t xml:space="preserve"> research and publications aimed at providing basis for development.</w:t>
      </w:r>
    </w:p>
    <w:p w14:paraId="3737270A" w14:textId="77777777" w:rsidR="008F3051" w:rsidRPr="00EB2982" w:rsidRDefault="008F3051" w:rsidP="008F0E74">
      <w:pPr>
        <w:spacing w:line="280" w:lineRule="exact"/>
        <w:jc w:val="both"/>
      </w:pPr>
    </w:p>
    <w:p w14:paraId="59E16F0B" w14:textId="77777777" w:rsidR="004460ED" w:rsidRPr="00EB2982" w:rsidRDefault="00994C2E" w:rsidP="008F0E74">
      <w:pPr>
        <w:spacing w:line="280" w:lineRule="exact"/>
        <w:jc w:val="both"/>
      </w:pPr>
      <w:r w:rsidRPr="00EB2982">
        <w:rPr>
          <w:b/>
          <w:lang w:val="en-US"/>
        </w:rPr>
        <w:t>10</w:t>
      </w:r>
      <w:r w:rsidR="00EF6D42" w:rsidRPr="00EB2982">
        <w:rPr>
          <w:b/>
          <w:lang w:val="en-US"/>
        </w:rPr>
        <w:t>.</w:t>
      </w:r>
      <w:r w:rsidR="006803B2" w:rsidRPr="00EB2982">
        <w:rPr>
          <w:b/>
          <w:lang w:val="en-US"/>
        </w:rPr>
        <w:t>2</w:t>
      </w:r>
      <w:r w:rsidR="002D76CE" w:rsidRPr="00EB2982">
        <w:rPr>
          <w:b/>
          <w:lang w:val="en-US"/>
        </w:rPr>
        <w:tab/>
      </w:r>
      <w:r w:rsidR="00EF6D42" w:rsidRPr="00EB2982">
        <w:rPr>
          <w:b/>
          <w:lang w:val="en-US"/>
        </w:rPr>
        <w:t xml:space="preserve"> </w:t>
      </w:r>
      <w:r w:rsidR="004460ED" w:rsidRPr="00EB2982">
        <w:rPr>
          <w:b/>
        </w:rPr>
        <w:t>NDA 201</w:t>
      </w:r>
      <w:r w:rsidR="00231992" w:rsidRPr="00EB2982">
        <w:rPr>
          <w:b/>
        </w:rPr>
        <w:t>9</w:t>
      </w:r>
      <w:r w:rsidR="004460ED" w:rsidRPr="00EB2982">
        <w:rPr>
          <w:b/>
        </w:rPr>
        <w:t>/20</w:t>
      </w:r>
      <w:r w:rsidR="00231992" w:rsidRPr="00EB2982">
        <w:rPr>
          <w:b/>
        </w:rPr>
        <w:t>20</w:t>
      </w:r>
      <w:r w:rsidR="004460ED" w:rsidRPr="00EB2982">
        <w:rPr>
          <w:b/>
        </w:rPr>
        <w:t xml:space="preserve"> Annual Performance Plan</w:t>
      </w:r>
    </w:p>
    <w:p w14:paraId="386DCC9E" w14:textId="77777777" w:rsidR="00A50EF0" w:rsidRPr="00EB2982" w:rsidRDefault="00A50EF0" w:rsidP="008F0E74">
      <w:pPr>
        <w:spacing w:line="280" w:lineRule="exact"/>
        <w:jc w:val="both"/>
        <w:rPr>
          <w:lang w:val="en-US"/>
        </w:rPr>
      </w:pPr>
    </w:p>
    <w:p w14:paraId="674F9825" w14:textId="77777777" w:rsidR="00A50EF0" w:rsidRPr="00EB2982" w:rsidRDefault="00A50EF0" w:rsidP="008F0E74">
      <w:pPr>
        <w:spacing w:line="280" w:lineRule="exact"/>
        <w:jc w:val="both"/>
        <w:rPr>
          <w:color w:val="000000"/>
          <w:spacing w:val="6"/>
        </w:rPr>
      </w:pPr>
      <w:r w:rsidRPr="00EB2982">
        <w:rPr>
          <w:color w:val="000000"/>
          <w:spacing w:val="6"/>
        </w:rPr>
        <w:t>Programmes as derived from the 201</w:t>
      </w:r>
      <w:r w:rsidR="008E2960" w:rsidRPr="00EB2982">
        <w:rPr>
          <w:color w:val="000000"/>
          <w:spacing w:val="6"/>
        </w:rPr>
        <w:t>7</w:t>
      </w:r>
      <w:r w:rsidRPr="00EB2982">
        <w:rPr>
          <w:color w:val="000000"/>
          <w:spacing w:val="6"/>
        </w:rPr>
        <w:t>-202</w:t>
      </w:r>
      <w:r w:rsidR="008E2960" w:rsidRPr="00EB2982">
        <w:rPr>
          <w:color w:val="000000"/>
          <w:spacing w:val="6"/>
        </w:rPr>
        <w:t>2</w:t>
      </w:r>
      <w:r w:rsidRPr="00EB2982">
        <w:rPr>
          <w:color w:val="000000"/>
          <w:spacing w:val="6"/>
        </w:rPr>
        <w:t xml:space="preserve"> Strategic Plan and the Annual Performance Plan for 201</w:t>
      </w:r>
      <w:r w:rsidR="008E2960" w:rsidRPr="00EB2982">
        <w:rPr>
          <w:color w:val="000000"/>
          <w:spacing w:val="6"/>
        </w:rPr>
        <w:t>9</w:t>
      </w:r>
      <w:r w:rsidRPr="00EB2982">
        <w:rPr>
          <w:color w:val="000000"/>
          <w:spacing w:val="6"/>
        </w:rPr>
        <w:t>/</w:t>
      </w:r>
      <w:r w:rsidR="008E2960" w:rsidRPr="00EB2982">
        <w:rPr>
          <w:color w:val="000000"/>
          <w:spacing w:val="6"/>
        </w:rPr>
        <w:t>20</w:t>
      </w:r>
      <w:r w:rsidRPr="00EB2982">
        <w:rPr>
          <w:color w:val="000000"/>
          <w:spacing w:val="6"/>
        </w:rPr>
        <w:t xml:space="preserve"> are the following three: </w:t>
      </w:r>
    </w:p>
    <w:p w14:paraId="738CBFF8" w14:textId="77777777" w:rsidR="008E2960" w:rsidRPr="00EB2982" w:rsidRDefault="008E2960" w:rsidP="008F0E74">
      <w:pPr>
        <w:spacing w:line="280" w:lineRule="exact"/>
        <w:jc w:val="both"/>
        <w:rPr>
          <w:b/>
          <w:color w:val="000000"/>
          <w:spacing w:val="6"/>
        </w:rPr>
      </w:pPr>
    </w:p>
    <w:p w14:paraId="79AD88F2" w14:textId="77777777" w:rsidR="008F3051" w:rsidRPr="00EB2982" w:rsidRDefault="00994C2E" w:rsidP="008F3051">
      <w:pPr>
        <w:keepNext/>
        <w:spacing w:line="280" w:lineRule="exact"/>
        <w:jc w:val="both"/>
        <w:outlineLvl w:val="0"/>
        <w:rPr>
          <w:b/>
          <w:bCs/>
          <w:color w:val="000000"/>
          <w:spacing w:val="-2"/>
          <w:kern w:val="32"/>
        </w:rPr>
      </w:pPr>
      <w:r w:rsidRPr="00EB2982">
        <w:rPr>
          <w:b/>
          <w:bCs/>
          <w:color w:val="000000"/>
          <w:spacing w:val="-2"/>
          <w:kern w:val="32"/>
        </w:rPr>
        <w:t>10</w:t>
      </w:r>
      <w:r w:rsidR="008F3051" w:rsidRPr="00EB2982">
        <w:rPr>
          <w:b/>
          <w:bCs/>
          <w:color w:val="000000"/>
          <w:spacing w:val="-2"/>
          <w:kern w:val="32"/>
        </w:rPr>
        <w:t xml:space="preserve">.2.1 </w:t>
      </w:r>
      <w:r w:rsidR="00006A91" w:rsidRPr="00EB2982">
        <w:rPr>
          <w:b/>
          <w:bCs/>
          <w:color w:val="000000"/>
          <w:spacing w:val="-2"/>
          <w:kern w:val="32"/>
        </w:rPr>
        <w:t>PROGRAMME PERFORMANCE</w:t>
      </w:r>
    </w:p>
    <w:p w14:paraId="116BB5DC" w14:textId="77777777" w:rsidR="008F3051" w:rsidRPr="00EB2982" w:rsidRDefault="008F3051" w:rsidP="008F0E74">
      <w:pPr>
        <w:spacing w:line="280" w:lineRule="exact"/>
        <w:jc w:val="both"/>
        <w:rPr>
          <w:b/>
          <w:color w:val="000000"/>
          <w:spacing w:val="6"/>
        </w:rPr>
      </w:pPr>
    </w:p>
    <w:p w14:paraId="6C2C7BD5" w14:textId="77777777" w:rsidR="006947F7" w:rsidRPr="00EB2982" w:rsidRDefault="006947F7" w:rsidP="008F0E74">
      <w:pPr>
        <w:spacing w:line="280" w:lineRule="exact"/>
        <w:jc w:val="both"/>
        <w:rPr>
          <w:b/>
          <w:color w:val="000000"/>
          <w:spacing w:val="6"/>
        </w:rPr>
      </w:pPr>
      <w:r w:rsidRPr="00EB2982">
        <w:rPr>
          <w:b/>
          <w:color w:val="000000"/>
          <w:spacing w:val="6"/>
        </w:rPr>
        <w:t>Programme 1: Governance and Administration</w:t>
      </w:r>
    </w:p>
    <w:p w14:paraId="01977C17" w14:textId="77777777" w:rsidR="00A50EF0" w:rsidRPr="00EB2982" w:rsidRDefault="00A50EF0" w:rsidP="008F0E74">
      <w:pPr>
        <w:autoSpaceDE w:val="0"/>
        <w:autoSpaceDN w:val="0"/>
        <w:adjustRightInd w:val="0"/>
        <w:spacing w:line="280" w:lineRule="exact"/>
        <w:jc w:val="both"/>
        <w:rPr>
          <w:b/>
          <w:bCs/>
          <w:color w:val="000000"/>
          <w:lang w:eastAsia="en-US"/>
        </w:rPr>
      </w:pPr>
    </w:p>
    <w:p w14:paraId="2B802C70" w14:textId="77777777" w:rsidR="00762160" w:rsidRPr="00EB2982" w:rsidRDefault="008E2960" w:rsidP="008F0E74">
      <w:pPr>
        <w:autoSpaceDE w:val="0"/>
        <w:autoSpaceDN w:val="0"/>
        <w:adjustRightInd w:val="0"/>
        <w:spacing w:line="280" w:lineRule="exact"/>
        <w:jc w:val="both"/>
        <w:rPr>
          <w:color w:val="000000"/>
          <w:spacing w:val="6"/>
          <w:lang w:val="en-US"/>
        </w:rPr>
      </w:pPr>
      <w:r w:rsidRPr="00EB2982">
        <w:rPr>
          <w:color w:val="000000"/>
          <w:spacing w:val="6"/>
          <w:lang w:val="en-US"/>
        </w:rPr>
        <w:t xml:space="preserve">The programme will focus on promoting and maintaining organisational excellence and sustainability through effective and efficient administration that includes performance, employee well-being, cost containment and brand recognition. This programme has total number of four targets planned for the 2019/20 financial year. </w:t>
      </w:r>
    </w:p>
    <w:p w14:paraId="6F35935C" w14:textId="77777777" w:rsidR="00762160" w:rsidRPr="00EB2982" w:rsidRDefault="00762160" w:rsidP="008F0E74">
      <w:pPr>
        <w:autoSpaceDE w:val="0"/>
        <w:autoSpaceDN w:val="0"/>
        <w:adjustRightInd w:val="0"/>
        <w:spacing w:line="280" w:lineRule="exact"/>
        <w:jc w:val="both"/>
        <w:rPr>
          <w:color w:val="000000"/>
          <w:spacing w:val="6"/>
          <w:lang w:val="en-US"/>
        </w:rPr>
      </w:pPr>
    </w:p>
    <w:p w14:paraId="7563317C" w14:textId="77777777" w:rsidR="008E2960" w:rsidRPr="00EB2982" w:rsidRDefault="008E2960" w:rsidP="008F0E74">
      <w:pPr>
        <w:autoSpaceDE w:val="0"/>
        <w:autoSpaceDN w:val="0"/>
        <w:adjustRightInd w:val="0"/>
        <w:spacing w:line="280" w:lineRule="exact"/>
        <w:jc w:val="both"/>
        <w:rPr>
          <w:color w:val="000000"/>
          <w:spacing w:val="6"/>
          <w:lang w:val="en-ZA"/>
        </w:rPr>
      </w:pPr>
      <w:r w:rsidRPr="00EB2982">
        <w:rPr>
          <w:color w:val="000000"/>
          <w:spacing w:val="6"/>
          <w:lang w:val="en-US"/>
        </w:rPr>
        <w:t xml:space="preserve">The </w:t>
      </w:r>
      <w:r w:rsidRPr="00EB2982">
        <w:rPr>
          <w:color w:val="000000"/>
          <w:spacing w:val="6"/>
          <w:lang w:val="en-ZA"/>
        </w:rPr>
        <w:t>NDA planned to develop the</w:t>
      </w:r>
      <w:r w:rsidRPr="00EB2982">
        <w:rPr>
          <w:b/>
          <w:color w:val="000000" w:themeColor="text1"/>
          <w:spacing w:val="6"/>
        </w:rPr>
        <w:t xml:space="preserve"> </w:t>
      </w:r>
      <w:r w:rsidRPr="00EB2982">
        <w:rPr>
          <w:color w:val="000000"/>
          <w:spacing w:val="6"/>
        </w:rPr>
        <w:t>Civil Society Organization</w:t>
      </w:r>
      <w:r w:rsidRPr="00EB2982">
        <w:rPr>
          <w:color w:val="000000"/>
          <w:spacing w:val="6"/>
          <w:lang w:val="en-ZA"/>
        </w:rPr>
        <w:t xml:space="preserve"> (CSO) Database and Information Management System for the year under review. It also wants to approve and implement the salary key scale or notch of its employees. </w:t>
      </w:r>
    </w:p>
    <w:p w14:paraId="796E4A6B" w14:textId="77777777" w:rsidR="00741764" w:rsidRPr="00EB2982" w:rsidRDefault="00741764" w:rsidP="008F0E74">
      <w:pPr>
        <w:autoSpaceDE w:val="0"/>
        <w:autoSpaceDN w:val="0"/>
        <w:adjustRightInd w:val="0"/>
        <w:spacing w:line="280" w:lineRule="exact"/>
        <w:jc w:val="both"/>
        <w:rPr>
          <w:b/>
          <w:bCs/>
          <w:color w:val="000000"/>
          <w:lang w:eastAsia="en-US"/>
        </w:rPr>
      </w:pPr>
    </w:p>
    <w:p w14:paraId="1729EC20" w14:textId="77777777" w:rsidR="00A50EF0" w:rsidRPr="00EB2982" w:rsidRDefault="00A50EF0" w:rsidP="008F0E74">
      <w:pPr>
        <w:autoSpaceDE w:val="0"/>
        <w:autoSpaceDN w:val="0"/>
        <w:adjustRightInd w:val="0"/>
        <w:spacing w:line="280" w:lineRule="exact"/>
        <w:jc w:val="both"/>
        <w:rPr>
          <w:b/>
          <w:color w:val="000000"/>
          <w:lang w:val="en-US" w:eastAsia="en-US"/>
        </w:rPr>
      </w:pPr>
      <w:r w:rsidRPr="00EB2982">
        <w:rPr>
          <w:b/>
          <w:color w:val="000000" w:themeColor="text1"/>
          <w:lang w:val="en-US" w:eastAsia="en-US"/>
        </w:rPr>
        <w:t>Programme 2: Civil Society Organization Development</w:t>
      </w:r>
      <w:r w:rsidRPr="00EB2982">
        <w:rPr>
          <w:b/>
          <w:color w:val="000000"/>
          <w:lang w:val="en-US" w:eastAsia="en-US"/>
        </w:rPr>
        <w:t xml:space="preserve"> </w:t>
      </w:r>
    </w:p>
    <w:p w14:paraId="3E5447D7" w14:textId="77777777" w:rsidR="00A50EF0" w:rsidRPr="00EB2982" w:rsidRDefault="00A50EF0" w:rsidP="008F0E74">
      <w:pPr>
        <w:autoSpaceDE w:val="0"/>
        <w:autoSpaceDN w:val="0"/>
        <w:adjustRightInd w:val="0"/>
        <w:spacing w:line="280" w:lineRule="exact"/>
        <w:jc w:val="both"/>
        <w:rPr>
          <w:b/>
          <w:color w:val="000000"/>
          <w:lang w:val="en-US" w:eastAsia="en-US"/>
        </w:rPr>
      </w:pPr>
    </w:p>
    <w:p w14:paraId="4254D022" w14:textId="77777777" w:rsidR="00231992" w:rsidRPr="00EB2982" w:rsidRDefault="00231992" w:rsidP="008F0E74">
      <w:pPr>
        <w:pStyle w:val="Default"/>
        <w:spacing w:line="280" w:lineRule="exact"/>
        <w:jc w:val="both"/>
        <w:rPr>
          <w:rFonts w:ascii="Times New Roman" w:hAnsi="Times New Roman" w:cs="Times New Roman"/>
        </w:rPr>
      </w:pPr>
      <w:r w:rsidRPr="00EB2982">
        <w:rPr>
          <w:rFonts w:ascii="Times New Roman" w:hAnsi="Times New Roman" w:cs="Times New Roman"/>
        </w:rPr>
        <w:t xml:space="preserve">This programme provides a comprehensive package that aims at developing CSOs to their full potential, to ensure that CSOs, especially those operating in poor communities, have capabilities to provide quality services to the communities they are serving. </w:t>
      </w:r>
    </w:p>
    <w:p w14:paraId="4AC177B3" w14:textId="77777777" w:rsidR="00EA0A48" w:rsidRPr="00EB2982" w:rsidRDefault="00EA0A48" w:rsidP="008F0E74">
      <w:pPr>
        <w:pStyle w:val="Default"/>
        <w:spacing w:line="280" w:lineRule="exact"/>
        <w:jc w:val="both"/>
        <w:rPr>
          <w:rFonts w:ascii="Times New Roman" w:hAnsi="Times New Roman" w:cs="Times New Roman"/>
        </w:rPr>
      </w:pPr>
    </w:p>
    <w:p w14:paraId="7B19F593" w14:textId="77777777" w:rsidR="00A50EF0" w:rsidRPr="00EB2982" w:rsidRDefault="00231992" w:rsidP="008F0E74">
      <w:pPr>
        <w:autoSpaceDE w:val="0"/>
        <w:autoSpaceDN w:val="0"/>
        <w:adjustRightInd w:val="0"/>
        <w:spacing w:line="280" w:lineRule="exact"/>
        <w:jc w:val="both"/>
        <w:rPr>
          <w:color w:val="000000"/>
          <w:lang w:val="en-US" w:eastAsia="en-US"/>
        </w:rPr>
      </w:pPr>
      <w:r w:rsidRPr="00EB2982">
        <w:t>This programme has a total number of eight (8) targets for 2019/20 financial year.</w:t>
      </w:r>
      <w:r w:rsidR="00762160" w:rsidRPr="00EB2982">
        <w:t xml:space="preserve"> </w:t>
      </w:r>
      <w:r w:rsidR="00A50EF0" w:rsidRPr="00EB2982">
        <w:rPr>
          <w:color w:val="000000"/>
          <w:lang w:val="en-US" w:eastAsia="en-US"/>
        </w:rPr>
        <w:t xml:space="preserve">The following are some of the sub-programmes under Programme 2: </w:t>
      </w:r>
    </w:p>
    <w:p w14:paraId="2DEF09A8" w14:textId="77777777" w:rsidR="00EA0A48" w:rsidRPr="00EB2982" w:rsidRDefault="00EA0A48" w:rsidP="008F0E74">
      <w:pPr>
        <w:autoSpaceDE w:val="0"/>
        <w:autoSpaceDN w:val="0"/>
        <w:adjustRightInd w:val="0"/>
        <w:spacing w:line="280" w:lineRule="exact"/>
        <w:jc w:val="both"/>
        <w:rPr>
          <w:color w:val="000000"/>
          <w:lang w:val="en-US" w:eastAsia="en-US"/>
        </w:rPr>
      </w:pPr>
    </w:p>
    <w:p w14:paraId="4652323F" w14:textId="77777777" w:rsidR="00EA0A48" w:rsidRPr="00EB2982" w:rsidRDefault="00EA0A48" w:rsidP="008F0E74">
      <w:pPr>
        <w:pStyle w:val="Default"/>
        <w:spacing w:line="280" w:lineRule="exact"/>
        <w:jc w:val="both"/>
        <w:rPr>
          <w:rFonts w:ascii="Times New Roman" w:hAnsi="Times New Roman" w:cs="Times New Roman"/>
          <w:b/>
          <w:i/>
        </w:rPr>
      </w:pPr>
      <w:r w:rsidRPr="00EB2982">
        <w:rPr>
          <w:rFonts w:ascii="Times New Roman" w:hAnsi="Times New Roman" w:cs="Times New Roman"/>
          <w:b/>
          <w:i/>
        </w:rPr>
        <w:t>Civil Society Mobilisation and Formalisation</w:t>
      </w:r>
    </w:p>
    <w:p w14:paraId="5A5E67E9" w14:textId="77777777" w:rsidR="00EA0A48" w:rsidRPr="00EB2982" w:rsidRDefault="00EA0A48" w:rsidP="008F0E74">
      <w:pPr>
        <w:pStyle w:val="Default"/>
        <w:spacing w:line="280" w:lineRule="exact"/>
        <w:jc w:val="both"/>
        <w:rPr>
          <w:rFonts w:ascii="Times New Roman" w:hAnsi="Times New Roman" w:cs="Times New Roman"/>
        </w:rPr>
      </w:pPr>
    </w:p>
    <w:p w14:paraId="72C54B5B" w14:textId="77777777" w:rsidR="00EA0A48" w:rsidRPr="00EB2982" w:rsidRDefault="00EA0A48" w:rsidP="008F0E74">
      <w:pPr>
        <w:pStyle w:val="Default"/>
        <w:spacing w:line="280" w:lineRule="exact"/>
        <w:jc w:val="both"/>
        <w:rPr>
          <w:rFonts w:ascii="Times New Roman" w:hAnsi="Times New Roman" w:cs="Times New Roman"/>
          <w:lang w:val="en-GB"/>
        </w:rPr>
      </w:pPr>
      <w:r w:rsidRPr="00EB2982">
        <w:rPr>
          <w:rFonts w:ascii="Times New Roman" w:hAnsi="Times New Roman" w:cs="Times New Roman"/>
        </w:rPr>
        <w:t xml:space="preserve">The main purpose of this programme </w:t>
      </w:r>
      <w:r w:rsidRPr="00EB2982">
        <w:rPr>
          <w:rFonts w:ascii="Times New Roman" w:hAnsi="Times New Roman" w:cs="Times New Roman"/>
          <w:lang w:val="en-ZA"/>
        </w:rPr>
        <w:t xml:space="preserve">is </w:t>
      </w:r>
      <w:r w:rsidRPr="00EB2982">
        <w:rPr>
          <w:rFonts w:ascii="Times New Roman" w:hAnsi="Times New Roman" w:cs="Times New Roman"/>
          <w:lang w:val="en-GB"/>
        </w:rPr>
        <w:t>CSO engagements, assessments and needs analyses, prioritisations of interventions required by CSOs, and facilitating registration of CSOs that need support to register with appropriate registration authorities (NPO and Cooperatives). The NDA planned to increase the number of CSOs participating in CSO mobilisation engagements and consultation process per year to 9500 in 2019/20.  A number of 1000 CSOs will be assisted to formalise their structures.</w:t>
      </w:r>
    </w:p>
    <w:p w14:paraId="15E8C99D" w14:textId="77777777" w:rsidR="00EA0A48" w:rsidRPr="00EB2982" w:rsidRDefault="00EA0A48" w:rsidP="008F0E74">
      <w:pPr>
        <w:pStyle w:val="Default"/>
        <w:spacing w:line="280" w:lineRule="exact"/>
        <w:jc w:val="both"/>
        <w:rPr>
          <w:rFonts w:ascii="Times New Roman" w:hAnsi="Times New Roman" w:cs="Times New Roman"/>
          <w:lang w:val="en-GB"/>
        </w:rPr>
      </w:pPr>
    </w:p>
    <w:p w14:paraId="1E8B40B6" w14:textId="77777777" w:rsidR="00EA0A48" w:rsidRPr="00EB2982" w:rsidRDefault="00EA0A48" w:rsidP="008F0E74">
      <w:pPr>
        <w:pStyle w:val="Default"/>
        <w:spacing w:line="280" w:lineRule="exact"/>
        <w:jc w:val="both"/>
        <w:rPr>
          <w:rFonts w:ascii="Times New Roman" w:hAnsi="Times New Roman" w:cs="Times New Roman"/>
          <w:b/>
          <w:i/>
          <w:lang w:val="en-GB"/>
        </w:rPr>
      </w:pPr>
      <w:r w:rsidRPr="00EB2982">
        <w:rPr>
          <w:rFonts w:ascii="Times New Roman" w:hAnsi="Times New Roman" w:cs="Times New Roman"/>
          <w:b/>
          <w:i/>
          <w:lang w:val="en-GB"/>
        </w:rPr>
        <w:t>Civil Society Organisation’s linkage to sustainability</w:t>
      </w:r>
    </w:p>
    <w:p w14:paraId="5F3E5431" w14:textId="77777777" w:rsidR="00EA0A48" w:rsidRPr="00EB2982" w:rsidRDefault="00EA0A48" w:rsidP="008F0E74">
      <w:pPr>
        <w:pStyle w:val="Default"/>
        <w:spacing w:line="280" w:lineRule="exact"/>
        <w:jc w:val="both"/>
        <w:rPr>
          <w:rFonts w:ascii="Times New Roman" w:hAnsi="Times New Roman" w:cs="Times New Roman"/>
          <w:b/>
          <w:lang w:val="en-GB"/>
        </w:rPr>
      </w:pPr>
    </w:p>
    <w:p w14:paraId="7530BFFA" w14:textId="77777777" w:rsidR="00EA0A48" w:rsidRPr="00EB2982" w:rsidRDefault="00EA0A48" w:rsidP="008F0E74">
      <w:pPr>
        <w:pStyle w:val="Default"/>
        <w:spacing w:line="280" w:lineRule="exact"/>
        <w:jc w:val="both"/>
        <w:rPr>
          <w:rFonts w:ascii="Times New Roman" w:hAnsi="Times New Roman" w:cs="Times New Roman"/>
          <w:lang w:val="en-GB"/>
        </w:rPr>
      </w:pPr>
      <w:r w:rsidRPr="00EB2982">
        <w:rPr>
          <w:rFonts w:ascii="Times New Roman" w:hAnsi="Times New Roman" w:cs="Times New Roman"/>
          <w:lang w:val="en-GB"/>
        </w:rPr>
        <w:t xml:space="preserve">This sub-programme focuses on strengthening institutional capacities of CSO’s across all districts and local municipalities in nine provinces. A total of 2000 CSO’s will be referred to other sustainable resource opportunities per year is the target of the NDA. </w:t>
      </w:r>
    </w:p>
    <w:p w14:paraId="6A41D467" w14:textId="77777777" w:rsidR="005D085A" w:rsidRPr="00EB2982" w:rsidRDefault="005D085A" w:rsidP="008F0E74">
      <w:pPr>
        <w:autoSpaceDE w:val="0"/>
        <w:autoSpaceDN w:val="0"/>
        <w:adjustRightInd w:val="0"/>
        <w:spacing w:line="280" w:lineRule="exact"/>
        <w:jc w:val="both"/>
        <w:rPr>
          <w:b/>
          <w:color w:val="000000"/>
          <w:lang w:val="en-US" w:eastAsia="en-US"/>
        </w:rPr>
      </w:pPr>
    </w:p>
    <w:p w14:paraId="7A7E538C" w14:textId="77777777" w:rsidR="00EA0A48" w:rsidRPr="00EB2982" w:rsidRDefault="00EA0A48" w:rsidP="008F0E74">
      <w:pPr>
        <w:autoSpaceDE w:val="0"/>
        <w:autoSpaceDN w:val="0"/>
        <w:adjustRightInd w:val="0"/>
        <w:spacing w:line="280" w:lineRule="exact"/>
        <w:jc w:val="both"/>
        <w:rPr>
          <w:b/>
          <w:i/>
          <w:color w:val="000000"/>
          <w:lang w:val="en-US" w:eastAsia="en-US"/>
        </w:rPr>
      </w:pPr>
      <w:r w:rsidRPr="00EB2982">
        <w:rPr>
          <w:b/>
          <w:i/>
          <w:color w:val="000000"/>
          <w:lang w:val="en-US" w:eastAsia="en-US"/>
        </w:rPr>
        <w:t xml:space="preserve">Civil Society </w:t>
      </w:r>
      <w:r w:rsidR="00152C38" w:rsidRPr="00EB2982">
        <w:rPr>
          <w:b/>
          <w:i/>
          <w:color w:val="000000"/>
          <w:lang w:val="en-US" w:eastAsia="en-US"/>
        </w:rPr>
        <w:t>Organisation’s gr</w:t>
      </w:r>
      <w:r w:rsidR="005D085A" w:rsidRPr="00EB2982">
        <w:rPr>
          <w:b/>
          <w:i/>
          <w:color w:val="000000"/>
          <w:lang w:val="en-US" w:eastAsia="en-US"/>
        </w:rPr>
        <w:t>a</w:t>
      </w:r>
      <w:r w:rsidR="00152C38" w:rsidRPr="00EB2982">
        <w:rPr>
          <w:b/>
          <w:i/>
          <w:color w:val="000000"/>
          <w:lang w:val="en-US" w:eastAsia="en-US"/>
        </w:rPr>
        <w:t>n</w:t>
      </w:r>
      <w:r w:rsidR="005D085A" w:rsidRPr="00EB2982">
        <w:rPr>
          <w:b/>
          <w:i/>
          <w:color w:val="000000"/>
          <w:lang w:val="en-US" w:eastAsia="en-US"/>
        </w:rPr>
        <w:t>t</w:t>
      </w:r>
      <w:r w:rsidR="00152C38" w:rsidRPr="00EB2982">
        <w:rPr>
          <w:b/>
          <w:i/>
          <w:color w:val="000000"/>
          <w:lang w:val="en-US" w:eastAsia="en-US"/>
        </w:rPr>
        <w:t xml:space="preserve"> funding and Resource mobilization</w:t>
      </w:r>
    </w:p>
    <w:p w14:paraId="5B5823C9" w14:textId="77777777" w:rsidR="00152C38" w:rsidRPr="00EB2982" w:rsidRDefault="00152C38" w:rsidP="008F0E74">
      <w:pPr>
        <w:autoSpaceDE w:val="0"/>
        <w:autoSpaceDN w:val="0"/>
        <w:adjustRightInd w:val="0"/>
        <w:spacing w:line="280" w:lineRule="exact"/>
        <w:jc w:val="both"/>
        <w:rPr>
          <w:b/>
          <w:color w:val="000000"/>
          <w:lang w:val="en-US" w:eastAsia="en-US"/>
        </w:rPr>
      </w:pPr>
    </w:p>
    <w:p w14:paraId="5F61AEA8" w14:textId="77777777" w:rsidR="00152C38" w:rsidRPr="00EB2982" w:rsidRDefault="00152C38" w:rsidP="008F0E74">
      <w:pPr>
        <w:autoSpaceDE w:val="0"/>
        <w:autoSpaceDN w:val="0"/>
        <w:adjustRightInd w:val="0"/>
        <w:spacing w:line="280" w:lineRule="exact"/>
        <w:jc w:val="both"/>
        <w:rPr>
          <w:color w:val="000000"/>
          <w:lang w:val="en-US" w:eastAsia="en-US"/>
        </w:rPr>
      </w:pPr>
      <w:r w:rsidRPr="00EB2982">
        <w:rPr>
          <w:color w:val="000000"/>
          <w:lang w:val="en-US" w:eastAsia="en-US"/>
        </w:rPr>
        <w:t>The sub-programme focuses on providing grants to CSOs that works with poor communities for purposes on develoing their capacities to deliver quality projects and programmes.  The entity has planned increase the number of CO that receive grant to 90 per annum.  In addition, it anticipate</w:t>
      </w:r>
      <w:r w:rsidR="00741764" w:rsidRPr="00EB2982">
        <w:rPr>
          <w:color w:val="000000"/>
          <w:lang w:val="en-US" w:eastAsia="en-US"/>
        </w:rPr>
        <w:t>d</w:t>
      </w:r>
      <w:r w:rsidRPr="00EB2982">
        <w:rPr>
          <w:color w:val="000000"/>
          <w:lang w:val="en-US" w:eastAsia="en-US"/>
        </w:rPr>
        <w:t xml:space="preserve"> to rand value of resources raised to R55 million.</w:t>
      </w:r>
    </w:p>
    <w:p w14:paraId="41765EAA" w14:textId="77777777" w:rsidR="00152C38" w:rsidRPr="00EB2982" w:rsidRDefault="00152C38" w:rsidP="008F0E74">
      <w:pPr>
        <w:autoSpaceDE w:val="0"/>
        <w:autoSpaceDN w:val="0"/>
        <w:adjustRightInd w:val="0"/>
        <w:spacing w:line="280" w:lineRule="exact"/>
        <w:jc w:val="both"/>
        <w:rPr>
          <w:color w:val="000000"/>
          <w:lang w:val="en-US" w:eastAsia="en-US"/>
        </w:rPr>
      </w:pPr>
    </w:p>
    <w:p w14:paraId="751A6E5B" w14:textId="77777777" w:rsidR="00BF0018" w:rsidRPr="00EB2982" w:rsidRDefault="00BF0018" w:rsidP="008F0E74">
      <w:pPr>
        <w:pStyle w:val="Default"/>
        <w:spacing w:line="280" w:lineRule="exact"/>
        <w:jc w:val="both"/>
        <w:rPr>
          <w:rFonts w:ascii="Times New Roman" w:hAnsi="Times New Roman" w:cs="Times New Roman"/>
          <w:lang w:val="en-GB"/>
        </w:rPr>
      </w:pPr>
      <w:r w:rsidRPr="00EB2982">
        <w:rPr>
          <w:rFonts w:ascii="Times New Roman" w:hAnsi="Times New Roman" w:cs="Times New Roman"/>
          <w:lang w:val="en-GB"/>
        </w:rPr>
        <w:t xml:space="preserve">This programme budget allocation has increased from 101.1 million in 2018/19 to R104.1 million in 2019/20 financial year. </w:t>
      </w:r>
    </w:p>
    <w:p w14:paraId="120887A8" w14:textId="77777777" w:rsidR="00A50EF0" w:rsidRPr="00EB2982" w:rsidRDefault="00A50EF0" w:rsidP="008F0E74">
      <w:pPr>
        <w:autoSpaceDE w:val="0"/>
        <w:autoSpaceDN w:val="0"/>
        <w:adjustRightInd w:val="0"/>
        <w:spacing w:line="280" w:lineRule="exact"/>
        <w:jc w:val="both"/>
        <w:rPr>
          <w:b/>
          <w:bCs/>
          <w:color w:val="000000"/>
          <w:lang w:eastAsia="en-US"/>
        </w:rPr>
      </w:pPr>
    </w:p>
    <w:p w14:paraId="6C48EF67" w14:textId="77777777" w:rsidR="00A50EF0" w:rsidRPr="00EB2982" w:rsidRDefault="00A50EF0" w:rsidP="008F0E74">
      <w:pPr>
        <w:autoSpaceDE w:val="0"/>
        <w:autoSpaceDN w:val="0"/>
        <w:adjustRightInd w:val="0"/>
        <w:spacing w:line="280" w:lineRule="exact"/>
        <w:jc w:val="both"/>
        <w:rPr>
          <w:bCs/>
          <w:color w:val="000000"/>
          <w:lang w:val="en-US" w:eastAsia="en-US"/>
        </w:rPr>
      </w:pPr>
      <w:r w:rsidRPr="00EB2982">
        <w:rPr>
          <w:b/>
          <w:color w:val="000000"/>
          <w:lang w:val="en-US" w:eastAsia="en-US"/>
        </w:rPr>
        <w:t>Programme 3: Research</w:t>
      </w:r>
    </w:p>
    <w:p w14:paraId="4515252C" w14:textId="77777777" w:rsidR="00BF0018" w:rsidRPr="00EB2982" w:rsidRDefault="00BF0018" w:rsidP="008F0E74">
      <w:pPr>
        <w:autoSpaceDE w:val="0"/>
        <w:autoSpaceDN w:val="0"/>
        <w:adjustRightInd w:val="0"/>
        <w:spacing w:line="280" w:lineRule="exact"/>
        <w:jc w:val="both"/>
        <w:rPr>
          <w:bCs/>
          <w:color w:val="000000"/>
          <w:lang w:val="en-US" w:eastAsia="en-US"/>
        </w:rPr>
      </w:pPr>
    </w:p>
    <w:p w14:paraId="573FF268" w14:textId="77777777" w:rsidR="00BF0018" w:rsidRPr="00EB2982" w:rsidRDefault="00BF0018" w:rsidP="008F0E74">
      <w:pPr>
        <w:pStyle w:val="Default"/>
        <w:spacing w:line="280" w:lineRule="exact"/>
        <w:jc w:val="both"/>
        <w:rPr>
          <w:rFonts w:ascii="Times New Roman" w:hAnsi="Times New Roman" w:cs="Times New Roman"/>
          <w:bCs/>
          <w:lang w:val="en-GB"/>
        </w:rPr>
      </w:pPr>
      <w:r w:rsidRPr="00EB2982">
        <w:rPr>
          <w:rFonts w:ascii="Times New Roman" w:hAnsi="Times New Roman" w:cs="Times New Roman"/>
          <w:bCs/>
        </w:rPr>
        <w:t>The focus of this programme is on action research and impact evaluative studies that will be used to inform programme planning, implementation and management of NDA CSOs development Programmes.</w:t>
      </w:r>
      <w:r w:rsidRPr="00EB2982">
        <w:rPr>
          <w:rFonts w:ascii="Times New Roman" w:hAnsi="Times New Roman" w:cs="Times New Roman"/>
          <w:spacing w:val="6"/>
          <w:lang w:val="en-GB" w:eastAsia="en-GB"/>
        </w:rPr>
        <w:t xml:space="preserve"> The Agency has planned to produces a total number of 16 research and policy reports</w:t>
      </w:r>
      <w:r w:rsidRPr="00EB2982">
        <w:rPr>
          <w:rFonts w:ascii="Times New Roman" w:hAnsi="Times New Roman" w:cs="Times New Roman"/>
          <w:bCs/>
          <w:lang w:val="en-GB"/>
        </w:rPr>
        <w:t xml:space="preserve"> for 2019/20 financial year. Additionally, NDA will evaluate 9 studies on its programme conducted and results will be shared out with various stakeholders during this year (2019/20). </w:t>
      </w:r>
    </w:p>
    <w:p w14:paraId="4B436F6D" w14:textId="77777777" w:rsidR="00BF0018" w:rsidRPr="00EB2982" w:rsidRDefault="00BF0018" w:rsidP="008F0E74">
      <w:pPr>
        <w:pStyle w:val="Default"/>
        <w:spacing w:line="280" w:lineRule="exact"/>
        <w:ind w:left="283"/>
        <w:jc w:val="both"/>
        <w:rPr>
          <w:rFonts w:ascii="Times New Roman" w:hAnsi="Times New Roman" w:cs="Times New Roman"/>
          <w:bCs/>
          <w:lang w:val="en-GB"/>
        </w:rPr>
      </w:pPr>
    </w:p>
    <w:p w14:paraId="751674CC" w14:textId="77777777" w:rsidR="00BF0018" w:rsidRPr="00EB2982" w:rsidRDefault="00BF0018" w:rsidP="008F0E74">
      <w:pPr>
        <w:pStyle w:val="Default"/>
        <w:spacing w:line="280" w:lineRule="exact"/>
        <w:jc w:val="both"/>
        <w:rPr>
          <w:rFonts w:ascii="Times New Roman" w:hAnsi="Times New Roman" w:cs="Times New Roman"/>
          <w:bCs/>
          <w:lang w:val="en-GB"/>
        </w:rPr>
      </w:pPr>
      <w:r w:rsidRPr="00EB2982">
        <w:rPr>
          <w:rFonts w:ascii="Times New Roman" w:hAnsi="Times New Roman" w:cs="Times New Roman"/>
          <w:bCs/>
          <w:lang w:val="en-GB"/>
        </w:rPr>
        <w:t xml:space="preserve">The budget allocation in this </w:t>
      </w:r>
      <w:r w:rsidR="00CD0E58" w:rsidRPr="00EB2982">
        <w:rPr>
          <w:rFonts w:ascii="Times New Roman" w:hAnsi="Times New Roman" w:cs="Times New Roman"/>
          <w:bCs/>
          <w:lang w:val="en-GB"/>
        </w:rPr>
        <w:t>programme has</w:t>
      </w:r>
      <w:r w:rsidRPr="00EB2982">
        <w:rPr>
          <w:rFonts w:ascii="Times New Roman" w:hAnsi="Times New Roman" w:cs="Times New Roman"/>
          <w:bCs/>
          <w:lang w:val="en-GB"/>
        </w:rPr>
        <w:t xml:space="preserve"> decrease from R10.4 millio</w:t>
      </w:r>
      <w:r w:rsidR="006D0A7F" w:rsidRPr="00EB2982">
        <w:rPr>
          <w:rFonts w:ascii="Times New Roman" w:hAnsi="Times New Roman" w:cs="Times New Roman"/>
          <w:bCs/>
          <w:lang w:val="en-GB"/>
        </w:rPr>
        <w:t xml:space="preserve">n in 2018/19 financial year to </w:t>
      </w:r>
      <w:r w:rsidRPr="00EB2982">
        <w:rPr>
          <w:rFonts w:ascii="Times New Roman" w:hAnsi="Times New Roman" w:cs="Times New Roman"/>
          <w:bCs/>
          <w:lang w:val="en-GB"/>
        </w:rPr>
        <w:t xml:space="preserve">a total of R9.7 </w:t>
      </w:r>
      <w:r w:rsidR="006D0A7F" w:rsidRPr="00EB2982">
        <w:rPr>
          <w:rFonts w:ascii="Times New Roman" w:hAnsi="Times New Roman" w:cs="Times New Roman"/>
          <w:bCs/>
          <w:lang w:val="en-GB"/>
        </w:rPr>
        <w:t>million in 2019</w:t>
      </w:r>
      <w:r w:rsidRPr="00EB2982">
        <w:rPr>
          <w:rFonts w:ascii="Times New Roman" w:hAnsi="Times New Roman" w:cs="Times New Roman"/>
          <w:bCs/>
          <w:lang w:val="en-GB"/>
        </w:rPr>
        <w:t xml:space="preserve">/20 financial year </w:t>
      </w:r>
    </w:p>
    <w:p w14:paraId="798BABE5" w14:textId="77777777" w:rsidR="00BF0018" w:rsidRPr="00EB2982" w:rsidRDefault="00BF0018" w:rsidP="008F0E74">
      <w:pPr>
        <w:autoSpaceDE w:val="0"/>
        <w:autoSpaceDN w:val="0"/>
        <w:adjustRightInd w:val="0"/>
        <w:spacing w:line="280" w:lineRule="exact"/>
        <w:jc w:val="both"/>
        <w:rPr>
          <w:bCs/>
          <w:color w:val="000000"/>
          <w:lang w:val="en-US" w:eastAsia="en-US"/>
        </w:rPr>
      </w:pPr>
    </w:p>
    <w:p w14:paraId="7E4E5EB5" w14:textId="77777777" w:rsidR="00E74E10" w:rsidRPr="00EB2982" w:rsidRDefault="006D0A7F" w:rsidP="008F0E74">
      <w:pPr>
        <w:spacing w:line="280" w:lineRule="exact"/>
        <w:jc w:val="both"/>
        <w:rPr>
          <w:b/>
          <w:lang w:val="en-ZA"/>
        </w:rPr>
      </w:pPr>
      <w:r w:rsidRPr="00EB2982">
        <w:rPr>
          <w:b/>
          <w:lang w:val="en-ZA"/>
        </w:rPr>
        <w:t>1</w:t>
      </w:r>
      <w:r w:rsidR="00994C2E" w:rsidRPr="00EB2982">
        <w:rPr>
          <w:b/>
          <w:lang w:val="en-ZA"/>
        </w:rPr>
        <w:t>1</w:t>
      </w:r>
      <w:r w:rsidR="009565A7" w:rsidRPr="00EB2982">
        <w:rPr>
          <w:b/>
          <w:lang w:val="en-ZA"/>
        </w:rPr>
        <w:t xml:space="preserve">. </w:t>
      </w:r>
      <w:r w:rsidR="00A50EF0" w:rsidRPr="00EB2982">
        <w:rPr>
          <w:b/>
          <w:lang w:val="en-ZA"/>
        </w:rPr>
        <w:t>OVERVIEW OF 201</w:t>
      </w:r>
      <w:r w:rsidR="00BF0018" w:rsidRPr="00EB2982">
        <w:rPr>
          <w:b/>
          <w:lang w:val="en-ZA"/>
        </w:rPr>
        <w:t>9</w:t>
      </w:r>
      <w:r w:rsidR="00A50EF0" w:rsidRPr="00EB2982">
        <w:rPr>
          <w:b/>
          <w:lang w:val="en-ZA"/>
        </w:rPr>
        <w:t>/</w:t>
      </w:r>
      <w:r w:rsidR="00BF0018" w:rsidRPr="00EB2982">
        <w:rPr>
          <w:b/>
          <w:lang w:val="en-ZA"/>
        </w:rPr>
        <w:t>20</w:t>
      </w:r>
      <w:r w:rsidR="00A50EF0" w:rsidRPr="00EB2982">
        <w:rPr>
          <w:b/>
          <w:lang w:val="en-ZA"/>
        </w:rPr>
        <w:t xml:space="preserve"> BUDGET</w:t>
      </w:r>
    </w:p>
    <w:p w14:paraId="1F9442F6" w14:textId="77777777" w:rsidR="00BF0018" w:rsidRPr="00EB2982" w:rsidRDefault="00BF0018" w:rsidP="008F0E74">
      <w:pPr>
        <w:pStyle w:val="Default"/>
        <w:spacing w:line="280" w:lineRule="exact"/>
        <w:jc w:val="both"/>
        <w:rPr>
          <w:rFonts w:ascii="Times New Roman" w:hAnsi="Times New Roman" w:cs="Times New Roman"/>
        </w:rPr>
      </w:pPr>
    </w:p>
    <w:p w14:paraId="15D99EED" w14:textId="77777777" w:rsidR="00BF0018" w:rsidRPr="00EB2982" w:rsidRDefault="007B7873" w:rsidP="008F0E74">
      <w:pPr>
        <w:pStyle w:val="Default"/>
        <w:spacing w:line="280" w:lineRule="exact"/>
        <w:jc w:val="both"/>
        <w:rPr>
          <w:rFonts w:ascii="Times New Roman" w:hAnsi="Times New Roman" w:cs="Times New Roman"/>
          <w:lang w:val="en-GB"/>
        </w:rPr>
      </w:pPr>
      <w:r w:rsidRPr="00EB2982">
        <w:rPr>
          <w:rFonts w:ascii="Times New Roman" w:hAnsi="Times New Roman" w:cs="Times New Roman"/>
        </w:rPr>
        <w:t xml:space="preserve">The </w:t>
      </w:r>
      <w:r w:rsidR="00BF0018" w:rsidRPr="00EB2982">
        <w:rPr>
          <w:rFonts w:ascii="Times New Roman" w:hAnsi="Times New Roman" w:cs="Times New Roman"/>
        </w:rPr>
        <w:t>NDA,</w:t>
      </w:r>
      <w:r w:rsidRPr="00EB2982">
        <w:rPr>
          <w:rFonts w:ascii="Times New Roman" w:hAnsi="Times New Roman" w:cs="Times New Roman"/>
        </w:rPr>
        <w:t xml:space="preserve"> as an entity of the d</w:t>
      </w:r>
      <w:r w:rsidR="00BF0018" w:rsidRPr="00EB2982">
        <w:rPr>
          <w:rFonts w:ascii="Times New Roman" w:hAnsi="Times New Roman" w:cs="Times New Roman"/>
        </w:rPr>
        <w:t>e</w:t>
      </w:r>
      <w:r w:rsidRPr="00EB2982">
        <w:rPr>
          <w:rFonts w:ascii="Times New Roman" w:hAnsi="Times New Roman" w:cs="Times New Roman"/>
        </w:rPr>
        <w:t>partment, is located within P</w:t>
      </w:r>
      <w:r w:rsidR="00BF0018" w:rsidRPr="00EB2982">
        <w:rPr>
          <w:rFonts w:ascii="Times New Roman" w:hAnsi="Times New Roman" w:cs="Times New Roman"/>
        </w:rPr>
        <w:t xml:space="preserve">rogramme 5 of the Department. The NDA dominates, with 51.4 per cent of the voted allocation under Programme 5 designated to the entity to support sustainable, community-driven programmes that serves poor and vulnerable communities.  The NDA transfer from the Department increases from R202.6 million in 2018/19 to R213.9 million in 2019/20. Its allocation therefore declines by 0.3 per cent in real terms. </w:t>
      </w:r>
    </w:p>
    <w:p w14:paraId="58B2AF7B" w14:textId="77777777" w:rsidR="00BF0018" w:rsidRPr="00EB2982" w:rsidRDefault="00BF0018" w:rsidP="008F0E74">
      <w:pPr>
        <w:pStyle w:val="Default"/>
        <w:spacing w:line="280" w:lineRule="exact"/>
        <w:jc w:val="both"/>
        <w:rPr>
          <w:rFonts w:ascii="Times New Roman" w:hAnsi="Times New Roman" w:cs="Times New Roman"/>
          <w:lang w:val="en-GB"/>
        </w:rPr>
      </w:pPr>
    </w:p>
    <w:p w14:paraId="5A02E32A" w14:textId="77777777" w:rsidR="00EF6D42" w:rsidRPr="00EB2982" w:rsidRDefault="00994C2E" w:rsidP="008F0E74">
      <w:pPr>
        <w:spacing w:line="280" w:lineRule="exact"/>
        <w:jc w:val="both"/>
        <w:rPr>
          <w:b/>
        </w:rPr>
      </w:pPr>
      <w:r w:rsidRPr="00EB2982">
        <w:rPr>
          <w:b/>
        </w:rPr>
        <w:t>12</w:t>
      </w:r>
      <w:r w:rsidR="006D0A7F" w:rsidRPr="00EB2982">
        <w:rPr>
          <w:b/>
        </w:rPr>
        <w:t>.</w:t>
      </w:r>
      <w:r w:rsidR="001B5E21" w:rsidRPr="00EB2982">
        <w:rPr>
          <w:b/>
        </w:rPr>
        <w:t xml:space="preserve"> COMMITTEE DELIBERATIONS AND OBSERVATIONS</w:t>
      </w:r>
    </w:p>
    <w:p w14:paraId="3BD1A829" w14:textId="77777777" w:rsidR="00741764" w:rsidRPr="00EB2982" w:rsidRDefault="00741764" w:rsidP="008F0E74">
      <w:pPr>
        <w:spacing w:line="280" w:lineRule="exact"/>
        <w:jc w:val="both"/>
        <w:rPr>
          <w:b/>
        </w:rPr>
      </w:pPr>
    </w:p>
    <w:p w14:paraId="752D07EE" w14:textId="77777777" w:rsidR="00741764" w:rsidRPr="00EB2982" w:rsidRDefault="00741764" w:rsidP="001342C6">
      <w:pPr>
        <w:numPr>
          <w:ilvl w:val="0"/>
          <w:numId w:val="14"/>
        </w:numPr>
        <w:spacing w:before="100" w:beforeAutospacing="1" w:after="100" w:afterAutospacing="1" w:line="280" w:lineRule="exact"/>
        <w:jc w:val="both"/>
        <w:rPr>
          <w:spacing w:val="6"/>
          <w:lang w:val="en-US"/>
        </w:rPr>
      </w:pPr>
      <w:r w:rsidRPr="00EB2982">
        <w:rPr>
          <w:spacing w:val="6"/>
          <w:lang w:val="en-US"/>
        </w:rPr>
        <w:t>The main concern of the Committee was that over the</w:t>
      </w:r>
      <w:r w:rsidR="00682F94" w:rsidRPr="00EB2982">
        <w:rPr>
          <w:spacing w:val="6"/>
          <w:lang w:val="en-US"/>
        </w:rPr>
        <w:t xml:space="preserve"> past</w:t>
      </w:r>
      <w:r w:rsidRPr="00EB2982">
        <w:rPr>
          <w:spacing w:val="6"/>
          <w:lang w:val="en-US"/>
        </w:rPr>
        <w:t xml:space="preserve"> 20 years that the NDA has been operating it has still not been able to achieve its mandate to empower and develop communities. Its footprint is still not visible</w:t>
      </w:r>
      <w:r w:rsidR="00682F94" w:rsidRPr="00EB2982">
        <w:rPr>
          <w:spacing w:val="6"/>
          <w:lang w:val="en-US"/>
        </w:rPr>
        <w:t xml:space="preserve"> to the communities. I</w:t>
      </w:r>
      <w:r w:rsidRPr="00EB2982">
        <w:rPr>
          <w:spacing w:val="6"/>
          <w:lang w:val="en-US"/>
        </w:rPr>
        <w:t xml:space="preserve">t has not made any significant impact in developing communities. The NDA was established to be a front runner of community development across government departments not only </w:t>
      </w:r>
      <w:r w:rsidR="00170C99" w:rsidRPr="00EB2982">
        <w:rPr>
          <w:spacing w:val="6"/>
          <w:lang w:val="en-US"/>
        </w:rPr>
        <w:t xml:space="preserve">for </w:t>
      </w:r>
      <w:r w:rsidRPr="00EB2982">
        <w:rPr>
          <w:spacing w:val="6"/>
          <w:lang w:val="en-US"/>
        </w:rPr>
        <w:t xml:space="preserve">the Department of Social Development. </w:t>
      </w:r>
    </w:p>
    <w:p w14:paraId="5B9629E6" w14:textId="77777777" w:rsidR="00741764" w:rsidRPr="00EB2982" w:rsidRDefault="00741764" w:rsidP="008F0E74">
      <w:pPr>
        <w:spacing w:before="100" w:beforeAutospacing="1" w:after="100" w:afterAutospacing="1" w:line="280" w:lineRule="exact"/>
        <w:ind w:left="720"/>
        <w:jc w:val="both"/>
        <w:rPr>
          <w:spacing w:val="6"/>
          <w:lang w:val="en-US"/>
        </w:rPr>
      </w:pPr>
      <w:r w:rsidRPr="00EB2982">
        <w:rPr>
          <w:spacing w:val="6"/>
          <w:lang w:val="en-US"/>
        </w:rPr>
        <w:t xml:space="preserve">It was concerning to the Committee that with such an important mandate the NDA continues to be given least budget allocation. </w:t>
      </w:r>
    </w:p>
    <w:p w14:paraId="2AD240E3" w14:textId="77777777" w:rsidR="00A572A6" w:rsidRPr="00EB2982" w:rsidRDefault="00EF7880" w:rsidP="00EF7880">
      <w:pPr>
        <w:numPr>
          <w:ilvl w:val="0"/>
          <w:numId w:val="14"/>
        </w:numPr>
        <w:spacing w:before="100" w:beforeAutospacing="1" w:after="100" w:afterAutospacing="1" w:line="280" w:lineRule="exact"/>
        <w:jc w:val="both"/>
        <w:rPr>
          <w:spacing w:val="6"/>
          <w:lang w:val="en-US"/>
        </w:rPr>
      </w:pPr>
      <w:r w:rsidRPr="00EB2982">
        <w:rPr>
          <w:spacing w:val="6"/>
          <w:lang w:val="en-US"/>
        </w:rPr>
        <w:t xml:space="preserve">The reiterated the concern of the previous committee that </w:t>
      </w:r>
      <w:r w:rsidR="00E50595" w:rsidRPr="00EB2982">
        <w:rPr>
          <w:spacing w:val="6"/>
          <w:lang w:val="en-US"/>
        </w:rPr>
        <w:t>a large proportion of the budget (65%) is allocated to</w:t>
      </w:r>
      <w:r w:rsidRPr="00EB2982">
        <w:rPr>
          <w:spacing w:val="6"/>
          <w:lang w:val="en-US"/>
        </w:rPr>
        <w:t xml:space="preserve"> </w:t>
      </w:r>
      <w:r w:rsidR="00E50595" w:rsidRPr="00EB2982">
        <w:rPr>
          <w:spacing w:val="6"/>
          <w:lang w:val="en-US"/>
        </w:rPr>
        <w:t xml:space="preserve">staff costs. Budget allocation for mandate expenses is </w:t>
      </w:r>
      <w:r w:rsidRPr="00EB2982">
        <w:rPr>
          <w:spacing w:val="6"/>
          <w:lang w:val="en-US"/>
        </w:rPr>
        <w:t>53%</w:t>
      </w:r>
      <w:r w:rsidR="00E50595" w:rsidRPr="00EB2982">
        <w:rPr>
          <w:spacing w:val="6"/>
          <w:lang w:val="en-US"/>
        </w:rPr>
        <w:t>.</w:t>
      </w:r>
      <w:r w:rsidRPr="00EB2982">
        <w:rPr>
          <w:spacing w:val="6"/>
          <w:lang w:val="en-US"/>
        </w:rPr>
        <w:t xml:space="preserve"> </w:t>
      </w:r>
      <w:r w:rsidR="00A572A6" w:rsidRPr="00EB2982">
        <w:rPr>
          <w:spacing w:val="6"/>
          <w:lang w:val="en-US"/>
        </w:rPr>
        <w:t>This bu</w:t>
      </w:r>
      <w:r w:rsidR="00E50595" w:rsidRPr="00EB2982">
        <w:rPr>
          <w:spacing w:val="6"/>
          <w:lang w:val="en-US"/>
        </w:rPr>
        <w:t xml:space="preserve">dget structure is not in line with the </w:t>
      </w:r>
      <w:r w:rsidR="00A572A6" w:rsidRPr="00EB2982">
        <w:rPr>
          <w:spacing w:val="6"/>
          <w:lang w:val="en-US"/>
        </w:rPr>
        <w:t>core mandate of the NDA as outlined above.</w:t>
      </w:r>
    </w:p>
    <w:p w14:paraId="5F100042" w14:textId="77777777" w:rsidR="00EF7880" w:rsidRPr="00EB2982" w:rsidRDefault="00A572A6" w:rsidP="00A572A6">
      <w:pPr>
        <w:spacing w:before="100" w:beforeAutospacing="1" w:after="100" w:afterAutospacing="1" w:line="280" w:lineRule="exact"/>
        <w:ind w:left="720"/>
        <w:jc w:val="both"/>
        <w:rPr>
          <w:spacing w:val="6"/>
          <w:lang w:val="en-US"/>
        </w:rPr>
      </w:pPr>
      <w:r w:rsidRPr="00EB2982">
        <w:rPr>
          <w:spacing w:val="6"/>
          <w:lang w:val="en-US"/>
        </w:rPr>
        <w:t xml:space="preserve"> </w:t>
      </w:r>
      <w:r w:rsidR="00EF7880" w:rsidRPr="00EB2982">
        <w:rPr>
          <w:spacing w:val="6"/>
          <w:lang w:val="en-US"/>
        </w:rPr>
        <w:t xml:space="preserve"> </w:t>
      </w:r>
    </w:p>
    <w:p w14:paraId="03E6BBDF" w14:textId="77777777" w:rsidR="00741764" w:rsidRPr="00EB2982" w:rsidRDefault="00741764" w:rsidP="001342C6">
      <w:pPr>
        <w:numPr>
          <w:ilvl w:val="0"/>
          <w:numId w:val="14"/>
        </w:numPr>
        <w:spacing w:before="100" w:beforeAutospacing="1" w:after="100" w:afterAutospacing="1" w:line="280" w:lineRule="exact"/>
        <w:jc w:val="both"/>
        <w:rPr>
          <w:spacing w:val="6"/>
          <w:lang w:val="en-US"/>
        </w:rPr>
      </w:pPr>
      <w:r w:rsidRPr="00EB2982">
        <w:rPr>
          <w:spacing w:val="6"/>
          <w:lang w:val="en-US"/>
        </w:rPr>
        <w:t xml:space="preserve">The Committee was also concerned that there is no collaboration between the NDA and SASSA to empower social grants beneficiaries by linking them to economic livelihoods. </w:t>
      </w:r>
    </w:p>
    <w:p w14:paraId="45C20FF6" w14:textId="77777777" w:rsidR="00EF6D42" w:rsidRPr="00EB2982" w:rsidRDefault="00994C2E" w:rsidP="005E2F3A">
      <w:pPr>
        <w:suppressAutoHyphens/>
        <w:autoSpaceDN w:val="0"/>
        <w:spacing w:before="100" w:beforeAutospacing="1" w:after="100" w:afterAutospacing="1" w:line="280" w:lineRule="exact"/>
        <w:jc w:val="both"/>
        <w:textAlignment w:val="baseline"/>
        <w:rPr>
          <w:b/>
        </w:rPr>
      </w:pPr>
      <w:r w:rsidRPr="00EB2982">
        <w:rPr>
          <w:b/>
        </w:rPr>
        <w:t>13</w:t>
      </w:r>
      <w:r w:rsidR="007B11B7" w:rsidRPr="00EB2982">
        <w:rPr>
          <w:b/>
        </w:rPr>
        <w:t xml:space="preserve">. </w:t>
      </w:r>
      <w:r w:rsidR="00BD4660" w:rsidRPr="00EB2982">
        <w:rPr>
          <w:b/>
        </w:rPr>
        <w:t>RECOMMENDATIONS</w:t>
      </w:r>
    </w:p>
    <w:p w14:paraId="40EB21D1" w14:textId="77777777" w:rsidR="00D40F00" w:rsidRPr="00EB2982" w:rsidRDefault="00994C2E" w:rsidP="005E2F3A">
      <w:pPr>
        <w:spacing w:line="280" w:lineRule="exact"/>
        <w:jc w:val="both"/>
        <w:rPr>
          <w:b/>
        </w:rPr>
      </w:pPr>
      <w:r w:rsidRPr="00EB2982">
        <w:rPr>
          <w:b/>
        </w:rPr>
        <w:t>13</w:t>
      </w:r>
      <w:r w:rsidR="00A02976" w:rsidRPr="00EB2982">
        <w:rPr>
          <w:b/>
        </w:rPr>
        <w:t xml:space="preserve">.1 </w:t>
      </w:r>
      <w:r w:rsidR="00D40F00" w:rsidRPr="00EB2982">
        <w:rPr>
          <w:b/>
        </w:rPr>
        <w:t>Department of Social Development</w:t>
      </w:r>
    </w:p>
    <w:p w14:paraId="177D136A" w14:textId="77777777" w:rsidR="00D40F00" w:rsidRPr="00EB2982" w:rsidRDefault="00D40F00" w:rsidP="008E441E">
      <w:pPr>
        <w:spacing w:line="280" w:lineRule="exact"/>
        <w:jc w:val="both"/>
        <w:rPr>
          <w:b/>
        </w:rPr>
      </w:pPr>
    </w:p>
    <w:p w14:paraId="345E7DBC" w14:textId="77777777" w:rsidR="003F7102" w:rsidRPr="00EB2982" w:rsidRDefault="003F7102" w:rsidP="00B7417D">
      <w:pPr>
        <w:spacing w:line="280" w:lineRule="exact"/>
        <w:jc w:val="both"/>
      </w:pPr>
      <w:r w:rsidRPr="00EB2982">
        <w:t>The Committee recommends that:</w:t>
      </w:r>
    </w:p>
    <w:p w14:paraId="280A5FED" w14:textId="77777777" w:rsidR="0090606A" w:rsidRPr="00EB2982" w:rsidRDefault="0090606A" w:rsidP="00B7417D">
      <w:pPr>
        <w:spacing w:line="280" w:lineRule="exact"/>
        <w:jc w:val="both"/>
      </w:pPr>
    </w:p>
    <w:p w14:paraId="310EDDA4" w14:textId="77777777" w:rsidR="0090606A" w:rsidRPr="00EB2982" w:rsidRDefault="0090606A" w:rsidP="00B7417D">
      <w:pPr>
        <w:spacing w:line="280" w:lineRule="exact"/>
        <w:jc w:val="both"/>
      </w:pPr>
      <w:r w:rsidRPr="00EB2982">
        <w:t>Achievement of targets</w:t>
      </w:r>
    </w:p>
    <w:p w14:paraId="2259AE8D" w14:textId="77777777" w:rsidR="0090606A" w:rsidRPr="00EB2982" w:rsidRDefault="0090606A" w:rsidP="00B7417D">
      <w:pPr>
        <w:spacing w:line="280" w:lineRule="exact"/>
        <w:jc w:val="both"/>
      </w:pPr>
    </w:p>
    <w:p w14:paraId="658A261F" w14:textId="77777777" w:rsidR="0090606A" w:rsidRPr="00EB2982" w:rsidRDefault="0090606A" w:rsidP="0090606A">
      <w:pPr>
        <w:pStyle w:val="ListParagraph"/>
        <w:numPr>
          <w:ilvl w:val="0"/>
          <w:numId w:val="35"/>
        </w:numPr>
        <w:spacing w:line="280" w:lineRule="exact"/>
        <w:jc w:val="both"/>
        <w:rPr>
          <w:rFonts w:ascii="Times New Roman" w:hAnsi="Times New Roman"/>
          <w:sz w:val="24"/>
          <w:szCs w:val="24"/>
        </w:rPr>
      </w:pPr>
      <w:r w:rsidRPr="00EB2982">
        <w:rPr>
          <w:rFonts w:ascii="Times New Roman" w:hAnsi="Times New Roman"/>
          <w:sz w:val="24"/>
          <w:szCs w:val="24"/>
        </w:rPr>
        <w:t xml:space="preserve">The Minister must ensure that the department conducts an assessment to determine causes of misalignment between achievement of targets (service delivery) and budget expenditure. </w:t>
      </w:r>
      <w:r w:rsidR="002E1612" w:rsidRPr="00EB2982">
        <w:rPr>
          <w:rFonts w:ascii="Times New Roman" w:hAnsi="Times New Roman"/>
          <w:sz w:val="24"/>
          <w:szCs w:val="24"/>
        </w:rPr>
        <w:t xml:space="preserve">The assessment should look at either this is due to poor planning and budget or poor quality performance. </w:t>
      </w:r>
      <w:r w:rsidR="00543038" w:rsidRPr="00EB2982">
        <w:rPr>
          <w:rFonts w:ascii="Times New Roman" w:hAnsi="Times New Roman"/>
          <w:sz w:val="24"/>
          <w:szCs w:val="24"/>
        </w:rPr>
        <w:t xml:space="preserve">It should thereafter develop a plan outlining how this will be addressed. </w:t>
      </w:r>
      <w:r w:rsidR="00106FBF" w:rsidRPr="00EB2982">
        <w:rPr>
          <w:rFonts w:ascii="Times New Roman" w:hAnsi="Times New Roman"/>
          <w:sz w:val="24"/>
          <w:szCs w:val="24"/>
        </w:rPr>
        <w:t>The outcome of the assessment and the</w:t>
      </w:r>
      <w:r w:rsidR="00543038" w:rsidRPr="00EB2982">
        <w:rPr>
          <w:rFonts w:ascii="Times New Roman" w:hAnsi="Times New Roman"/>
          <w:sz w:val="24"/>
          <w:szCs w:val="24"/>
        </w:rPr>
        <w:t xml:space="preserve"> plan should be presented to the </w:t>
      </w:r>
      <w:r w:rsidR="008B031F" w:rsidRPr="00EB2982">
        <w:rPr>
          <w:rFonts w:ascii="Times New Roman" w:hAnsi="Times New Roman"/>
          <w:sz w:val="24"/>
          <w:szCs w:val="24"/>
        </w:rPr>
        <w:t>C</w:t>
      </w:r>
      <w:r w:rsidR="00543038" w:rsidRPr="00EB2982">
        <w:rPr>
          <w:rFonts w:ascii="Times New Roman" w:hAnsi="Times New Roman"/>
          <w:sz w:val="24"/>
          <w:szCs w:val="24"/>
        </w:rPr>
        <w:t>ommittee</w:t>
      </w:r>
      <w:r w:rsidR="00106FBF" w:rsidRPr="00EB2982">
        <w:rPr>
          <w:rFonts w:ascii="Times New Roman" w:hAnsi="Times New Roman"/>
          <w:sz w:val="24"/>
          <w:szCs w:val="24"/>
        </w:rPr>
        <w:t xml:space="preserve"> before the end of the current financial year</w:t>
      </w:r>
      <w:r w:rsidR="00543038" w:rsidRPr="00EB2982">
        <w:rPr>
          <w:rFonts w:ascii="Times New Roman" w:hAnsi="Times New Roman"/>
          <w:sz w:val="24"/>
          <w:szCs w:val="24"/>
        </w:rPr>
        <w:t xml:space="preserve">. </w:t>
      </w:r>
      <w:r w:rsidRPr="00EB2982">
        <w:rPr>
          <w:rFonts w:ascii="Times New Roman" w:hAnsi="Times New Roman"/>
          <w:sz w:val="24"/>
          <w:szCs w:val="24"/>
        </w:rPr>
        <w:t xml:space="preserve"> </w:t>
      </w:r>
    </w:p>
    <w:p w14:paraId="7FE5575D" w14:textId="77777777" w:rsidR="000C4E6C" w:rsidRPr="00EB2982" w:rsidRDefault="000C4E6C" w:rsidP="008F0E74">
      <w:pPr>
        <w:spacing w:before="100" w:beforeAutospacing="1" w:after="100" w:afterAutospacing="1" w:line="280" w:lineRule="exact"/>
        <w:jc w:val="both"/>
        <w:rPr>
          <w:b/>
          <w:spacing w:val="6"/>
          <w:lang w:val="en-US"/>
        </w:rPr>
      </w:pPr>
      <w:r w:rsidRPr="00EB2982">
        <w:rPr>
          <w:b/>
          <w:spacing w:val="6"/>
          <w:lang w:val="en-US"/>
        </w:rPr>
        <w:t>Absorption of social workers</w:t>
      </w:r>
    </w:p>
    <w:p w14:paraId="1C557E67" w14:textId="77777777" w:rsidR="000C4E6C" w:rsidRPr="00EB2982" w:rsidRDefault="000C4E6C" w:rsidP="001342C6">
      <w:pPr>
        <w:numPr>
          <w:ilvl w:val="0"/>
          <w:numId w:val="12"/>
        </w:numPr>
        <w:spacing w:before="100" w:beforeAutospacing="1" w:after="100" w:afterAutospacing="1" w:line="280" w:lineRule="exact"/>
        <w:jc w:val="both"/>
        <w:rPr>
          <w:spacing w:val="6"/>
          <w:lang w:val="en-US"/>
        </w:rPr>
      </w:pPr>
      <w:r w:rsidRPr="00EB2982">
        <w:rPr>
          <w:spacing w:val="6"/>
          <w:lang w:val="en-US"/>
        </w:rPr>
        <w:t>The Minister should at inter-ministerial level engage with m</w:t>
      </w:r>
      <w:r w:rsidR="00170C99" w:rsidRPr="00EB2982">
        <w:rPr>
          <w:spacing w:val="6"/>
          <w:lang w:val="en-US"/>
        </w:rPr>
        <w:t xml:space="preserve">inisters of </w:t>
      </w:r>
      <w:r w:rsidRPr="00EB2982">
        <w:rPr>
          <w:spacing w:val="6"/>
          <w:lang w:val="en-US"/>
        </w:rPr>
        <w:t>Basic Education, Health, Correctional Services and Higher Education and Training to explore ways in which they can absorb unemployed social work graduates.  Similar engagements should be made with the Minister of Finance to give guidance on the budgetary implications of such partnerships.</w:t>
      </w:r>
    </w:p>
    <w:p w14:paraId="16DEF363" w14:textId="77777777" w:rsidR="000C4E6C" w:rsidRPr="00EB2982" w:rsidRDefault="000C4E6C" w:rsidP="008F0E74">
      <w:pPr>
        <w:spacing w:before="100" w:beforeAutospacing="1" w:after="100" w:afterAutospacing="1" w:line="280" w:lineRule="exact"/>
        <w:ind w:left="360"/>
        <w:jc w:val="both"/>
        <w:rPr>
          <w:lang w:val="en-US"/>
        </w:rPr>
      </w:pPr>
      <w:r w:rsidRPr="00EB2982">
        <w:rPr>
          <w:b/>
          <w:spacing w:val="6"/>
          <w:lang w:val="en-US"/>
        </w:rPr>
        <w:t>Amendment of the South African Social Security Agency Act (No.9 of 2004)</w:t>
      </w:r>
      <w:r w:rsidRPr="00EB2982">
        <w:rPr>
          <w:lang w:val="en-US"/>
        </w:rPr>
        <w:t xml:space="preserve"> </w:t>
      </w:r>
    </w:p>
    <w:p w14:paraId="022BD8C3" w14:textId="77777777" w:rsidR="000C4E6C" w:rsidRPr="00EB2982" w:rsidRDefault="000C4E6C" w:rsidP="001342C6">
      <w:pPr>
        <w:numPr>
          <w:ilvl w:val="0"/>
          <w:numId w:val="12"/>
        </w:numPr>
        <w:spacing w:before="100" w:beforeAutospacing="1" w:after="100" w:afterAutospacing="1" w:line="280" w:lineRule="exact"/>
        <w:jc w:val="both"/>
        <w:rPr>
          <w:lang w:val="en-US"/>
        </w:rPr>
      </w:pPr>
      <w:r w:rsidRPr="00EB2982">
        <w:rPr>
          <w:lang w:val="en-US"/>
        </w:rPr>
        <w:t>The Minister should ensure that the department together with SASSA</w:t>
      </w:r>
      <w:r w:rsidR="00F94CCB" w:rsidRPr="00EB2982">
        <w:rPr>
          <w:lang w:val="en-US"/>
        </w:rPr>
        <w:t>,</w:t>
      </w:r>
      <w:r w:rsidRPr="00EB2982">
        <w:rPr>
          <w:lang w:val="en-US"/>
        </w:rPr>
        <w:t xml:space="preserve"> </w:t>
      </w:r>
      <w:r w:rsidR="00170C99" w:rsidRPr="00EB2982">
        <w:rPr>
          <w:lang w:val="en-US"/>
        </w:rPr>
        <w:t>within the current financial year</w:t>
      </w:r>
      <w:r w:rsidR="00F94CCB" w:rsidRPr="00EB2982">
        <w:rPr>
          <w:lang w:val="en-US"/>
        </w:rPr>
        <w:t>,</w:t>
      </w:r>
      <w:r w:rsidR="00170C99" w:rsidRPr="00EB2982">
        <w:rPr>
          <w:lang w:val="en-US"/>
        </w:rPr>
        <w:t xml:space="preserve"> </w:t>
      </w:r>
      <w:r w:rsidRPr="00EB2982">
        <w:rPr>
          <w:lang w:val="en-US"/>
        </w:rPr>
        <w:t xml:space="preserve">initiate a process to draft amendments to the </w:t>
      </w:r>
      <w:r w:rsidRPr="00EB2982">
        <w:rPr>
          <w:spacing w:val="6"/>
          <w:lang w:val="en-US"/>
        </w:rPr>
        <w:t>South African Social Security Agency Act (No.9 of 2004) to make provision for the establishment of SASSA board. This is an overdue recommendation that was adopted by the National Assembly during the 4</w:t>
      </w:r>
      <w:r w:rsidRPr="00EB2982">
        <w:rPr>
          <w:spacing w:val="6"/>
          <w:vertAlign w:val="superscript"/>
          <w:lang w:val="en-US"/>
        </w:rPr>
        <w:t>th</w:t>
      </w:r>
      <w:r w:rsidRPr="00EB2982">
        <w:rPr>
          <w:spacing w:val="6"/>
          <w:lang w:val="en-US"/>
        </w:rPr>
        <w:t xml:space="preserve"> and 5</w:t>
      </w:r>
      <w:r w:rsidRPr="00EB2982">
        <w:rPr>
          <w:spacing w:val="6"/>
          <w:vertAlign w:val="superscript"/>
          <w:lang w:val="en-US"/>
        </w:rPr>
        <w:t>th</w:t>
      </w:r>
      <w:r w:rsidRPr="00EB2982">
        <w:rPr>
          <w:spacing w:val="6"/>
          <w:lang w:val="en-US"/>
        </w:rPr>
        <w:t xml:space="preserve"> Parliament. </w:t>
      </w:r>
    </w:p>
    <w:p w14:paraId="6727625E" w14:textId="77777777" w:rsidR="005B3D2A" w:rsidRPr="00EB2982" w:rsidRDefault="005B3D2A" w:rsidP="005E2F3A">
      <w:pPr>
        <w:spacing w:line="280" w:lineRule="exact"/>
        <w:jc w:val="both"/>
      </w:pPr>
    </w:p>
    <w:p w14:paraId="6CF58C76" w14:textId="77777777" w:rsidR="00EB2982" w:rsidRDefault="00EB2982">
      <w:pPr>
        <w:rPr>
          <w:b/>
        </w:rPr>
      </w:pPr>
      <w:r>
        <w:rPr>
          <w:b/>
        </w:rPr>
        <w:br w:type="page"/>
      </w:r>
    </w:p>
    <w:p w14:paraId="231A7352" w14:textId="77777777" w:rsidR="005B3D2A" w:rsidRPr="00EB2982" w:rsidRDefault="00994C2E" w:rsidP="005E2F3A">
      <w:pPr>
        <w:spacing w:line="280" w:lineRule="exact"/>
        <w:jc w:val="both"/>
        <w:rPr>
          <w:b/>
        </w:rPr>
      </w:pPr>
      <w:r w:rsidRPr="00EB2982">
        <w:rPr>
          <w:b/>
        </w:rPr>
        <w:t xml:space="preserve">13.2 </w:t>
      </w:r>
      <w:r w:rsidR="005B3D2A" w:rsidRPr="00EB2982">
        <w:rPr>
          <w:b/>
        </w:rPr>
        <w:t>South African Social Security Agency</w:t>
      </w:r>
    </w:p>
    <w:p w14:paraId="48C6CC5B" w14:textId="77777777" w:rsidR="007A4527" w:rsidRPr="00EB2982" w:rsidRDefault="007A4527" w:rsidP="005E2F3A">
      <w:pPr>
        <w:spacing w:line="280" w:lineRule="exact"/>
        <w:jc w:val="both"/>
        <w:rPr>
          <w:b/>
        </w:rPr>
      </w:pPr>
    </w:p>
    <w:p w14:paraId="0D9AA869" w14:textId="77777777" w:rsidR="000C4E6C" w:rsidRPr="00EB2982" w:rsidRDefault="000C4E6C" w:rsidP="008E441E">
      <w:pPr>
        <w:spacing w:line="280" w:lineRule="exact"/>
        <w:jc w:val="both"/>
        <w:rPr>
          <w:b/>
        </w:rPr>
      </w:pPr>
      <w:r w:rsidRPr="00EB2982">
        <w:rPr>
          <w:b/>
        </w:rPr>
        <w:t>Fight against fraud</w:t>
      </w:r>
    </w:p>
    <w:p w14:paraId="013B8676" w14:textId="77777777" w:rsidR="000C4E6C" w:rsidRPr="00EB2982" w:rsidRDefault="000C4E6C" w:rsidP="00B7417D">
      <w:pPr>
        <w:spacing w:line="280" w:lineRule="exact"/>
        <w:jc w:val="both"/>
        <w:rPr>
          <w:b/>
        </w:rPr>
      </w:pPr>
    </w:p>
    <w:p w14:paraId="63A206D3" w14:textId="77777777" w:rsidR="000C4E6C" w:rsidRPr="00EB2982" w:rsidRDefault="000C4E6C" w:rsidP="001342C6">
      <w:pPr>
        <w:pStyle w:val="ListParagraph"/>
        <w:numPr>
          <w:ilvl w:val="0"/>
          <w:numId w:val="15"/>
        </w:numPr>
        <w:spacing w:after="0" w:line="280" w:lineRule="exact"/>
        <w:jc w:val="both"/>
        <w:rPr>
          <w:rFonts w:ascii="Times New Roman" w:hAnsi="Times New Roman"/>
          <w:sz w:val="24"/>
          <w:szCs w:val="24"/>
        </w:rPr>
      </w:pPr>
      <w:r w:rsidRPr="00EB2982">
        <w:rPr>
          <w:rFonts w:ascii="Times New Roman" w:hAnsi="Times New Roman"/>
          <w:sz w:val="24"/>
          <w:szCs w:val="24"/>
        </w:rPr>
        <w:t xml:space="preserve">The Minister should ensure that SASSA during the current financial year fills the position of the senior manager in the Fraud Management Unit. This is critical. The target to review Fraud Management Strategy and implement it in 2020/2021 should be aligned with the availability of human resources. </w:t>
      </w:r>
    </w:p>
    <w:p w14:paraId="59ECC211" w14:textId="77777777" w:rsidR="000C4E6C" w:rsidRPr="00EB2982" w:rsidRDefault="000C4E6C" w:rsidP="00B7417D">
      <w:pPr>
        <w:pStyle w:val="ListParagraph"/>
        <w:spacing w:line="280" w:lineRule="exact"/>
        <w:jc w:val="both"/>
        <w:rPr>
          <w:rFonts w:ascii="Times New Roman" w:hAnsi="Times New Roman"/>
          <w:sz w:val="24"/>
          <w:szCs w:val="24"/>
        </w:rPr>
      </w:pPr>
    </w:p>
    <w:p w14:paraId="6ADDDD51" w14:textId="77777777" w:rsidR="000C4E6C" w:rsidRPr="00EB2982" w:rsidRDefault="000C4E6C" w:rsidP="001342C6">
      <w:pPr>
        <w:pStyle w:val="ListParagraph"/>
        <w:numPr>
          <w:ilvl w:val="0"/>
          <w:numId w:val="15"/>
        </w:numPr>
        <w:spacing w:after="0" w:line="280" w:lineRule="exact"/>
        <w:jc w:val="both"/>
        <w:rPr>
          <w:rFonts w:ascii="Times New Roman" w:hAnsi="Times New Roman"/>
          <w:sz w:val="24"/>
          <w:szCs w:val="24"/>
        </w:rPr>
      </w:pPr>
      <w:r w:rsidRPr="00EB2982">
        <w:rPr>
          <w:rFonts w:ascii="Times New Roman" w:hAnsi="Times New Roman"/>
          <w:sz w:val="24"/>
          <w:szCs w:val="24"/>
        </w:rPr>
        <w:t>The Minister should ensure that SASSA puts in place measures to improve its turnaround time on investigating fraud cases</w:t>
      </w:r>
      <w:r w:rsidR="00265033" w:rsidRPr="00EB2982">
        <w:rPr>
          <w:rFonts w:ascii="Times New Roman" w:hAnsi="Times New Roman"/>
          <w:sz w:val="24"/>
          <w:szCs w:val="24"/>
        </w:rPr>
        <w:t>. This will</w:t>
      </w:r>
      <w:r w:rsidRPr="00EB2982">
        <w:rPr>
          <w:rFonts w:ascii="Times New Roman" w:hAnsi="Times New Roman"/>
          <w:sz w:val="24"/>
          <w:szCs w:val="24"/>
        </w:rPr>
        <w:t xml:space="preserve"> ensure that affected beneficiaries are not left in dire circumstances for long period of time. Most importantly investigation</w:t>
      </w:r>
      <w:r w:rsidR="005C15E9" w:rsidRPr="00EB2982">
        <w:rPr>
          <w:rFonts w:ascii="Times New Roman" w:hAnsi="Times New Roman"/>
          <w:sz w:val="24"/>
          <w:szCs w:val="24"/>
        </w:rPr>
        <w:t>s</w:t>
      </w:r>
      <w:r w:rsidRPr="00EB2982">
        <w:rPr>
          <w:rFonts w:ascii="Times New Roman" w:hAnsi="Times New Roman"/>
          <w:sz w:val="24"/>
          <w:szCs w:val="24"/>
        </w:rPr>
        <w:t xml:space="preserve"> and finalisation of the 20 250 reported cases of fraud should be prioritised. </w:t>
      </w:r>
    </w:p>
    <w:p w14:paraId="5C804FC7" w14:textId="77777777" w:rsidR="000C4E6C" w:rsidRPr="00EB2982" w:rsidRDefault="000C4E6C" w:rsidP="008F0E74">
      <w:pPr>
        <w:spacing w:line="280" w:lineRule="exact"/>
        <w:ind w:left="360"/>
      </w:pPr>
    </w:p>
    <w:p w14:paraId="4181801A" w14:textId="77777777" w:rsidR="00C12550" w:rsidRPr="00EB2982" w:rsidRDefault="00C12550" w:rsidP="008F0E74">
      <w:pPr>
        <w:spacing w:line="280" w:lineRule="exact"/>
        <w:ind w:left="360"/>
        <w:rPr>
          <w:b/>
        </w:rPr>
      </w:pPr>
      <w:r w:rsidRPr="00EB2982">
        <w:rPr>
          <w:b/>
        </w:rPr>
        <w:t>Customer care</w:t>
      </w:r>
    </w:p>
    <w:p w14:paraId="201C341F" w14:textId="77777777" w:rsidR="00C12550" w:rsidRPr="00EB2982" w:rsidRDefault="00C12550" w:rsidP="008F0E74">
      <w:pPr>
        <w:spacing w:line="280" w:lineRule="exact"/>
        <w:ind w:left="360"/>
        <w:rPr>
          <w:b/>
        </w:rPr>
      </w:pPr>
    </w:p>
    <w:p w14:paraId="75085875" w14:textId="77777777" w:rsidR="002C7C5F" w:rsidRPr="00EB2982" w:rsidRDefault="00C12550" w:rsidP="00C12550">
      <w:pPr>
        <w:pStyle w:val="ListParagraph"/>
        <w:numPr>
          <w:ilvl w:val="0"/>
          <w:numId w:val="35"/>
        </w:numPr>
        <w:spacing w:line="280" w:lineRule="exact"/>
        <w:jc w:val="both"/>
        <w:rPr>
          <w:rFonts w:ascii="Times New Roman" w:hAnsi="Times New Roman"/>
          <w:sz w:val="24"/>
          <w:szCs w:val="24"/>
        </w:rPr>
      </w:pPr>
      <w:r w:rsidRPr="00EB2982">
        <w:rPr>
          <w:rFonts w:ascii="Times New Roman" w:hAnsi="Times New Roman"/>
          <w:sz w:val="24"/>
          <w:szCs w:val="24"/>
        </w:rPr>
        <w:t xml:space="preserve">The Minister should ensure that SASSA and SAPO integrate their service delivery systems and processes. This will ensure that officials </w:t>
      </w:r>
      <w:r w:rsidR="00EC7CB0" w:rsidRPr="00EB2982">
        <w:rPr>
          <w:rFonts w:ascii="Times New Roman" w:hAnsi="Times New Roman"/>
          <w:sz w:val="24"/>
          <w:szCs w:val="24"/>
        </w:rPr>
        <w:t>from both</w:t>
      </w:r>
      <w:r w:rsidRPr="00EB2982">
        <w:rPr>
          <w:rFonts w:ascii="Times New Roman" w:hAnsi="Times New Roman"/>
          <w:sz w:val="24"/>
          <w:szCs w:val="24"/>
        </w:rPr>
        <w:t xml:space="preserve"> offices can access them and provide needed information to their clients. </w:t>
      </w:r>
      <w:r w:rsidR="00C00D08" w:rsidRPr="00EB2982">
        <w:rPr>
          <w:rFonts w:ascii="Times New Roman" w:hAnsi="Times New Roman"/>
          <w:sz w:val="24"/>
          <w:szCs w:val="24"/>
        </w:rPr>
        <w:t>This will</w:t>
      </w:r>
      <w:r w:rsidR="00EC7CB0" w:rsidRPr="00EB2982">
        <w:rPr>
          <w:rFonts w:ascii="Times New Roman" w:hAnsi="Times New Roman"/>
          <w:sz w:val="24"/>
          <w:szCs w:val="24"/>
        </w:rPr>
        <w:t xml:space="preserve"> result in seamless information sharing.</w:t>
      </w:r>
    </w:p>
    <w:p w14:paraId="5C36807B" w14:textId="77777777" w:rsidR="00C12550" w:rsidRPr="00EB2982" w:rsidRDefault="00C12550" w:rsidP="002C7C5F">
      <w:pPr>
        <w:pStyle w:val="ListParagraph"/>
        <w:spacing w:line="280" w:lineRule="exact"/>
        <w:jc w:val="both"/>
        <w:rPr>
          <w:rFonts w:ascii="Times New Roman" w:hAnsi="Times New Roman"/>
          <w:sz w:val="24"/>
          <w:szCs w:val="24"/>
        </w:rPr>
      </w:pPr>
      <w:r w:rsidRPr="00EB2982">
        <w:rPr>
          <w:rFonts w:ascii="Times New Roman" w:hAnsi="Times New Roman"/>
          <w:sz w:val="24"/>
          <w:szCs w:val="24"/>
        </w:rPr>
        <w:t xml:space="preserve"> </w:t>
      </w:r>
    </w:p>
    <w:p w14:paraId="31EBD1D1" w14:textId="77777777" w:rsidR="002C7C5F" w:rsidRPr="00EB2982" w:rsidRDefault="002C7C5F" w:rsidP="00C12550">
      <w:pPr>
        <w:pStyle w:val="ListParagraph"/>
        <w:numPr>
          <w:ilvl w:val="0"/>
          <w:numId w:val="35"/>
        </w:numPr>
        <w:spacing w:line="280" w:lineRule="exact"/>
        <w:jc w:val="both"/>
        <w:rPr>
          <w:rFonts w:ascii="Times New Roman" w:hAnsi="Times New Roman"/>
          <w:sz w:val="24"/>
          <w:szCs w:val="24"/>
        </w:rPr>
      </w:pPr>
      <w:r w:rsidRPr="00EB2982">
        <w:rPr>
          <w:rFonts w:ascii="Times New Roman" w:hAnsi="Times New Roman"/>
          <w:sz w:val="24"/>
          <w:szCs w:val="24"/>
        </w:rPr>
        <w:t>The Minister should ensure</w:t>
      </w:r>
      <w:r w:rsidR="00717BEF" w:rsidRPr="00EB2982">
        <w:rPr>
          <w:rFonts w:ascii="Times New Roman" w:hAnsi="Times New Roman"/>
          <w:sz w:val="24"/>
          <w:szCs w:val="24"/>
        </w:rPr>
        <w:t xml:space="preserve"> that SASSA strengthens</w:t>
      </w:r>
      <w:r w:rsidRPr="00EB2982">
        <w:rPr>
          <w:rFonts w:ascii="Times New Roman" w:hAnsi="Times New Roman"/>
          <w:sz w:val="24"/>
          <w:szCs w:val="24"/>
        </w:rPr>
        <w:t xml:space="preserve"> the </w:t>
      </w:r>
      <w:r w:rsidR="00717BEF" w:rsidRPr="00EB2982">
        <w:rPr>
          <w:rFonts w:ascii="Times New Roman" w:hAnsi="Times New Roman"/>
          <w:sz w:val="24"/>
          <w:szCs w:val="24"/>
        </w:rPr>
        <w:t xml:space="preserve">implementation of the </w:t>
      </w:r>
      <w:r w:rsidRPr="00EB2982">
        <w:rPr>
          <w:rFonts w:ascii="Times New Roman" w:hAnsi="Times New Roman"/>
          <w:sz w:val="24"/>
          <w:szCs w:val="24"/>
        </w:rPr>
        <w:t xml:space="preserve">Batho Pele principles to its officials on regular basis. </w:t>
      </w:r>
      <w:r w:rsidR="00717BEF" w:rsidRPr="00EB2982">
        <w:rPr>
          <w:rFonts w:ascii="Times New Roman" w:hAnsi="Times New Roman"/>
          <w:sz w:val="24"/>
          <w:szCs w:val="24"/>
        </w:rPr>
        <w:t xml:space="preserve">It should also develop effective systems where clients can register their complaints and suggestions. </w:t>
      </w:r>
    </w:p>
    <w:p w14:paraId="3EDCFE51" w14:textId="77777777" w:rsidR="000C4E6C" w:rsidRPr="00EB2982" w:rsidRDefault="000C4E6C" w:rsidP="008F0E74">
      <w:pPr>
        <w:spacing w:line="280" w:lineRule="exact"/>
        <w:ind w:left="360"/>
        <w:rPr>
          <w:b/>
        </w:rPr>
      </w:pPr>
      <w:r w:rsidRPr="00EB2982">
        <w:rPr>
          <w:b/>
        </w:rPr>
        <w:t>Social assistance</w:t>
      </w:r>
    </w:p>
    <w:p w14:paraId="3F153687" w14:textId="77777777" w:rsidR="000C4E6C" w:rsidRPr="00EB2982" w:rsidRDefault="000C4E6C" w:rsidP="008F0E74">
      <w:pPr>
        <w:spacing w:line="280" w:lineRule="exact"/>
        <w:ind w:left="360"/>
        <w:rPr>
          <w:b/>
        </w:rPr>
      </w:pPr>
    </w:p>
    <w:p w14:paraId="2BD9AF5D" w14:textId="77777777" w:rsidR="00946AEC" w:rsidRPr="00EB2982" w:rsidRDefault="000C4E6C" w:rsidP="001342C6">
      <w:pPr>
        <w:pStyle w:val="ListParagraph"/>
        <w:numPr>
          <w:ilvl w:val="0"/>
          <w:numId w:val="15"/>
        </w:numPr>
        <w:spacing w:after="0" w:line="280" w:lineRule="exact"/>
        <w:jc w:val="both"/>
        <w:rPr>
          <w:rFonts w:ascii="Times New Roman" w:hAnsi="Times New Roman"/>
          <w:sz w:val="24"/>
          <w:szCs w:val="24"/>
        </w:rPr>
      </w:pPr>
      <w:r w:rsidRPr="00EB2982">
        <w:rPr>
          <w:rFonts w:ascii="Times New Roman" w:hAnsi="Times New Roman"/>
          <w:sz w:val="24"/>
          <w:szCs w:val="24"/>
        </w:rPr>
        <w:t xml:space="preserve">The Minister should ensure that SASSA develops strict measures to enforce provisions of the </w:t>
      </w:r>
      <w:r w:rsidR="00FE2B43" w:rsidRPr="00EB2982">
        <w:rPr>
          <w:rFonts w:ascii="Times New Roman" w:hAnsi="Times New Roman"/>
          <w:sz w:val="24"/>
          <w:szCs w:val="24"/>
        </w:rPr>
        <w:t xml:space="preserve">2010 </w:t>
      </w:r>
      <w:r w:rsidRPr="00EB2982">
        <w:rPr>
          <w:rFonts w:ascii="Times New Roman" w:hAnsi="Times New Roman"/>
          <w:sz w:val="24"/>
          <w:szCs w:val="24"/>
        </w:rPr>
        <w:t>Regulations of the Social Assistance Act</w:t>
      </w:r>
      <w:r w:rsidR="00FE2B43" w:rsidRPr="00EB2982">
        <w:rPr>
          <w:rFonts w:ascii="Times New Roman" w:hAnsi="Times New Roman"/>
          <w:sz w:val="24"/>
          <w:szCs w:val="24"/>
        </w:rPr>
        <w:t xml:space="preserve"> (No. 13 of 2004)</w:t>
      </w:r>
      <w:r w:rsidRPr="00EB2982">
        <w:rPr>
          <w:rFonts w:ascii="Times New Roman" w:hAnsi="Times New Roman"/>
          <w:sz w:val="24"/>
          <w:szCs w:val="24"/>
        </w:rPr>
        <w:t>. The</w:t>
      </w:r>
      <w:r w:rsidR="00EF2C6E" w:rsidRPr="00EB2982">
        <w:rPr>
          <w:rFonts w:ascii="Times New Roman" w:hAnsi="Times New Roman"/>
          <w:sz w:val="24"/>
          <w:szCs w:val="24"/>
        </w:rPr>
        <w:t>re should be strict implementation of the requirement to submit</w:t>
      </w:r>
      <w:r w:rsidRPr="00EB2982">
        <w:rPr>
          <w:rFonts w:ascii="Times New Roman" w:hAnsi="Times New Roman"/>
          <w:sz w:val="24"/>
          <w:szCs w:val="24"/>
        </w:rPr>
        <w:t xml:space="preserve"> proof of school attendance biannually to the DG of the Department of Social Development</w:t>
      </w:r>
      <w:r w:rsidR="00EF2C6E" w:rsidRPr="00EB2982">
        <w:rPr>
          <w:rFonts w:ascii="Times New Roman" w:hAnsi="Times New Roman"/>
          <w:sz w:val="24"/>
          <w:szCs w:val="24"/>
        </w:rPr>
        <w:t>.</w:t>
      </w:r>
      <w:r w:rsidRPr="00EB2982">
        <w:rPr>
          <w:rFonts w:ascii="Times New Roman" w:hAnsi="Times New Roman"/>
          <w:sz w:val="24"/>
          <w:szCs w:val="24"/>
        </w:rPr>
        <w:t xml:space="preserve"> </w:t>
      </w:r>
    </w:p>
    <w:p w14:paraId="59293FDA" w14:textId="77777777" w:rsidR="00946AEC" w:rsidRPr="00EB2982" w:rsidRDefault="00946AEC" w:rsidP="00946AEC">
      <w:pPr>
        <w:pStyle w:val="ListParagraph"/>
        <w:spacing w:after="0" w:line="280" w:lineRule="exact"/>
        <w:jc w:val="both"/>
        <w:rPr>
          <w:rFonts w:ascii="Times New Roman" w:hAnsi="Times New Roman"/>
          <w:sz w:val="24"/>
          <w:szCs w:val="24"/>
        </w:rPr>
      </w:pPr>
    </w:p>
    <w:p w14:paraId="1E836976" w14:textId="77777777" w:rsidR="000C4E6C" w:rsidRPr="00EB2982" w:rsidRDefault="000C4E6C" w:rsidP="00971260">
      <w:pPr>
        <w:pStyle w:val="ListParagraph"/>
        <w:spacing w:after="0" w:line="280" w:lineRule="exact"/>
        <w:jc w:val="both"/>
        <w:rPr>
          <w:rFonts w:ascii="Times New Roman" w:hAnsi="Times New Roman"/>
          <w:sz w:val="24"/>
          <w:szCs w:val="24"/>
        </w:rPr>
      </w:pPr>
      <w:r w:rsidRPr="00EB2982">
        <w:rPr>
          <w:rFonts w:ascii="Times New Roman" w:hAnsi="Times New Roman"/>
          <w:sz w:val="24"/>
          <w:szCs w:val="24"/>
        </w:rPr>
        <w:t>In addition to school attendance there should be other</w:t>
      </w:r>
      <w:r w:rsidR="005C15E9" w:rsidRPr="00EB2982">
        <w:rPr>
          <w:rFonts w:ascii="Times New Roman" w:hAnsi="Times New Roman"/>
          <w:sz w:val="24"/>
          <w:szCs w:val="24"/>
        </w:rPr>
        <w:t xml:space="preserve"> </w:t>
      </w:r>
      <w:r w:rsidR="00B13A6D" w:rsidRPr="00EB2982">
        <w:rPr>
          <w:rFonts w:ascii="Times New Roman" w:hAnsi="Times New Roman"/>
          <w:sz w:val="24"/>
          <w:szCs w:val="24"/>
        </w:rPr>
        <w:t>conditions such as</w:t>
      </w:r>
      <w:r w:rsidRPr="00EB2982">
        <w:rPr>
          <w:rFonts w:ascii="Times New Roman" w:hAnsi="Times New Roman"/>
          <w:sz w:val="24"/>
          <w:szCs w:val="24"/>
        </w:rPr>
        <w:t xml:space="preserve"> proofs of clinic attendance and impromptu home visits by SASSA officials to assess the well-being of th</w:t>
      </w:r>
      <w:r w:rsidR="005C15E9" w:rsidRPr="00EB2982">
        <w:rPr>
          <w:rFonts w:ascii="Times New Roman" w:hAnsi="Times New Roman"/>
          <w:sz w:val="24"/>
          <w:szCs w:val="24"/>
        </w:rPr>
        <w:t>e child. Home visits will</w:t>
      </w:r>
      <w:r w:rsidRPr="00EB2982">
        <w:rPr>
          <w:rFonts w:ascii="Times New Roman" w:hAnsi="Times New Roman"/>
          <w:sz w:val="24"/>
          <w:szCs w:val="24"/>
        </w:rPr>
        <w:t xml:space="preserve"> verify if the person who receives CSG on behalf of the child stays with the child. </w:t>
      </w:r>
    </w:p>
    <w:p w14:paraId="3271907C" w14:textId="77777777" w:rsidR="000C4E6C" w:rsidRPr="00EB2982" w:rsidRDefault="000C4E6C" w:rsidP="008F0E74">
      <w:pPr>
        <w:pStyle w:val="ListParagraph"/>
        <w:spacing w:line="280" w:lineRule="exact"/>
        <w:rPr>
          <w:rFonts w:ascii="Times New Roman" w:hAnsi="Times New Roman"/>
          <w:sz w:val="24"/>
          <w:szCs w:val="24"/>
        </w:rPr>
      </w:pPr>
    </w:p>
    <w:p w14:paraId="49C0BCDD" w14:textId="77777777" w:rsidR="000C4E6C" w:rsidRPr="00EB2982" w:rsidRDefault="000C4E6C" w:rsidP="001342C6">
      <w:pPr>
        <w:pStyle w:val="ListParagraph"/>
        <w:numPr>
          <w:ilvl w:val="0"/>
          <w:numId w:val="15"/>
        </w:numPr>
        <w:spacing w:after="0" w:line="280" w:lineRule="exact"/>
        <w:jc w:val="both"/>
        <w:rPr>
          <w:rFonts w:ascii="Times New Roman" w:hAnsi="Times New Roman"/>
          <w:sz w:val="24"/>
          <w:szCs w:val="24"/>
        </w:rPr>
      </w:pPr>
      <w:r w:rsidRPr="00EB2982">
        <w:rPr>
          <w:rFonts w:ascii="Times New Roman" w:hAnsi="Times New Roman"/>
          <w:sz w:val="24"/>
          <w:szCs w:val="24"/>
        </w:rPr>
        <w:t xml:space="preserve">The Minister should ensure that SASSA and SAPO during the current financial year develop a plan of action for infrastructure upgrades and provision of necessary facilities at post offices to meet needs of the beneficiaries. </w:t>
      </w:r>
    </w:p>
    <w:p w14:paraId="021A3FA2" w14:textId="77777777" w:rsidR="000C4E6C" w:rsidRPr="00EB2982" w:rsidRDefault="000C4E6C" w:rsidP="008F0E74">
      <w:pPr>
        <w:pStyle w:val="ListParagraph"/>
        <w:spacing w:line="280" w:lineRule="exact"/>
        <w:rPr>
          <w:rFonts w:ascii="Times New Roman" w:hAnsi="Times New Roman"/>
          <w:sz w:val="24"/>
          <w:szCs w:val="24"/>
        </w:rPr>
      </w:pPr>
    </w:p>
    <w:p w14:paraId="4407D90E" w14:textId="77777777" w:rsidR="000C4E6C" w:rsidRPr="00EB2982" w:rsidRDefault="000C4E6C" w:rsidP="001342C6">
      <w:pPr>
        <w:pStyle w:val="ListParagraph"/>
        <w:numPr>
          <w:ilvl w:val="0"/>
          <w:numId w:val="15"/>
        </w:numPr>
        <w:spacing w:after="0" w:line="280" w:lineRule="exact"/>
        <w:jc w:val="both"/>
        <w:rPr>
          <w:rFonts w:ascii="Times New Roman" w:hAnsi="Times New Roman"/>
          <w:sz w:val="24"/>
          <w:szCs w:val="24"/>
        </w:rPr>
      </w:pPr>
      <w:r w:rsidRPr="00EB2982">
        <w:rPr>
          <w:rFonts w:ascii="Times New Roman" w:hAnsi="Times New Roman"/>
          <w:sz w:val="24"/>
          <w:szCs w:val="24"/>
        </w:rPr>
        <w:t>The Minister should ensure that SASSA rolls out its programme of linking social grant beneficiari</w:t>
      </w:r>
      <w:r w:rsidR="00533CC1" w:rsidRPr="00EB2982">
        <w:rPr>
          <w:rFonts w:ascii="Times New Roman" w:hAnsi="Times New Roman"/>
          <w:sz w:val="24"/>
          <w:szCs w:val="24"/>
        </w:rPr>
        <w:t>es to economic opportunities. SASSA</w:t>
      </w:r>
      <w:r w:rsidRPr="00EB2982">
        <w:rPr>
          <w:rFonts w:ascii="Times New Roman" w:hAnsi="Times New Roman"/>
          <w:sz w:val="24"/>
          <w:szCs w:val="24"/>
        </w:rPr>
        <w:t xml:space="preserve"> should work together with the National Development Agency to incorporate school uniforms projects to the CSOs supported by the NDA. There should also be a link between the strategy to use small, medium and micro enterprises (SMMEs) and cooperatives to award SRD and the programme of linking social grants beneficiaries to economic livelihood. These should also be integrated into the NDA business model.</w:t>
      </w:r>
    </w:p>
    <w:p w14:paraId="7C1ED88F" w14:textId="77777777" w:rsidR="000C4E6C" w:rsidRPr="00EB2982" w:rsidRDefault="000C4E6C" w:rsidP="008F0E74">
      <w:pPr>
        <w:pStyle w:val="ListParagraph"/>
        <w:spacing w:line="280" w:lineRule="exact"/>
        <w:rPr>
          <w:rFonts w:ascii="Times New Roman" w:hAnsi="Times New Roman"/>
          <w:sz w:val="24"/>
          <w:szCs w:val="24"/>
        </w:rPr>
      </w:pPr>
    </w:p>
    <w:p w14:paraId="4666DB10" w14:textId="77777777" w:rsidR="000C4E6C" w:rsidRPr="00EB2982" w:rsidRDefault="00533CC1" w:rsidP="005E2F3A">
      <w:pPr>
        <w:pStyle w:val="ListParagraph"/>
        <w:spacing w:line="280" w:lineRule="exact"/>
        <w:jc w:val="both"/>
        <w:rPr>
          <w:rFonts w:ascii="Times New Roman" w:hAnsi="Times New Roman"/>
          <w:sz w:val="24"/>
          <w:szCs w:val="24"/>
        </w:rPr>
      </w:pPr>
      <w:r w:rsidRPr="00EB2982">
        <w:rPr>
          <w:rFonts w:ascii="Times New Roman" w:hAnsi="Times New Roman"/>
          <w:sz w:val="24"/>
          <w:szCs w:val="24"/>
        </w:rPr>
        <w:t>This will achieve the Minister’s objective of making the department and its entities function as a portfolio.</w:t>
      </w:r>
    </w:p>
    <w:p w14:paraId="72EECB0D" w14:textId="77777777" w:rsidR="005B3D2A" w:rsidRPr="00EB2982" w:rsidRDefault="00994C2E" w:rsidP="008E441E">
      <w:pPr>
        <w:spacing w:line="280" w:lineRule="exact"/>
        <w:jc w:val="both"/>
        <w:rPr>
          <w:b/>
        </w:rPr>
      </w:pPr>
      <w:r w:rsidRPr="00EB2982">
        <w:rPr>
          <w:b/>
        </w:rPr>
        <w:t xml:space="preserve">13.3 </w:t>
      </w:r>
      <w:r w:rsidR="005B3D2A" w:rsidRPr="00EB2982">
        <w:rPr>
          <w:b/>
        </w:rPr>
        <w:t>National Development Agency</w:t>
      </w:r>
    </w:p>
    <w:p w14:paraId="4DF0B48C" w14:textId="77777777" w:rsidR="00A96AF4" w:rsidRPr="00EB2982" w:rsidRDefault="00A96AF4" w:rsidP="00B7417D">
      <w:pPr>
        <w:spacing w:line="280" w:lineRule="exact"/>
        <w:jc w:val="both"/>
      </w:pPr>
    </w:p>
    <w:p w14:paraId="264B3E65" w14:textId="77777777" w:rsidR="008147DC" w:rsidRPr="00EB2982" w:rsidRDefault="008147DC" w:rsidP="00B7417D">
      <w:pPr>
        <w:spacing w:line="280" w:lineRule="exact"/>
        <w:jc w:val="both"/>
        <w:rPr>
          <w:b/>
        </w:rPr>
      </w:pPr>
      <w:r w:rsidRPr="00EB2982">
        <w:rPr>
          <w:b/>
        </w:rPr>
        <w:t>Budget structure</w:t>
      </w:r>
    </w:p>
    <w:p w14:paraId="2FA572DF" w14:textId="77777777" w:rsidR="008147DC" w:rsidRPr="00EB2982" w:rsidRDefault="008147DC" w:rsidP="00B7417D">
      <w:pPr>
        <w:spacing w:line="280" w:lineRule="exact"/>
        <w:jc w:val="both"/>
        <w:rPr>
          <w:b/>
        </w:rPr>
      </w:pPr>
    </w:p>
    <w:p w14:paraId="7934A81B" w14:textId="77777777" w:rsidR="008147DC" w:rsidRPr="00EB2982" w:rsidRDefault="008147DC" w:rsidP="008147DC">
      <w:pPr>
        <w:pStyle w:val="ListParagraph"/>
        <w:numPr>
          <w:ilvl w:val="0"/>
          <w:numId w:val="34"/>
        </w:numPr>
        <w:spacing w:line="280" w:lineRule="exact"/>
        <w:jc w:val="both"/>
        <w:rPr>
          <w:rFonts w:ascii="Times New Roman" w:hAnsi="Times New Roman"/>
          <w:b/>
          <w:sz w:val="24"/>
          <w:szCs w:val="24"/>
        </w:rPr>
      </w:pPr>
      <w:r w:rsidRPr="00EB2982">
        <w:rPr>
          <w:rFonts w:ascii="Times New Roman" w:hAnsi="Times New Roman"/>
          <w:sz w:val="24"/>
          <w:szCs w:val="24"/>
        </w:rPr>
        <w:t>The Minister should ensure that the budget struct</w:t>
      </w:r>
      <w:r w:rsidR="000A72EE" w:rsidRPr="00EB2982">
        <w:rPr>
          <w:rFonts w:ascii="Times New Roman" w:hAnsi="Times New Roman"/>
          <w:sz w:val="24"/>
          <w:szCs w:val="24"/>
        </w:rPr>
        <w:t>ure of the NDA is changed and</w:t>
      </w:r>
      <w:r w:rsidRPr="00EB2982">
        <w:rPr>
          <w:rFonts w:ascii="Times New Roman" w:hAnsi="Times New Roman"/>
          <w:sz w:val="24"/>
          <w:szCs w:val="24"/>
        </w:rPr>
        <w:t xml:space="preserve"> aligned to its legislative mandate. The big budget allocation difference between the staff costs, which are non-core, and mandate</w:t>
      </w:r>
      <w:r w:rsidR="00A3712E" w:rsidRPr="00EB2982">
        <w:rPr>
          <w:rFonts w:ascii="Times New Roman" w:hAnsi="Times New Roman"/>
          <w:sz w:val="24"/>
          <w:szCs w:val="24"/>
        </w:rPr>
        <w:t xml:space="preserve"> expenses needs to be</w:t>
      </w:r>
      <w:r w:rsidRPr="00EB2982">
        <w:rPr>
          <w:rFonts w:ascii="Times New Roman" w:hAnsi="Times New Roman"/>
          <w:sz w:val="24"/>
          <w:szCs w:val="24"/>
        </w:rPr>
        <w:t xml:space="preserve"> reversed. </w:t>
      </w:r>
    </w:p>
    <w:p w14:paraId="7421FE81" w14:textId="77777777" w:rsidR="008147DC" w:rsidRPr="00EB2982" w:rsidRDefault="008147DC" w:rsidP="00B7417D">
      <w:pPr>
        <w:spacing w:line="280" w:lineRule="exact"/>
        <w:jc w:val="both"/>
        <w:rPr>
          <w:b/>
        </w:rPr>
      </w:pPr>
    </w:p>
    <w:p w14:paraId="572D8DE1" w14:textId="77777777" w:rsidR="00A16F2A" w:rsidRPr="00EB2982" w:rsidRDefault="00A16F2A" w:rsidP="00B7417D">
      <w:pPr>
        <w:spacing w:line="280" w:lineRule="exact"/>
        <w:jc w:val="both"/>
        <w:rPr>
          <w:b/>
        </w:rPr>
      </w:pPr>
      <w:r w:rsidRPr="00EB2982">
        <w:rPr>
          <w:b/>
        </w:rPr>
        <w:t>Visibility</w:t>
      </w:r>
    </w:p>
    <w:p w14:paraId="09A8C3B0" w14:textId="77777777" w:rsidR="008D6597" w:rsidRPr="00EB2982" w:rsidRDefault="000C4E6C" w:rsidP="001342C6">
      <w:pPr>
        <w:numPr>
          <w:ilvl w:val="0"/>
          <w:numId w:val="14"/>
        </w:numPr>
        <w:spacing w:before="100" w:beforeAutospacing="1" w:after="100" w:afterAutospacing="1" w:line="280" w:lineRule="exact"/>
        <w:jc w:val="both"/>
        <w:rPr>
          <w:spacing w:val="6"/>
          <w:lang w:val="en-US"/>
        </w:rPr>
      </w:pPr>
      <w:r w:rsidRPr="00EB2982">
        <w:rPr>
          <w:spacing w:val="6"/>
          <w:lang w:val="en-US"/>
        </w:rPr>
        <w:t>The Minister should ensure that the NDA during the</w:t>
      </w:r>
      <w:r w:rsidR="008D6597" w:rsidRPr="00EB2982">
        <w:rPr>
          <w:spacing w:val="6"/>
          <w:lang w:val="en-US"/>
        </w:rPr>
        <w:t xml:space="preserve"> current financial year </w:t>
      </w:r>
      <w:r w:rsidR="00724654" w:rsidRPr="00EB2982">
        <w:rPr>
          <w:spacing w:val="6"/>
          <w:lang w:val="en-US"/>
        </w:rPr>
        <w:t xml:space="preserve">develops a turnaround strategy </w:t>
      </w:r>
      <w:r w:rsidRPr="00EB2982">
        <w:rPr>
          <w:spacing w:val="6"/>
          <w:lang w:val="en-US"/>
        </w:rPr>
        <w:t>t</w:t>
      </w:r>
      <w:r w:rsidR="00724654" w:rsidRPr="00EB2982">
        <w:rPr>
          <w:spacing w:val="6"/>
          <w:lang w:val="en-US"/>
        </w:rPr>
        <w:t xml:space="preserve">hat will </w:t>
      </w:r>
      <w:r w:rsidR="008D6597" w:rsidRPr="00EB2982">
        <w:rPr>
          <w:spacing w:val="6"/>
          <w:lang w:val="en-US"/>
        </w:rPr>
        <w:t xml:space="preserve">put more </w:t>
      </w:r>
      <w:r w:rsidRPr="00EB2982">
        <w:rPr>
          <w:spacing w:val="6"/>
          <w:lang w:val="en-US"/>
        </w:rPr>
        <w:t>focus on improving its visibility to local communities</w:t>
      </w:r>
      <w:r w:rsidR="00EC32F8" w:rsidRPr="00EB2982">
        <w:rPr>
          <w:spacing w:val="6"/>
          <w:lang w:val="en-US"/>
        </w:rPr>
        <w:t>. The strategy should also focus on forging</w:t>
      </w:r>
      <w:r w:rsidR="00724654" w:rsidRPr="00EB2982">
        <w:rPr>
          <w:spacing w:val="6"/>
          <w:lang w:val="en-US"/>
        </w:rPr>
        <w:t xml:space="preserve"> private sector </w:t>
      </w:r>
      <w:r w:rsidR="008D6597" w:rsidRPr="00EB2982">
        <w:rPr>
          <w:spacing w:val="6"/>
          <w:lang w:val="en-US"/>
        </w:rPr>
        <w:t xml:space="preserve">partnerships </w:t>
      </w:r>
      <w:r w:rsidR="00EC32F8" w:rsidRPr="00EB2982">
        <w:rPr>
          <w:spacing w:val="6"/>
          <w:lang w:val="en-US"/>
        </w:rPr>
        <w:t xml:space="preserve">including </w:t>
      </w:r>
      <w:r w:rsidR="00CB2551" w:rsidRPr="00EB2982">
        <w:rPr>
          <w:spacing w:val="6"/>
          <w:lang w:val="en-US"/>
        </w:rPr>
        <w:t>international donors</w:t>
      </w:r>
      <w:r w:rsidRPr="00EB2982">
        <w:rPr>
          <w:spacing w:val="6"/>
          <w:lang w:val="en-US"/>
        </w:rPr>
        <w:t xml:space="preserve"> so as to attract investment. </w:t>
      </w:r>
    </w:p>
    <w:p w14:paraId="2A67ED56" w14:textId="77777777" w:rsidR="00BB5487" w:rsidRPr="00EB2982" w:rsidRDefault="00BB5487" w:rsidP="00BB5487">
      <w:pPr>
        <w:spacing w:before="100" w:beforeAutospacing="1" w:after="100" w:afterAutospacing="1" w:line="280" w:lineRule="exact"/>
        <w:ind w:left="720"/>
        <w:jc w:val="both"/>
        <w:rPr>
          <w:spacing w:val="6"/>
          <w:lang w:val="en-US"/>
        </w:rPr>
      </w:pPr>
    </w:p>
    <w:p w14:paraId="7008D122" w14:textId="77777777" w:rsidR="000C4E6C" w:rsidRPr="00EB2982" w:rsidRDefault="000C4E6C" w:rsidP="001342C6">
      <w:pPr>
        <w:numPr>
          <w:ilvl w:val="0"/>
          <w:numId w:val="14"/>
        </w:numPr>
        <w:spacing w:before="100" w:beforeAutospacing="1" w:after="100" w:afterAutospacing="1" w:line="280" w:lineRule="exact"/>
        <w:jc w:val="both"/>
        <w:rPr>
          <w:spacing w:val="6"/>
          <w:lang w:val="en-US"/>
        </w:rPr>
      </w:pPr>
      <w:r w:rsidRPr="00EB2982">
        <w:rPr>
          <w:spacing w:val="6"/>
          <w:lang w:val="en-US"/>
        </w:rPr>
        <w:t xml:space="preserve">The </w:t>
      </w:r>
      <w:r w:rsidR="00160D32" w:rsidRPr="00EB2982">
        <w:rPr>
          <w:spacing w:val="6"/>
          <w:lang w:val="en-US"/>
        </w:rPr>
        <w:t>strategy</w:t>
      </w:r>
      <w:r w:rsidRPr="00EB2982">
        <w:rPr>
          <w:spacing w:val="6"/>
          <w:lang w:val="en-US"/>
        </w:rPr>
        <w:t xml:space="preserve"> should also ensure that the NDA focuses on outcomes of the CSOs it supports in terms of improving the lives of the people. There is a need to shift from focusing </w:t>
      </w:r>
      <w:r w:rsidR="00F07739" w:rsidRPr="00EB2982">
        <w:rPr>
          <w:spacing w:val="6"/>
          <w:lang w:val="en-US"/>
        </w:rPr>
        <w:t xml:space="preserve">only </w:t>
      </w:r>
      <w:r w:rsidRPr="00EB2982">
        <w:rPr>
          <w:spacing w:val="6"/>
          <w:lang w:val="en-US"/>
        </w:rPr>
        <w:t xml:space="preserve">on the numbers of CSOs it supports to an outcomes based approach. </w:t>
      </w:r>
    </w:p>
    <w:p w14:paraId="1D4BFDD7" w14:textId="77777777" w:rsidR="000C4E6C" w:rsidRPr="00EB2982" w:rsidRDefault="00A16F2A" w:rsidP="00A16F2A">
      <w:pPr>
        <w:spacing w:before="100" w:beforeAutospacing="1" w:after="100" w:afterAutospacing="1" w:line="280" w:lineRule="exact"/>
        <w:jc w:val="both"/>
        <w:rPr>
          <w:b/>
          <w:spacing w:val="6"/>
          <w:lang w:val="en-US"/>
        </w:rPr>
      </w:pPr>
      <w:r w:rsidRPr="00EB2982">
        <w:rPr>
          <w:b/>
          <w:spacing w:val="6"/>
          <w:lang w:val="en-US"/>
        </w:rPr>
        <w:t>Integration</w:t>
      </w:r>
    </w:p>
    <w:p w14:paraId="0755D795" w14:textId="77777777" w:rsidR="000C4E6C" w:rsidRPr="00EB2982" w:rsidRDefault="000C4E6C" w:rsidP="001342C6">
      <w:pPr>
        <w:numPr>
          <w:ilvl w:val="0"/>
          <w:numId w:val="14"/>
        </w:numPr>
        <w:spacing w:before="100" w:beforeAutospacing="1" w:after="100" w:afterAutospacing="1" w:line="280" w:lineRule="exact"/>
        <w:jc w:val="both"/>
        <w:rPr>
          <w:spacing w:val="6"/>
          <w:lang w:val="en-US"/>
        </w:rPr>
      </w:pPr>
      <w:r w:rsidRPr="00EB2982">
        <w:rPr>
          <w:spacing w:val="6"/>
          <w:lang w:val="en-US"/>
        </w:rPr>
        <w:t>The Minister should also ensure that during the current financial year the NDA devel</w:t>
      </w:r>
      <w:r w:rsidR="00F07739" w:rsidRPr="00EB2982">
        <w:rPr>
          <w:spacing w:val="6"/>
          <w:lang w:val="en-US"/>
        </w:rPr>
        <w:t>ops a strategy that will forge</w:t>
      </w:r>
      <w:r w:rsidRPr="00EB2982">
        <w:rPr>
          <w:spacing w:val="6"/>
          <w:lang w:val="en-US"/>
        </w:rPr>
        <w:t xml:space="preserve"> its integration with the Department of Social Development and the South African Social Security Agency. The strategy should also put into effect partnerships between the NDA and other government departments. The main purpose of this integration should be to ensure empowerment of local communities to be self-reliant.  </w:t>
      </w:r>
    </w:p>
    <w:p w14:paraId="033C24A2" w14:textId="77777777" w:rsidR="00EB2982" w:rsidRDefault="00EB2982" w:rsidP="005E2F3A">
      <w:pPr>
        <w:spacing w:line="280" w:lineRule="exact"/>
        <w:rPr>
          <w:lang w:val="en-US"/>
        </w:rPr>
      </w:pPr>
    </w:p>
    <w:p w14:paraId="3556027D" w14:textId="77777777" w:rsidR="005D4F52" w:rsidRPr="00EB2982" w:rsidRDefault="005D4F52" w:rsidP="005E2F3A">
      <w:pPr>
        <w:spacing w:line="280" w:lineRule="exact"/>
        <w:rPr>
          <w:lang w:val="en-US"/>
        </w:rPr>
      </w:pPr>
      <w:r w:rsidRPr="00EB2982">
        <w:rPr>
          <w:lang w:val="en-US"/>
        </w:rPr>
        <w:t>Report to be considered.</w:t>
      </w:r>
    </w:p>
    <w:p w14:paraId="3FAA52A0" w14:textId="77777777" w:rsidR="00242289" w:rsidRPr="00EB2982" w:rsidRDefault="00242289" w:rsidP="005E2F3A">
      <w:pPr>
        <w:spacing w:line="280" w:lineRule="exact"/>
        <w:rPr>
          <w:lang w:val="en-US"/>
        </w:rPr>
      </w:pPr>
    </w:p>
    <w:sectPr w:rsidR="00242289" w:rsidRPr="00EB2982" w:rsidSect="00E6776B">
      <w:footerReference w:type="even" r:id="rId10"/>
      <w:footerReference w:type="default" r:id="rId11"/>
      <w:pgSz w:w="11906" w:h="16838"/>
      <w:pgMar w:top="1440" w:right="1800" w:bottom="1440" w:left="12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82C29A" w14:textId="77777777" w:rsidR="004C08A4" w:rsidRDefault="004C08A4">
      <w:r>
        <w:separator/>
      </w:r>
    </w:p>
  </w:endnote>
  <w:endnote w:type="continuationSeparator" w:id="0">
    <w:p w14:paraId="3C9DE374" w14:textId="77777777" w:rsidR="004C08A4" w:rsidRDefault="004C08A4">
      <w:r>
        <w:continuationSeparator/>
      </w:r>
    </w:p>
  </w:endnote>
  <w:endnote w:type="continuationNotice" w:id="1">
    <w:p w14:paraId="743C7E5B" w14:textId="77777777" w:rsidR="004C08A4" w:rsidRDefault="004C08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9F7C6" w14:textId="77777777" w:rsidR="002C7C5F" w:rsidRDefault="002C7C5F" w:rsidP="00733C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B3517A" w14:textId="77777777" w:rsidR="002C7C5F" w:rsidRDefault="002C7C5F" w:rsidP="00332C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89095"/>
      <w:docPartObj>
        <w:docPartGallery w:val="Page Numbers (Bottom of Page)"/>
        <w:docPartUnique/>
      </w:docPartObj>
    </w:sdtPr>
    <w:sdtEndPr/>
    <w:sdtContent>
      <w:p w14:paraId="57B5162B" w14:textId="77777777" w:rsidR="002C7C5F" w:rsidRDefault="002C7C5F">
        <w:pPr>
          <w:pStyle w:val="Footer"/>
        </w:pPr>
        <w:r>
          <w:fldChar w:fldCharType="begin"/>
        </w:r>
        <w:r>
          <w:instrText xml:space="preserve"> PAGE   \* MERGEFORMAT </w:instrText>
        </w:r>
        <w:r>
          <w:fldChar w:fldCharType="separate"/>
        </w:r>
        <w:r w:rsidR="000425DD">
          <w:rPr>
            <w:noProof/>
          </w:rPr>
          <w:t>1</w:t>
        </w:r>
        <w:r>
          <w:rPr>
            <w:noProof/>
          </w:rPr>
          <w:fldChar w:fldCharType="end"/>
        </w:r>
      </w:p>
    </w:sdtContent>
  </w:sdt>
  <w:p w14:paraId="592044AA" w14:textId="77777777" w:rsidR="002C7C5F" w:rsidRDefault="002C7C5F" w:rsidP="00332C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D68CF" w14:textId="77777777" w:rsidR="004C08A4" w:rsidRDefault="004C08A4">
      <w:r>
        <w:separator/>
      </w:r>
    </w:p>
  </w:footnote>
  <w:footnote w:type="continuationSeparator" w:id="0">
    <w:p w14:paraId="2995F2FF" w14:textId="77777777" w:rsidR="004C08A4" w:rsidRDefault="004C08A4">
      <w:r>
        <w:continuationSeparator/>
      </w:r>
    </w:p>
  </w:footnote>
  <w:footnote w:type="continuationNotice" w:id="1">
    <w:p w14:paraId="7526DD64" w14:textId="77777777" w:rsidR="004C08A4" w:rsidRDefault="004C08A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71730"/>
    <w:multiLevelType w:val="hybridMultilevel"/>
    <w:tmpl w:val="40902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FC2DE5"/>
    <w:multiLevelType w:val="hybridMultilevel"/>
    <w:tmpl w:val="B998A8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5C11F5"/>
    <w:multiLevelType w:val="hybridMultilevel"/>
    <w:tmpl w:val="575A8E24"/>
    <w:lvl w:ilvl="0" w:tplc="0C882270">
      <w:start w:val="1"/>
      <w:numFmt w:val="decimal"/>
      <w:lvlText w:val="%1."/>
      <w:lvlJc w:val="left"/>
      <w:pPr>
        <w:tabs>
          <w:tab w:val="num" w:pos="397"/>
        </w:tabs>
        <w:ind w:left="397" w:hanging="397"/>
      </w:pPr>
      <w:rPr>
        <w:rFonts w:hint="default"/>
      </w:rPr>
    </w:lvl>
    <w:lvl w:ilvl="1" w:tplc="57801D72">
      <w:start w:val="1"/>
      <w:numFmt w:val="none"/>
      <w:lvlText w:val="4.1"/>
      <w:lvlJc w:val="left"/>
      <w:pPr>
        <w:tabs>
          <w:tab w:val="num" w:pos="567"/>
        </w:tabs>
        <w:ind w:left="454" w:hanging="454"/>
      </w:pPr>
      <w:rPr>
        <w:rFonts w:hint="default"/>
      </w:rPr>
    </w:lvl>
    <w:lvl w:ilvl="2" w:tplc="5AAE4D64">
      <w:start w:val="1"/>
      <w:numFmt w:val="none"/>
      <w:lvlText w:val="4.3"/>
      <w:lvlJc w:val="left"/>
      <w:pPr>
        <w:tabs>
          <w:tab w:val="num" w:pos="510"/>
        </w:tabs>
        <w:ind w:left="567" w:hanging="567"/>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387AA1"/>
    <w:multiLevelType w:val="hybridMultilevel"/>
    <w:tmpl w:val="BA2E0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06CB3"/>
    <w:multiLevelType w:val="hybridMultilevel"/>
    <w:tmpl w:val="E438F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6C07725"/>
    <w:multiLevelType w:val="hybridMultilevel"/>
    <w:tmpl w:val="1C6A4DA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18C16260"/>
    <w:multiLevelType w:val="hybridMultilevel"/>
    <w:tmpl w:val="765C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463336"/>
    <w:multiLevelType w:val="hybridMultilevel"/>
    <w:tmpl w:val="BB40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DC304F"/>
    <w:multiLevelType w:val="multilevel"/>
    <w:tmpl w:val="0E041EAC"/>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F3272D1"/>
    <w:multiLevelType w:val="hybridMultilevel"/>
    <w:tmpl w:val="365A8E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F7748EA"/>
    <w:multiLevelType w:val="multilevel"/>
    <w:tmpl w:val="04A228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5A32061"/>
    <w:multiLevelType w:val="hybridMultilevel"/>
    <w:tmpl w:val="AB2402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ABB100A"/>
    <w:multiLevelType w:val="multilevel"/>
    <w:tmpl w:val="E5769BE4"/>
    <w:lvl w:ilvl="0">
      <w:start w:val="2"/>
      <w:numFmt w:val="decimal"/>
      <w:lvlText w:val="%1"/>
      <w:lvlJc w:val="left"/>
      <w:pPr>
        <w:ind w:left="375" w:hanging="37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15D7F68"/>
    <w:multiLevelType w:val="multilevel"/>
    <w:tmpl w:val="3E083D76"/>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1D258E"/>
    <w:multiLevelType w:val="hybridMultilevel"/>
    <w:tmpl w:val="03A06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3A1B91"/>
    <w:multiLevelType w:val="hybridMultilevel"/>
    <w:tmpl w:val="8D0C6B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5E9E2241"/>
    <w:multiLevelType w:val="hybridMultilevel"/>
    <w:tmpl w:val="BD0E57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6C3875FE"/>
    <w:multiLevelType w:val="multilevel"/>
    <w:tmpl w:val="E77E9016"/>
    <w:lvl w:ilvl="0">
      <w:start w:val="1"/>
      <w:numFmt w:val="decimal"/>
      <w:lvlText w:val="%1."/>
      <w:lvlJc w:val="left"/>
      <w:pPr>
        <w:ind w:left="360" w:hanging="360"/>
      </w:pPr>
      <w:rPr>
        <w:b/>
        <w:color w:val="auto"/>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A6655B"/>
    <w:multiLevelType w:val="hybridMultilevel"/>
    <w:tmpl w:val="A61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93F10"/>
    <w:multiLevelType w:val="hybridMultilevel"/>
    <w:tmpl w:val="2AAEB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763D5B6A"/>
    <w:multiLevelType w:val="hybridMultilevel"/>
    <w:tmpl w:val="90824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6A0225"/>
    <w:multiLevelType w:val="multilevel"/>
    <w:tmpl w:val="860040A8"/>
    <w:lvl w:ilvl="0">
      <w:start w:val="1"/>
      <w:numFmt w:val="decimal"/>
      <w:lvlText w:val="%1."/>
      <w:lvlJc w:val="left"/>
      <w:pPr>
        <w:ind w:left="720" w:hanging="360"/>
      </w:pPr>
    </w:lvl>
    <w:lvl w:ilvl="1">
      <w:start w:val="4"/>
      <w:numFmt w:val="decimal"/>
      <w:isLgl/>
      <w:lvlText w:val="%1.%2"/>
      <w:lvlJc w:val="left"/>
      <w:pPr>
        <w:ind w:left="765" w:hanging="405"/>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nsid w:val="7E10752A"/>
    <w:multiLevelType w:val="multilevel"/>
    <w:tmpl w:val="A3C6959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6"/>
  </w:num>
  <w:num w:numId="3">
    <w:abstractNumId w:val="22"/>
  </w:num>
  <w:num w:numId="4">
    <w:abstractNumId w:val="8"/>
  </w:num>
  <w:num w:numId="5">
    <w:abstractNumId w:val="13"/>
  </w:num>
  <w:num w:numId="6">
    <w:abstractNumId w:val="5"/>
  </w:num>
  <w:num w:numId="7">
    <w:abstractNumId w:val="9"/>
  </w:num>
  <w:num w:numId="8">
    <w:abstractNumId w:val="19"/>
  </w:num>
  <w:num w:numId="9">
    <w:abstractNumId w:val="21"/>
  </w:num>
  <w:num w:numId="10">
    <w:abstractNumId w:val="6"/>
  </w:num>
  <w:num w:numId="11">
    <w:abstractNumId w:val="3"/>
  </w:num>
  <w:num w:numId="12">
    <w:abstractNumId w:val="18"/>
  </w:num>
  <w:num w:numId="13">
    <w:abstractNumId w:val="0"/>
  </w:num>
  <w:num w:numId="14">
    <w:abstractNumId w:val="7"/>
  </w:num>
  <w:num w:numId="15">
    <w:abstractNumId w:val="14"/>
  </w:num>
  <w:num w:numId="16">
    <w:abstractNumId w:val="10"/>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11"/>
  </w:num>
  <w:num w:numId="31">
    <w:abstractNumId w:val="12"/>
  </w:num>
  <w:num w:numId="32">
    <w:abstractNumId w:val="1"/>
  </w:num>
  <w:num w:numId="33">
    <w:abstractNumId w:val="15"/>
  </w:num>
  <w:num w:numId="34">
    <w:abstractNumId w:val="20"/>
  </w:num>
  <w:num w:numId="3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F6C"/>
    <w:rsid w:val="000004C6"/>
    <w:rsid w:val="0000060A"/>
    <w:rsid w:val="00003BA2"/>
    <w:rsid w:val="00004F1C"/>
    <w:rsid w:val="000058D6"/>
    <w:rsid w:val="00006A91"/>
    <w:rsid w:val="00006C1F"/>
    <w:rsid w:val="00006D7D"/>
    <w:rsid w:val="00006F06"/>
    <w:rsid w:val="000071C5"/>
    <w:rsid w:val="000106A2"/>
    <w:rsid w:val="000109BD"/>
    <w:rsid w:val="00010E6D"/>
    <w:rsid w:val="000120CB"/>
    <w:rsid w:val="00012B5A"/>
    <w:rsid w:val="00012BAB"/>
    <w:rsid w:val="00012BE1"/>
    <w:rsid w:val="00012C4B"/>
    <w:rsid w:val="00012E2E"/>
    <w:rsid w:val="0001339C"/>
    <w:rsid w:val="00013D39"/>
    <w:rsid w:val="0001466B"/>
    <w:rsid w:val="00016A84"/>
    <w:rsid w:val="00017651"/>
    <w:rsid w:val="00021009"/>
    <w:rsid w:val="00023CC7"/>
    <w:rsid w:val="0002484C"/>
    <w:rsid w:val="00024D8A"/>
    <w:rsid w:val="000258B9"/>
    <w:rsid w:val="0002737A"/>
    <w:rsid w:val="00027F93"/>
    <w:rsid w:val="0003076B"/>
    <w:rsid w:val="00030EB7"/>
    <w:rsid w:val="000312B9"/>
    <w:rsid w:val="00031703"/>
    <w:rsid w:val="00031A6F"/>
    <w:rsid w:val="00031BFD"/>
    <w:rsid w:val="00031E93"/>
    <w:rsid w:val="000326F8"/>
    <w:rsid w:val="0003272F"/>
    <w:rsid w:val="000341E5"/>
    <w:rsid w:val="00034E41"/>
    <w:rsid w:val="000351F6"/>
    <w:rsid w:val="000365A9"/>
    <w:rsid w:val="00036C02"/>
    <w:rsid w:val="000372C4"/>
    <w:rsid w:val="00037571"/>
    <w:rsid w:val="00037DC7"/>
    <w:rsid w:val="000409DF"/>
    <w:rsid w:val="00041574"/>
    <w:rsid w:val="00041695"/>
    <w:rsid w:val="00041827"/>
    <w:rsid w:val="0004184E"/>
    <w:rsid w:val="00041B05"/>
    <w:rsid w:val="00041EFF"/>
    <w:rsid w:val="00041F08"/>
    <w:rsid w:val="000425DD"/>
    <w:rsid w:val="00042961"/>
    <w:rsid w:val="00042D7C"/>
    <w:rsid w:val="000449CB"/>
    <w:rsid w:val="00044F86"/>
    <w:rsid w:val="00045F15"/>
    <w:rsid w:val="00045FAE"/>
    <w:rsid w:val="000464F0"/>
    <w:rsid w:val="00046EE2"/>
    <w:rsid w:val="000507DB"/>
    <w:rsid w:val="00050DCD"/>
    <w:rsid w:val="00051556"/>
    <w:rsid w:val="00051745"/>
    <w:rsid w:val="00052459"/>
    <w:rsid w:val="00054C82"/>
    <w:rsid w:val="00056101"/>
    <w:rsid w:val="00056A8D"/>
    <w:rsid w:val="00056F97"/>
    <w:rsid w:val="00057961"/>
    <w:rsid w:val="00061D11"/>
    <w:rsid w:val="00062E4B"/>
    <w:rsid w:val="000633D8"/>
    <w:rsid w:val="0006364B"/>
    <w:rsid w:val="00063A95"/>
    <w:rsid w:val="00063E54"/>
    <w:rsid w:val="0006524C"/>
    <w:rsid w:val="00066713"/>
    <w:rsid w:val="00066ABA"/>
    <w:rsid w:val="00066F10"/>
    <w:rsid w:val="0006767C"/>
    <w:rsid w:val="0007029A"/>
    <w:rsid w:val="00070331"/>
    <w:rsid w:val="0007233B"/>
    <w:rsid w:val="00074FFE"/>
    <w:rsid w:val="000752F1"/>
    <w:rsid w:val="00075CC0"/>
    <w:rsid w:val="00076A58"/>
    <w:rsid w:val="00076B39"/>
    <w:rsid w:val="00076DDB"/>
    <w:rsid w:val="00077440"/>
    <w:rsid w:val="0007754E"/>
    <w:rsid w:val="00077E3A"/>
    <w:rsid w:val="00080EFD"/>
    <w:rsid w:val="0008136F"/>
    <w:rsid w:val="00081A04"/>
    <w:rsid w:val="00081D34"/>
    <w:rsid w:val="00081EDA"/>
    <w:rsid w:val="0008212E"/>
    <w:rsid w:val="0008215F"/>
    <w:rsid w:val="0008220B"/>
    <w:rsid w:val="000826C3"/>
    <w:rsid w:val="00082887"/>
    <w:rsid w:val="000828EF"/>
    <w:rsid w:val="00082B38"/>
    <w:rsid w:val="0008305E"/>
    <w:rsid w:val="0008340C"/>
    <w:rsid w:val="00083599"/>
    <w:rsid w:val="00084155"/>
    <w:rsid w:val="000858A4"/>
    <w:rsid w:val="00085965"/>
    <w:rsid w:val="000863FD"/>
    <w:rsid w:val="00087B55"/>
    <w:rsid w:val="00091BC4"/>
    <w:rsid w:val="00091DBA"/>
    <w:rsid w:val="00093436"/>
    <w:rsid w:val="000936D5"/>
    <w:rsid w:val="00094205"/>
    <w:rsid w:val="00095452"/>
    <w:rsid w:val="00096039"/>
    <w:rsid w:val="00096FB3"/>
    <w:rsid w:val="000A0577"/>
    <w:rsid w:val="000A0605"/>
    <w:rsid w:val="000A113B"/>
    <w:rsid w:val="000A1591"/>
    <w:rsid w:val="000A4469"/>
    <w:rsid w:val="000A46DC"/>
    <w:rsid w:val="000A64F2"/>
    <w:rsid w:val="000A72EE"/>
    <w:rsid w:val="000A738D"/>
    <w:rsid w:val="000B0BDA"/>
    <w:rsid w:val="000B0C67"/>
    <w:rsid w:val="000B1D32"/>
    <w:rsid w:val="000B1DFC"/>
    <w:rsid w:val="000B3741"/>
    <w:rsid w:val="000B3A93"/>
    <w:rsid w:val="000B5322"/>
    <w:rsid w:val="000B5395"/>
    <w:rsid w:val="000B6210"/>
    <w:rsid w:val="000B6FF0"/>
    <w:rsid w:val="000B7459"/>
    <w:rsid w:val="000B75FA"/>
    <w:rsid w:val="000C0097"/>
    <w:rsid w:val="000C0F41"/>
    <w:rsid w:val="000C142E"/>
    <w:rsid w:val="000C2852"/>
    <w:rsid w:val="000C2F45"/>
    <w:rsid w:val="000C43CD"/>
    <w:rsid w:val="000C44AD"/>
    <w:rsid w:val="000C46B2"/>
    <w:rsid w:val="000C4E6C"/>
    <w:rsid w:val="000C5597"/>
    <w:rsid w:val="000C58D2"/>
    <w:rsid w:val="000C58DA"/>
    <w:rsid w:val="000C6DDC"/>
    <w:rsid w:val="000C760E"/>
    <w:rsid w:val="000C79CD"/>
    <w:rsid w:val="000C7F95"/>
    <w:rsid w:val="000D0F59"/>
    <w:rsid w:val="000D22BF"/>
    <w:rsid w:val="000D23DA"/>
    <w:rsid w:val="000D29DB"/>
    <w:rsid w:val="000D31BA"/>
    <w:rsid w:val="000D3DD1"/>
    <w:rsid w:val="000D44DF"/>
    <w:rsid w:val="000D44E2"/>
    <w:rsid w:val="000D4FC3"/>
    <w:rsid w:val="000D6348"/>
    <w:rsid w:val="000D6D9C"/>
    <w:rsid w:val="000E07D8"/>
    <w:rsid w:val="000E3333"/>
    <w:rsid w:val="000E3F6F"/>
    <w:rsid w:val="000E44E0"/>
    <w:rsid w:val="000E4F71"/>
    <w:rsid w:val="000E6637"/>
    <w:rsid w:val="000E6DED"/>
    <w:rsid w:val="000E7B9F"/>
    <w:rsid w:val="000F0075"/>
    <w:rsid w:val="000F0505"/>
    <w:rsid w:val="000F1EC9"/>
    <w:rsid w:val="000F22FE"/>
    <w:rsid w:val="000F2B43"/>
    <w:rsid w:val="000F3179"/>
    <w:rsid w:val="000F353A"/>
    <w:rsid w:val="000F36D7"/>
    <w:rsid w:val="000F3995"/>
    <w:rsid w:val="000F3A31"/>
    <w:rsid w:val="000F41FF"/>
    <w:rsid w:val="000F5C3C"/>
    <w:rsid w:val="000F6630"/>
    <w:rsid w:val="000F7672"/>
    <w:rsid w:val="000F7EB2"/>
    <w:rsid w:val="00100718"/>
    <w:rsid w:val="00103074"/>
    <w:rsid w:val="001033AF"/>
    <w:rsid w:val="00104E0E"/>
    <w:rsid w:val="00105BDB"/>
    <w:rsid w:val="00106435"/>
    <w:rsid w:val="00106B42"/>
    <w:rsid w:val="00106FBF"/>
    <w:rsid w:val="00107115"/>
    <w:rsid w:val="00107315"/>
    <w:rsid w:val="00107988"/>
    <w:rsid w:val="00110185"/>
    <w:rsid w:val="001110B0"/>
    <w:rsid w:val="001115E6"/>
    <w:rsid w:val="00111A5E"/>
    <w:rsid w:val="00111F72"/>
    <w:rsid w:val="00112D54"/>
    <w:rsid w:val="00113A41"/>
    <w:rsid w:val="00113BDF"/>
    <w:rsid w:val="00114257"/>
    <w:rsid w:val="0011447D"/>
    <w:rsid w:val="00115CDF"/>
    <w:rsid w:val="00116280"/>
    <w:rsid w:val="00116E8D"/>
    <w:rsid w:val="001171D3"/>
    <w:rsid w:val="00121336"/>
    <w:rsid w:val="00123432"/>
    <w:rsid w:val="001235B8"/>
    <w:rsid w:val="0012395E"/>
    <w:rsid w:val="00124AD3"/>
    <w:rsid w:val="00125701"/>
    <w:rsid w:val="001266FF"/>
    <w:rsid w:val="00130055"/>
    <w:rsid w:val="00131C7F"/>
    <w:rsid w:val="00132E28"/>
    <w:rsid w:val="00132ECE"/>
    <w:rsid w:val="001342C6"/>
    <w:rsid w:val="00134384"/>
    <w:rsid w:val="0013455C"/>
    <w:rsid w:val="001351AA"/>
    <w:rsid w:val="001361D7"/>
    <w:rsid w:val="0013673E"/>
    <w:rsid w:val="001404A4"/>
    <w:rsid w:val="001416E1"/>
    <w:rsid w:val="00141FBD"/>
    <w:rsid w:val="0014242D"/>
    <w:rsid w:val="00142949"/>
    <w:rsid w:val="00142EE6"/>
    <w:rsid w:val="00145A6A"/>
    <w:rsid w:val="00145D71"/>
    <w:rsid w:val="001468B2"/>
    <w:rsid w:val="00147577"/>
    <w:rsid w:val="00147A78"/>
    <w:rsid w:val="00150718"/>
    <w:rsid w:val="00150821"/>
    <w:rsid w:val="00150CE5"/>
    <w:rsid w:val="00151020"/>
    <w:rsid w:val="00151437"/>
    <w:rsid w:val="00151696"/>
    <w:rsid w:val="00151AA1"/>
    <w:rsid w:val="00151E8F"/>
    <w:rsid w:val="00152165"/>
    <w:rsid w:val="0015233E"/>
    <w:rsid w:val="001527BD"/>
    <w:rsid w:val="00152C38"/>
    <w:rsid w:val="00152E99"/>
    <w:rsid w:val="00153AEE"/>
    <w:rsid w:val="00155A9C"/>
    <w:rsid w:val="00155FDE"/>
    <w:rsid w:val="0015695A"/>
    <w:rsid w:val="0015755B"/>
    <w:rsid w:val="001606AD"/>
    <w:rsid w:val="00160D32"/>
    <w:rsid w:val="00161711"/>
    <w:rsid w:val="0016247D"/>
    <w:rsid w:val="0016286D"/>
    <w:rsid w:val="00162BEE"/>
    <w:rsid w:val="0016545B"/>
    <w:rsid w:val="00165E7F"/>
    <w:rsid w:val="00166A1A"/>
    <w:rsid w:val="00166DB5"/>
    <w:rsid w:val="00167FC5"/>
    <w:rsid w:val="00170C99"/>
    <w:rsid w:val="00172029"/>
    <w:rsid w:val="00172201"/>
    <w:rsid w:val="00173231"/>
    <w:rsid w:val="00173A1C"/>
    <w:rsid w:val="00173B1D"/>
    <w:rsid w:val="00173BA9"/>
    <w:rsid w:val="00173BCE"/>
    <w:rsid w:val="001748E1"/>
    <w:rsid w:val="00175ABE"/>
    <w:rsid w:val="00175D14"/>
    <w:rsid w:val="00175D21"/>
    <w:rsid w:val="001765C6"/>
    <w:rsid w:val="00176926"/>
    <w:rsid w:val="0017744C"/>
    <w:rsid w:val="0017776A"/>
    <w:rsid w:val="00180ADD"/>
    <w:rsid w:val="00180FD6"/>
    <w:rsid w:val="0018141C"/>
    <w:rsid w:val="00181B47"/>
    <w:rsid w:val="00182263"/>
    <w:rsid w:val="0018240F"/>
    <w:rsid w:val="00182A52"/>
    <w:rsid w:val="00182C58"/>
    <w:rsid w:val="001836C0"/>
    <w:rsid w:val="001841F7"/>
    <w:rsid w:val="00184302"/>
    <w:rsid w:val="00184702"/>
    <w:rsid w:val="0018492E"/>
    <w:rsid w:val="00185132"/>
    <w:rsid w:val="001861F1"/>
    <w:rsid w:val="00187656"/>
    <w:rsid w:val="001877A5"/>
    <w:rsid w:val="00187BC5"/>
    <w:rsid w:val="00187BDB"/>
    <w:rsid w:val="0019067D"/>
    <w:rsid w:val="00190986"/>
    <w:rsid w:val="00190DC4"/>
    <w:rsid w:val="001915E3"/>
    <w:rsid w:val="0019185A"/>
    <w:rsid w:val="00192A7A"/>
    <w:rsid w:val="00193F0C"/>
    <w:rsid w:val="001941A3"/>
    <w:rsid w:val="0019486A"/>
    <w:rsid w:val="00195A50"/>
    <w:rsid w:val="00195B15"/>
    <w:rsid w:val="00196DF2"/>
    <w:rsid w:val="001A033C"/>
    <w:rsid w:val="001A0612"/>
    <w:rsid w:val="001A1191"/>
    <w:rsid w:val="001A14C2"/>
    <w:rsid w:val="001A220B"/>
    <w:rsid w:val="001A331D"/>
    <w:rsid w:val="001A3FB8"/>
    <w:rsid w:val="001A7360"/>
    <w:rsid w:val="001B1275"/>
    <w:rsid w:val="001B16BA"/>
    <w:rsid w:val="001B1805"/>
    <w:rsid w:val="001B2540"/>
    <w:rsid w:val="001B359F"/>
    <w:rsid w:val="001B468D"/>
    <w:rsid w:val="001B482A"/>
    <w:rsid w:val="001B4BBD"/>
    <w:rsid w:val="001B56D3"/>
    <w:rsid w:val="001B5E21"/>
    <w:rsid w:val="001B703C"/>
    <w:rsid w:val="001C06B6"/>
    <w:rsid w:val="001C1D02"/>
    <w:rsid w:val="001C2677"/>
    <w:rsid w:val="001C2B19"/>
    <w:rsid w:val="001C40C0"/>
    <w:rsid w:val="001C4136"/>
    <w:rsid w:val="001C5DFF"/>
    <w:rsid w:val="001C612A"/>
    <w:rsid w:val="001C714B"/>
    <w:rsid w:val="001C72B3"/>
    <w:rsid w:val="001C7AED"/>
    <w:rsid w:val="001D0A0D"/>
    <w:rsid w:val="001D0A22"/>
    <w:rsid w:val="001D0CAE"/>
    <w:rsid w:val="001D197A"/>
    <w:rsid w:val="001D1F51"/>
    <w:rsid w:val="001D1F67"/>
    <w:rsid w:val="001D29FF"/>
    <w:rsid w:val="001D3866"/>
    <w:rsid w:val="001D529B"/>
    <w:rsid w:val="001D62B3"/>
    <w:rsid w:val="001E005A"/>
    <w:rsid w:val="001E0691"/>
    <w:rsid w:val="001E097E"/>
    <w:rsid w:val="001E0F10"/>
    <w:rsid w:val="001E14C1"/>
    <w:rsid w:val="001E1536"/>
    <w:rsid w:val="001E1E59"/>
    <w:rsid w:val="001E322A"/>
    <w:rsid w:val="001E39F0"/>
    <w:rsid w:val="001E50A4"/>
    <w:rsid w:val="001E592C"/>
    <w:rsid w:val="001E5AC9"/>
    <w:rsid w:val="001E5C6F"/>
    <w:rsid w:val="001E6B01"/>
    <w:rsid w:val="001F0077"/>
    <w:rsid w:val="001F1E50"/>
    <w:rsid w:val="001F1F24"/>
    <w:rsid w:val="001F2816"/>
    <w:rsid w:val="001F37FC"/>
    <w:rsid w:val="001F3D31"/>
    <w:rsid w:val="001F5FC9"/>
    <w:rsid w:val="001F7344"/>
    <w:rsid w:val="001F7B32"/>
    <w:rsid w:val="001F7B40"/>
    <w:rsid w:val="001F7DB1"/>
    <w:rsid w:val="0020020D"/>
    <w:rsid w:val="002009A5"/>
    <w:rsid w:val="00201094"/>
    <w:rsid w:val="002021A5"/>
    <w:rsid w:val="00202476"/>
    <w:rsid w:val="00202899"/>
    <w:rsid w:val="00204687"/>
    <w:rsid w:val="00204760"/>
    <w:rsid w:val="0020530B"/>
    <w:rsid w:val="00205E36"/>
    <w:rsid w:val="0020631A"/>
    <w:rsid w:val="00206FF6"/>
    <w:rsid w:val="0020707E"/>
    <w:rsid w:val="0020738C"/>
    <w:rsid w:val="00210B48"/>
    <w:rsid w:val="0021104C"/>
    <w:rsid w:val="00212B7E"/>
    <w:rsid w:val="002134D9"/>
    <w:rsid w:val="00215906"/>
    <w:rsid w:val="00215BF0"/>
    <w:rsid w:val="00215C0F"/>
    <w:rsid w:val="00217246"/>
    <w:rsid w:val="00220245"/>
    <w:rsid w:val="0022069A"/>
    <w:rsid w:val="00220C29"/>
    <w:rsid w:val="00220C61"/>
    <w:rsid w:val="00221D63"/>
    <w:rsid w:val="00221D90"/>
    <w:rsid w:val="00222095"/>
    <w:rsid w:val="002226BC"/>
    <w:rsid w:val="00222B8D"/>
    <w:rsid w:val="00223076"/>
    <w:rsid w:val="002231A5"/>
    <w:rsid w:val="00223202"/>
    <w:rsid w:val="0022380E"/>
    <w:rsid w:val="002248DA"/>
    <w:rsid w:val="00225FDF"/>
    <w:rsid w:val="00226025"/>
    <w:rsid w:val="002266D9"/>
    <w:rsid w:val="00226EE3"/>
    <w:rsid w:val="00230B32"/>
    <w:rsid w:val="00231964"/>
    <w:rsid w:val="00231992"/>
    <w:rsid w:val="00231ABC"/>
    <w:rsid w:val="00233018"/>
    <w:rsid w:val="0023342F"/>
    <w:rsid w:val="00234B83"/>
    <w:rsid w:val="002351F8"/>
    <w:rsid w:val="00235517"/>
    <w:rsid w:val="00235599"/>
    <w:rsid w:val="00235AD1"/>
    <w:rsid w:val="00236911"/>
    <w:rsid w:val="002370E1"/>
    <w:rsid w:val="00237BC4"/>
    <w:rsid w:val="00237E0E"/>
    <w:rsid w:val="00240B0D"/>
    <w:rsid w:val="00240C6D"/>
    <w:rsid w:val="00242289"/>
    <w:rsid w:val="0024306A"/>
    <w:rsid w:val="00243837"/>
    <w:rsid w:val="00244BD8"/>
    <w:rsid w:val="0024536E"/>
    <w:rsid w:val="00245C64"/>
    <w:rsid w:val="00246200"/>
    <w:rsid w:val="002473B7"/>
    <w:rsid w:val="00247F8E"/>
    <w:rsid w:val="00250127"/>
    <w:rsid w:val="002505E4"/>
    <w:rsid w:val="00250686"/>
    <w:rsid w:val="00250ADC"/>
    <w:rsid w:val="00254316"/>
    <w:rsid w:val="002543F1"/>
    <w:rsid w:val="002545FF"/>
    <w:rsid w:val="00254E49"/>
    <w:rsid w:val="002568A6"/>
    <w:rsid w:val="00256A6D"/>
    <w:rsid w:val="00260B38"/>
    <w:rsid w:val="002619B3"/>
    <w:rsid w:val="00262E05"/>
    <w:rsid w:val="00263840"/>
    <w:rsid w:val="00263BFF"/>
    <w:rsid w:val="00264263"/>
    <w:rsid w:val="00265033"/>
    <w:rsid w:val="002657ED"/>
    <w:rsid w:val="00265942"/>
    <w:rsid w:val="00265BFF"/>
    <w:rsid w:val="00265C02"/>
    <w:rsid w:val="00265D86"/>
    <w:rsid w:val="002663AF"/>
    <w:rsid w:val="00266F82"/>
    <w:rsid w:val="002671AC"/>
    <w:rsid w:val="00270119"/>
    <w:rsid w:val="00270781"/>
    <w:rsid w:val="00271084"/>
    <w:rsid w:val="002710FC"/>
    <w:rsid w:val="00271EF4"/>
    <w:rsid w:val="00272473"/>
    <w:rsid w:val="002728D1"/>
    <w:rsid w:val="002729A3"/>
    <w:rsid w:val="00272C81"/>
    <w:rsid w:val="002744B4"/>
    <w:rsid w:val="00274A33"/>
    <w:rsid w:val="00274CA5"/>
    <w:rsid w:val="002752B3"/>
    <w:rsid w:val="00276412"/>
    <w:rsid w:val="00276DBA"/>
    <w:rsid w:val="00276FA7"/>
    <w:rsid w:val="0028076C"/>
    <w:rsid w:val="002812BB"/>
    <w:rsid w:val="00281900"/>
    <w:rsid w:val="00282033"/>
    <w:rsid w:val="00283330"/>
    <w:rsid w:val="00283E19"/>
    <w:rsid w:val="002860A7"/>
    <w:rsid w:val="00286601"/>
    <w:rsid w:val="00286B0C"/>
    <w:rsid w:val="00286B3D"/>
    <w:rsid w:val="00286F82"/>
    <w:rsid w:val="002914C2"/>
    <w:rsid w:val="0029158F"/>
    <w:rsid w:val="00291D9D"/>
    <w:rsid w:val="00291E7A"/>
    <w:rsid w:val="00291F43"/>
    <w:rsid w:val="002921FB"/>
    <w:rsid w:val="00292390"/>
    <w:rsid w:val="002924BA"/>
    <w:rsid w:val="002929B4"/>
    <w:rsid w:val="002929F4"/>
    <w:rsid w:val="00293AF8"/>
    <w:rsid w:val="00296D90"/>
    <w:rsid w:val="002979D2"/>
    <w:rsid w:val="00297FB6"/>
    <w:rsid w:val="002A2B24"/>
    <w:rsid w:val="002A2BD6"/>
    <w:rsid w:val="002A333B"/>
    <w:rsid w:val="002A343F"/>
    <w:rsid w:val="002A36D7"/>
    <w:rsid w:val="002A4367"/>
    <w:rsid w:val="002A4C69"/>
    <w:rsid w:val="002A575C"/>
    <w:rsid w:val="002A5F1C"/>
    <w:rsid w:val="002A5FA1"/>
    <w:rsid w:val="002A6930"/>
    <w:rsid w:val="002A6BDF"/>
    <w:rsid w:val="002B086C"/>
    <w:rsid w:val="002B0C8F"/>
    <w:rsid w:val="002B2206"/>
    <w:rsid w:val="002B302F"/>
    <w:rsid w:val="002B3A19"/>
    <w:rsid w:val="002B3BE4"/>
    <w:rsid w:val="002B4210"/>
    <w:rsid w:val="002B512B"/>
    <w:rsid w:val="002B5F2A"/>
    <w:rsid w:val="002C120C"/>
    <w:rsid w:val="002C17EE"/>
    <w:rsid w:val="002C20B4"/>
    <w:rsid w:val="002C3DBB"/>
    <w:rsid w:val="002C461A"/>
    <w:rsid w:val="002C7073"/>
    <w:rsid w:val="002C73D7"/>
    <w:rsid w:val="002C7425"/>
    <w:rsid w:val="002C787F"/>
    <w:rsid w:val="002C7C5F"/>
    <w:rsid w:val="002D109C"/>
    <w:rsid w:val="002D2B16"/>
    <w:rsid w:val="002D5273"/>
    <w:rsid w:val="002D66CB"/>
    <w:rsid w:val="002D676B"/>
    <w:rsid w:val="002D694F"/>
    <w:rsid w:val="002D6B5C"/>
    <w:rsid w:val="002D76CE"/>
    <w:rsid w:val="002E04EC"/>
    <w:rsid w:val="002E0988"/>
    <w:rsid w:val="002E0DEE"/>
    <w:rsid w:val="002E121F"/>
    <w:rsid w:val="002E1266"/>
    <w:rsid w:val="002E1612"/>
    <w:rsid w:val="002E1FEC"/>
    <w:rsid w:val="002E2B11"/>
    <w:rsid w:val="002E2F23"/>
    <w:rsid w:val="002E30B8"/>
    <w:rsid w:val="002E30E7"/>
    <w:rsid w:val="002E5BB7"/>
    <w:rsid w:val="002E6403"/>
    <w:rsid w:val="002E71B1"/>
    <w:rsid w:val="002E7732"/>
    <w:rsid w:val="002F007F"/>
    <w:rsid w:val="002F0CCA"/>
    <w:rsid w:val="002F0D2D"/>
    <w:rsid w:val="002F1581"/>
    <w:rsid w:val="002F1E62"/>
    <w:rsid w:val="002F2B38"/>
    <w:rsid w:val="002F4A37"/>
    <w:rsid w:val="002F5641"/>
    <w:rsid w:val="002F58DD"/>
    <w:rsid w:val="002F5A7B"/>
    <w:rsid w:val="002F6083"/>
    <w:rsid w:val="002F6B9A"/>
    <w:rsid w:val="0030007F"/>
    <w:rsid w:val="0030038D"/>
    <w:rsid w:val="00300FAA"/>
    <w:rsid w:val="00301030"/>
    <w:rsid w:val="003017B4"/>
    <w:rsid w:val="003035EB"/>
    <w:rsid w:val="00303A25"/>
    <w:rsid w:val="003040F1"/>
    <w:rsid w:val="00304E26"/>
    <w:rsid w:val="0030680B"/>
    <w:rsid w:val="00307664"/>
    <w:rsid w:val="003078D3"/>
    <w:rsid w:val="00310AD2"/>
    <w:rsid w:val="00311B86"/>
    <w:rsid w:val="003138DB"/>
    <w:rsid w:val="00314220"/>
    <w:rsid w:val="003145E5"/>
    <w:rsid w:val="003157CA"/>
    <w:rsid w:val="003157F6"/>
    <w:rsid w:val="00315BC9"/>
    <w:rsid w:val="00316A4D"/>
    <w:rsid w:val="003171A5"/>
    <w:rsid w:val="00317AB1"/>
    <w:rsid w:val="003209C4"/>
    <w:rsid w:val="00321055"/>
    <w:rsid w:val="00321924"/>
    <w:rsid w:val="00321DBF"/>
    <w:rsid w:val="00321ECB"/>
    <w:rsid w:val="00324155"/>
    <w:rsid w:val="00324344"/>
    <w:rsid w:val="0032465B"/>
    <w:rsid w:val="003248EB"/>
    <w:rsid w:val="0032514D"/>
    <w:rsid w:val="003258D2"/>
    <w:rsid w:val="003260EE"/>
    <w:rsid w:val="00327A94"/>
    <w:rsid w:val="00327DF5"/>
    <w:rsid w:val="00332900"/>
    <w:rsid w:val="00332C99"/>
    <w:rsid w:val="003339F1"/>
    <w:rsid w:val="00334E2B"/>
    <w:rsid w:val="00335679"/>
    <w:rsid w:val="00337FEA"/>
    <w:rsid w:val="00341432"/>
    <w:rsid w:val="00342661"/>
    <w:rsid w:val="003428EB"/>
    <w:rsid w:val="00342BEE"/>
    <w:rsid w:val="0034307A"/>
    <w:rsid w:val="003438DF"/>
    <w:rsid w:val="0034483B"/>
    <w:rsid w:val="003449C0"/>
    <w:rsid w:val="00344DF5"/>
    <w:rsid w:val="003453AE"/>
    <w:rsid w:val="003456A5"/>
    <w:rsid w:val="00345B99"/>
    <w:rsid w:val="00345FAA"/>
    <w:rsid w:val="003461FA"/>
    <w:rsid w:val="0034694B"/>
    <w:rsid w:val="00346C29"/>
    <w:rsid w:val="00347538"/>
    <w:rsid w:val="0035122C"/>
    <w:rsid w:val="003515F4"/>
    <w:rsid w:val="00353D99"/>
    <w:rsid w:val="00354B1D"/>
    <w:rsid w:val="00354FF4"/>
    <w:rsid w:val="00355076"/>
    <w:rsid w:val="00355598"/>
    <w:rsid w:val="003563A2"/>
    <w:rsid w:val="00356545"/>
    <w:rsid w:val="0035793E"/>
    <w:rsid w:val="00360C28"/>
    <w:rsid w:val="00361818"/>
    <w:rsid w:val="00361DDE"/>
    <w:rsid w:val="0036224C"/>
    <w:rsid w:val="0036395E"/>
    <w:rsid w:val="00363D8D"/>
    <w:rsid w:val="00365578"/>
    <w:rsid w:val="0037100F"/>
    <w:rsid w:val="0037197F"/>
    <w:rsid w:val="00372DE9"/>
    <w:rsid w:val="00375B5E"/>
    <w:rsid w:val="00376FC2"/>
    <w:rsid w:val="00377406"/>
    <w:rsid w:val="00377A94"/>
    <w:rsid w:val="0038242F"/>
    <w:rsid w:val="00382C0A"/>
    <w:rsid w:val="00383670"/>
    <w:rsid w:val="00383881"/>
    <w:rsid w:val="003839C0"/>
    <w:rsid w:val="0038413C"/>
    <w:rsid w:val="003843E9"/>
    <w:rsid w:val="00384CA6"/>
    <w:rsid w:val="00386788"/>
    <w:rsid w:val="003875BF"/>
    <w:rsid w:val="0039027C"/>
    <w:rsid w:val="003902A7"/>
    <w:rsid w:val="003918FE"/>
    <w:rsid w:val="00392337"/>
    <w:rsid w:val="00393CD6"/>
    <w:rsid w:val="00393D5F"/>
    <w:rsid w:val="00395881"/>
    <w:rsid w:val="00396DC5"/>
    <w:rsid w:val="003973B2"/>
    <w:rsid w:val="00397771"/>
    <w:rsid w:val="003A0376"/>
    <w:rsid w:val="003A11A6"/>
    <w:rsid w:val="003A37BE"/>
    <w:rsid w:val="003A43F1"/>
    <w:rsid w:val="003A48C8"/>
    <w:rsid w:val="003A54E8"/>
    <w:rsid w:val="003A6045"/>
    <w:rsid w:val="003A67BF"/>
    <w:rsid w:val="003B016E"/>
    <w:rsid w:val="003B1D98"/>
    <w:rsid w:val="003B2183"/>
    <w:rsid w:val="003B2257"/>
    <w:rsid w:val="003B3D1F"/>
    <w:rsid w:val="003B55AE"/>
    <w:rsid w:val="003B5EFE"/>
    <w:rsid w:val="003B601F"/>
    <w:rsid w:val="003B6125"/>
    <w:rsid w:val="003B6375"/>
    <w:rsid w:val="003B6773"/>
    <w:rsid w:val="003B6BB3"/>
    <w:rsid w:val="003B7170"/>
    <w:rsid w:val="003B7A4A"/>
    <w:rsid w:val="003C13B5"/>
    <w:rsid w:val="003C2EB2"/>
    <w:rsid w:val="003C49D2"/>
    <w:rsid w:val="003C6526"/>
    <w:rsid w:val="003C675E"/>
    <w:rsid w:val="003C6B04"/>
    <w:rsid w:val="003C6B57"/>
    <w:rsid w:val="003C7210"/>
    <w:rsid w:val="003C7D89"/>
    <w:rsid w:val="003C7EF4"/>
    <w:rsid w:val="003D2F52"/>
    <w:rsid w:val="003D45DF"/>
    <w:rsid w:val="003D48D7"/>
    <w:rsid w:val="003D4E05"/>
    <w:rsid w:val="003D5249"/>
    <w:rsid w:val="003D56ED"/>
    <w:rsid w:val="003D5C41"/>
    <w:rsid w:val="003D6179"/>
    <w:rsid w:val="003D6E08"/>
    <w:rsid w:val="003D6EAD"/>
    <w:rsid w:val="003E0942"/>
    <w:rsid w:val="003E0F6C"/>
    <w:rsid w:val="003E10DF"/>
    <w:rsid w:val="003E2688"/>
    <w:rsid w:val="003E2F53"/>
    <w:rsid w:val="003E3C82"/>
    <w:rsid w:val="003E4340"/>
    <w:rsid w:val="003E5EE5"/>
    <w:rsid w:val="003E7589"/>
    <w:rsid w:val="003E7672"/>
    <w:rsid w:val="003F1F0C"/>
    <w:rsid w:val="003F204C"/>
    <w:rsid w:val="003F303D"/>
    <w:rsid w:val="003F32A4"/>
    <w:rsid w:val="003F48B8"/>
    <w:rsid w:val="003F588E"/>
    <w:rsid w:val="003F5C70"/>
    <w:rsid w:val="003F7102"/>
    <w:rsid w:val="003F748A"/>
    <w:rsid w:val="003F7A57"/>
    <w:rsid w:val="00400DA1"/>
    <w:rsid w:val="00401EE3"/>
    <w:rsid w:val="004028C8"/>
    <w:rsid w:val="00403578"/>
    <w:rsid w:val="00404C0C"/>
    <w:rsid w:val="00405446"/>
    <w:rsid w:val="00406927"/>
    <w:rsid w:val="00406929"/>
    <w:rsid w:val="00407234"/>
    <w:rsid w:val="0040758D"/>
    <w:rsid w:val="00407A57"/>
    <w:rsid w:val="00410ED9"/>
    <w:rsid w:val="0041212F"/>
    <w:rsid w:val="00412FA5"/>
    <w:rsid w:val="00413CF2"/>
    <w:rsid w:val="00416278"/>
    <w:rsid w:val="00417400"/>
    <w:rsid w:val="00417C55"/>
    <w:rsid w:val="00420D4C"/>
    <w:rsid w:val="004217F6"/>
    <w:rsid w:val="00425221"/>
    <w:rsid w:val="00425F4E"/>
    <w:rsid w:val="00426E89"/>
    <w:rsid w:val="00427270"/>
    <w:rsid w:val="00427345"/>
    <w:rsid w:val="00427613"/>
    <w:rsid w:val="00432280"/>
    <w:rsid w:val="004348DC"/>
    <w:rsid w:val="00436858"/>
    <w:rsid w:val="00436AE1"/>
    <w:rsid w:val="00436C10"/>
    <w:rsid w:val="00436CBF"/>
    <w:rsid w:val="0044028A"/>
    <w:rsid w:val="004402A8"/>
    <w:rsid w:val="004402FF"/>
    <w:rsid w:val="00442B32"/>
    <w:rsid w:val="00443145"/>
    <w:rsid w:val="004438CB"/>
    <w:rsid w:val="004445B2"/>
    <w:rsid w:val="00445818"/>
    <w:rsid w:val="004460ED"/>
    <w:rsid w:val="004462B9"/>
    <w:rsid w:val="004463DA"/>
    <w:rsid w:val="00446AD4"/>
    <w:rsid w:val="00446B57"/>
    <w:rsid w:val="00447666"/>
    <w:rsid w:val="00447EF6"/>
    <w:rsid w:val="00447FCF"/>
    <w:rsid w:val="004500E8"/>
    <w:rsid w:val="00451244"/>
    <w:rsid w:val="00451C8B"/>
    <w:rsid w:val="004525EC"/>
    <w:rsid w:val="004528A7"/>
    <w:rsid w:val="004539D4"/>
    <w:rsid w:val="00454037"/>
    <w:rsid w:val="00454206"/>
    <w:rsid w:val="00454E75"/>
    <w:rsid w:val="00455311"/>
    <w:rsid w:val="004558B1"/>
    <w:rsid w:val="004564C6"/>
    <w:rsid w:val="004566C4"/>
    <w:rsid w:val="00456DF0"/>
    <w:rsid w:val="00456EDD"/>
    <w:rsid w:val="00456F8F"/>
    <w:rsid w:val="0045729D"/>
    <w:rsid w:val="004576D1"/>
    <w:rsid w:val="0046083E"/>
    <w:rsid w:val="00460967"/>
    <w:rsid w:val="00462984"/>
    <w:rsid w:val="00462BB7"/>
    <w:rsid w:val="00463181"/>
    <w:rsid w:val="0046327A"/>
    <w:rsid w:val="004641B2"/>
    <w:rsid w:val="0046521C"/>
    <w:rsid w:val="004669A3"/>
    <w:rsid w:val="00466CF4"/>
    <w:rsid w:val="00470512"/>
    <w:rsid w:val="00471A97"/>
    <w:rsid w:val="004725AE"/>
    <w:rsid w:val="00473868"/>
    <w:rsid w:val="00474911"/>
    <w:rsid w:val="00474C2A"/>
    <w:rsid w:val="004756F8"/>
    <w:rsid w:val="00476D3F"/>
    <w:rsid w:val="00477F59"/>
    <w:rsid w:val="00480B2F"/>
    <w:rsid w:val="00482373"/>
    <w:rsid w:val="004856E6"/>
    <w:rsid w:val="00485874"/>
    <w:rsid w:val="004864BC"/>
    <w:rsid w:val="004865F4"/>
    <w:rsid w:val="00490EA7"/>
    <w:rsid w:val="00490FF1"/>
    <w:rsid w:val="00491379"/>
    <w:rsid w:val="004921C9"/>
    <w:rsid w:val="00492817"/>
    <w:rsid w:val="00493996"/>
    <w:rsid w:val="004941D0"/>
    <w:rsid w:val="00494FE5"/>
    <w:rsid w:val="004952EF"/>
    <w:rsid w:val="00495424"/>
    <w:rsid w:val="00496101"/>
    <w:rsid w:val="00496222"/>
    <w:rsid w:val="004966A0"/>
    <w:rsid w:val="004969A8"/>
    <w:rsid w:val="004A029E"/>
    <w:rsid w:val="004A034E"/>
    <w:rsid w:val="004A0BBE"/>
    <w:rsid w:val="004A11DD"/>
    <w:rsid w:val="004A178F"/>
    <w:rsid w:val="004A1812"/>
    <w:rsid w:val="004A19BB"/>
    <w:rsid w:val="004A1C95"/>
    <w:rsid w:val="004A2779"/>
    <w:rsid w:val="004A3EC5"/>
    <w:rsid w:val="004A54B6"/>
    <w:rsid w:val="004A5822"/>
    <w:rsid w:val="004A70CE"/>
    <w:rsid w:val="004B0809"/>
    <w:rsid w:val="004B1A6C"/>
    <w:rsid w:val="004B2558"/>
    <w:rsid w:val="004B2CC1"/>
    <w:rsid w:val="004B31DC"/>
    <w:rsid w:val="004B40C4"/>
    <w:rsid w:val="004B4A64"/>
    <w:rsid w:val="004B4D6E"/>
    <w:rsid w:val="004B595B"/>
    <w:rsid w:val="004B5B27"/>
    <w:rsid w:val="004B5C05"/>
    <w:rsid w:val="004B5FD6"/>
    <w:rsid w:val="004C08A4"/>
    <w:rsid w:val="004C1762"/>
    <w:rsid w:val="004C3068"/>
    <w:rsid w:val="004C3356"/>
    <w:rsid w:val="004C3F38"/>
    <w:rsid w:val="004C4917"/>
    <w:rsid w:val="004C5C47"/>
    <w:rsid w:val="004C5E99"/>
    <w:rsid w:val="004C5EF8"/>
    <w:rsid w:val="004C6BC2"/>
    <w:rsid w:val="004C6C57"/>
    <w:rsid w:val="004C7080"/>
    <w:rsid w:val="004C7482"/>
    <w:rsid w:val="004C797E"/>
    <w:rsid w:val="004C7B3B"/>
    <w:rsid w:val="004D0B45"/>
    <w:rsid w:val="004D0C6B"/>
    <w:rsid w:val="004D112E"/>
    <w:rsid w:val="004D1FAC"/>
    <w:rsid w:val="004D2D26"/>
    <w:rsid w:val="004D30DF"/>
    <w:rsid w:val="004D35BE"/>
    <w:rsid w:val="004D435B"/>
    <w:rsid w:val="004D4363"/>
    <w:rsid w:val="004D44DE"/>
    <w:rsid w:val="004D48AF"/>
    <w:rsid w:val="004D5108"/>
    <w:rsid w:val="004D5161"/>
    <w:rsid w:val="004D6145"/>
    <w:rsid w:val="004D6AB2"/>
    <w:rsid w:val="004D7217"/>
    <w:rsid w:val="004D7361"/>
    <w:rsid w:val="004D7FB7"/>
    <w:rsid w:val="004E04A7"/>
    <w:rsid w:val="004E08C9"/>
    <w:rsid w:val="004E0F92"/>
    <w:rsid w:val="004E17DF"/>
    <w:rsid w:val="004E1C69"/>
    <w:rsid w:val="004E2118"/>
    <w:rsid w:val="004E3772"/>
    <w:rsid w:val="004E4ED7"/>
    <w:rsid w:val="004E597B"/>
    <w:rsid w:val="004E5CB2"/>
    <w:rsid w:val="004E5D24"/>
    <w:rsid w:val="004E64F2"/>
    <w:rsid w:val="004E73C4"/>
    <w:rsid w:val="004E74C8"/>
    <w:rsid w:val="004E74D1"/>
    <w:rsid w:val="004E7BDC"/>
    <w:rsid w:val="004E7D43"/>
    <w:rsid w:val="004F0171"/>
    <w:rsid w:val="004F1FAB"/>
    <w:rsid w:val="004F1FEA"/>
    <w:rsid w:val="004F4BDC"/>
    <w:rsid w:val="004F4EEF"/>
    <w:rsid w:val="004F5768"/>
    <w:rsid w:val="004F5F3C"/>
    <w:rsid w:val="004F7113"/>
    <w:rsid w:val="004F74FB"/>
    <w:rsid w:val="004F7693"/>
    <w:rsid w:val="00500CC3"/>
    <w:rsid w:val="005027BA"/>
    <w:rsid w:val="00502E60"/>
    <w:rsid w:val="0050411F"/>
    <w:rsid w:val="005044E4"/>
    <w:rsid w:val="005045CD"/>
    <w:rsid w:val="0050509B"/>
    <w:rsid w:val="005057DF"/>
    <w:rsid w:val="00505DF5"/>
    <w:rsid w:val="00505F34"/>
    <w:rsid w:val="00506067"/>
    <w:rsid w:val="00507BEC"/>
    <w:rsid w:val="0051032C"/>
    <w:rsid w:val="00510C78"/>
    <w:rsid w:val="00510FD1"/>
    <w:rsid w:val="005118F0"/>
    <w:rsid w:val="00513C8B"/>
    <w:rsid w:val="005164BB"/>
    <w:rsid w:val="005177A2"/>
    <w:rsid w:val="00517B78"/>
    <w:rsid w:val="00520AE1"/>
    <w:rsid w:val="00521177"/>
    <w:rsid w:val="00521B94"/>
    <w:rsid w:val="00523F7D"/>
    <w:rsid w:val="005240EF"/>
    <w:rsid w:val="00524345"/>
    <w:rsid w:val="00525041"/>
    <w:rsid w:val="00526130"/>
    <w:rsid w:val="005264A6"/>
    <w:rsid w:val="00526582"/>
    <w:rsid w:val="0052737A"/>
    <w:rsid w:val="00527479"/>
    <w:rsid w:val="00530897"/>
    <w:rsid w:val="00530A0F"/>
    <w:rsid w:val="00531132"/>
    <w:rsid w:val="00532F3B"/>
    <w:rsid w:val="0053329E"/>
    <w:rsid w:val="0053385F"/>
    <w:rsid w:val="00533CC1"/>
    <w:rsid w:val="00535433"/>
    <w:rsid w:val="005355CB"/>
    <w:rsid w:val="005356DD"/>
    <w:rsid w:val="00535AAA"/>
    <w:rsid w:val="00536156"/>
    <w:rsid w:val="0053616C"/>
    <w:rsid w:val="005369D2"/>
    <w:rsid w:val="00540C71"/>
    <w:rsid w:val="0054120D"/>
    <w:rsid w:val="00543038"/>
    <w:rsid w:val="005434F9"/>
    <w:rsid w:val="00543F45"/>
    <w:rsid w:val="0054445D"/>
    <w:rsid w:val="0054474B"/>
    <w:rsid w:val="00545BFA"/>
    <w:rsid w:val="005479EF"/>
    <w:rsid w:val="00547C40"/>
    <w:rsid w:val="00547EE5"/>
    <w:rsid w:val="00550208"/>
    <w:rsid w:val="0055098F"/>
    <w:rsid w:val="005512A6"/>
    <w:rsid w:val="00553899"/>
    <w:rsid w:val="00553957"/>
    <w:rsid w:val="00554228"/>
    <w:rsid w:val="0055424F"/>
    <w:rsid w:val="005549A2"/>
    <w:rsid w:val="00555A4E"/>
    <w:rsid w:val="00556945"/>
    <w:rsid w:val="00557F12"/>
    <w:rsid w:val="00560386"/>
    <w:rsid w:val="005609A0"/>
    <w:rsid w:val="0056189A"/>
    <w:rsid w:val="005634C4"/>
    <w:rsid w:val="00564E15"/>
    <w:rsid w:val="00565180"/>
    <w:rsid w:val="00565E0D"/>
    <w:rsid w:val="00565EDF"/>
    <w:rsid w:val="00565FFC"/>
    <w:rsid w:val="00566071"/>
    <w:rsid w:val="00566FCE"/>
    <w:rsid w:val="005675AB"/>
    <w:rsid w:val="00567AFF"/>
    <w:rsid w:val="00567C73"/>
    <w:rsid w:val="00567FFB"/>
    <w:rsid w:val="005711FB"/>
    <w:rsid w:val="0057145E"/>
    <w:rsid w:val="005730A9"/>
    <w:rsid w:val="005735EA"/>
    <w:rsid w:val="005737AF"/>
    <w:rsid w:val="00573D1A"/>
    <w:rsid w:val="00573D28"/>
    <w:rsid w:val="00573FF0"/>
    <w:rsid w:val="00574369"/>
    <w:rsid w:val="00574E0C"/>
    <w:rsid w:val="00574F6B"/>
    <w:rsid w:val="00575026"/>
    <w:rsid w:val="0057541E"/>
    <w:rsid w:val="00575CA6"/>
    <w:rsid w:val="00576B88"/>
    <w:rsid w:val="00576FB3"/>
    <w:rsid w:val="00577168"/>
    <w:rsid w:val="00580453"/>
    <w:rsid w:val="00582640"/>
    <w:rsid w:val="00583A69"/>
    <w:rsid w:val="005848C9"/>
    <w:rsid w:val="00585CB6"/>
    <w:rsid w:val="00585E3C"/>
    <w:rsid w:val="005868CA"/>
    <w:rsid w:val="00590BBE"/>
    <w:rsid w:val="00590BF9"/>
    <w:rsid w:val="00592128"/>
    <w:rsid w:val="005923A6"/>
    <w:rsid w:val="00592A9B"/>
    <w:rsid w:val="00593D77"/>
    <w:rsid w:val="00594399"/>
    <w:rsid w:val="005944B4"/>
    <w:rsid w:val="005946AF"/>
    <w:rsid w:val="005948E1"/>
    <w:rsid w:val="00594A97"/>
    <w:rsid w:val="00594FE2"/>
    <w:rsid w:val="00595ECF"/>
    <w:rsid w:val="00597375"/>
    <w:rsid w:val="00597DDD"/>
    <w:rsid w:val="005A004D"/>
    <w:rsid w:val="005A093C"/>
    <w:rsid w:val="005A0CDB"/>
    <w:rsid w:val="005A3083"/>
    <w:rsid w:val="005A32F5"/>
    <w:rsid w:val="005A3AFA"/>
    <w:rsid w:val="005A3FD0"/>
    <w:rsid w:val="005A5F3A"/>
    <w:rsid w:val="005A6F66"/>
    <w:rsid w:val="005A760E"/>
    <w:rsid w:val="005A7713"/>
    <w:rsid w:val="005A7B62"/>
    <w:rsid w:val="005A7FF3"/>
    <w:rsid w:val="005B0578"/>
    <w:rsid w:val="005B1978"/>
    <w:rsid w:val="005B3953"/>
    <w:rsid w:val="005B3D2A"/>
    <w:rsid w:val="005B4BF7"/>
    <w:rsid w:val="005B4D9F"/>
    <w:rsid w:val="005B509D"/>
    <w:rsid w:val="005B668A"/>
    <w:rsid w:val="005B70B3"/>
    <w:rsid w:val="005B72C2"/>
    <w:rsid w:val="005B7C2E"/>
    <w:rsid w:val="005C0431"/>
    <w:rsid w:val="005C15E9"/>
    <w:rsid w:val="005C3100"/>
    <w:rsid w:val="005C353E"/>
    <w:rsid w:val="005C3A7C"/>
    <w:rsid w:val="005C3B95"/>
    <w:rsid w:val="005C43A0"/>
    <w:rsid w:val="005C4E1E"/>
    <w:rsid w:val="005C4EE9"/>
    <w:rsid w:val="005C586B"/>
    <w:rsid w:val="005C6DB8"/>
    <w:rsid w:val="005C71E1"/>
    <w:rsid w:val="005D085A"/>
    <w:rsid w:val="005D1313"/>
    <w:rsid w:val="005D3DE8"/>
    <w:rsid w:val="005D4F52"/>
    <w:rsid w:val="005D5150"/>
    <w:rsid w:val="005D5929"/>
    <w:rsid w:val="005D623F"/>
    <w:rsid w:val="005D62EB"/>
    <w:rsid w:val="005D6504"/>
    <w:rsid w:val="005D6A56"/>
    <w:rsid w:val="005D765B"/>
    <w:rsid w:val="005D7AA3"/>
    <w:rsid w:val="005D7D12"/>
    <w:rsid w:val="005E0F91"/>
    <w:rsid w:val="005E2F3A"/>
    <w:rsid w:val="005E3AE9"/>
    <w:rsid w:val="005E5D4A"/>
    <w:rsid w:val="005E7B56"/>
    <w:rsid w:val="005E7D9B"/>
    <w:rsid w:val="005F53BA"/>
    <w:rsid w:val="005F5691"/>
    <w:rsid w:val="005F5BEA"/>
    <w:rsid w:val="005F5E38"/>
    <w:rsid w:val="005F5E51"/>
    <w:rsid w:val="005F5E96"/>
    <w:rsid w:val="005F5F59"/>
    <w:rsid w:val="005F693E"/>
    <w:rsid w:val="005F72B0"/>
    <w:rsid w:val="00601714"/>
    <w:rsid w:val="00601A75"/>
    <w:rsid w:val="0060239C"/>
    <w:rsid w:val="00603E26"/>
    <w:rsid w:val="00603FE9"/>
    <w:rsid w:val="00604535"/>
    <w:rsid w:val="00604844"/>
    <w:rsid w:val="00604863"/>
    <w:rsid w:val="00605228"/>
    <w:rsid w:val="006057FB"/>
    <w:rsid w:val="00607582"/>
    <w:rsid w:val="00610703"/>
    <w:rsid w:val="00610884"/>
    <w:rsid w:val="00610D46"/>
    <w:rsid w:val="00612385"/>
    <w:rsid w:val="00614CFC"/>
    <w:rsid w:val="00614F57"/>
    <w:rsid w:val="00616217"/>
    <w:rsid w:val="00617185"/>
    <w:rsid w:val="00617803"/>
    <w:rsid w:val="00617B4A"/>
    <w:rsid w:val="00620F91"/>
    <w:rsid w:val="00620FD9"/>
    <w:rsid w:val="0062134F"/>
    <w:rsid w:val="00622088"/>
    <w:rsid w:val="006221DD"/>
    <w:rsid w:val="0062268E"/>
    <w:rsid w:val="00624396"/>
    <w:rsid w:val="006252E8"/>
    <w:rsid w:val="006261A8"/>
    <w:rsid w:val="006266A8"/>
    <w:rsid w:val="006314C7"/>
    <w:rsid w:val="006318B4"/>
    <w:rsid w:val="00632054"/>
    <w:rsid w:val="00632511"/>
    <w:rsid w:val="00632DF3"/>
    <w:rsid w:val="0063529A"/>
    <w:rsid w:val="00637577"/>
    <w:rsid w:val="006404B2"/>
    <w:rsid w:val="006406CD"/>
    <w:rsid w:val="00641055"/>
    <w:rsid w:val="006422AB"/>
    <w:rsid w:val="00642A8B"/>
    <w:rsid w:val="006449B4"/>
    <w:rsid w:val="00646B50"/>
    <w:rsid w:val="00646B91"/>
    <w:rsid w:val="006470E7"/>
    <w:rsid w:val="0065041A"/>
    <w:rsid w:val="00650440"/>
    <w:rsid w:val="006504A5"/>
    <w:rsid w:val="0065111A"/>
    <w:rsid w:val="00651128"/>
    <w:rsid w:val="00652214"/>
    <w:rsid w:val="00653895"/>
    <w:rsid w:val="006548B9"/>
    <w:rsid w:val="00654BA3"/>
    <w:rsid w:val="00654FD4"/>
    <w:rsid w:val="006554DC"/>
    <w:rsid w:val="00655565"/>
    <w:rsid w:val="00655D10"/>
    <w:rsid w:val="0065725E"/>
    <w:rsid w:val="0066019E"/>
    <w:rsid w:val="00660214"/>
    <w:rsid w:val="00660521"/>
    <w:rsid w:val="006619B0"/>
    <w:rsid w:val="006631B0"/>
    <w:rsid w:val="00663678"/>
    <w:rsid w:val="00663E3E"/>
    <w:rsid w:val="00664C05"/>
    <w:rsid w:val="00665EA6"/>
    <w:rsid w:val="00666DC6"/>
    <w:rsid w:val="00667241"/>
    <w:rsid w:val="00667950"/>
    <w:rsid w:val="00670600"/>
    <w:rsid w:val="00671A96"/>
    <w:rsid w:val="00672E73"/>
    <w:rsid w:val="00674522"/>
    <w:rsid w:val="00674FE5"/>
    <w:rsid w:val="00676398"/>
    <w:rsid w:val="006764EF"/>
    <w:rsid w:val="006765E5"/>
    <w:rsid w:val="0067721C"/>
    <w:rsid w:val="006803B2"/>
    <w:rsid w:val="006804A7"/>
    <w:rsid w:val="00682F94"/>
    <w:rsid w:val="00683697"/>
    <w:rsid w:val="0068490B"/>
    <w:rsid w:val="00684E0A"/>
    <w:rsid w:val="00686230"/>
    <w:rsid w:val="00686E16"/>
    <w:rsid w:val="00687BB2"/>
    <w:rsid w:val="0069155B"/>
    <w:rsid w:val="0069252A"/>
    <w:rsid w:val="006928E0"/>
    <w:rsid w:val="00692999"/>
    <w:rsid w:val="006947F7"/>
    <w:rsid w:val="00694896"/>
    <w:rsid w:val="006957E6"/>
    <w:rsid w:val="00695D4C"/>
    <w:rsid w:val="006965D7"/>
    <w:rsid w:val="00696E11"/>
    <w:rsid w:val="00697938"/>
    <w:rsid w:val="00697A63"/>
    <w:rsid w:val="00697B15"/>
    <w:rsid w:val="006A1E2D"/>
    <w:rsid w:val="006A4AF8"/>
    <w:rsid w:val="006A52B6"/>
    <w:rsid w:val="006A5605"/>
    <w:rsid w:val="006A5C1E"/>
    <w:rsid w:val="006A718A"/>
    <w:rsid w:val="006B0F6D"/>
    <w:rsid w:val="006B10C1"/>
    <w:rsid w:val="006B21EE"/>
    <w:rsid w:val="006B2675"/>
    <w:rsid w:val="006B2D48"/>
    <w:rsid w:val="006B3DCE"/>
    <w:rsid w:val="006B5C77"/>
    <w:rsid w:val="006B6BF5"/>
    <w:rsid w:val="006B7023"/>
    <w:rsid w:val="006B7E61"/>
    <w:rsid w:val="006C164D"/>
    <w:rsid w:val="006C1CB1"/>
    <w:rsid w:val="006C2166"/>
    <w:rsid w:val="006C27A7"/>
    <w:rsid w:val="006C29B6"/>
    <w:rsid w:val="006C2FEC"/>
    <w:rsid w:val="006C4745"/>
    <w:rsid w:val="006C4D2E"/>
    <w:rsid w:val="006C56A2"/>
    <w:rsid w:val="006C6270"/>
    <w:rsid w:val="006C64F5"/>
    <w:rsid w:val="006C6792"/>
    <w:rsid w:val="006C74B5"/>
    <w:rsid w:val="006D0A7F"/>
    <w:rsid w:val="006D1A1A"/>
    <w:rsid w:val="006D1FE2"/>
    <w:rsid w:val="006D2690"/>
    <w:rsid w:val="006D27E2"/>
    <w:rsid w:val="006D38FB"/>
    <w:rsid w:val="006E0374"/>
    <w:rsid w:val="006E0D83"/>
    <w:rsid w:val="006E11EB"/>
    <w:rsid w:val="006E12F2"/>
    <w:rsid w:val="006E2509"/>
    <w:rsid w:val="006E430B"/>
    <w:rsid w:val="006E504D"/>
    <w:rsid w:val="006E54CC"/>
    <w:rsid w:val="006E55BA"/>
    <w:rsid w:val="006E66F0"/>
    <w:rsid w:val="006E6B8E"/>
    <w:rsid w:val="006E72E9"/>
    <w:rsid w:val="006E795E"/>
    <w:rsid w:val="006E7FFD"/>
    <w:rsid w:val="006F095B"/>
    <w:rsid w:val="006F0A22"/>
    <w:rsid w:val="006F14FE"/>
    <w:rsid w:val="006F20FD"/>
    <w:rsid w:val="006F3E53"/>
    <w:rsid w:val="006F4339"/>
    <w:rsid w:val="006F4D31"/>
    <w:rsid w:val="006F5590"/>
    <w:rsid w:val="006F569B"/>
    <w:rsid w:val="006F6513"/>
    <w:rsid w:val="006F6C7E"/>
    <w:rsid w:val="006F708C"/>
    <w:rsid w:val="006F7D32"/>
    <w:rsid w:val="00701518"/>
    <w:rsid w:val="0070256A"/>
    <w:rsid w:val="007025D9"/>
    <w:rsid w:val="00703EC5"/>
    <w:rsid w:val="00707139"/>
    <w:rsid w:val="007078FC"/>
    <w:rsid w:val="00710D87"/>
    <w:rsid w:val="00711204"/>
    <w:rsid w:val="007115D5"/>
    <w:rsid w:val="0071172A"/>
    <w:rsid w:val="007118D6"/>
    <w:rsid w:val="00711F75"/>
    <w:rsid w:val="0071294E"/>
    <w:rsid w:val="00712CE6"/>
    <w:rsid w:val="00712EBD"/>
    <w:rsid w:val="00713A47"/>
    <w:rsid w:val="00715AD4"/>
    <w:rsid w:val="00715B92"/>
    <w:rsid w:val="00715C72"/>
    <w:rsid w:val="00715CB4"/>
    <w:rsid w:val="00715E35"/>
    <w:rsid w:val="00716EE3"/>
    <w:rsid w:val="00717BEF"/>
    <w:rsid w:val="00717E37"/>
    <w:rsid w:val="00720222"/>
    <w:rsid w:val="0072030E"/>
    <w:rsid w:val="0072096E"/>
    <w:rsid w:val="00721107"/>
    <w:rsid w:val="00721330"/>
    <w:rsid w:val="00722619"/>
    <w:rsid w:val="007232F4"/>
    <w:rsid w:val="00723E36"/>
    <w:rsid w:val="00724654"/>
    <w:rsid w:val="007255F9"/>
    <w:rsid w:val="00725912"/>
    <w:rsid w:val="00725ABF"/>
    <w:rsid w:val="00726AEB"/>
    <w:rsid w:val="00727768"/>
    <w:rsid w:val="00727AB4"/>
    <w:rsid w:val="00732F68"/>
    <w:rsid w:val="00733A49"/>
    <w:rsid w:val="00733C96"/>
    <w:rsid w:val="00734ECE"/>
    <w:rsid w:val="007352C5"/>
    <w:rsid w:val="007359F9"/>
    <w:rsid w:val="0073760C"/>
    <w:rsid w:val="00737AF3"/>
    <w:rsid w:val="00737C44"/>
    <w:rsid w:val="00737DD4"/>
    <w:rsid w:val="007400DA"/>
    <w:rsid w:val="0074065A"/>
    <w:rsid w:val="00741764"/>
    <w:rsid w:val="00741BF4"/>
    <w:rsid w:val="007420E1"/>
    <w:rsid w:val="0074283E"/>
    <w:rsid w:val="00742A26"/>
    <w:rsid w:val="00743392"/>
    <w:rsid w:val="0074406E"/>
    <w:rsid w:val="0074440F"/>
    <w:rsid w:val="00744C95"/>
    <w:rsid w:val="00744D25"/>
    <w:rsid w:val="00745D41"/>
    <w:rsid w:val="00745E1E"/>
    <w:rsid w:val="007466F5"/>
    <w:rsid w:val="007468F1"/>
    <w:rsid w:val="00746D38"/>
    <w:rsid w:val="00746F32"/>
    <w:rsid w:val="00747196"/>
    <w:rsid w:val="00751124"/>
    <w:rsid w:val="00751BF0"/>
    <w:rsid w:val="00753BAB"/>
    <w:rsid w:val="00755822"/>
    <w:rsid w:val="00760E01"/>
    <w:rsid w:val="007611FC"/>
    <w:rsid w:val="00761FB4"/>
    <w:rsid w:val="00762160"/>
    <w:rsid w:val="0076291C"/>
    <w:rsid w:val="007640B6"/>
    <w:rsid w:val="00765003"/>
    <w:rsid w:val="00765005"/>
    <w:rsid w:val="00765019"/>
    <w:rsid w:val="0076535E"/>
    <w:rsid w:val="007654EC"/>
    <w:rsid w:val="00770616"/>
    <w:rsid w:val="00771185"/>
    <w:rsid w:val="007717C5"/>
    <w:rsid w:val="00771885"/>
    <w:rsid w:val="00771D14"/>
    <w:rsid w:val="0077223F"/>
    <w:rsid w:val="00772D64"/>
    <w:rsid w:val="00772F80"/>
    <w:rsid w:val="00773579"/>
    <w:rsid w:val="00776F0D"/>
    <w:rsid w:val="007774A4"/>
    <w:rsid w:val="007776A5"/>
    <w:rsid w:val="007778AF"/>
    <w:rsid w:val="007805F1"/>
    <w:rsid w:val="007819E6"/>
    <w:rsid w:val="00781A2E"/>
    <w:rsid w:val="0078292D"/>
    <w:rsid w:val="007845DC"/>
    <w:rsid w:val="007851E1"/>
    <w:rsid w:val="0078702E"/>
    <w:rsid w:val="007879F6"/>
    <w:rsid w:val="00787C9A"/>
    <w:rsid w:val="007908E4"/>
    <w:rsid w:val="00790BDA"/>
    <w:rsid w:val="007926A4"/>
    <w:rsid w:val="007926E3"/>
    <w:rsid w:val="00792A2E"/>
    <w:rsid w:val="0079331D"/>
    <w:rsid w:val="007933B3"/>
    <w:rsid w:val="00793A9C"/>
    <w:rsid w:val="00794809"/>
    <w:rsid w:val="00795264"/>
    <w:rsid w:val="00795308"/>
    <w:rsid w:val="007953AE"/>
    <w:rsid w:val="0079584A"/>
    <w:rsid w:val="007974D7"/>
    <w:rsid w:val="00797E24"/>
    <w:rsid w:val="00797E6B"/>
    <w:rsid w:val="007A01EA"/>
    <w:rsid w:val="007A0AC9"/>
    <w:rsid w:val="007A0E8C"/>
    <w:rsid w:val="007A1753"/>
    <w:rsid w:val="007A367D"/>
    <w:rsid w:val="007A40AB"/>
    <w:rsid w:val="007A4527"/>
    <w:rsid w:val="007A4C06"/>
    <w:rsid w:val="007A4D9C"/>
    <w:rsid w:val="007A4F3C"/>
    <w:rsid w:val="007A60D5"/>
    <w:rsid w:val="007A61EA"/>
    <w:rsid w:val="007A6DAC"/>
    <w:rsid w:val="007A79E7"/>
    <w:rsid w:val="007B11B7"/>
    <w:rsid w:val="007B16D0"/>
    <w:rsid w:val="007B1FC1"/>
    <w:rsid w:val="007B2432"/>
    <w:rsid w:val="007B2B4D"/>
    <w:rsid w:val="007B3115"/>
    <w:rsid w:val="007B61DC"/>
    <w:rsid w:val="007B644E"/>
    <w:rsid w:val="007B705C"/>
    <w:rsid w:val="007B7647"/>
    <w:rsid w:val="007B7873"/>
    <w:rsid w:val="007B78E0"/>
    <w:rsid w:val="007B7982"/>
    <w:rsid w:val="007C0182"/>
    <w:rsid w:val="007C01CE"/>
    <w:rsid w:val="007C2099"/>
    <w:rsid w:val="007C5C4C"/>
    <w:rsid w:val="007C5CD9"/>
    <w:rsid w:val="007C6342"/>
    <w:rsid w:val="007C7A9F"/>
    <w:rsid w:val="007D02C5"/>
    <w:rsid w:val="007D08DB"/>
    <w:rsid w:val="007D4A99"/>
    <w:rsid w:val="007D521D"/>
    <w:rsid w:val="007D530F"/>
    <w:rsid w:val="007D5C06"/>
    <w:rsid w:val="007D5D44"/>
    <w:rsid w:val="007D6492"/>
    <w:rsid w:val="007D6B54"/>
    <w:rsid w:val="007D70E7"/>
    <w:rsid w:val="007D7644"/>
    <w:rsid w:val="007D7A8A"/>
    <w:rsid w:val="007D7D50"/>
    <w:rsid w:val="007E04ED"/>
    <w:rsid w:val="007E079A"/>
    <w:rsid w:val="007E0D85"/>
    <w:rsid w:val="007E0DCF"/>
    <w:rsid w:val="007E0F85"/>
    <w:rsid w:val="007E10F6"/>
    <w:rsid w:val="007E11E8"/>
    <w:rsid w:val="007E195C"/>
    <w:rsid w:val="007E2777"/>
    <w:rsid w:val="007E3006"/>
    <w:rsid w:val="007E58BA"/>
    <w:rsid w:val="007E745D"/>
    <w:rsid w:val="007F0A96"/>
    <w:rsid w:val="007F11D7"/>
    <w:rsid w:val="007F2411"/>
    <w:rsid w:val="007F2C1F"/>
    <w:rsid w:val="007F5E07"/>
    <w:rsid w:val="007F619E"/>
    <w:rsid w:val="007F76CD"/>
    <w:rsid w:val="007F7D34"/>
    <w:rsid w:val="0080059A"/>
    <w:rsid w:val="008007EB"/>
    <w:rsid w:val="00801612"/>
    <w:rsid w:val="008017AD"/>
    <w:rsid w:val="00801B45"/>
    <w:rsid w:val="00801E25"/>
    <w:rsid w:val="00802A2E"/>
    <w:rsid w:val="00802AE8"/>
    <w:rsid w:val="00803871"/>
    <w:rsid w:val="008040EF"/>
    <w:rsid w:val="00805F4E"/>
    <w:rsid w:val="008064E1"/>
    <w:rsid w:val="00806B2C"/>
    <w:rsid w:val="00807EE5"/>
    <w:rsid w:val="0081063C"/>
    <w:rsid w:val="008113D2"/>
    <w:rsid w:val="008118C3"/>
    <w:rsid w:val="00812861"/>
    <w:rsid w:val="00812903"/>
    <w:rsid w:val="008133CC"/>
    <w:rsid w:val="00814675"/>
    <w:rsid w:val="008147DC"/>
    <w:rsid w:val="00814966"/>
    <w:rsid w:val="00814DDA"/>
    <w:rsid w:val="00816EB3"/>
    <w:rsid w:val="00817CB1"/>
    <w:rsid w:val="00820FCD"/>
    <w:rsid w:val="00822E99"/>
    <w:rsid w:val="00824529"/>
    <w:rsid w:val="00824A80"/>
    <w:rsid w:val="00824D12"/>
    <w:rsid w:val="00825580"/>
    <w:rsid w:val="00826506"/>
    <w:rsid w:val="008266F6"/>
    <w:rsid w:val="00827FF2"/>
    <w:rsid w:val="00830ED2"/>
    <w:rsid w:val="0083112C"/>
    <w:rsid w:val="00831143"/>
    <w:rsid w:val="00831957"/>
    <w:rsid w:val="00831C62"/>
    <w:rsid w:val="00832F6B"/>
    <w:rsid w:val="00833206"/>
    <w:rsid w:val="008341AE"/>
    <w:rsid w:val="00834AA1"/>
    <w:rsid w:val="0083558C"/>
    <w:rsid w:val="00837A12"/>
    <w:rsid w:val="008400DE"/>
    <w:rsid w:val="00840B9F"/>
    <w:rsid w:val="00840DAC"/>
    <w:rsid w:val="008411D7"/>
    <w:rsid w:val="008412E8"/>
    <w:rsid w:val="00841FFD"/>
    <w:rsid w:val="008425BD"/>
    <w:rsid w:val="00842DF7"/>
    <w:rsid w:val="00843235"/>
    <w:rsid w:val="0084348E"/>
    <w:rsid w:val="00843997"/>
    <w:rsid w:val="008450A7"/>
    <w:rsid w:val="00845BC3"/>
    <w:rsid w:val="00845FEB"/>
    <w:rsid w:val="00846287"/>
    <w:rsid w:val="008475C8"/>
    <w:rsid w:val="00850816"/>
    <w:rsid w:val="008522A0"/>
    <w:rsid w:val="00852383"/>
    <w:rsid w:val="00853A1E"/>
    <w:rsid w:val="00855E26"/>
    <w:rsid w:val="0085649A"/>
    <w:rsid w:val="00856EC6"/>
    <w:rsid w:val="0085767E"/>
    <w:rsid w:val="00857CFA"/>
    <w:rsid w:val="00857E88"/>
    <w:rsid w:val="008614C9"/>
    <w:rsid w:val="008624DC"/>
    <w:rsid w:val="008626D8"/>
    <w:rsid w:val="0086379B"/>
    <w:rsid w:val="00863B53"/>
    <w:rsid w:val="00863DC0"/>
    <w:rsid w:val="00866B8F"/>
    <w:rsid w:val="00867A69"/>
    <w:rsid w:val="008705F2"/>
    <w:rsid w:val="00871B3D"/>
    <w:rsid w:val="00873713"/>
    <w:rsid w:val="00874396"/>
    <w:rsid w:val="00875418"/>
    <w:rsid w:val="0087686A"/>
    <w:rsid w:val="0087716F"/>
    <w:rsid w:val="00877C5E"/>
    <w:rsid w:val="00877DA1"/>
    <w:rsid w:val="00880208"/>
    <w:rsid w:val="00880212"/>
    <w:rsid w:val="00880B7B"/>
    <w:rsid w:val="008811E2"/>
    <w:rsid w:val="008816D7"/>
    <w:rsid w:val="00881958"/>
    <w:rsid w:val="008835AA"/>
    <w:rsid w:val="00884DF7"/>
    <w:rsid w:val="008855BE"/>
    <w:rsid w:val="00885CB6"/>
    <w:rsid w:val="00885E0A"/>
    <w:rsid w:val="00886450"/>
    <w:rsid w:val="00890875"/>
    <w:rsid w:val="008909AF"/>
    <w:rsid w:val="00890E28"/>
    <w:rsid w:val="0089294D"/>
    <w:rsid w:val="00893501"/>
    <w:rsid w:val="008936F1"/>
    <w:rsid w:val="00893B71"/>
    <w:rsid w:val="00894761"/>
    <w:rsid w:val="008956EF"/>
    <w:rsid w:val="008963D1"/>
    <w:rsid w:val="00897452"/>
    <w:rsid w:val="00897A33"/>
    <w:rsid w:val="008A06EC"/>
    <w:rsid w:val="008A1A09"/>
    <w:rsid w:val="008A55F9"/>
    <w:rsid w:val="008A5DB2"/>
    <w:rsid w:val="008A6050"/>
    <w:rsid w:val="008A6105"/>
    <w:rsid w:val="008A6BFF"/>
    <w:rsid w:val="008A7845"/>
    <w:rsid w:val="008A7897"/>
    <w:rsid w:val="008A7FEB"/>
    <w:rsid w:val="008B01CD"/>
    <w:rsid w:val="008B031F"/>
    <w:rsid w:val="008B0B45"/>
    <w:rsid w:val="008B0BA7"/>
    <w:rsid w:val="008B10B4"/>
    <w:rsid w:val="008B1801"/>
    <w:rsid w:val="008B1C7C"/>
    <w:rsid w:val="008B2146"/>
    <w:rsid w:val="008B342D"/>
    <w:rsid w:val="008B381F"/>
    <w:rsid w:val="008B4557"/>
    <w:rsid w:val="008B5367"/>
    <w:rsid w:val="008B5EF7"/>
    <w:rsid w:val="008B6356"/>
    <w:rsid w:val="008B746B"/>
    <w:rsid w:val="008B7C6A"/>
    <w:rsid w:val="008C090A"/>
    <w:rsid w:val="008C0CFE"/>
    <w:rsid w:val="008C1045"/>
    <w:rsid w:val="008C2491"/>
    <w:rsid w:val="008C2F5C"/>
    <w:rsid w:val="008C47FD"/>
    <w:rsid w:val="008C54AD"/>
    <w:rsid w:val="008C6A0F"/>
    <w:rsid w:val="008C7204"/>
    <w:rsid w:val="008C7919"/>
    <w:rsid w:val="008D04E0"/>
    <w:rsid w:val="008D141A"/>
    <w:rsid w:val="008D24C6"/>
    <w:rsid w:val="008D3C3A"/>
    <w:rsid w:val="008D44A3"/>
    <w:rsid w:val="008D4D1A"/>
    <w:rsid w:val="008D600C"/>
    <w:rsid w:val="008D6587"/>
    <w:rsid w:val="008D6597"/>
    <w:rsid w:val="008D76A4"/>
    <w:rsid w:val="008D76CB"/>
    <w:rsid w:val="008E13F7"/>
    <w:rsid w:val="008E1558"/>
    <w:rsid w:val="008E1AF7"/>
    <w:rsid w:val="008E1F0A"/>
    <w:rsid w:val="008E2960"/>
    <w:rsid w:val="008E2AD6"/>
    <w:rsid w:val="008E333D"/>
    <w:rsid w:val="008E3AFD"/>
    <w:rsid w:val="008E42D0"/>
    <w:rsid w:val="008E441E"/>
    <w:rsid w:val="008E749B"/>
    <w:rsid w:val="008E7B0E"/>
    <w:rsid w:val="008E7CB2"/>
    <w:rsid w:val="008E7E81"/>
    <w:rsid w:val="008F0E74"/>
    <w:rsid w:val="008F2A74"/>
    <w:rsid w:val="008F3051"/>
    <w:rsid w:val="008F3321"/>
    <w:rsid w:val="008F4822"/>
    <w:rsid w:val="008F50DD"/>
    <w:rsid w:val="008F6EC9"/>
    <w:rsid w:val="008F6F7A"/>
    <w:rsid w:val="008F7DF0"/>
    <w:rsid w:val="009026C9"/>
    <w:rsid w:val="009037B3"/>
    <w:rsid w:val="00903966"/>
    <w:rsid w:val="00903D2E"/>
    <w:rsid w:val="00903F00"/>
    <w:rsid w:val="009053CF"/>
    <w:rsid w:val="00905D4A"/>
    <w:rsid w:val="00905E10"/>
    <w:rsid w:val="00905E5C"/>
    <w:rsid w:val="0090606A"/>
    <w:rsid w:val="009071E4"/>
    <w:rsid w:val="00907C52"/>
    <w:rsid w:val="00911429"/>
    <w:rsid w:val="00912E8E"/>
    <w:rsid w:val="00913560"/>
    <w:rsid w:val="009140C5"/>
    <w:rsid w:val="0091451F"/>
    <w:rsid w:val="009157A8"/>
    <w:rsid w:val="009158FB"/>
    <w:rsid w:val="0091591E"/>
    <w:rsid w:val="00915E4A"/>
    <w:rsid w:val="0091625B"/>
    <w:rsid w:val="0091677B"/>
    <w:rsid w:val="009173D5"/>
    <w:rsid w:val="00917DD8"/>
    <w:rsid w:val="00920162"/>
    <w:rsid w:val="00920DE0"/>
    <w:rsid w:val="00921243"/>
    <w:rsid w:val="0092210B"/>
    <w:rsid w:val="0092267D"/>
    <w:rsid w:val="00922A59"/>
    <w:rsid w:val="00922D00"/>
    <w:rsid w:val="009246F6"/>
    <w:rsid w:val="00925A34"/>
    <w:rsid w:val="00925E04"/>
    <w:rsid w:val="00926EA5"/>
    <w:rsid w:val="0092701F"/>
    <w:rsid w:val="00927CAF"/>
    <w:rsid w:val="00930FE7"/>
    <w:rsid w:val="00931A1C"/>
    <w:rsid w:val="00931DB8"/>
    <w:rsid w:val="00932C9F"/>
    <w:rsid w:val="00932CE3"/>
    <w:rsid w:val="00934C72"/>
    <w:rsid w:val="009352D0"/>
    <w:rsid w:val="0093576F"/>
    <w:rsid w:val="009358C5"/>
    <w:rsid w:val="009407CE"/>
    <w:rsid w:val="00940DA4"/>
    <w:rsid w:val="00941D00"/>
    <w:rsid w:val="009427BE"/>
    <w:rsid w:val="00943B59"/>
    <w:rsid w:val="009458AF"/>
    <w:rsid w:val="00946AEC"/>
    <w:rsid w:val="00947B5A"/>
    <w:rsid w:val="0095173F"/>
    <w:rsid w:val="009527AF"/>
    <w:rsid w:val="0095414F"/>
    <w:rsid w:val="0095463A"/>
    <w:rsid w:val="00954659"/>
    <w:rsid w:val="009557EF"/>
    <w:rsid w:val="009565A7"/>
    <w:rsid w:val="009567B8"/>
    <w:rsid w:val="00956894"/>
    <w:rsid w:val="009569EB"/>
    <w:rsid w:val="00956AE7"/>
    <w:rsid w:val="00956C3E"/>
    <w:rsid w:val="00956E17"/>
    <w:rsid w:val="00960A67"/>
    <w:rsid w:val="00961717"/>
    <w:rsid w:val="00961BE8"/>
    <w:rsid w:val="009624EE"/>
    <w:rsid w:val="00962C4A"/>
    <w:rsid w:val="0096372C"/>
    <w:rsid w:val="00963F58"/>
    <w:rsid w:val="009643FF"/>
    <w:rsid w:val="00964692"/>
    <w:rsid w:val="00964EA8"/>
    <w:rsid w:val="00965971"/>
    <w:rsid w:val="0096603F"/>
    <w:rsid w:val="009664BA"/>
    <w:rsid w:val="00966717"/>
    <w:rsid w:val="00967A9E"/>
    <w:rsid w:val="00970171"/>
    <w:rsid w:val="00970250"/>
    <w:rsid w:val="00971260"/>
    <w:rsid w:val="009717C9"/>
    <w:rsid w:val="00971839"/>
    <w:rsid w:val="00972CD1"/>
    <w:rsid w:val="00972DBB"/>
    <w:rsid w:val="00972FCB"/>
    <w:rsid w:val="0097423A"/>
    <w:rsid w:val="00974BA9"/>
    <w:rsid w:val="00980DDB"/>
    <w:rsid w:val="00983962"/>
    <w:rsid w:val="00983A77"/>
    <w:rsid w:val="00984055"/>
    <w:rsid w:val="0098436C"/>
    <w:rsid w:val="00984523"/>
    <w:rsid w:val="009861F5"/>
    <w:rsid w:val="009918D5"/>
    <w:rsid w:val="00991D9B"/>
    <w:rsid w:val="009920DE"/>
    <w:rsid w:val="00992E8C"/>
    <w:rsid w:val="00993079"/>
    <w:rsid w:val="00993192"/>
    <w:rsid w:val="009935D4"/>
    <w:rsid w:val="00994C2E"/>
    <w:rsid w:val="009958E0"/>
    <w:rsid w:val="0099667A"/>
    <w:rsid w:val="0099712F"/>
    <w:rsid w:val="009A0445"/>
    <w:rsid w:val="009A07EE"/>
    <w:rsid w:val="009A09CA"/>
    <w:rsid w:val="009A0B84"/>
    <w:rsid w:val="009A0F93"/>
    <w:rsid w:val="009A1508"/>
    <w:rsid w:val="009A173D"/>
    <w:rsid w:val="009A22DA"/>
    <w:rsid w:val="009A2471"/>
    <w:rsid w:val="009A4090"/>
    <w:rsid w:val="009A47C8"/>
    <w:rsid w:val="009A54E5"/>
    <w:rsid w:val="009A6762"/>
    <w:rsid w:val="009A72E3"/>
    <w:rsid w:val="009A7EEF"/>
    <w:rsid w:val="009B07F2"/>
    <w:rsid w:val="009B0D5D"/>
    <w:rsid w:val="009B1021"/>
    <w:rsid w:val="009B12CC"/>
    <w:rsid w:val="009B1358"/>
    <w:rsid w:val="009B18BB"/>
    <w:rsid w:val="009B23B0"/>
    <w:rsid w:val="009B2907"/>
    <w:rsid w:val="009B32E7"/>
    <w:rsid w:val="009B3A74"/>
    <w:rsid w:val="009B4CB8"/>
    <w:rsid w:val="009B680D"/>
    <w:rsid w:val="009B7B67"/>
    <w:rsid w:val="009C0668"/>
    <w:rsid w:val="009C0720"/>
    <w:rsid w:val="009C0A42"/>
    <w:rsid w:val="009C1324"/>
    <w:rsid w:val="009C35DD"/>
    <w:rsid w:val="009C3AA9"/>
    <w:rsid w:val="009C45CD"/>
    <w:rsid w:val="009C57D6"/>
    <w:rsid w:val="009C67A5"/>
    <w:rsid w:val="009C6CC8"/>
    <w:rsid w:val="009C7A80"/>
    <w:rsid w:val="009C7C9E"/>
    <w:rsid w:val="009D055F"/>
    <w:rsid w:val="009D30BE"/>
    <w:rsid w:val="009D346E"/>
    <w:rsid w:val="009D3E52"/>
    <w:rsid w:val="009D3F7B"/>
    <w:rsid w:val="009D3FD8"/>
    <w:rsid w:val="009D4A49"/>
    <w:rsid w:val="009D5E1A"/>
    <w:rsid w:val="009D5F4D"/>
    <w:rsid w:val="009D6B16"/>
    <w:rsid w:val="009D7E4D"/>
    <w:rsid w:val="009D7F85"/>
    <w:rsid w:val="009E0553"/>
    <w:rsid w:val="009E0AB0"/>
    <w:rsid w:val="009E2BA7"/>
    <w:rsid w:val="009E326A"/>
    <w:rsid w:val="009E366A"/>
    <w:rsid w:val="009E3AC6"/>
    <w:rsid w:val="009E3CF7"/>
    <w:rsid w:val="009E3FB0"/>
    <w:rsid w:val="009E443E"/>
    <w:rsid w:val="009E5715"/>
    <w:rsid w:val="009E6214"/>
    <w:rsid w:val="009E6A31"/>
    <w:rsid w:val="009E6EC4"/>
    <w:rsid w:val="009E785F"/>
    <w:rsid w:val="009E7EC8"/>
    <w:rsid w:val="009E7EEB"/>
    <w:rsid w:val="009F0C88"/>
    <w:rsid w:val="009F11D2"/>
    <w:rsid w:val="009F1994"/>
    <w:rsid w:val="009F19A8"/>
    <w:rsid w:val="009F3782"/>
    <w:rsid w:val="009F3FA5"/>
    <w:rsid w:val="009F4820"/>
    <w:rsid w:val="009F483C"/>
    <w:rsid w:val="009F5DE4"/>
    <w:rsid w:val="009F6927"/>
    <w:rsid w:val="009F6A5F"/>
    <w:rsid w:val="009F6D3E"/>
    <w:rsid w:val="009F6DED"/>
    <w:rsid w:val="00A02333"/>
    <w:rsid w:val="00A02976"/>
    <w:rsid w:val="00A02FAD"/>
    <w:rsid w:val="00A03922"/>
    <w:rsid w:val="00A0508C"/>
    <w:rsid w:val="00A054CF"/>
    <w:rsid w:val="00A06EDD"/>
    <w:rsid w:val="00A107DF"/>
    <w:rsid w:val="00A10F2F"/>
    <w:rsid w:val="00A11BBD"/>
    <w:rsid w:val="00A11DFC"/>
    <w:rsid w:val="00A11F74"/>
    <w:rsid w:val="00A136A8"/>
    <w:rsid w:val="00A15B34"/>
    <w:rsid w:val="00A166FB"/>
    <w:rsid w:val="00A16F2A"/>
    <w:rsid w:val="00A17B62"/>
    <w:rsid w:val="00A20227"/>
    <w:rsid w:val="00A203EB"/>
    <w:rsid w:val="00A20E39"/>
    <w:rsid w:val="00A21583"/>
    <w:rsid w:val="00A21775"/>
    <w:rsid w:val="00A24635"/>
    <w:rsid w:val="00A2510D"/>
    <w:rsid w:val="00A26107"/>
    <w:rsid w:val="00A30ED3"/>
    <w:rsid w:val="00A32072"/>
    <w:rsid w:val="00A32EE6"/>
    <w:rsid w:val="00A3385F"/>
    <w:rsid w:val="00A35CDB"/>
    <w:rsid w:val="00A3610D"/>
    <w:rsid w:val="00A3648B"/>
    <w:rsid w:val="00A365C4"/>
    <w:rsid w:val="00A3712E"/>
    <w:rsid w:val="00A41FEC"/>
    <w:rsid w:val="00A44469"/>
    <w:rsid w:val="00A44ADE"/>
    <w:rsid w:val="00A50EF0"/>
    <w:rsid w:val="00A517E3"/>
    <w:rsid w:val="00A5210E"/>
    <w:rsid w:val="00A52663"/>
    <w:rsid w:val="00A52F24"/>
    <w:rsid w:val="00A532E6"/>
    <w:rsid w:val="00A55E86"/>
    <w:rsid w:val="00A56074"/>
    <w:rsid w:val="00A572A6"/>
    <w:rsid w:val="00A577FA"/>
    <w:rsid w:val="00A57D79"/>
    <w:rsid w:val="00A612D4"/>
    <w:rsid w:val="00A62417"/>
    <w:rsid w:val="00A627C0"/>
    <w:rsid w:val="00A62A73"/>
    <w:rsid w:val="00A62A91"/>
    <w:rsid w:val="00A655D9"/>
    <w:rsid w:val="00A66276"/>
    <w:rsid w:val="00A67055"/>
    <w:rsid w:val="00A67E9C"/>
    <w:rsid w:val="00A70BB7"/>
    <w:rsid w:val="00A7125C"/>
    <w:rsid w:val="00A71BD3"/>
    <w:rsid w:val="00A71F3B"/>
    <w:rsid w:val="00A72127"/>
    <w:rsid w:val="00A73782"/>
    <w:rsid w:val="00A7388A"/>
    <w:rsid w:val="00A73CD2"/>
    <w:rsid w:val="00A74DBE"/>
    <w:rsid w:val="00A74F6C"/>
    <w:rsid w:val="00A76CCC"/>
    <w:rsid w:val="00A77E5B"/>
    <w:rsid w:val="00A81028"/>
    <w:rsid w:val="00A816A0"/>
    <w:rsid w:val="00A828AF"/>
    <w:rsid w:val="00A82EF5"/>
    <w:rsid w:val="00A8369E"/>
    <w:rsid w:val="00A849B3"/>
    <w:rsid w:val="00A85806"/>
    <w:rsid w:val="00A85885"/>
    <w:rsid w:val="00A863E3"/>
    <w:rsid w:val="00A874F4"/>
    <w:rsid w:val="00A8798D"/>
    <w:rsid w:val="00A90080"/>
    <w:rsid w:val="00A9009D"/>
    <w:rsid w:val="00A9074D"/>
    <w:rsid w:val="00A90BF7"/>
    <w:rsid w:val="00A912A8"/>
    <w:rsid w:val="00A91B41"/>
    <w:rsid w:val="00A92071"/>
    <w:rsid w:val="00A92B62"/>
    <w:rsid w:val="00A939A1"/>
    <w:rsid w:val="00A945F6"/>
    <w:rsid w:val="00A956FB"/>
    <w:rsid w:val="00A95792"/>
    <w:rsid w:val="00A95966"/>
    <w:rsid w:val="00A95976"/>
    <w:rsid w:val="00A9664D"/>
    <w:rsid w:val="00A96AF4"/>
    <w:rsid w:val="00A976BC"/>
    <w:rsid w:val="00AA0C96"/>
    <w:rsid w:val="00AA0F30"/>
    <w:rsid w:val="00AA40E5"/>
    <w:rsid w:val="00AA445D"/>
    <w:rsid w:val="00AA486E"/>
    <w:rsid w:val="00AA5394"/>
    <w:rsid w:val="00AA57A8"/>
    <w:rsid w:val="00AA6C72"/>
    <w:rsid w:val="00AA7205"/>
    <w:rsid w:val="00AA7267"/>
    <w:rsid w:val="00AA7FDF"/>
    <w:rsid w:val="00AB00C1"/>
    <w:rsid w:val="00AB04B6"/>
    <w:rsid w:val="00AB0C3D"/>
    <w:rsid w:val="00AB10E8"/>
    <w:rsid w:val="00AB13F3"/>
    <w:rsid w:val="00AB1B3F"/>
    <w:rsid w:val="00AB24A8"/>
    <w:rsid w:val="00AB26AE"/>
    <w:rsid w:val="00AB310B"/>
    <w:rsid w:val="00AB3110"/>
    <w:rsid w:val="00AB3835"/>
    <w:rsid w:val="00AB4D6B"/>
    <w:rsid w:val="00AB4E8C"/>
    <w:rsid w:val="00AB51AF"/>
    <w:rsid w:val="00AB55D8"/>
    <w:rsid w:val="00AB5688"/>
    <w:rsid w:val="00AB69A1"/>
    <w:rsid w:val="00AB6AAA"/>
    <w:rsid w:val="00AB6F79"/>
    <w:rsid w:val="00AC018F"/>
    <w:rsid w:val="00AC1161"/>
    <w:rsid w:val="00AC1CA3"/>
    <w:rsid w:val="00AC1EEF"/>
    <w:rsid w:val="00AC2302"/>
    <w:rsid w:val="00AC2C4A"/>
    <w:rsid w:val="00AC2DB5"/>
    <w:rsid w:val="00AC3CDE"/>
    <w:rsid w:val="00AC40BA"/>
    <w:rsid w:val="00AC4C07"/>
    <w:rsid w:val="00AC4E25"/>
    <w:rsid w:val="00AC5297"/>
    <w:rsid w:val="00AC5639"/>
    <w:rsid w:val="00AC6012"/>
    <w:rsid w:val="00AC64F3"/>
    <w:rsid w:val="00AC65B6"/>
    <w:rsid w:val="00AC7044"/>
    <w:rsid w:val="00AC7E30"/>
    <w:rsid w:val="00AC7F34"/>
    <w:rsid w:val="00AD12DD"/>
    <w:rsid w:val="00AD2347"/>
    <w:rsid w:val="00AD273D"/>
    <w:rsid w:val="00AD329C"/>
    <w:rsid w:val="00AD4E1D"/>
    <w:rsid w:val="00AD670F"/>
    <w:rsid w:val="00AD7AB8"/>
    <w:rsid w:val="00AE0840"/>
    <w:rsid w:val="00AE0B5D"/>
    <w:rsid w:val="00AE0C1C"/>
    <w:rsid w:val="00AE25D0"/>
    <w:rsid w:val="00AE25F6"/>
    <w:rsid w:val="00AE2948"/>
    <w:rsid w:val="00AE313F"/>
    <w:rsid w:val="00AE3925"/>
    <w:rsid w:val="00AE3969"/>
    <w:rsid w:val="00AE3FF3"/>
    <w:rsid w:val="00AE4565"/>
    <w:rsid w:val="00AE48F7"/>
    <w:rsid w:val="00AE4F87"/>
    <w:rsid w:val="00AE5036"/>
    <w:rsid w:val="00AE5A66"/>
    <w:rsid w:val="00AE5BA9"/>
    <w:rsid w:val="00AE6589"/>
    <w:rsid w:val="00AE6723"/>
    <w:rsid w:val="00AE69A8"/>
    <w:rsid w:val="00AE6A85"/>
    <w:rsid w:val="00AE7760"/>
    <w:rsid w:val="00AE7F10"/>
    <w:rsid w:val="00AF24E1"/>
    <w:rsid w:val="00AF476B"/>
    <w:rsid w:val="00AF4D1A"/>
    <w:rsid w:val="00AF4F72"/>
    <w:rsid w:val="00AF51D4"/>
    <w:rsid w:val="00AF566C"/>
    <w:rsid w:val="00AF5829"/>
    <w:rsid w:val="00AF5AE9"/>
    <w:rsid w:val="00AF6A78"/>
    <w:rsid w:val="00AF7898"/>
    <w:rsid w:val="00B0025E"/>
    <w:rsid w:val="00B00646"/>
    <w:rsid w:val="00B00EDD"/>
    <w:rsid w:val="00B024BA"/>
    <w:rsid w:val="00B02BCC"/>
    <w:rsid w:val="00B0349D"/>
    <w:rsid w:val="00B0368F"/>
    <w:rsid w:val="00B037F5"/>
    <w:rsid w:val="00B03F87"/>
    <w:rsid w:val="00B03FD7"/>
    <w:rsid w:val="00B0409B"/>
    <w:rsid w:val="00B053E2"/>
    <w:rsid w:val="00B06D09"/>
    <w:rsid w:val="00B07E9D"/>
    <w:rsid w:val="00B103A8"/>
    <w:rsid w:val="00B11372"/>
    <w:rsid w:val="00B11791"/>
    <w:rsid w:val="00B11CFA"/>
    <w:rsid w:val="00B13A6D"/>
    <w:rsid w:val="00B13B2F"/>
    <w:rsid w:val="00B1482E"/>
    <w:rsid w:val="00B1526A"/>
    <w:rsid w:val="00B15EBC"/>
    <w:rsid w:val="00B172FF"/>
    <w:rsid w:val="00B21A33"/>
    <w:rsid w:val="00B21E50"/>
    <w:rsid w:val="00B21FCA"/>
    <w:rsid w:val="00B22CD4"/>
    <w:rsid w:val="00B235C5"/>
    <w:rsid w:val="00B249AB"/>
    <w:rsid w:val="00B26486"/>
    <w:rsid w:val="00B2662F"/>
    <w:rsid w:val="00B27E02"/>
    <w:rsid w:val="00B305E9"/>
    <w:rsid w:val="00B3119B"/>
    <w:rsid w:val="00B32E69"/>
    <w:rsid w:val="00B3306A"/>
    <w:rsid w:val="00B34419"/>
    <w:rsid w:val="00B34E08"/>
    <w:rsid w:val="00B40AC8"/>
    <w:rsid w:val="00B44572"/>
    <w:rsid w:val="00B44AAC"/>
    <w:rsid w:val="00B452E4"/>
    <w:rsid w:val="00B467BE"/>
    <w:rsid w:val="00B4689B"/>
    <w:rsid w:val="00B47510"/>
    <w:rsid w:val="00B4776F"/>
    <w:rsid w:val="00B47B19"/>
    <w:rsid w:val="00B50F10"/>
    <w:rsid w:val="00B5124B"/>
    <w:rsid w:val="00B51893"/>
    <w:rsid w:val="00B522C1"/>
    <w:rsid w:val="00B526B0"/>
    <w:rsid w:val="00B5271E"/>
    <w:rsid w:val="00B53A5F"/>
    <w:rsid w:val="00B54C69"/>
    <w:rsid w:val="00B5560E"/>
    <w:rsid w:val="00B60102"/>
    <w:rsid w:val="00B61041"/>
    <w:rsid w:val="00B61B08"/>
    <w:rsid w:val="00B621B9"/>
    <w:rsid w:val="00B62A20"/>
    <w:rsid w:val="00B6351A"/>
    <w:rsid w:val="00B643FB"/>
    <w:rsid w:val="00B65B98"/>
    <w:rsid w:val="00B66A1D"/>
    <w:rsid w:val="00B70D63"/>
    <w:rsid w:val="00B7131D"/>
    <w:rsid w:val="00B71F22"/>
    <w:rsid w:val="00B72901"/>
    <w:rsid w:val="00B72A5E"/>
    <w:rsid w:val="00B731EB"/>
    <w:rsid w:val="00B73A52"/>
    <w:rsid w:val="00B7417D"/>
    <w:rsid w:val="00B7432A"/>
    <w:rsid w:val="00B74331"/>
    <w:rsid w:val="00B74C1A"/>
    <w:rsid w:val="00B75E74"/>
    <w:rsid w:val="00B7735F"/>
    <w:rsid w:val="00B7749B"/>
    <w:rsid w:val="00B80400"/>
    <w:rsid w:val="00B8053B"/>
    <w:rsid w:val="00B80CA8"/>
    <w:rsid w:val="00B82A05"/>
    <w:rsid w:val="00B83479"/>
    <w:rsid w:val="00B87C76"/>
    <w:rsid w:val="00B87C7A"/>
    <w:rsid w:val="00B90569"/>
    <w:rsid w:val="00B90948"/>
    <w:rsid w:val="00B90E1E"/>
    <w:rsid w:val="00B9180D"/>
    <w:rsid w:val="00B91C21"/>
    <w:rsid w:val="00B92772"/>
    <w:rsid w:val="00B93746"/>
    <w:rsid w:val="00B945B9"/>
    <w:rsid w:val="00B947C3"/>
    <w:rsid w:val="00B9494D"/>
    <w:rsid w:val="00B95079"/>
    <w:rsid w:val="00B96730"/>
    <w:rsid w:val="00B9699B"/>
    <w:rsid w:val="00B9779F"/>
    <w:rsid w:val="00B97CEA"/>
    <w:rsid w:val="00BA0989"/>
    <w:rsid w:val="00BA1611"/>
    <w:rsid w:val="00BA265A"/>
    <w:rsid w:val="00BA28A4"/>
    <w:rsid w:val="00BA2A4E"/>
    <w:rsid w:val="00BA3524"/>
    <w:rsid w:val="00BA3DF0"/>
    <w:rsid w:val="00BA3EDF"/>
    <w:rsid w:val="00BA4944"/>
    <w:rsid w:val="00BA4F30"/>
    <w:rsid w:val="00BA4F5C"/>
    <w:rsid w:val="00BA54E0"/>
    <w:rsid w:val="00BA61A6"/>
    <w:rsid w:val="00BA6981"/>
    <w:rsid w:val="00BA79F5"/>
    <w:rsid w:val="00BA7BD7"/>
    <w:rsid w:val="00BB00EC"/>
    <w:rsid w:val="00BB0F02"/>
    <w:rsid w:val="00BB1842"/>
    <w:rsid w:val="00BB1C7A"/>
    <w:rsid w:val="00BB36FE"/>
    <w:rsid w:val="00BB5487"/>
    <w:rsid w:val="00BB5C3D"/>
    <w:rsid w:val="00BB6886"/>
    <w:rsid w:val="00BC0F9F"/>
    <w:rsid w:val="00BC1284"/>
    <w:rsid w:val="00BC1339"/>
    <w:rsid w:val="00BC1E7B"/>
    <w:rsid w:val="00BC215A"/>
    <w:rsid w:val="00BC2EBB"/>
    <w:rsid w:val="00BC452D"/>
    <w:rsid w:val="00BC4655"/>
    <w:rsid w:val="00BC4957"/>
    <w:rsid w:val="00BC4F55"/>
    <w:rsid w:val="00BC5780"/>
    <w:rsid w:val="00BC7B78"/>
    <w:rsid w:val="00BD016B"/>
    <w:rsid w:val="00BD1B45"/>
    <w:rsid w:val="00BD3E61"/>
    <w:rsid w:val="00BD4158"/>
    <w:rsid w:val="00BD4660"/>
    <w:rsid w:val="00BD4731"/>
    <w:rsid w:val="00BD487C"/>
    <w:rsid w:val="00BD4E26"/>
    <w:rsid w:val="00BD5E76"/>
    <w:rsid w:val="00BD6C9E"/>
    <w:rsid w:val="00BE03A1"/>
    <w:rsid w:val="00BE14DE"/>
    <w:rsid w:val="00BE2002"/>
    <w:rsid w:val="00BE2C97"/>
    <w:rsid w:val="00BE364F"/>
    <w:rsid w:val="00BE492D"/>
    <w:rsid w:val="00BE6926"/>
    <w:rsid w:val="00BE723B"/>
    <w:rsid w:val="00BF0018"/>
    <w:rsid w:val="00BF01A6"/>
    <w:rsid w:val="00BF0EAF"/>
    <w:rsid w:val="00BF123B"/>
    <w:rsid w:val="00BF1B36"/>
    <w:rsid w:val="00BF2A78"/>
    <w:rsid w:val="00BF345A"/>
    <w:rsid w:val="00BF38F2"/>
    <w:rsid w:val="00BF4D67"/>
    <w:rsid w:val="00BF4D71"/>
    <w:rsid w:val="00BF5238"/>
    <w:rsid w:val="00BF52A7"/>
    <w:rsid w:val="00BF6396"/>
    <w:rsid w:val="00BF642D"/>
    <w:rsid w:val="00BF680C"/>
    <w:rsid w:val="00BF6E4F"/>
    <w:rsid w:val="00BF7491"/>
    <w:rsid w:val="00BF77AF"/>
    <w:rsid w:val="00C00778"/>
    <w:rsid w:val="00C00D08"/>
    <w:rsid w:val="00C00D0E"/>
    <w:rsid w:val="00C01134"/>
    <w:rsid w:val="00C01331"/>
    <w:rsid w:val="00C0199A"/>
    <w:rsid w:val="00C01F14"/>
    <w:rsid w:val="00C022A3"/>
    <w:rsid w:val="00C02AF3"/>
    <w:rsid w:val="00C031E0"/>
    <w:rsid w:val="00C03486"/>
    <w:rsid w:val="00C046E4"/>
    <w:rsid w:val="00C04E47"/>
    <w:rsid w:val="00C0503C"/>
    <w:rsid w:val="00C05A01"/>
    <w:rsid w:val="00C06383"/>
    <w:rsid w:val="00C073EE"/>
    <w:rsid w:val="00C07C84"/>
    <w:rsid w:val="00C1023E"/>
    <w:rsid w:val="00C10376"/>
    <w:rsid w:val="00C10B1E"/>
    <w:rsid w:val="00C10F7D"/>
    <w:rsid w:val="00C12550"/>
    <w:rsid w:val="00C12CBC"/>
    <w:rsid w:val="00C130FF"/>
    <w:rsid w:val="00C14C19"/>
    <w:rsid w:val="00C150EA"/>
    <w:rsid w:val="00C17B97"/>
    <w:rsid w:val="00C17ED4"/>
    <w:rsid w:val="00C205B7"/>
    <w:rsid w:val="00C20EC0"/>
    <w:rsid w:val="00C21FEA"/>
    <w:rsid w:val="00C23439"/>
    <w:rsid w:val="00C23836"/>
    <w:rsid w:val="00C2418A"/>
    <w:rsid w:val="00C24510"/>
    <w:rsid w:val="00C24942"/>
    <w:rsid w:val="00C26A8E"/>
    <w:rsid w:val="00C27327"/>
    <w:rsid w:val="00C27A42"/>
    <w:rsid w:val="00C32B2C"/>
    <w:rsid w:val="00C32DEB"/>
    <w:rsid w:val="00C355F4"/>
    <w:rsid w:val="00C36999"/>
    <w:rsid w:val="00C36B16"/>
    <w:rsid w:val="00C37028"/>
    <w:rsid w:val="00C37417"/>
    <w:rsid w:val="00C378B4"/>
    <w:rsid w:val="00C4005D"/>
    <w:rsid w:val="00C401D2"/>
    <w:rsid w:val="00C407FD"/>
    <w:rsid w:val="00C40904"/>
    <w:rsid w:val="00C42978"/>
    <w:rsid w:val="00C42D40"/>
    <w:rsid w:val="00C42E53"/>
    <w:rsid w:val="00C45771"/>
    <w:rsid w:val="00C458AE"/>
    <w:rsid w:val="00C46CE2"/>
    <w:rsid w:val="00C471AB"/>
    <w:rsid w:val="00C47CF1"/>
    <w:rsid w:val="00C50E89"/>
    <w:rsid w:val="00C52598"/>
    <w:rsid w:val="00C52BF5"/>
    <w:rsid w:val="00C54396"/>
    <w:rsid w:val="00C54BB1"/>
    <w:rsid w:val="00C54E65"/>
    <w:rsid w:val="00C5520A"/>
    <w:rsid w:val="00C55D58"/>
    <w:rsid w:val="00C55F34"/>
    <w:rsid w:val="00C5642F"/>
    <w:rsid w:val="00C56CCB"/>
    <w:rsid w:val="00C56E57"/>
    <w:rsid w:val="00C56EA7"/>
    <w:rsid w:val="00C57884"/>
    <w:rsid w:val="00C579BB"/>
    <w:rsid w:val="00C57CD1"/>
    <w:rsid w:val="00C57E8C"/>
    <w:rsid w:val="00C60360"/>
    <w:rsid w:val="00C61509"/>
    <w:rsid w:val="00C6222C"/>
    <w:rsid w:val="00C625E3"/>
    <w:rsid w:val="00C625F5"/>
    <w:rsid w:val="00C63806"/>
    <w:rsid w:val="00C646B1"/>
    <w:rsid w:val="00C65167"/>
    <w:rsid w:val="00C6516A"/>
    <w:rsid w:val="00C654CB"/>
    <w:rsid w:val="00C6588B"/>
    <w:rsid w:val="00C661D5"/>
    <w:rsid w:val="00C6650C"/>
    <w:rsid w:val="00C67547"/>
    <w:rsid w:val="00C67D23"/>
    <w:rsid w:val="00C702FD"/>
    <w:rsid w:val="00C70768"/>
    <w:rsid w:val="00C7108F"/>
    <w:rsid w:val="00C71FB8"/>
    <w:rsid w:val="00C72095"/>
    <w:rsid w:val="00C7319F"/>
    <w:rsid w:val="00C73885"/>
    <w:rsid w:val="00C74954"/>
    <w:rsid w:val="00C75A1B"/>
    <w:rsid w:val="00C76B0C"/>
    <w:rsid w:val="00C774D9"/>
    <w:rsid w:val="00C77B66"/>
    <w:rsid w:val="00C80049"/>
    <w:rsid w:val="00C804E2"/>
    <w:rsid w:val="00C820B3"/>
    <w:rsid w:val="00C8284B"/>
    <w:rsid w:val="00C82951"/>
    <w:rsid w:val="00C82BD9"/>
    <w:rsid w:val="00C833A7"/>
    <w:rsid w:val="00C83EE2"/>
    <w:rsid w:val="00C85185"/>
    <w:rsid w:val="00C8605C"/>
    <w:rsid w:val="00C8697E"/>
    <w:rsid w:val="00C86B06"/>
    <w:rsid w:val="00C87743"/>
    <w:rsid w:val="00C90788"/>
    <w:rsid w:val="00C91AE0"/>
    <w:rsid w:val="00C91E5F"/>
    <w:rsid w:val="00C92C39"/>
    <w:rsid w:val="00C92CDB"/>
    <w:rsid w:val="00C93A28"/>
    <w:rsid w:val="00C93F5A"/>
    <w:rsid w:val="00C943AF"/>
    <w:rsid w:val="00C965E6"/>
    <w:rsid w:val="00CA282A"/>
    <w:rsid w:val="00CA2EC2"/>
    <w:rsid w:val="00CA442A"/>
    <w:rsid w:val="00CA4E69"/>
    <w:rsid w:val="00CA5150"/>
    <w:rsid w:val="00CA519D"/>
    <w:rsid w:val="00CA6381"/>
    <w:rsid w:val="00CA70DC"/>
    <w:rsid w:val="00CA71A3"/>
    <w:rsid w:val="00CA7D55"/>
    <w:rsid w:val="00CB1AFC"/>
    <w:rsid w:val="00CB232D"/>
    <w:rsid w:val="00CB2551"/>
    <w:rsid w:val="00CB2D9A"/>
    <w:rsid w:val="00CB2E22"/>
    <w:rsid w:val="00CB4678"/>
    <w:rsid w:val="00CB496D"/>
    <w:rsid w:val="00CB50FC"/>
    <w:rsid w:val="00CB611C"/>
    <w:rsid w:val="00CB6157"/>
    <w:rsid w:val="00CB637E"/>
    <w:rsid w:val="00CB69EE"/>
    <w:rsid w:val="00CC05C6"/>
    <w:rsid w:val="00CC06A4"/>
    <w:rsid w:val="00CC3074"/>
    <w:rsid w:val="00CC3904"/>
    <w:rsid w:val="00CC3B42"/>
    <w:rsid w:val="00CC5B29"/>
    <w:rsid w:val="00CC62F9"/>
    <w:rsid w:val="00CC729D"/>
    <w:rsid w:val="00CD0278"/>
    <w:rsid w:val="00CD0E3E"/>
    <w:rsid w:val="00CD0E58"/>
    <w:rsid w:val="00CD2161"/>
    <w:rsid w:val="00CD2659"/>
    <w:rsid w:val="00CD27FD"/>
    <w:rsid w:val="00CD38BA"/>
    <w:rsid w:val="00CD3AD3"/>
    <w:rsid w:val="00CD3B8F"/>
    <w:rsid w:val="00CD44B3"/>
    <w:rsid w:val="00CD4531"/>
    <w:rsid w:val="00CD45AD"/>
    <w:rsid w:val="00CD5F24"/>
    <w:rsid w:val="00CD609D"/>
    <w:rsid w:val="00CD63E1"/>
    <w:rsid w:val="00CD7261"/>
    <w:rsid w:val="00CD7724"/>
    <w:rsid w:val="00CE0833"/>
    <w:rsid w:val="00CE0F0F"/>
    <w:rsid w:val="00CE3857"/>
    <w:rsid w:val="00CE4A17"/>
    <w:rsid w:val="00CE631C"/>
    <w:rsid w:val="00CE6DF1"/>
    <w:rsid w:val="00CE7477"/>
    <w:rsid w:val="00CE7A6D"/>
    <w:rsid w:val="00CE7EB6"/>
    <w:rsid w:val="00CF1C50"/>
    <w:rsid w:val="00CF38EF"/>
    <w:rsid w:val="00CF3C0E"/>
    <w:rsid w:val="00CF4094"/>
    <w:rsid w:val="00CF4292"/>
    <w:rsid w:val="00CF4DB8"/>
    <w:rsid w:val="00CF78E6"/>
    <w:rsid w:val="00D0024C"/>
    <w:rsid w:val="00D00280"/>
    <w:rsid w:val="00D004F6"/>
    <w:rsid w:val="00D00A6B"/>
    <w:rsid w:val="00D012D0"/>
    <w:rsid w:val="00D01666"/>
    <w:rsid w:val="00D01AA2"/>
    <w:rsid w:val="00D01F9B"/>
    <w:rsid w:val="00D02077"/>
    <w:rsid w:val="00D02351"/>
    <w:rsid w:val="00D02574"/>
    <w:rsid w:val="00D02713"/>
    <w:rsid w:val="00D02719"/>
    <w:rsid w:val="00D029B9"/>
    <w:rsid w:val="00D0409D"/>
    <w:rsid w:val="00D04E6A"/>
    <w:rsid w:val="00D06061"/>
    <w:rsid w:val="00D06293"/>
    <w:rsid w:val="00D062EF"/>
    <w:rsid w:val="00D07935"/>
    <w:rsid w:val="00D1185D"/>
    <w:rsid w:val="00D11F32"/>
    <w:rsid w:val="00D125F8"/>
    <w:rsid w:val="00D12E8A"/>
    <w:rsid w:val="00D13877"/>
    <w:rsid w:val="00D14A26"/>
    <w:rsid w:val="00D15DC8"/>
    <w:rsid w:val="00D15FD9"/>
    <w:rsid w:val="00D16241"/>
    <w:rsid w:val="00D1643F"/>
    <w:rsid w:val="00D16648"/>
    <w:rsid w:val="00D16FAC"/>
    <w:rsid w:val="00D17334"/>
    <w:rsid w:val="00D17578"/>
    <w:rsid w:val="00D2052A"/>
    <w:rsid w:val="00D2220E"/>
    <w:rsid w:val="00D22342"/>
    <w:rsid w:val="00D23FEA"/>
    <w:rsid w:val="00D24A0A"/>
    <w:rsid w:val="00D25FBA"/>
    <w:rsid w:val="00D260BA"/>
    <w:rsid w:val="00D262BE"/>
    <w:rsid w:val="00D2731A"/>
    <w:rsid w:val="00D27736"/>
    <w:rsid w:val="00D27891"/>
    <w:rsid w:val="00D30024"/>
    <w:rsid w:val="00D3006D"/>
    <w:rsid w:val="00D3025B"/>
    <w:rsid w:val="00D306CD"/>
    <w:rsid w:val="00D3087C"/>
    <w:rsid w:val="00D30E73"/>
    <w:rsid w:val="00D32A90"/>
    <w:rsid w:val="00D33C99"/>
    <w:rsid w:val="00D34239"/>
    <w:rsid w:val="00D34386"/>
    <w:rsid w:val="00D34E15"/>
    <w:rsid w:val="00D3545B"/>
    <w:rsid w:val="00D356B2"/>
    <w:rsid w:val="00D36B74"/>
    <w:rsid w:val="00D36E18"/>
    <w:rsid w:val="00D404F1"/>
    <w:rsid w:val="00D4081C"/>
    <w:rsid w:val="00D4093C"/>
    <w:rsid w:val="00D40EF9"/>
    <w:rsid w:val="00D40F00"/>
    <w:rsid w:val="00D4108A"/>
    <w:rsid w:val="00D43459"/>
    <w:rsid w:val="00D436F4"/>
    <w:rsid w:val="00D43DF2"/>
    <w:rsid w:val="00D45453"/>
    <w:rsid w:val="00D4549E"/>
    <w:rsid w:val="00D45550"/>
    <w:rsid w:val="00D463F6"/>
    <w:rsid w:val="00D4667F"/>
    <w:rsid w:val="00D47479"/>
    <w:rsid w:val="00D47F9E"/>
    <w:rsid w:val="00D50202"/>
    <w:rsid w:val="00D52A8B"/>
    <w:rsid w:val="00D531C8"/>
    <w:rsid w:val="00D53A15"/>
    <w:rsid w:val="00D53BE5"/>
    <w:rsid w:val="00D54925"/>
    <w:rsid w:val="00D54B41"/>
    <w:rsid w:val="00D54CCE"/>
    <w:rsid w:val="00D55260"/>
    <w:rsid w:val="00D56E81"/>
    <w:rsid w:val="00D57946"/>
    <w:rsid w:val="00D624E0"/>
    <w:rsid w:val="00D62C02"/>
    <w:rsid w:val="00D63309"/>
    <w:rsid w:val="00D64F7B"/>
    <w:rsid w:val="00D65ACC"/>
    <w:rsid w:val="00D65B3C"/>
    <w:rsid w:val="00D66CE1"/>
    <w:rsid w:val="00D67D46"/>
    <w:rsid w:val="00D7143D"/>
    <w:rsid w:val="00D714E9"/>
    <w:rsid w:val="00D726D4"/>
    <w:rsid w:val="00D728EE"/>
    <w:rsid w:val="00D72D3B"/>
    <w:rsid w:val="00D7448E"/>
    <w:rsid w:val="00D75438"/>
    <w:rsid w:val="00D75ACA"/>
    <w:rsid w:val="00D75C0A"/>
    <w:rsid w:val="00D761C7"/>
    <w:rsid w:val="00D76F62"/>
    <w:rsid w:val="00D77070"/>
    <w:rsid w:val="00D77A06"/>
    <w:rsid w:val="00D800D2"/>
    <w:rsid w:val="00D80917"/>
    <w:rsid w:val="00D80FA2"/>
    <w:rsid w:val="00D81788"/>
    <w:rsid w:val="00D81A5C"/>
    <w:rsid w:val="00D81F39"/>
    <w:rsid w:val="00D82048"/>
    <w:rsid w:val="00D820C4"/>
    <w:rsid w:val="00D8261E"/>
    <w:rsid w:val="00D8353D"/>
    <w:rsid w:val="00D8393B"/>
    <w:rsid w:val="00D83A5F"/>
    <w:rsid w:val="00D83E63"/>
    <w:rsid w:val="00D843E3"/>
    <w:rsid w:val="00D84613"/>
    <w:rsid w:val="00D85175"/>
    <w:rsid w:val="00D851E3"/>
    <w:rsid w:val="00D85991"/>
    <w:rsid w:val="00D85A2C"/>
    <w:rsid w:val="00D85AE0"/>
    <w:rsid w:val="00D85FB4"/>
    <w:rsid w:val="00D874BF"/>
    <w:rsid w:val="00D904A1"/>
    <w:rsid w:val="00D9059E"/>
    <w:rsid w:val="00D909A8"/>
    <w:rsid w:val="00D90AEA"/>
    <w:rsid w:val="00D917EE"/>
    <w:rsid w:val="00D91C7E"/>
    <w:rsid w:val="00D927DF"/>
    <w:rsid w:val="00D928AD"/>
    <w:rsid w:val="00D92CAB"/>
    <w:rsid w:val="00D951C4"/>
    <w:rsid w:val="00D96A22"/>
    <w:rsid w:val="00D975CB"/>
    <w:rsid w:val="00DA05FD"/>
    <w:rsid w:val="00DA1948"/>
    <w:rsid w:val="00DA24D9"/>
    <w:rsid w:val="00DA2CA7"/>
    <w:rsid w:val="00DA3150"/>
    <w:rsid w:val="00DA3C4F"/>
    <w:rsid w:val="00DA5D46"/>
    <w:rsid w:val="00DA5DA6"/>
    <w:rsid w:val="00DA6226"/>
    <w:rsid w:val="00DA62CE"/>
    <w:rsid w:val="00DA6455"/>
    <w:rsid w:val="00DA6AEB"/>
    <w:rsid w:val="00DA6F8E"/>
    <w:rsid w:val="00DA790D"/>
    <w:rsid w:val="00DB2C3D"/>
    <w:rsid w:val="00DB2D6C"/>
    <w:rsid w:val="00DB301A"/>
    <w:rsid w:val="00DB3122"/>
    <w:rsid w:val="00DB3635"/>
    <w:rsid w:val="00DB3C18"/>
    <w:rsid w:val="00DB3D50"/>
    <w:rsid w:val="00DB413C"/>
    <w:rsid w:val="00DB52CD"/>
    <w:rsid w:val="00DB52E1"/>
    <w:rsid w:val="00DB7FD7"/>
    <w:rsid w:val="00DC063B"/>
    <w:rsid w:val="00DC10D7"/>
    <w:rsid w:val="00DC2E45"/>
    <w:rsid w:val="00DC315C"/>
    <w:rsid w:val="00DC31DD"/>
    <w:rsid w:val="00DC3C06"/>
    <w:rsid w:val="00DC5488"/>
    <w:rsid w:val="00DC7B29"/>
    <w:rsid w:val="00DC7D31"/>
    <w:rsid w:val="00DC7D47"/>
    <w:rsid w:val="00DD07BE"/>
    <w:rsid w:val="00DD1246"/>
    <w:rsid w:val="00DD21D2"/>
    <w:rsid w:val="00DD35C3"/>
    <w:rsid w:val="00DD4398"/>
    <w:rsid w:val="00DD6FC1"/>
    <w:rsid w:val="00DD7053"/>
    <w:rsid w:val="00DE0480"/>
    <w:rsid w:val="00DE0870"/>
    <w:rsid w:val="00DE1E8B"/>
    <w:rsid w:val="00DE1F78"/>
    <w:rsid w:val="00DE516E"/>
    <w:rsid w:val="00DE59C3"/>
    <w:rsid w:val="00DE5E2E"/>
    <w:rsid w:val="00DE6C0C"/>
    <w:rsid w:val="00DE6D97"/>
    <w:rsid w:val="00DF063F"/>
    <w:rsid w:val="00DF15F9"/>
    <w:rsid w:val="00DF249C"/>
    <w:rsid w:val="00DF26D8"/>
    <w:rsid w:val="00DF35BB"/>
    <w:rsid w:val="00DF48A4"/>
    <w:rsid w:val="00DF4C49"/>
    <w:rsid w:val="00DF52DA"/>
    <w:rsid w:val="00DF5DCA"/>
    <w:rsid w:val="00E00827"/>
    <w:rsid w:val="00E00A65"/>
    <w:rsid w:val="00E015B8"/>
    <w:rsid w:val="00E01D64"/>
    <w:rsid w:val="00E02CCA"/>
    <w:rsid w:val="00E02E78"/>
    <w:rsid w:val="00E03104"/>
    <w:rsid w:val="00E032F3"/>
    <w:rsid w:val="00E04271"/>
    <w:rsid w:val="00E043B4"/>
    <w:rsid w:val="00E04AB5"/>
    <w:rsid w:val="00E055ED"/>
    <w:rsid w:val="00E05E43"/>
    <w:rsid w:val="00E063AF"/>
    <w:rsid w:val="00E068C3"/>
    <w:rsid w:val="00E07575"/>
    <w:rsid w:val="00E0781A"/>
    <w:rsid w:val="00E13632"/>
    <w:rsid w:val="00E137E6"/>
    <w:rsid w:val="00E150EE"/>
    <w:rsid w:val="00E16D5E"/>
    <w:rsid w:val="00E204C5"/>
    <w:rsid w:val="00E20DEA"/>
    <w:rsid w:val="00E22127"/>
    <w:rsid w:val="00E22827"/>
    <w:rsid w:val="00E22969"/>
    <w:rsid w:val="00E23177"/>
    <w:rsid w:val="00E231A1"/>
    <w:rsid w:val="00E255C3"/>
    <w:rsid w:val="00E259D2"/>
    <w:rsid w:val="00E2686E"/>
    <w:rsid w:val="00E26EE9"/>
    <w:rsid w:val="00E30B48"/>
    <w:rsid w:val="00E30E94"/>
    <w:rsid w:val="00E313F9"/>
    <w:rsid w:val="00E334EE"/>
    <w:rsid w:val="00E33888"/>
    <w:rsid w:val="00E338B3"/>
    <w:rsid w:val="00E34A0B"/>
    <w:rsid w:val="00E34AC7"/>
    <w:rsid w:val="00E35D34"/>
    <w:rsid w:val="00E36391"/>
    <w:rsid w:val="00E402F1"/>
    <w:rsid w:val="00E404E3"/>
    <w:rsid w:val="00E40655"/>
    <w:rsid w:val="00E423D6"/>
    <w:rsid w:val="00E424C1"/>
    <w:rsid w:val="00E425A2"/>
    <w:rsid w:val="00E42E19"/>
    <w:rsid w:val="00E42FF6"/>
    <w:rsid w:val="00E43F9D"/>
    <w:rsid w:val="00E50595"/>
    <w:rsid w:val="00E51E0C"/>
    <w:rsid w:val="00E53491"/>
    <w:rsid w:val="00E54776"/>
    <w:rsid w:val="00E55613"/>
    <w:rsid w:val="00E56C62"/>
    <w:rsid w:val="00E57436"/>
    <w:rsid w:val="00E6007E"/>
    <w:rsid w:val="00E60117"/>
    <w:rsid w:val="00E60FF6"/>
    <w:rsid w:val="00E614F8"/>
    <w:rsid w:val="00E62057"/>
    <w:rsid w:val="00E62837"/>
    <w:rsid w:val="00E63463"/>
    <w:rsid w:val="00E6372F"/>
    <w:rsid w:val="00E638A9"/>
    <w:rsid w:val="00E63B4D"/>
    <w:rsid w:val="00E63BEB"/>
    <w:rsid w:val="00E64D9D"/>
    <w:rsid w:val="00E66ABB"/>
    <w:rsid w:val="00E6776B"/>
    <w:rsid w:val="00E67FA0"/>
    <w:rsid w:val="00E71507"/>
    <w:rsid w:val="00E72654"/>
    <w:rsid w:val="00E72A9A"/>
    <w:rsid w:val="00E72B5B"/>
    <w:rsid w:val="00E72D8B"/>
    <w:rsid w:val="00E74E10"/>
    <w:rsid w:val="00E752CA"/>
    <w:rsid w:val="00E75311"/>
    <w:rsid w:val="00E7536B"/>
    <w:rsid w:val="00E764E3"/>
    <w:rsid w:val="00E76E7C"/>
    <w:rsid w:val="00E778EA"/>
    <w:rsid w:val="00E77F9C"/>
    <w:rsid w:val="00E805FE"/>
    <w:rsid w:val="00E81F23"/>
    <w:rsid w:val="00E8269D"/>
    <w:rsid w:val="00E83552"/>
    <w:rsid w:val="00E83F61"/>
    <w:rsid w:val="00E8442A"/>
    <w:rsid w:val="00E848AC"/>
    <w:rsid w:val="00E86145"/>
    <w:rsid w:val="00E87B1F"/>
    <w:rsid w:val="00E87C9D"/>
    <w:rsid w:val="00E87E91"/>
    <w:rsid w:val="00E900A4"/>
    <w:rsid w:val="00E9028C"/>
    <w:rsid w:val="00E9228C"/>
    <w:rsid w:val="00E9369F"/>
    <w:rsid w:val="00E9588F"/>
    <w:rsid w:val="00E96DBE"/>
    <w:rsid w:val="00E97469"/>
    <w:rsid w:val="00EA0A48"/>
    <w:rsid w:val="00EA1109"/>
    <w:rsid w:val="00EA1B72"/>
    <w:rsid w:val="00EA21B4"/>
    <w:rsid w:val="00EA23CB"/>
    <w:rsid w:val="00EA412C"/>
    <w:rsid w:val="00EA4437"/>
    <w:rsid w:val="00EA4493"/>
    <w:rsid w:val="00EA4C04"/>
    <w:rsid w:val="00EA692F"/>
    <w:rsid w:val="00EA7153"/>
    <w:rsid w:val="00EA73D9"/>
    <w:rsid w:val="00EB0E24"/>
    <w:rsid w:val="00EB168D"/>
    <w:rsid w:val="00EB1CA2"/>
    <w:rsid w:val="00EB214A"/>
    <w:rsid w:val="00EB2982"/>
    <w:rsid w:val="00EB2CF6"/>
    <w:rsid w:val="00EB40F6"/>
    <w:rsid w:val="00EB45E5"/>
    <w:rsid w:val="00EB4F69"/>
    <w:rsid w:val="00EB5BFD"/>
    <w:rsid w:val="00EB6550"/>
    <w:rsid w:val="00EB67B4"/>
    <w:rsid w:val="00EB6CD7"/>
    <w:rsid w:val="00EB77D5"/>
    <w:rsid w:val="00EB7874"/>
    <w:rsid w:val="00EC084E"/>
    <w:rsid w:val="00EC12B1"/>
    <w:rsid w:val="00EC2C1D"/>
    <w:rsid w:val="00EC3200"/>
    <w:rsid w:val="00EC32F8"/>
    <w:rsid w:val="00EC37EB"/>
    <w:rsid w:val="00EC3D30"/>
    <w:rsid w:val="00EC40E4"/>
    <w:rsid w:val="00EC45E4"/>
    <w:rsid w:val="00EC4FC4"/>
    <w:rsid w:val="00EC5F8C"/>
    <w:rsid w:val="00EC71C9"/>
    <w:rsid w:val="00EC7CB0"/>
    <w:rsid w:val="00ED074B"/>
    <w:rsid w:val="00ED0AA6"/>
    <w:rsid w:val="00ED10AB"/>
    <w:rsid w:val="00ED192D"/>
    <w:rsid w:val="00ED1E82"/>
    <w:rsid w:val="00ED210A"/>
    <w:rsid w:val="00ED22EB"/>
    <w:rsid w:val="00ED24DF"/>
    <w:rsid w:val="00ED26DC"/>
    <w:rsid w:val="00ED2A7B"/>
    <w:rsid w:val="00ED357A"/>
    <w:rsid w:val="00ED3917"/>
    <w:rsid w:val="00ED3F10"/>
    <w:rsid w:val="00ED5190"/>
    <w:rsid w:val="00ED5DD2"/>
    <w:rsid w:val="00ED6E12"/>
    <w:rsid w:val="00ED7A77"/>
    <w:rsid w:val="00EE0BB8"/>
    <w:rsid w:val="00EE17D8"/>
    <w:rsid w:val="00EE1A15"/>
    <w:rsid w:val="00EE2CB0"/>
    <w:rsid w:val="00EE301E"/>
    <w:rsid w:val="00EE3521"/>
    <w:rsid w:val="00EE3BF6"/>
    <w:rsid w:val="00EE45E7"/>
    <w:rsid w:val="00EE4746"/>
    <w:rsid w:val="00EE4DDB"/>
    <w:rsid w:val="00EE5AC1"/>
    <w:rsid w:val="00EE6797"/>
    <w:rsid w:val="00EE76ED"/>
    <w:rsid w:val="00EF221C"/>
    <w:rsid w:val="00EF250D"/>
    <w:rsid w:val="00EF2C6E"/>
    <w:rsid w:val="00EF310B"/>
    <w:rsid w:val="00EF4705"/>
    <w:rsid w:val="00EF5225"/>
    <w:rsid w:val="00EF5A55"/>
    <w:rsid w:val="00EF6D42"/>
    <w:rsid w:val="00EF7880"/>
    <w:rsid w:val="00F00E6C"/>
    <w:rsid w:val="00F01115"/>
    <w:rsid w:val="00F01182"/>
    <w:rsid w:val="00F015BA"/>
    <w:rsid w:val="00F0223C"/>
    <w:rsid w:val="00F0300D"/>
    <w:rsid w:val="00F0335A"/>
    <w:rsid w:val="00F034C5"/>
    <w:rsid w:val="00F03AF5"/>
    <w:rsid w:val="00F04983"/>
    <w:rsid w:val="00F04F58"/>
    <w:rsid w:val="00F05FA7"/>
    <w:rsid w:val="00F06123"/>
    <w:rsid w:val="00F06E8D"/>
    <w:rsid w:val="00F07739"/>
    <w:rsid w:val="00F07871"/>
    <w:rsid w:val="00F11EED"/>
    <w:rsid w:val="00F12B44"/>
    <w:rsid w:val="00F1369B"/>
    <w:rsid w:val="00F13A4C"/>
    <w:rsid w:val="00F147EB"/>
    <w:rsid w:val="00F148AD"/>
    <w:rsid w:val="00F15444"/>
    <w:rsid w:val="00F15C18"/>
    <w:rsid w:val="00F165EF"/>
    <w:rsid w:val="00F17708"/>
    <w:rsid w:val="00F20D07"/>
    <w:rsid w:val="00F22301"/>
    <w:rsid w:val="00F223AD"/>
    <w:rsid w:val="00F22CE8"/>
    <w:rsid w:val="00F2309C"/>
    <w:rsid w:val="00F237B1"/>
    <w:rsid w:val="00F23C55"/>
    <w:rsid w:val="00F243C0"/>
    <w:rsid w:val="00F25AC9"/>
    <w:rsid w:val="00F2616E"/>
    <w:rsid w:val="00F2683F"/>
    <w:rsid w:val="00F26DA2"/>
    <w:rsid w:val="00F2761F"/>
    <w:rsid w:val="00F301E0"/>
    <w:rsid w:val="00F30A6B"/>
    <w:rsid w:val="00F30D85"/>
    <w:rsid w:val="00F31A9E"/>
    <w:rsid w:val="00F31FAA"/>
    <w:rsid w:val="00F3205A"/>
    <w:rsid w:val="00F321CA"/>
    <w:rsid w:val="00F32279"/>
    <w:rsid w:val="00F33174"/>
    <w:rsid w:val="00F34332"/>
    <w:rsid w:val="00F343DF"/>
    <w:rsid w:val="00F35DDD"/>
    <w:rsid w:val="00F35ECD"/>
    <w:rsid w:val="00F37241"/>
    <w:rsid w:val="00F374D1"/>
    <w:rsid w:val="00F37650"/>
    <w:rsid w:val="00F37F83"/>
    <w:rsid w:val="00F407CE"/>
    <w:rsid w:val="00F40EAE"/>
    <w:rsid w:val="00F417A2"/>
    <w:rsid w:val="00F41ED5"/>
    <w:rsid w:val="00F43073"/>
    <w:rsid w:val="00F44E93"/>
    <w:rsid w:val="00F46476"/>
    <w:rsid w:val="00F47091"/>
    <w:rsid w:val="00F476F7"/>
    <w:rsid w:val="00F5013F"/>
    <w:rsid w:val="00F50782"/>
    <w:rsid w:val="00F512A8"/>
    <w:rsid w:val="00F5258C"/>
    <w:rsid w:val="00F52E28"/>
    <w:rsid w:val="00F5304E"/>
    <w:rsid w:val="00F536D8"/>
    <w:rsid w:val="00F54A5F"/>
    <w:rsid w:val="00F55C5A"/>
    <w:rsid w:val="00F56BFB"/>
    <w:rsid w:val="00F57084"/>
    <w:rsid w:val="00F57559"/>
    <w:rsid w:val="00F5757A"/>
    <w:rsid w:val="00F61A47"/>
    <w:rsid w:val="00F6205F"/>
    <w:rsid w:val="00F62446"/>
    <w:rsid w:val="00F62A87"/>
    <w:rsid w:val="00F64283"/>
    <w:rsid w:val="00F65A98"/>
    <w:rsid w:val="00F6658D"/>
    <w:rsid w:val="00F66CD2"/>
    <w:rsid w:val="00F703E3"/>
    <w:rsid w:val="00F70E1D"/>
    <w:rsid w:val="00F70F25"/>
    <w:rsid w:val="00F71F3A"/>
    <w:rsid w:val="00F72A8E"/>
    <w:rsid w:val="00F72AB5"/>
    <w:rsid w:val="00F72B40"/>
    <w:rsid w:val="00F732D4"/>
    <w:rsid w:val="00F749D9"/>
    <w:rsid w:val="00F75998"/>
    <w:rsid w:val="00F75E38"/>
    <w:rsid w:val="00F7730B"/>
    <w:rsid w:val="00F77433"/>
    <w:rsid w:val="00F819FD"/>
    <w:rsid w:val="00F81E92"/>
    <w:rsid w:val="00F82507"/>
    <w:rsid w:val="00F82FCD"/>
    <w:rsid w:val="00F839C9"/>
    <w:rsid w:val="00F83FA3"/>
    <w:rsid w:val="00F84FFD"/>
    <w:rsid w:val="00F8548E"/>
    <w:rsid w:val="00F86870"/>
    <w:rsid w:val="00F87015"/>
    <w:rsid w:val="00F87A4D"/>
    <w:rsid w:val="00F87B34"/>
    <w:rsid w:val="00F909CD"/>
    <w:rsid w:val="00F93022"/>
    <w:rsid w:val="00F93506"/>
    <w:rsid w:val="00F9360F"/>
    <w:rsid w:val="00F93854"/>
    <w:rsid w:val="00F94CB0"/>
    <w:rsid w:val="00F94CCB"/>
    <w:rsid w:val="00F94FD5"/>
    <w:rsid w:val="00F958E6"/>
    <w:rsid w:val="00F96AB1"/>
    <w:rsid w:val="00F96BFE"/>
    <w:rsid w:val="00F96CBE"/>
    <w:rsid w:val="00F979CE"/>
    <w:rsid w:val="00F97F48"/>
    <w:rsid w:val="00FA0226"/>
    <w:rsid w:val="00FA0480"/>
    <w:rsid w:val="00FA0C3E"/>
    <w:rsid w:val="00FA1C73"/>
    <w:rsid w:val="00FA21B7"/>
    <w:rsid w:val="00FA2E10"/>
    <w:rsid w:val="00FA390F"/>
    <w:rsid w:val="00FA39F0"/>
    <w:rsid w:val="00FA4234"/>
    <w:rsid w:val="00FA4AEC"/>
    <w:rsid w:val="00FA7CD5"/>
    <w:rsid w:val="00FB1E96"/>
    <w:rsid w:val="00FB356E"/>
    <w:rsid w:val="00FB4DAD"/>
    <w:rsid w:val="00FB7586"/>
    <w:rsid w:val="00FB7720"/>
    <w:rsid w:val="00FB7764"/>
    <w:rsid w:val="00FB7F02"/>
    <w:rsid w:val="00FC02F0"/>
    <w:rsid w:val="00FC11A6"/>
    <w:rsid w:val="00FC123A"/>
    <w:rsid w:val="00FC12CD"/>
    <w:rsid w:val="00FC26CC"/>
    <w:rsid w:val="00FC332A"/>
    <w:rsid w:val="00FC46B3"/>
    <w:rsid w:val="00FC4AAB"/>
    <w:rsid w:val="00FC5572"/>
    <w:rsid w:val="00FC5AE5"/>
    <w:rsid w:val="00FC62E2"/>
    <w:rsid w:val="00FD0189"/>
    <w:rsid w:val="00FD0A32"/>
    <w:rsid w:val="00FD1A14"/>
    <w:rsid w:val="00FD25D1"/>
    <w:rsid w:val="00FD27B9"/>
    <w:rsid w:val="00FD2B01"/>
    <w:rsid w:val="00FD4503"/>
    <w:rsid w:val="00FD48B6"/>
    <w:rsid w:val="00FD4BB5"/>
    <w:rsid w:val="00FD58EA"/>
    <w:rsid w:val="00FD5E91"/>
    <w:rsid w:val="00FD658C"/>
    <w:rsid w:val="00FE0ACD"/>
    <w:rsid w:val="00FE190B"/>
    <w:rsid w:val="00FE2A44"/>
    <w:rsid w:val="00FE2B43"/>
    <w:rsid w:val="00FE3B2B"/>
    <w:rsid w:val="00FE4038"/>
    <w:rsid w:val="00FE4B6F"/>
    <w:rsid w:val="00FE4EAE"/>
    <w:rsid w:val="00FE5261"/>
    <w:rsid w:val="00FE5382"/>
    <w:rsid w:val="00FE6416"/>
    <w:rsid w:val="00FE6A37"/>
    <w:rsid w:val="00FE6C8B"/>
    <w:rsid w:val="00FE6FCD"/>
    <w:rsid w:val="00FE7024"/>
    <w:rsid w:val="00FE7553"/>
    <w:rsid w:val="00FF14B1"/>
    <w:rsid w:val="00FF19E8"/>
    <w:rsid w:val="00FF1A20"/>
    <w:rsid w:val="00FF1BD4"/>
    <w:rsid w:val="00FF2AB6"/>
    <w:rsid w:val="00FF34F6"/>
    <w:rsid w:val="00FF36F8"/>
    <w:rsid w:val="00FF3E34"/>
    <w:rsid w:val="00FF3EBF"/>
    <w:rsid w:val="00FF3FBC"/>
    <w:rsid w:val="00FF52EA"/>
    <w:rsid w:val="00FF71BC"/>
    <w:rsid w:val="00FF71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C8E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uiPriority="35"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61"/>
    <w:rPr>
      <w:sz w:val="24"/>
      <w:szCs w:val="24"/>
      <w:lang w:val="en-GB" w:eastAsia="en-GB"/>
    </w:rPr>
  </w:style>
  <w:style w:type="paragraph" w:styleId="Heading1">
    <w:name w:val="heading 1"/>
    <w:basedOn w:val="Normal"/>
    <w:next w:val="Normal"/>
    <w:qFormat/>
    <w:rsid w:val="00F0335A"/>
    <w:pPr>
      <w:keepNext/>
      <w:outlineLvl w:val="0"/>
    </w:pPr>
    <w:rPr>
      <w:rFonts w:ascii="Tahoma" w:hAnsi="Tahoma" w:cs="Tahoma"/>
      <w:b/>
      <w:bCs/>
      <w:u w:val="single"/>
      <w:lang w:val="en-ZA"/>
    </w:rPr>
  </w:style>
  <w:style w:type="paragraph" w:styleId="Heading2">
    <w:name w:val="heading 2"/>
    <w:basedOn w:val="Normal"/>
    <w:next w:val="Normal"/>
    <w:qFormat/>
    <w:rsid w:val="00F0335A"/>
    <w:pPr>
      <w:keepNext/>
      <w:spacing w:line="360" w:lineRule="auto"/>
      <w:outlineLvl w:val="1"/>
    </w:pPr>
    <w:rPr>
      <w:rFonts w:ascii="Tahoma" w:hAnsi="Tahoma" w:cs="Tahoma"/>
      <w:b/>
      <w:bCs/>
      <w:i/>
      <w:iCs/>
      <w:u w:val="single"/>
      <w:lang w:val="en-ZA"/>
    </w:rPr>
  </w:style>
  <w:style w:type="paragraph" w:styleId="Heading3">
    <w:name w:val="heading 3"/>
    <w:basedOn w:val="Normal"/>
    <w:next w:val="Normal"/>
    <w:qFormat/>
    <w:rsid w:val="000F3995"/>
    <w:pPr>
      <w:keepNext/>
      <w:spacing w:before="240" w:after="60" w:line="280" w:lineRule="exact"/>
      <w:outlineLvl w:val="2"/>
    </w:pPr>
    <w:rPr>
      <w:rFonts w:ascii="Arial" w:hAnsi="Arial" w:cs="Arial"/>
      <w:b/>
      <w:bCs/>
      <w:color w:val="000000"/>
      <w:spacing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335A"/>
    <w:pPr>
      <w:spacing w:line="360" w:lineRule="auto"/>
    </w:pPr>
    <w:rPr>
      <w:rFonts w:ascii="Tahoma" w:hAnsi="Tahoma" w:cs="Tahoma"/>
      <w:b/>
      <w:bCs/>
      <w:lang w:val="en-ZA"/>
    </w:rPr>
  </w:style>
  <w:style w:type="paragraph" w:styleId="BodyText2">
    <w:name w:val="Body Text 2"/>
    <w:basedOn w:val="Normal"/>
    <w:rsid w:val="00F0335A"/>
    <w:pPr>
      <w:spacing w:line="360" w:lineRule="auto"/>
    </w:pPr>
    <w:rPr>
      <w:rFonts w:ascii="Tahoma" w:hAnsi="Tahoma" w:cs="Tahoma"/>
      <w:b/>
      <w:bCs/>
      <w:i/>
      <w:iCs/>
      <w:lang w:val="en-ZA"/>
    </w:rPr>
  </w:style>
  <w:style w:type="paragraph" w:styleId="BodyText3">
    <w:name w:val="Body Text 3"/>
    <w:basedOn w:val="Normal"/>
    <w:rsid w:val="00F0335A"/>
    <w:pPr>
      <w:spacing w:line="360" w:lineRule="auto"/>
    </w:pPr>
    <w:rPr>
      <w:rFonts w:ascii="Tahoma" w:hAnsi="Tahoma" w:cs="Tahoma"/>
      <w:i/>
      <w:iCs/>
      <w:lang w:val="en-ZA"/>
    </w:rPr>
  </w:style>
  <w:style w:type="paragraph" w:styleId="Footer">
    <w:name w:val="footer"/>
    <w:basedOn w:val="Normal"/>
    <w:link w:val="FooterChar"/>
    <w:uiPriority w:val="99"/>
    <w:rsid w:val="00332C99"/>
    <w:pPr>
      <w:tabs>
        <w:tab w:val="center" w:pos="4153"/>
        <w:tab w:val="right" w:pos="8306"/>
      </w:tabs>
    </w:pPr>
  </w:style>
  <w:style w:type="character" w:styleId="PageNumber">
    <w:name w:val="page number"/>
    <w:basedOn w:val="DefaultParagraphFont"/>
    <w:rsid w:val="00332C99"/>
  </w:style>
  <w:style w:type="paragraph" w:styleId="FootnoteText">
    <w:name w:val="footnote text"/>
    <w:aliases w:val="fn Char,Footnote Text Char1,Footnote Text Char Char"/>
    <w:basedOn w:val="Normal"/>
    <w:link w:val="FootnoteTextChar"/>
    <w:uiPriority w:val="99"/>
    <w:qFormat/>
    <w:rsid w:val="000F3995"/>
    <w:rPr>
      <w:sz w:val="20"/>
      <w:szCs w:val="20"/>
      <w:lang w:eastAsia="en-US"/>
    </w:rPr>
  </w:style>
  <w:style w:type="character" w:styleId="EndnoteReference">
    <w:name w:val="endnote reference"/>
    <w:basedOn w:val="DefaultParagraphFont"/>
    <w:semiHidden/>
    <w:rsid w:val="000F3995"/>
    <w:rPr>
      <w:vertAlign w:val="superscript"/>
    </w:rPr>
  </w:style>
  <w:style w:type="paragraph" w:styleId="EndnoteText">
    <w:name w:val="endnote text"/>
    <w:basedOn w:val="Normal"/>
    <w:semiHidden/>
    <w:rsid w:val="000F3995"/>
    <w:rPr>
      <w:sz w:val="20"/>
      <w:szCs w:val="20"/>
      <w:lang w:eastAsia="en-US"/>
    </w:rPr>
  </w:style>
  <w:style w:type="paragraph" w:customStyle="1" w:styleId="Char">
    <w:name w:val="Char"/>
    <w:basedOn w:val="Normal"/>
    <w:rsid w:val="004B4A64"/>
    <w:pPr>
      <w:spacing w:after="160" w:line="240" w:lineRule="exact"/>
    </w:pPr>
    <w:rPr>
      <w:rFonts w:ascii="Arial" w:hAnsi="Arial"/>
      <w:bCs/>
      <w:sz w:val="22"/>
      <w:lang w:val="en-US" w:eastAsia="en-US"/>
    </w:rPr>
  </w:style>
  <w:style w:type="character" w:styleId="FootnoteReference">
    <w:name w:val="footnote reference"/>
    <w:aliases w:val="ftref"/>
    <w:basedOn w:val="DefaultParagraphFont"/>
    <w:qFormat/>
    <w:rsid w:val="00F15444"/>
    <w:rPr>
      <w:vertAlign w:val="superscript"/>
    </w:rPr>
  </w:style>
  <w:style w:type="paragraph" w:styleId="BalloonText">
    <w:name w:val="Balloon Text"/>
    <w:basedOn w:val="Normal"/>
    <w:semiHidden/>
    <w:rsid w:val="003E7589"/>
    <w:rPr>
      <w:rFonts w:ascii="Tahoma" w:hAnsi="Tahoma" w:cs="Tahoma"/>
      <w:sz w:val="16"/>
      <w:szCs w:val="16"/>
    </w:rPr>
  </w:style>
  <w:style w:type="character" w:styleId="CommentReference">
    <w:name w:val="annotation reference"/>
    <w:basedOn w:val="DefaultParagraphFont"/>
    <w:uiPriority w:val="99"/>
    <w:semiHidden/>
    <w:rsid w:val="00D52A8B"/>
    <w:rPr>
      <w:sz w:val="16"/>
      <w:szCs w:val="16"/>
    </w:rPr>
  </w:style>
  <w:style w:type="paragraph" w:styleId="CommentText">
    <w:name w:val="annotation text"/>
    <w:basedOn w:val="Normal"/>
    <w:link w:val="CommentTextChar"/>
    <w:uiPriority w:val="99"/>
    <w:semiHidden/>
    <w:rsid w:val="00D52A8B"/>
    <w:rPr>
      <w:sz w:val="20"/>
      <w:szCs w:val="20"/>
    </w:rPr>
  </w:style>
  <w:style w:type="paragraph" w:styleId="CommentSubject">
    <w:name w:val="annotation subject"/>
    <w:basedOn w:val="CommentText"/>
    <w:next w:val="CommentText"/>
    <w:semiHidden/>
    <w:rsid w:val="00D52A8B"/>
    <w:rPr>
      <w:b/>
      <w:bCs/>
    </w:rPr>
  </w:style>
  <w:style w:type="table" w:styleId="TableGrid">
    <w:name w:val="Table Grid"/>
    <w:basedOn w:val="TableNormal"/>
    <w:uiPriority w:val="39"/>
    <w:rsid w:val="00383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D01F9B"/>
    <w:pPr>
      <w:jc w:val="both"/>
    </w:pPr>
    <w:rPr>
      <w:rFonts w:ascii="Arial" w:hAnsi="Arial" w:cs="Arial"/>
      <w:b/>
      <w:bCs/>
      <w:color w:val="000000"/>
      <w:lang w:eastAsia="en-US"/>
    </w:rPr>
  </w:style>
  <w:style w:type="character" w:customStyle="1" w:styleId="FootnoteTextChar">
    <w:name w:val="Footnote Text Char"/>
    <w:aliases w:val="fn Char Char,Footnote Text Char1 Char,Footnote Text Char Char Char"/>
    <w:link w:val="FootnoteText"/>
    <w:uiPriority w:val="99"/>
    <w:rsid w:val="00D01F9B"/>
    <w:rPr>
      <w:lang w:val="en-GB" w:eastAsia="en-US" w:bidi="ar-SA"/>
    </w:rPr>
  </w:style>
  <w:style w:type="paragraph" w:styleId="NormalWeb">
    <w:name w:val="Normal (Web)"/>
    <w:basedOn w:val="Normal"/>
    <w:uiPriority w:val="99"/>
    <w:rsid w:val="00941D00"/>
    <w:pPr>
      <w:spacing w:before="100" w:beforeAutospacing="1" w:after="100" w:afterAutospacing="1"/>
    </w:pPr>
  </w:style>
  <w:style w:type="paragraph" w:customStyle="1" w:styleId="Default">
    <w:name w:val="Default"/>
    <w:rsid w:val="00941D00"/>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EOH bullet,Use Case List Paragraph"/>
    <w:basedOn w:val="Normal"/>
    <w:link w:val="ListParagraphChar"/>
    <w:uiPriority w:val="34"/>
    <w:qFormat/>
    <w:rsid w:val="00941D00"/>
    <w:pPr>
      <w:spacing w:after="200" w:line="276" w:lineRule="auto"/>
      <w:ind w:left="720"/>
      <w:contextualSpacing/>
    </w:pPr>
    <w:rPr>
      <w:rFonts w:ascii="Calibri" w:hAnsi="Calibri"/>
      <w:sz w:val="22"/>
      <w:szCs w:val="22"/>
      <w:lang w:val="en-US" w:eastAsia="en-US"/>
    </w:rPr>
  </w:style>
  <w:style w:type="paragraph" w:customStyle="1" w:styleId="spacing">
    <w:name w:val="spacing"/>
    <w:basedOn w:val="Normal"/>
    <w:rsid w:val="00FD0A32"/>
    <w:pPr>
      <w:spacing w:after="120" w:line="260" w:lineRule="atLeast"/>
    </w:pPr>
    <w:rPr>
      <w:rFonts w:ascii="Arial" w:hAnsi="Arial"/>
      <w:color w:val="000000"/>
      <w:sz w:val="18"/>
      <w:szCs w:val="18"/>
      <w:lang w:val="en-US"/>
    </w:rPr>
  </w:style>
  <w:style w:type="paragraph" w:styleId="Header">
    <w:name w:val="header"/>
    <w:basedOn w:val="Normal"/>
    <w:link w:val="HeaderChar"/>
    <w:rsid w:val="008450A7"/>
    <w:pPr>
      <w:tabs>
        <w:tab w:val="center" w:pos="4513"/>
        <w:tab w:val="right" w:pos="9026"/>
      </w:tabs>
    </w:pPr>
  </w:style>
  <w:style w:type="character" w:customStyle="1" w:styleId="HeaderChar">
    <w:name w:val="Header Char"/>
    <w:basedOn w:val="DefaultParagraphFont"/>
    <w:link w:val="Header"/>
    <w:rsid w:val="008450A7"/>
    <w:rPr>
      <w:sz w:val="24"/>
      <w:szCs w:val="24"/>
      <w:lang w:val="en-GB" w:eastAsia="en-GB"/>
    </w:rPr>
  </w:style>
  <w:style w:type="character" w:customStyle="1" w:styleId="FooterChar">
    <w:name w:val="Footer Char"/>
    <w:basedOn w:val="DefaultParagraphFont"/>
    <w:link w:val="Footer"/>
    <w:uiPriority w:val="99"/>
    <w:rsid w:val="008450A7"/>
    <w:rPr>
      <w:sz w:val="24"/>
      <w:szCs w:val="24"/>
      <w:lang w:val="en-GB" w:eastAsia="en-GB"/>
    </w:rPr>
  </w:style>
  <w:style w:type="character" w:styleId="Hyperlink">
    <w:name w:val="Hyperlink"/>
    <w:basedOn w:val="DefaultParagraphFont"/>
    <w:uiPriority w:val="99"/>
    <w:unhideWhenUsed/>
    <w:rsid w:val="00BA4F5C"/>
    <w:rPr>
      <w:color w:val="1122CC"/>
      <w:u w:val="single"/>
    </w:rPr>
  </w:style>
  <w:style w:type="character" w:customStyle="1" w:styleId="ListParagraphChar">
    <w:name w:val="List Paragraph Char"/>
    <w:aliases w:val="EOH bullet Char,Use Case List Paragraph Char"/>
    <w:link w:val="ListParagraph"/>
    <w:uiPriority w:val="34"/>
    <w:locked/>
    <w:rsid w:val="00056A8D"/>
    <w:rPr>
      <w:rFonts w:ascii="Calibri" w:hAnsi="Calibri"/>
      <w:sz w:val="22"/>
      <w:szCs w:val="22"/>
      <w:lang w:val="en-US" w:eastAsia="en-US"/>
    </w:rPr>
  </w:style>
  <w:style w:type="character" w:customStyle="1" w:styleId="tgc">
    <w:name w:val="_tgc"/>
    <w:rsid w:val="00041574"/>
  </w:style>
  <w:style w:type="character" w:customStyle="1" w:styleId="CommentTextChar">
    <w:name w:val="Comment Text Char"/>
    <w:basedOn w:val="DefaultParagraphFont"/>
    <w:link w:val="CommentText"/>
    <w:uiPriority w:val="99"/>
    <w:semiHidden/>
    <w:rsid w:val="00EF6D42"/>
    <w:rPr>
      <w:lang w:val="en-GB" w:eastAsia="en-GB"/>
    </w:rPr>
  </w:style>
  <w:style w:type="paragraph" w:customStyle="1" w:styleId="footnotedescription">
    <w:name w:val="footnote description"/>
    <w:next w:val="Normal"/>
    <w:link w:val="footnotedescriptionChar"/>
    <w:hidden/>
    <w:rsid w:val="003C7EF4"/>
    <w:pPr>
      <w:spacing w:after="69"/>
      <w:ind w:left="130"/>
    </w:pPr>
    <w:rPr>
      <w:rFonts w:ascii="Arial" w:eastAsia="Arial" w:hAnsi="Arial" w:cs="Arial"/>
      <w:color w:val="000000"/>
      <w:sz w:val="18"/>
      <w:szCs w:val="22"/>
    </w:rPr>
  </w:style>
  <w:style w:type="character" w:customStyle="1" w:styleId="footnotedescriptionChar">
    <w:name w:val="footnote description Char"/>
    <w:link w:val="footnotedescription"/>
    <w:rsid w:val="003C7EF4"/>
    <w:rPr>
      <w:rFonts w:ascii="Arial" w:eastAsia="Arial" w:hAnsi="Arial" w:cs="Arial"/>
      <w:color w:val="000000"/>
      <w:sz w:val="18"/>
      <w:szCs w:val="22"/>
    </w:rPr>
  </w:style>
  <w:style w:type="character" w:customStyle="1" w:styleId="footnotemark">
    <w:name w:val="footnote mark"/>
    <w:hidden/>
    <w:rsid w:val="003C7EF4"/>
    <w:rPr>
      <w:rFonts w:ascii="Arial" w:eastAsia="Arial" w:hAnsi="Arial" w:cs="Arial"/>
      <w:color w:val="000000"/>
      <w:sz w:val="18"/>
      <w:vertAlign w:val="superscript"/>
    </w:rPr>
  </w:style>
  <w:style w:type="character" w:customStyle="1" w:styleId="st1">
    <w:name w:val="st1"/>
    <w:basedOn w:val="DefaultParagraphFont"/>
    <w:rsid w:val="000449CB"/>
  </w:style>
  <w:style w:type="paragraph" w:customStyle="1" w:styleId="Normalbold">
    <w:name w:val="Normal bold"/>
    <w:basedOn w:val="Normal"/>
    <w:rsid w:val="00037DC7"/>
    <w:pPr>
      <w:spacing w:line="280" w:lineRule="exact"/>
    </w:pPr>
    <w:rPr>
      <w:rFonts w:ascii="Arial" w:hAnsi="Arial"/>
      <w:b/>
      <w:color w:val="000000"/>
      <w:spacing w:val="6"/>
      <w:sz w:val="18"/>
      <w:szCs w:val="18"/>
    </w:rPr>
  </w:style>
  <w:style w:type="character" w:styleId="Emphasis">
    <w:name w:val="Emphasis"/>
    <w:uiPriority w:val="20"/>
    <w:qFormat/>
    <w:rsid w:val="00037DC7"/>
    <w:rPr>
      <w:b/>
      <w:bCs/>
      <w:i w:val="0"/>
      <w:iCs w:val="0"/>
    </w:rPr>
  </w:style>
  <w:style w:type="paragraph" w:customStyle="1" w:styleId="Pa3">
    <w:name w:val="Pa3"/>
    <w:basedOn w:val="Default"/>
    <w:next w:val="Default"/>
    <w:uiPriority w:val="99"/>
    <w:rsid w:val="00B249AB"/>
    <w:pPr>
      <w:spacing w:line="241" w:lineRule="atLeast"/>
    </w:pPr>
    <w:rPr>
      <w:color w:val="auto"/>
    </w:rPr>
  </w:style>
  <w:style w:type="character" w:customStyle="1" w:styleId="A6">
    <w:name w:val="A6"/>
    <w:uiPriority w:val="99"/>
    <w:rsid w:val="00B249AB"/>
    <w:rPr>
      <w:color w:val="000000"/>
      <w:sz w:val="20"/>
      <w:szCs w:val="20"/>
    </w:rPr>
  </w:style>
  <w:style w:type="paragraph" w:customStyle="1" w:styleId="Pa0">
    <w:name w:val="Pa0"/>
    <w:basedOn w:val="Default"/>
    <w:next w:val="Default"/>
    <w:uiPriority w:val="99"/>
    <w:rsid w:val="009053CF"/>
    <w:pPr>
      <w:spacing w:line="241" w:lineRule="atLeast"/>
    </w:pPr>
    <w:rPr>
      <w:color w:val="auto"/>
    </w:rPr>
  </w:style>
  <w:style w:type="paragraph" w:styleId="Caption">
    <w:name w:val="caption"/>
    <w:basedOn w:val="Normal"/>
    <w:next w:val="Normal"/>
    <w:uiPriority w:val="35"/>
    <w:unhideWhenUsed/>
    <w:qFormat/>
    <w:rsid w:val="00850816"/>
    <w:pPr>
      <w:spacing w:after="200"/>
      <w:jc w:val="both"/>
    </w:pPr>
    <w:rPr>
      <w:rFonts w:ascii="Arial" w:eastAsiaTheme="minorHAnsi" w:hAnsi="Arial" w:cstheme="minorBidi"/>
      <w:i/>
      <w:iCs/>
      <w:color w:val="1F497D" w:themeColor="text2"/>
      <w:sz w:val="18"/>
      <w:szCs w:val="18"/>
      <w:lang w:val="en-Z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uiPriority="35"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661"/>
    <w:rPr>
      <w:sz w:val="24"/>
      <w:szCs w:val="24"/>
      <w:lang w:val="en-GB" w:eastAsia="en-GB"/>
    </w:rPr>
  </w:style>
  <w:style w:type="paragraph" w:styleId="Heading1">
    <w:name w:val="heading 1"/>
    <w:basedOn w:val="Normal"/>
    <w:next w:val="Normal"/>
    <w:qFormat/>
    <w:rsid w:val="00F0335A"/>
    <w:pPr>
      <w:keepNext/>
      <w:outlineLvl w:val="0"/>
    </w:pPr>
    <w:rPr>
      <w:rFonts w:ascii="Tahoma" w:hAnsi="Tahoma" w:cs="Tahoma"/>
      <w:b/>
      <w:bCs/>
      <w:u w:val="single"/>
      <w:lang w:val="en-ZA"/>
    </w:rPr>
  </w:style>
  <w:style w:type="paragraph" w:styleId="Heading2">
    <w:name w:val="heading 2"/>
    <w:basedOn w:val="Normal"/>
    <w:next w:val="Normal"/>
    <w:qFormat/>
    <w:rsid w:val="00F0335A"/>
    <w:pPr>
      <w:keepNext/>
      <w:spacing w:line="360" w:lineRule="auto"/>
      <w:outlineLvl w:val="1"/>
    </w:pPr>
    <w:rPr>
      <w:rFonts w:ascii="Tahoma" w:hAnsi="Tahoma" w:cs="Tahoma"/>
      <w:b/>
      <w:bCs/>
      <w:i/>
      <w:iCs/>
      <w:u w:val="single"/>
      <w:lang w:val="en-ZA"/>
    </w:rPr>
  </w:style>
  <w:style w:type="paragraph" w:styleId="Heading3">
    <w:name w:val="heading 3"/>
    <w:basedOn w:val="Normal"/>
    <w:next w:val="Normal"/>
    <w:qFormat/>
    <w:rsid w:val="000F3995"/>
    <w:pPr>
      <w:keepNext/>
      <w:spacing w:before="240" w:after="60" w:line="280" w:lineRule="exact"/>
      <w:outlineLvl w:val="2"/>
    </w:pPr>
    <w:rPr>
      <w:rFonts w:ascii="Arial" w:hAnsi="Arial" w:cs="Arial"/>
      <w:b/>
      <w:bCs/>
      <w:color w:val="000000"/>
      <w:spacing w:val="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0335A"/>
    <w:pPr>
      <w:spacing w:line="360" w:lineRule="auto"/>
    </w:pPr>
    <w:rPr>
      <w:rFonts w:ascii="Tahoma" w:hAnsi="Tahoma" w:cs="Tahoma"/>
      <w:b/>
      <w:bCs/>
      <w:lang w:val="en-ZA"/>
    </w:rPr>
  </w:style>
  <w:style w:type="paragraph" w:styleId="BodyText2">
    <w:name w:val="Body Text 2"/>
    <w:basedOn w:val="Normal"/>
    <w:rsid w:val="00F0335A"/>
    <w:pPr>
      <w:spacing w:line="360" w:lineRule="auto"/>
    </w:pPr>
    <w:rPr>
      <w:rFonts w:ascii="Tahoma" w:hAnsi="Tahoma" w:cs="Tahoma"/>
      <w:b/>
      <w:bCs/>
      <w:i/>
      <w:iCs/>
      <w:lang w:val="en-ZA"/>
    </w:rPr>
  </w:style>
  <w:style w:type="paragraph" w:styleId="BodyText3">
    <w:name w:val="Body Text 3"/>
    <w:basedOn w:val="Normal"/>
    <w:rsid w:val="00F0335A"/>
    <w:pPr>
      <w:spacing w:line="360" w:lineRule="auto"/>
    </w:pPr>
    <w:rPr>
      <w:rFonts w:ascii="Tahoma" w:hAnsi="Tahoma" w:cs="Tahoma"/>
      <w:i/>
      <w:iCs/>
      <w:lang w:val="en-ZA"/>
    </w:rPr>
  </w:style>
  <w:style w:type="paragraph" w:styleId="Footer">
    <w:name w:val="footer"/>
    <w:basedOn w:val="Normal"/>
    <w:link w:val="FooterChar"/>
    <w:uiPriority w:val="99"/>
    <w:rsid w:val="00332C99"/>
    <w:pPr>
      <w:tabs>
        <w:tab w:val="center" w:pos="4153"/>
        <w:tab w:val="right" w:pos="8306"/>
      </w:tabs>
    </w:pPr>
  </w:style>
  <w:style w:type="character" w:styleId="PageNumber">
    <w:name w:val="page number"/>
    <w:basedOn w:val="DefaultParagraphFont"/>
    <w:rsid w:val="00332C99"/>
  </w:style>
  <w:style w:type="paragraph" w:styleId="FootnoteText">
    <w:name w:val="footnote text"/>
    <w:aliases w:val="fn Char,Footnote Text Char1,Footnote Text Char Char"/>
    <w:basedOn w:val="Normal"/>
    <w:link w:val="FootnoteTextChar"/>
    <w:uiPriority w:val="99"/>
    <w:qFormat/>
    <w:rsid w:val="000F3995"/>
    <w:rPr>
      <w:sz w:val="20"/>
      <w:szCs w:val="20"/>
      <w:lang w:eastAsia="en-US"/>
    </w:rPr>
  </w:style>
  <w:style w:type="character" w:styleId="EndnoteReference">
    <w:name w:val="endnote reference"/>
    <w:basedOn w:val="DefaultParagraphFont"/>
    <w:semiHidden/>
    <w:rsid w:val="000F3995"/>
    <w:rPr>
      <w:vertAlign w:val="superscript"/>
    </w:rPr>
  </w:style>
  <w:style w:type="paragraph" w:styleId="EndnoteText">
    <w:name w:val="endnote text"/>
    <w:basedOn w:val="Normal"/>
    <w:semiHidden/>
    <w:rsid w:val="000F3995"/>
    <w:rPr>
      <w:sz w:val="20"/>
      <w:szCs w:val="20"/>
      <w:lang w:eastAsia="en-US"/>
    </w:rPr>
  </w:style>
  <w:style w:type="paragraph" w:customStyle="1" w:styleId="Char">
    <w:name w:val="Char"/>
    <w:basedOn w:val="Normal"/>
    <w:rsid w:val="004B4A64"/>
    <w:pPr>
      <w:spacing w:after="160" w:line="240" w:lineRule="exact"/>
    </w:pPr>
    <w:rPr>
      <w:rFonts w:ascii="Arial" w:hAnsi="Arial"/>
      <w:bCs/>
      <w:sz w:val="22"/>
      <w:lang w:val="en-US" w:eastAsia="en-US"/>
    </w:rPr>
  </w:style>
  <w:style w:type="character" w:styleId="FootnoteReference">
    <w:name w:val="footnote reference"/>
    <w:aliases w:val="ftref"/>
    <w:basedOn w:val="DefaultParagraphFont"/>
    <w:qFormat/>
    <w:rsid w:val="00F15444"/>
    <w:rPr>
      <w:vertAlign w:val="superscript"/>
    </w:rPr>
  </w:style>
  <w:style w:type="paragraph" w:styleId="BalloonText">
    <w:name w:val="Balloon Text"/>
    <w:basedOn w:val="Normal"/>
    <w:semiHidden/>
    <w:rsid w:val="003E7589"/>
    <w:rPr>
      <w:rFonts w:ascii="Tahoma" w:hAnsi="Tahoma" w:cs="Tahoma"/>
      <w:sz w:val="16"/>
      <w:szCs w:val="16"/>
    </w:rPr>
  </w:style>
  <w:style w:type="character" w:styleId="CommentReference">
    <w:name w:val="annotation reference"/>
    <w:basedOn w:val="DefaultParagraphFont"/>
    <w:uiPriority w:val="99"/>
    <w:semiHidden/>
    <w:rsid w:val="00D52A8B"/>
    <w:rPr>
      <w:sz w:val="16"/>
      <w:szCs w:val="16"/>
    </w:rPr>
  </w:style>
  <w:style w:type="paragraph" w:styleId="CommentText">
    <w:name w:val="annotation text"/>
    <w:basedOn w:val="Normal"/>
    <w:link w:val="CommentTextChar"/>
    <w:uiPriority w:val="99"/>
    <w:semiHidden/>
    <w:rsid w:val="00D52A8B"/>
    <w:rPr>
      <w:sz w:val="20"/>
      <w:szCs w:val="20"/>
    </w:rPr>
  </w:style>
  <w:style w:type="paragraph" w:styleId="CommentSubject">
    <w:name w:val="annotation subject"/>
    <w:basedOn w:val="CommentText"/>
    <w:next w:val="CommentText"/>
    <w:semiHidden/>
    <w:rsid w:val="00D52A8B"/>
    <w:rPr>
      <w:b/>
      <w:bCs/>
    </w:rPr>
  </w:style>
  <w:style w:type="table" w:styleId="TableGrid">
    <w:name w:val="Table Grid"/>
    <w:basedOn w:val="TableNormal"/>
    <w:uiPriority w:val="39"/>
    <w:rsid w:val="00383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D01F9B"/>
    <w:pPr>
      <w:jc w:val="both"/>
    </w:pPr>
    <w:rPr>
      <w:rFonts w:ascii="Arial" w:hAnsi="Arial" w:cs="Arial"/>
      <w:b/>
      <w:bCs/>
      <w:color w:val="000000"/>
      <w:lang w:eastAsia="en-US"/>
    </w:rPr>
  </w:style>
  <w:style w:type="character" w:customStyle="1" w:styleId="FootnoteTextChar">
    <w:name w:val="Footnote Text Char"/>
    <w:aliases w:val="fn Char Char,Footnote Text Char1 Char,Footnote Text Char Char Char"/>
    <w:link w:val="FootnoteText"/>
    <w:uiPriority w:val="99"/>
    <w:rsid w:val="00D01F9B"/>
    <w:rPr>
      <w:lang w:val="en-GB" w:eastAsia="en-US" w:bidi="ar-SA"/>
    </w:rPr>
  </w:style>
  <w:style w:type="paragraph" w:styleId="NormalWeb">
    <w:name w:val="Normal (Web)"/>
    <w:basedOn w:val="Normal"/>
    <w:uiPriority w:val="99"/>
    <w:rsid w:val="00941D00"/>
    <w:pPr>
      <w:spacing w:before="100" w:beforeAutospacing="1" w:after="100" w:afterAutospacing="1"/>
    </w:pPr>
  </w:style>
  <w:style w:type="paragraph" w:customStyle="1" w:styleId="Default">
    <w:name w:val="Default"/>
    <w:rsid w:val="00941D00"/>
    <w:pPr>
      <w:autoSpaceDE w:val="0"/>
      <w:autoSpaceDN w:val="0"/>
      <w:adjustRightInd w:val="0"/>
    </w:pPr>
    <w:rPr>
      <w:rFonts w:ascii="Arial" w:hAnsi="Arial" w:cs="Arial"/>
      <w:color w:val="000000"/>
      <w:sz w:val="24"/>
      <w:szCs w:val="24"/>
      <w:lang w:val="en-US" w:eastAsia="en-US"/>
    </w:rPr>
  </w:style>
  <w:style w:type="paragraph" w:styleId="ListParagraph">
    <w:name w:val="List Paragraph"/>
    <w:aliases w:val="EOH bullet,Use Case List Paragraph"/>
    <w:basedOn w:val="Normal"/>
    <w:link w:val="ListParagraphChar"/>
    <w:uiPriority w:val="34"/>
    <w:qFormat/>
    <w:rsid w:val="00941D00"/>
    <w:pPr>
      <w:spacing w:after="200" w:line="276" w:lineRule="auto"/>
      <w:ind w:left="720"/>
      <w:contextualSpacing/>
    </w:pPr>
    <w:rPr>
      <w:rFonts w:ascii="Calibri" w:hAnsi="Calibri"/>
      <w:sz w:val="22"/>
      <w:szCs w:val="22"/>
      <w:lang w:val="en-US" w:eastAsia="en-US"/>
    </w:rPr>
  </w:style>
  <w:style w:type="paragraph" w:customStyle="1" w:styleId="spacing">
    <w:name w:val="spacing"/>
    <w:basedOn w:val="Normal"/>
    <w:rsid w:val="00FD0A32"/>
    <w:pPr>
      <w:spacing w:after="120" w:line="260" w:lineRule="atLeast"/>
    </w:pPr>
    <w:rPr>
      <w:rFonts w:ascii="Arial" w:hAnsi="Arial"/>
      <w:color w:val="000000"/>
      <w:sz w:val="18"/>
      <w:szCs w:val="18"/>
      <w:lang w:val="en-US"/>
    </w:rPr>
  </w:style>
  <w:style w:type="paragraph" w:styleId="Header">
    <w:name w:val="header"/>
    <w:basedOn w:val="Normal"/>
    <w:link w:val="HeaderChar"/>
    <w:rsid w:val="008450A7"/>
    <w:pPr>
      <w:tabs>
        <w:tab w:val="center" w:pos="4513"/>
        <w:tab w:val="right" w:pos="9026"/>
      </w:tabs>
    </w:pPr>
  </w:style>
  <w:style w:type="character" w:customStyle="1" w:styleId="HeaderChar">
    <w:name w:val="Header Char"/>
    <w:basedOn w:val="DefaultParagraphFont"/>
    <w:link w:val="Header"/>
    <w:rsid w:val="008450A7"/>
    <w:rPr>
      <w:sz w:val="24"/>
      <w:szCs w:val="24"/>
      <w:lang w:val="en-GB" w:eastAsia="en-GB"/>
    </w:rPr>
  </w:style>
  <w:style w:type="character" w:customStyle="1" w:styleId="FooterChar">
    <w:name w:val="Footer Char"/>
    <w:basedOn w:val="DefaultParagraphFont"/>
    <w:link w:val="Footer"/>
    <w:uiPriority w:val="99"/>
    <w:rsid w:val="008450A7"/>
    <w:rPr>
      <w:sz w:val="24"/>
      <w:szCs w:val="24"/>
      <w:lang w:val="en-GB" w:eastAsia="en-GB"/>
    </w:rPr>
  </w:style>
  <w:style w:type="character" w:styleId="Hyperlink">
    <w:name w:val="Hyperlink"/>
    <w:basedOn w:val="DefaultParagraphFont"/>
    <w:uiPriority w:val="99"/>
    <w:unhideWhenUsed/>
    <w:rsid w:val="00BA4F5C"/>
    <w:rPr>
      <w:color w:val="1122CC"/>
      <w:u w:val="single"/>
    </w:rPr>
  </w:style>
  <w:style w:type="character" w:customStyle="1" w:styleId="ListParagraphChar">
    <w:name w:val="List Paragraph Char"/>
    <w:aliases w:val="EOH bullet Char,Use Case List Paragraph Char"/>
    <w:link w:val="ListParagraph"/>
    <w:uiPriority w:val="34"/>
    <w:locked/>
    <w:rsid w:val="00056A8D"/>
    <w:rPr>
      <w:rFonts w:ascii="Calibri" w:hAnsi="Calibri"/>
      <w:sz w:val="22"/>
      <w:szCs w:val="22"/>
      <w:lang w:val="en-US" w:eastAsia="en-US"/>
    </w:rPr>
  </w:style>
  <w:style w:type="character" w:customStyle="1" w:styleId="tgc">
    <w:name w:val="_tgc"/>
    <w:rsid w:val="00041574"/>
  </w:style>
  <w:style w:type="character" w:customStyle="1" w:styleId="CommentTextChar">
    <w:name w:val="Comment Text Char"/>
    <w:basedOn w:val="DefaultParagraphFont"/>
    <w:link w:val="CommentText"/>
    <w:uiPriority w:val="99"/>
    <w:semiHidden/>
    <w:rsid w:val="00EF6D42"/>
    <w:rPr>
      <w:lang w:val="en-GB" w:eastAsia="en-GB"/>
    </w:rPr>
  </w:style>
  <w:style w:type="paragraph" w:customStyle="1" w:styleId="footnotedescription">
    <w:name w:val="footnote description"/>
    <w:next w:val="Normal"/>
    <w:link w:val="footnotedescriptionChar"/>
    <w:hidden/>
    <w:rsid w:val="003C7EF4"/>
    <w:pPr>
      <w:spacing w:after="69"/>
      <w:ind w:left="130"/>
    </w:pPr>
    <w:rPr>
      <w:rFonts w:ascii="Arial" w:eastAsia="Arial" w:hAnsi="Arial" w:cs="Arial"/>
      <w:color w:val="000000"/>
      <w:sz w:val="18"/>
      <w:szCs w:val="22"/>
    </w:rPr>
  </w:style>
  <w:style w:type="character" w:customStyle="1" w:styleId="footnotedescriptionChar">
    <w:name w:val="footnote description Char"/>
    <w:link w:val="footnotedescription"/>
    <w:rsid w:val="003C7EF4"/>
    <w:rPr>
      <w:rFonts w:ascii="Arial" w:eastAsia="Arial" w:hAnsi="Arial" w:cs="Arial"/>
      <w:color w:val="000000"/>
      <w:sz w:val="18"/>
      <w:szCs w:val="22"/>
    </w:rPr>
  </w:style>
  <w:style w:type="character" w:customStyle="1" w:styleId="footnotemark">
    <w:name w:val="footnote mark"/>
    <w:hidden/>
    <w:rsid w:val="003C7EF4"/>
    <w:rPr>
      <w:rFonts w:ascii="Arial" w:eastAsia="Arial" w:hAnsi="Arial" w:cs="Arial"/>
      <w:color w:val="000000"/>
      <w:sz w:val="18"/>
      <w:vertAlign w:val="superscript"/>
    </w:rPr>
  </w:style>
  <w:style w:type="character" w:customStyle="1" w:styleId="st1">
    <w:name w:val="st1"/>
    <w:basedOn w:val="DefaultParagraphFont"/>
    <w:rsid w:val="000449CB"/>
  </w:style>
  <w:style w:type="paragraph" w:customStyle="1" w:styleId="Normalbold">
    <w:name w:val="Normal bold"/>
    <w:basedOn w:val="Normal"/>
    <w:rsid w:val="00037DC7"/>
    <w:pPr>
      <w:spacing w:line="280" w:lineRule="exact"/>
    </w:pPr>
    <w:rPr>
      <w:rFonts w:ascii="Arial" w:hAnsi="Arial"/>
      <w:b/>
      <w:color w:val="000000"/>
      <w:spacing w:val="6"/>
      <w:sz w:val="18"/>
      <w:szCs w:val="18"/>
    </w:rPr>
  </w:style>
  <w:style w:type="character" w:styleId="Emphasis">
    <w:name w:val="Emphasis"/>
    <w:uiPriority w:val="20"/>
    <w:qFormat/>
    <w:rsid w:val="00037DC7"/>
    <w:rPr>
      <w:b/>
      <w:bCs/>
      <w:i w:val="0"/>
      <w:iCs w:val="0"/>
    </w:rPr>
  </w:style>
  <w:style w:type="paragraph" w:customStyle="1" w:styleId="Pa3">
    <w:name w:val="Pa3"/>
    <w:basedOn w:val="Default"/>
    <w:next w:val="Default"/>
    <w:uiPriority w:val="99"/>
    <w:rsid w:val="00B249AB"/>
    <w:pPr>
      <w:spacing w:line="241" w:lineRule="atLeast"/>
    </w:pPr>
    <w:rPr>
      <w:color w:val="auto"/>
    </w:rPr>
  </w:style>
  <w:style w:type="character" w:customStyle="1" w:styleId="A6">
    <w:name w:val="A6"/>
    <w:uiPriority w:val="99"/>
    <w:rsid w:val="00B249AB"/>
    <w:rPr>
      <w:color w:val="000000"/>
      <w:sz w:val="20"/>
      <w:szCs w:val="20"/>
    </w:rPr>
  </w:style>
  <w:style w:type="paragraph" w:customStyle="1" w:styleId="Pa0">
    <w:name w:val="Pa0"/>
    <w:basedOn w:val="Default"/>
    <w:next w:val="Default"/>
    <w:uiPriority w:val="99"/>
    <w:rsid w:val="009053CF"/>
    <w:pPr>
      <w:spacing w:line="241" w:lineRule="atLeast"/>
    </w:pPr>
    <w:rPr>
      <w:color w:val="auto"/>
    </w:rPr>
  </w:style>
  <w:style w:type="paragraph" w:styleId="Caption">
    <w:name w:val="caption"/>
    <w:basedOn w:val="Normal"/>
    <w:next w:val="Normal"/>
    <w:uiPriority w:val="35"/>
    <w:unhideWhenUsed/>
    <w:qFormat/>
    <w:rsid w:val="00850816"/>
    <w:pPr>
      <w:spacing w:after="200"/>
      <w:jc w:val="both"/>
    </w:pPr>
    <w:rPr>
      <w:rFonts w:ascii="Arial" w:eastAsiaTheme="minorHAnsi" w:hAnsi="Arial" w:cstheme="minorBidi"/>
      <w:i/>
      <w:iCs/>
      <w:color w:val="1F497D" w:themeColor="text2"/>
      <w:sz w:val="18"/>
      <w:szCs w:val="18"/>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164">
      <w:bodyDiv w:val="1"/>
      <w:marLeft w:val="0"/>
      <w:marRight w:val="0"/>
      <w:marTop w:val="0"/>
      <w:marBottom w:val="0"/>
      <w:divBdr>
        <w:top w:val="none" w:sz="0" w:space="0" w:color="auto"/>
        <w:left w:val="none" w:sz="0" w:space="0" w:color="auto"/>
        <w:bottom w:val="none" w:sz="0" w:space="0" w:color="auto"/>
        <w:right w:val="none" w:sz="0" w:space="0" w:color="auto"/>
      </w:divBdr>
      <w:divsChild>
        <w:div w:id="713195178">
          <w:marLeft w:val="0"/>
          <w:marRight w:val="0"/>
          <w:marTop w:val="0"/>
          <w:marBottom w:val="0"/>
          <w:divBdr>
            <w:top w:val="none" w:sz="0" w:space="0" w:color="auto"/>
            <w:left w:val="none" w:sz="0" w:space="0" w:color="auto"/>
            <w:bottom w:val="none" w:sz="0" w:space="0" w:color="auto"/>
            <w:right w:val="none" w:sz="0" w:space="0" w:color="auto"/>
          </w:divBdr>
        </w:div>
      </w:divsChild>
    </w:div>
    <w:div w:id="15740501">
      <w:bodyDiv w:val="1"/>
      <w:marLeft w:val="0"/>
      <w:marRight w:val="0"/>
      <w:marTop w:val="0"/>
      <w:marBottom w:val="0"/>
      <w:divBdr>
        <w:top w:val="none" w:sz="0" w:space="0" w:color="auto"/>
        <w:left w:val="none" w:sz="0" w:space="0" w:color="auto"/>
        <w:bottom w:val="none" w:sz="0" w:space="0" w:color="auto"/>
        <w:right w:val="none" w:sz="0" w:space="0" w:color="auto"/>
      </w:divBdr>
      <w:divsChild>
        <w:div w:id="2107265233">
          <w:marLeft w:val="0"/>
          <w:marRight w:val="0"/>
          <w:marTop w:val="0"/>
          <w:marBottom w:val="0"/>
          <w:divBdr>
            <w:top w:val="none" w:sz="0" w:space="0" w:color="auto"/>
            <w:left w:val="none" w:sz="0" w:space="0" w:color="auto"/>
            <w:bottom w:val="none" w:sz="0" w:space="0" w:color="auto"/>
            <w:right w:val="none" w:sz="0" w:space="0" w:color="auto"/>
          </w:divBdr>
        </w:div>
      </w:divsChild>
    </w:div>
    <w:div w:id="102575329">
      <w:bodyDiv w:val="1"/>
      <w:marLeft w:val="0"/>
      <w:marRight w:val="0"/>
      <w:marTop w:val="0"/>
      <w:marBottom w:val="0"/>
      <w:divBdr>
        <w:top w:val="none" w:sz="0" w:space="0" w:color="auto"/>
        <w:left w:val="none" w:sz="0" w:space="0" w:color="auto"/>
        <w:bottom w:val="none" w:sz="0" w:space="0" w:color="auto"/>
        <w:right w:val="none" w:sz="0" w:space="0" w:color="auto"/>
      </w:divBdr>
    </w:div>
    <w:div w:id="111440079">
      <w:bodyDiv w:val="1"/>
      <w:marLeft w:val="0"/>
      <w:marRight w:val="0"/>
      <w:marTop w:val="0"/>
      <w:marBottom w:val="0"/>
      <w:divBdr>
        <w:top w:val="none" w:sz="0" w:space="0" w:color="auto"/>
        <w:left w:val="none" w:sz="0" w:space="0" w:color="auto"/>
        <w:bottom w:val="none" w:sz="0" w:space="0" w:color="auto"/>
        <w:right w:val="none" w:sz="0" w:space="0" w:color="auto"/>
      </w:divBdr>
      <w:divsChild>
        <w:div w:id="13189051">
          <w:marLeft w:val="0"/>
          <w:marRight w:val="0"/>
          <w:marTop w:val="0"/>
          <w:marBottom w:val="0"/>
          <w:divBdr>
            <w:top w:val="none" w:sz="0" w:space="0" w:color="auto"/>
            <w:left w:val="none" w:sz="0" w:space="0" w:color="auto"/>
            <w:bottom w:val="none" w:sz="0" w:space="0" w:color="auto"/>
            <w:right w:val="none" w:sz="0" w:space="0" w:color="auto"/>
          </w:divBdr>
        </w:div>
      </w:divsChild>
    </w:div>
    <w:div w:id="144199248">
      <w:bodyDiv w:val="1"/>
      <w:marLeft w:val="0"/>
      <w:marRight w:val="0"/>
      <w:marTop w:val="0"/>
      <w:marBottom w:val="0"/>
      <w:divBdr>
        <w:top w:val="none" w:sz="0" w:space="0" w:color="auto"/>
        <w:left w:val="none" w:sz="0" w:space="0" w:color="auto"/>
        <w:bottom w:val="none" w:sz="0" w:space="0" w:color="auto"/>
        <w:right w:val="none" w:sz="0" w:space="0" w:color="auto"/>
      </w:divBdr>
      <w:divsChild>
        <w:div w:id="948898897">
          <w:marLeft w:val="0"/>
          <w:marRight w:val="0"/>
          <w:marTop w:val="0"/>
          <w:marBottom w:val="0"/>
          <w:divBdr>
            <w:top w:val="none" w:sz="0" w:space="0" w:color="auto"/>
            <w:left w:val="none" w:sz="0" w:space="0" w:color="auto"/>
            <w:bottom w:val="none" w:sz="0" w:space="0" w:color="auto"/>
            <w:right w:val="none" w:sz="0" w:space="0" w:color="auto"/>
          </w:divBdr>
          <w:divsChild>
            <w:div w:id="1077285478">
              <w:marLeft w:val="0"/>
              <w:marRight w:val="0"/>
              <w:marTop w:val="0"/>
              <w:marBottom w:val="0"/>
              <w:divBdr>
                <w:top w:val="none" w:sz="0" w:space="0" w:color="auto"/>
                <w:left w:val="none" w:sz="0" w:space="0" w:color="auto"/>
                <w:bottom w:val="none" w:sz="0" w:space="0" w:color="auto"/>
                <w:right w:val="none" w:sz="0" w:space="0" w:color="auto"/>
              </w:divBdr>
            </w:div>
            <w:div w:id="1485003709">
              <w:marLeft w:val="0"/>
              <w:marRight w:val="0"/>
              <w:marTop w:val="0"/>
              <w:marBottom w:val="0"/>
              <w:divBdr>
                <w:top w:val="none" w:sz="0" w:space="0" w:color="auto"/>
                <w:left w:val="none" w:sz="0" w:space="0" w:color="auto"/>
                <w:bottom w:val="none" w:sz="0" w:space="0" w:color="auto"/>
                <w:right w:val="none" w:sz="0" w:space="0" w:color="auto"/>
              </w:divBdr>
            </w:div>
            <w:div w:id="1649750157">
              <w:marLeft w:val="0"/>
              <w:marRight w:val="0"/>
              <w:marTop w:val="0"/>
              <w:marBottom w:val="0"/>
              <w:divBdr>
                <w:top w:val="none" w:sz="0" w:space="0" w:color="auto"/>
                <w:left w:val="none" w:sz="0" w:space="0" w:color="auto"/>
                <w:bottom w:val="none" w:sz="0" w:space="0" w:color="auto"/>
                <w:right w:val="none" w:sz="0" w:space="0" w:color="auto"/>
              </w:divBdr>
            </w:div>
            <w:div w:id="1660034952">
              <w:marLeft w:val="0"/>
              <w:marRight w:val="0"/>
              <w:marTop w:val="0"/>
              <w:marBottom w:val="0"/>
              <w:divBdr>
                <w:top w:val="none" w:sz="0" w:space="0" w:color="auto"/>
                <w:left w:val="none" w:sz="0" w:space="0" w:color="auto"/>
                <w:bottom w:val="none" w:sz="0" w:space="0" w:color="auto"/>
                <w:right w:val="none" w:sz="0" w:space="0" w:color="auto"/>
              </w:divBdr>
            </w:div>
            <w:div w:id="21108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9047">
      <w:bodyDiv w:val="1"/>
      <w:marLeft w:val="0"/>
      <w:marRight w:val="0"/>
      <w:marTop w:val="0"/>
      <w:marBottom w:val="0"/>
      <w:divBdr>
        <w:top w:val="none" w:sz="0" w:space="0" w:color="auto"/>
        <w:left w:val="none" w:sz="0" w:space="0" w:color="auto"/>
        <w:bottom w:val="none" w:sz="0" w:space="0" w:color="auto"/>
        <w:right w:val="none" w:sz="0" w:space="0" w:color="auto"/>
      </w:divBdr>
      <w:divsChild>
        <w:div w:id="584149987">
          <w:marLeft w:val="547"/>
          <w:marRight w:val="0"/>
          <w:marTop w:val="115"/>
          <w:marBottom w:val="0"/>
          <w:divBdr>
            <w:top w:val="none" w:sz="0" w:space="0" w:color="auto"/>
            <w:left w:val="none" w:sz="0" w:space="0" w:color="auto"/>
            <w:bottom w:val="none" w:sz="0" w:space="0" w:color="auto"/>
            <w:right w:val="none" w:sz="0" w:space="0" w:color="auto"/>
          </w:divBdr>
        </w:div>
        <w:div w:id="1825198470">
          <w:marLeft w:val="547"/>
          <w:marRight w:val="0"/>
          <w:marTop w:val="115"/>
          <w:marBottom w:val="0"/>
          <w:divBdr>
            <w:top w:val="none" w:sz="0" w:space="0" w:color="auto"/>
            <w:left w:val="none" w:sz="0" w:space="0" w:color="auto"/>
            <w:bottom w:val="none" w:sz="0" w:space="0" w:color="auto"/>
            <w:right w:val="none" w:sz="0" w:space="0" w:color="auto"/>
          </w:divBdr>
        </w:div>
      </w:divsChild>
    </w:div>
    <w:div w:id="221016108">
      <w:bodyDiv w:val="1"/>
      <w:marLeft w:val="0"/>
      <w:marRight w:val="0"/>
      <w:marTop w:val="0"/>
      <w:marBottom w:val="0"/>
      <w:divBdr>
        <w:top w:val="none" w:sz="0" w:space="0" w:color="auto"/>
        <w:left w:val="none" w:sz="0" w:space="0" w:color="auto"/>
        <w:bottom w:val="none" w:sz="0" w:space="0" w:color="auto"/>
        <w:right w:val="none" w:sz="0" w:space="0" w:color="auto"/>
      </w:divBdr>
      <w:divsChild>
        <w:div w:id="171382846">
          <w:marLeft w:val="0"/>
          <w:marRight w:val="0"/>
          <w:marTop w:val="0"/>
          <w:marBottom w:val="0"/>
          <w:divBdr>
            <w:top w:val="none" w:sz="0" w:space="0" w:color="auto"/>
            <w:left w:val="none" w:sz="0" w:space="0" w:color="auto"/>
            <w:bottom w:val="none" w:sz="0" w:space="0" w:color="auto"/>
            <w:right w:val="none" w:sz="0" w:space="0" w:color="auto"/>
          </w:divBdr>
          <w:divsChild>
            <w:div w:id="15638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801109">
      <w:bodyDiv w:val="1"/>
      <w:marLeft w:val="0"/>
      <w:marRight w:val="0"/>
      <w:marTop w:val="0"/>
      <w:marBottom w:val="0"/>
      <w:divBdr>
        <w:top w:val="none" w:sz="0" w:space="0" w:color="auto"/>
        <w:left w:val="none" w:sz="0" w:space="0" w:color="auto"/>
        <w:bottom w:val="none" w:sz="0" w:space="0" w:color="auto"/>
        <w:right w:val="none" w:sz="0" w:space="0" w:color="auto"/>
      </w:divBdr>
      <w:divsChild>
        <w:div w:id="384916924">
          <w:marLeft w:val="0"/>
          <w:marRight w:val="0"/>
          <w:marTop w:val="0"/>
          <w:marBottom w:val="0"/>
          <w:divBdr>
            <w:top w:val="none" w:sz="0" w:space="0" w:color="auto"/>
            <w:left w:val="none" w:sz="0" w:space="0" w:color="auto"/>
            <w:bottom w:val="none" w:sz="0" w:space="0" w:color="auto"/>
            <w:right w:val="none" w:sz="0" w:space="0" w:color="auto"/>
          </w:divBdr>
          <w:divsChild>
            <w:div w:id="453451002">
              <w:marLeft w:val="0"/>
              <w:marRight w:val="0"/>
              <w:marTop w:val="0"/>
              <w:marBottom w:val="0"/>
              <w:divBdr>
                <w:top w:val="none" w:sz="0" w:space="0" w:color="auto"/>
                <w:left w:val="none" w:sz="0" w:space="0" w:color="auto"/>
                <w:bottom w:val="none" w:sz="0" w:space="0" w:color="auto"/>
                <w:right w:val="none" w:sz="0" w:space="0" w:color="auto"/>
              </w:divBdr>
            </w:div>
            <w:div w:id="1083651300">
              <w:marLeft w:val="0"/>
              <w:marRight w:val="0"/>
              <w:marTop w:val="0"/>
              <w:marBottom w:val="0"/>
              <w:divBdr>
                <w:top w:val="none" w:sz="0" w:space="0" w:color="auto"/>
                <w:left w:val="none" w:sz="0" w:space="0" w:color="auto"/>
                <w:bottom w:val="none" w:sz="0" w:space="0" w:color="auto"/>
                <w:right w:val="none" w:sz="0" w:space="0" w:color="auto"/>
              </w:divBdr>
            </w:div>
            <w:div w:id="19732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647262">
      <w:bodyDiv w:val="1"/>
      <w:marLeft w:val="0"/>
      <w:marRight w:val="0"/>
      <w:marTop w:val="0"/>
      <w:marBottom w:val="0"/>
      <w:divBdr>
        <w:top w:val="none" w:sz="0" w:space="0" w:color="auto"/>
        <w:left w:val="none" w:sz="0" w:space="0" w:color="auto"/>
        <w:bottom w:val="none" w:sz="0" w:space="0" w:color="auto"/>
        <w:right w:val="none" w:sz="0" w:space="0" w:color="auto"/>
      </w:divBdr>
    </w:div>
    <w:div w:id="271330188">
      <w:bodyDiv w:val="1"/>
      <w:marLeft w:val="0"/>
      <w:marRight w:val="0"/>
      <w:marTop w:val="0"/>
      <w:marBottom w:val="0"/>
      <w:divBdr>
        <w:top w:val="none" w:sz="0" w:space="0" w:color="auto"/>
        <w:left w:val="none" w:sz="0" w:space="0" w:color="auto"/>
        <w:bottom w:val="none" w:sz="0" w:space="0" w:color="auto"/>
        <w:right w:val="none" w:sz="0" w:space="0" w:color="auto"/>
      </w:divBdr>
      <w:divsChild>
        <w:div w:id="1051347436">
          <w:marLeft w:val="0"/>
          <w:marRight w:val="0"/>
          <w:marTop w:val="0"/>
          <w:marBottom w:val="0"/>
          <w:divBdr>
            <w:top w:val="none" w:sz="0" w:space="0" w:color="auto"/>
            <w:left w:val="none" w:sz="0" w:space="0" w:color="auto"/>
            <w:bottom w:val="none" w:sz="0" w:space="0" w:color="auto"/>
            <w:right w:val="none" w:sz="0" w:space="0" w:color="auto"/>
          </w:divBdr>
          <w:divsChild>
            <w:div w:id="216742768">
              <w:marLeft w:val="0"/>
              <w:marRight w:val="0"/>
              <w:marTop w:val="0"/>
              <w:marBottom w:val="0"/>
              <w:divBdr>
                <w:top w:val="none" w:sz="0" w:space="0" w:color="auto"/>
                <w:left w:val="none" w:sz="0" w:space="0" w:color="auto"/>
                <w:bottom w:val="none" w:sz="0" w:space="0" w:color="auto"/>
                <w:right w:val="none" w:sz="0" w:space="0" w:color="auto"/>
              </w:divBdr>
            </w:div>
            <w:div w:id="323899338">
              <w:marLeft w:val="0"/>
              <w:marRight w:val="0"/>
              <w:marTop w:val="0"/>
              <w:marBottom w:val="0"/>
              <w:divBdr>
                <w:top w:val="none" w:sz="0" w:space="0" w:color="auto"/>
                <w:left w:val="none" w:sz="0" w:space="0" w:color="auto"/>
                <w:bottom w:val="none" w:sz="0" w:space="0" w:color="auto"/>
                <w:right w:val="none" w:sz="0" w:space="0" w:color="auto"/>
              </w:divBdr>
            </w:div>
            <w:div w:id="13044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48541">
      <w:bodyDiv w:val="1"/>
      <w:marLeft w:val="0"/>
      <w:marRight w:val="0"/>
      <w:marTop w:val="0"/>
      <w:marBottom w:val="0"/>
      <w:divBdr>
        <w:top w:val="none" w:sz="0" w:space="0" w:color="auto"/>
        <w:left w:val="none" w:sz="0" w:space="0" w:color="auto"/>
        <w:bottom w:val="none" w:sz="0" w:space="0" w:color="auto"/>
        <w:right w:val="none" w:sz="0" w:space="0" w:color="auto"/>
      </w:divBdr>
      <w:divsChild>
        <w:div w:id="1205366562">
          <w:marLeft w:val="0"/>
          <w:marRight w:val="0"/>
          <w:marTop w:val="0"/>
          <w:marBottom w:val="0"/>
          <w:divBdr>
            <w:top w:val="none" w:sz="0" w:space="0" w:color="auto"/>
            <w:left w:val="none" w:sz="0" w:space="0" w:color="auto"/>
            <w:bottom w:val="none" w:sz="0" w:space="0" w:color="auto"/>
            <w:right w:val="none" w:sz="0" w:space="0" w:color="auto"/>
          </w:divBdr>
          <w:divsChild>
            <w:div w:id="1734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7697">
      <w:bodyDiv w:val="1"/>
      <w:marLeft w:val="0"/>
      <w:marRight w:val="0"/>
      <w:marTop w:val="0"/>
      <w:marBottom w:val="0"/>
      <w:divBdr>
        <w:top w:val="none" w:sz="0" w:space="0" w:color="auto"/>
        <w:left w:val="none" w:sz="0" w:space="0" w:color="auto"/>
        <w:bottom w:val="none" w:sz="0" w:space="0" w:color="auto"/>
        <w:right w:val="none" w:sz="0" w:space="0" w:color="auto"/>
      </w:divBdr>
      <w:divsChild>
        <w:div w:id="1277447140">
          <w:marLeft w:val="0"/>
          <w:marRight w:val="0"/>
          <w:marTop w:val="0"/>
          <w:marBottom w:val="0"/>
          <w:divBdr>
            <w:top w:val="none" w:sz="0" w:space="0" w:color="auto"/>
            <w:left w:val="none" w:sz="0" w:space="0" w:color="auto"/>
            <w:bottom w:val="none" w:sz="0" w:space="0" w:color="auto"/>
            <w:right w:val="none" w:sz="0" w:space="0" w:color="auto"/>
          </w:divBdr>
          <w:divsChild>
            <w:div w:id="110982254">
              <w:marLeft w:val="0"/>
              <w:marRight w:val="0"/>
              <w:marTop w:val="0"/>
              <w:marBottom w:val="0"/>
              <w:divBdr>
                <w:top w:val="none" w:sz="0" w:space="0" w:color="auto"/>
                <w:left w:val="none" w:sz="0" w:space="0" w:color="auto"/>
                <w:bottom w:val="none" w:sz="0" w:space="0" w:color="auto"/>
                <w:right w:val="none" w:sz="0" w:space="0" w:color="auto"/>
              </w:divBdr>
            </w:div>
            <w:div w:id="391662993">
              <w:marLeft w:val="0"/>
              <w:marRight w:val="0"/>
              <w:marTop w:val="0"/>
              <w:marBottom w:val="0"/>
              <w:divBdr>
                <w:top w:val="none" w:sz="0" w:space="0" w:color="auto"/>
                <w:left w:val="none" w:sz="0" w:space="0" w:color="auto"/>
                <w:bottom w:val="none" w:sz="0" w:space="0" w:color="auto"/>
                <w:right w:val="none" w:sz="0" w:space="0" w:color="auto"/>
              </w:divBdr>
            </w:div>
            <w:div w:id="1087850286">
              <w:marLeft w:val="0"/>
              <w:marRight w:val="0"/>
              <w:marTop w:val="0"/>
              <w:marBottom w:val="0"/>
              <w:divBdr>
                <w:top w:val="none" w:sz="0" w:space="0" w:color="auto"/>
                <w:left w:val="none" w:sz="0" w:space="0" w:color="auto"/>
                <w:bottom w:val="none" w:sz="0" w:space="0" w:color="auto"/>
                <w:right w:val="none" w:sz="0" w:space="0" w:color="auto"/>
              </w:divBdr>
            </w:div>
            <w:div w:id="1172719218">
              <w:marLeft w:val="0"/>
              <w:marRight w:val="0"/>
              <w:marTop w:val="0"/>
              <w:marBottom w:val="0"/>
              <w:divBdr>
                <w:top w:val="none" w:sz="0" w:space="0" w:color="auto"/>
                <w:left w:val="none" w:sz="0" w:space="0" w:color="auto"/>
                <w:bottom w:val="none" w:sz="0" w:space="0" w:color="auto"/>
                <w:right w:val="none" w:sz="0" w:space="0" w:color="auto"/>
              </w:divBdr>
            </w:div>
            <w:div w:id="1346245181">
              <w:marLeft w:val="0"/>
              <w:marRight w:val="0"/>
              <w:marTop w:val="0"/>
              <w:marBottom w:val="0"/>
              <w:divBdr>
                <w:top w:val="none" w:sz="0" w:space="0" w:color="auto"/>
                <w:left w:val="none" w:sz="0" w:space="0" w:color="auto"/>
                <w:bottom w:val="none" w:sz="0" w:space="0" w:color="auto"/>
                <w:right w:val="none" w:sz="0" w:space="0" w:color="auto"/>
              </w:divBdr>
            </w:div>
            <w:div w:id="14482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297954">
      <w:bodyDiv w:val="1"/>
      <w:marLeft w:val="0"/>
      <w:marRight w:val="0"/>
      <w:marTop w:val="0"/>
      <w:marBottom w:val="0"/>
      <w:divBdr>
        <w:top w:val="none" w:sz="0" w:space="0" w:color="auto"/>
        <w:left w:val="none" w:sz="0" w:space="0" w:color="auto"/>
        <w:bottom w:val="none" w:sz="0" w:space="0" w:color="auto"/>
        <w:right w:val="none" w:sz="0" w:space="0" w:color="auto"/>
      </w:divBdr>
      <w:divsChild>
        <w:div w:id="193345644">
          <w:marLeft w:val="0"/>
          <w:marRight w:val="0"/>
          <w:marTop w:val="0"/>
          <w:marBottom w:val="0"/>
          <w:divBdr>
            <w:top w:val="none" w:sz="0" w:space="0" w:color="auto"/>
            <w:left w:val="none" w:sz="0" w:space="0" w:color="auto"/>
            <w:bottom w:val="none" w:sz="0" w:space="0" w:color="auto"/>
            <w:right w:val="none" w:sz="0" w:space="0" w:color="auto"/>
          </w:divBdr>
          <w:divsChild>
            <w:div w:id="252978506">
              <w:marLeft w:val="0"/>
              <w:marRight w:val="0"/>
              <w:marTop w:val="0"/>
              <w:marBottom w:val="0"/>
              <w:divBdr>
                <w:top w:val="none" w:sz="0" w:space="0" w:color="auto"/>
                <w:left w:val="none" w:sz="0" w:space="0" w:color="auto"/>
                <w:bottom w:val="none" w:sz="0" w:space="0" w:color="auto"/>
                <w:right w:val="none" w:sz="0" w:space="0" w:color="auto"/>
              </w:divBdr>
            </w:div>
            <w:div w:id="727607833">
              <w:marLeft w:val="0"/>
              <w:marRight w:val="0"/>
              <w:marTop w:val="0"/>
              <w:marBottom w:val="0"/>
              <w:divBdr>
                <w:top w:val="none" w:sz="0" w:space="0" w:color="auto"/>
                <w:left w:val="none" w:sz="0" w:space="0" w:color="auto"/>
                <w:bottom w:val="none" w:sz="0" w:space="0" w:color="auto"/>
                <w:right w:val="none" w:sz="0" w:space="0" w:color="auto"/>
              </w:divBdr>
            </w:div>
            <w:div w:id="1519615352">
              <w:marLeft w:val="0"/>
              <w:marRight w:val="0"/>
              <w:marTop w:val="0"/>
              <w:marBottom w:val="0"/>
              <w:divBdr>
                <w:top w:val="none" w:sz="0" w:space="0" w:color="auto"/>
                <w:left w:val="none" w:sz="0" w:space="0" w:color="auto"/>
                <w:bottom w:val="none" w:sz="0" w:space="0" w:color="auto"/>
                <w:right w:val="none" w:sz="0" w:space="0" w:color="auto"/>
              </w:divBdr>
            </w:div>
            <w:div w:id="156101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849877">
      <w:bodyDiv w:val="1"/>
      <w:marLeft w:val="0"/>
      <w:marRight w:val="0"/>
      <w:marTop w:val="0"/>
      <w:marBottom w:val="0"/>
      <w:divBdr>
        <w:top w:val="none" w:sz="0" w:space="0" w:color="auto"/>
        <w:left w:val="none" w:sz="0" w:space="0" w:color="auto"/>
        <w:bottom w:val="none" w:sz="0" w:space="0" w:color="auto"/>
        <w:right w:val="none" w:sz="0" w:space="0" w:color="auto"/>
      </w:divBdr>
    </w:div>
    <w:div w:id="378550771">
      <w:bodyDiv w:val="1"/>
      <w:marLeft w:val="0"/>
      <w:marRight w:val="0"/>
      <w:marTop w:val="0"/>
      <w:marBottom w:val="0"/>
      <w:divBdr>
        <w:top w:val="none" w:sz="0" w:space="0" w:color="auto"/>
        <w:left w:val="none" w:sz="0" w:space="0" w:color="auto"/>
        <w:bottom w:val="none" w:sz="0" w:space="0" w:color="auto"/>
        <w:right w:val="none" w:sz="0" w:space="0" w:color="auto"/>
      </w:divBdr>
      <w:divsChild>
        <w:div w:id="589654457">
          <w:marLeft w:val="0"/>
          <w:marRight w:val="0"/>
          <w:marTop w:val="0"/>
          <w:marBottom w:val="0"/>
          <w:divBdr>
            <w:top w:val="none" w:sz="0" w:space="0" w:color="auto"/>
            <w:left w:val="none" w:sz="0" w:space="0" w:color="auto"/>
            <w:bottom w:val="none" w:sz="0" w:space="0" w:color="auto"/>
            <w:right w:val="none" w:sz="0" w:space="0" w:color="auto"/>
          </w:divBdr>
          <w:divsChild>
            <w:div w:id="925111956">
              <w:marLeft w:val="0"/>
              <w:marRight w:val="0"/>
              <w:marTop w:val="0"/>
              <w:marBottom w:val="0"/>
              <w:divBdr>
                <w:top w:val="none" w:sz="0" w:space="0" w:color="auto"/>
                <w:left w:val="none" w:sz="0" w:space="0" w:color="auto"/>
                <w:bottom w:val="none" w:sz="0" w:space="0" w:color="auto"/>
                <w:right w:val="none" w:sz="0" w:space="0" w:color="auto"/>
              </w:divBdr>
            </w:div>
            <w:div w:id="1159806822">
              <w:marLeft w:val="0"/>
              <w:marRight w:val="0"/>
              <w:marTop w:val="0"/>
              <w:marBottom w:val="0"/>
              <w:divBdr>
                <w:top w:val="none" w:sz="0" w:space="0" w:color="auto"/>
                <w:left w:val="none" w:sz="0" w:space="0" w:color="auto"/>
                <w:bottom w:val="none" w:sz="0" w:space="0" w:color="auto"/>
                <w:right w:val="none" w:sz="0" w:space="0" w:color="auto"/>
              </w:divBdr>
            </w:div>
            <w:div w:id="1268194779">
              <w:marLeft w:val="0"/>
              <w:marRight w:val="0"/>
              <w:marTop w:val="0"/>
              <w:marBottom w:val="0"/>
              <w:divBdr>
                <w:top w:val="none" w:sz="0" w:space="0" w:color="auto"/>
                <w:left w:val="none" w:sz="0" w:space="0" w:color="auto"/>
                <w:bottom w:val="none" w:sz="0" w:space="0" w:color="auto"/>
                <w:right w:val="none" w:sz="0" w:space="0" w:color="auto"/>
              </w:divBdr>
            </w:div>
            <w:div w:id="179478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3661">
      <w:bodyDiv w:val="1"/>
      <w:marLeft w:val="0"/>
      <w:marRight w:val="0"/>
      <w:marTop w:val="0"/>
      <w:marBottom w:val="0"/>
      <w:divBdr>
        <w:top w:val="none" w:sz="0" w:space="0" w:color="auto"/>
        <w:left w:val="none" w:sz="0" w:space="0" w:color="auto"/>
        <w:bottom w:val="none" w:sz="0" w:space="0" w:color="auto"/>
        <w:right w:val="none" w:sz="0" w:space="0" w:color="auto"/>
      </w:divBdr>
      <w:divsChild>
        <w:div w:id="1566523547">
          <w:marLeft w:val="0"/>
          <w:marRight w:val="0"/>
          <w:marTop w:val="0"/>
          <w:marBottom w:val="0"/>
          <w:divBdr>
            <w:top w:val="none" w:sz="0" w:space="0" w:color="auto"/>
            <w:left w:val="none" w:sz="0" w:space="0" w:color="auto"/>
            <w:bottom w:val="none" w:sz="0" w:space="0" w:color="auto"/>
            <w:right w:val="none" w:sz="0" w:space="0" w:color="auto"/>
          </w:divBdr>
          <w:divsChild>
            <w:div w:id="5597722">
              <w:marLeft w:val="0"/>
              <w:marRight w:val="0"/>
              <w:marTop w:val="0"/>
              <w:marBottom w:val="0"/>
              <w:divBdr>
                <w:top w:val="none" w:sz="0" w:space="0" w:color="auto"/>
                <w:left w:val="none" w:sz="0" w:space="0" w:color="auto"/>
                <w:bottom w:val="none" w:sz="0" w:space="0" w:color="auto"/>
                <w:right w:val="none" w:sz="0" w:space="0" w:color="auto"/>
              </w:divBdr>
            </w:div>
            <w:div w:id="18687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21068">
      <w:bodyDiv w:val="1"/>
      <w:marLeft w:val="0"/>
      <w:marRight w:val="0"/>
      <w:marTop w:val="0"/>
      <w:marBottom w:val="0"/>
      <w:divBdr>
        <w:top w:val="none" w:sz="0" w:space="0" w:color="auto"/>
        <w:left w:val="none" w:sz="0" w:space="0" w:color="auto"/>
        <w:bottom w:val="none" w:sz="0" w:space="0" w:color="auto"/>
        <w:right w:val="none" w:sz="0" w:space="0" w:color="auto"/>
      </w:divBdr>
      <w:divsChild>
        <w:div w:id="231694720">
          <w:marLeft w:val="0"/>
          <w:marRight w:val="0"/>
          <w:marTop w:val="0"/>
          <w:marBottom w:val="0"/>
          <w:divBdr>
            <w:top w:val="none" w:sz="0" w:space="0" w:color="auto"/>
            <w:left w:val="none" w:sz="0" w:space="0" w:color="auto"/>
            <w:bottom w:val="none" w:sz="0" w:space="0" w:color="auto"/>
            <w:right w:val="none" w:sz="0" w:space="0" w:color="auto"/>
          </w:divBdr>
        </w:div>
      </w:divsChild>
    </w:div>
    <w:div w:id="489755852">
      <w:bodyDiv w:val="1"/>
      <w:marLeft w:val="0"/>
      <w:marRight w:val="0"/>
      <w:marTop w:val="0"/>
      <w:marBottom w:val="0"/>
      <w:divBdr>
        <w:top w:val="none" w:sz="0" w:space="0" w:color="auto"/>
        <w:left w:val="none" w:sz="0" w:space="0" w:color="auto"/>
        <w:bottom w:val="none" w:sz="0" w:space="0" w:color="auto"/>
        <w:right w:val="none" w:sz="0" w:space="0" w:color="auto"/>
      </w:divBdr>
    </w:div>
    <w:div w:id="502817846">
      <w:bodyDiv w:val="1"/>
      <w:marLeft w:val="0"/>
      <w:marRight w:val="0"/>
      <w:marTop w:val="0"/>
      <w:marBottom w:val="0"/>
      <w:divBdr>
        <w:top w:val="none" w:sz="0" w:space="0" w:color="auto"/>
        <w:left w:val="none" w:sz="0" w:space="0" w:color="auto"/>
        <w:bottom w:val="none" w:sz="0" w:space="0" w:color="auto"/>
        <w:right w:val="none" w:sz="0" w:space="0" w:color="auto"/>
      </w:divBdr>
      <w:divsChild>
        <w:div w:id="1253705549">
          <w:marLeft w:val="0"/>
          <w:marRight w:val="0"/>
          <w:marTop w:val="0"/>
          <w:marBottom w:val="0"/>
          <w:divBdr>
            <w:top w:val="none" w:sz="0" w:space="0" w:color="auto"/>
            <w:left w:val="none" w:sz="0" w:space="0" w:color="auto"/>
            <w:bottom w:val="none" w:sz="0" w:space="0" w:color="auto"/>
            <w:right w:val="none" w:sz="0" w:space="0" w:color="auto"/>
          </w:divBdr>
          <w:divsChild>
            <w:div w:id="1186676195">
              <w:marLeft w:val="0"/>
              <w:marRight w:val="0"/>
              <w:marTop w:val="0"/>
              <w:marBottom w:val="0"/>
              <w:divBdr>
                <w:top w:val="none" w:sz="0" w:space="0" w:color="auto"/>
                <w:left w:val="none" w:sz="0" w:space="0" w:color="auto"/>
                <w:bottom w:val="none" w:sz="0" w:space="0" w:color="auto"/>
                <w:right w:val="none" w:sz="0" w:space="0" w:color="auto"/>
              </w:divBdr>
            </w:div>
            <w:div w:id="1509635793">
              <w:marLeft w:val="0"/>
              <w:marRight w:val="0"/>
              <w:marTop w:val="0"/>
              <w:marBottom w:val="0"/>
              <w:divBdr>
                <w:top w:val="none" w:sz="0" w:space="0" w:color="auto"/>
                <w:left w:val="none" w:sz="0" w:space="0" w:color="auto"/>
                <w:bottom w:val="none" w:sz="0" w:space="0" w:color="auto"/>
                <w:right w:val="none" w:sz="0" w:space="0" w:color="auto"/>
              </w:divBdr>
            </w:div>
            <w:div w:id="202639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45972">
      <w:bodyDiv w:val="1"/>
      <w:marLeft w:val="0"/>
      <w:marRight w:val="0"/>
      <w:marTop w:val="0"/>
      <w:marBottom w:val="0"/>
      <w:divBdr>
        <w:top w:val="none" w:sz="0" w:space="0" w:color="auto"/>
        <w:left w:val="none" w:sz="0" w:space="0" w:color="auto"/>
        <w:bottom w:val="none" w:sz="0" w:space="0" w:color="auto"/>
        <w:right w:val="none" w:sz="0" w:space="0" w:color="auto"/>
      </w:divBdr>
      <w:divsChild>
        <w:div w:id="1416508691">
          <w:marLeft w:val="0"/>
          <w:marRight w:val="0"/>
          <w:marTop w:val="0"/>
          <w:marBottom w:val="0"/>
          <w:divBdr>
            <w:top w:val="none" w:sz="0" w:space="0" w:color="auto"/>
            <w:left w:val="none" w:sz="0" w:space="0" w:color="auto"/>
            <w:bottom w:val="none" w:sz="0" w:space="0" w:color="auto"/>
            <w:right w:val="none" w:sz="0" w:space="0" w:color="auto"/>
          </w:divBdr>
          <w:divsChild>
            <w:div w:id="1559315226">
              <w:marLeft w:val="0"/>
              <w:marRight w:val="0"/>
              <w:marTop w:val="0"/>
              <w:marBottom w:val="0"/>
              <w:divBdr>
                <w:top w:val="none" w:sz="0" w:space="0" w:color="auto"/>
                <w:left w:val="none" w:sz="0" w:space="0" w:color="auto"/>
                <w:bottom w:val="none" w:sz="0" w:space="0" w:color="auto"/>
                <w:right w:val="none" w:sz="0" w:space="0" w:color="auto"/>
              </w:divBdr>
            </w:div>
            <w:div w:id="16055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9759">
      <w:bodyDiv w:val="1"/>
      <w:marLeft w:val="0"/>
      <w:marRight w:val="0"/>
      <w:marTop w:val="0"/>
      <w:marBottom w:val="0"/>
      <w:divBdr>
        <w:top w:val="none" w:sz="0" w:space="0" w:color="auto"/>
        <w:left w:val="none" w:sz="0" w:space="0" w:color="auto"/>
        <w:bottom w:val="none" w:sz="0" w:space="0" w:color="auto"/>
        <w:right w:val="none" w:sz="0" w:space="0" w:color="auto"/>
      </w:divBdr>
      <w:divsChild>
        <w:div w:id="1396463990">
          <w:marLeft w:val="0"/>
          <w:marRight w:val="0"/>
          <w:marTop w:val="0"/>
          <w:marBottom w:val="0"/>
          <w:divBdr>
            <w:top w:val="none" w:sz="0" w:space="0" w:color="auto"/>
            <w:left w:val="none" w:sz="0" w:space="0" w:color="auto"/>
            <w:bottom w:val="none" w:sz="0" w:space="0" w:color="auto"/>
            <w:right w:val="none" w:sz="0" w:space="0" w:color="auto"/>
          </w:divBdr>
          <w:divsChild>
            <w:div w:id="147022527">
              <w:marLeft w:val="0"/>
              <w:marRight w:val="0"/>
              <w:marTop w:val="0"/>
              <w:marBottom w:val="0"/>
              <w:divBdr>
                <w:top w:val="none" w:sz="0" w:space="0" w:color="auto"/>
                <w:left w:val="none" w:sz="0" w:space="0" w:color="auto"/>
                <w:bottom w:val="none" w:sz="0" w:space="0" w:color="auto"/>
                <w:right w:val="none" w:sz="0" w:space="0" w:color="auto"/>
              </w:divBdr>
            </w:div>
            <w:div w:id="350231222">
              <w:marLeft w:val="0"/>
              <w:marRight w:val="0"/>
              <w:marTop w:val="0"/>
              <w:marBottom w:val="0"/>
              <w:divBdr>
                <w:top w:val="none" w:sz="0" w:space="0" w:color="auto"/>
                <w:left w:val="none" w:sz="0" w:space="0" w:color="auto"/>
                <w:bottom w:val="none" w:sz="0" w:space="0" w:color="auto"/>
                <w:right w:val="none" w:sz="0" w:space="0" w:color="auto"/>
              </w:divBdr>
            </w:div>
            <w:div w:id="1028600915">
              <w:marLeft w:val="0"/>
              <w:marRight w:val="0"/>
              <w:marTop w:val="0"/>
              <w:marBottom w:val="0"/>
              <w:divBdr>
                <w:top w:val="none" w:sz="0" w:space="0" w:color="auto"/>
                <w:left w:val="none" w:sz="0" w:space="0" w:color="auto"/>
                <w:bottom w:val="none" w:sz="0" w:space="0" w:color="auto"/>
                <w:right w:val="none" w:sz="0" w:space="0" w:color="auto"/>
              </w:divBdr>
            </w:div>
            <w:div w:id="1046566600">
              <w:marLeft w:val="0"/>
              <w:marRight w:val="0"/>
              <w:marTop w:val="0"/>
              <w:marBottom w:val="0"/>
              <w:divBdr>
                <w:top w:val="none" w:sz="0" w:space="0" w:color="auto"/>
                <w:left w:val="none" w:sz="0" w:space="0" w:color="auto"/>
                <w:bottom w:val="none" w:sz="0" w:space="0" w:color="auto"/>
                <w:right w:val="none" w:sz="0" w:space="0" w:color="auto"/>
              </w:divBdr>
            </w:div>
            <w:div w:id="1200439368">
              <w:marLeft w:val="0"/>
              <w:marRight w:val="0"/>
              <w:marTop w:val="0"/>
              <w:marBottom w:val="0"/>
              <w:divBdr>
                <w:top w:val="none" w:sz="0" w:space="0" w:color="auto"/>
                <w:left w:val="none" w:sz="0" w:space="0" w:color="auto"/>
                <w:bottom w:val="none" w:sz="0" w:space="0" w:color="auto"/>
                <w:right w:val="none" w:sz="0" w:space="0" w:color="auto"/>
              </w:divBdr>
            </w:div>
            <w:div w:id="1474711316">
              <w:marLeft w:val="0"/>
              <w:marRight w:val="0"/>
              <w:marTop w:val="0"/>
              <w:marBottom w:val="0"/>
              <w:divBdr>
                <w:top w:val="none" w:sz="0" w:space="0" w:color="auto"/>
                <w:left w:val="none" w:sz="0" w:space="0" w:color="auto"/>
                <w:bottom w:val="none" w:sz="0" w:space="0" w:color="auto"/>
                <w:right w:val="none" w:sz="0" w:space="0" w:color="auto"/>
              </w:divBdr>
            </w:div>
            <w:div w:id="1476675460">
              <w:marLeft w:val="0"/>
              <w:marRight w:val="0"/>
              <w:marTop w:val="0"/>
              <w:marBottom w:val="0"/>
              <w:divBdr>
                <w:top w:val="none" w:sz="0" w:space="0" w:color="auto"/>
                <w:left w:val="none" w:sz="0" w:space="0" w:color="auto"/>
                <w:bottom w:val="none" w:sz="0" w:space="0" w:color="auto"/>
                <w:right w:val="none" w:sz="0" w:space="0" w:color="auto"/>
              </w:divBdr>
            </w:div>
            <w:div w:id="1632437359">
              <w:marLeft w:val="0"/>
              <w:marRight w:val="0"/>
              <w:marTop w:val="0"/>
              <w:marBottom w:val="0"/>
              <w:divBdr>
                <w:top w:val="none" w:sz="0" w:space="0" w:color="auto"/>
                <w:left w:val="none" w:sz="0" w:space="0" w:color="auto"/>
                <w:bottom w:val="none" w:sz="0" w:space="0" w:color="auto"/>
                <w:right w:val="none" w:sz="0" w:space="0" w:color="auto"/>
              </w:divBdr>
            </w:div>
            <w:div w:id="168744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13238">
      <w:bodyDiv w:val="1"/>
      <w:marLeft w:val="0"/>
      <w:marRight w:val="0"/>
      <w:marTop w:val="0"/>
      <w:marBottom w:val="0"/>
      <w:divBdr>
        <w:top w:val="none" w:sz="0" w:space="0" w:color="auto"/>
        <w:left w:val="none" w:sz="0" w:space="0" w:color="auto"/>
        <w:bottom w:val="none" w:sz="0" w:space="0" w:color="auto"/>
        <w:right w:val="none" w:sz="0" w:space="0" w:color="auto"/>
      </w:divBdr>
      <w:divsChild>
        <w:div w:id="1803961219">
          <w:marLeft w:val="0"/>
          <w:marRight w:val="0"/>
          <w:marTop w:val="0"/>
          <w:marBottom w:val="0"/>
          <w:divBdr>
            <w:top w:val="none" w:sz="0" w:space="0" w:color="auto"/>
            <w:left w:val="none" w:sz="0" w:space="0" w:color="auto"/>
            <w:bottom w:val="none" w:sz="0" w:space="0" w:color="auto"/>
            <w:right w:val="none" w:sz="0" w:space="0" w:color="auto"/>
          </w:divBdr>
        </w:div>
      </w:divsChild>
    </w:div>
    <w:div w:id="796603221">
      <w:bodyDiv w:val="1"/>
      <w:marLeft w:val="0"/>
      <w:marRight w:val="0"/>
      <w:marTop w:val="0"/>
      <w:marBottom w:val="0"/>
      <w:divBdr>
        <w:top w:val="none" w:sz="0" w:space="0" w:color="auto"/>
        <w:left w:val="none" w:sz="0" w:space="0" w:color="auto"/>
        <w:bottom w:val="none" w:sz="0" w:space="0" w:color="auto"/>
        <w:right w:val="none" w:sz="0" w:space="0" w:color="auto"/>
      </w:divBdr>
      <w:divsChild>
        <w:div w:id="350375803">
          <w:marLeft w:val="0"/>
          <w:marRight w:val="0"/>
          <w:marTop w:val="0"/>
          <w:marBottom w:val="0"/>
          <w:divBdr>
            <w:top w:val="none" w:sz="0" w:space="0" w:color="auto"/>
            <w:left w:val="none" w:sz="0" w:space="0" w:color="auto"/>
            <w:bottom w:val="none" w:sz="0" w:space="0" w:color="auto"/>
            <w:right w:val="none" w:sz="0" w:space="0" w:color="auto"/>
          </w:divBdr>
        </w:div>
      </w:divsChild>
    </w:div>
    <w:div w:id="817915288">
      <w:bodyDiv w:val="1"/>
      <w:marLeft w:val="0"/>
      <w:marRight w:val="0"/>
      <w:marTop w:val="0"/>
      <w:marBottom w:val="0"/>
      <w:divBdr>
        <w:top w:val="none" w:sz="0" w:space="0" w:color="auto"/>
        <w:left w:val="none" w:sz="0" w:space="0" w:color="auto"/>
        <w:bottom w:val="none" w:sz="0" w:space="0" w:color="auto"/>
        <w:right w:val="none" w:sz="0" w:space="0" w:color="auto"/>
      </w:divBdr>
      <w:divsChild>
        <w:div w:id="419330938">
          <w:marLeft w:val="0"/>
          <w:marRight w:val="0"/>
          <w:marTop w:val="0"/>
          <w:marBottom w:val="0"/>
          <w:divBdr>
            <w:top w:val="none" w:sz="0" w:space="0" w:color="auto"/>
            <w:left w:val="none" w:sz="0" w:space="0" w:color="auto"/>
            <w:bottom w:val="none" w:sz="0" w:space="0" w:color="auto"/>
            <w:right w:val="none" w:sz="0" w:space="0" w:color="auto"/>
          </w:divBdr>
        </w:div>
      </w:divsChild>
    </w:div>
    <w:div w:id="841504027">
      <w:bodyDiv w:val="1"/>
      <w:marLeft w:val="0"/>
      <w:marRight w:val="0"/>
      <w:marTop w:val="0"/>
      <w:marBottom w:val="0"/>
      <w:divBdr>
        <w:top w:val="none" w:sz="0" w:space="0" w:color="auto"/>
        <w:left w:val="none" w:sz="0" w:space="0" w:color="auto"/>
        <w:bottom w:val="none" w:sz="0" w:space="0" w:color="auto"/>
        <w:right w:val="none" w:sz="0" w:space="0" w:color="auto"/>
      </w:divBdr>
      <w:divsChild>
        <w:div w:id="24644707">
          <w:marLeft w:val="547"/>
          <w:marRight w:val="0"/>
          <w:marTop w:val="77"/>
          <w:marBottom w:val="0"/>
          <w:divBdr>
            <w:top w:val="none" w:sz="0" w:space="0" w:color="auto"/>
            <w:left w:val="none" w:sz="0" w:space="0" w:color="auto"/>
            <w:bottom w:val="none" w:sz="0" w:space="0" w:color="auto"/>
            <w:right w:val="none" w:sz="0" w:space="0" w:color="auto"/>
          </w:divBdr>
        </w:div>
        <w:div w:id="264071487">
          <w:marLeft w:val="547"/>
          <w:marRight w:val="0"/>
          <w:marTop w:val="77"/>
          <w:marBottom w:val="0"/>
          <w:divBdr>
            <w:top w:val="none" w:sz="0" w:space="0" w:color="auto"/>
            <w:left w:val="none" w:sz="0" w:space="0" w:color="auto"/>
            <w:bottom w:val="none" w:sz="0" w:space="0" w:color="auto"/>
            <w:right w:val="none" w:sz="0" w:space="0" w:color="auto"/>
          </w:divBdr>
        </w:div>
        <w:div w:id="849412560">
          <w:marLeft w:val="547"/>
          <w:marRight w:val="0"/>
          <w:marTop w:val="77"/>
          <w:marBottom w:val="0"/>
          <w:divBdr>
            <w:top w:val="none" w:sz="0" w:space="0" w:color="auto"/>
            <w:left w:val="none" w:sz="0" w:space="0" w:color="auto"/>
            <w:bottom w:val="none" w:sz="0" w:space="0" w:color="auto"/>
            <w:right w:val="none" w:sz="0" w:space="0" w:color="auto"/>
          </w:divBdr>
        </w:div>
      </w:divsChild>
    </w:div>
    <w:div w:id="843131312">
      <w:bodyDiv w:val="1"/>
      <w:marLeft w:val="0"/>
      <w:marRight w:val="0"/>
      <w:marTop w:val="0"/>
      <w:marBottom w:val="0"/>
      <w:divBdr>
        <w:top w:val="none" w:sz="0" w:space="0" w:color="auto"/>
        <w:left w:val="none" w:sz="0" w:space="0" w:color="auto"/>
        <w:bottom w:val="none" w:sz="0" w:space="0" w:color="auto"/>
        <w:right w:val="none" w:sz="0" w:space="0" w:color="auto"/>
      </w:divBdr>
      <w:divsChild>
        <w:div w:id="1070955965">
          <w:marLeft w:val="547"/>
          <w:marRight w:val="0"/>
          <w:marTop w:val="77"/>
          <w:marBottom w:val="0"/>
          <w:divBdr>
            <w:top w:val="none" w:sz="0" w:space="0" w:color="auto"/>
            <w:left w:val="none" w:sz="0" w:space="0" w:color="auto"/>
            <w:bottom w:val="none" w:sz="0" w:space="0" w:color="auto"/>
            <w:right w:val="none" w:sz="0" w:space="0" w:color="auto"/>
          </w:divBdr>
        </w:div>
        <w:div w:id="492839493">
          <w:marLeft w:val="547"/>
          <w:marRight w:val="0"/>
          <w:marTop w:val="77"/>
          <w:marBottom w:val="0"/>
          <w:divBdr>
            <w:top w:val="none" w:sz="0" w:space="0" w:color="auto"/>
            <w:left w:val="none" w:sz="0" w:space="0" w:color="auto"/>
            <w:bottom w:val="none" w:sz="0" w:space="0" w:color="auto"/>
            <w:right w:val="none" w:sz="0" w:space="0" w:color="auto"/>
          </w:divBdr>
        </w:div>
        <w:div w:id="1863396963">
          <w:marLeft w:val="547"/>
          <w:marRight w:val="0"/>
          <w:marTop w:val="77"/>
          <w:marBottom w:val="0"/>
          <w:divBdr>
            <w:top w:val="none" w:sz="0" w:space="0" w:color="auto"/>
            <w:left w:val="none" w:sz="0" w:space="0" w:color="auto"/>
            <w:bottom w:val="none" w:sz="0" w:space="0" w:color="auto"/>
            <w:right w:val="none" w:sz="0" w:space="0" w:color="auto"/>
          </w:divBdr>
        </w:div>
      </w:divsChild>
    </w:div>
    <w:div w:id="859048206">
      <w:bodyDiv w:val="1"/>
      <w:marLeft w:val="0"/>
      <w:marRight w:val="0"/>
      <w:marTop w:val="0"/>
      <w:marBottom w:val="0"/>
      <w:divBdr>
        <w:top w:val="none" w:sz="0" w:space="0" w:color="auto"/>
        <w:left w:val="none" w:sz="0" w:space="0" w:color="auto"/>
        <w:bottom w:val="none" w:sz="0" w:space="0" w:color="auto"/>
        <w:right w:val="none" w:sz="0" w:space="0" w:color="auto"/>
      </w:divBdr>
      <w:divsChild>
        <w:div w:id="1892769123">
          <w:marLeft w:val="0"/>
          <w:marRight w:val="0"/>
          <w:marTop w:val="0"/>
          <w:marBottom w:val="0"/>
          <w:divBdr>
            <w:top w:val="none" w:sz="0" w:space="0" w:color="auto"/>
            <w:left w:val="none" w:sz="0" w:space="0" w:color="auto"/>
            <w:bottom w:val="none" w:sz="0" w:space="0" w:color="auto"/>
            <w:right w:val="none" w:sz="0" w:space="0" w:color="auto"/>
          </w:divBdr>
        </w:div>
      </w:divsChild>
    </w:div>
    <w:div w:id="875314511">
      <w:bodyDiv w:val="1"/>
      <w:marLeft w:val="0"/>
      <w:marRight w:val="0"/>
      <w:marTop w:val="0"/>
      <w:marBottom w:val="0"/>
      <w:divBdr>
        <w:top w:val="none" w:sz="0" w:space="0" w:color="auto"/>
        <w:left w:val="none" w:sz="0" w:space="0" w:color="auto"/>
        <w:bottom w:val="none" w:sz="0" w:space="0" w:color="auto"/>
        <w:right w:val="none" w:sz="0" w:space="0" w:color="auto"/>
      </w:divBdr>
      <w:divsChild>
        <w:div w:id="1984307510">
          <w:marLeft w:val="0"/>
          <w:marRight w:val="0"/>
          <w:marTop w:val="0"/>
          <w:marBottom w:val="0"/>
          <w:divBdr>
            <w:top w:val="none" w:sz="0" w:space="0" w:color="auto"/>
            <w:left w:val="none" w:sz="0" w:space="0" w:color="auto"/>
            <w:bottom w:val="none" w:sz="0" w:space="0" w:color="auto"/>
            <w:right w:val="none" w:sz="0" w:space="0" w:color="auto"/>
          </w:divBdr>
          <w:divsChild>
            <w:div w:id="364646479">
              <w:marLeft w:val="0"/>
              <w:marRight w:val="0"/>
              <w:marTop w:val="0"/>
              <w:marBottom w:val="0"/>
              <w:divBdr>
                <w:top w:val="none" w:sz="0" w:space="0" w:color="auto"/>
                <w:left w:val="none" w:sz="0" w:space="0" w:color="auto"/>
                <w:bottom w:val="none" w:sz="0" w:space="0" w:color="auto"/>
                <w:right w:val="none" w:sz="0" w:space="0" w:color="auto"/>
              </w:divBdr>
            </w:div>
            <w:div w:id="563830607">
              <w:marLeft w:val="0"/>
              <w:marRight w:val="0"/>
              <w:marTop w:val="0"/>
              <w:marBottom w:val="0"/>
              <w:divBdr>
                <w:top w:val="none" w:sz="0" w:space="0" w:color="auto"/>
                <w:left w:val="none" w:sz="0" w:space="0" w:color="auto"/>
                <w:bottom w:val="none" w:sz="0" w:space="0" w:color="auto"/>
                <w:right w:val="none" w:sz="0" w:space="0" w:color="auto"/>
              </w:divBdr>
            </w:div>
            <w:div w:id="741676539">
              <w:marLeft w:val="0"/>
              <w:marRight w:val="0"/>
              <w:marTop w:val="0"/>
              <w:marBottom w:val="0"/>
              <w:divBdr>
                <w:top w:val="none" w:sz="0" w:space="0" w:color="auto"/>
                <w:left w:val="none" w:sz="0" w:space="0" w:color="auto"/>
                <w:bottom w:val="none" w:sz="0" w:space="0" w:color="auto"/>
                <w:right w:val="none" w:sz="0" w:space="0" w:color="auto"/>
              </w:divBdr>
            </w:div>
            <w:div w:id="1008871425">
              <w:marLeft w:val="0"/>
              <w:marRight w:val="0"/>
              <w:marTop w:val="0"/>
              <w:marBottom w:val="0"/>
              <w:divBdr>
                <w:top w:val="none" w:sz="0" w:space="0" w:color="auto"/>
                <w:left w:val="none" w:sz="0" w:space="0" w:color="auto"/>
                <w:bottom w:val="none" w:sz="0" w:space="0" w:color="auto"/>
                <w:right w:val="none" w:sz="0" w:space="0" w:color="auto"/>
              </w:divBdr>
            </w:div>
            <w:div w:id="1233659853">
              <w:marLeft w:val="0"/>
              <w:marRight w:val="0"/>
              <w:marTop w:val="0"/>
              <w:marBottom w:val="0"/>
              <w:divBdr>
                <w:top w:val="none" w:sz="0" w:space="0" w:color="auto"/>
                <w:left w:val="none" w:sz="0" w:space="0" w:color="auto"/>
                <w:bottom w:val="none" w:sz="0" w:space="0" w:color="auto"/>
                <w:right w:val="none" w:sz="0" w:space="0" w:color="auto"/>
              </w:divBdr>
            </w:div>
            <w:div w:id="1242838124">
              <w:marLeft w:val="0"/>
              <w:marRight w:val="0"/>
              <w:marTop w:val="0"/>
              <w:marBottom w:val="0"/>
              <w:divBdr>
                <w:top w:val="none" w:sz="0" w:space="0" w:color="auto"/>
                <w:left w:val="none" w:sz="0" w:space="0" w:color="auto"/>
                <w:bottom w:val="none" w:sz="0" w:space="0" w:color="auto"/>
                <w:right w:val="none" w:sz="0" w:space="0" w:color="auto"/>
              </w:divBdr>
            </w:div>
            <w:div w:id="1558080735">
              <w:marLeft w:val="0"/>
              <w:marRight w:val="0"/>
              <w:marTop w:val="0"/>
              <w:marBottom w:val="0"/>
              <w:divBdr>
                <w:top w:val="none" w:sz="0" w:space="0" w:color="auto"/>
                <w:left w:val="none" w:sz="0" w:space="0" w:color="auto"/>
                <w:bottom w:val="none" w:sz="0" w:space="0" w:color="auto"/>
                <w:right w:val="none" w:sz="0" w:space="0" w:color="auto"/>
              </w:divBdr>
            </w:div>
            <w:div w:id="177570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629180">
      <w:bodyDiv w:val="1"/>
      <w:marLeft w:val="0"/>
      <w:marRight w:val="0"/>
      <w:marTop w:val="0"/>
      <w:marBottom w:val="0"/>
      <w:divBdr>
        <w:top w:val="none" w:sz="0" w:space="0" w:color="auto"/>
        <w:left w:val="none" w:sz="0" w:space="0" w:color="auto"/>
        <w:bottom w:val="none" w:sz="0" w:space="0" w:color="auto"/>
        <w:right w:val="none" w:sz="0" w:space="0" w:color="auto"/>
      </w:divBdr>
      <w:divsChild>
        <w:div w:id="1345979901">
          <w:marLeft w:val="547"/>
          <w:marRight w:val="0"/>
          <w:marTop w:val="96"/>
          <w:marBottom w:val="0"/>
          <w:divBdr>
            <w:top w:val="none" w:sz="0" w:space="0" w:color="auto"/>
            <w:left w:val="none" w:sz="0" w:space="0" w:color="auto"/>
            <w:bottom w:val="none" w:sz="0" w:space="0" w:color="auto"/>
            <w:right w:val="none" w:sz="0" w:space="0" w:color="auto"/>
          </w:divBdr>
        </w:div>
        <w:div w:id="1215701494">
          <w:marLeft w:val="547"/>
          <w:marRight w:val="0"/>
          <w:marTop w:val="96"/>
          <w:marBottom w:val="0"/>
          <w:divBdr>
            <w:top w:val="none" w:sz="0" w:space="0" w:color="auto"/>
            <w:left w:val="none" w:sz="0" w:space="0" w:color="auto"/>
            <w:bottom w:val="none" w:sz="0" w:space="0" w:color="auto"/>
            <w:right w:val="none" w:sz="0" w:space="0" w:color="auto"/>
          </w:divBdr>
        </w:div>
        <w:div w:id="1561987671">
          <w:marLeft w:val="547"/>
          <w:marRight w:val="0"/>
          <w:marTop w:val="96"/>
          <w:marBottom w:val="0"/>
          <w:divBdr>
            <w:top w:val="none" w:sz="0" w:space="0" w:color="auto"/>
            <w:left w:val="none" w:sz="0" w:space="0" w:color="auto"/>
            <w:bottom w:val="none" w:sz="0" w:space="0" w:color="auto"/>
            <w:right w:val="none" w:sz="0" w:space="0" w:color="auto"/>
          </w:divBdr>
        </w:div>
      </w:divsChild>
    </w:div>
    <w:div w:id="979067388">
      <w:bodyDiv w:val="1"/>
      <w:marLeft w:val="0"/>
      <w:marRight w:val="0"/>
      <w:marTop w:val="0"/>
      <w:marBottom w:val="0"/>
      <w:divBdr>
        <w:top w:val="none" w:sz="0" w:space="0" w:color="auto"/>
        <w:left w:val="none" w:sz="0" w:space="0" w:color="auto"/>
        <w:bottom w:val="none" w:sz="0" w:space="0" w:color="auto"/>
        <w:right w:val="none" w:sz="0" w:space="0" w:color="auto"/>
      </w:divBdr>
    </w:div>
    <w:div w:id="1038966342">
      <w:bodyDiv w:val="1"/>
      <w:marLeft w:val="0"/>
      <w:marRight w:val="0"/>
      <w:marTop w:val="0"/>
      <w:marBottom w:val="0"/>
      <w:divBdr>
        <w:top w:val="none" w:sz="0" w:space="0" w:color="auto"/>
        <w:left w:val="none" w:sz="0" w:space="0" w:color="auto"/>
        <w:bottom w:val="none" w:sz="0" w:space="0" w:color="auto"/>
        <w:right w:val="none" w:sz="0" w:space="0" w:color="auto"/>
      </w:divBdr>
      <w:divsChild>
        <w:div w:id="1960256761">
          <w:marLeft w:val="547"/>
          <w:marRight w:val="0"/>
          <w:marTop w:val="77"/>
          <w:marBottom w:val="0"/>
          <w:divBdr>
            <w:top w:val="none" w:sz="0" w:space="0" w:color="auto"/>
            <w:left w:val="none" w:sz="0" w:space="0" w:color="auto"/>
            <w:bottom w:val="none" w:sz="0" w:space="0" w:color="auto"/>
            <w:right w:val="none" w:sz="0" w:space="0" w:color="auto"/>
          </w:divBdr>
        </w:div>
        <w:div w:id="273639564">
          <w:marLeft w:val="547"/>
          <w:marRight w:val="0"/>
          <w:marTop w:val="77"/>
          <w:marBottom w:val="0"/>
          <w:divBdr>
            <w:top w:val="none" w:sz="0" w:space="0" w:color="auto"/>
            <w:left w:val="none" w:sz="0" w:space="0" w:color="auto"/>
            <w:bottom w:val="none" w:sz="0" w:space="0" w:color="auto"/>
            <w:right w:val="none" w:sz="0" w:space="0" w:color="auto"/>
          </w:divBdr>
        </w:div>
        <w:div w:id="1331908299">
          <w:marLeft w:val="547"/>
          <w:marRight w:val="0"/>
          <w:marTop w:val="77"/>
          <w:marBottom w:val="0"/>
          <w:divBdr>
            <w:top w:val="none" w:sz="0" w:space="0" w:color="auto"/>
            <w:left w:val="none" w:sz="0" w:space="0" w:color="auto"/>
            <w:bottom w:val="none" w:sz="0" w:space="0" w:color="auto"/>
            <w:right w:val="none" w:sz="0" w:space="0" w:color="auto"/>
          </w:divBdr>
        </w:div>
        <w:div w:id="435291645">
          <w:marLeft w:val="547"/>
          <w:marRight w:val="0"/>
          <w:marTop w:val="77"/>
          <w:marBottom w:val="0"/>
          <w:divBdr>
            <w:top w:val="none" w:sz="0" w:space="0" w:color="auto"/>
            <w:left w:val="none" w:sz="0" w:space="0" w:color="auto"/>
            <w:bottom w:val="none" w:sz="0" w:space="0" w:color="auto"/>
            <w:right w:val="none" w:sz="0" w:space="0" w:color="auto"/>
          </w:divBdr>
        </w:div>
      </w:divsChild>
    </w:div>
    <w:div w:id="1039665675">
      <w:bodyDiv w:val="1"/>
      <w:marLeft w:val="54"/>
      <w:marRight w:val="54"/>
      <w:marTop w:val="54"/>
      <w:marBottom w:val="14"/>
      <w:divBdr>
        <w:top w:val="none" w:sz="0" w:space="0" w:color="auto"/>
        <w:left w:val="none" w:sz="0" w:space="0" w:color="auto"/>
        <w:bottom w:val="none" w:sz="0" w:space="0" w:color="auto"/>
        <w:right w:val="none" w:sz="0" w:space="0" w:color="auto"/>
      </w:divBdr>
      <w:divsChild>
        <w:div w:id="604266037">
          <w:marLeft w:val="0"/>
          <w:marRight w:val="0"/>
          <w:marTop w:val="0"/>
          <w:marBottom w:val="0"/>
          <w:divBdr>
            <w:top w:val="none" w:sz="0" w:space="0" w:color="auto"/>
            <w:left w:val="none" w:sz="0" w:space="0" w:color="auto"/>
            <w:bottom w:val="none" w:sz="0" w:space="0" w:color="auto"/>
            <w:right w:val="none" w:sz="0" w:space="0" w:color="auto"/>
          </w:divBdr>
        </w:div>
        <w:div w:id="752555959">
          <w:marLeft w:val="0"/>
          <w:marRight w:val="0"/>
          <w:marTop w:val="0"/>
          <w:marBottom w:val="0"/>
          <w:divBdr>
            <w:top w:val="none" w:sz="0" w:space="0" w:color="auto"/>
            <w:left w:val="none" w:sz="0" w:space="0" w:color="auto"/>
            <w:bottom w:val="none" w:sz="0" w:space="0" w:color="auto"/>
            <w:right w:val="none" w:sz="0" w:space="0" w:color="auto"/>
          </w:divBdr>
        </w:div>
        <w:div w:id="1577125295">
          <w:marLeft w:val="0"/>
          <w:marRight w:val="0"/>
          <w:marTop w:val="0"/>
          <w:marBottom w:val="0"/>
          <w:divBdr>
            <w:top w:val="none" w:sz="0" w:space="0" w:color="auto"/>
            <w:left w:val="none" w:sz="0" w:space="0" w:color="auto"/>
            <w:bottom w:val="none" w:sz="0" w:space="0" w:color="auto"/>
            <w:right w:val="none" w:sz="0" w:space="0" w:color="auto"/>
          </w:divBdr>
        </w:div>
        <w:div w:id="22833175">
          <w:marLeft w:val="0"/>
          <w:marRight w:val="0"/>
          <w:marTop w:val="0"/>
          <w:marBottom w:val="0"/>
          <w:divBdr>
            <w:top w:val="none" w:sz="0" w:space="0" w:color="auto"/>
            <w:left w:val="none" w:sz="0" w:space="0" w:color="auto"/>
            <w:bottom w:val="none" w:sz="0" w:space="0" w:color="auto"/>
            <w:right w:val="none" w:sz="0" w:space="0" w:color="auto"/>
          </w:divBdr>
        </w:div>
        <w:div w:id="1523517723">
          <w:marLeft w:val="0"/>
          <w:marRight w:val="0"/>
          <w:marTop w:val="0"/>
          <w:marBottom w:val="0"/>
          <w:divBdr>
            <w:top w:val="none" w:sz="0" w:space="0" w:color="auto"/>
            <w:left w:val="none" w:sz="0" w:space="0" w:color="auto"/>
            <w:bottom w:val="none" w:sz="0" w:space="0" w:color="auto"/>
            <w:right w:val="none" w:sz="0" w:space="0" w:color="auto"/>
          </w:divBdr>
        </w:div>
        <w:div w:id="1817989847">
          <w:marLeft w:val="0"/>
          <w:marRight w:val="0"/>
          <w:marTop w:val="0"/>
          <w:marBottom w:val="0"/>
          <w:divBdr>
            <w:top w:val="none" w:sz="0" w:space="0" w:color="auto"/>
            <w:left w:val="none" w:sz="0" w:space="0" w:color="auto"/>
            <w:bottom w:val="none" w:sz="0" w:space="0" w:color="auto"/>
            <w:right w:val="none" w:sz="0" w:space="0" w:color="auto"/>
          </w:divBdr>
        </w:div>
        <w:div w:id="759059186">
          <w:marLeft w:val="0"/>
          <w:marRight w:val="0"/>
          <w:marTop w:val="0"/>
          <w:marBottom w:val="0"/>
          <w:divBdr>
            <w:top w:val="none" w:sz="0" w:space="0" w:color="auto"/>
            <w:left w:val="none" w:sz="0" w:space="0" w:color="auto"/>
            <w:bottom w:val="none" w:sz="0" w:space="0" w:color="auto"/>
            <w:right w:val="none" w:sz="0" w:space="0" w:color="auto"/>
          </w:divBdr>
        </w:div>
      </w:divsChild>
    </w:div>
    <w:div w:id="1078870742">
      <w:bodyDiv w:val="1"/>
      <w:marLeft w:val="0"/>
      <w:marRight w:val="0"/>
      <w:marTop w:val="0"/>
      <w:marBottom w:val="0"/>
      <w:divBdr>
        <w:top w:val="none" w:sz="0" w:space="0" w:color="auto"/>
        <w:left w:val="none" w:sz="0" w:space="0" w:color="auto"/>
        <w:bottom w:val="none" w:sz="0" w:space="0" w:color="auto"/>
        <w:right w:val="none" w:sz="0" w:space="0" w:color="auto"/>
      </w:divBdr>
      <w:divsChild>
        <w:div w:id="1900091519">
          <w:marLeft w:val="0"/>
          <w:marRight w:val="0"/>
          <w:marTop w:val="0"/>
          <w:marBottom w:val="0"/>
          <w:divBdr>
            <w:top w:val="none" w:sz="0" w:space="0" w:color="auto"/>
            <w:left w:val="none" w:sz="0" w:space="0" w:color="auto"/>
            <w:bottom w:val="none" w:sz="0" w:space="0" w:color="auto"/>
            <w:right w:val="none" w:sz="0" w:space="0" w:color="auto"/>
          </w:divBdr>
        </w:div>
      </w:divsChild>
    </w:div>
    <w:div w:id="1095397061">
      <w:bodyDiv w:val="1"/>
      <w:marLeft w:val="0"/>
      <w:marRight w:val="0"/>
      <w:marTop w:val="0"/>
      <w:marBottom w:val="0"/>
      <w:divBdr>
        <w:top w:val="none" w:sz="0" w:space="0" w:color="auto"/>
        <w:left w:val="none" w:sz="0" w:space="0" w:color="auto"/>
        <w:bottom w:val="none" w:sz="0" w:space="0" w:color="auto"/>
        <w:right w:val="none" w:sz="0" w:space="0" w:color="auto"/>
      </w:divBdr>
      <w:divsChild>
        <w:div w:id="579291900">
          <w:marLeft w:val="0"/>
          <w:marRight w:val="0"/>
          <w:marTop w:val="0"/>
          <w:marBottom w:val="0"/>
          <w:divBdr>
            <w:top w:val="none" w:sz="0" w:space="0" w:color="auto"/>
            <w:left w:val="none" w:sz="0" w:space="0" w:color="auto"/>
            <w:bottom w:val="none" w:sz="0" w:space="0" w:color="auto"/>
            <w:right w:val="none" w:sz="0" w:space="0" w:color="auto"/>
          </w:divBdr>
        </w:div>
      </w:divsChild>
    </w:div>
    <w:div w:id="1131287136">
      <w:bodyDiv w:val="1"/>
      <w:marLeft w:val="0"/>
      <w:marRight w:val="0"/>
      <w:marTop w:val="0"/>
      <w:marBottom w:val="0"/>
      <w:divBdr>
        <w:top w:val="none" w:sz="0" w:space="0" w:color="auto"/>
        <w:left w:val="none" w:sz="0" w:space="0" w:color="auto"/>
        <w:bottom w:val="none" w:sz="0" w:space="0" w:color="auto"/>
        <w:right w:val="none" w:sz="0" w:space="0" w:color="auto"/>
      </w:divBdr>
      <w:divsChild>
        <w:div w:id="758987425">
          <w:marLeft w:val="0"/>
          <w:marRight w:val="0"/>
          <w:marTop w:val="0"/>
          <w:marBottom w:val="0"/>
          <w:divBdr>
            <w:top w:val="none" w:sz="0" w:space="0" w:color="auto"/>
            <w:left w:val="none" w:sz="0" w:space="0" w:color="auto"/>
            <w:bottom w:val="none" w:sz="0" w:space="0" w:color="auto"/>
            <w:right w:val="none" w:sz="0" w:space="0" w:color="auto"/>
          </w:divBdr>
        </w:div>
      </w:divsChild>
    </w:div>
    <w:div w:id="1224490797">
      <w:bodyDiv w:val="1"/>
      <w:marLeft w:val="0"/>
      <w:marRight w:val="0"/>
      <w:marTop w:val="0"/>
      <w:marBottom w:val="0"/>
      <w:divBdr>
        <w:top w:val="none" w:sz="0" w:space="0" w:color="auto"/>
        <w:left w:val="none" w:sz="0" w:space="0" w:color="auto"/>
        <w:bottom w:val="none" w:sz="0" w:space="0" w:color="auto"/>
        <w:right w:val="none" w:sz="0" w:space="0" w:color="auto"/>
      </w:divBdr>
      <w:divsChild>
        <w:div w:id="351303727">
          <w:marLeft w:val="0"/>
          <w:marRight w:val="0"/>
          <w:marTop w:val="0"/>
          <w:marBottom w:val="0"/>
          <w:divBdr>
            <w:top w:val="none" w:sz="0" w:space="0" w:color="auto"/>
            <w:left w:val="none" w:sz="0" w:space="0" w:color="auto"/>
            <w:bottom w:val="none" w:sz="0" w:space="0" w:color="auto"/>
            <w:right w:val="none" w:sz="0" w:space="0" w:color="auto"/>
          </w:divBdr>
          <w:divsChild>
            <w:div w:id="24792959">
              <w:marLeft w:val="0"/>
              <w:marRight w:val="0"/>
              <w:marTop w:val="0"/>
              <w:marBottom w:val="0"/>
              <w:divBdr>
                <w:top w:val="none" w:sz="0" w:space="0" w:color="auto"/>
                <w:left w:val="none" w:sz="0" w:space="0" w:color="auto"/>
                <w:bottom w:val="none" w:sz="0" w:space="0" w:color="auto"/>
                <w:right w:val="none" w:sz="0" w:space="0" w:color="auto"/>
              </w:divBdr>
            </w:div>
            <w:div w:id="1220826023">
              <w:marLeft w:val="0"/>
              <w:marRight w:val="0"/>
              <w:marTop w:val="0"/>
              <w:marBottom w:val="0"/>
              <w:divBdr>
                <w:top w:val="none" w:sz="0" w:space="0" w:color="auto"/>
                <w:left w:val="none" w:sz="0" w:space="0" w:color="auto"/>
                <w:bottom w:val="none" w:sz="0" w:space="0" w:color="auto"/>
                <w:right w:val="none" w:sz="0" w:space="0" w:color="auto"/>
              </w:divBdr>
            </w:div>
            <w:div w:id="135195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068110">
      <w:bodyDiv w:val="1"/>
      <w:marLeft w:val="0"/>
      <w:marRight w:val="0"/>
      <w:marTop w:val="0"/>
      <w:marBottom w:val="0"/>
      <w:divBdr>
        <w:top w:val="none" w:sz="0" w:space="0" w:color="auto"/>
        <w:left w:val="none" w:sz="0" w:space="0" w:color="auto"/>
        <w:bottom w:val="none" w:sz="0" w:space="0" w:color="auto"/>
        <w:right w:val="none" w:sz="0" w:space="0" w:color="auto"/>
      </w:divBdr>
      <w:divsChild>
        <w:div w:id="1188064792">
          <w:marLeft w:val="0"/>
          <w:marRight w:val="0"/>
          <w:marTop w:val="0"/>
          <w:marBottom w:val="0"/>
          <w:divBdr>
            <w:top w:val="none" w:sz="0" w:space="0" w:color="auto"/>
            <w:left w:val="none" w:sz="0" w:space="0" w:color="auto"/>
            <w:bottom w:val="none" w:sz="0" w:space="0" w:color="auto"/>
            <w:right w:val="none" w:sz="0" w:space="0" w:color="auto"/>
          </w:divBdr>
          <w:divsChild>
            <w:div w:id="20869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72506">
      <w:bodyDiv w:val="1"/>
      <w:marLeft w:val="0"/>
      <w:marRight w:val="0"/>
      <w:marTop w:val="0"/>
      <w:marBottom w:val="0"/>
      <w:divBdr>
        <w:top w:val="none" w:sz="0" w:space="0" w:color="auto"/>
        <w:left w:val="none" w:sz="0" w:space="0" w:color="auto"/>
        <w:bottom w:val="none" w:sz="0" w:space="0" w:color="auto"/>
        <w:right w:val="none" w:sz="0" w:space="0" w:color="auto"/>
      </w:divBdr>
      <w:divsChild>
        <w:div w:id="1118454797">
          <w:marLeft w:val="0"/>
          <w:marRight w:val="0"/>
          <w:marTop w:val="0"/>
          <w:marBottom w:val="0"/>
          <w:divBdr>
            <w:top w:val="none" w:sz="0" w:space="0" w:color="auto"/>
            <w:left w:val="none" w:sz="0" w:space="0" w:color="auto"/>
            <w:bottom w:val="none" w:sz="0" w:space="0" w:color="auto"/>
            <w:right w:val="none" w:sz="0" w:space="0" w:color="auto"/>
          </w:divBdr>
          <w:divsChild>
            <w:div w:id="2929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600381">
      <w:bodyDiv w:val="1"/>
      <w:marLeft w:val="0"/>
      <w:marRight w:val="0"/>
      <w:marTop w:val="0"/>
      <w:marBottom w:val="0"/>
      <w:divBdr>
        <w:top w:val="none" w:sz="0" w:space="0" w:color="auto"/>
        <w:left w:val="none" w:sz="0" w:space="0" w:color="auto"/>
        <w:bottom w:val="none" w:sz="0" w:space="0" w:color="auto"/>
        <w:right w:val="none" w:sz="0" w:space="0" w:color="auto"/>
      </w:divBdr>
      <w:divsChild>
        <w:div w:id="1462066905">
          <w:marLeft w:val="0"/>
          <w:marRight w:val="0"/>
          <w:marTop w:val="0"/>
          <w:marBottom w:val="0"/>
          <w:divBdr>
            <w:top w:val="none" w:sz="0" w:space="0" w:color="auto"/>
            <w:left w:val="none" w:sz="0" w:space="0" w:color="auto"/>
            <w:bottom w:val="none" w:sz="0" w:space="0" w:color="auto"/>
            <w:right w:val="none" w:sz="0" w:space="0" w:color="auto"/>
          </w:divBdr>
          <w:divsChild>
            <w:div w:id="268591535">
              <w:marLeft w:val="0"/>
              <w:marRight w:val="0"/>
              <w:marTop w:val="0"/>
              <w:marBottom w:val="0"/>
              <w:divBdr>
                <w:top w:val="none" w:sz="0" w:space="0" w:color="auto"/>
                <w:left w:val="none" w:sz="0" w:space="0" w:color="auto"/>
                <w:bottom w:val="none" w:sz="0" w:space="0" w:color="auto"/>
                <w:right w:val="none" w:sz="0" w:space="0" w:color="auto"/>
              </w:divBdr>
            </w:div>
            <w:div w:id="271016682">
              <w:marLeft w:val="0"/>
              <w:marRight w:val="0"/>
              <w:marTop w:val="0"/>
              <w:marBottom w:val="0"/>
              <w:divBdr>
                <w:top w:val="none" w:sz="0" w:space="0" w:color="auto"/>
                <w:left w:val="none" w:sz="0" w:space="0" w:color="auto"/>
                <w:bottom w:val="none" w:sz="0" w:space="0" w:color="auto"/>
                <w:right w:val="none" w:sz="0" w:space="0" w:color="auto"/>
              </w:divBdr>
            </w:div>
            <w:div w:id="1437872422">
              <w:marLeft w:val="0"/>
              <w:marRight w:val="0"/>
              <w:marTop w:val="0"/>
              <w:marBottom w:val="0"/>
              <w:divBdr>
                <w:top w:val="none" w:sz="0" w:space="0" w:color="auto"/>
                <w:left w:val="none" w:sz="0" w:space="0" w:color="auto"/>
                <w:bottom w:val="none" w:sz="0" w:space="0" w:color="auto"/>
                <w:right w:val="none" w:sz="0" w:space="0" w:color="auto"/>
              </w:divBdr>
            </w:div>
            <w:div w:id="1500384636">
              <w:marLeft w:val="0"/>
              <w:marRight w:val="0"/>
              <w:marTop w:val="0"/>
              <w:marBottom w:val="0"/>
              <w:divBdr>
                <w:top w:val="none" w:sz="0" w:space="0" w:color="auto"/>
                <w:left w:val="none" w:sz="0" w:space="0" w:color="auto"/>
                <w:bottom w:val="none" w:sz="0" w:space="0" w:color="auto"/>
                <w:right w:val="none" w:sz="0" w:space="0" w:color="auto"/>
              </w:divBdr>
            </w:div>
            <w:div w:id="158533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689261">
      <w:bodyDiv w:val="1"/>
      <w:marLeft w:val="0"/>
      <w:marRight w:val="0"/>
      <w:marTop w:val="0"/>
      <w:marBottom w:val="0"/>
      <w:divBdr>
        <w:top w:val="none" w:sz="0" w:space="0" w:color="auto"/>
        <w:left w:val="none" w:sz="0" w:space="0" w:color="auto"/>
        <w:bottom w:val="none" w:sz="0" w:space="0" w:color="auto"/>
        <w:right w:val="none" w:sz="0" w:space="0" w:color="auto"/>
      </w:divBdr>
    </w:div>
    <w:div w:id="1318218169">
      <w:bodyDiv w:val="1"/>
      <w:marLeft w:val="0"/>
      <w:marRight w:val="0"/>
      <w:marTop w:val="0"/>
      <w:marBottom w:val="0"/>
      <w:divBdr>
        <w:top w:val="none" w:sz="0" w:space="0" w:color="auto"/>
        <w:left w:val="none" w:sz="0" w:space="0" w:color="auto"/>
        <w:bottom w:val="none" w:sz="0" w:space="0" w:color="auto"/>
        <w:right w:val="none" w:sz="0" w:space="0" w:color="auto"/>
      </w:divBdr>
    </w:div>
    <w:div w:id="1364013566">
      <w:bodyDiv w:val="1"/>
      <w:marLeft w:val="0"/>
      <w:marRight w:val="0"/>
      <w:marTop w:val="0"/>
      <w:marBottom w:val="0"/>
      <w:divBdr>
        <w:top w:val="none" w:sz="0" w:space="0" w:color="auto"/>
        <w:left w:val="none" w:sz="0" w:space="0" w:color="auto"/>
        <w:bottom w:val="none" w:sz="0" w:space="0" w:color="auto"/>
        <w:right w:val="none" w:sz="0" w:space="0" w:color="auto"/>
      </w:divBdr>
      <w:divsChild>
        <w:div w:id="253637370">
          <w:marLeft w:val="547"/>
          <w:marRight w:val="0"/>
          <w:marTop w:val="77"/>
          <w:marBottom w:val="0"/>
          <w:divBdr>
            <w:top w:val="none" w:sz="0" w:space="0" w:color="auto"/>
            <w:left w:val="none" w:sz="0" w:space="0" w:color="auto"/>
            <w:bottom w:val="none" w:sz="0" w:space="0" w:color="auto"/>
            <w:right w:val="none" w:sz="0" w:space="0" w:color="auto"/>
          </w:divBdr>
        </w:div>
        <w:div w:id="452600772">
          <w:marLeft w:val="547"/>
          <w:marRight w:val="0"/>
          <w:marTop w:val="77"/>
          <w:marBottom w:val="0"/>
          <w:divBdr>
            <w:top w:val="none" w:sz="0" w:space="0" w:color="auto"/>
            <w:left w:val="none" w:sz="0" w:space="0" w:color="auto"/>
            <w:bottom w:val="none" w:sz="0" w:space="0" w:color="auto"/>
            <w:right w:val="none" w:sz="0" w:space="0" w:color="auto"/>
          </w:divBdr>
        </w:div>
        <w:div w:id="543714655">
          <w:marLeft w:val="547"/>
          <w:marRight w:val="0"/>
          <w:marTop w:val="77"/>
          <w:marBottom w:val="0"/>
          <w:divBdr>
            <w:top w:val="none" w:sz="0" w:space="0" w:color="auto"/>
            <w:left w:val="none" w:sz="0" w:space="0" w:color="auto"/>
            <w:bottom w:val="none" w:sz="0" w:space="0" w:color="auto"/>
            <w:right w:val="none" w:sz="0" w:space="0" w:color="auto"/>
          </w:divBdr>
        </w:div>
        <w:div w:id="1111825529">
          <w:marLeft w:val="547"/>
          <w:marRight w:val="0"/>
          <w:marTop w:val="77"/>
          <w:marBottom w:val="0"/>
          <w:divBdr>
            <w:top w:val="none" w:sz="0" w:space="0" w:color="auto"/>
            <w:left w:val="none" w:sz="0" w:space="0" w:color="auto"/>
            <w:bottom w:val="none" w:sz="0" w:space="0" w:color="auto"/>
            <w:right w:val="none" w:sz="0" w:space="0" w:color="auto"/>
          </w:divBdr>
        </w:div>
      </w:divsChild>
    </w:div>
    <w:div w:id="1379668974">
      <w:bodyDiv w:val="1"/>
      <w:marLeft w:val="0"/>
      <w:marRight w:val="0"/>
      <w:marTop w:val="0"/>
      <w:marBottom w:val="0"/>
      <w:divBdr>
        <w:top w:val="none" w:sz="0" w:space="0" w:color="auto"/>
        <w:left w:val="none" w:sz="0" w:space="0" w:color="auto"/>
        <w:bottom w:val="none" w:sz="0" w:space="0" w:color="auto"/>
        <w:right w:val="none" w:sz="0" w:space="0" w:color="auto"/>
      </w:divBdr>
      <w:divsChild>
        <w:div w:id="1203176944">
          <w:marLeft w:val="0"/>
          <w:marRight w:val="0"/>
          <w:marTop w:val="0"/>
          <w:marBottom w:val="0"/>
          <w:divBdr>
            <w:top w:val="none" w:sz="0" w:space="0" w:color="auto"/>
            <w:left w:val="none" w:sz="0" w:space="0" w:color="auto"/>
            <w:bottom w:val="none" w:sz="0" w:space="0" w:color="auto"/>
            <w:right w:val="none" w:sz="0" w:space="0" w:color="auto"/>
          </w:divBdr>
          <w:divsChild>
            <w:div w:id="110590846">
              <w:marLeft w:val="0"/>
              <w:marRight w:val="0"/>
              <w:marTop w:val="0"/>
              <w:marBottom w:val="0"/>
              <w:divBdr>
                <w:top w:val="none" w:sz="0" w:space="0" w:color="auto"/>
                <w:left w:val="none" w:sz="0" w:space="0" w:color="auto"/>
                <w:bottom w:val="none" w:sz="0" w:space="0" w:color="auto"/>
                <w:right w:val="none" w:sz="0" w:space="0" w:color="auto"/>
              </w:divBdr>
            </w:div>
            <w:div w:id="884148243">
              <w:marLeft w:val="0"/>
              <w:marRight w:val="0"/>
              <w:marTop w:val="0"/>
              <w:marBottom w:val="0"/>
              <w:divBdr>
                <w:top w:val="none" w:sz="0" w:space="0" w:color="auto"/>
                <w:left w:val="none" w:sz="0" w:space="0" w:color="auto"/>
                <w:bottom w:val="none" w:sz="0" w:space="0" w:color="auto"/>
                <w:right w:val="none" w:sz="0" w:space="0" w:color="auto"/>
              </w:divBdr>
            </w:div>
            <w:div w:id="1427536763">
              <w:marLeft w:val="0"/>
              <w:marRight w:val="0"/>
              <w:marTop w:val="0"/>
              <w:marBottom w:val="0"/>
              <w:divBdr>
                <w:top w:val="none" w:sz="0" w:space="0" w:color="auto"/>
                <w:left w:val="none" w:sz="0" w:space="0" w:color="auto"/>
                <w:bottom w:val="none" w:sz="0" w:space="0" w:color="auto"/>
                <w:right w:val="none" w:sz="0" w:space="0" w:color="auto"/>
              </w:divBdr>
            </w:div>
            <w:div w:id="1546478541">
              <w:marLeft w:val="0"/>
              <w:marRight w:val="0"/>
              <w:marTop w:val="0"/>
              <w:marBottom w:val="0"/>
              <w:divBdr>
                <w:top w:val="none" w:sz="0" w:space="0" w:color="auto"/>
                <w:left w:val="none" w:sz="0" w:space="0" w:color="auto"/>
                <w:bottom w:val="none" w:sz="0" w:space="0" w:color="auto"/>
                <w:right w:val="none" w:sz="0" w:space="0" w:color="auto"/>
              </w:divBdr>
            </w:div>
            <w:div w:id="1773235511">
              <w:marLeft w:val="0"/>
              <w:marRight w:val="0"/>
              <w:marTop w:val="0"/>
              <w:marBottom w:val="0"/>
              <w:divBdr>
                <w:top w:val="none" w:sz="0" w:space="0" w:color="auto"/>
                <w:left w:val="none" w:sz="0" w:space="0" w:color="auto"/>
                <w:bottom w:val="none" w:sz="0" w:space="0" w:color="auto"/>
                <w:right w:val="none" w:sz="0" w:space="0" w:color="auto"/>
              </w:divBdr>
            </w:div>
            <w:div w:id="1879663518">
              <w:marLeft w:val="0"/>
              <w:marRight w:val="0"/>
              <w:marTop w:val="0"/>
              <w:marBottom w:val="0"/>
              <w:divBdr>
                <w:top w:val="none" w:sz="0" w:space="0" w:color="auto"/>
                <w:left w:val="none" w:sz="0" w:space="0" w:color="auto"/>
                <w:bottom w:val="none" w:sz="0" w:space="0" w:color="auto"/>
                <w:right w:val="none" w:sz="0" w:space="0" w:color="auto"/>
              </w:divBdr>
            </w:div>
            <w:div w:id="20194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46317">
      <w:bodyDiv w:val="1"/>
      <w:marLeft w:val="0"/>
      <w:marRight w:val="0"/>
      <w:marTop w:val="0"/>
      <w:marBottom w:val="0"/>
      <w:divBdr>
        <w:top w:val="none" w:sz="0" w:space="0" w:color="auto"/>
        <w:left w:val="none" w:sz="0" w:space="0" w:color="auto"/>
        <w:bottom w:val="none" w:sz="0" w:space="0" w:color="auto"/>
        <w:right w:val="none" w:sz="0" w:space="0" w:color="auto"/>
      </w:divBdr>
      <w:divsChild>
        <w:div w:id="1363172648">
          <w:marLeft w:val="547"/>
          <w:marRight w:val="0"/>
          <w:marTop w:val="67"/>
          <w:marBottom w:val="0"/>
          <w:divBdr>
            <w:top w:val="none" w:sz="0" w:space="0" w:color="auto"/>
            <w:left w:val="none" w:sz="0" w:space="0" w:color="auto"/>
            <w:bottom w:val="none" w:sz="0" w:space="0" w:color="auto"/>
            <w:right w:val="none" w:sz="0" w:space="0" w:color="auto"/>
          </w:divBdr>
        </w:div>
        <w:div w:id="1650327783">
          <w:marLeft w:val="547"/>
          <w:marRight w:val="0"/>
          <w:marTop w:val="67"/>
          <w:marBottom w:val="0"/>
          <w:divBdr>
            <w:top w:val="none" w:sz="0" w:space="0" w:color="auto"/>
            <w:left w:val="none" w:sz="0" w:space="0" w:color="auto"/>
            <w:bottom w:val="none" w:sz="0" w:space="0" w:color="auto"/>
            <w:right w:val="none" w:sz="0" w:space="0" w:color="auto"/>
          </w:divBdr>
        </w:div>
        <w:div w:id="838959017">
          <w:marLeft w:val="547"/>
          <w:marRight w:val="0"/>
          <w:marTop w:val="67"/>
          <w:marBottom w:val="0"/>
          <w:divBdr>
            <w:top w:val="none" w:sz="0" w:space="0" w:color="auto"/>
            <w:left w:val="none" w:sz="0" w:space="0" w:color="auto"/>
            <w:bottom w:val="none" w:sz="0" w:space="0" w:color="auto"/>
            <w:right w:val="none" w:sz="0" w:space="0" w:color="auto"/>
          </w:divBdr>
        </w:div>
        <w:div w:id="1770662617">
          <w:marLeft w:val="547"/>
          <w:marRight w:val="0"/>
          <w:marTop w:val="67"/>
          <w:marBottom w:val="0"/>
          <w:divBdr>
            <w:top w:val="none" w:sz="0" w:space="0" w:color="auto"/>
            <w:left w:val="none" w:sz="0" w:space="0" w:color="auto"/>
            <w:bottom w:val="none" w:sz="0" w:space="0" w:color="auto"/>
            <w:right w:val="none" w:sz="0" w:space="0" w:color="auto"/>
          </w:divBdr>
        </w:div>
        <w:div w:id="855775930">
          <w:marLeft w:val="547"/>
          <w:marRight w:val="0"/>
          <w:marTop w:val="67"/>
          <w:marBottom w:val="0"/>
          <w:divBdr>
            <w:top w:val="none" w:sz="0" w:space="0" w:color="auto"/>
            <w:left w:val="none" w:sz="0" w:space="0" w:color="auto"/>
            <w:bottom w:val="none" w:sz="0" w:space="0" w:color="auto"/>
            <w:right w:val="none" w:sz="0" w:space="0" w:color="auto"/>
          </w:divBdr>
        </w:div>
      </w:divsChild>
    </w:div>
    <w:div w:id="1388072248">
      <w:bodyDiv w:val="1"/>
      <w:marLeft w:val="0"/>
      <w:marRight w:val="0"/>
      <w:marTop w:val="0"/>
      <w:marBottom w:val="0"/>
      <w:divBdr>
        <w:top w:val="none" w:sz="0" w:space="0" w:color="auto"/>
        <w:left w:val="none" w:sz="0" w:space="0" w:color="auto"/>
        <w:bottom w:val="none" w:sz="0" w:space="0" w:color="auto"/>
        <w:right w:val="none" w:sz="0" w:space="0" w:color="auto"/>
      </w:divBdr>
      <w:divsChild>
        <w:div w:id="1157919704">
          <w:marLeft w:val="0"/>
          <w:marRight w:val="0"/>
          <w:marTop w:val="0"/>
          <w:marBottom w:val="0"/>
          <w:divBdr>
            <w:top w:val="none" w:sz="0" w:space="0" w:color="auto"/>
            <w:left w:val="none" w:sz="0" w:space="0" w:color="auto"/>
            <w:bottom w:val="none" w:sz="0" w:space="0" w:color="auto"/>
            <w:right w:val="none" w:sz="0" w:space="0" w:color="auto"/>
          </w:divBdr>
          <w:divsChild>
            <w:div w:id="302471990">
              <w:marLeft w:val="0"/>
              <w:marRight w:val="0"/>
              <w:marTop w:val="0"/>
              <w:marBottom w:val="0"/>
              <w:divBdr>
                <w:top w:val="none" w:sz="0" w:space="0" w:color="auto"/>
                <w:left w:val="none" w:sz="0" w:space="0" w:color="auto"/>
                <w:bottom w:val="none" w:sz="0" w:space="0" w:color="auto"/>
                <w:right w:val="none" w:sz="0" w:space="0" w:color="auto"/>
              </w:divBdr>
            </w:div>
            <w:div w:id="169538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4818">
      <w:bodyDiv w:val="1"/>
      <w:marLeft w:val="0"/>
      <w:marRight w:val="0"/>
      <w:marTop w:val="0"/>
      <w:marBottom w:val="0"/>
      <w:divBdr>
        <w:top w:val="none" w:sz="0" w:space="0" w:color="auto"/>
        <w:left w:val="none" w:sz="0" w:space="0" w:color="auto"/>
        <w:bottom w:val="none" w:sz="0" w:space="0" w:color="auto"/>
        <w:right w:val="none" w:sz="0" w:space="0" w:color="auto"/>
      </w:divBdr>
      <w:divsChild>
        <w:div w:id="1866866355">
          <w:marLeft w:val="1166"/>
          <w:marRight w:val="0"/>
          <w:marTop w:val="86"/>
          <w:marBottom w:val="0"/>
          <w:divBdr>
            <w:top w:val="none" w:sz="0" w:space="0" w:color="auto"/>
            <w:left w:val="none" w:sz="0" w:space="0" w:color="auto"/>
            <w:bottom w:val="none" w:sz="0" w:space="0" w:color="auto"/>
            <w:right w:val="none" w:sz="0" w:space="0" w:color="auto"/>
          </w:divBdr>
        </w:div>
        <w:div w:id="1364863323">
          <w:marLeft w:val="1166"/>
          <w:marRight w:val="0"/>
          <w:marTop w:val="86"/>
          <w:marBottom w:val="0"/>
          <w:divBdr>
            <w:top w:val="none" w:sz="0" w:space="0" w:color="auto"/>
            <w:left w:val="none" w:sz="0" w:space="0" w:color="auto"/>
            <w:bottom w:val="none" w:sz="0" w:space="0" w:color="auto"/>
            <w:right w:val="none" w:sz="0" w:space="0" w:color="auto"/>
          </w:divBdr>
        </w:div>
        <w:div w:id="668214942">
          <w:marLeft w:val="1166"/>
          <w:marRight w:val="0"/>
          <w:marTop w:val="86"/>
          <w:marBottom w:val="0"/>
          <w:divBdr>
            <w:top w:val="none" w:sz="0" w:space="0" w:color="auto"/>
            <w:left w:val="none" w:sz="0" w:space="0" w:color="auto"/>
            <w:bottom w:val="none" w:sz="0" w:space="0" w:color="auto"/>
            <w:right w:val="none" w:sz="0" w:space="0" w:color="auto"/>
          </w:divBdr>
        </w:div>
        <w:div w:id="1373917782">
          <w:marLeft w:val="1166"/>
          <w:marRight w:val="0"/>
          <w:marTop w:val="86"/>
          <w:marBottom w:val="0"/>
          <w:divBdr>
            <w:top w:val="none" w:sz="0" w:space="0" w:color="auto"/>
            <w:left w:val="none" w:sz="0" w:space="0" w:color="auto"/>
            <w:bottom w:val="none" w:sz="0" w:space="0" w:color="auto"/>
            <w:right w:val="none" w:sz="0" w:space="0" w:color="auto"/>
          </w:divBdr>
        </w:div>
      </w:divsChild>
    </w:div>
    <w:div w:id="1455052981">
      <w:bodyDiv w:val="1"/>
      <w:marLeft w:val="0"/>
      <w:marRight w:val="0"/>
      <w:marTop w:val="0"/>
      <w:marBottom w:val="0"/>
      <w:divBdr>
        <w:top w:val="none" w:sz="0" w:space="0" w:color="auto"/>
        <w:left w:val="none" w:sz="0" w:space="0" w:color="auto"/>
        <w:bottom w:val="none" w:sz="0" w:space="0" w:color="auto"/>
        <w:right w:val="none" w:sz="0" w:space="0" w:color="auto"/>
      </w:divBdr>
    </w:div>
    <w:div w:id="1526676446">
      <w:bodyDiv w:val="1"/>
      <w:marLeft w:val="0"/>
      <w:marRight w:val="0"/>
      <w:marTop w:val="0"/>
      <w:marBottom w:val="0"/>
      <w:divBdr>
        <w:top w:val="none" w:sz="0" w:space="0" w:color="auto"/>
        <w:left w:val="none" w:sz="0" w:space="0" w:color="auto"/>
        <w:bottom w:val="none" w:sz="0" w:space="0" w:color="auto"/>
        <w:right w:val="none" w:sz="0" w:space="0" w:color="auto"/>
      </w:divBdr>
      <w:divsChild>
        <w:div w:id="1227691042">
          <w:marLeft w:val="547"/>
          <w:marRight w:val="0"/>
          <w:marTop w:val="77"/>
          <w:marBottom w:val="0"/>
          <w:divBdr>
            <w:top w:val="none" w:sz="0" w:space="0" w:color="auto"/>
            <w:left w:val="none" w:sz="0" w:space="0" w:color="auto"/>
            <w:bottom w:val="none" w:sz="0" w:space="0" w:color="auto"/>
            <w:right w:val="none" w:sz="0" w:space="0" w:color="auto"/>
          </w:divBdr>
        </w:div>
        <w:div w:id="1602226192">
          <w:marLeft w:val="547"/>
          <w:marRight w:val="0"/>
          <w:marTop w:val="77"/>
          <w:marBottom w:val="0"/>
          <w:divBdr>
            <w:top w:val="none" w:sz="0" w:space="0" w:color="auto"/>
            <w:left w:val="none" w:sz="0" w:space="0" w:color="auto"/>
            <w:bottom w:val="none" w:sz="0" w:space="0" w:color="auto"/>
            <w:right w:val="none" w:sz="0" w:space="0" w:color="auto"/>
          </w:divBdr>
        </w:div>
        <w:div w:id="639502414">
          <w:marLeft w:val="547"/>
          <w:marRight w:val="0"/>
          <w:marTop w:val="77"/>
          <w:marBottom w:val="0"/>
          <w:divBdr>
            <w:top w:val="none" w:sz="0" w:space="0" w:color="auto"/>
            <w:left w:val="none" w:sz="0" w:space="0" w:color="auto"/>
            <w:bottom w:val="none" w:sz="0" w:space="0" w:color="auto"/>
            <w:right w:val="none" w:sz="0" w:space="0" w:color="auto"/>
          </w:divBdr>
        </w:div>
        <w:div w:id="897786345">
          <w:marLeft w:val="547"/>
          <w:marRight w:val="0"/>
          <w:marTop w:val="77"/>
          <w:marBottom w:val="0"/>
          <w:divBdr>
            <w:top w:val="none" w:sz="0" w:space="0" w:color="auto"/>
            <w:left w:val="none" w:sz="0" w:space="0" w:color="auto"/>
            <w:bottom w:val="none" w:sz="0" w:space="0" w:color="auto"/>
            <w:right w:val="none" w:sz="0" w:space="0" w:color="auto"/>
          </w:divBdr>
        </w:div>
        <w:div w:id="1731033165">
          <w:marLeft w:val="547"/>
          <w:marRight w:val="0"/>
          <w:marTop w:val="77"/>
          <w:marBottom w:val="0"/>
          <w:divBdr>
            <w:top w:val="none" w:sz="0" w:space="0" w:color="auto"/>
            <w:left w:val="none" w:sz="0" w:space="0" w:color="auto"/>
            <w:bottom w:val="none" w:sz="0" w:space="0" w:color="auto"/>
            <w:right w:val="none" w:sz="0" w:space="0" w:color="auto"/>
          </w:divBdr>
        </w:div>
      </w:divsChild>
    </w:div>
    <w:div w:id="1527015343">
      <w:bodyDiv w:val="1"/>
      <w:marLeft w:val="0"/>
      <w:marRight w:val="0"/>
      <w:marTop w:val="0"/>
      <w:marBottom w:val="0"/>
      <w:divBdr>
        <w:top w:val="none" w:sz="0" w:space="0" w:color="auto"/>
        <w:left w:val="none" w:sz="0" w:space="0" w:color="auto"/>
        <w:bottom w:val="none" w:sz="0" w:space="0" w:color="auto"/>
        <w:right w:val="none" w:sz="0" w:space="0" w:color="auto"/>
      </w:divBdr>
      <w:divsChild>
        <w:div w:id="1694189091">
          <w:marLeft w:val="0"/>
          <w:marRight w:val="0"/>
          <w:marTop w:val="0"/>
          <w:marBottom w:val="0"/>
          <w:divBdr>
            <w:top w:val="none" w:sz="0" w:space="0" w:color="auto"/>
            <w:left w:val="none" w:sz="0" w:space="0" w:color="auto"/>
            <w:bottom w:val="none" w:sz="0" w:space="0" w:color="auto"/>
            <w:right w:val="none" w:sz="0" w:space="0" w:color="auto"/>
          </w:divBdr>
          <w:divsChild>
            <w:div w:id="196897821">
              <w:marLeft w:val="0"/>
              <w:marRight w:val="0"/>
              <w:marTop w:val="0"/>
              <w:marBottom w:val="0"/>
              <w:divBdr>
                <w:top w:val="none" w:sz="0" w:space="0" w:color="auto"/>
                <w:left w:val="none" w:sz="0" w:space="0" w:color="auto"/>
                <w:bottom w:val="none" w:sz="0" w:space="0" w:color="auto"/>
                <w:right w:val="none" w:sz="0" w:space="0" w:color="auto"/>
              </w:divBdr>
            </w:div>
            <w:div w:id="794640968">
              <w:marLeft w:val="0"/>
              <w:marRight w:val="0"/>
              <w:marTop w:val="0"/>
              <w:marBottom w:val="0"/>
              <w:divBdr>
                <w:top w:val="none" w:sz="0" w:space="0" w:color="auto"/>
                <w:left w:val="none" w:sz="0" w:space="0" w:color="auto"/>
                <w:bottom w:val="none" w:sz="0" w:space="0" w:color="auto"/>
                <w:right w:val="none" w:sz="0" w:space="0" w:color="auto"/>
              </w:divBdr>
            </w:div>
            <w:div w:id="1745183567">
              <w:marLeft w:val="0"/>
              <w:marRight w:val="0"/>
              <w:marTop w:val="0"/>
              <w:marBottom w:val="0"/>
              <w:divBdr>
                <w:top w:val="none" w:sz="0" w:space="0" w:color="auto"/>
                <w:left w:val="none" w:sz="0" w:space="0" w:color="auto"/>
                <w:bottom w:val="none" w:sz="0" w:space="0" w:color="auto"/>
                <w:right w:val="none" w:sz="0" w:space="0" w:color="auto"/>
              </w:divBdr>
            </w:div>
            <w:div w:id="20746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24936">
      <w:bodyDiv w:val="1"/>
      <w:marLeft w:val="0"/>
      <w:marRight w:val="0"/>
      <w:marTop w:val="0"/>
      <w:marBottom w:val="0"/>
      <w:divBdr>
        <w:top w:val="none" w:sz="0" w:space="0" w:color="auto"/>
        <w:left w:val="none" w:sz="0" w:space="0" w:color="auto"/>
        <w:bottom w:val="none" w:sz="0" w:space="0" w:color="auto"/>
        <w:right w:val="none" w:sz="0" w:space="0" w:color="auto"/>
      </w:divBdr>
      <w:divsChild>
        <w:div w:id="803817229">
          <w:marLeft w:val="0"/>
          <w:marRight w:val="0"/>
          <w:marTop w:val="0"/>
          <w:marBottom w:val="0"/>
          <w:divBdr>
            <w:top w:val="none" w:sz="0" w:space="0" w:color="auto"/>
            <w:left w:val="none" w:sz="0" w:space="0" w:color="auto"/>
            <w:bottom w:val="none" w:sz="0" w:space="0" w:color="auto"/>
            <w:right w:val="none" w:sz="0" w:space="0" w:color="auto"/>
          </w:divBdr>
          <w:divsChild>
            <w:div w:id="1263805215">
              <w:marLeft w:val="0"/>
              <w:marRight w:val="0"/>
              <w:marTop w:val="0"/>
              <w:marBottom w:val="0"/>
              <w:divBdr>
                <w:top w:val="none" w:sz="0" w:space="0" w:color="auto"/>
                <w:left w:val="none" w:sz="0" w:space="0" w:color="auto"/>
                <w:bottom w:val="none" w:sz="0" w:space="0" w:color="auto"/>
                <w:right w:val="none" w:sz="0" w:space="0" w:color="auto"/>
              </w:divBdr>
            </w:div>
            <w:div w:id="161540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6343">
      <w:bodyDiv w:val="1"/>
      <w:marLeft w:val="0"/>
      <w:marRight w:val="0"/>
      <w:marTop w:val="0"/>
      <w:marBottom w:val="0"/>
      <w:divBdr>
        <w:top w:val="none" w:sz="0" w:space="0" w:color="auto"/>
        <w:left w:val="none" w:sz="0" w:space="0" w:color="auto"/>
        <w:bottom w:val="none" w:sz="0" w:space="0" w:color="auto"/>
        <w:right w:val="none" w:sz="0" w:space="0" w:color="auto"/>
      </w:divBdr>
      <w:divsChild>
        <w:div w:id="198856125">
          <w:marLeft w:val="547"/>
          <w:marRight w:val="0"/>
          <w:marTop w:val="82"/>
          <w:marBottom w:val="0"/>
          <w:divBdr>
            <w:top w:val="none" w:sz="0" w:space="0" w:color="auto"/>
            <w:left w:val="none" w:sz="0" w:space="0" w:color="auto"/>
            <w:bottom w:val="none" w:sz="0" w:space="0" w:color="auto"/>
            <w:right w:val="none" w:sz="0" w:space="0" w:color="auto"/>
          </w:divBdr>
        </w:div>
        <w:div w:id="674379064">
          <w:marLeft w:val="547"/>
          <w:marRight w:val="0"/>
          <w:marTop w:val="82"/>
          <w:marBottom w:val="0"/>
          <w:divBdr>
            <w:top w:val="none" w:sz="0" w:space="0" w:color="auto"/>
            <w:left w:val="none" w:sz="0" w:space="0" w:color="auto"/>
            <w:bottom w:val="none" w:sz="0" w:space="0" w:color="auto"/>
            <w:right w:val="none" w:sz="0" w:space="0" w:color="auto"/>
          </w:divBdr>
        </w:div>
        <w:div w:id="1038163575">
          <w:marLeft w:val="547"/>
          <w:marRight w:val="0"/>
          <w:marTop w:val="82"/>
          <w:marBottom w:val="0"/>
          <w:divBdr>
            <w:top w:val="none" w:sz="0" w:space="0" w:color="auto"/>
            <w:left w:val="none" w:sz="0" w:space="0" w:color="auto"/>
            <w:bottom w:val="none" w:sz="0" w:space="0" w:color="auto"/>
            <w:right w:val="none" w:sz="0" w:space="0" w:color="auto"/>
          </w:divBdr>
        </w:div>
        <w:div w:id="1246571288">
          <w:marLeft w:val="547"/>
          <w:marRight w:val="0"/>
          <w:marTop w:val="82"/>
          <w:marBottom w:val="0"/>
          <w:divBdr>
            <w:top w:val="none" w:sz="0" w:space="0" w:color="auto"/>
            <w:left w:val="none" w:sz="0" w:space="0" w:color="auto"/>
            <w:bottom w:val="none" w:sz="0" w:space="0" w:color="auto"/>
            <w:right w:val="none" w:sz="0" w:space="0" w:color="auto"/>
          </w:divBdr>
        </w:div>
        <w:div w:id="1282374945">
          <w:marLeft w:val="547"/>
          <w:marRight w:val="0"/>
          <w:marTop w:val="82"/>
          <w:marBottom w:val="0"/>
          <w:divBdr>
            <w:top w:val="none" w:sz="0" w:space="0" w:color="auto"/>
            <w:left w:val="none" w:sz="0" w:space="0" w:color="auto"/>
            <w:bottom w:val="none" w:sz="0" w:space="0" w:color="auto"/>
            <w:right w:val="none" w:sz="0" w:space="0" w:color="auto"/>
          </w:divBdr>
        </w:div>
        <w:div w:id="1555461970">
          <w:marLeft w:val="547"/>
          <w:marRight w:val="0"/>
          <w:marTop w:val="82"/>
          <w:marBottom w:val="0"/>
          <w:divBdr>
            <w:top w:val="none" w:sz="0" w:space="0" w:color="auto"/>
            <w:left w:val="none" w:sz="0" w:space="0" w:color="auto"/>
            <w:bottom w:val="none" w:sz="0" w:space="0" w:color="auto"/>
            <w:right w:val="none" w:sz="0" w:space="0" w:color="auto"/>
          </w:divBdr>
        </w:div>
        <w:div w:id="1588270080">
          <w:marLeft w:val="547"/>
          <w:marRight w:val="0"/>
          <w:marTop w:val="82"/>
          <w:marBottom w:val="0"/>
          <w:divBdr>
            <w:top w:val="none" w:sz="0" w:space="0" w:color="auto"/>
            <w:left w:val="none" w:sz="0" w:space="0" w:color="auto"/>
            <w:bottom w:val="none" w:sz="0" w:space="0" w:color="auto"/>
            <w:right w:val="none" w:sz="0" w:space="0" w:color="auto"/>
          </w:divBdr>
        </w:div>
        <w:div w:id="1703432637">
          <w:marLeft w:val="547"/>
          <w:marRight w:val="0"/>
          <w:marTop w:val="82"/>
          <w:marBottom w:val="0"/>
          <w:divBdr>
            <w:top w:val="none" w:sz="0" w:space="0" w:color="auto"/>
            <w:left w:val="none" w:sz="0" w:space="0" w:color="auto"/>
            <w:bottom w:val="none" w:sz="0" w:space="0" w:color="auto"/>
            <w:right w:val="none" w:sz="0" w:space="0" w:color="auto"/>
          </w:divBdr>
        </w:div>
        <w:div w:id="1738091909">
          <w:marLeft w:val="547"/>
          <w:marRight w:val="0"/>
          <w:marTop w:val="82"/>
          <w:marBottom w:val="0"/>
          <w:divBdr>
            <w:top w:val="none" w:sz="0" w:space="0" w:color="auto"/>
            <w:left w:val="none" w:sz="0" w:space="0" w:color="auto"/>
            <w:bottom w:val="none" w:sz="0" w:space="0" w:color="auto"/>
            <w:right w:val="none" w:sz="0" w:space="0" w:color="auto"/>
          </w:divBdr>
        </w:div>
        <w:div w:id="1875342570">
          <w:marLeft w:val="547"/>
          <w:marRight w:val="0"/>
          <w:marTop w:val="82"/>
          <w:marBottom w:val="0"/>
          <w:divBdr>
            <w:top w:val="none" w:sz="0" w:space="0" w:color="auto"/>
            <w:left w:val="none" w:sz="0" w:space="0" w:color="auto"/>
            <w:bottom w:val="none" w:sz="0" w:space="0" w:color="auto"/>
            <w:right w:val="none" w:sz="0" w:space="0" w:color="auto"/>
          </w:divBdr>
        </w:div>
      </w:divsChild>
    </w:div>
    <w:div w:id="1610315008">
      <w:bodyDiv w:val="1"/>
      <w:marLeft w:val="0"/>
      <w:marRight w:val="0"/>
      <w:marTop w:val="0"/>
      <w:marBottom w:val="0"/>
      <w:divBdr>
        <w:top w:val="none" w:sz="0" w:space="0" w:color="auto"/>
        <w:left w:val="none" w:sz="0" w:space="0" w:color="auto"/>
        <w:bottom w:val="none" w:sz="0" w:space="0" w:color="auto"/>
        <w:right w:val="none" w:sz="0" w:space="0" w:color="auto"/>
      </w:divBdr>
      <w:divsChild>
        <w:div w:id="984241918">
          <w:marLeft w:val="0"/>
          <w:marRight w:val="0"/>
          <w:marTop w:val="0"/>
          <w:marBottom w:val="0"/>
          <w:divBdr>
            <w:top w:val="none" w:sz="0" w:space="0" w:color="auto"/>
            <w:left w:val="none" w:sz="0" w:space="0" w:color="auto"/>
            <w:bottom w:val="none" w:sz="0" w:space="0" w:color="auto"/>
            <w:right w:val="none" w:sz="0" w:space="0" w:color="auto"/>
          </w:divBdr>
          <w:divsChild>
            <w:div w:id="315576419">
              <w:marLeft w:val="0"/>
              <w:marRight w:val="0"/>
              <w:marTop w:val="0"/>
              <w:marBottom w:val="0"/>
              <w:divBdr>
                <w:top w:val="none" w:sz="0" w:space="0" w:color="auto"/>
                <w:left w:val="none" w:sz="0" w:space="0" w:color="auto"/>
                <w:bottom w:val="none" w:sz="0" w:space="0" w:color="auto"/>
                <w:right w:val="none" w:sz="0" w:space="0" w:color="auto"/>
              </w:divBdr>
            </w:div>
            <w:div w:id="1637098259">
              <w:marLeft w:val="0"/>
              <w:marRight w:val="0"/>
              <w:marTop w:val="0"/>
              <w:marBottom w:val="0"/>
              <w:divBdr>
                <w:top w:val="none" w:sz="0" w:space="0" w:color="auto"/>
                <w:left w:val="none" w:sz="0" w:space="0" w:color="auto"/>
                <w:bottom w:val="none" w:sz="0" w:space="0" w:color="auto"/>
                <w:right w:val="none" w:sz="0" w:space="0" w:color="auto"/>
              </w:divBdr>
            </w:div>
            <w:div w:id="209952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932607">
      <w:bodyDiv w:val="1"/>
      <w:marLeft w:val="0"/>
      <w:marRight w:val="0"/>
      <w:marTop w:val="0"/>
      <w:marBottom w:val="0"/>
      <w:divBdr>
        <w:top w:val="none" w:sz="0" w:space="0" w:color="auto"/>
        <w:left w:val="none" w:sz="0" w:space="0" w:color="auto"/>
        <w:bottom w:val="none" w:sz="0" w:space="0" w:color="auto"/>
        <w:right w:val="none" w:sz="0" w:space="0" w:color="auto"/>
      </w:divBdr>
      <w:divsChild>
        <w:div w:id="495849175">
          <w:marLeft w:val="547"/>
          <w:marRight w:val="0"/>
          <w:marTop w:val="86"/>
          <w:marBottom w:val="0"/>
          <w:divBdr>
            <w:top w:val="none" w:sz="0" w:space="0" w:color="auto"/>
            <w:left w:val="none" w:sz="0" w:space="0" w:color="auto"/>
            <w:bottom w:val="none" w:sz="0" w:space="0" w:color="auto"/>
            <w:right w:val="none" w:sz="0" w:space="0" w:color="auto"/>
          </w:divBdr>
        </w:div>
        <w:div w:id="395858713">
          <w:marLeft w:val="547"/>
          <w:marRight w:val="0"/>
          <w:marTop w:val="86"/>
          <w:marBottom w:val="0"/>
          <w:divBdr>
            <w:top w:val="none" w:sz="0" w:space="0" w:color="auto"/>
            <w:left w:val="none" w:sz="0" w:space="0" w:color="auto"/>
            <w:bottom w:val="none" w:sz="0" w:space="0" w:color="auto"/>
            <w:right w:val="none" w:sz="0" w:space="0" w:color="auto"/>
          </w:divBdr>
        </w:div>
        <w:div w:id="1895772006">
          <w:marLeft w:val="547"/>
          <w:marRight w:val="0"/>
          <w:marTop w:val="86"/>
          <w:marBottom w:val="0"/>
          <w:divBdr>
            <w:top w:val="none" w:sz="0" w:space="0" w:color="auto"/>
            <w:left w:val="none" w:sz="0" w:space="0" w:color="auto"/>
            <w:bottom w:val="none" w:sz="0" w:space="0" w:color="auto"/>
            <w:right w:val="none" w:sz="0" w:space="0" w:color="auto"/>
          </w:divBdr>
        </w:div>
      </w:divsChild>
    </w:div>
    <w:div w:id="1657764539">
      <w:bodyDiv w:val="1"/>
      <w:marLeft w:val="0"/>
      <w:marRight w:val="0"/>
      <w:marTop w:val="0"/>
      <w:marBottom w:val="0"/>
      <w:divBdr>
        <w:top w:val="none" w:sz="0" w:space="0" w:color="auto"/>
        <w:left w:val="none" w:sz="0" w:space="0" w:color="auto"/>
        <w:bottom w:val="none" w:sz="0" w:space="0" w:color="auto"/>
        <w:right w:val="none" w:sz="0" w:space="0" w:color="auto"/>
      </w:divBdr>
      <w:divsChild>
        <w:div w:id="1085883980">
          <w:marLeft w:val="0"/>
          <w:marRight w:val="0"/>
          <w:marTop w:val="0"/>
          <w:marBottom w:val="0"/>
          <w:divBdr>
            <w:top w:val="none" w:sz="0" w:space="0" w:color="auto"/>
            <w:left w:val="none" w:sz="0" w:space="0" w:color="auto"/>
            <w:bottom w:val="none" w:sz="0" w:space="0" w:color="auto"/>
            <w:right w:val="none" w:sz="0" w:space="0" w:color="auto"/>
          </w:divBdr>
        </w:div>
      </w:divsChild>
    </w:div>
    <w:div w:id="1669215405">
      <w:bodyDiv w:val="1"/>
      <w:marLeft w:val="0"/>
      <w:marRight w:val="0"/>
      <w:marTop w:val="0"/>
      <w:marBottom w:val="0"/>
      <w:divBdr>
        <w:top w:val="none" w:sz="0" w:space="0" w:color="auto"/>
        <w:left w:val="none" w:sz="0" w:space="0" w:color="auto"/>
        <w:bottom w:val="none" w:sz="0" w:space="0" w:color="auto"/>
        <w:right w:val="none" w:sz="0" w:space="0" w:color="auto"/>
      </w:divBdr>
      <w:divsChild>
        <w:div w:id="161245221">
          <w:marLeft w:val="547"/>
          <w:marRight w:val="0"/>
          <w:marTop w:val="77"/>
          <w:marBottom w:val="0"/>
          <w:divBdr>
            <w:top w:val="none" w:sz="0" w:space="0" w:color="auto"/>
            <w:left w:val="none" w:sz="0" w:space="0" w:color="auto"/>
            <w:bottom w:val="none" w:sz="0" w:space="0" w:color="auto"/>
            <w:right w:val="none" w:sz="0" w:space="0" w:color="auto"/>
          </w:divBdr>
        </w:div>
        <w:div w:id="1307469934">
          <w:marLeft w:val="547"/>
          <w:marRight w:val="0"/>
          <w:marTop w:val="77"/>
          <w:marBottom w:val="0"/>
          <w:divBdr>
            <w:top w:val="none" w:sz="0" w:space="0" w:color="auto"/>
            <w:left w:val="none" w:sz="0" w:space="0" w:color="auto"/>
            <w:bottom w:val="none" w:sz="0" w:space="0" w:color="auto"/>
            <w:right w:val="none" w:sz="0" w:space="0" w:color="auto"/>
          </w:divBdr>
        </w:div>
        <w:div w:id="1488326029">
          <w:marLeft w:val="547"/>
          <w:marRight w:val="0"/>
          <w:marTop w:val="77"/>
          <w:marBottom w:val="0"/>
          <w:divBdr>
            <w:top w:val="none" w:sz="0" w:space="0" w:color="auto"/>
            <w:left w:val="none" w:sz="0" w:space="0" w:color="auto"/>
            <w:bottom w:val="none" w:sz="0" w:space="0" w:color="auto"/>
            <w:right w:val="none" w:sz="0" w:space="0" w:color="auto"/>
          </w:divBdr>
        </w:div>
        <w:div w:id="1857227992">
          <w:marLeft w:val="547"/>
          <w:marRight w:val="0"/>
          <w:marTop w:val="77"/>
          <w:marBottom w:val="0"/>
          <w:divBdr>
            <w:top w:val="none" w:sz="0" w:space="0" w:color="auto"/>
            <w:left w:val="none" w:sz="0" w:space="0" w:color="auto"/>
            <w:bottom w:val="none" w:sz="0" w:space="0" w:color="auto"/>
            <w:right w:val="none" w:sz="0" w:space="0" w:color="auto"/>
          </w:divBdr>
        </w:div>
        <w:div w:id="1965767974">
          <w:marLeft w:val="547"/>
          <w:marRight w:val="0"/>
          <w:marTop w:val="77"/>
          <w:marBottom w:val="0"/>
          <w:divBdr>
            <w:top w:val="none" w:sz="0" w:space="0" w:color="auto"/>
            <w:left w:val="none" w:sz="0" w:space="0" w:color="auto"/>
            <w:bottom w:val="none" w:sz="0" w:space="0" w:color="auto"/>
            <w:right w:val="none" w:sz="0" w:space="0" w:color="auto"/>
          </w:divBdr>
        </w:div>
      </w:divsChild>
    </w:div>
    <w:div w:id="1739279326">
      <w:bodyDiv w:val="1"/>
      <w:marLeft w:val="0"/>
      <w:marRight w:val="0"/>
      <w:marTop w:val="0"/>
      <w:marBottom w:val="0"/>
      <w:divBdr>
        <w:top w:val="none" w:sz="0" w:space="0" w:color="auto"/>
        <w:left w:val="none" w:sz="0" w:space="0" w:color="auto"/>
        <w:bottom w:val="none" w:sz="0" w:space="0" w:color="auto"/>
        <w:right w:val="none" w:sz="0" w:space="0" w:color="auto"/>
      </w:divBdr>
      <w:divsChild>
        <w:div w:id="529951063">
          <w:marLeft w:val="0"/>
          <w:marRight w:val="0"/>
          <w:marTop w:val="0"/>
          <w:marBottom w:val="0"/>
          <w:divBdr>
            <w:top w:val="none" w:sz="0" w:space="0" w:color="auto"/>
            <w:left w:val="none" w:sz="0" w:space="0" w:color="auto"/>
            <w:bottom w:val="none" w:sz="0" w:space="0" w:color="auto"/>
            <w:right w:val="none" w:sz="0" w:space="0" w:color="auto"/>
          </w:divBdr>
          <w:divsChild>
            <w:div w:id="337972212">
              <w:marLeft w:val="0"/>
              <w:marRight w:val="0"/>
              <w:marTop w:val="0"/>
              <w:marBottom w:val="0"/>
              <w:divBdr>
                <w:top w:val="none" w:sz="0" w:space="0" w:color="auto"/>
                <w:left w:val="none" w:sz="0" w:space="0" w:color="auto"/>
                <w:bottom w:val="none" w:sz="0" w:space="0" w:color="auto"/>
                <w:right w:val="none" w:sz="0" w:space="0" w:color="auto"/>
              </w:divBdr>
            </w:div>
            <w:div w:id="50131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465176">
      <w:bodyDiv w:val="1"/>
      <w:marLeft w:val="0"/>
      <w:marRight w:val="0"/>
      <w:marTop w:val="0"/>
      <w:marBottom w:val="0"/>
      <w:divBdr>
        <w:top w:val="none" w:sz="0" w:space="0" w:color="auto"/>
        <w:left w:val="none" w:sz="0" w:space="0" w:color="auto"/>
        <w:bottom w:val="none" w:sz="0" w:space="0" w:color="auto"/>
        <w:right w:val="none" w:sz="0" w:space="0" w:color="auto"/>
      </w:divBdr>
    </w:div>
    <w:div w:id="1787384855">
      <w:bodyDiv w:val="1"/>
      <w:marLeft w:val="0"/>
      <w:marRight w:val="0"/>
      <w:marTop w:val="0"/>
      <w:marBottom w:val="0"/>
      <w:divBdr>
        <w:top w:val="none" w:sz="0" w:space="0" w:color="auto"/>
        <w:left w:val="none" w:sz="0" w:space="0" w:color="auto"/>
        <w:bottom w:val="none" w:sz="0" w:space="0" w:color="auto"/>
        <w:right w:val="none" w:sz="0" w:space="0" w:color="auto"/>
      </w:divBdr>
      <w:divsChild>
        <w:div w:id="1894081365">
          <w:marLeft w:val="0"/>
          <w:marRight w:val="0"/>
          <w:marTop w:val="0"/>
          <w:marBottom w:val="0"/>
          <w:divBdr>
            <w:top w:val="none" w:sz="0" w:space="0" w:color="auto"/>
            <w:left w:val="none" w:sz="0" w:space="0" w:color="auto"/>
            <w:bottom w:val="none" w:sz="0" w:space="0" w:color="auto"/>
            <w:right w:val="none" w:sz="0" w:space="0" w:color="auto"/>
          </w:divBdr>
          <w:divsChild>
            <w:div w:id="181823571">
              <w:marLeft w:val="0"/>
              <w:marRight w:val="0"/>
              <w:marTop w:val="0"/>
              <w:marBottom w:val="0"/>
              <w:divBdr>
                <w:top w:val="none" w:sz="0" w:space="0" w:color="auto"/>
                <w:left w:val="none" w:sz="0" w:space="0" w:color="auto"/>
                <w:bottom w:val="none" w:sz="0" w:space="0" w:color="auto"/>
                <w:right w:val="none" w:sz="0" w:space="0" w:color="auto"/>
              </w:divBdr>
            </w:div>
            <w:div w:id="128596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0871">
      <w:bodyDiv w:val="1"/>
      <w:marLeft w:val="0"/>
      <w:marRight w:val="0"/>
      <w:marTop w:val="0"/>
      <w:marBottom w:val="0"/>
      <w:divBdr>
        <w:top w:val="none" w:sz="0" w:space="0" w:color="auto"/>
        <w:left w:val="none" w:sz="0" w:space="0" w:color="auto"/>
        <w:bottom w:val="none" w:sz="0" w:space="0" w:color="auto"/>
        <w:right w:val="none" w:sz="0" w:space="0" w:color="auto"/>
      </w:divBdr>
    </w:div>
    <w:div w:id="1810441013">
      <w:bodyDiv w:val="1"/>
      <w:marLeft w:val="0"/>
      <w:marRight w:val="0"/>
      <w:marTop w:val="0"/>
      <w:marBottom w:val="0"/>
      <w:divBdr>
        <w:top w:val="none" w:sz="0" w:space="0" w:color="auto"/>
        <w:left w:val="none" w:sz="0" w:space="0" w:color="auto"/>
        <w:bottom w:val="none" w:sz="0" w:space="0" w:color="auto"/>
        <w:right w:val="none" w:sz="0" w:space="0" w:color="auto"/>
      </w:divBdr>
      <w:divsChild>
        <w:div w:id="160002245">
          <w:marLeft w:val="0"/>
          <w:marRight w:val="0"/>
          <w:marTop w:val="0"/>
          <w:marBottom w:val="0"/>
          <w:divBdr>
            <w:top w:val="none" w:sz="0" w:space="0" w:color="auto"/>
            <w:left w:val="none" w:sz="0" w:space="0" w:color="auto"/>
            <w:bottom w:val="none" w:sz="0" w:space="0" w:color="auto"/>
            <w:right w:val="none" w:sz="0" w:space="0" w:color="auto"/>
          </w:divBdr>
        </w:div>
      </w:divsChild>
    </w:div>
    <w:div w:id="1820268295">
      <w:bodyDiv w:val="1"/>
      <w:marLeft w:val="0"/>
      <w:marRight w:val="0"/>
      <w:marTop w:val="0"/>
      <w:marBottom w:val="0"/>
      <w:divBdr>
        <w:top w:val="none" w:sz="0" w:space="0" w:color="auto"/>
        <w:left w:val="none" w:sz="0" w:space="0" w:color="auto"/>
        <w:bottom w:val="none" w:sz="0" w:space="0" w:color="auto"/>
        <w:right w:val="none" w:sz="0" w:space="0" w:color="auto"/>
      </w:divBdr>
      <w:divsChild>
        <w:div w:id="1105540473">
          <w:marLeft w:val="0"/>
          <w:marRight w:val="0"/>
          <w:marTop w:val="0"/>
          <w:marBottom w:val="0"/>
          <w:divBdr>
            <w:top w:val="none" w:sz="0" w:space="0" w:color="auto"/>
            <w:left w:val="none" w:sz="0" w:space="0" w:color="auto"/>
            <w:bottom w:val="none" w:sz="0" w:space="0" w:color="auto"/>
            <w:right w:val="none" w:sz="0" w:space="0" w:color="auto"/>
          </w:divBdr>
          <w:divsChild>
            <w:div w:id="252667960">
              <w:marLeft w:val="0"/>
              <w:marRight w:val="0"/>
              <w:marTop w:val="0"/>
              <w:marBottom w:val="0"/>
              <w:divBdr>
                <w:top w:val="none" w:sz="0" w:space="0" w:color="auto"/>
                <w:left w:val="none" w:sz="0" w:space="0" w:color="auto"/>
                <w:bottom w:val="none" w:sz="0" w:space="0" w:color="auto"/>
                <w:right w:val="none" w:sz="0" w:space="0" w:color="auto"/>
              </w:divBdr>
            </w:div>
            <w:div w:id="1308393422">
              <w:marLeft w:val="0"/>
              <w:marRight w:val="0"/>
              <w:marTop w:val="0"/>
              <w:marBottom w:val="0"/>
              <w:divBdr>
                <w:top w:val="none" w:sz="0" w:space="0" w:color="auto"/>
                <w:left w:val="none" w:sz="0" w:space="0" w:color="auto"/>
                <w:bottom w:val="none" w:sz="0" w:space="0" w:color="auto"/>
                <w:right w:val="none" w:sz="0" w:space="0" w:color="auto"/>
              </w:divBdr>
            </w:div>
            <w:div w:id="1316880724">
              <w:marLeft w:val="0"/>
              <w:marRight w:val="0"/>
              <w:marTop w:val="0"/>
              <w:marBottom w:val="0"/>
              <w:divBdr>
                <w:top w:val="none" w:sz="0" w:space="0" w:color="auto"/>
                <w:left w:val="none" w:sz="0" w:space="0" w:color="auto"/>
                <w:bottom w:val="none" w:sz="0" w:space="0" w:color="auto"/>
                <w:right w:val="none" w:sz="0" w:space="0" w:color="auto"/>
              </w:divBdr>
            </w:div>
            <w:div w:id="1371492663">
              <w:marLeft w:val="0"/>
              <w:marRight w:val="0"/>
              <w:marTop w:val="0"/>
              <w:marBottom w:val="0"/>
              <w:divBdr>
                <w:top w:val="none" w:sz="0" w:space="0" w:color="auto"/>
                <w:left w:val="none" w:sz="0" w:space="0" w:color="auto"/>
                <w:bottom w:val="none" w:sz="0" w:space="0" w:color="auto"/>
                <w:right w:val="none" w:sz="0" w:space="0" w:color="auto"/>
              </w:divBdr>
            </w:div>
            <w:div w:id="183822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5079">
      <w:bodyDiv w:val="1"/>
      <w:marLeft w:val="0"/>
      <w:marRight w:val="0"/>
      <w:marTop w:val="0"/>
      <w:marBottom w:val="0"/>
      <w:divBdr>
        <w:top w:val="none" w:sz="0" w:space="0" w:color="auto"/>
        <w:left w:val="none" w:sz="0" w:space="0" w:color="auto"/>
        <w:bottom w:val="none" w:sz="0" w:space="0" w:color="auto"/>
        <w:right w:val="none" w:sz="0" w:space="0" w:color="auto"/>
      </w:divBdr>
      <w:divsChild>
        <w:div w:id="96222580">
          <w:marLeft w:val="547"/>
          <w:marRight w:val="0"/>
          <w:marTop w:val="77"/>
          <w:marBottom w:val="0"/>
          <w:divBdr>
            <w:top w:val="none" w:sz="0" w:space="0" w:color="auto"/>
            <w:left w:val="none" w:sz="0" w:space="0" w:color="auto"/>
            <w:bottom w:val="none" w:sz="0" w:space="0" w:color="auto"/>
            <w:right w:val="none" w:sz="0" w:space="0" w:color="auto"/>
          </w:divBdr>
        </w:div>
        <w:div w:id="634605460">
          <w:marLeft w:val="547"/>
          <w:marRight w:val="0"/>
          <w:marTop w:val="77"/>
          <w:marBottom w:val="0"/>
          <w:divBdr>
            <w:top w:val="none" w:sz="0" w:space="0" w:color="auto"/>
            <w:left w:val="none" w:sz="0" w:space="0" w:color="auto"/>
            <w:bottom w:val="none" w:sz="0" w:space="0" w:color="auto"/>
            <w:right w:val="none" w:sz="0" w:space="0" w:color="auto"/>
          </w:divBdr>
        </w:div>
        <w:div w:id="830215445">
          <w:marLeft w:val="547"/>
          <w:marRight w:val="0"/>
          <w:marTop w:val="77"/>
          <w:marBottom w:val="0"/>
          <w:divBdr>
            <w:top w:val="none" w:sz="0" w:space="0" w:color="auto"/>
            <w:left w:val="none" w:sz="0" w:space="0" w:color="auto"/>
            <w:bottom w:val="none" w:sz="0" w:space="0" w:color="auto"/>
            <w:right w:val="none" w:sz="0" w:space="0" w:color="auto"/>
          </w:divBdr>
        </w:div>
        <w:div w:id="1004629206">
          <w:marLeft w:val="547"/>
          <w:marRight w:val="0"/>
          <w:marTop w:val="77"/>
          <w:marBottom w:val="0"/>
          <w:divBdr>
            <w:top w:val="none" w:sz="0" w:space="0" w:color="auto"/>
            <w:left w:val="none" w:sz="0" w:space="0" w:color="auto"/>
            <w:bottom w:val="none" w:sz="0" w:space="0" w:color="auto"/>
            <w:right w:val="none" w:sz="0" w:space="0" w:color="auto"/>
          </w:divBdr>
        </w:div>
        <w:div w:id="1674992043">
          <w:marLeft w:val="547"/>
          <w:marRight w:val="0"/>
          <w:marTop w:val="77"/>
          <w:marBottom w:val="0"/>
          <w:divBdr>
            <w:top w:val="none" w:sz="0" w:space="0" w:color="auto"/>
            <w:left w:val="none" w:sz="0" w:space="0" w:color="auto"/>
            <w:bottom w:val="none" w:sz="0" w:space="0" w:color="auto"/>
            <w:right w:val="none" w:sz="0" w:space="0" w:color="auto"/>
          </w:divBdr>
        </w:div>
      </w:divsChild>
    </w:div>
    <w:div w:id="1854105866">
      <w:bodyDiv w:val="1"/>
      <w:marLeft w:val="0"/>
      <w:marRight w:val="0"/>
      <w:marTop w:val="0"/>
      <w:marBottom w:val="0"/>
      <w:divBdr>
        <w:top w:val="none" w:sz="0" w:space="0" w:color="auto"/>
        <w:left w:val="none" w:sz="0" w:space="0" w:color="auto"/>
        <w:bottom w:val="none" w:sz="0" w:space="0" w:color="auto"/>
        <w:right w:val="none" w:sz="0" w:space="0" w:color="auto"/>
      </w:divBdr>
    </w:div>
    <w:div w:id="1864780226">
      <w:bodyDiv w:val="1"/>
      <w:marLeft w:val="0"/>
      <w:marRight w:val="0"/>
      <w:marTop w:val="0"/>
      <w:marBottom w:val="0"/>
      <w:divBdr>
        <w:top w:val="none" w:sz="0" w:space="0" w:color="auto"/>
        <w:left w:val="none" w:sz="0" w:space="0" w:color="auto"/>
        <w:bottom w:val="none" w:sz="0" w:space="0" w:color="auto"/>
        <w:right w:val="none" w:sz="0" w:space="0" w:color="auto"/>
      </w:divBdr>
      <w:divsChild>
        <w:div w:id="1209760316">
          <w:marLeft w:val="0"/>
          <w:marRight w:val="0"/>
          <w:marTop w:val="0"/>
          <w:marBottom w:val="0"/>
          <w:divBdr>
            <w:top w:val="none" w:sz="0" w:space="0" w:color="auto"/>
            <w:left w:val="none" w:sz="0" w:space="0" w:color="auto"/>
            <w:bottom w:val="none" w:sz="0" w:space="0" w:color="auto"/>
            <w:right w:val="none" w:sz="0" w:space="0" w:color="auto"/>
          </w:divBdr>
          <w:divsChild>
            <w:div w:id="802119636">
              <w:marLeft w:val="0"/>
              <w:marRight w:val="0"/>
              <w:marTop w:val="0"/>
              <w:marBottom w:val="0"/>
              <w:divBdr>
                <w:top w:val="none" w:sz="0" w:space="0" w:color="auto"/>
                <w:left w:val="none" w:sz="0" w:space="0" w:color="auto"/>
                <w:bottom w:val="none" w:sz="0" w:space="0" w:color="auto"/>
                <w:right w:val="none" w:sz="0" w:space="0" w:color="auto"/>
              </w:divBdr>
            </w:div>
            <w:div w:id="1375152025">
              <w:marLeft w:val="0"/>
              <w:marRight w:val="0"/>
              <w:marTop w:val="0"/>
              <w:marBottom w:val="0"/>
              <w:divBdr>
                <w:top w:val="none" w:sz="0" w:space="0" w:color="auto"/>
                <w:left w:val="none" w:sz="0" w:space="0" w:color="auto"/>
                <w:bottom w:val="none" w:sz="0" w:space="0" w:color="auto"/>
                <w:right w:val="none" w:sz="0" w:space="0" w:color="auto"/>
              </w:divBdr>
            </w:div>
            <w:div w:id="21055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39551">
      <w:bodyDiv w:val="1"/>
      <w:marLeft w:val="0"/>
      <w:marRight w:val="0"/>
      <w:marTop w:val="0"/>
      <w:marBottom w:val="0"/>
      <w:divBdr>
        <w:top w:val="none" w:sz="0" w:space="0" w:color="auto"/>
        <w:left w:val="none" w:sz="0" w:space="0" w:color="auto"/>
        <w:bottom w:val="none" w:sz="0" w:space="0" w:color="auto"/>
        <w:right w:val="none" w:sz="0" w:space="0" w:color="auto"/>
      </w:divBdr>
      <w:divsChild>
        <w:div w:id="664632121">
          <w:marLeft w:val="0"/>
          <w:marRight w:val="0"/>
          <w:marTop w:val="0"/>
          <w:marBottom w:val="0"/>
          <w:divBdr>
            <w:top w:val="none" w:sz="0" w:space="0" w:color="auto"/>
            <w:left w:val="none" w:sz="0" w:space="0" w:color="auto"/>
            <w:bottom w:val="none" w:sz="0" w:space="0" w:color="auto"/>
            <w:right w:val="none" w:sz="0" w:space="0" w:color="auto"/>
          </w:divBdr>
          <w:divsChild>
            <w:div w:id="465204560">
              <w:marLeft w:val="0"/>
              <w:marRight w:val="0"/>
              <w:marTop w:val="0"/>
              <w:marBottom w:val="0"/>
              <w:divBdr>
                <w:top w:val="none" w:sz="0" w:space="0" w:color="auto"/>
                <w:left w:val="none" w:sz="0" w:space="0" w:color="auto"/>
                <w:bottom w:val="none" w:sz="0" w:space="0" w:color="auto"/>
                <w:right w:val="none" w:sz="0" w:space="0" w:color="auto"/>
              </w:divBdr>
            </w:div>
            <w:div w:id="600992763">
              <w:marLeft w:val="0"/>
              <w:marRight w:val="0"/>
              <w:marTop w:val="0"/>
              <w:marBottom w:val="0"/>
              <w:divBdr>
                <w:top w:val="none" w:sz="0" w:space="0" w:color="auto"/>
                <w:left w:val="none" w:sz="0" w:space="0" w:color="auto"/>
                <w:bottom w:val="none" w:sz="0" w:space="0" w:color="auto"/>
                <w:right w:val="none" w:sz="0" w:space="0" w:color="auto"/>
              </w:divBdr>
            </w:div>
            <w:div w:id="1111977679">
              <w:marLeft w:val="0"/>
              <w:marRight w:val="0"/>
              <w:marTop w:val="0"/>
              <w:marBottom w:val="0"/>
              <w:divBdr>
                <w:top w:val="none" w:sz="0" w:space="0" w:color="auto"/>
                <w:left w:val="none" w:sz="0" w:space="0" w:color="auto"/>
                <w:bottom w:val="none" w:sz="0" w:space="0" w:color="auto"/>
                <w:right w:val="none" w:sz="0" w:space="0" w:color="auto"/>
              </w:divBdr>
            </w:div>
            <w:div w:id="147063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046244">
      <w:bodyDiv w:val="1"/>
      <w:marLeft w:val="0"/>
      <w:marRight w:val="0"/>
      <w:marTop w:val="0"/>
      <w:marBottom w:val="0"/>
      <w:divBdr>
        <w:top w:val="none" w:sz="0" w:space="0" w:color="auto"/>
        <w:left w:val="none" w:sz="0" w:space="0" w:color="auto"/>
        <w:bottom w:val="none" w:sz="0" w:space="0" w:color="auto"/>
        <w:right w:val="none" w:sz="0" w:space="0" w:color="auto"/>
      </w:divBdr>
      <w:divsChild>
        <w:div w:id="1384214819">
          <w:marLeft w:val="0"/>
          <w:marRight w:val="0"/>
          <w:marTop w:val="0"/>
          <w:marBottom w:val="0"/>
          <w:divBdr>
            <w:top w:val="none" w:sz="0" w:space="0" w:color="auto"/>
            <w:left w:val="none" w:sz="0" w:space="0" w:color="auto"/>
            <w:bottom w:val="none" w:sz="0" w:space="0" w:color="auto"/>
            <w:right w:val="none" w:sz="0" w:space="0" w:color="auto"/>
          </w:divBdr>
          <w:divsChild>
            <w:div w:id="71322051">
              <w:marLeft w:val="0"/>
              <w:marRight w:val="0"/>
              <w:marTop w:val="0"/>
              <w:marBottom w:val="0"/>
              <w:divBdr>
                <w:top w:val="none" w:sz="0" w:space="0" w:color="auto"/>
                <w:left w:val="none" w:sz="0" w:space="0" w:color="auto"/>
                <w:bottom w:val="none" w:sz="0" w:space="0" w:color="auto"/>
                <w:right w:val="none" w:sz="0" w:space="0" w:color="auto"/>
              </w:divBdr>
            </w:div>
            <w:div w:id="322703357">
              <w:marLeft w:val="0"/>
              <w:marRight w:val="0"/>
              <w:marTop w:val="0"/>
              <w:marBottom w:val="0"/>
              <w:divBdr>
                <w:top w:val="none" w:sz="0" w:space="0" w:color="auto"/>
                <w:left w:val="none" w:sz="0" w:space="0" w:color="auto"/>
                <w:bottom w:val="none" w:sz="0" w:space="0" w:color="auto"/>
                <w:right w:val="none" w:sz="0" w:space="0" w:color="auto"/>
              </w:divBdr>
            </w:div>
            <w:div w:id="1575048637">
              <w:marLeft w:val="0"/>
              <w:marRight w:val="0"/>
              <w:marTop w:val="0"/>
              <w:marBottom w:val="0"/>
              <w:divBdr>
                <w:top w:val="none" w:sz="0" w:space="0" w:color="auto"/>
                <w:left w:val="none" w:sz="0" w:space="0" w:color="auto"/>
                <w:bottom w:val="none" w:sz="0" w:space="0" w:color="auto"/>
                <w:right w:val="none" w:sz="0" w:space="0" w:color="auto"/>
              </w:divBdr>
            </w:div>
            <w:div w:id="1674725425">
              <w:marLeft w:val="0"/>
              <w:marRight w:val="0"/>
              <w:marTop w:val="0"/>
              <w:marBottom w:val="0"/>
              <w:divBdr>
                <w:top w:val="none" w:sz="0" w:space="0" w:color="auto"/>
                <w:left w:val="none" w:sz="0" w:space="0" w:color="auto"/>
                <w:bottom w:val="none" w:sz="0" w:space="0" w:color="auto"/>
                <w:right w:val="none" w:sz="0" w:space="0" w:color="auto"/>
              </w:divBdr>
            </w:div>
            <w:div w:id="174070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1574">
      <w:bodyDiv w:val="1"/>
      <w:marLeft w:val="0"/>
      <w:marRight w:val="0"/>
      <w:marTop w:val="0"/>
      <w:marBottom w:val="0"/>
      <w:divBdr>
        <w:top w:val="none" w:sz="0" w:space="0" w:color="auto"/>
        <w:left w:val="none" w:sz="0" w:space="0" w:color="auto"/>
        <w:bottom w:val="none" w:sz="0" w:space="0" w:color="auto"/>
        <w:right w:val="none" w:sz="0" w:space="0" w:color="auto"/>
      </w:divBdr>
    </w:div>
    <w:div w:id="2057847882">
      <w:bodyDiv w:val="1"/>
      <w:marLeft w:val="0"/>
      <w:marRight w:val="0"/>
      <w:marTop w:val="0"/>
      <w:marBottom w:val="0"/>
      <w:divBdr>
        <w:top w:val="none" w:sz="0" w:space="0" w:color="auto"/>
        <w:left w:val="none" w:sz="0" w:space="0" w:color="auto"/>
        <w:bottom w:val="none" w:sz="0" w:space="0" w:color="auto"/>
        <w:right w:val="none" w:sz="0" w:space="0" w:color="auto"/>
      </w:divBdr>
      <w:divsChild>
        <w:div w:id="838694790">
          <w:marLeft w:val="0"/>
          <w:marRight w:val="0"/>
          <w:marTop w:val="0"/>
          <w:marBottom w:val="0"/>
          <w:divBdr>
            <w:top w:val="none" w:sz="0" w:space="0" w:color="auto"/>
            <w:left w:val="none" w:sz="0" w:space="0" w:color="auto"/>
            <w:bottom w:val="none" w:sz="0" w:space="0" w:color="auto"/>
            <w:right w:val="none" w:sz="0" w:space="0" w:color="auto"/>
          </w:divBdr>
        </w:div>
      </w:divsChild>
    </w:div>
    <w:div w:id="2079788781">
      <w:bodyDiv w:val="1"/>
      <w:marLeft w:val="0"/>
      <w:marRight w:val="0"/>
      <w:marTop w:val="0"/>
      <w:marBottom w:val="0"/>
      <w:divBdr>
        <w:top w:val="none" w:sz="0" w:space="0" w:color="auto"/>
        <w:left w:val="none" w:sz="0" w:space="0" w:color="auto"/>
        <w:bottom w:val="none" w:sz="0" w:space="0" w:color="auto"/>
        <w:right w:val="none" w:sz="0" w:space="0" w:color="auto"/>
      </w:divBdr>
      <w:divsChild>
        <w:div w:id="1226113384">
          <w:marLeft w:val="0"/>
          <w:marRight w:val="0"/>
          <w:marTop w:val="0"/>
          <w:marBottom w:val="0"/>
          <w:divBdr>
            <w:top w:val="none" w:sz="0" w:space="0" w:color="auto"/>
            <w:left w:val="none" w:sz="0" w:space="0" w:color="auto"/>
            <w:bottom w:val="none" w:sz="0" w:space="0" w:color="auto"/>
            <w:right w:val="none" w:sz="0" w:space="0" w:color="auto"/>
          </w:divBdr>
          <w:divsChild>
            <w:div w:id="1137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531975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DB038-7410-47F4-947F-C8E387CCB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8664</Words>
  <Characters>49391</Characters>
  <Application>Microsoft Office Word</Application>
  <DocSecurity>4</DocSecurity>
  <Lines>411</Lines>
  <Paragraphs>115</Paragraphs>
  <ScaleCrop>false</ScaleCrop>
  <HeadingPairs>
    <vt:vector size="2" baseType="variant">
      <vt:variant>
        <vt:lpstr>Title</vt:lpstr>
      </vt:variant>
      <vt:variant>
        <vt:i4>1</vt:i4>
      </vt:variant>
    </vt:vector>
  </HeadingPairs>
  <TitlesOfParts>
    <vt:vector size="1" baseType="lpstr">
      <vt:lpstr>REPORT ON THE OVERSIGHT VISIT THAT WAS UNDERTAKEN BY THE PORTFOLIO COMMITTEE ON SOCIAL DEVELOPMENT</vt:lpstr>
    </vt:vector>
  </TitlesOfParts>
  <Company>Parliament of South Africa</Company>
  <LinksUpToDate>false</LinksUpToDate>
  <CharactersWithSpaces>57940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OVERSIGHT VISIT THAT WAS UNDERTAKEN BY THE PORTFOLIO COMMITTEE ON SOCIAL DEVELOPMENT</dc:title>
  <dc:creator>User</dc:creator>
  <cp:lastModifiedBy>Asanda</cp:lastModifiedBy>
  <cp:revision>2</cp:revision>
  <cp:lastPrinted>2019-07-09T08:12:00Z</cp:lastPrinted>
  <dcterms:created xsi:type="dcterms:W3CDTF">2019-07-11T12:23:00Z</dcterms:created>
  <dcterms:modified xsi:type="dcterms:W3CDTF">2019-07-11T12:23:00Z</dcterms:modified>
</cp:coreProperties>
</file>