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E523F" w14:textId="77777777" w:rsidR="00344E55" w:rsidRPr="00344E55" w:rsidRDefault="00344E55" w:rsidP="00344E55">
      <w:pPr>
        <w:spacing w:line="240" w:lineRule="auto"/>
        <w:ind w:left="446" w:hanging="446"/>
        <w:contextualSpacing/>
        <w:jc w:val="both"/>
        <w:rPr>
          <w:rFonts w:ascii="Times New Roman" w:hAnsi="Times New Roman" w:cs="Times New Roman"/>
          <w:b/>
          <w:sz w:val="28"/>
          <w:szCs w:val="28"/>
          <w:lang w:val="en-US"/>
        </w:rPr>
      </w:pPr>
      <w:bookmarkStart w:id="0" w:name="_GoBack"/>
      <w:bookmarkEnd w:id="0"/>
      <w:r w:rsidRPr="00344E55">
        <w:rPr>
          <w:rFonts w:ascii="Times New Roman" w:hAnsi="Times New Roman" w:cs="Times New Roman"/>
          <w:b/>
          <w:sz w:val="28"/>
          <w:szCs w:val="28"/>
          <w:lang w:val="en-US"/>
        </w:rPr>
        <w:t>8.</w:t>
      </w:r>
      <w:r w:rsidRPr="00344E55">
        <w:rPr>
          <w:rFonts w:ascii="Times New Roman" w:hAnsi="Times New Roman" w:cs="Times New Roman"/>
          <w:b/>
          <w:sz w:val="28"/>
          <w:szCs w:val="28"/>
          <w:lang w:val="en-US"/>
        </w:rPr>
        <w:tab/>
      </w:r>
      <w:r w:rsidR="005200EB" w:rsidRPr="00344E55">
        <w:rPr>
          <w:rFonts w:ascii="Times New Roman" w:hAnsi="Times New Roman" w:cs="Times New Roman"/>
          <w:b/>
          <w:sz w:val="28"/>
          <w:szCs w:val="28"/>
          <w:lang w:val="en-US"/>
        </w:rPr>
        <w:t>R</w:t>
      </w:r>
      <w:r w:rsidRPr="00344E55">
        <w:rPr>
          <w:rFonts w:ascii="Times New Roman" w:hAnsi="Times New Roman" w:cs="Times New Roman"/>
          <w:b/>
          <w:sz w:val="28"/>
          <w:szCs w:val="28"/>
          <w:lang w:val="en-US"/>
        </w:rPr>
        <w:t>eport of the Portfolio Committee on Small Business Development on Budget Vote 31 of the Department of Small Business Development for Financial Year 2019/20, Dated 10 July 2019</w:t>
      </w:r>
    </w:p>
    <w:p w14:paraId="02A627FD" w14:textId="77777777" w:rsidR="005200EB" w:rsidRPr="00344E55" w:rsidRDefault="005200EB" w:rsidP="005200EB">
      <w:pPr>
        <w:spacing w:line="360" w:lineRule="auto"/>
        <w:contextualSpacing/>
        <w:jc w:val="both"/>
        <w:rPr>
          <w:rFonts w:ascii="Times New Roman" w:hAnsi="Times New Roman" w:cs="Times New Roman"/>
          <w:sz w:val="24"/>
          <w:szCs w:val="24"/>
          <w:lang w:val="en-US"/>
        </w:rPr>
      </w:pPr>
    </w:p>
    <w:p w14:paraId="3B58B402" w14:textId="77777777" w:rsidR="005200EB" w:rsidRPr="00344E55" w:rsidRDefault="005200EB" w:rsidP="004221D3">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1.</w:t>
      </w:r>
      <w:r w:rsidRPr="00344E55">
        <w:rPr>
          <w:rFonts w:ascii="Times New Roman" w:hAnsi="Times New Roman" w:cs="Times New Roman"/>
          <w:b/>
          <w:sz w:val="24"/>
          <w:szCs w:val="24"/>
          <w:lang w:val="en-US"/>
        </w:rPr>
        <w:tab/>
        <w:t>INTRODUCTION</w:t>
      </w:r>
    </w:p>
    <w:p w14:paraId="54FE72D1" w14:textId="77777777" w:rsidR="005200EB" w:rsidRPr="00344E55" w:rsidRDefault="005200EB" w:rsidP="004221D3">
      <w:pPr>
        <w:spacing w:line="360" w:lineRule="auto"/>
        <w:contextualSpacing/>
        <w:jc w:val="both"/>
        <w:rPr>
          <w:rFonts w:ascii="Times New Roman" w:hAnsi="Times New Roman" w:cs="Times New Roman"/>
          <w:sz w:val="24"/>
          <w:szCs w:val="24"/>
        </w:rPr>
      </w:pPr>
    </w:p>
    <w:p w14:paraId="40878E59" w14:textId="77777777" w:rsidR="005200EB" w:rsidRPr="00344E55" w:rsidRDefault="005200EB" w:rsidP="004221D3">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The Portfolio Committee on Small Business Development (“the Portfolio Co</w:t>
      </w:r>
      <w:r w:rsidR="002A0A4D" w:rsidRPr="00344E55">
        <w:rPr>
          <w:rFonts w:ascii="Times New Roman" w:hAnsi="Times New Roman" w:cs="Times New Roman"/>
          <w:sz w:val="24"/>
          <w:szCs w:val="24"/>
        </w:rPr>
        <w:t xml:space="preserve">mmittee”) having considered </w:t>
      </w:r>
      <w:r w:rsidRPr="00344E55">
        <w:rPr>
          <w:rFonts w:ascii="Times New Roman" w:hAnsi="Times New Roman" w:cs="Times New Roman"/>
          <w:sz w:val="24"/>
          <w:szCs w:val="24"/>
        </w:rPr>
        <w:t>Annual Performance Plans and Budget allocations of the Department of Small Business Development (“the Department”)</w:t>
      </w:r>
      <w:r w:rsidR="00DE5EEC" w:rsidRPr="00344E55">
        <w:rPr>
          <w:rFonts w:ascii="Times New Roman" w:hAnsi="Times New Roman" w:cs="Times New Roman"/>
          <w:sz w:val="24"/>
          <w:szCs w:val="24"/>
        </w:rPr>
        <w:t xml:space="preserve">, alternatively, </w:t>
      </w:r>
      <w:r w:rsidRPr="00344E55">
        <w:rPr>
          <w:rFonts w:ascii="Times New Roman" w:hAnsi="Times New Roman" w:cs="Times New Roman"/>
          <w:sz w:val="24"/>
          <w:szCs w:val="24"/>
        </w:rPr>
        <w:t xml:space="preserve">(“DSBD”) and its entities, Small </w:t>
      </w:r>
      <w:r w:rsidR="00F60030" w:rsidRPr="00344E55">
        <w:rPr>
          <w:rFonts w:ascii="Times New Roman" w:hAnsi="Times New Roman" w:cs="Times New Roman"/>
          <w:sz w:val="24"/>
          <w:szCs w:val="24"/>
        </w:rPr>
        <w:t>Enterprise Finance Agency (“</w:t>
      </w:r>
      <w:proofErr w:type="spellStart"/>
      <w:r w:rsidR="00F60030" w:rsidRPr="00344E55">
        <w:rPr>
          <w:rFonts w:ascii="Times New Roman" w:hAnsi="Times New Roman" w:cs="Times New Roman"/>
          <w:b/>
          <w:sz w:val="24"/>
          <w:szCs w:val="24"/>
        </w:rPr>
        <w:t>sefa</w:t>
      </w:r>
      <w:proofErr w:type="spellEnd"/>
      <w:r w:rsidRPr="00344E55">
        <w:rPr>
          <w:rFonts w:ascii="Times New Roman" w:hAnsi="Times New Roman" w:cs="Times New Roman"/>
          <w:sz w:val="24"/>
          <w:szCs w:val="24"/>
        </w:rPr>
        <w:t>”) and Small Enterprise Development Agency (“</w:t>
      </w:r>
      <w:proofErr w:type="spellStart"/>
      <w:r w:rsidRPr="00344E55">
        <w:rPr>
          <w:rFonts w:ascii="Times New Roman" w:hAnsi="Times New Roman" w:cs="Times New Roman"/>
          <w:sz w:val="24"/>
          <w:szCs w:val="24"/>
        </w:rPr>
        <w:t>S</w:t>
      </w:r>
      <w:r w:rsidR="00F60030" w:rsidRPr="00344E55">
        <w:rPr>
          <w:rFonts w:ascii="Times New Roman" w:hAnsi="Times New Roman" w:cs="Times New Roman"/>
          <w:sz w:val="24"/>
          <w:szCs w:val="24"/>
        </w:rPr>
        <w:t>eda</w:t>
      </w:r>
      <w:proofErr w:type="spellEnd"/>
      <w:r w:rsidRPr="00344E55">
        <w:rPr>
          <w:rFonts w:ascii="Times New Roman" w:hAnsi="Times New Roman" w:cs="Times New Roman"/>
          <w:sz w:val="24"/>
          <w:szCs w:val="24"/>
        </w:rPr>
        <w:t>”), reports as follows: -</w:t>
      </w:r>
    </w:p>
    <w:p w14:paraId="2B6CBEAE" w14:textId="77777777" w:rsidR="005200EB" w:rsidRPr="00344E55" w:rsidRDefault="005200EB" w:rsidP="004221D3">
      <w:pPr>
        <w:spacing w:line="360" w:lineRule="auto"/>
        <w:contextualSpacing/>
        <w:jc w:val="both"/>
        <w:rPr>
          <w:rFonts w:ascii="Times New Roman" w:hAnsi="Times New Roman" w:cs="Times New Roman"/>
          <w:sz w:val="24"/>
          <w:szCs w:val="24"/>
        </w:rPr>
      </w:pPr>
    </w:p>
    <w:p w14:paraId="05DBE498" w14:textId="77777777" w:rsidR="005200EB" w:rsidRPr="00344E55" w:rsidRDefault="005200EB" w:rsidP="004221D3">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1.1</w:t>
      </w:r>
      <w:r w:rsidRPr="00344E55">
        <w:rPr>
          <w:rFonts w:ascii="Times New Roman" w:hAnsi="Times New Roman" w:cs="Times New Roman"/>
          <w:b/>
          <w:sz w:val="24"/>
          <w:szCs w:val="24"/>
          <w:lang w:val="en-US"/>
        </w:rPr>
        <w:tab/>
        <w:t>Background</w:t>
      </w:r>
    </w:p>
    <w:p w14:paraId="5FDD445A" w14:textId="77777777" w:rsidR="00DE5EEC" w:rsidRPr="00344E55" w:rsidRDefault="00DE5EEC" w:rsidP="00DE5EEC">
      <w:pPr>
        <w:spacing w:after="15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At the beginning of each year following the State of the Nation Address (SONA) by the President, the Minister of Fi</w:t>
      </w:r>
      <w:r w:rsidR="00E701B9" w:rsidRPr="00344E55">
        <w:rPr>
          <w:rFonts w:ascii="Times New Roman" w:hAnsi="Times New Roman" w:cs="Times New Roman"/>
          <w:sz w:val="24"/>
          <w:szCs w:val="24"/>
        </w:rPr>
        <w:t xml:space="preserve">nance tables before Parliament </w:t>
      </w:r>
      <w:r w:rsidRPr="00344E55">
        <w:rPr>
          <w:rFonts w:ascii="Times New Roman" w:hAnsi="Times New Roman" w:cs="Times New Roman"/>
          <w:sz w:val="24"/>
          <w:szCs w:val="24"/>
        </w:rPr>
        <w:t xml:space="preserve">a detailed </w:t>
      </w:r>
      <w:r w:rsidR="00E701B9" w:rsidRPr="00344E55">
        <w:rPr>
          <w:rFonts w:ascii="Times New Roman" w:hAnsi="Times New Roman" w:cs="Times New Roman"/>
          <w:sz w:val="24"/>
          <w:szCs w:val="24"/>
        </w:rPr>
        <w:t>plan</w:t>
      </w:r>
      <w:r w:rsidRPr="00344E55">
        <w:rPr>
          <w:rFonts w:ascii="Times New Roman" w:hAnsi="Times New Roman" w:cs="Times New Roman"/>
          <w:sz w:val="24"/>
          <w:szCs w:val="24"/>
        </w:rPr>
        <w:t xml:space="preserve"> of the State's Budget: how much money will be or ought to be spent, on what, in that financial year. Thereafter, various government Departments present their budget votes before Parliament stipulating how they intend reconciling their resources with service delivery imperatives as outlined by the President of the Republic of South Africa in the State of the Nation Address. One of the main statutory functions of Parliament </w:t>
      </w:r>
      <w:r w:rsidR="00904D18" w:rsidRPr="00344E55">
        <w:rPr>
          <w:rFonts w:ascii="Times New Roman" w:hAnsi="Times New Roman" w:cs="Times New Roman"/>
          <w:sz w:val="24"/>
          <w:szCs w:val="24"/>
        </w:rPr>
        <w:t xml:space="preserve">in that regard </w:t>
      </w:r>
      <w:r w:rsidRPr="00344E55">
        <w:rPr>
          <w:rFonts w:ascii="Times New Roman" w:hAnsi="Times New Roman" w:cs="Times New Roman"/>
          <w:sz w:val="24"/>
          <w:szCs w:val="24"/>
        </w:rPr>
        <w:t xml:space="preserve">is to discuss, pass and oversee the State's Budget. </w:t>
      </w:r>
      <w:r w:rsidR="00904D18" w:rsidRPr="00344E55">
        <w:rPr>
          <w:rFonts w:ascii="Times New Roman" w:hAnsi="Times New Roman" w:cs="Times New Roman"/>
          <w:sz w:val="24"/>
          <w:szCs w:val="24"/>
        </w:rPr>
        <w:t>On that score, t</w:t>
      </w:r>
      <w:r w:rsidRPr="00344E55">
        <w:rPr>
          <w:rFonts w:ascii="Times New Roman" w:hAnsi="Times New Roman" w:cs="Times New Roman"/>
          <w:sz w:val="24"/>
          <w:szCs w:val="24"/>
        </w:rPr>
        <w:t xml:space="preserve">he Department of Small Business Development Budget (Vote No. 31) was </w:t>
      </w:r>
      <w:r w:rsidR="00904D18" w:rsidRPr="00344E55">
        <w:rPr>
          <w:rFonts w:ascii="Times New Roman" w:hAnsi="Times New Roman" w:cs="Times New Roman"/>
          <w:sz w:val="24"/>
          <w:szCs w:val="24"/>
        </w:rPr>
        <w:t xml:space="preserve">thus </w:t>
      </w:r>
      <w:r w:rsidRPr="00344E55">
        <w:rPr>
          <w:rFonts w:ascii="Times New Roman" w:hAnsi="Times New Roman" w:cs="Times New Roman"/>
          <w:sz w:val="24"/>
          <w:szCs w:val="24"/>
        </w:rPr>
        <w:t>referred to the Portfolio Committee for consideration and reporting.</w:t>
      </w:r>
    </w:p>
    <w:p w14:paraId="4694262F" w14:textId="77777777" w:rsidR="00DE5EEC" w:rsidRPr="00344E55" w:rsidRDefault="00DE5EEC" w:rsidP="004221D3">
      <w:pPr>
        <w:spacing w:after="150" w:line="360" w:lineRule="auto"/>
        <w:contextualSpacing/>
        <w:jc w:val="both"/>
        <w:rPr>
          <w:rFonts w:ascii="Times New Roman" w:hAnsi="Times New Roman" w:cs="Times New Roman"/>
          <w:sz w:val="24"/>
          <w:szCs w:val="24"/>
          <w:lang w:eastAsia="en-ZA"/>
        </w:rPr>
      </w:pPr>
    </w:p>
    <w:p w14:paraId="3C89ABB8" w14:textId="77777777" w:rsidR="00DE5EEC" w:rsidRPr="00344E55" w:rsidRDefault="00DE5EEC" w:rsidP="00DE5EEC">
      <w:pPr>
        <w:spacing w:before="100" w:beforeAutospacing="1" w:after="100" w:afterAutospacing="1" w:line="360" w:lineRule="auto"/>
        <w:contextualSpacing/>
        <w:jc w:val="both"/>
        <w:rPr>
          <w:rFonts w:ascii="Times New Roman" w:hAnsi="Times New Roman" w:cs="Times New Roman"/>
          <w:sz w:val="24"/>
          <w:szCs w:val="24"/>
          <w:lang w:val="en"/>
        </w:rPr>
      </w:pPr>
      <w:proofErr w:type="gramStart"/>
      <w:r w:rsidRPr="00344E55">
        <w:rPr>
          <w:rFonts w:ascii="Times New Roman" w:hAnsi="Times New Roman" w:cs="Times New Roman"/>
          <w:sz w:val="24"/>
          <w:szCs w:val="24"/>
          <w:lang w:val="en"/>
        </w:rPr>
        <w:t>Budget vote debates provides</w:t>
      </w:r>
      <w:proofErr w:type="gramEnd"/>
      <w:r w:rsidRPr="00344E55">
        <w:rPr>
          <w:rFonts w:ascii="Times New Roman" w:hAnsi="Times New Roman" w:cs="Times New Roman"/>
          <w:sz w:val="24"/>
          <w:szCs w:val="24"/>
          <w:lang w:val="en"/>
        </w:rPr>
        <w:t xml:space="preserve"> an opportunity for Parliament to discuss, and then formally adopt, the budgets of government de</w:t>
      </w:r>
      <w:r w:rsidR="00E701B9" w:rsidRPr="00344E55">
        <w:rPr>
          <w:rFonts w:ascii="Times New Roman" w:hAnsi="Times New Roman" w:cs="Times New Roman"/>
          <w:sz w:val="24"/>
          <w:szCs w:val="24"/>
          <w:lang w:val="en"/>
        </w:rPr>
        <w:t xml:space="preserve">partments and entities that are </w:t>
      </w:r>
      <w:r w:rsidRPr="00344E55">
        <w:rPr>
          <w:rFonts w:ascii="Times New Roman" w:hAnsi="Times New Roman" w:cs="Times New Roman"/>
          <w:sz w:val="24"/>
          <w:szCs w:val="24"/>
          <w:lang w:val="en"/>
        </w:rPr>
        <w:t xml:space="preserve">funded through a parliamentary vote. </w:t>
      </w:r>
      <w:r w:rsidRPr="00344E55">
        <w:rPr>
          <w:rFonts w:ascii="Times New Roman" w:eastAsia="Times New Roman" w:hAnsi="Times New Roman" w:cs="Times New Roman"/>
          <w:sz w:val="24"/>
          <w:szCs w:val="24"/>
          <w:lang w:eastAsia="en-ZA"/>
        </w:rPr>
        <w:t xml:space="preserve">Budget votes are the formal negotiation between a committee and a department about the </w:t>
      </w:r>
      <w:r w:rsidR="00CB3D75" w:rsidRPr="00344E55">
        <w:rPr>
          <w:rFonts w:ascii="Times New Roman" w:eastAsia="Times New Roman" w:hAnsi="Times New Roman" w:cs="Times New Roman"/>
          <w:sz w:val="24"/>
          <w:szCs w:val="24"/>
          <w:lang w:eastAsia="en-ZA"/>
        </w:rPr>
        <w:t>desired</w:t>
      </w:r>
      <w:r w:rsidRPr="00344E55">
        <w:rPr>
          <w:rFonts w:ascii="Times New Roman" w:eastAsia="Times New Roman" w:hAnsi="Times New Roman" w:cs="Times New Roman"/>
          <w:sz w:val="24"/>
          <w:szCs w:val="24"/>
          <w:lang w:eastAsia="en-ZA"/>
        </w:rPr>
        <w:t xml:space="preserve"> outcomes that might be expected from the policy priorities and resource allocations indicated in the budget under consideration. Each department and entity is required to table its strategic and annual performance plans and budget in the National Assembly.</w:t>
      </w:r>
      <w:r w:rsidRPr="00344E55">
        <w:rPr>
          <w:rFonts w:ascii="Times New Roman" w:hAnsi="Times New Roman" w:cs="Times New Roman"/>
          <w:sz w:val="24"/>
          <w:szCs w:val="24"/>
          <w:lang w:val="en"/>
        </w:rPr>
        <w:t>The debate therefore allows for Parliament, and the public, to be updated about what departments are doing, how they are performing and exactly how public money is being used in a forum larger than a Committee meeting. </w:t>
      </w:r>
    </w:p>
    <w:p w14:paraId="088D9919" w14:textId="77777777" w:rsidR="00DE5EEC" w:rsidRPr="00344E55" w:rsidRDefault="00DE5EEC" w:rsidP="00DE5EEC">
      <w:pPr>
        <w:spacing w:before="100" w:beforeAutospacing="1" w:after="100" w:afterAutospacing="1" w:line="360" w:lineRule="auto"/>
        <w:contextualSpacing/>
        <w:jc w:val="both"/>
        <w:rPr>
          <w:rFonts w:ascii="Times New Roman" w:eastAsia="Times New Roman" w:hAnsi="Times New Roman" w:cs="Times New Roman"/>
          <w:sz w:val="24"/>
          <w:szCs w:val="24"/>
          <w:lang w:eastAsia="en-ZA"/>
        </w:rPr>
      </w:pPr>
    </w:p>
    <w:p w14:paraId="3B371319" w14:textId="77777777" w:rsidR="005200EB" w:rsidRPr="00344E55" w:rsidRDefault="005200EB" w:rsidP="004221D3">
      <w:pPr>
        <w:spacing w:after="15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lang w:eastAsia="en-ZA"/>
        </w:rPr>
        <w:lastRenderedPageBreak/>
        <w:t>It is important for the strategic plans to be tabled within the stipulated p</w:t>
      </w:r>
      <w:r w:rsidR="00F60030" w:rsidRPr="00344E55">
        <w:rPr>
          <w:rFonts w:ascii="Times New Roman" w:hAnsi="Times New Roman" w:cs="Times New Roman"/>
          <w:sz w:val="24"/>
          <w:szCs w:val="24"/>
          <w:lang w:eastAsia="en-ZA"/>
        </w:rPr>
        <w:t>eriod because</w:t>
      </w:r>
      <w:r w:rsidR="00DE5EEC" w:rsidRPr="00344E55">
        <w:rPr>
          <w:rFonts w:ascii="Times New Roman" w:hAnsi="Times New Roman" w:cs="Times New Roman"/>
          <w:sz w:val="24"/>
          <w:szCs w:val="24"/>
          <w:lang w:eastAsia="en-ZA"/>
        </w:rPr>
        <w:t xml:space="preserve"> the plans provide </w:t>
      </w:r>
      <w:r w:rsidRPr="00344E55">
        <w:rPr>
          <w:rFonts w:ascii="Times New Roman" w:hAnsi="Times New Roman" w:cs="Times New Roman"/>
          <w:sz w:val="24"/>
          <w:szCs w:val="24"/>
          <w:lang w:eastAsia="en-ZA"/>
        </w:rPr>
        <w:t>information for the budget appraisal process of the relevant Portfolio Committee.</w:t>
      </w:r>
      <w:r w:rsidRPr="00344E55">
        <w:rPr>
          <w:rFonts w:ascii="Times New Roman" w:hAnsi="Times New Roman" w:cs="Times New Roman"/>
          <w:sz w:val="24"/>
          <w:szCs w:val="24"/>
        </w:rPr>
        <w:t> Strategic Plans identify strategically important outcome orientated goals and objectives against which public institutions medium-t</w:t>
      </w:r>
      <w:r w:rsidR="00476B6B" w:rsidRPr="00344E55">
        <w:rPr>
          <w:rFonts w:ascii="Times New Roman" w:hAnsi="Times New Roman" w:cs="Times New Roman"/>
          <w:sz w:val="24"/>
          <w:szCs w:val="24"/>
        </w:rPr>
        <w:t xml:space="preserve">erm results can be measured and </w:t>
      </w:r>
      <w:r w:rsidRPr="00344E55">
        <w:rPr>
          <w:rFonts w:ascii="Times New Roman" w:hAnsi="Times New Roman" w:cs="Times New Roman"/>
          <w:sz w:val="24"/>
          <w:szCs w:val="24"/>
        </w:rPr>
        <w:t>evaluated by Parliament. Annual performance plans identify the performance indicators and targets that the institution endeavours to accomplish in</w:t>
      </w:r>
      <w:r w:rsidR="00F60030" w:rsidRPr="00344E55">
        <w:rPr>
          <w:rFonts w:ascii="Times New Roman" w:hAnsi="Times New Roman" w:cs="Times New Roman"/>
          <w:sz w:val="24"/>
          <w:szCs w:val="24"/>
        </w:rPr>
        <w:t xml:space="preserve"> the upcoming budget year. </w:t>
      </w:r>
      <w:r w:rsidR="00904D18" w:rsidRPr="00344E55">
        <w:rPr>
          <w:rFonts w:ascii="Times New Roman" w:hAnsi="Times New Roman" w:cs="Times New Roman"/>
          <w:sz w:val="24"/>
          <w:szCs w:val="24"/>
        </w:rPr>
        <w:t>It furthermore</w:t>
      </w:r>
      <w:r w:rsidRPr="00344E55">
        <w:rPr>
          <w:rFonts w:ascii="Times New Roman" w:hAnsi="Times New Roman" w:cs="Times New Roman"/>
          <w:sz w:val="24"/>
          <w:szCs w:val="24"/>
        </w:rPr>
        <w:t xml:space="preserve"> shows funded service-delivery targets or projections. The annual budget sets out what funds an institution is allocated to deliver services and most importantly, indicates the resource envelope for the year ahead, and sets indicative future budgets over the Medium Term Expenditure Framework (MTEF). The budget covers the current financial year and the following two years.</w:t>
      </w:r>
    </w:p>
    <w:p w14:paraId="4AE476B4" w14:textId="77777777" w:rsidR="005200EB" w:rsidRPr="00344E55" w:rsidRDefault="005200EB" w:rsidP="004221D3">
      <w:pPr>
        <w:spacing w:after="150" w:line="360" w:lineRule="auto"/>
        <w:contextualSpacing/>
        <w:jc w:val="both"/>
        <w:rPr>
          <w:rFonts w:ascii="Times New Roman" w:hAnsi="Times New Roman" w:cs="Times New Roman"/>
          <w:sz w:val="24"/>
          <w:szCs w:val="24"/>
        </w:rPr>
      </w:pPr>
    </w:p>
    <w:p w14:paraId="39AAC250" w14:textId="77777777" w:rsidR="005200EB" w:rsidRPr="00344E55" w:rsidRDefault="005200EB" w:rsidP="00656B0B">
      <w:pPr>
        <w:spacing w:after="150" w:line="360" w:lineRule="auto"/>
        <w:contextualSpacing/>
        <w:jc w:val="both"/>
        <w:rPr>
          <w:rFonts w:ascii="Times New Roman" w:hAnsi="Times New Roman" w:cs="Times New Roman"/>
          <w:sz w:val="24"/>
          <w:szCs w:val="24"/>
        </w:rPr>
      </w:pPr>
      <w:r w:rsidRPr="00344E55">
        <w:rPr>
          <w:rFonts w:ascii="Times New Roman" w:hAnsi="Times New Roman" w:cs="Times New Roman"/>
          <w:b/>
          <w:sz w:val="24"/>
          <w:szCs w:val="24"/>
        </w:rPr>
        <w:t>1.2</w:t>
      </w:r>
      <w:r w:rsidRPr="00344E55">
        <w:rPr>
          <w:rFonts w:ascii="Times New Roman" w:hAnsi="Times New Roman" w:cs="Times New Roman"/>
          <w:b/>
          <w:sz w:val="24"/>
          <w:szCs w:val="24"/>
        </w:rPr>
        <w:tab/>
        <w:t>Purpose of the Budget Vote</w:t>
      </w:r>
    </w:p>
    <w:p w14:paraId="66ED589E" w14:textId="77777777" w:rsidR="00E701B9" w:rsidRPr="00344E55" w:rsidRDefault="00E701B9" w:rsidP="00656B0B">
      <w:pPr>
        <w:spacing w:after="150" w:line="360" w:lineRule="auto"/>
        <w:contextualSpacing/>
        <w:jc w:val="both"/>
        <w:rPr>
          <w:rFonts w:ascii="Times New Roman" w:hAnsi="Times New Roman" w:cs="Times New Roman"/>
          <w:sz w:val="24"/>
          <w:szCs w:val="24"/>
          <w:lang w:eastAsia="en-ZA"/>
        </w:rPr>
      </w:pPr>
      <w:r w:rsidRPr="00344E55">
        <w:rPr>
          <w:rFonts w:ascii="Times New Roman" w:hAnsi="Times New Roman" w:cs="Times New Roman"/>
          <w:sz w:val="24"/>
          <w:szCs w:val="24"/>
          <w:lang w:eastAsia="en-ZA"/>
        </w:rPr>
        <w:t xml:space="preserve">The Constitution of South Africa (Act No. 108 of 1996) recognises that the legislative authority has an important role to play in overseeing both the financial and non-financial performance of government departments and public entities. </w:t>
      </w:r>
      <w:r w:rsidRPr="00344E55">
        <w:rPr>
          <w:rFonts w:ascii="Times New Roman" w:hAnsi="Times New Roman" w:cs="Times New Roman"/>
          <w:sz w:val="24"/>
          <w:szCs w:val="24"/>
        </w:rPr>
        <w:t>Section 27 of the Public Finance Management Act (No. 1 of 1999) makes provision for Ministers to table the annual budget for a particular financial year in the National Assembly before the start of that financial year. Whereas section 10(1)(c) of the Money Bills Amendment Procedures and Related Matters Act (No. 9 of 2009) makes provision for Ministers to table Strategic Plans and Ann</w:t>
      </w:r>
      <w:r w:rsidR="00D0650D" w:rsidRPr="00344E55">
        <w:rPr>
          <w:rFonts w:ascii="Times New Roman" w:hAnsi="Times New Roman" w:cs="Times New Roman"/>
          <w:sz w:val="24"/>
          <w:szCs w:val="24"/>
        </w:rPr>
        <w:t>ual Performance Plans for</w:t>
      </w:r>
      <w:r w:rsidRPr="00344E55">
        <w:rPr>
          <w:rFonts w:ascii="Times New Roman" w:hAnsi="Times New Roman" w:cs="Times New Roman"/>
          <w:sz w:val="24"/>
          <w:szCs w:val="24"/>
        </w:rPr>
        <w:t xml:space="preserve"> their respective Departments, public entities or institutions, which must be referred to the relevant Portfolio Committees for consideration and adoption.</w:t>
      </w:r>
    </w:p>
    <w:p w14:paraId="3A6D9245" w14:textId="77777777" w:rsidR="00E701B9" w:rsidRPr="00344E55" w:rsidRDefault="00E701B9" w:rsidP="00656B0B">
      <w:pPr>
        <w:spacing w:line="360" w:lineRule="auto"/>
        <w:contextualSpacing/>
        <w:jc w:val="both"/>
        <w:rPr>
          <w:rFonts w:ascii="Times New Roman" w:hAnsi="Times New Roman" w:cs="Times New Roman"/>
          <w:sz w:val="24"/>
          <w:szCs w:val="24"/>
        </w:rPr>
      </w:pPr>
    </w:p>
    <w:p w14:paraId="189137FC" w14:textId="77777777" w:rsidR="005200EB" w:rsidRPr="00344E55" w:rsidRDefault="005200EB" w:rsidP="00656B0B">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The budget is a political and financial instrument that the government uses to ensure that its policy programmes are operationalised through the allocation of financial resources to the different spheres of government, specifically to programmes and projects. It reflects an outcomes centred public spending approach. It is further described as a tool that the government uses to evaluate the financing of its key policy objectives. It also used to evaluate whether the macro-economic perspectives of the Budget and the respective Budget Votes meet the requirements of government policies and give substance to the government’s five-year plan. Therefore, the purpose of Vote 31 for the Department is to promote the development of survivalist, small, micro, medium and co-operative enterprises that contribute to inclusive growth and job creation. </w:t>
      </w:r>
    </w:p>
    <w:p w14:paraId="161D8D00" w14:textId="77777777" w:rsidR="005200EB" w:rsidRPr="00344E55" w:rsidRDefault="005200EB" w:rsidP="00656B0B">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w:t>
      </w:r>
    </w:p>
    <w:p w14:paraId="06B6F34C" w14:textId="77777777" w:rsidR="005200EB" w:rsidRPr="00344E55" w:rsidRDefault="005200EB" w:rsidP="00656B0B">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lastRenderedPageBreak/>
        <w:t>1.3</w:t>
      </w:r>
      <w:r w:rsidRPr="00344E55">
        <w:rPr>
          <w:rFonts w:ascii="Times New Roman" w:hAnsi="Times New Roman" w:cs="Times New Roman"/>
          <w:b/>
          <w:sz w:val="24"/>
          <w:szCs w:val="24"/>
        </w:rPr>
        <w:tab/>
        <w:t>Objectives of the Report</w:t>
      </w:r>
    </w:p>
    <w:p w14:paraId="33A06A39" w14:textId="77777777" w:rsidR="005200EB" w:rsidRPr="00344E55" w:rsidRDefault="005200EB" w:rsidP="00656B0B">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The objectives of the report are as follows: -</w:t>
      </w:r>
    </w:p>
    <w:p w14:paraId="2C17EEB7" w14:textId="77777777" w:rsidR="004221D3" w:rsidRPr="00344E55" w:rsidRDefault="005200EB" w:rsidP="00F80D2E">
      <w:pPr>
        <w:pStyle w:val="ListParagraph"/>
        <w:numPr>
          <w:ilvl w:val="2"/>
          <w:numId w:val="11"/>
        </w:numPr>
        <w:spacing w:line="360" w:lineRule="auto"/>
        <w:jc w:val="both"/>
        <w:rPr>
          <w:rFonts w:eastAsiaTheme="minorHAnsi"/>
        </w:rPr>
      </w:pPr>
      <w:r w:rsidRPr="00344E55">
        <w:rPr>
          <w:rFonts w:eastAsiaTheme="minorHAnsi"/>
        </w:rPr>
        <w:t>To describe and analyse the budget of the Department of Small Bu</w:t>
      </w:r>
      <w:r w:rsidR="00F60030" w:rsidRPr="00344E55">
        <w:rPr>
          <w:rFonts w:eastAsiaTheme="minorHAnsi"/>
        </w:rPr>
        <w:t>siness Development</w:t>
      </w:r>
      <w:r w:rsidR="00904D18" w:rsidRPr="00344E55">
        <w:rPr>
          <w:rFonts w:eastAsiaTheme="minorHAnsi"/>
        </w:rPr>
        <w:t xml:space="preserve"> and its entity </w:t>
      </w:r>
      <w:proofErr w:type="spellStart"/>
      <w:r w:rsidR="00904D18" w:rsidRPr="00344E55">
        <w:rPr>
          <w:rFonts w:eastAsiaTheme="minorHAnsi"/>
        </w:rPr>
        <w:t>Seda</w:t>
      </w:r>
      <w:proofErr w:type="spellEnd"/>
      <w:r w:rsidR="00E701B9" w:rsidRPr="00344E55">
        <w:rPr>
          <w:rFonts w:eastAsiaTheme="minorHAnsi"/>
        </w:rPr>
        <w:t>, vote 31,</w:t>
      </w:r>
      <w:r w:rsidR="00F60030" w:rsidRPr="00344E55">
        <w:rPr>
          <w:rFonts w:eastAsiaTheme="minorHAnsi"/>
        </w:rPr>
        <w:t xml:space="preserve"> over the 20</w:t>
      </w:r>
      <w:r w:rsidR="00E701B9" w:rsidRPr="00344E55">
        <w:rPr>
          <w:rFonts w:eastAsiaTheme="minorHAnsi"/>
        </w:rPr>
        <w:t>19/20</w:t>
      </w:r>
      <w:r w:rsidRPr="00344E55">
        <w:rPr>
          <w:rFonts w:eastAsiaTheme="minorHAnsi"/>
        </w:rPr>
        <w:t xml:space="preserve"> financial year;</w:t>
      </w:r>
    </w:p>
    <w:p w14:paraId="2D2DAC70" w14:textId="77777777" w:rsidR="00E701B9" w:rsidRPr="00344E55" w:rsidRDefault="00D0650D" w:rsidP="00F80D2E">
      <w:pPr>
        <w:pStyle w:val="ListParagraph"/>
        <w:numPr>
          <w:ilvl w:val="2"/>
          <w:numId w:val="11"/>
        </w:numPr>
        <w:spacing w:line="360" w:lineRule="auto"/>
        <w:jc w:val="both"/>
        <w:rPr>
          <w:rFonts w:eastAsiaTheme="minorHAnsi"/>
        </w:rPr>
      </w:pPr>
      <w:r w:rsidRPr="00344E55">
        <w:rPr>
          <w:rFonts w:eastAsiaTheme="minorHAnsi"/>
        </w:rPr>
        <w:t xml:space="preserve">To consider, soon to be phased out due to the recent reconfiguration of state departments, vote 25 as </w:t>
      </w:r>
      <w:proofErr w:type="spellStart"/>
      <w:r w:rsidR="00E701B9" w:rsidRPr="00344E55">
        <w:rPr>
          <w:rFonts w:eastAsiaTheme="minorHAnsi"/>
          <w:b/>
        </w:rPr>
        <w:t>sefa</w:t>
      </w:r>
      <w:proofErr w:type="spellEnd"/>
      <w:r w:rsidR="00E701B9" w:rsidRPr="00344E55">
        <w:rPr>
          <w:rFonts w:eastAsiaTheme="minorHAnsi"/>
        </w:rPr>
        <w:t xml:space="preserve">, </w:t>
      </w:r>
      <w:r w:rsidR="00904D18" w:rsidRPr="00344E55">
        <w:rPr>
          <w:rFonts w:eastAsiaTheme="minorHAnsi"/>
        </w:rPr>
        <w:t xml:space="preserve">is still </w:t>
      </w:r>
      <w:r w:rsidR="002A0A4D" w:rsidRPr="00344E55">
        <w:rPr>
          <w:rFonts w:eastAsiaTheme="minorHAnsi"/>
        </w:rPr>
        <w:t>an agency of the Economic Development Department (EDD) through Industrial Development Corporation (IDC);</w:t>
      </w:r>
    </w:p>
    <w:p w14:paraId="4C3D02E1" w14:textId="77777777" w:rsidR="004221D3" w:rsidRPr="00344E55" w:rsidRDefault="005200EB" w:rsidP="00F80D2E">
      <w:pPr>
        <w:pStyle w:val="ListParagraph"/>
        <w:numPr>
          <w:ilvl w:val="2"/>
          <w:numId w:val="11"/>
        </w:numPr>
        <w:spacing w:line="360" w:lineRule="auto"/>
        <w:jc w:val="both"/>
        <w:rPr>
          <w:rFonts w:eastAsiaTheme="minorHAnsi"/>
        </w:rPr>
      </w:pPr>
      <w:r w:rsidRPr="00344E55">
        <w:t xml:space="preserve">To report on </w:t>
      </w:r>
      <w:r w:rsidR="00904D18" w:rsidRPr="00344E55">
        <w:t>the</w:t>
      </w:r>
      <w:r w:rsidRPr="00344E55">
        <w:t xml:space="preserve"> deliberations and consideration, which </w:t>
      </w:r>
      <w:r w:rsidR="00904D18" w:rsidRPr="00344E55">
        <w:t>are</w:t>
      </w:r>
      <w:r w:rsidRPr="00344E55">
        <w:t xml:space="preserve"> essentially the unpacking and examining of the Department annual performance plan and its associat</w:t>
      </w:r>
      <w:r w:rsidR="00E701B9" w:rsidRPr="00344E55">
        <w:t xml:space="preserve">ed budget vote </w:t>
      </w:r>
      <w:r w:rsidRPr="00344E55">
        <w:t>in re</w:t>
      </w:r>
      <w:r w:rsidR="00904D18" w:rsidRPr="00344E55">
        <w:t>lation to the strategic plan</w:t>
      </w:r>
      <w:r w:rsidRPr="00344E55">
        <w:t>;</w:t>
      </w:r>
    </w:p>
    <w:p w14:paraId="5BA4426F" w14:textId="77777777" w:rsidR="005200EB" w:rsidRPr="00344E55" w:rsidRDefault="005200EB" w:rsidP="00F80D2E">
      <w:pPr>
        <w:pStyle w:val="ListParagraph"/>
        <w:numPr>
          <w:ilvl w:val="2"/>
          <w:numId w:val="11"/>
        </w:numPr>
        <w:spacing w:line="360" w:lineRule="auto"/>
        <w:jc w:val="both"/>
        <w:rPr>
          <w:rFonts w:eastAsiaTheme="minorHAnsi"/>
        </w:rPr>
      </w:pPr>
      <w:r w:rsidRPr="00344E55">
        <w:t>To make recommendations concerning the endorsement, adjustment or rejection of budget vote 31 and any other recommendation</w:t>
      </w:r>
      <w:r w:rsidR="00904D18" w:rsidRPr="00344E55">
        <w:t>s</w:t>
      </w:r>
      <w:r w:rsidRPr="00344E55">
        <w:t xml:space="preserve"> regarding the implementation o</w:t>
      </w:r>
      <w:r w:rsidR="002A0A4D" w:rsidRPr="00344E55">
        <w:t>f the Department strategic plan;</w:t>
      </w:r>
    </w:p>
    <w:p w14:paraId="47958E37" w14:textId="77777777" w:rsidR="002A0A4D" w:rsidRPr="00344E55" w:rsidRDefault="002A0A4D" w:rsidP="00F80D2E">
      <w:pPr>
        <w:pStyle w:val="ListParagraph"/>
        <w:numPr>
          <w:ilvl w:val="2"/>
          <w:numId w:val="11"/>
        </w:numPr>
        <w:spacing w:line="360" w:lineRule="auto"/>
        <w:jc w:val="both"/>
        <w:rPr>
          <w:rFonts w:eastAsiaTheme="minorHAnsi"/>
        </w:rPr>
      </w:pPr>
      <w:r w:rsidRPr="00344E55">
        <w:t xml:space="preserve">To record general and specific observations and make </w:t>
      </w:r>
      <w:r w:rsidR="00904D18" w:rsidRPr="00344E55">
        <w:t xml:space="preserve">appropriate </w:t>
      </w:r>
      <w:r w:rsidRPr="00344E55">
        <w:t>recommendations.</w:t>
      </w:r>
    </w:p>
    <w:p w14:paraId="4F7DB16A" w14:textId="77777777" w:rsidR="005200EB" w:rsidRPr="00344E55" w:rsidRDefault="005200EB" w:rsidP="00656B0B">
      <w:pPr>
        <w:pStyle w:val="ListParagraph"/>
        <w:spacing w:after="160" w:line="360" w:lineRule="auto"/>
        <w:jc w:val="both"/>
        <w:rPr>
          <w:rFonts w:eastAsiaTheme="minorHAnsi"/>
          <w:lang w:eastAsia="en-US"/>
        </w:rPr>
      </w:pPr>
    </w:p>
    <w:p w14:paraId="240C1CC1" w14:textId="77777777" w:rsidR="00D0650D" w:rsidRPr="00344E55" w:rsidRDefault="005200EB" w:rsidP="00656B0B">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1.4</w:t>
      </w:r>
      <w:r w:rsidRPr="00344E55">
        <w:rPr>
          <w:rFonts w:ascii="Times New Roman" w:hAnsi="Times New Roman" w:cs="Times New Roman"/>
          <w:b/>
          <w:sz w:val="24"/>
          <w:szCs w:val="24"/>
        </w:rPr>
        <w:tab/>
        <w:t>The Portfolio Committee Process</w:t>
      </w:r>
    </w:p>
    <w:p w14:paraId="7FB7EB81" w14:textId="77777777" w:rsidR="00186A8E" w:rsidRPr="00344E55" w:rsidRDefault="00D0650D" w:rsidP="00656B0B">
      <w:pPr>
        <w:spacing w:line="360" w:lineRule="auto"/>
        <w:contextualSpacing/>
        <w:jc w:val="both"/>
        <w:rPr>
          <w:rFonts w:ascii="Times New Roman" w:hAnsi="Times New Roman" w:cs="Times New Roman"/>
          <w:sz w:val="24"/>
          <w:szCs w:val="24"/>
          <w:lang w:eastAsia="en-ZA"/>
        </w:rPr>
      </w:pPr>
      <w:r w:rsidRPr="00344E55">
        <w:rPr>
          <w:rFonts w:ascii="Times New Roman" w:hAnsi="Times New Roman" w:cs="Times New Roman"/>
          <w:sz w:val="24"/>
          <w:szCs w:val="24"/>
          <w:lang w:val="en"/>
        </w:rPr>
        <w:t xml:space="preserve">The Portfolio </w:t>
      </w:r>
      <w:r w:rsidR="00DE5EEC" w:rsidRPr="00344E55">
        <w:rPr>
          <w:rFonts w:ascii="Times New Roman" w:hAnsi="Times New Roman" w:cs="Times New Roman"/>
          <w:sz w:val="24"/>
          <w:szCs w:val="24"/>
          <w:lang w:val="en"/>
        </w:rPr>
        <w:t xml:space="preserve">Committees have </w:t>
      </w:r>
      <w:r w:rsidR="00904D18" w:rsidRPr="00344E55">
        <w:rPr>
          <w:rFonts w:ascii="Times New Roman" w:hAnsi="Times New Roman" w:cs="Times New Roman"/>
          <w:sz w:val="24"/>
          <w:szCs w:val="24"/>
          <w:lang w:val="en"/>
        </w:rPr>
        <w:t>met</w:t>
      </w:r>
      <w:r w:rsidR="00DE5EEC" w:rsidRPr="00344E55">
        <w:rPr>
          <w:rFonts w:ascii="Times New Roman" w:hAnsi="Times New Roman" w:cs="Times New Roman"/>
          <w:sz w:val="24"/>
          <w:szCs w:val="24"/>
          <w:lang w:val="en"/>
        </w:rPr>
        <w:t xml:space="preserve"> with departments and their entities to pore over their strategic and annual performance plans, budgets and performance targets in preparation for reports to be considered by the House</w:t>
      </w:r>
      <w:r w:rsidRPr="00344E55">
        <w:rPr>
          <w:rFonts w:ascii="Times New Roman" w:hAnsi="Times New Roman" w:cs="Times New Roman"/>
          <w:sz w:val="24"/>
          <w:szCs w:val="24"/>
          <w:lang w:val="en"/>
        </w:rPr>
        <w:t>.</w:t>
      </w:r>
      <w:r w:rsidRPr="00344E55">
        <w:rPr>
          <w:rFonts w:ascii="Times New Roman" w:hAnsi="Times New Roman" w:cs="Times New Roman"/>
          <w:sz w:val="24"/>
          <w:szCs w:val="24"/>
        </w:rPr>
        <w:t xml:space="preserve"> In compliance with the referral by the National Assembly, the Portfolio Committee </w:t>
      </w:r>
      <w:r w:rsidR="00904D18" w:rsidRPr="00344E55">
        <w:rPr>
          <w:rFonts w:ascii="Times New Roman" w:hAnsi="Times New Roman" w:cs="Times New Roman"/>
          <w:sz w:val="24"/>
          <w:szCs w:val="24"/>
        </w:rPr>
        <w:t xml:space="preserve">on Small Business Development </w:t>
      </w:r>
      <w:r w:rsidRPr="00344E55">
        <w:rPr>
          <w:rFonts w:ascii="Times New Roman" w:hAnsi="Times New Roman" w:cs="Times New Roman"/>
          <w:sz w:val="24"/>
          <w:szCs w:val="24"/>
        </w:rPr>
        <w:t xml:space="preserve">held </w:t>
      </w:r>
      <w:r w:rsidR="00D73550" w:rsidRPr="00344E55">
        <w:rPr>
          <w:rFonts w:ascii="Times New Roman" w:hAnsi="Times New Roman" w:cs="Times New Roman"/>
          <w:sz w:val="24"/>
          <w:szCs w:val="24"/>
        </w:rPr>
        <w:t xml:space="preserve">its </w:t>
      </w:r>
      <w:r w:rsidRPr="00344E55">
        <w:rPr>
          <w:rFonts w:ascii="Times New Roman" w:hAnsi="Times New Roman" w:cs="Times New Roman"/>
          <w:sz w:val="24"/>
          <w:szCs w:val="24"/>
        </w:rPr>
        <w:t xml:space="preserve">briefing on July 03, 2019 with the Department of Small Business Development, Small Enterprise Development Agency and Small Enterprise Finance Agency to consider their annual performance plans and the Department budget vote. </w:t>
      </w:r>
      <w:r w:rsidR="005200EB" w:rsidRPr="00344E55">
        <w:rPr>
          <w:rFonts w:ascii="Times New Roman" w:hAnsi="Times New Roman" w:cs="Times New Roman"/>
          <w:sz w:val="24"/>
          <w:szCs w:val="24"/>
          <w:lang w:eastAsia="en-ZA"/>
        </w:rPr>
        <w:t>The above exercise explains the significance of the budget and strategic plan process in the calendar of Parliament and the requirement for departments to table these on ti</w:t>
      </w:r>
      <w:r w:rsidR="00904D18" w:rsidRPr="00344E55">
        <w:rPr>
          <w:rFonts w:ascii="Times New Roman" w:hAnsi="Times New Roman" w:cs="Times New Roman"/>
          <w:sz w:val="24"/>
          <w:szCs w:val="24"/>
          <w:lang w:eastAsia="en-ZA"/>
        </w:rPr>
        <w:t xml:space="preserve">me to ensure that Parliament is </w:t>
      </w:r>
      <w:r w:rsidR="005200EB" w:rsidRPr="00344E55">
        <w:rPr>
          <w:rFonts w:ascii="Times New Roman" w:hAnsi="Times New Roman" w:cs="Times New Roman"/>
          <w:sz w:val="24"/>
          <w:szCs w:val="24"/>
          <w:lang w:eastAsia="en-ZA"/>
        </w:rPr>
        <w:t xml:space="preserve">provided with information required </w:t>
      </w:r>
      <w:r w:rsidR="004221D3" w:rsidRPr="00344E55">
        <w:rPr>
          <w:rFonts w:ascii="Times New Roman" w:hAnsi="Times New Roman" w:cs="Times New Roman"/>
          <w:sz w:val="24"/>
          <w:szCs w:val="24"/>
          <w:lang w:eastAsia="en-ZA"/>
        </w:rPr>
        <w:t xml:space="preserve">for its oversight work. </w:t>
      </w:r>
    </w:p>
    <w:p w14:paraId="4DD2BA6F" w14:textId="77777777" w:rsidR="00D0650D" w:rsidRPr="00344E55" w:rsidRDefault="00D0650D" w:rsidP="00656B0B">
      <w:pPr>
        <w:spacing w:line="360" w:lineRule="auto"/>
        <w:contextualSpacing/>
        <w:jc w:val="both"/>
        <w:rPr>
          <w:rFonts w:ascii="Times New Roman" w:hAnsi="Times New Roman" w:cs="Times New Roman"/>
          <w:sz w:val="24"/>
          <w:szCs w:val="24"/>
          <w:lang w:eastAsia="en-ZA"/>
        </w:rPr>
      </w:pPr>
    </w:p>
    <w:p w14:paraId="284716DB" w14:textId="77777777" w:rsidR="00F206A3" w:rsidRPr="00344E55" w:rsidRDefault="005200EB" w:rsidP="00656B0B">
      <w:pPr>
        <w:pStyle w:val="Default"/>
        <w:spacing w:line="360" w:lineRule="auto"/>
        <w:contextualSpacing/>
        <w:jc w:val="both"/>
        <w:rPr>
          <w:color w:val="auto"/>
        </w:rPr>
      </w:pPr>
      <w:r w:rsidRPr="00344E55">
        <w:rPr>
          <w:color w:val="auto"/>
          <w:lang w:eastAsia="en-ZA"/>
        </w:rPr>
        <w:t xml:space="preserve">The </w:t>
      </w:r>
      <w:r w:rsidR="00D0650D" w:rsidRPr="00344E55">
        <w:rPr>
          <w:color w:val="auto"/>
          <w:lang w:eastAsia="en-ZA"/>
        </w:rPr>
        <w:t xml:space="preserve">APPs are forward looking plans, however, their consideration do consider </w:t>
      </w:r>
      <w:r w:rsidRPr="00344E55">
        <w:rPr>
          <w:color w:val="auto"/>
          <w:lang w:eastAsia="en-ZA"/>
        </w:rPr>
        <w:t xml:space="preserve">the past performance of the Department and its entities. </w:t>
      </w:r>
      <w:r w:rsidR="00656B0B" w:rsidRPr="00344E55">
        <w:rPr>
          <w:color w:val="auto"/>
          <w:lang w:eastAsia="en-ZA"/>
        </w:rPr>
        <w:t xml:space="preserve">Honourable Minister </w:t>
      </w:r>
      <w:proofErr w:type="spellStart"/>
      <w:r w:rsidR="00656B0B" w:rsidRPr="00344E55">
        <w:rPr>
          <w:color w:val="auto"/>
          <w:lang w:eastAsia="en-ZA"/>
        </w:rPr>
        <w:t>Khumbudzo</w:t>
      </w:r>
      <w:proofErr w:type="spellEnd"/>
      <w:r w:rsidR="00656B0B" w:rsidRPr="00344E55">
        <w:rPr>
          <w:color w:val="auto"/>
          <w:lang w:eastAsia="en-ZA"/>
        </w:rPr>
        <w:t xml:space="preserve"> </w:t>
      </w:r>
      <w:proofErr w:type="spellStart"/>
      <w:r w:rsidR="00656B0B" w:rsidRPr="00344E55">
        <w:rPr>
          <w:color w:val="auto"/>
          <w:lang w:eastAsia="en-ZA"/>
        </w:rPr>
        <w:t>Ntshavheni</w:t>
      </w:r>
      <w:proofErr w:type="spellEnd"/>
      <w:r w:rsidR="00656B0B" w:rsidRPr="00344E55">
        <w:rPr>
          <w:color w:val="auto"/>
          <w:lang w:eastAsia="en-ZA"/>
        </w:rPr>
        <w:t xml:space="preserve">, Honourable Deputy Minister Rosemary </w:t>
      </w:r>
      <w:proofErr w:type="spellStart"/>
      <w:r w:rsidR="00656B0B" w:rsidRPr="00344E55">
        <w:rPr>
          <w:color w:val="auto"/>
          <w:lang w:eastAsia="en-ZA"/>
        </w:rPr>
        <w:t>Capa</w:t>
      </w:r>
      <w:proofErr w:type="spellEnd"/>
      <w:r w:rsidR="00656B0B" w:rsidRPr="00344E55">
        <w:rPr>
          <w:color w:val="auto"/>
          <w:lang w:eastAsia="en-ZA"/>
        </w:rPr>
        <w:t>, led the DSBD delegation</w:t>
      </w:r>
      <w:r w:rsidR="00D0650D" w:rsidRPr="00344E55">
        <w:rPr>
          <w:b/>
          <w:bCs/>
          <w:color w:val="auto"/>
        </w:rPr>
        <w:t xml:space="preserve"> </w:t>
      </w:r>
      <w:r w:rsidRPr="00344E55">
        <w:rPr>
          <w:color w:val="auto"/>
          <w:lang w:eastAsia="en-ZA"/>
        </w:rPr>
        <w:t>while the Accounting Authorities and Chief Executive Officers from the agencies</w:t>
      </w:r>
      <w:r w:rsidR="00D0650D" w:rsidRPr="00344E55">
        <w:rPr>
          <w:color w:val="auto"/>
          <w:lang w:eastAsia="en-ZA"/>
        </w:rPr>
        <w:t xml:space="preserve"> led their respective delegation</w:t>
      </w:r>
      <w:r w:rsidR="00656B0B" w:rsidRPr="00344E55">
        <w:rPr>
          <w:color w:val="auto"/>
          <w:lang w:eastAsia="en-ZA"/>
        </w:rPr>
        <w:t>s</w:t>
      </w:r>
      <w:r w:rsidRPr="00344E55">
        <w:rPr>
          <w:color w:val="auto"/>
          <w:lang w:eastAsia="en-ZA"/>
        </w:rPr>
        <w:t xml:space="preserve">. </w:t>
      </w:r>
      <w:r w:rsidR="004A59D7" w:rsidRPr="00344E55">
        <w:rPr>
          <w:color w:val="auto"/>
        </w:rPr>
        <w:t xml:space="preserve">The </w:t>
      </w:r>
      <w:r w:rsidR="00656B0B" w:rsidRPr="00344E55">
        <w:rPr>
          <w:color w:val="auto"/>
        </w:rPr>
        <w:t xml:space="preserve">APPs and </w:t>
      </w:r>
      <w:r w:rsidR="004A59D7" w:rsidRPr="00344E55">
        <w:rPr>
          <w:color w:val="auto"/>
        </w:rPr>
        <w:t xml:space="preserve">budget was </w:t>
      </w:r>
      <w:r w:rsidRPr="00344E55">
        <w:rPr>
          <w:color w:val="auto"/>
        </w:rPr>
        <w:t>del</w:t>
      </w:r>
      <w:r w:rsidR="00656B0B" w:rsidRPr="00344E55">
        <w:rPr>
          <w:color w:val="auto"/>
        </w:rPr>
        <w:t xml:space="preserve">iberated against the Department and </w:t>
      </w:r>
      <w:r w:rsidR="00656B0B" w:rsidRPr="00344E55">
        <w:rPr>
          <w:color w:val="auto"/>
        </w:rPr>
        <w:lastRenderedPageBreak/>
        <w:t xml:space="preserve">entities </w:t>
      </w:r>
      <w:r w:rsidRPr="00344E55">
        <w:rPr>
          <w:color w:val="auto"/>
        </w:rPr>
        <w:t>strategic plan</w:t>
      </w:r>
      <w:r w:rsidR="00656B0B" w:rsidRPr="00344E55">
        <w:rPr>
          <w:color w:val="auto"/>
        </w:rPr>
        <w:t>s, soon to be reviewed,</w:t>
      </w:r>
      <w:r w:rsidRPr="00344E55">
        <w:rPr>
          <w:color w:val="auto"/>
        </w:rPr>
        <w:t xml:space="preserve"> and government priorities as captured in the National Development Plan</w:t>
      </w:r>
      <w:r w:rsidR="00F206A3" w:rsidRPr="00344E55">
        <w:rPr>
          <w:color w:val="auto"/>
        </w:rPr>
        <w:t xml:space="preserve"> (NDP)</w:t>
      </w:r>
      <w:r w:rsidRPr="00344E55">
        <w:rPr>
          <w:color w:val="auto"/>
        </w:rPr>
        <w:t>, Medium Term Strategic Framework</w:t>
      </w:r>
      <w:r w:rsidR="00F206A3" w:rsidRPr="00344E55">
        <w:rPr>
          <w:color w:val="auto"/>
        </w:rPr>
        <w:t xml:space="preserve"> (MTSF)</w:t>
      </w:r>
      <w:r w:rsidR="00656B0B" w:rsidRPr="00344E55">
        <w:rPr>
          <w:color w:val="auto"/>
        </w:rPr>
        <w:t xml:space="preserve"> of 2014 - 2019</w:t>
      </w:r>
      <w:r w:rsidRPr="00344E55">
        <w:rPr>
          <w:color w:val="auto"/>
        </w:rPr>
        <w:t>, New Growth Path</w:t>
      </w:r>
      <w:r w:rsidR="00F206A3" w:rsidRPr="00344E55">
        <w:rPr>
          <w:color w:val="auto"/>
        </w:rPr>
        <w:t xml:space="preserve"> (NGP)</w:t>
      </w:r>
      <w:r w:rsidRPr="00344E55">
        <w:rPr>
          <w:color w:val="auto"/>
        </w:rPr>
        <w:t xml:space="preserve"> a</w:t>
      </w:r>
      <w:r w:rsidR="00656B0B" w:rsidRPr="00344E55">
        <w:rPr>
          <w:color w:val="auto"/>
        </w:rPr>
        <w:t xml:space="preserve">s well as February and July 2019 </w:t>
      </w:r>
      <w:r w:rsidRPr="00344E55">
        <w:rPr>
          <w:color w:val="auto"/>
        </w:rPr>
        <w:t>State of the Nation Address (SONA)</w:t>
      </w:r>
      <w:r w:rsidR="00656B0B" w:rsidRPr="00344E55">
        <w:rPr>
          <w:color w:val="auto"/>
        </w:rPr>
        <w:t>.</w:t>
      </w:r>
      <w:r w:rsidRPr="00344E55">
        <w:rPr>
          <w:color w:val="auto"/>
        </w:rPr>
        <w:t xml:space="preserve"> </w:t>
      </w:r>
    </w:p>
    <w:p w14:paraId="4A44A3ED" w14:textId="77777777" w:rsidR="005200EB" w:rsidRPr="00344E55" w:rsidRDefault="005200EB" w:rsidP="00F206A3">
      <w:pPr>
        <w:spacing w:after="150"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2.</w:t>
      </w:r>
      <w:r w:rsidRPr="00344E55">
        <w:rPr>
          <w:rFonts w:ascii="Times New Roman" w:hAnsi="Times New Roman" w:cs="Times New Roman"/>
          <w:b/>
          <w:sz w:val="24"/>
          <w:szCs w:val="24"/>
          <w:lang w:val="en-US"/>
        </w:rPr>
        <w:tab/>
        <w:t>OVERVIEW OF THE DEPARTMENT OF SMALL BUSINESS DEVELOPMENT</w:t>
      </w:r>
    </w:p>
    <w:p w14:paraId="4651A92B" w14:textId="77777777" w:rsidR="005200EB" w:rsidRPr="00344E55" w:rsidRDefault="005200EB" w:rsidP="005200EB">
      <w:pPr>
        <w:spacing w:line="360" w:lineRule="auto"/>
        <w:contextualSpacing/>
        <w:jc w:val="both"/>
        <w:rPr>
          <w:rFonts w:ascii="Times New Roman" w:hAnsi="Times New Roman" w:cs="Times New Roman"/>
          <w:b/>
          <w:sz w:val="24"/>
          <w:szCs w:val="24"/>
          <w:lang w:val="en-US"/>
        </w:rPr>
      </w:pPr>
    </w:p>
    <w:p w14:paraId="45D3A9F1" w14:textId="77777777" w:rsidR="00244DF4" w:rsidRPr="00344E55" w:rsidRDefault="005200EB" w:rsidP="00244DF4">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2.1</w:t>
      </w:r>
      <w:r w:rsidRPr="00344E55">
        <w:rPr>
          <w:rFonts w:ascii="Times New Roman" w:hAnsi="Times New Roman" w:cs="Times New Roman"/>
          <w:b/>
          <w:sz w:val="24"/>
          <w:szCs w:val="24"/>
          <w:lang w:val="en-US"/>
        </w:rPr>
        <w:tab/>
      </w:r>
      <w:r w:rsidR="0058232A" w:rsidRPr="00344E55">
        <w:rPr>
          <w:rFonts w:ascii="Times New Roman" w:hAnsi="Times New Roman" w:cs="Times New Roman"/>
          <w:b/>
          <w:sz w:val="24"/>
          <w:szCs w:val="24"/>
          <w:lang w:val="en-US"/>
        </w:rPr>
        <w:t>Aim and Purpose o</w:t>
      </w:r>
      <w:r w:rsidRPr="00344E55">
        <w:rPr>
          <w:rFonts w:ascii="Times New Roman" w:hAnsi="Times New Roman" w:cs="Times New Roman"/>
          <w:b/>
          <w:sz w:val="24"/>
          <w:szCs w:val="24"/>
          <w:lang w:val="en-US"/>
        </w:rPr>
        <w:t>f the Department</w:t>
      </w:r>
    </w:p>
    <w:p w14:paraId="642B5BCA" w14:textId="77777777" w:rsidR="00244DF4" w:rsidRPr="00344E55" w:rsidRDefault="00244DF4" w:rsidP="00244DF4">
      <w:pPr>
        <w:spacing w:line="360" w:lineRule="auto"/>
        <w:contextualSpacing/>
        <w:jc w:val="both"/>
        <w:rPr>
          <w:rFonts w:ascii="Times New Roman" w:hAnsi="Times New Roman" w:cs="Times New Roman"/>
          <w:b/>
          <w:sz w:val="24"/>
          <w:szCs w:val="24"/>
          <w:lang w:val="en-US"/>
        </w:rPr>
      </w:pPr>
      <w:r w:rsidRPr="00344E55">
        <w:rPr>
          <w:rFonts w:ascii="Times New Roman" w:eastAsia="Calibri" w:hAnsi="Times New Roman" w:cs="Times New Roman"/>
          <w:color w:val="000000" w:themeColor="text1"/>
          <w:sz w:val="24"/>
          <w:szCs w:val="24"/>
        </w:rPr>
        <w:t xml:space="preserve">To support the radical transformation of the economy through the promotion and development of sustainable and competitive entrepreneurs, small businesses and co-operatives, </w:t>
      </w:r>
      <w:proofErr w:type="gramStart"/>
      <w:r w:rsidRPr="00344E55">
        <w:rPr>
          <w:rFonts w:ascii="Times New Roman" w:eastAsia="Calibri" w:hAnsi="Times New Roman" w:cs="Times New Roman"/>
          <w:color w:val="000000" w:themeColor="text1"/>
          <w:sz w:val="24"/>
          <w:szCs w:val="24"/>
        </w:rPr>
        <w:t>that contribute</w:t>
      </w:r>
      <w:proofErr w:type="gramEnd"/>
      <w:r w:rsidRPr="00344E55">
        <w:rPr>
          <w:rFonts w:ascii="Times New Roman" w:eastAsia="Calibri" w:hAnsi="Times New Roman" w:cs="Times New Roman"/>
          <w:color w:val="000000" w:themeColor="text1"/>
          <w:sz w:val="24"/>
          <w:szCs w:val="24"/>
        </w:rPr>
        <w:t xml:space="preserve"> to job creation and economic growth.</w:t>
      </w:r>
    </w:p>
    <w:p w14:paraId="6E6D3B08" w14:textId="77777777" w:rsidR="0058232A" w:rsidRPr="00344E55" w:rsidRDefault="0058232A" w:rsidP="005200EB">
      <w:pPr>
        <w:spacing w:line="360" w:lineRule="auto"/>
        <w:contextualSpacing/>
        <w:jc w:val="both"/>
        <w:rPr>
          <w:rFonts w:ascii="Times New Roman" w:hAnsi="Times New Roman" w:cs="Times New Roman"/>
          <w:sz w:val="24"/>
          <w:szCs w:val="24"/>
        </w:rPr>
      </w:pPr>
    </w:p>
    <w:p w14:paraId="6F7E9C43" w14:textId="77777777" w:rsidR="0058232A" w:rsidRPr="00344E55" w:rsidRDefault="0058232A" w:rsidP="005200EB">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2.2</w:t>
      </w:r>
      <w:r w:rsidRPr="00344E55">
        <w:rPr>
          <w:rFonts w:ascii="Times New Roman" w:hAnsi="Times New Roman" w:cs="Times New Roman"/>
          <w:b/>
          <w:sz w:val="24"/>
          <w:szCs w:val="24"/>
        </w:rPr>
        <w:tab/>
      </w:r>
      <w:r w:rsidR="005200EB" w:rsidRPr="00344E55">
        <w:rPr>
          <w:rFonts w:ascii="Times New Roman" w:hAnsi="Times New Roman" w:cs="Times New Roman"/>
          <w:b/>
          <w:sz w:val="24"/>
          <w:szCs w:val="24"/>
        </w:rPr>
        <w:t>The mandate of the Department</w:t>
      </w:r>
    </w:p>
    <w:p w14:paraId="673DA801" w14:textId="77777777" w:rsidR="0058232A" w:rsidRPr="00344E55" w:rsidRDefault="0058232A" w:rsidP="005200EB">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The mandate of the Department </w:t>
      </w:r>
      <w:r w:rsidR="005200EB" w:rsidRPr="00344E55">
        <w:rPr>
          <w:rFonts w:ascii="Times New Roman" w:hAnsi="Times New Roman" w:cs="Times New Roman"/>
          <w:sz w:val="24"/>
          <w:szCs w:val="24"/>
        </w:rPr>
        <w:t xml:space="preserve">is </w:t>
      </w:r>
      <w:r w:rsidR="00CC726B" w:rsidRPr="00344E55">
        <w:rPr>
          <w:rFonts w:ascii="Times New Roman" w:hAnsi="Times New Roman" w:cs="Times New Roman"/>
          <w:sz w:val="24"/>
          <w:szCs w:val="24"/>
        </w:rPr>
        <w:t xml:space="preserve">“to lead and coordinate an integrated approach to the promotion and development of entrepreneurship, small businesses and co-operatives, and ensure </w:t>
      </w:r>
      <w:r w:rsidR="005C3E4B" w:rsidRPr="00344E55">
        <w:rPr>
          <w:rFonts w:ascii="Times New Roman" w:hAnsi="Times New Roman" w:cs="Times New Roman"/>
          <w:sz w:val="24"/>
          <w:szCs w:val="24"/>
        </w:rPr>
        <w:t xml:space="preserve">an enabling legislative and policy environment to support their growth and sustainability”. </w:t>
      </w:r>
    </w:p>
    <w:p w14:paraId="43631D55" w14:textId="77777777" w:rsidR="0058232A" w:rsidRPr="00344E55" w:rsidRDefault="0058232A" w:rsidP="005200EB">
      <w:pPr>
        <w:spacing w:line="360" w:lineRule="auto"/>
        <w:contextualSpacing/>
        <w:jc w:val="both"/>
        <w:rPr>
          <w:rFonts w:ascii="Times New Roman" w:hAnsi="Times New Roman" w:cs="Times New Roman"/>
          <w:sz w:val="24"/>
          <w:szCs w:val="24"/>
        </w:rPr>
      </w:pPr>
    </w:p>
    <w:p w14:paraId="4C692018" w14:textId="77777777" w:rsidR="00244DF4" w:rsidRPr="00344E55" w:rsidRDefault="0058232A" w:rsidP="005200EB">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2.3</w:t>
      </w:r>
      <w:r w:rsidRPr="00344E55">
        <w:rPr>
          <w:rFonts w:ascii="Times New Roman" w:hAnsi="Times New Roman" w:cs="Times New Roman"/>
          <w:b/>
          <w:sz w:val="24"/>
          <w:szCs w:val="24"/>
        </w:rPr>
        <w:tab/>
      </w:r>
      <w:r w:rsidR="00244DF4" w:rsidRPr="00344E55">
        <w:rPr>
          <w:rFonts w:ascii="Times New Roman" w:hAnsi="Times New Roman" w:cs="Times New Roman"/>
          <w:b/>
          <w:sz w:val="24"/>
          <w:szCs w:val="24"/>
        </w:rPr>
        <w:t>Legislative and Policy Mandates</w:t>
      </w:r>
    </w:p>
    <w:p w14:paraId="780106DE" w14:textId="77777777" w:rsidR="005200EB" w:rsidRPr="00344E55" w:rsidRDefault="005C3E4B" w:rsidP="005200EB">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The directive of the Department is primarily </w:t>
      </w:r>
      <w:r w:rsidR="005200EB" w:rsidRPr="00344E55">
        <w:rPr>
          <w:rFonts w:ascii="Times New Roman" w:hAnsi="Times New Roman" w:cs="Times New Roman"/>
          <w:sz w:val="24"/>
          <w:szCs w:val="24"/>
        </w:rPr>
        <w:t xml:space="preserve">premised on diverse sections of legislations and policies such as the </w:t>
      </w:r>
      <w:r w:rsidR="0041613F" w:rsidRPr="00344E55">
        <w:rPr>
          <w:rFonts w:ascii="Times New Roman" w:hAnsi="Times New Roman" w:cs="Times New Roman"/>
          <w:sz w:val="24"/>
          <w:szCs w:val="24"/>
        </w:rPr>
        <w:t xml:space="preserve">Constitution (1996), Public Finance Management Act (1999), Public Service Act (2007); </w:t>
      </w:r>
      <w:r w:rsidR="005200EB" w:rsidRPr="00344E55">
        <w:rPr>
          <w:rFonts w:ascii="Times New Roman" w:hAnsi="Times New Roman" w:cs="Times New Roman"/>
          <w:sz w:val="24"/>
          <w:szCs w:val="24"/>
        </w:rPr>
        <w:t xml:space="preserve">White Paper on National Strategy for the Development and Promotion of Small Business (1995), Small Business Development Act (1980), National Small </w:t>
      </w:r>
      <w:r w:rsidR="002E7097" w:rsidRPr="00344E55">
        <w:rPr>
          <w:rFonts w:ascii="Times New Roman" w:hAnsi="Times New Roman" w:cs="Times New Roman"/>
          <w:sz w:val="24"/>
          <w:szCs w:val="24"/>
        </w:rPr>
        <w:t>Enterprise</w:t>
      </w:r>
      <w:r w:rsidR="005200EB" w:rsidRPr="00344E55">
        <w:rPr>
          <w:rFonts w:ascii="Times New Roman" w:hAnsi="Times New Roman" w:cs="Times New Roman"/>
          <w:sz w:val="24"/>
          <w:szCs w:val="24"/>
        </w:rPr>
        <w:t xml:space="preserve"> Act (1996), as amended in </w:t>
      </w:r>
      <w:r w:rsidR="002E7097" w:rsidRPr="00344E55">
        <w:rPr>
          <w:rFonts w:ascii="Times New Roman" w:hAnsi="Times New Roman" w:cs="Times New Roman"/>
          <w:sz w:val="24"/>
          <w:szCs w:val="24"/>
        </w:rPr>
        <w:t xml:space="preserve">2003 and </w:t>
      </w:r>
      <w:r w:rsidR="005200EB" w:rsidRPr="00344E55">
        <w:rPr>
          <w:rFonts w:ascii="Times New Roman" w:hAnsi="Times New Roman" w:cs="Times New Roman"/>
          <w:sz w:val="24"/>
          <w:szCs w:val="24"/>
        </w:rPr>
        <w:t xml:space="preserve">2004, Companies Act (2008), Close Corporation Act (1984), Co-operatives Act (2005), Co-operatives Amendment Act (2013), </w:t>
      </w:r>
      <w:r w:rsidR="002E7097" w:rsidRPr="00344E55">
        <w:rPr>
          <w:rFonts w:ascii="Times New Roman" w:hAnsi="Times New Roman" w:cs="Times New Roman"/>
          <w:sz w:val="24"/>
          <w:szCs w:val="24"/>
        </w:rPr>
        <w:t xml:space="preserve">Co-operative Banks Act (2007), </w:t>
      </w:r>
      <w:r w:rsidR="005200EB" w:rsidRPr="00344E55">
        <w:rPr>
          <w:rFonts w:ascii="Times New Roman" w:hAnsi="Times New Roman" w:cs="Times New Roman"/>
          <w:sz w:val="24"/>
          <w:szCs w:val="24"/>
        </w:rPr>
        <w:t xml:space="preserve">Industrial Development Corporation Act (1940), Business Act (1991), Broad Black Business Economic Empowerment Act (2003), National Empowerment Fund Act (1998), Preferential Procurement Policy Framework Act (2011), </w:t>
      </w:r>
      <w:r w:rsidR="007E3582" w:rsidRPr="00344E55">
        <w:rPr>
          <w:rFonts w:ascii="Times New Roman" w:hAnsi="Times New Roman" w:cs="Times New Roman"/>
          <w:sz w:val="24"/>
          <w:szCs w:val="24"/>
        </w:rPr>
        <w:t xml:space="preserve">Intergovernmental Relations Framework Act (2005), </w:t>
      </w:r>
      <w:r w:rsidR="005200EB" w:rsidRPr="00344E55">
        <w:rPr>
          <w:rFonts w:ascii="Times New Roman" w:hAnsi="Times New Roman" w:cs="Times New Roman"/>
          <w:sz w:val="24"/>
          <w:szCs w:val="24"/>
        </w:rPr>
        <w:t xml:space="preserve">Local Government Bylaws, Youth Enterprise </w:t>
      </w:r>
      <w:r w:rsidR="00CC76DF" w:rsidRPr="00344E55">
        <w:rPr>
          <w:rFonts w:ascii="Times New Roman" w:hAnsi="Times New Roman" w:cs="Times New Roman"/>
          <w:sz w:val="24"/>
          <w:szCs w:val="24"/>
        </w:rPr>
        <w:t xml:space="preserve">Development Strategy, Strategic </w:t>
      </w:r>
      <w:r w:rsidR="005200EB" w:rsidRPr="00344E55">
        <w:rPr>
          <w:rFonts w:ascii="Times New Roman" w:hAnsi="Times New Roman" w:cs="Times New Roman"/>
          <w:sz w:val="24"/>
          <w:szCs w:val="24"/>
        </w:rPr>
        <w:t>Framework on Gender and Women Empowerment Stra</w:t>
      </w:r>
      <w:r w:rsidR="00CC76DF" w:rsidRPr="00344E55">
        <w:rPr>
          <w:rFonts w:ascii="Times New Roman" w:hAnsi="Times New Roman" w:cs="Times New Roman"/>
          <w:sz w:val="24"/>
          <w:szCs w:val="24"/>
        </w:rPr>
        <w:t xml:space="preserve">tegy, Innovation and Technology </w:t>
      </w:r>
      <w:r w:rsidR="005200EB" w:rsidRPr="00344E55">
        <w:rPr>
          <w:rFonts w:ascii="Times New Roman" w:hAnsi="Times New Roman" w:cs="Times New Roman"/>
          <w:sz w:val="24"/>
          <w:szCs w:val="24"/>
        </w:rPr>
        <w:t>Strategy, National Development Plan (NDP), New Growth Path (NGP), the Industrial Policy Action Plan (IPAP), Agricultural Policy Action Plan (APAP) and 2014-2019 Medium Term Strategic Framework (MTSF).</w:t>
      </w:r>
      <w:r w:rsidRPr="00344E55">
        <w:rPr>
          <w:rFonts w:ascii="Times New Roman" w:hAnsi="Times New Roman" w:cs="Times New Roman"/>
          <w:sz w:val="24"/>
          <w:szCs w:val="24"/>
        </w:rPr>
        <w:t xml:space="preserve"> </w:t>
      </w:r>
    </w:p>
    <w:p w14:paraId="5A715DCB" w14:textId="77777777" w:rsidR="005C3E4B" w:rsidRPr="00344E55" w:rsidRDefault="005C3E4B" w:rsidP="005200EB">
      <w:pPr>
        <w:spacing w:line="360" w:lineRule="auto"/>
        <w:contextualSpacing/>
        <w:jc w:val="both"/>
        <w:rPr>
          <w:rFonts w:ascii="Times New Roman" w:hAnsi="Times New Roman" w:cs="Times New Roman"/>
          <w:sz w:val="24"/>
          <w:szCs w:val="24"/>
        </w:rPr>
      </w:pPr>
    </w:p>
    <w:p w14:paraId="4A282B5B" w14:textId="77777777" w:rsidR="005200EB" w:rsidRPr="00344E55" w:rsidRDefault="00244DF4" w:rsidP="005200EB">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rPr>
        <w:lastRenderedPageBreak/>
        <w:t>2.4</w:t>
      </w:r>
      <w:r w:rsidR="005200EB" w:rsidRPr="00344E55">
        <w:rPr>
          <w:rFonts w:ascii="Times New Roman" w:hAnsi="Times New Roman" w:cs="Times New Roman"/>
          <w:b/>
          <w:sz w:val="24"/>
          <w:szCs w:val="24"/>
        </w:rPr>
        <w:tab/>
        <w:t xml:space="preserve">Vision of the Department  </w:t>
      </w:r>
    </w:p>
    <w:p w14:paraId="02143082" w14:textId="77777777" w:rsidR="005200EB" w:rsidRPr="00344E55" w:rsidRDefault="005200EB" w:rsidP="005200EB">
      <w:pPr>
        <w:spacing w:line="360" w:lineRule="auto"/>
        <w:contextualSpacing/>
        <w:jc w:val="both"/>
        <w:rPr>
          <w:rFonts w:ascii="Times New Roman" w:hAnsi="Times New Roman" w:cs="Times New Roman"/>
          <w:sz w:val="24"/>
          <w:szCs w:val="24"/>
        </w:rPr>
      </w:pPr>
      <w:proofErr w:type="gramStart"/>
      <w:r w:rsidRPr="00344E55">
        <w:rPr>
          <w:rFonts w:ascii="Times New Roman" w:hAnsi="Times New Roman" w:cs="Times New Roman"/>
          <w:sz w:val="24"/>
          <w:szCs w:val="24"/>
        </w:rPr>
        <w:t>A radically transformed economy through integrated and effective enterprise development and entrepreneurship promotion.</w:t>
      </w:r>
      <w:proofErr w:type="gramEnd"/>
    </w:p>
    <w:p w14:paraId="5B9594A9" w14:textId="77777777" w:rsidR="005200EB" w:rsidRPr="00344E55" w:rsidRDefault="005200EB" w:rsidP="005200EB">
      <w:pPr>
        <w:spacing w:line="360" w:lineRule="auto"/>
        <w:contextualSpacing/>
        <w:jc w:val="both"/>
        <w:rPr>
          <w:rFonts w:ascii="Times New Roman" w:hAnsi="Times New Roman" w:cs="Times New Roman"/>
          <w:sz w:val="24"/>
          <w:szCs w:val="24"/>
        </w:rPr>
      </w:pPr>
    </w:p>
    <w:p w14:paraId="14750266" w14:textId="77777777" w:rsidR="005200EB" w:rsidRPr="00344E55" w:rsidRDefault="005200EB" w:rsidP="005200EB">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2.</w:t>
      </w:r>
      <w:r w:rsidR="00244DF4" w:rsidRPr="00344E55">
        <w:rPr>
          <w:rFonts w:ascii="Times New Roman" w:hAnsi="Times New Roman" w:cs="Times New Roman"/>
          <w:b/>
          <w:sz w:val="24"/>
          <w:szCs w:val="24"/>
          <w:lang w:val="en-US"/>
        </w:rPr>
        <w:t>5</w:t>
      </w:r>
      <w:r w:rsidRPr="00344E55">
        <w:rPr>
          <w:rFonts w:ascii="Times New Roman" w:hAnsi="Times New Roman" w:cs="Times New Roman"/>
          <w:b/>
          <w:sz w:val="24"/>
          <w:szCs w:val="24"/>
          <w:lang w:val="en-US"/>
        </w:rPr>
        <w:tab/>
        <w:t>Mission of the Department</w:t>
      </w:r>
    </w:p>
    <w:p w14:paraId="67E9B5DB" w14:textId="77777777" w:rsidR="005200EB" w:rsidRPr="00344E55" w:rsidRDefault="005200EB" w:rsidP="005200EB">
      <w:pPr>
        <w:spacing w:line="360" w:lineRule="auto"/>
        <w:contextualSpacing/>
        <w:jc w:val="both"/>
        <w:rPr>
          <w:rFonts w:ascii="Times New Roman" w:hAnsi="Times New Roman" w:cs="Times New Roman"/>
          <w:sz w:val="24"/>
          <w:szCs w:val="24"/>
          <w:lang w:val="en-US"/>
        </w:rPr>
      </w:pPr>
      <w:proofErr w:type="gramStart"/>
      <w:r w:rsidRPr="00344E55">
        <w:rPr>
          <w:rFonts w:ascii="Times New Roman" w:hAnsi="Times New Roman" w:cs="Times New Roman"/>
          <w:sz w:val="24"/>
          <w:szCs w:val="24"/>
          <w:lang w:val="en-US"/>
        </w:rPr>
        <w:t xml:space="preserve">The coordination, integration and </w:t>
      </w:r>
      <w:proofErr w:type="spellStart"/>
      <w:r w:rsidRPr="00344E55">
        <w:rPr>
          <w:rFonts w:ascii="Times New Roman" w:hAnsi="Times New Roman" w:cs="Times New Roman"/>
          <w:sz w:val="24"/>
          <w:szCs w:val="24"/>
          <w:lang w:val="en-US"/>
        </w:rPr>
        <w:t>mobilisation</w:t>
      </w:r>
      <w:proofErr w:type="spellEnd"/>
      <w:r w:rsidRPr="00344E55">
        <w:rPr>
          <w:rFonts w:ascii="Times New Roman" w:hAnsi="Times New Roman" w:cs="Times New Roman"/>
          <w:sz w:val="24"/>
          <w:szCs w:val="24"/>
          <w:lang w:val="en-US"/>
        </w:rPr>
        <w:t xml:space="preserve"> of efforts and resources towards the creation of an enabling environment for the growth and sustainability of small businesses and co-operatives.</w:t>
      </w:r>
      <w:proofErr w:type="gramEnd"/>
    </w:p>
    <w:p w14:paraId="0BF2723F" w14:textId="77777777" w:rsidR="005200EB" w:rsidRPr="00344E55" w:rsidRDefault="005200EB" w:rsidP="005200EB">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2.</w:t>
      </w:r>
      <w:r w:rsidR="00244DF4" w:rsidRPr="00344E55">
        <w:rPr>
          <w:rFonts w:ascii="Times New Roman" w:hAnsi="Times New Roman" w:cs="Times New Roman"/>
          <w:b/>
          <w:sz w:val="24"/>
          <w:szCs w:val="24"/>
          <w:lang w:val="en-US"/>
        </w:rPr>
        <w:t>6</w:t>
      </w:r>
      <w:r w:rsidRPr="00344E55">
        <w:rPr>
          <w:rFonts w:ascii="Times New Roman" w:hAnsi="Times New Roman" w:cs="Times New Roman"/>
          <w:b/>
          <w:sz w:val="24"/>
          <w:szCs w:val="24"/>
          <w:lang w:val="en-US"/>
        </w:rPr>
        <w:tab/>
        <w:t>Values</w:t>
      </w:r>
    </w:p>
    <w:p w14:paraId="6F158CA3" w14:textId="77777777" w:rsidR="005200EB" w:rsidRPr="00344E55" w:rsidRDefault="005200EB" w:rsidP="005200EB">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sz w:val="24"/>
          <w:szCs w:val="24"/>
          <w:lang w:val="en-US"/>
        </w:rPr>
        <w:t xml:space="preserve">The values and principles that underpin the DSBDs pursuit of its vision and mission are shared across the three entities, and are predicated on the principles of </w:t>
      </w:r>
      <w:proofErr w:type="spellStart"/>
      <w:r w:rsidRPr="00344E55">
        <w:rPr>
          <w:rFonts w:ascii="Times New Roman" w:hAnsi="Times New Roman" w:cs="Times New Roman"/>
          <w:sz w:val="24"/>
          <w:szCs w:val="24"/>
          <w:lang w:val="en-US"/>
        </w:rPr>
        <w:t>Batho</w:t>
      </w:r>
      <w:proofErr w:type="spellEnd"/>
      <w:r w:rsidRPr="00344E55">
        <w:rPr>
          <w:rFonts w:ascii="Times New Roman" w:hAnsi="Times New Roman" w:cs="Times New Roman"/>
          <w:sz w:val="24"/>
          <w:szCs w:val="24"/>
          <w:lang w:val="en-US"/>
        </w:rPr>
        <w:t>-Pele as follows: -</w:t>
      </w:r>
    </w:p>
    <w:p w14:paraId="28C13A6F" w14:textId="77777777" w:rsidR="005200EB" w:rsidRPr="00344E55" w:rsidRDefault="005200EB" w:rsidP="00F80D2E">
      <w:pPr>
        <w:pStyle w:val="ListParagraph"/>
        <w:numPr>
          <w:ilvl w:val="0"/>
          <w:numId w:val="5"/>
        </w:numPr>
        <w:spacing w:line="360" w:lineRule="auto"/>
        <w:jc w:val="both"/>
        <w:rPr>
          <w:lang w:val="en-US"/>
        </w:rPr>
      </w:pPr>
      <w:r w:rsidRPr="00344E55">
        <w:rPr>
          <w:lang w:val="en-US"/>
        </w:rPr>
        <w:t>Innovation;</w:t>
      </w:r>
    </w:p>
    <w:p w14:paraId="17EB797C" w14:textId="77777777" w:rsidR="005200EB" w:rsidRPr="00344E55" w:rsidRDefault="005200EB" w:rsidP="00F80D2E">
      <w:pPr>
        <w:pStyle w:val="ListParagraph"/>
        <w:numPr>
          <w:ilvl w:val="0"/>
          <w:numId w:val="5"/>
        </w:numPr>
        <w:spacing w:line="360" w:lineRule="auto"/>
        <w:jc w:val="both"/>
        <w:rPr>
          <w:lang w:val="en-US"/>
        </w:rPr>
      </w:pPr>
      <w:r w:rsidRPr="00344E55">
        <w:rPr>
          <w:lang w:val="en-US"/>
        </w:rPr>
        <w:t>Integrity;</w:t>
      </w:r>
    </w:p>
    <w:p w14:paraId="3FA056A0" w14:textId="77777777" w:rsidR="005200EB" w:rsidRPr="00344E55" w:rsidRDefault="005200EB" w:rsidP="00F80D2E">
      <w:pPr>
        <w:pStyle w:val="ListParagraph"/>
        <w:numPr>
          <w:ilvl w:val="0"/>
          <w:numId w:val="5"/>
        </w:numPr>
        <w:spacing w:line="360" w:lineRule="auto"/>
        <w:jc w:val="both"/>
        <w:rPr>
          <w:lang w:val="en-US"/>
        </w:rPr>
      </w:pPr>
      <w:r w:rsidRPr="00344E55">
        <w:rPr>
          <w:lang w:val="en-US"/>
        </w:rPr>
        <w:t>Professionalism;</w:t>
      </w:r>
    </w:p>
    <w:p w14:paraId="05280408" w14:textId="77777777" w:rsidR="005200EB" w:rsidRPr="00344E55" w:rsidRDefault="005200EB" w:rsidP="00F80D2E">
      <w:pPr>
        <w:pStyle w:val="ListParagraph"/>
        <w:numPr>
          <w:ilvl w:val="0"/>
          <w:numId w:val="5"/>
        </w:numPr>
        <w:spacing w:line="360" w:lineRule="auto"/>
        <w:jc w:val="both"/>
        <w:rPr>
          <w:lang w:val="en-US"/>
        </w:rPr>
      </w:pPr>
      <w:r w:rsidRPr="00344E55">
        <w:rPr>
          <w:lang w:val="en-US"/>
        </w:rPr>
        <w:t>Customer-centric and;</w:t>
      </w:r>
    </w:p>
    <w:p w14:paraId="6B2F5A74" w14:textId="77777777" w:rsidR="005200EB" w:rsidRPr="00344E55" w:rsidRDefault="005200EB" w:rsidP="00F80D2E">
      <w:pPr>
        <w:pStyle w:val="ListParagraph"/>
        <w:numPr>
          <w:ilvl w:val="0"/>
          <w:numId w:val="5"/>
        </w:numPr>
        <w:spacing w:line="360" w:lineRule="auto"/>
        <w:jc w:val="both"/>
        <w:rPr>
          <w:lang w:val="en-US"/>
        </w:rPr>
      </w:pPr>
      <w:r w:rsidRPr="00344E55">
        <w:rPr>
          <w:lang w:val="en-US"/>
        </w:rPr>
        <w:t>Commitment.</w:t>
      </w:r>
    </w:p>
    <w:p w14:paraId="12AE1326" w14:textId="77777777" w:rsidR="00244DF4" w:rsidRPr="00344E55" w:rsidRDefault="00244DF4" w:rsidP="00244DF4">
      <w:pPr>
        <w:pStyle w:val="ListParagraph"/>
        <w:spacing w:line="360" w:lineRule="auto"/>
        <w:jc w:val="both"/>
        <w:rPr>
          <w:lang w:val="en-US"/>
        </w:rPr>
      </w:pPr>
    </w:p>
    <w:p w14:paraId="3B2147C9" w14:textId="77777777" w:rsidR="005200EB" w:rsidRPr="00344E55" w:rsidRDefault="00244DF4" w:rsidP="005200EB">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2.7</w:t>
      </w:r>
      <w:r w:rsidR="005200EB" w:rsidRPr="00344E55">
        <w:rPr>
          <w:rFonts w:ascii="Times New Roman" w:hAnsi="Times New Roman" w:cs="Times New Roman"/>
          <w:b/>
          <w:sz w:val="24"/>
          <w:szCs w:val="24"/>
          <w:lang w:val="en-US"/>
        </w:rPr>
        <w:tab/>
        <w:t>Strategic Outcome-Oriented Goals</w:t>
      </w:r>
    </w:p>
    <w:p w14:paraId="06CBBF97" w14:textId="77777777" w:rsidR="005200EB" w:rsidRPr="00344E55" w:rsidRDefault="0082540B" w:rsidP="005200EB">
      <w:pPr>
        <w:spacing w:line="360" w:lineRule="auto"/>
        <w:contextualSpacing/>
        <w:jc w:val="both"/>
        <w:rPr>
          <w:rFonts w:ascii="Times New Roman" w:hAnsi="Times New Roman" w:cs="Times New Roman"/>
          <w:sz w:val="24"/>
          <w:szCs w:val="24"/>
          <w:lang w:val="en-US"/>
        </w:rPr>
      </w:pPr>
      <w:r w:rsidRPr="00344E55">
        <w:rPr>
          <w:rFonts w:ascii="Times New Roman" w:hAnsi="Times New Roman" w:cs="Times New Roman"/>
          <w:sz w:val="24"/>
          <w:szCs w:val="24"/>
          <w:lang w:val="en-US"/>
        </w:rPr>
        <w:t>2.7</w:t>
      </w:r>
      <w:r w:rsidR="005200EB" w:rsidRPr="00344E55">
        <w:rPr>
          <w:rFonts w:ascii="Times New Roman" w:hAnsi="Times New Roman" w:cs="Times New Roman"/>
          <w:sz w:val="24"/>
          <w:szCs w:val="24"/>
          <w:lang w:val="en-US"/>
        </w:rPr>
        <w:t>.1</w:t>
      </w:r>
      <w:r w:rsidR="005200EB" w:rsidRPr="00344E55">
        <w:rPr>
          <w:rFonts w:ascii="Times New Roman" w:hAnsi="Times New Roman" w:cs="Times New Roman"/>
          <w:sz w:val="24"/>
          <w:szCs w:val="24"/>
          <w:lang w:val="en-US"/>
        </w:rPr>
        <w:tab/>
        <w:t>Planning and policy coherence in the sector that promotes an en</w:t>
      </w:r>
      <w:r w:rsidR="00DE3B47" w:rsidRPr="00344E55">
        <w:rPr>
          <w:rFonts w:ascii="Times New Roman" w:hAnsi="Times New Roman" w:cs="Times New Roman"/>
          <w:sz w:val="24"/>
          <w:szCs w:val="24"/>
          <w:lang w:val="en-US"/>
        </w:rPr>
        <w:t xml:space="preserve">abling ecosystem </w:t>
      </w:r>
      <w:r w:rsidR="00DE3B47" w:rsidRPr="00344E55">
        <w:rPr>
          <w:rFonts w:ascii="Times New Roman" w:hAnsi="Times New Roman" w:cs="Times New Roman"/>
          <w:sz w:val="24"/>
          <w:szCs w:val="24"/>
          <w:lang w:val="en-US"/>
        </w:rPr>
        <w:tab/>
        <w:t xml:space="preserve">for </w:t>
      </w:r>
      <w:r w:rsidR="005200EB" w:rsidRPr="00344E55">
        <w:rPr>
          <w:rFonts w:ascii="Times New Roman" w:hAnsi="Times New Roman" w:cs="Times New Roman"/>
          <w:sz w:val="24"/>
          <w:szCs w:val="24"/>
          <w:lang w:val="en-US"/>
        </w:rPr>
        <w:t>SMMEs and co-operatives;</w:t>
      </w:r>
    </w:p>
    <w:p w14:paraId="5181C7F7" w14:textId="77777777" w:rsidR="005200EB" w:rsidRPr="00344E55" w:rsidRDefault="0082540B" w:rsidP="005200EB">
      <w:pPr>
        <w:spacing w:line="360" w:lineRule="auto"/>
        <w:contextualSpacing/>
        <w:jc w:val="both"/>
        <w:rPr>
          <w:rFonts w:ascii="Times New Roman" w:hAnsi="Times New Roman" w:cs="Times New Roman"/>
          <w:sz w:val="24"/>
          <w:szCs w:val="24"/>
          <w:lang w:val="en-US"/>
        </w:rPr>
      </w:pPr>
      <w:r w:rsidRPr="00344E55">
        <w:rPr>
          <w:rFonts w:ascii="Times New Roman" w:hAnsi="Times New Roman" w:cs="Times New Roman"/>
          <w:sz w:val="24"/>
          <w:szCs w:val="24"/>
          <w:lang w:val="en-US"/>
        </w:rPr>
        <w:t>2.7.</w:t>
      </w:r>
      <w:r w:rsidR="005200EB" w:rsidRPr="00344E55">
        <w:rPr>
          <w:rFonts w:ascii="Times New Roman" w:hAnsi="Times New Roman" w:cs="Times New Roman"/>
          <w:sz w:val="24"/>
          <w:szCs w:val="24"/>
          <w:lang w:val="en-US"/>
        </w:rPr>
        <w:t>2</w:t>
      </w:r>
      <w:r w:rsidR="005200EB" w:rsidRPr="00344E55">
        <w:rPr>
          <w:rFonts w:ascii="Times New Roman" w:hAnsi="Times New Roman" w:cs="Times New Roman"/>
          <w:sz w:val="24"/>
          <w:szCs w:val="24"/>
          <w:lang w:val="en-US"/>
        </w:rPr>
        <w:tab/>
        <w:t>Equitable access to responsive and targeted pro</w:t>
      </w:r>
      <w:r w:rsidR="00DE3B47" w:rsidRPr="00344E55">
        <w:rPr>
          <w:rFonts w:ascii="Times New Roman" w:hAnsi="Times New Roman" w:cs="Times New Roman"/>
          <w:sz w:val="24"/>
          <w:szCs w:val="24"/>
          <w:lang w:val="en-US"/>
        </w:rPr>
        <w:t xml:space="preserve">ducts and services that enable </w:t>
      </w:r>
      <w:r w:rsidR="005200EB" w:rsidRPr="00344E55">
        <w:rPr>
          <w:rFonts w:ascii="Times New Roman" w:hAnsi="Times New Roman" w:cs="Times New Roman"/>
          <w:sz w:val="24"/>
          <w:szCs w:val="24"/>
          <w:lang w:val="en-US"/>
        </w:rPr>
        <w:t xml:space="preserve">the </w:t>
      </w:r>
      <w:r w:rsidR="00DE3B47" w:rsidRPr="00344E55">
        <w:rPr>
          <w:rFonts w:ascii="Times New Roman" w:hAnsi="Times New Roman" w:cs="Times New Roman"/>
          <w:sz w:val="24"/>
          <w:szCs w:val="24"/>
          <w:lang w:val="en-US"/>
        </w:rPr>
        <w:tab/>
      </w:r>
      <w:r w:rsidR="005200EB" w:rsidRPr="00344E55">
        <w:rPr>
          <w:rFonts w:ascii="Times New Roman" w:hAnsi="Times New Roman" w:cs="Times New Roman"/>
          <w:sz w:val="24"/>
          <w:szCs w:val="24"/>
          <w:lang w:val="en-US"/>
        </w:rPr>
        <w:t>growth and development of SMMEs and co-operatives;</w:t>
      </w:r>
    </w:p>
    <w:p w14:paraId="7AE12CD6" w14:textId="77777777" w:rsidR="005200EB" w:rsidRPr="00344E55" w:rsidRDefault="0082540B" w:rsidP="005200EB">
      <w:pPr>
        <w:spacing w:line="360" w:lineRule="auto"/>
        <w:contextualSpacing/>
        <w:jc w:val="both"/>
        <w:rPr>
          <w:rFonts w:ascii="Times New Roman" w:hAnsi="Times New Roman" w:cs="Times New Roman"/>
          <w:sz w:val="24"/>
          <w:szCs w:val="24"/>
          <w:lang w:val="en-US"/>
        </w:rPr>
      </w:pPr>
      <w:r w:rsidRPr="00344E55">
        <w:rPr>
          <w:rFonts w:ascii="Times New Roman" w:hAnsi="Times New Roman" w:cs="Times New Roman"/>
          <w:sz w:val="24"/>
          <w:szCs w:val="24"/>
          <w:lang w:val="en-US"/>
        </w:rPr>
        <w:t>2.7</w:t>
      </w:r>
      <w:r w:rsidR="00DE3B47" w:rsidRPr="00344E55">
        <w:rPr>
          <w:rFonts w:ascii="Times New Roman" w:hAnsi="Times New Roman" w:cs="Times New Roman"/>
          <w:sz w:val="24"/>
          <w:szCs w:val="24"/>
          <w:lang w:val="en-US"/>
        </w:rPr>
        <w:t>.3</w:t>
      </w:r>
      <w:r w:rsidR="00DE3B47" w:rsidRPr="00344E55">
        <w:rPr>
          <w:rFonts w:ascii="Times New Roman" w:hAnsi="Times New Roman" w:cs="Times New Roman"/>
          <w:sz w:val="24"/>
          <w:szCs w:val="24"/>
          <w:lang w:val="en-US"/>
        </w:rPr>
        <w:tab/>
        <w:t xml:space="preserve">An </w:t>
      </w:r>
      <w:r w:rsidR="005200EB" w:rsidRPr="00344E55">
        <w:rPr>
          <w:rFonts w:ascii="Times New Roman" w:hAnsi="Times New Roman" w:cs="Times New Roman"/>
          <w:sz w:val="24"/>
          <w:szCs w:val="24"/>
          <w:lang w:val="en-US"/>
        </w:rPr>
        <w:t xml:space="preserve">enhanced contribution to socio-economic development outcomes by the </w:t>
      </w:r>
      <w:r w:rsidR="005200EB" w:rsidRPr="00344E55">
        <w:rPr>
          <w:rFonts w:ascii="Times New Roman" w:hAnsi="Times New Roman" w:cs="Times New Roman"/>
          <w:sz w:val="24"/>
          <w:szCs w:val="24"/>
          <w:lang w:val="en-US"/>
        </w:rPr>
        <w:tab/>
        <w:t>sector;</w:t>
      </w:r>
    </w:p>
    <w:p w14:paraId="2B821357" w14:textId="77777777" w:rsidR="005200EB" w:rsidRPr="00344E55" w:rsidRDefault="0082540B" w:rsidP="005200EB">
      <w:pPr>
        <w:spacing w:line="360" w:lineRule="auto"/>
        <w:contextualSpacing/>
        <w:jc w:val="both"/>
        <w:rPr>
          <w:rFonts w:ascii="Times New Roman" w:hAnsi="Times New Roman" w:cs="Times New Roman"/>
          <w:sz w:val="24"/>
          <w:szCs w:val="24"/>
          <w:lang w:val="en-US"/>
        </w:rPr>
      </w:pPr>
      <w:r w:rsidRPr="00344E55">
        <w:rPr>
          <w:rFonts w:ascii="Times New Roman" w:hAnsi="Times New Roman" w:cs="Times New Roman"/>
          <w:sz w:val="24"/>
          <w:szCs w:val="24"/>
          <w:lang w:val="en-US"/>
        </w:rPr>
        <w:t>2.7.</w:t>
      </w:r>
      <w:r w:rsidR="005200EB" w:rsidRPr="00344E55">
        <w:rPr>
          <w:rFonts w:ascii="Times New Roman" w:hAnsi="Times New Roman" w:cs="Times New Roman"/>
          <w:sz w:val="24"/>
          <w:szCs w:val="24"/>
          <w:lang w:val="en-US"/>
        </w:rPr>
        <w:t>4</w:t>
      </w:r>
      <w:r w:rsidR="005200EB" w:rsidRPr="00344E55">
        <w:rPr>
          <w:rFonts w:ascii="Times New Roman" w:hAnsi="Times New Roman" w:cs="Times New Roman"/>
          <w:sz w:val="24"/>
          <w:szCs w:val="24"/>
          <w:lang w:val="en-US"/>
        </w:rPr>
        <w:tab/>
        <w:t>Sound governance and the optimal utilization of available resources;</w:t>
      </w:r>
    </w:p>
    <w:p w14:paraId="382CC55A" w14:textId="77777777" w:rsidR="005200EB" w:rsidRPr="00344E55" w:rsidRDefault="005200EB" w:rsidP="005200EB">
      <w:pPr>
        <w:spacing w:line="360" w:lineRule="auto"/>
        <w:contextualSpacing/>
        <w:jc w:val="both"/>
        <w:rPr>
          <w:rFonts w:ascii="Times New Roman" w:hAnsi="Times New Roman" w:cs="Times New Roman"/>
          <w:sz w:val="24"/>
          <w:szCs w:val="24"/>
          <w:lang w:val="en-US"/>
        </w:rPr>
      </w:pPr>
      <w:r w:rsidRPr="00344E55">
        <w:rPr>
          <w:rFonts w:ascii="Times New Roman" w:hAnsi="Times New Roman" w:cs="Times New Roman"/>
          <w:sz w:val="24"/>
          <w:szCs w:val="24"/>
          <w:lang w:val="en-US"/>
        </w:rPr>
        <w:t>2.</w:t>
      </w:r>
      <w:r w:rsidR="0082540B" w:rsidRPr="00344E55">
        <w:rPr>
          <w:rFonts w:ascii="Times New Roman" w:hAnsi="Times New Roman" w:cs="Times New Roman"/>
          <w:sz w:val="24"/>
          <w:szCs w:val="24"/>
          <w:lang w:val="en-US"/>
        </w:rPr>
        <w:t>7</w:t>
      </w:r>
      <w:r w:rsidRPr="00344E55">
        <w:rPr>
          <w:rFonts w:ascii="Times New Roman" w:hAnsi="Times New Roman" w:cs="Times New Roman"/>
          <w:sz w:val="24"/>
          <w:szCs w:val="24"/>
          <w:lang w:val="en-US"/>
        </w:rPr>
        <w:t>.5</w:t>
      </w:r>
      <w:r w:rsidRPr="00344E55">
        <w:rPr>
          <w:rFonts w:ascii="Times New Roman" w:hAnsi="Times New Roman" w:cs="Times New Roman"/>
          <w:sz w:val="24"/>
          <w:szCs w:val="24"/>
          <w:lang w:val="en-US"/>
        </w:rPr>
        <w:tab/>
        <w:t>A professional and capacitated small business development sector.</w:t>
      </w:r>
    </w:p>
    <w:p w14:paraId="289BD1E2" w14:textId="77777777" w:rsidR="005200EB" w:rsidRPr="00344E55" w:rsidRDefault="005200EB" w:rsidP="005200EB">
      <w:pPr>
        <w:spacing w:line="360" w:lineRule="auto"/>
        <w:contextualSpacing/>
        <w:jc w:val="both"/>
        <w:rPr>
          <w:rFonts w:ascii="Times New Roman" w:hAnsi="Times New Roman" w:cs="Times New Roman"/>
          <w:sz w:val="24"/>
          <w:szCs w:val="24"/>
          <w:lang w:val="en-US"/>
        </w:rPr>
      </w:pPr>
    </w:p>
    <w:p w14:paraId="7CCF89D0" w14:textId="77777777" w:rsidR="0082540B" w:rsidRPr="00344E55" w:rsidRDefault="00046575" w:rsidP="005200EB">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2.8</w:t>
      </w:r>
      <w:r w:rsidRPr="00344E55">
        <w:rPr>
          <w:rFonts w:ascii="Times New Roman" w:hAnsi="Times New Roman" w:cs="Times New Roman"/>
          <w:b/>
          <w:sz w:val="24"/>
          <w:szCs w:val="24"/>
          <w:lang w:val="en-US"/>
        </w:rPr>
        <w:tab/>
      </w:r>
      <w:proofErr w:type="spellStart"/>
      <w:r w:rsidRPr="00344E55">
        <w:rPr>
          <w:rFonts w:ascii="Times New Roman" w:hAnsi="Times New Roman" w:cs="Times New Roman"/>
          <w:b/>
          <w:sz w:val="24"/>
          <w:szCs w:val="24"/>
          <w:lang w:val="en-US"/>
        </w:rPr>
        <w:t>Programme</w:t>
      </w:r>
      <w:proofErr w:type="spellEnd"/>
      <w:r w:rsidRPr="00344E55">
        <w:rPr>
          <w:rFonts w:ascii="Times New Roman" w:hAnsi="Times New Roman" w:cs="Times New Roman"/>
          <w:b/>
          <w:sz w:val="24"/>
          <w:szCs w:val="24"/>
          <w:lang w:val="en-US"/>
        </w:rPr>
        <w:t xml:space="preserve"> Structure (2019/20</w:t>
      </w:r>
      <w:r w:rsidR="0082540B" w:rsidRPr="00344E55">
        <w:rPr>
          <w:rFonts w:ascii="Times New Roman" w:hAnsi="Times New Roman" w:cs="Times New Roman"/>
          <w:b/>
          <w:sz w:val="24"/>
          <w:szCs w:val="24"/>
          <w:lang w:val="en-US"/>
        </w:rPr>
        <w:t>)</w:t>
      </w:r>
    </w:p>
    <w:p w14:paraId="40E6F20A" w14:textId="77777777" w:rsidR="0082540B" w:rsidRPr="00344E55" w:rsidRDefault="0082540B" w:rsidP="005200EB">
      <w:pPr>
        <w:spacing w:line="360" w:lineRule="auto"/>
        <w:contextualSpacing/>
        <w:jc w:val="both"/>
        <w:rPr>
          <w:rFonts w:ascii="Times New Roman" w:hAnsi="Times New Roman" w:cs="Times New Roman"/>
          <w:sz w:val="24"/>
          <w:szCs w:val="24"/>
          <w:lang w:val="en-US"/>
        </w:rPr>
      </w:pPr>
    </w:p>
    <w:p w14:paraId="76E03EAC" w14:textId="77777777" w:rsidR="0082540B" w:rsidRPr="00344E55" w:rsidRDefault="0082540B" w:rsidP="0082540B">
      <w:pPr>
        <w:spacing w:line="24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Table 1</w:t>
      </w:r>
      <w:r w:rsidR="00046575" w:rsidRPr="00344E55">
        <w:rPr>
          <w:rFonts w:ascii="Times New Roman" w:hAnsi="Times New Roman" w:cs="Times New Roman"/>
          <w:b/>
          <w:sz w:val="24"/>
          <w:szCs w:val="24"/>
          <w:lang w:val="en-US"/>
        </w:rPr>
        <w:t xml:space="preserve">: </w:t>
      </w:r>
      <w:proofErr w:type="spellStart"/>
      <w:r w:rsidR="003E4075" w:rsidRPr="00344E55">
        <w:rPr>
          <w:rFonts w:ascii="Times New Roman" w:hAnsi="Times New Roman" w:cs="Times New Roman"/>
          <w:b/>
          <w:sz w:val="24"/>
          <w:szCs w:val="24"/>
          <w:lang w:val="en-US"/>
        </w:rPr>
        <w:t>Programme</w:t>
      </w:r>
      <w:proofErr w:type="spellEnd"/>
      <w:r w:rsidR="003E4075" w:rsidRPr="00344E55">
        <w:rPr>
          <w:rFonts w:ascii="Times New Roman" w:hAnsi="Times New Roman" w:cs="Times New Roman"/>
          <w:b/>
          <w:sz w:val="24"/>
          <w:szCs w:val="24"/>
          <w:lang w:val="en-US"/>
        </w:rPr>
        <w:t xml:space="preserve"> Structure</w:t>
      </w:r>
    </w:p>
    <w:tbl>
      <w:tblPr>
        <w:tblW w:w="9260" w:type="dxa"/>
        <w:tblCellMar>
          <w:left w:w="0" w:type="dxa"/>
          <w:right w:w="0" w:type="dxa"/>
        </w:tblCellMar>
        <w:tblLook w:val="0420" w:firstRow="1" w:lastRow="0" w:firstColumn="0" w:lastColumn="0" w:noHBand="0" w:noVBand="1"/>
      </w:tblPr>
      <w:tblGrid>
        <w:gridCol w:w="1634"/>
        <w:gridCol w:w="2306"/>
        <w:gridCol w:w="5320"/>
      </w:tblGrid>
      <w:tr w:rsidR="00A2011C" w:rsidRPr="00344E55" w14:paraId="20880FA7" w14:textId="77777777" w:rsidTr="003F41F8">
        <w:trPr>
          <w:trHeight w:val="294"/>
        </w:trPr>
        <w:tc>
          <w:tcPr>
            <w:tcW w:w="1644" w:type="dxa"/>
            <w:tcBorders>
              <w:top w:val="single" w:sz="8" w:space="0" w:color="808080"/>
              <w:left w:val="single" w:sz="8" w:space="0" w:color="808080"/>
              <w:bottom w:val="single" w:sz="8" w:space="0" w:color="808080"/>
              <w:right w:val="single" w:sz="8" w:space="0" w:color="808080"/>
            </w:tcBorders>
            <w:shd w:val="clear" w:color="auto" w:fill="92D050"/>
            <w:tcMar>
              <w:top w:w="64" w:type="dxa"/>
              <w:left w:w="128" w:type="dxa"/>
              <w:bottom w:w="64" w:type="dxa"/>
              <w:right w:w="128" w:type="dxa"/>
            </w:tcMar>
            <w:vAlign w:val="center"/>
            <w:hideMark/>
          </w:tcPr>
          <w:p w14:paraId="13D152E9"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smallCaps/>
                <w:color w:val="000000" w:themeColor="text1"/>
                <w:sz w:val="24"/>
                <w:szCs w:val="24"/>
                <w:lang w:eastAsia="en-ZA"/>
              </w:rPr>
              <w:t xml:space="preserve">Programme NO. </w:t>
            </w:r>
          </w:p>
        </w:tc>
        <w:tc>
          <w:tcPr>
            <w:tcW w:w="1856" w:type="dxa"/>
            <w:tcBorders>
              <w:top w:val="single" w:sz="8" w:space="0" w:color="808080"/>
              <w:left w:val="single" w:sz="8" w:space="0" w:color="808080"/>
              <w:bottom w:val="single" w:sz="8" w:space="0" w:color="808080"/>
              <w:right w:val="single" w:sz="8" w:space="0" w:color="808080"/>
            </w:tcBorders>
            <w:shd w:val="clear" w:color="auto" w:fill="92D050"/>
            <w:tcMar>
              <w:top w:w="64" w:type="dxa"/>
              <w:left w:w="128" w:type="dxa"/>
              <w:bottom w:w="64" w:type="dxa"/>
              <w:right w:w="128" w:type="dxa"/>
            </w:tcMar>
            <w:vAlign w:val="center"/>
            <w:hideMark/>
          </w:tcPr>
          <w:p w14:paraId="60666306"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smallCaps/>
                <w:color w:val="000000" w:themeColor="text1"/>
                <w:sz w:val="24"/>
                <w:szCs w:val="24"/>
                <w:lang w:eastAsia="en-ZA"/>
              </w:rPr>
              <w:t>Programme Name</w:t>
            </w:r>
          </w:p>
        </w:tc>
        <w:tc>
          <w:tcPr>
            <w:tcW w:w="5760" w:type="dxa"/>
            <w:tcBorders>
              <w:top w:val="single" w:sz="8" w:space="0" w:color="808080"/>
              <w:left w:val="single" w:sz="8" w:space="0" w:color="808080"/>
              <w:bottom w:val="single" w:sz="8" w:space="0" w:color="808080"/>
              <w:right w:val="single" w:sz="8" w:space="0" w:color="808080"/>
            </w:tcBorders>
            <w:shd w:val="clear" w:color="auto" w:fill="92D050"/>
            <w:tcMar>
              <w:top w:w="64" w:type="dxa"/>
              <w:left w:w="128" w:type="dxa"/>
              <w:bottom w:w="64" w:type="dxa"/>
              <w:right w:w="128" w:type="dxa"/>
            </w:tcMar>
            <w:vAlign w:val="center"/>
            <w:hideMark/>
          </w:tcPr>
          <w:p w14:paraId="52F1C7BA"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smallCaps/>
                <w:color w:val="000000" w:themeColor="text1"/>
                <w:kern w:val="24"/>
                <w:sz w:val="24"/>
                <w:szCs w:val="24"/>
                <w:lang w:eastAsia="en-ZA"/>
              </w:rPr>
              <w:t>Sub-Programmes</w:t>
            </w:r>
          </w:p>
        </w:tc>
      </w:tr>
      <w:tr w:rsidR="00A2011C" w:rsidRPr="00344E55" w14:paraId="2D40A815" w14:textId="77777777" w:rsidTr="0082540B">
        <w:trPr>
          <w:trHeight w:val="1023"/>
        </w:trPr>
        <w:tc>
          <w:tcPr>
            <w:tcW w:w="1644"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1ECD2E6B"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themeColor="text1"/>
                <w:kern w:val="24"/>
                <w:sz w:val="24"/>
                <w:szCs w:val="24"/>
                <w:lang w:eastAsia="en-ZA"/>
              </w:rPr>
              <w:lastRenderedPageBreak/>
              <w:t>Programme 1</w:t>
            </w:r>
          </w:p>
        </w:tc>
        <w:tc>
          <w:tcPr>
            <w:tcW w:w="1856"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407A93EA"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smallCaps/>
                <w:color w:val="000000" w:themeColor="text1"/>
                <w:kern w:val="24"/>
                <w:sz w:val="24"/>
                <w:szCs w:val="24"/>
                <w:lang w:eastAsia="en-ZA"/>
              </w:rPr>
              <w:t>Administration</w:t>
            </w:r>
          </w:p>
        </w:tc>
        <w:tc>
          <w:tcPr>
            <w:tcW w:w="576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39895811" w14:textId="77777777" w:rsidR="00A2011C" w:rsidRPr="00344E55" w:rsidRDefault="00A2011C" w:rsidP="00F80D2E">
            <w:pPr>
              <w:numPr>
                <w:ilvl w:val="0"/>
                <w:numId w:val="12"/>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themeColor="text1"/>
                <w:kern w:val="24"/>
                <w:sz w:val="24"/>
                <w:szCs w:val="24"/>
                <w:lang w:eastAsia="en-ZA"/>
              </w:rPr>
              <w:t>Ministry</w:t>
            </w:r>
          </w:p>
          <w:p w14:paraId="650458C5" w14:textId="77777777" w:rsidR="00A2011C" w:rsidRPr="00344E55" w:rsidRDefault="00A2011C" w:rsidP="00F80D2E">
            <w:pPr>
              <w:numPr>
                <w:ilvl w:val="0"/>
                <w:numId w:val="12"/>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themeColor="text1"/>
                <w:kern w:val="24"/>
                <w:sz w:val="24"/>
                <w:szCs w:val="24"/>
                <w:lang w:eastAsia="en-ZA"/>
              </w:rPr>
              <w:t>Departmental Management (Office of the DG)</w:t>
            </w:r>
          </w:p>
          <w:p w14:paraId="72CE5A2D" w14:textId="77777777" w:rsidR="00A2011C" w:rsidRPr="00344E55" w:rsidRDefault="00A2011C" w:rsidP="00F80D2E">
            <w:pPr>
              <w:numPr>
                <w:ilvl w:val="0"/>
                <w:numId w:val="12"/>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Corporate Management</w:t>
            </w:r>
          </w:p>
          <w:p w14:paraId="71665DAA" w14:textId="77777777" w:rsidR="00A2011C" w:rsidRPr="00344E55" w:rsidRDefault="00A2011C" w:rsidP="00F80D2E">
            <w:pPr>
              <w:numPr>
                <w:ilvl w:val="0"/>
                <w:numId w:val="12"/>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Financial Management</w:t>
            </w:r>
          </w:p>
          <w:p w14:paraId="7F24438E" w14:textId="77777777" w:rsidR="00A2011C" w:rsidRPr="00344E55" w:rsidRDefault="00A2011C" w:rsidP="00F80D2E">
            <w:pPr>
              <w:numPr>
                <w:ilvl w:val="0"/>
                <w:numId w:val="12"/>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Communications and Marketing</w:t>
            </w:r>
          </w:p>
        </w:tc>
      </w:tr>
      <w:tr w:rsidR="00A2011C" w:rsidRPr="00344E55" w14:paraId="16ECEC78" w14:textId="77777777" w:rsidTr="0082540B">
        <w:trPr>
          <w:trHeight w:val="834"/>
        </w:trPr>
        <w:tc>
          <w:tcPr>
            <w:tcW w:w="1644"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247CED18"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themeColor="text1"/>
                <w:kern w:val="24"/>
                <w:sz w:val="24"/>
                <w:szCs w:val="24"/>
                <w:lang w:eastAsia="en-ZA"/>
              </w:rPr>
              <w:t>Programme 2</w:t>
            </w:r>
          </w:p>
        </w:tc>
        <w:tc>
          <w:tcPr>
            <w:tcW w:w="1856"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67A085C9"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r w:rsidRPr="00344E55">
              <w:rPr>
                <w:rFonts w:ascii="Times New Roman" w:eastAsia="Calibri" w:hAnsi="Times New Roman" w:cs="Times New Roman"/>
                <w:b/>
                <w:bCs/>
                <w:smallCaps/>
                <w:color w:val="000000" w:themeColor="text1"/>
                <w:sz w:val="24"/>
                <w:szCs w:val="24"/>
                <w:lang w:eastAsia="en-ZA"/>
              </w:rPr>
              <w:t>Sector Policy and Research</w:t>
            </w:r>
          </w:p>
        </w:tc>
        <w:tc>
          <w:tcPr>
            <w:tcW w:w="576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14396895" w14:textId="77777777" w:rsidR="00A2011C" w:rsidRPr="00344E55" w:rsidRDefault="00A2011C" w:rsidP="00F80D2E">
            <w:pPr>
              <w:numPr>
                <w:ilvl w:val="0"/>
                <w:numId w:val="13"/>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Research</w:t>
            </w:r>
          </w:p>
          <w:p w14:paraId="796DD991" w14:textId="77777777" w:rsidR="00A2011C" w:rsidRPr="00344E55" w:rsidRDefault="00A2011C" w:rsidP="00F80D2E">
            <w:pPr>
              <w:numPr>
                <w:ilvl w:val="0"/>
                <w:numId w:val="13"/>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themeColor="text1"/>
                <w:sz w:val="24"/>
                <w:szCs w:val="24"/>
                <w:lang w:eastAsia="en-ZA"/>
              </w:rPr>
              <w:t>Policy and Legislation (including IGR and Coordination)</w:t>
            </w:r>
          </w:p>
          <w:p w14:paraId="06408DC9" w14:textId="77777777" w:rsidR="00A2011C" w:rsidRPr="00344E55" w:rsidRDefault="00A2011C" w:rsidP="00F80D2E">
            <w:pPr>
              <w:numPr>
                <w:ilvl w:val="0"/>
                <w:numId w:val="13"/>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International Relations and Trade Promotion</w:t>
            </w:r>
          </w:p>
          <w:p w14:paraId="758C001A" w14:textId="77777777" w:rsidR="00A2011C" w:rsidRPr="00344E55" w:rsidRDefault="00A2011C" w:rsidP="00F80D2E">
            <w:pPr>
              <w:numPr>
                <w:ilvl w:val="0"/>
                <w:numId w:val="13"/>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Monitoring and Evaluation</w:t>
            </w:r>
          </w:p>
        </w:tc>
      </w:tr>
      <w:tr w:rsidR="00A2011C" w:rsidRPr="00344E55" w14:paraId="4F6C817E" w14:textId="77777777" w:rsidTr="0082540B">
        <w:trPr>
          <w:trHeight w:val="834"/>
        </w:trPr>
        <w:tc>
          <w:tcPr>
            <w:tcW w:w="1644"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1A38775C"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themeColor="text1"/>
                <w:kern w:val="24"/>
                <w:sz w:val="24"/>
                <w:szCs w:val="24"/>
                <w:lang w:eastAsia="en-ZA"/>
              </w:rPr>
              <w:t>Programme 3</w:t>
            </w:r>
          </w:p>
        </w:tc>
        <w:tc>
          <w:tcPr>
            <w:tcW w:w="1856"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0347CE01"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r w:rsidRPr="00344E55">
              <w:rPr>
                <w:rFonts w:ascii="Times New Roman" w:eastAsia="Calibri" w:hAnsi="Times New Roman" w:cs="Times New Roman"/>
                <w:b/>
                <w:bCs/>
                <w:smallCaps/>
                <w:color w:val="000000" w:themeColor="text1"/>
                <w:sz w:val="24"/>
                <w:szCs w:val="24"/>
                <w:lang w:eastAsia="en-ZA"/>
              </w:rPr>
              <w:t xml:space="preserve">Integrated Co-operatives Development </w:t>
            </w:r>
          </w:p>
        </w:tc>
        <w:tc>
          <w:tcPr>
            <w:tcW w:w="576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74B6BE13" w14:textId="77777777" w:rsidR="00A2011C" w:rsidRPr="00344E55" w:rsidRDefault="00A2011C" w:rsidP="00F80D2E">
            <w:pPr>
              <w:numPr>
                <w:ilvl w:val="0"/>
                <w:numId w:val="14"/>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Co-operatives Development</w:t>
            </w:r>
          </w:p>
          <w:p w14:paraId="21A6C436" w14:textId="77777777" w:rsidR="00A2011C" w:rsidRPr="00344E55" w:rsidRDefault="00A2011C" w:rsidP="00F80D2E">
            <w:pPr>
              <w:numPr>
                <w:ilvl w:val="0"/>
                <w:numId w:val="14"/>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Co-operatives Programme Design and Support</w:t>
            </w:r>
          </w:p>
          <w:p w14:paraId="15C205FD" w14:textId="77777777" w:rsidR="00A2011C" w:rsidRPr="00344E55" w:rsidRDefault="00A2011C" w:rsidP="00F80D2E">
            <w:pPr>
              <w:numPr>
                <w:ilvl w:val="0"/>
                <w:numId w:val="14"/>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Supplier Development and Market Access Support</w:t>
            </w:r>
          </w:p>
        </w:tc>
      </w:tr>
      <w:tr w:rsidR="00A2011C" w:rsidRPr="00344E55" w14:paraId="3EC49B91" w14:textId="77777777" w:rsidTr="0082540B">
        <w:trPr>
          <w:trHeight w:val="26"/>
        </w:trPr>
        <w:tc>
          <w:tcPr>
            <w:tcW w:w="1644"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10B09CA9"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themeColor="text1"/>
                <w:kern w:val="24"/>
                <w:sz w:val="24"/>
                <w:szCs w:val="24"/>
                <w:lang w:eastAsia="en-ZA"/>
              </w:rPr>
              <w:t xml:space="preserve">Programme 4 </w:t>
            </w:r>
          </w:p>
          <w:p w14:paraId="6276C9B9"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p>
        </w:tc>
        <w:tc>
          <w:tcPr>
            <w:tcW w:w="1856"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02259F3E" w14:textId="77777777" w:rsidR="00A2011C" w:rsidRPr="00344E55" w:rsidRDefault="00A2011C" w:rsidP="00A2011C">
            <w:pPr>
              <w:spacing w:after="0" w:line="264" w:lineRule="auto"/>
              <w:rPr>
                <w:rFonts w:ascii="Times New Roman" w:eastAsia="Times New Roman" w:hAnsi="Times New Roman" w:cs="Times New Roman"/>
                <w:sz w:val="24"/>
                <w:szCs w:val="24"/>
                <w:lang w:eastAsia="en-ZA"/>
              </w:rPr>
            </w:pPr>
            <w:r w:rsidRPr="00344E55">
              <w:rPr>
                <w:rFonts w:ascii="Times New Roman" w:eastAsia="Calibri" w:hAnsi="Times New Roman" w:cs="Times New Roman"/>
                <w:b/>
                <w:bCs/>
                <w:smallCaps/>
                <w:color w:val="000000" w:themeColor="text1"/>
                <w:sz w:val="24"/>
                <w:szCs w:val="24"/>
                <w:lang w:eastAsia="en-ZA"/>
              </w:rPr>
              <w:t>Enterprise Development and Entrepreneurship</w:t>
            </w:r>
          </w:p>
        </w:tc>
        <w:tc>
          <w:tcPr>
            <w:tcW w:w="576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14:paraId="785AC99D" w14:textId="77777777" w:rsidR="00A2011C" w:rsidRPr="00344E55" w:rsidRDefault="00A2011C" w:rsidP="00F80D2E">
            <w:pPr>
              <w:numPr>
                <w:ilvl w:val="0"/>
                <w:numId w:val="15"/>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Enterprise and Supplier Development</w:t>
            </w:r>
          </w:p>
          <w:p w14:paraId="4DF57FCD" w14:textId="77777777" w:rsidR="00A2011C" w:rsidRPr="00344E55" w:rsidRDefault="00A2011C" w:rsidP="00F80D2E">
            <w:pPr>
              <w:numPr>
                <w:ilvl w:val="0"/>
                <w:numId w:val="15"/>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SMME Programme Design and Support</w:t>
            </w:r>
          </w:p>
          <w:p w14:paraId="5E34BE4D" w14:textId="77777777" w:rsidR="00A2011C" w:rsidRPr="00344E55" w:rsidRDefault="00A2011C" w:rsidP="00F80D2E">
            <w:pPr>
              <w:numPr>
                <w:ilvl w:val="0"/>
                <w:numId w:val="15"/>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SMME Competitiveness</w:t>
            </w:r>
          </w:p>
          <w:p w14:paraId="28758038" w14:textId="77777777" w:rsidR="00A2011C" w:rsidRPr="00344E55" w:rsidRDefault="00A2011C" w:rsidP="00F80D2E">
            <w:pPr>
              <w:numPr>
                <w:ilvl w:val="0"/>
                <w:numId w:val="15"/>
              </w:numPr>
              <w:spacing w:after="0" w:line="240" w:lineRule="auto"/>
              <w:ind w:left="1267"/>
              <w:contextualSpacing/>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Entrepreneurship</w:t>
            </w:r>
          </w:p>
        </w:tc>
      </w:tr>
    </w:tbl>
    <w:p w14:paraId="1790DE7F" w14:textId="77777777" w:rsidR="00244DF4" w:rsidRPr="00344E55" w:rsidRDefault="0082540B" w:rsidP="005200EB">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 xml:space="preserve">Source: </w:t>
      </w:r>
      <w:r w:rsidR="003E4075" w:rsidRPr="00344E55">
        <w:rPr>
          <w:rFonts w:ascii="Times New Roman" w:hAnsi="Times New Roman" w:cs="Times New Roman"/>
          <w:b/>
          <w:sz w:val="24"/>
          <w:szCs w:val="24"/>
          <w:lang w:val="en-US"/>
        </w:rPr>
        <w:t>DSBD 201</w:t>
      </w:r>
      <w:r w:rsidR="00046575" w:rsidRPr="00344E55">
        <w:rPr>
          <w:rFonts w:ascii="Times New Roman" w:hAnsi="Times New Roman" w:cs="Times New Roman"/>
          <w:b/>
          <w:sz w:val="24"/>
          <w:szCs w:val="24"/>
          <w:lang w:val="en-US"/>
        </w:rPr>
        <w:t>9/20 A</w:t>
      </w:r>
      <w:r w:rsidR="007C4665" w:rsidRPr="00344E55">
        <w:rPr>
          <w:rFonts w:ascii="Times New Roman" w:hAnsi="Times New Roman" w:cs="Times New Roman"/>
          <w:b/>
          <w:sz w:val="24"/>
          <w:szCs w:val="24"/>
          <w:lang w:val="en-US"/>
        </w:rPr>
        <w:t>nnual Performance Plan</w:t>
      </w:r>
    </w:p>
    <w:p w14:paraId="2BB4794B" w14:textId="77777777" w:rsidR="00244DF4" w:rsidRPr="00344E55" w:rsidRDefault="00244DF4" w:rsidP="005200EB">
      <w:pPr>
        <w:spacing w:line="360" w:lineRule="auto"/>
        <w:contextualSpacing/>
        <w:jc w:val="both"/>
        <w:rPr>
          <w:rFonts w:ascii="Times New Roman" w:hAnsi="Times New Roman" w:cs="Times New Roman"/>
          <w:sz w:val="24"/>
          <w:szCs w:val="24"/>
          <w:lang w:val="en-US"/>
        </w:rPr>
      </w:pPr>
    </w:p>
    <w:p w14:paraId="459DECD7" w14:textId="77777777" w:rsidR="005200EB" w:rsidRPr="00344E55" w:rsidRDefault="007C4665" w:rsidP="005200EB">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3.</w:t>
      </w:r>
      <w:r w:rsidRPr="00344E55">
        <w:rPr>
          <w:rFonts w:ascii="Times New Roman" w:hAnsi="Times New Roman" w:cs="Times New Roman"/>
          <w:b/>
          <w:sz w:val="24"/>
          <w:szCs w:val="24"/>
        </w:rPr>
        <w:tab/>
        <w:t xml:space="preserve">EXPENDITURE </w:t>
      </w:r>
      <w:r w:rsidR="005200EB" w:rsidRPr="00344E55">
        <w:rPr>
          <w:rFonts w:ascii="Times New Roman" w:hAnsi="Times New Roman" w:cs="Times New Roman"/>
          <w:b/>
          <w:sz w:val="24"/>
          <w:szCs w:val="24"/>
        </w:rPr>
        <w:t xml:space="preserve">ANALYSIS BASED ON ESTIMATES OF NATIONAL </w:t>
      </w:r>
      <w:r w:rsidR="005200EB" w:rsidRPr="00344E55">
        <w:rPr>
          <w:rFonts w:ascii="Times New Roman" w:hAnsi="Times New Roman" w:cs="Times New Roman"/>
          <w:b/>
          <w:sz w:val="24"/>
          <w:szCs w:val="24"/>
        </w:rPr>
        <w:tab/>
        <w:t>EXPENDITURE</w:t>
      </w:r>
    </w:p>
    <w:p w14:paraId="5693CF98" w14:textId="77777777" w:rsidR="005200EB" w:rsidRPr="00344E55" w:rsidRDefault="005200EB" w:rsidP="003A355B">
      <w:pPr>
        <w:spacing w:line="360" w:lineRule="auto"/>
        <w:contextualSpacing/>
        <w:jc w:val="both"/>
        <w:rPr>
          <w:rFonts w:ascii="Times New Roman" w:hAnsi="Times New Roman" w:cs="Times New Roman"/>
          <w:sz w:val="24"/>
          <w:szCs w:val="24"/>
        </w:rPr>
      </w:pPr>
    </w:p>
    <w:p w14:paraId="7F8FCBBD" w14:textId="77777777" w:rsidR="003A355B" w:rsidRPr="00344E55" w:rsidRDefault="003A355B" w:rsidP="003A355B">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The department has a total budget of R8.1 billion over the medium term, 72.8 percent (R5.9 billion) of which </w:t>
      </w:r>
      <w:r w:rsidR="00EA649B" w:rsidRPr="00344E55">
        <w:rPr>
          <w:rFonts w:ascii="Times New Roman" w:hAnsi="Times New Roman" w:cs="Times New Roman"/>
          <w:sz w:val="24"/>
          <w:szCs w:val="24"/>
        </w:rPr>
        <w:t>are</w:t>
      </w:r>
      <w:r w:rsidRPr="00344E55">
        <w:rPr>
          <w:rFonts w:ascii="Times New Roman" w:hAnsi="Times New Roman" w:cs="Times New Roman"/>
          <w:sz w:val="24"/>
          <w:szCs w:val="24"/>
        </w:rPr>
        <w:t xml:space="preserve"> transfers to the Small Enterprise Development Agency for its operations, and the Small Enterprise Financ</w:t>
      </w:r>
      <w:r w:rsidR="00EA649B" w:rsidRPr="00344E55">
        <w:rPr>
          <w:rFonts w:ascii="Times New Roman" w:hAnsi="Times New Roman" w:cs="Times New Roman"/>
          <w:sz w:val="24"/>
          <w:szCs w:val="24"/>
        </w:rPr>
        <w:t>e Agency for administering the Small Business and Innovation F</w:t>
      </w:r>
      <w:r w:rsidRPr="00344E55">
        <w:rPr>
          <w:rFonts w:ascii="Times New Roman" w:hAnsi="Times New Roman" w:cs="Times New Roman"/>
          <w:sz w:val="24"/>
          <w:szCs w:val="24"/>
        </w:rPr>
        <w:t>und</w:t>
      </w:r>
      <w:r w:rsidR="00EA649B" w:rsidRPr="00344E55">
        <w:rPr>
          <w:rFonts w:ascii="Times New Roman" w:hAnsi="Times New Roman" w:cs="Times New Roman"/>
          <w:sz w:val="24"/>
          <w:szCs w:val="24"/>
        </w:rPr>
        <w:t xml:space="preserve"> (SBIF)</w:t>
      </w:r>
      <w:r w:rsidRPr="00344E55">
        <w:rPr>
          <w:rFonts w:ascii="Times New Roman" w:hAnsi="Times New Roman" w:cs="Times New Roman"/>
          <w:sz w:val="24"/>
          <w:szCs w:val="24"/>
        </w:rPr>
        <w:t>. The department’s expenditure is expected to increase a</w:t>
      </w:r>
      <w:r w:rsidR="00EA649B" w:rsidRPr="00344E55">
        <w:rPr>
          <w:rFonts w:ascii="Times New Roman" w:hAnsi="Times New Roman" w:cs="Times New Roman"/>
          <w:sz w:val="24"/>
          <w:szCs w:val="24"/>
        </w:rPr>
        <w:t>t an average annual rate of 24</w:t>
      </w:r>
      <w:r w:rsidRPr="00344E55">
        <w:rPr>
          <w:rFonts w:ascii="Times New Roman" w:hAnsi="Times New Roman" w:cs="Times New Roman"/>
          <w:sz w:val="24"/>
          <w:szCs w:val="24"/>
        </w:rPr>
        <w:t xml:space="preserve"> percent, from R1.5 billion in 2018/19 to R2.9 billion in 2021/22. This is mainly due to allocations amounting to R3.2 billion over the MTEF period to operationalise the </w:t>
      </w:r>
      <w:r w:rsidR="00EA649B" w:rsidRPr="00344E55">
        <w:rPr>
          <w:rFonts w:ascii="Times New Roman" w:hAnsi="Times New Roman" w:cs="Times New Roman"/>
          <w:sz w:val="24"/>
          <w:szCs w:val="24"/>
        </w:rPr>
        <w:t>SBIF. O</w:t>
      </w:r>
      <w:r w:rsidRPr="00344E55">
        <w:rPr>
          <w:rFonts w:ascii="Times New Roman" w:hAnsi="Times New Roman" w:cs="Times New Roman"/>
          <w:sz w:val="24"/>
          <w:szCs w:val="24"/>
        </w:rPr>
        <w:t>ver the medium term, the department will focus on</w:t>
      </w:r>
      <w:r w:rsidR="00EA649B" w:rsidRPr="00344E55">
        <w:rPr>
          <w:rFonts w:ascii="Times New Roman" w:hAnsi="Times New Roman" w:cs="Times New Roman"/>
          <w:sz w:val="24"/>
          <w:szCs w:val="24"/>
        </w:rPr>
        <w:t xml:space="preserve"> a myriad of activities to strengthen the sector</w:t>
      </w:r>
      <w:r w:rsidRPr="00344E55">
        <w:rPr>
          <w:rFonts w:ascii="Times New Roman" w:hAnsi="Times New Roman" w:cs="Times New Roman"/>
          <w:sz w:val="24"/>
          <w:szCs w:val="24"/>
        </w:rPr>
        <w:t>: developing, evaluating and reviewing strategies and legislation for small enterprises and co</w:t>
      </w:r>
      <w:r w:rsidR="00EA649B" w:rsidRPr="00344E55">
        <w:rPr>
          <w:rFonts w:ascii="Times New Roman" w:hAnsi="Times New Roman" w:cs="Times New Roman"/>
          <w:sz w:val="24"/>
          <w:szCs w:val="24"/>
        </w:rPr>
        <w:t>-operatives,</w:t>
      </w:r>
      <w:r w:rsidRPr="00344E55">
        <w:rPr>
          <w:rFonts w:ascii="Times New Roman" w:hAnsi="Times New Roman" w:cs="Times New Roman"/>
          <w:sz w:val="24"/>
          <w:szCs w:val="24"/>
        </w:rPr>
        <w:t xml:space="preserve"> increasing support for small enterprises; and developing and supporting co</w:t>
      </w:r>
      <w:r w:rsidR="00EA649B" w:rsidRPr="00344E55">
        <w:rPr>
          <w:rFonts w:ascii="Times New Roman" w:hAnsi="Times New Roman" w:cs="Times New Roman"/>
          <w:sz w:val="24"/>
          <w:szCs w:val="24"/>
        </w:rPr>
        <w:t>-</w:t>
      </w:r>
      <w:r w:rsidRPr="00344E55">
        <w:rPr>
          <w:rFonts w:ascii="Times New Roman" w:hAnsi="Times New Roman" w:cs="Times New Roman"/>
          <w:sz w:val="24"/>
          <w:szCs w:val="24"/>
        </w:rPr>
        <w:t>operatives.</w:t>
      </w:r>
    </w:p>
    <w:p w14:paraId="4A88037A" w14:textId="77777777" w:rsidR="003A355B" w:rsidRPr="00344E55" w:rsidRDefault="003A355B" w:rsidP="003A355B">
      <w:pPr>
        <w:spacing w:line="360" w:lineRule="auto"/>
        <w:contextualSpacing/>
        <w:jc w:val="both"/>
        <w:rPr>
          <w:rFonts w:ascii="Times New Roman" w:hAnsi="Times New Roman" w:cs="Times New Roman"/>
          <w:sz w:val="24"/>
          <w:szCs w:val="24"/>
        </w:rPr>
      </w:pPr>
    </w:p>
    <w:p w14:paraId="5EFA35DC" w14:textId="77777777" w:rsidR="003A355B" w:rsidRPr="00344E55" w:rsidRDefault="003A355B" w:rsidP="003A355B">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bCs/>
          <w:iCs/>
          <w:sz w:val="24"/>
          <w:szCs w:val="24"/>
        </w:rPr>
        <w:lastRenderedPageBreak/>
        <w:t>3.1</w:t>
      </w:r>
      <w:r w:rsidRPr="00344E55">
        <w:rPr>
          <w:rFonts w:ascii="Times New Roman" w:hAnsi="Times New Roman" w:cs="Times New Roman"/>
          <w:bCs/>
          <w:iCs/>
          <w:sz w:val="24"/>
          <w:szCs w:val="24"/>
        </w:rPr>
        <w:tab/>
        <w:t xml:space="preserve">One of the key delivery areas for the Department will be the development, </w:t>
      </w:r>
      <w:r w:rsidRPr="00344E55">
        <w:rPr>
          <w:rFonts w:ascii="Times New Roman" w:hAnsi="Times New Roman" w:cs="Times New Roman"/>
          <w:bCs/>
          <w:iCs/>
          <w:sz w:val="24"/>
          <w:szCs w:val="24"/>
        </w:rPr>
        <w:tab/>
        <w:t>evaluation and review of strategies and legislation for small enterprises and co-</w:t>
      </w:r>
      <w:r w:rsidRPr="00344E55">
        <w:rPr>
          <w:rFonts w:ascii="Times New Roman" w:hAnsi="Times New Roman" w:cs="Times New Roman"/>
          <w:bCs/>
          <w:iCs/>
          <w:sz w:val="24"/>
          <w:szCs w:val="24"/>
        </w:rPr>
        <w:tab/>
        <w:t>operatives.</w:t>
      </w:r>
      <w:r w:rsidR="00EA649B" w:rsidRPr="00344E55">
        <w:rPr>
          <w:rFonts w:ascii="Times New Roman" w:hAnsi="Times New Roman" w:cs="Times New Roman"/>
          <w:bCs/>
          <w:iCs/>
          <w:sz w:val="24"/>
          <w:szCs w:val="24"/>
        </w:rPr>
        <w:t xml:space="preserve"> </w:t>
      </w:r>
      <w:r w:rsidRPr="00344E55">
        <w:rPr>
          <w:rFonts w:ascii="Times New Roman" w:hAnsi="Times New Roman" w:cs="Times New Roman"/>
          <w:sz w:val="24"/>
          <w:szCs w:val="24"/>
        </w:rPr>
        <w:t xml:space="preserve">These activities will be carried out in the </w:t>
      </w:r>
      <w:r w:rsidR="00EA649B" w:rsidRPr="00344E55">
        <w:rPr>
          <w:rFonts w:ascii="Times New Roman" w:hAnsi="Times New Roman" w:cs="Times New Roman"/>
          <w:iCs/>
          <w:sz w:val="24"/>
          <w:szCs w:val="24"/>
        </w:rPr>
        <w:t xml:space="preserve">Sector Policy and </w:t>
      </w:r>
      <w:r w:rsidRPr="00344E55">
        <w:rPr>
          <w:rFonts w:ascii="Times New Roman" w:hAnsi="Times New Roman" w:cs="Times New Roman"/>
          <w:iCs/>
          <w:sz w:val="24"/>
          <w:szCs w:val="24"/>
        </w:rPr>
        <w:t>Research</w:t>
      </w:r>
      <w:r w:rsidR="00EA649B" w:rsidRPr="00344E55">
        <w:rPr>
          <w:rFonts w:ascii="Times New Roman" w:hAnsi="Times New Roman" w:cs="Times New Roman"/>
          <w:iCs/>
          <w:sz w:val="24"/>
          <w:szCs w:val="24"/>
        </w:rPr>
        <w:t xml:space="preserve"> </w:t>
      </w:r>
      <w:r w:rsidR="00EA649B" w:rsidRPr="00344E55">
        <w:rPr>
          <w:rFonts w:ascii="Times New Roman" w:hAnsi="Times New Roman" w:cs="Times New Roman"/>
          <w:iCs/>
          <w:sz w:val="24"/>
          <w:szCs w:val="24"/>
        </w:rPr>
        <w:tab/>
      </w:r>
      <w:r w:rsidRPr="00344E55">
        <w:rPr>
          <w:rFonts w:ascii="Times New Roman" w:hAnsi="Times New Roman" w:cs="Times New Roman"/>
          <w:sz w:val="24"/>
          <w:szCs w:val="24"/>
        </w:rPr>
        <w:t>programme that has a</w:t>
      </w:r>
      <w:r w:rsidR="00EA649B" w:rsidRPr="00344E55">
        <w:rPr>
          <w:rFonts w:ascii="Times New Roman" w:hAnsi="Times New Roman" w:cs="Times New Roman"/>
          <w:sz w:val="24"/>
          <w:szCs w:val="24"/>
        </w:rPr>
        <w:t xml:space="preserve">n estimated </w:t>
      </w:r>
      <w:r w:rsidRPr="00344E55">
        <w:rPr>
          <w:rFonts w:ascii="Times New Roman" w:hAnsi="Times New Roman" w:cs="Times New Roman"/>
          <w:sz w:val="24"/>
          <w:szCs w:val="24"/>
        </w:rPr>
        <w:t xml:space="preserve">budget of R117 million over the MTEF period. </w:t>
      </w:r>
      <w:r w:rsidRPr="00344E55">
        <w:rPr>
          <w:rFonts w:ascii="Times New Roman" w:hAnsi="Times New Roman" w:cs="Times New Roman"/>
          <w:sz w:val="24"/>
          <w:szCs w:val="24"/>
        </w:rPr>
        <w:tab/>
        <w:t xml:space="preserve">Expenditure in the programme is expected to increase at an average annual rate of </w:t>
      </w:r>
      <w:r w:rsidRPr="00344E55">
        <w:rPr>
          <w:rFonts w:ascii="Times New Roman" w:hAnsi="Times New Roman" w:cs="Times New Roman"/>
          <w:sz w:val="24"/>
          <w:szCs w:val="24"/>
        </w:rPr>
        <w:tab/>
        <w:t>12.3 percent, from R29.9 million in 2018/19 to R42.3 million in 2021/22;</w:t>
      </w:r>
    </w:p>
    <w:p w14:paraId="3FF13142" w14:textId="77777777" w:rsidR="003A355B" w:rsidRPr="00344E55" w:rsidRDefault="003A355B" w:rsidP="003A355B">
      <w:pPr>
        <w:autoSpaceDE w:val="0"/>
        <w:autoSpaceDN w:val="0"/>
        <w:adjustRightInd w:val="0"/>
        <w:spacing w:after="0" w:line="360" w:lineRule="auto"/>
        <w:ind w:left="720" w:hanging="720"/>
        <w:contextualSpacing/>
        <w:jc w:val="both"/>
        <w:rPr>
          <w:rFonts w:ascii="Times New Roman" w:hAnsi="Times New Roman" w:cs="Times New Roman"/>
          <w:sz w:val="24"/>
          <w:szCs w:val="24"/>
        </w:rPr>
      </w:pPr>
      <w:r w:rsidRPr="00344E55">
        <w:rPr>
          <w:rFonts w:ascii="Times New Roman" w:hAnsi="Times New Roman" w:cs="Times New Roman"/>
          <w:sz w:val="24"/>
          <w:szCs w:val="24"/>
        </w:rPr>
        <w:t>3.2</w:t>
      </w:r>
      <w:r w:rsidRPr="00344E55">
        <w:rPr>
          <w:rFonts w:ascii="Times New Roman" w:hAnsi="Times New Roman" w:cs="Times New Roman"/>
          <w:sz w:val="24"/>
          <w:szCs w:val="24"/>
        </w:rPr>
        <w:tab/>
        <w:t xml:space="preserve">The second most important area of priority is the scaling up financial and non-financial </w:t>
      </w:r>
      <w:r w:rsidR="00EA649B" w:rsidRPr="00344E55">
        <w:rPr>
          <w:rFonts w:ascii="Times New Roman" w:hAnsi="Times New Roman" w:cs="Times New Roman"/>
          <w:sz w:val="24"/>
          <w:szCs w:val="24"/>
        </w:rPr>
        <w:t xml:space="preserve">support for small enterprises. For instance, </w:t>
      </w:r>
      <w:r w:rsidRPr="00344E55">
        <w:rPr>
          <w:rFonts w:ascii="Times New Roman" w:hAnsi="Times New Roman" w:cs="Times New Roman"/>
          <w:sz w:val="24"/>
          <w:szCs w:val="24"/>
        </w:rPr>
        <w:t>Black Business Supplier Development Programme (BBSDP) is a cost sharing grant for small enterprises to acquire tools, machinery, and equipment as well as training to a maximum of R1 million per applicant</w:t>
      </w:r>
      <w:r w:rsidR="00EA649B" w:rsidRPr="00344E55">
        <w:rPr>
          <w:rFonts w:ascii="Times New Roman" w:hAnsi="Times New Roman" w:cs="Times New Roman"/>
          <w:sz w:val="24"/>
          <w:szCs w:val="24"/>
        </w:rPr>
        <w:t>, it</w:t>
      </w:r>
      <w:r w:rsidRPr="00344E55">
        <w:rPr>
          <w:rFonts w:ascii="Times New Roman" w:hAnsi="Times New Roman" w:cs="Times New Roman"/>
          <w:sz w:val="24"/>
          <w:szCs w:val="24"/>
        </w:rPr>
        <w:t xml:space="preserve"> is allocated R906.5 million</w:t>
      </w:r>
      <w:r w:rsidR="00EA649B" w:rsidRPr="00344E55">
        <w:rPr>
          <w:rFonts w:ascii="Times New Roman" w:hAnsi="Times New Roman" w:cs="Times New Roman"/>
          <w:sz w:val="24"/>
          <w:szCs w:val="24"/>
        </w:rPr>
        <w:t xml:space="preserve"> over the medium term period</w:t>
      </w:r>
      <w:r w:rsidRPr="00344E55">
        <w:rPr>
          <w:rFonts w:ascii="Times New Roman" w:hAnsi="Times New Roman" w:cs="Times New Roman"/>
          <w:sz w:val="24"/>
          <w:szCs w:val="24"/>
        </w:rPr>
        <w:t xml:space="preserve">. Spending on the scheme is </w:t>
      </w:r>
      <w:r w:rsidR="00EA649B" w:rsidRPr="00344E55">
        <w:rPr>
          <w:rFonts w:ascii="Times New Roman" w:hAnsi="Times New Roman" w:cs="Times New Roman"/>
          <w:sz w:val="24"/>
          <w:szCs w:val="24"/>
        </w:rPr>
        <w:t>situated under</w:t>
      </w:r>
      <w:r w:rsidRPr="00344E55">
        <w:rPr>
          <w:rFonts w:ascii="Times New Roman" w:hAnsi="Times New Roman" w:cs="Times New Roman"/>
          <w:sz w:val="24"/>
          <w:szCs w:val="24"/>
        </w:rPr>
        <w:t xml:space="preserve"> the </w:t>
      </w:r>
      <w:r w:rsidRPr="00344E55">
        <w:rPr>
          <w:rFonts w:ascii="Times New Roman" w:hAnsi="Times New Roman" w:cs="Times New Roman"/>
          <w:iCs/>
          <w:sz w:val="24"/>
          <w:szCs w:val="24"/>
        </w:rPr>
        <w:t>SMMEs Programme Design and Support, a</w:t>
      </w:r>
      <w:r w:rsidRPr="00344E55">
        <w:rPr>
          <w:rFonts w:ascii="Times New Roman" w:hAnsi="Times New Roman" w:cs="Times New Roman"/>
          <w:i/>
          <w:iCs/>
          <w:sz w:val="24"/>
          <w:szCs w:val="24"/>
        </w:rPr>
        <w:t xml:space="preserve"> </w:t>
      </w:r>
      <w:r w:rsidRPr="00344E55">
        <w:rPr>
          <w:rFonts w:ascii="Times New Roman" w:hAnsi="Times New Roman" w:cs="Times New Roman"/>
          <w:sz w:val="24"/>
          <w:szCs w:val="24"/>
        </w:rPr>
        <w:t xml:space="preserve">subprogram under the </w:t>
      </w:r>
      <w:r w:rsidRPr="00344E55">
        <w:rPr>
          <w:rFonts w:ascii="Times New Roman" w:hAnsi="Times New Roman" w:cs="Times New Roman"/>
          <w:iCs/>
          <w:sz w:val="24"/>
          <w:szCs w:val="24"/>
        </w:rPr>
        <w:t>Enterprise Development and</w:t>
      </w:r>
      <w:r w:rsidRPr="00344E55">
        <w:rPr>
          <w:rFonts w:ascii="Times New Roman" w:hAnsi="Times New Roman" w:cs="Times New Roman"/>
          <w:sz w:val="24"/>
          <w:szCs w:val="24"/>
        </w:rPr>
        <w:t xml:space="preserve"> </w:t>
      </w:r>
      <w:r w:rsidRPr="00344E55">
        <w:rPr>
          <w:rFonts w:ascii="Times New Roman" w:hAnsi="Times New Roman" w:cs="Times New Roman"/>
          <w:iCs/>
          <w:sz w:val="24"/>
          <w:szCs w:val="24"/>
        </w:rPr>
        <w:t>Entrepreneurship</w:t>
      </w:r>
      <w:r w:rsidRPr="00344E55">
        <w:rPr>
          <w:rFonts w:ascii="Times New Roman" w:hAnsi="Times New Roman" w:cs="Times New Roman"/>
          <w:i/>
          <w:iCs/>
          <w:sz w:val="24"/>
          <w:szCs w:val="24"/>
        </w:rPr>
        <w:t xml:space="preserve"> </w:t>
      </w:r>
      <w:r w:rsidRPr="00344E55">
        <w:rPr>
          <w:rFonts w:ascii="Times New Roman" w:hAnsi="Times New Roman" w:cs="Times New Roman"/>
          <w:sz w:val="24"/>
          <w:szCs w:val="24"/>
        </w:rPr>
        <w:t>programme, which has a total allocation of R248.4 million over the MTEF period;</w:t>
      </w:r>
    </w:p>
    <w:p w14:paraId="22FB7FE1" w14:textId="77777777" w:rsidR="003A355B" w:rsidRPr="00344E55" w:rsidRDefault="003A355B" w:rsidP="003A355B">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3.3</w:t>
      </w:r>
      <w:r w:rsidRPr="00344E55">
        <w:rPr>
          <w:rFonts w:ascii="Times New Roman" w:hAnsi="Times New Roman" w:cs="Times New Roman"/>
          <w:sz w:val="24"/>
          <w:szCs w:val="24"/>
        </w:rPr>
        <w:tab/>
        <w:t xml:space="preserve">The third area of focus for the Department is the provision of support to co-operatives </w:t>
      </w:r>
      <w:r w:rsidRPr="00344E55">
        <w:rPr>
          <w:rFonts w:ascii="Times New Roman" w:hAnsi="Times New Roman" w:cs="Times New Roman"/>
          <w:sz w:val="24"/>
          <w:szCs w:val="24"/>
        </w:rPr>
        <w:tab/>
        <w:t xml:space="preserve">through Co-operatives Incentive Scheme (CIS). The scheme provides a 100 percent </w:t>
      </w:r>
      <w:r w:rsidRPr="00344E55">
        <w:rPr>
          <w:rFonts w:ascii="Times New Roman" w:hAnsi="Times New Roman" w:cs="Times New Roman"/>
          <w:sz w:val="24"/>
          <w:szCs w:val="24"/>
        </w:rPr>
        <w:tab/>
        <w:t xml:space="preserve">grant to the maximum of R350 000 per registered primary co-operative and R11 million </w:t>
      </w:r>
      <w:r w:rsidRPr="00344E55">
        <w:rPr>
          <w:rFonts w:ascii="Times New Roman" w:hAnsi="Times New Roman" w:cs="Times New Roman"/>
          <w:sz w:val="24"/>
          <w:szCs w:val="24"/>
        </w:rPr>
        <w:tab/>
        <w:t xml:space="preserve">per registered </w:t>
      </w:r>
      <w:r w:rsidRPr="00344E55">
        <w:rPr>
          <w:rFonts w:ascii="Times New Roman" w:hAnsi="Times New Roman" w:cs="Times New Roman"/>
          <w:sz w:val="24"/>
          <w:szCs w:val="24"/>
        </w:rPr>
        <w:tab/>
        <w:t xml:space="preserve">clustered co-operatives. In doing so, the scheme intends to improve the </w:t>
      </w:r>
      <w:r w:rsidRPr="00344E55">
        <w:rPr>
          <w:rFonts w:ascii="Times New Roman" w:hAnsi="Times New Roman" w:cs="Times New Roman"/>
          <w:sz w:val="24"/>
          <w:szCs w:val="24"/>
        </w:rPr>
        <w:tab/>
        <w:t>viability and competitiveness of co</w:t>
      </w:r>
      <w:r w:rsidR="007D3FCB" w:rsidRPr="00344E55">
        <w:rPr>
          <w:rFonts w:ascii="Times New Roman" w:hAnsi="Times New Roman" w:cs="Times New Roman"/>
          <w:sz w:val="24"/>
          <w:szCs w:val="24"/>
        </w:rPr>
        <w:t>-</w:t>
      </w:r>
      <w:r w:rsidRPr="00344E55">
        <w:rPr>
          <w:rFonts w:ascii="Times New Roman" w:hAnsi="Times New Roman" w:cs="Times New Roman"/>
          <w:sz w:val="24"/>
          <w:szCs w:val="24"/>
        </w:rPr>
        <w:t xml:space="preserve">operatives by lowering the cost of doing business. </w:t>
      </w:r>
      <w:r w:rsidRPr="00344E55">
        <w:rPr>
          <w:rFonts w:ascii="Times New Roman" w:hAnsi="Times New Roman" w:cs="Times New Roman"/>
          <w:sz w:val="24"/>
          <w:szCs w:val="24"/>
        </w:rPr>
        <w:tab/>
        <w:t xml:space="preserve">Over the MTEF period, the </w:t>
      </w:r>
      <w:r w:rsidR="007D3FCB" w:rsidRPr="00344E55">
        <w:rPr>
          <w:rFonts w:ascii="Times New Roman" w:hAnsi="Times New Roman" w:cs="Times New Roman"/>
          <w:iCs/>
          <w:sz w:val="24"/>
          <w:szCs w:val="24"/>
        </w:rPr>
        <w:t>Co-operatives</w:t>
      </w:r>
      <w:r w:rsidR="007D3FCB" w:rsidRPr="00344E55">
        <w:rPr>
          <w:rFonts w:ascii="Times New Roman" w:hAnsi="Times New Roman" w:cs="Times New Roman"/>
          <w:sz w:val="24"/>
          <w:szCs w:val="24"/>
        </w:rPr>
        <w:t xml:space="preserve"> </w:t>
      </w:r>
      <w:r w:rsidR="007D3FCB" w:rsidRPr="00344E55">
        <w:rPr>
          <w:rFonts w:ascii="Times New Roman" w:hAnsi="Times New Roman" w:cs="Times New Roman"/>
          <w:iCs/>
          <w:sz w:val="24"/>
          <w:szCs w:val="24"/>
        </w:rPr>
        <w:t>Programme Design and Support</w:t>
      </w:r>
      <w:r w:rsidR="007D3FCB" w:rsidRPr="00344E55">
        <w:rPr>
          <w:rFonts w:ascii="Times New Roman" w:hAnsi="Times New Roman" w:cs="Times New Roman"/>
          <w:sz w:val="24"/>
          <w:szCs w:val="24"/>
        </w:rPr>
        <w:t xml:space="preserve">, a </w:t>
      </w:r>
      <w:r w:rsidR="007D3FCB" w:rsidRPr="00344E55">
        <w:rPr>
          <w:rFonts w:ascii="Times New Roman" w:hAnsi="Times New Roman" w:cs="Times New Roman"/>
          <w:sz w:val="24"/>
          <w:szCs w:val="24"/>
        </w:rPr>
        <w:tab/>
        <w:t xml:space="preserve">subprogram in the </w:t>
      </w:r>
      <w:r w:rsidR="007D3FCB" w:rsidRPr="00344E55">
        <w:rPr>
          <w:rFonts w:ascii="Times New Roman" w:hAnsi="Times New Roman" w:cs="Times New Roman"/>
          <w:iCs/>
          <w:sz w:val="24"/>
          <w:szCs w:val="24"/>
        </w:rPr>
        <w:t xml:space="preserve">Integrated Co-operative Development </w:t>
      </w:r>
      <w:r w:rsidR="007D3FCB" w:rsidRPr="00344E55">
        <w:rPr>
          <w:rFonts w:ascii="Times New Roman" w:hAnsi="Times New Roman" w:cs="Times New Roman"/>
          <w:sz w:val="24"/>
          <w:szCs w:val="24"/>
        </w:rPr>
        <w:t>programme</w:t>
      </w:r>
      <w:r w:rsidRPr="00344E55">
        <w:rPr>
          <w:rFonts w:ascii="Times New Roman" w:hAnsi="Times New Roman" w:cs="Times New Roman"/>
          <w:sz w:val="24"/>
          <w:szCs w:val="24"/>
        </w:rPr>
        <w:t xml:space="preserve"> aims to support </w:t>
      </w:r>
      <w:r w:rsidR="007D3FCB" w:rsidRPr="00344E55">
        <w:rPr>
          <w:rFonts w:ascii="Times New Roman" w:hAnsi="Times New Roman" w:cs="Times New Roman"/>
          <w:sz w:val="24"/>
          <w:szCs w:val="24"/>
        </w:rPr>
        <w:tab/>
      </w:r>
      <w:r w:rsidRPr="00344E55">
        <w:rPr>
          <w:rFonts w:ascii="Times New Roman" w:hAnsi="Times New Roman" w:cs="Times New Roman"/>
          <w:sz w:val="24"/>
          <w:szCs w:val="24"/>
        </w:rPr>
        <w:t>890 co</w:t>
      </w:r>
      <w:r w:rsidR="007D3FCB" w:rsidRPr="00344E55">
        <w:rPr>
          <w:rFonts w:ascii="Times New Roman" w:hAnsi="Times New Roman" w:cs="Times New Roman"/>
          <w:sz w:val="24"/>
          <w:szCs w:val="24"/>
        </w:rPr>
        <w:t>-</w:t>
      </w:r>
      <w:r w:rsidRPr="00344E55">
        <w:rPr>
          <w:rFonts w:ascii="Times New Roman" w:hAnsi="Times New Roman" w:cs="Times New Roman"/>
          <w:sz w:val="24"/>
          <w:szCs w:val="24"/>
        </w:rPr>
        <w:t>operatives with a total</w:t>
      </w:r>
      <w:r w:rsidR="007D3FCB" w:rsidRPr="00344E55">
        <w:rPr>
          <w:rFonts w:ascii="Times New Roman" w:hAnsi="Times New Roman" w:cs="Times New Roman"/>
          <w:sz w:val="24"/>
          <w:szCs w:val="24"/>
        </w:rPr>
        <w:t xml:space="preserve"> allocation of R278.7 million.</w:t>
      </w:r>
    </w:p>
    <w:p w14:paraId="2565987B" w14:textId="77777777" w:rsidR="00525986" w:rsidRPr="00344E55" w:rsidRDefault="00525986" w:rsidP="003A355B">
      <w:pPr>
        <w:spacing w:line="360" w:lineRule="auto"/>
        <w:contextualSpacing/>
        <w:jc w:val="both"/>
        <w:rPr>
          <w:rFonts w:ascii="Times New Roman" w:hAnsi="Times New Roman" w:cs="Times New Roman"/>
          <w:sz w:val="24"/>
          <w:szCs w:val="24"/>
        </w:rPr>
      </w:pPr>
    </w:p>
    <w:p w14:paraId="459773EF" w14:textId="77777777" w:rsidR="005200EB" w:rsidRPr="00344E55" w:rsidRDefault="00061FB8" w:rsidP="00D85FEF">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4.</w:t>
      </w:r>
      <w:r w:rsidRPr="00344E55">
        <w:rPr>
          <w:rFonts w:ascii="Times New Roman" w:hAnsi="Times New Roman" w:cs="Times New Roman"/>
          <w:b/>
          <w:sz w:val="24"/>
          <w:szCs w:val="24"/>
          <w:lang w:val="en-US"/>
        </w:rPr>
        <w:tab/>
        <w:t>POLICY PRIORITIES FOR 20</w:t>
      </w:r>
      <w:r w:rsidR="003A355B" w:rsidRPr="00344E55">
        <w:rPr>
          <w:rFonts w:ascii="Times New Roman" w:hAnsi="Times New Roman" w:cs="Times New Roman"/>
          <w:b/>
          <w:sz w:val="24"/>
          <w:szCs w:val="24"/>
          <w:lang w:val="en-US"/>
        </w:rPr>
        <w:t>19/20</w:t>
      </w:r>
    </w:p>
    <w:p w14:paraId="5E477C14" w14:textId="77777777" w:rsidR="005200EB" w:rsidRPr="00344E55" w:rsidRDefault="005200EB" w:rsidP="00D85FEF">
      <w:pPr>
        <w:spacing w:line="360" w:lineRule="auto"/>
        <w:ind w:left="66"/>
        <w:contextualSpacing/>
        <w:jc w:val="both"/>
        <w:rPr>
          <w:rFonts w:ascii="Times New Roman" w:hAnsi="Times New Roman" w:cs="Times New Roman"/>
          <w:sz w:val="24"/>
          <w:szCs w:val="24"/>
          <w:lang w:val="en-US"/>
        </w:rPr>
      </w:pPr>
    </w:p>
    <w:p w14:paraId="776FE673" w14:textId="77777777" w:rsidR="00DE3B47" w:rsidRPr="00344E55" w:rsidRDefault="00DE3B47" w:rsidP="00D85FEF">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4.1</w:t>
      </w:r>
      <w:r w:rsidRPr="00344E55">
        <w:rPr>
          <w:rFonts w:ascii="Times New Roman" w:hAnsi="Times New Roman" w:cs="Times New Roman"/>
          <w:b/>
          <w:sz w:val="24"/>
          <w:szCs w:val="24"/>
        </w:rPr>
        <w:tab/>
        <w:t>National Development Plan</w:t>
      </w:r>
    </w:p>
    <w:p w14:paraId="1AE8CC28" w14:textId="77777777" w:rsidR="005200EB" w:rsidRPr="00344E55" w:rsidRDefault="00232D29" w:rsidP="00D85FEF">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lang w:val="en-US"/>
        </w:rPr>
        <w:t>The i</w:t>
      </w:r>
      <w:r w:rsidR="00AD2DCA" w:rsidRPr="00344E55">
        <w:rPr>
          <w:rFonts w:ascii="Times New Roman" w:hAnsi="Times New Roman" w:cs="Times New Roman"/>
          <w:sz w:val="24"/>
          <w:szCs w:val="24"/>
          <w:lang w:val="en-US"/>
        </w:rPr>
        <w:t xml:space="preserve">mplementation of the </w:t>
      </w:r>
      <w:r w:rsidRPr="00344E55">
        <w:rPr>
          <w:rFonts w:ascii="Times New Roman" w:hAnsi="Times New Roman" w:cs="Times New Roman"/>
          <w:sz w:val="24"/>
          <w:szCs w:val="24"/>
          <w:lang w:val="en-US"/>
        </w:rPr>
        <w:t>National Development Plan (</w:t>
      </w:r>
      <w:r w:rsidR="00AD2DCA" w:rsidRPr="00344E55">
        <w:rPr>
          <w:rFonts w:ascii="Times New Roman" w:hAnsi="Times New Roman" w:cs="Times New Roman"/>
          <w:sz w:val="24"/>
          <w:szCs w:val="24"/>
          <w:lang w:val="en-US"/>
        </w:rPr>
        <w:t>NDP</w:t>
      </w:r>
      <w:r w:rsidRPr="00344E55">
        <w:rPr>
          <w:rFonts w:ascii="Times New Roman" w:hAnsi="Times New Roman" w:cs="Times New Roman"/>
          <w:sz w:val="24"/>
          <w:szCs w:val="24"/>
          <w:lang w:val="en-US"/>
        </w:rPr>
        <w:t>)</w:t>
      </w:r>
      <w:r w:rsidR="00AD2DCA" w:rsidRPr="00344E55">
        <w:rPr>
          <w:rFonts w:ascii="Times New Roman" w:hAnsi="Times New Roman" w:cs="Times New Roman"/>
          <w:sz w:val="24"/>
          <w:szCs w:val="24"/>
          <w:lang w:val="en-US"/>
        </w:rPr>
        <w:t xml:space="preserve"> is one of the key government imperatives under the current administration and is aligned with the Africa Agenda and the global Sustainable Development Goals (SDGs). The NDP focus</w:t>
      </w:r>
      <w:r w:rsidRPr="00344E55">
        <w:rPr>
          <w:rFonts w:ascii="Times New Roman" w:hAnsi="Times New Roman" w:cs="Times New Roman"/>
          <w:sz w:val="24"/>
          <w:szCs w:val="24"/>
          <w:lang w:val="en-US"/>
        </w:rPr>
        <w:t>es</w:t>
      </w:r>
      <w:r w:rsidR="00AD2DCA" w:rsidRPr="00344E55">
        <w:rPr>
          <w:rFonts w:ascii="Times New Roman" w:hAnsi="Times New Roman" w:cs="Times New Roman"/>
          <w:sz w:val="24"/>
          <w:szCs w:val="24"/>
          <w:lang w:val="en-US"/>
        </w:rPr>
        <w:t xml:space="preserve"> us on the overall objectives, supported by South Africans, to eradicate poverty and substantially reduce inequality by 2030 through the creation of jobs and accelerating inclusive economic growth.</w:t>
      </w:r>
      <w:r w:rsidR="00AD2DCA" w:rsidRPr="00344E55">
        <w:rPr>
          <w:rFonts w:ascii="Times New Roman" w:hAnsi="Times New Roman" w:cs="Times New Roman"/>
          <w:sz w:val="24"/>
          <w:szCs w:val="24"/>
        </w:rPr>
        <w:t xml:space="preserve"> The Department is directed</w:t>
      </w:r>
      <w:r w:rsidRPr="00344E55">
        <w:rPr>
          <w:rFonts w:ascii="Times New Roman" w:hAnsi="Times New Roman" w:cs="Times New Roman"/>
          <w:sz w:val="24"/>
          <w:szCs w:val="24"/>
        </w:rPr>
        <w:t xml:space="preserve"> to implement </w:t>
      </w:r>
      <w:r w:rsidR="00AD2DCA" w:rsidRPr="00344E55">
        <w:rPr>
          <w:rFonts w:ascii="Times New Roman" w:hAnsi="Times New Roman" w:cs="Times New Roman"/>
          <w:sz w:val="24"/>
          <w:szCs w:val="24"/>
        </w:rPr>
        <w:t>c</w:t>
      </w:r>
      <w:r w:rsidR="005200EB" w:rsidRPr="00344E55">
        <w:rPr>
          <w:rFonts w:ascii="Times New Roman" w:hAnsi="Times New Roman" w:cs="Times New Roman"/>
          <w:sz w:val="24"/>
          <w:szCs w:val="24"/>
        </w:rPr>
        <w:t>hapters three (3) and six (6) of the</w:t>
      </w:r>
      <w:r w:rsidRPr="00344E55">
        <w:rPr>
          <w:rFonts w:ascii="Times New Roman" w:hAnsi="Times New Roman" w:cs="Times New Roman"/>
          <w:sz w:val="24"/>
          <w:szCs w:val="24"/>
        </w:rPr>
        <w:t xml:space="preserve"> NDP</w:t>
      </w:r>
      <w:r w:rsidR="005200EB" w:rsidRPr="00344E55">
        <w:rPr>
          <w:rFonts w:ascii="Times New Roman" w:hAnsi="Times New Roman" w:cs="Times New Roman"/>
          <w:sz w:val="24"/>
          <w:szCs w:val="24"/>
        </w:rPr>
        <w:t xml:space="preserve"> that deal with the economy and employment as well as rural inclusive growth. The NDP is the </w:t>
      </w:r>
      <w:r w:rsidR="005200EB" w:rsidRPr="00344E55">
        <w:rPr>
          <w:rFonts w:ascii="Times New Roman" w:hAnsi="Times New Roman" w:cs="Times New Roman"/>
          <w:sz w:val="24"/>
          <w:szCs w:val="24"/>
        </w:rPr>
        <w:lastRenderedPageBreak/>
        <w:t xml:space="preserve">country’s vision, with a target of creating 9.9 million new jobs from small businesses by 2030. </w:t>
      </w:r>
    </w:p>
    <w:p w14:paraId="6FECD01A" w14:textId="77777777" w:rsidR="00A6732E" w:rsidRPr="00344E55" w:rsidRDefault="00A6732E" w:rsidP="00D85FEF">
      <w:pPr>
        <w:spacing w:line="360" w:lineRule="auto"/>
        <w:contextualSpacing/>
        <w:jc w:val="both"/>
        <w:rPr>
          <w:rFonts w:ascii="Times New Roman" w:hAnsi="Times New Roman" w:cs="Times New Roman"/>
          <w:sz w:val="24"/>
          <w:szCs w:val="24"/>
        </w:rPr>
      </w:pPr>
    </w:p>
    <w:p w14:paraId="6AF870C6" w14:textId="77777777" w:rsidR="005200EB" w:rsidRPr="00344E55" w:rsidRDefault="005200EB" w:rsidP="00D85FEF">
      <w:pPr>
        <w:pStyle w:val="Default"/>
        <w:spacing w:line="360" w:lineRule="auto"/>
        <w:contextualSpacing/>
        <w:jc w:val="both"/>
        <w:rPr>
          <w:b/>
          <w:color w:val="auto"/>
        </w:rPr>
      </w:pPr>
      <w:r w:rsidRPr="00344E55">
        <w:rPr>
          <w:b/>
          <w:color w:val="auto"/>
        </w:rPr>
        <w:t>4.2</w:t>
      </w:r>
      <w:r w:rsidRPr="00344E55">
        <w:rPr>
          <w:b/>
          <w:color w:val="auto"/>
        </w:rPr>
        <w:tab/>
        <w:t>New Growth Path</w:t>
      </w:r>
    </w:p>
    <w:p w14:paraId="580B5B88" w14:textId="77777777" w:rsidR="005200EB" w:rsidRPr="00344E55" w:rsidRDefault="006D514B" w:rsidP="00D85FEF">
      <w:pPr>
        <w:pStyle w:val="Default"/>
        <w:spacing w:line="360" w:lineRule="auto"/>
        <w:contextualSpacing/>
        <w:jc w:val="both"/>
        <w:rPr>
          <w:color w:val="auto"/>
        </w:rPr>
      </w:pPr>
      <w:r w:rsidRPr="00344E55">
        <w:rPr>
          <w:color w:val="auto"/>
        </w:rPr>
        <w:t>In terms of the New Growth Path (NGP), t</w:t>
      </w:r>
      <w:r w:rsidR="005200EB" w:rsidRPr="00344E55">
        <w:rPr>
          <w:color w:val="auto"/>
        </w:rPr>
        <w:t xml:space="preserve">he Department </w:t>
      </w:r>
      <w:r w:rsidRPr="00344E55">
        <w:rPr>
          <w:color w:val="auto"/>
        </w:rPr>
        <w:t xml:space="preserve">is mandated </w:t>
      </w:r>
      <w:r w:rsidR="005200EB" w:rsidRPr="00344E55">
        <w:rPr>
          <w:color w:val="auto"/>
        </w:rPr>
        <w:t xml:space="preserve">to implement various policy propositions for growth, decent employment and equity. </w:t>
      </w:r>
      <w:r w:rsidRPr="00344E55">
        <w:rPr>
          <w:color w:val="auto"/>
        </w:rPr>
        <w:t xml:space="preserve">Its foremost objective is to push for the creation of </w:t>
      </w:r>
      <w:r w:rsidR="005200EB" w:rsidRPr="00344E55">
        <w:rPr>
          <w:color w:val="auto"/>
        </w:rPr>
        <w:t>five (5) million jobs by 2020, and also f</w:t>
      </w:r>
      <w:r w:rsidR="00431C20" w:rsidRPr="00344E55">
        <w:rPr>
          <w:color w:val="auto"/>
        </w:rPr>
        <w:t>orge a new and more inclusive, a</w:t>
      </w:r>
      <w:r w:rsidR="005200EB" w:rsidRPr="00344E55">
        <w:rPr>
          <w:color w:val="auto"/>
        </w:rPr>
        <w:t xml:space="preserve">s well as labour intensive and efficient economy. According to the NDP (2011: 117), “the NGP is the government’s key programme to take the country onto a higher growth trajectory”. </w:t>
      </w:r>
    </w:p>
    <w:p w14:paraId="46C35722" w14:textId="77777777" w:rsidR="00232D29" w:rsidRPr="00344E55" w:rsidRDefault="00232D29" w:rsidP="00D85FEF">
      <w:pPr>
        <w:pStyle w:val="Default"/>
        <w:spacing w:line="360" w:lineRule="auto"/>
        <w:contextualSpacing/>
        <w:jc w:val="both"/>
        <w:rPr>
          <w:b/>
          <w:color w:val="auto"/>
        </w:rPr>
      </w:pPr>
    </w:p>
    <w:p w14:paraId="4EF28E50" w14:textId="77777777" w:rsidR="005200EB" w:rsidRPr="00344E55" w:rsidRDefault="005200EB" w:rsidP="00D85FEF">
      <w:pPr>
        <w:pStyle w:val="Default"/>
        <w:spacing w:line="360" w:lineRule="auto"/>
        <w:contextualSpacing/>
        <w:jc w:val="both"/>
        <w:rPr>
          <w:b/>
          <w:color w:val="auto"/>
        </w:rPr>
      </w:pPr>
      <w:r w:rsidRPr="00344E55">
        <w:rPr>
          <w:b/>
          <w:color w:val="auto"/>
        </w:rPr>
        <w:t>4.3</w:t>
      </w:r>
      <w:r w:rsidRPr="00344E55">
        <w:rPr>
          <w:b/>
          <w:color w:val="auto"/>
        </w:rPr>
        <w:tab/>
      </w:r>
      <w:r w:rsidRPr="00344E55">
        <w:rPr>
          <w:b/>
          <w:bCs/>
          <w:color w:val="auto"/>
        </w:rPr>
        <w:t xml:space="preserve">The Medium Term Strategic Framework </w:t>
      </w:r>
    </w:p>
    <w:p w14:paraId="4A4A8088" w14:textId="77777777" w:rsidR="005200EB" w:rsidRPr="00344E55" w:rsidRDefault="005D7164" w:rsidP="00D85FEF">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The current period marks the end of the first Medium Term Strategic Framework </w:t>
      </w:r>
      <w:r w:rsidR="006D514B" w:rsidRPr="00344E55">
        <w:rPr>
          <w:rFonts w:ascii="Times New Roman" w:hAnsi="Times New Roman" w:cs="Times New Roman"/>
          <w:sz w:val="24"/>
          <w:szCs w:val="24"/>
        </w:rPr>
        <w:t xml:space="preserve">(MTSF) </w:t>
      </w:r>
      <w:r w:rsidRPr="00344E55">
        <w:rPr>
          <w:rFonts w:ascii="Times New Roman" w:hAnsi="Times New Roman" w:cs="Times New Roman"/>
          <w:sz w:val="24"/>
          <w:szCs w:val="24"/>
        </w:rPr>
        <w:t>following the</w:t>
      </w:r>
      <w:r w:rsidR="005200EB" w:rsidRPr="00344E55">
        <w:rPr>
          <w:rFonts w:ascii="Times New Roman" w:hAnsi="Times New Roman" w:cs="Times New Roman"/>
          <w:sz w:val="24"/>
          <w:szCs w:val="24"/>
        </w:rPr>
        <w:t xml:space="preserve"> adoption of the NDP</w:t>
      </w:r>
      <w:r w:rsidRPr="00344E55">
        <w:rPr>
          <w:rFonts w:ascii="Times New Roman" w:hAnsi="Times New Roman" w:cs="Times New Roman"/>
          <w:sz w:val="24"/>
          <w:szCs w:val="24"/>
        </w:rPr>
        <w:t>. The</w:t>
      </w:r>
      <w:r w:rsidR="005200EB" w:rsidRPr="00344E55">
        <w:rPr>
          <w:rFonts w:ascii="Times New Roman" w:hAnsi="Times New Roman" w:cs="Times New Roman"/>
          <w:sz w:val="24"/>
          <w:szCs w:val="24"/>
        </w:rPr>
        <w:t xml:space="preserve"> Cabinet </w:t>
      </w:r>
      <w:r w:rsidRPr="00344E55">
        <w:rPr>
          <w:rFonts w:ascii="Times New Roman" w:hAnsi="Times New Roman" w:cs="Times New Roman"/>
          <w:sz w:val="24"/>
          <w:szCs w:val="24"/>
        </w:rPr>
        <w:t xml:space="preserve">had </w:t>
      </w:r>
      <w:r w:rsidR="006D514B" w:rsidRPr="00344E55">
        <w:rPr>
          <w:rFonts w:ascii="Times New Roman" w:hAnsi="Times New Roman" w:cs="Times New Roman"/>
          <w:sz w:val="24"/>
          <w:szCs w:val="24"/>
        </w:rPr>
        <w:t xml:space="preserve">decided back in </w:t>
      </w:r>
      <w:r w:rsidR="005200EB" w:rsidRPr="00344E55">
        <w:rPr>
          <w:rFonts w:ascii="Times New Roman" w:hAnsi="Times New Roman" w:cs="Times New Roman"/>
          <w:sz w:val="24"/>
          <w:szCs w:val="24"/>
        </w:rPr>
        <w:t xml:space="preserve">2013 that </w:t>
      </w:r>
      <w:r w:rsidRPr="00344E55">
        <w:rPr>
          <w:rFonts w:ascii="Times New Roman" w:hAnsi="Times New Roman" w:cs="Times New Roman"/>
          <w:sz w:val="24"/>
          <w:szCs w:val="24"/>
        </w:rPr>
        <w:t xml:space="preserve">the 2014 - </w:t>
      </w:r>
      <w:r w:rsidR="005200EB" w:rsidRPr="00344E55">
        <w:rPr>
          <w:rFonts w:ascii="Times New Roman" w:hAnsi="Times New Roman" w:cs="Times New Roman"/>
          <w:sz w:val="24"/>
          <w:szCs w:val="24"/>
        </w:rPr>
        <w:t xml:space="preserve">2019 MTSF </w:t>
      </w:r>
      <w:r w:rsidR="006D514B" w:rsidRPr="00344E55">
        <w:rPr>
          <w:rFonts w:ascii="Times New Roman" w:hAnsi="Times New Roman" w:cs="Times New Roman"/>
          <w:sz w:val="24"/>
          <w:szCs w:val="24"/>
        </w:rPr>
        <w:t>would</w:t>
      </w:r>
      <w:r w:rsidR="005200EB" w:rsidRPr="00344E55">
        <w:rPr>
          <w:rFonts w:ascii="Times New Roman" w:hAnsi="Times New Roman" w:cs="Times New Roman"/>
          <w:sz w:val="24"/>
          <w:szCs w:val="24"/>
        </w:rPr>
        <w:t xml:space="preserve"> form the first five-year implementation phase of the NDP and mandated work to </w:t>
      </w:r>
      <w:r w:rsidRPr="00344E55">
        <w:rPr>
          <w:rFonts w:ascii="Times New Roman" w:hAnsi="Times New Roman" w:cs="Times New Roman"/>
          <w:sz w:val="24"/>
          <w:szCs w:val="24"/>
        </w:rPr>
        <w:t>begin on aligning the plans of the s</w:t>
      </w:r>
      <w:r w:rsidR="005200EB" w:rsidRPr="00344E55">
        <w:rPr>
          <w:rFonts w:ascii="Times New Roman" w:hAnsi="Times New Roman" w:cs="Times New Roman"/>
          <w:sz w:val="24"/>
          <w:szCs w:val="24"/>
        </w:rPr>
        <w:t xml:space="preserve">tate organs with the NDP vision and goals. Thus, for the </w:t>
      </w:r>
      <w:r w:rsidRPr="00344E55">
        <w:rPr>
          <w:rFonts w:ascii="Times New Roman" w:hAnsi="Times New Roman" w:cs="Times New Roman"/>
          <w:sz w:val="24"/>
          <w:szCs w:val="24"/>
        </w:rPr>
        <w:t>past</w:t>
      </w:r>
      <w:r w:rsidR="005200EB" w:rsidRPr="00344E55">
        <w:rPr>
          <w:rFonts w:ascii="Times New Roman" w:hAnsi="Times New Roman" w:cs="Times New Roman"/>
          <w:sz w:val="24"/>
          <w:szCs w:val="24"/>
        </w:rPr>
        <w:t xml:space="preserve"> five years the MTSF has made some priorities aim</w:t>
      </w:r>
      <w:r w:rsidR="00061FB8" w:rsidRPr="00344E55">
        <w:rPr>
          <w:rFonts w:ascii="Times New Roman" w:hAnsi="Times New Roman" w:cs="Times New Roman"/>
          <w:sz w:val="24"/>
          <w:szCs w:val="24"/>
        </w:rPr>
        <w:t>ed at achieving radical socio-</w:t>
      </w:r>
      <w:r w:rsidR="005200EB" w:rsidRPr="00344E55">
        <w:rPr>
          <w:rFonts w:ascii="Times New Roman" w:hAnsi="Times New Roman" w:cs="Times New Roman"/>
          <w:sz w:val="24"/>
          <w:szCs w:val="24"/>
        </w:rPr>
        <w:t xml:space="preserve">economic transformation through decent employment </w:t>
      </w:r>
      <w:r w:rsidR="00061FB8" w:rsidRPr="00344E55">
        <w:rPr>
          <w:rFonts w:ascii="Times New Roman" w:hAnsi="Times New Roman" w:cs="Times New Roman"/>
          <w:sz w:val="24"/>
          <w:szCs w:val="24"/>
        </w:rPr>
        <w:t>and</w:t>
      </w:r>
      <w:r w:rsidR="005200EB" w:rsidRPr="00344E55">
        <w:rPr>
          <w:rFonts w:ascii="Times New Roman" w:hAnsi="Times New Roman" w:cs="Times New Roman"/>
          <w:sz w:val="24"/>
          <w:szCs w:val="24"/>
        </w:rPr>
        <w:t xml:space="preserve"> inclusive </w:t>
      </w:r>
      <w:r w:rsidR="00061FB8" w:rsidRPr="00344E55">
        <w:rPr>
          <w:rFonts w:ascii="Times New Roman" w:hAnsi="Times New Roman" w:cs="Times New Roman"/>
          <w:sz w:val="24"/>
          <w:szCs w:val="24"/>
        </w:rPr>
        <w:t xml:space="preserve">growth. </w:t>
      </w:r>
      <w:r w:rsidR="005200EB" w:rsidRPr="00344E55">
        <w:rPr>
          <w:rFonts w:ascii="Times New Roman" w:hAnsi="Times New Roman" w:cs="Times New Roman"/>
          <w:sz w:val="24"/>
          <w:szCs w:val="24"/>
        </w:rPr>
        <w:t>The Department of Small Business Development ha</w:t>
      </w:r>
      <w:r w:rsidRPr="00344E55">
        <w:rPr>
          <w:rFonts w:ascii="Times New Roman" w:hAnsi="Times New Roman" w:cs="Times New Roman"/>
          <w:sz w:val="24"/>
          <w:szCs w:val="24"/>
        </w:rPr>
        <w:t>d</w:t>
      </w:r>
      <w:r w:rsidR="006D514B" w:rsidRPr="00344E55">
        <w:rPr>
          <w:rFonts w:ascii="Times New Roman" w:hAnsi="Times New Roman" w:cs="Times New Roman"/>
          <w:sz w:val="24"/>
          <w:szCs w:val="24"/>
        </w:rPr>
        <w:t xml:space="preserve"> </w:t>
      </w:r>
      <w:r w:rsidRPr="00344E55">
        <w:rPr>
          <w:rFonts w:ascii="Times New Roman" w:hAnsi="Times New Roman" w:cs="Times New Roman"/>
          <w:sz w:val="24"/>
          <w:szCs w:val="24"/>
        </w:rPr>
        <w:t xml:space="preserve">been </w:t>
      </w:r>
      <w:r w:rsidR="005200EB" w:rsidRPr="00344E55">
        <w:rPr>
          <w:rFonts w:ascii="Times New Roman" w:hAnsi="Times New Roman" w:cs="Times New Roman"/>
          <w:sz w:val="24"/>
          <w:szCs w:val="24"/>
        </w:rPr>
        <w:t>assigned to champion some of the priorities, namely, outcome four (4): Decent employment through inclusive growth,</w:t>
      </w:r>
      <w:r w:rsidR="00232D29" w:rsidRPr="00344E55">
        <w:rPr>
          <w:rFonts w:ascii="Times New Roman" w:hAnsi="Times New Roman" w:cs="Times New Roman"/>
          <w:sz w:val="24"/>
          <w:szCs w:val="24"/>
        </w:rPr>
        <w:t xml:space="preserve"> outcome five (5): A skilled and capable workforce to support an inclusive growth path </w:t>
      </w:r>
      <w:r w:rsidR="005200EB" w:rsidRPr="00344E55">
        <w:rPr>
          <w:rFonts w:ascii="Times New Roman" w:hAnsi="Times New Roman" w:cs="Times New Roman"/>
          <w:sz w:val="24"/>
          <w:szCs w:val="24"/>
        </w:rPr>
        <w:t>and outcom</w:t>
      </w:r>
      <w:r w:rsidR="00232D29" w:rsidRPr="00344E55">
        <w:rPr>
          <w:rFonts w:ascii="Times New Roman" w:hAnsi="Times New Roman" w:cs="Times New Roman"/>
          <w:sz w:val="24"/>
          <w:szCs w:val="24"/>
        </w:rPr>
        <w:t>e seven (7): Rural development.</w:t>
      </w:r>
      <w:r w:rsidRPr="00344E55">
        <w:rPr>
          <w:rFonts w:ascii="Times New Roman" w:hAnsi="Times New Roman" w:cs="Times New Roman"/>
          <w:sz w:val="24"/>
          <w:szCs w:val="24"/>
        </w:rPr>
        <w:t xml:space="preserve"> The 2019 - 2024 MTSF</w:t>
      </w:r>
      <w:r w:rsidR="007D3FCB" w:rsidRPr="00344E55">
        <w:rPr>
          <w:rFonts w:ascii="Times New Roman" w:hAnsi="Times New Roman" w:cs="Times New Roman"/>
          <w:sz w:val="24"/>
          <w:szCs w:val="24"/>
        </w:rPr>
        <w:t>, to inform the new strategic plan of the Department and entities,</w:t>
      </w:r>
      <w:r w:rsidRPr="00344E55">
        <w:rPr>
          <w:rFonts w:ascii="Times New Roman" w:hAnsi="Times New Roman" w:cs="Times New Roman"/>
          <w:sz w:val="24"/>
          <w:szCs w:val="24"/>
        </w:rPr>
        <w:t xml:space="preserve"> is still being finalised.</w:t>
      </w:r>
    </w:p>
    <w:p w14:paraId="2731C9B5" w14:textId="77777777" w:rsidR="00232D29" w:rsidRPr="00344E55" w:rsidRDefault="00232D29" w:rsidP="00D85FEF">
      <w:pPr>
        <w:autoSpaceDE w:val="0"/>
        <w:autoSpaceDN w:val="0"/>
        <w:adjustRightInd w:val="0"/>
        <w:spacing w:after="0" w:line="360" w:lineRule="auto"/>
        <w:contextualSpacing/>
        <w:jc w:val="both"/>
        <w:rPr>
          <w:rFonts w:ascii="Times New Roman" w:hAnsi="Times New Roman" w:cs="Times New Roman"/>
          <w:sz w:val="24"/>
          <w:szCs w:val="24"/>
        </w:rPr>
      </w:pPr>
    </w:p>
    <w:p w14:paraId="3C13F899" w14:textId="77777777" w:rsidR="005200EB" w:rsidRPr="00344E55" w:rsidRDefault="005200EB" w:rsidP="00232D29">
      <w:pPr>
        <w:pStyle w:val="Default"/>
        <w:spacing w:line="360" w:lineRule="auto"/>
        <w:contextualSpacing/>
        <w:jc w:val="both"/>
        <w:rPr>
          <w:b/>
          <w:color w:val="auto"/>
        </w:rPr>
      </w:pPr>
      <w:r w:rsidRPr="00344E55">
        <w:rPr>
          <w:b/>
          <w:color w:val="auto"/>
        </w:rPr>
        <w:t>4.4</w:t>
      </w:r>
      <w:r w:rsidRPr="00344E55">
        <w:rPr>
          <w:b/>
          <w:color w:val="auto"/>
        </w:rPr>
        <w:tab/>
        <w:t>State of the Nation Address</w:t>
      </w:r>
    </w:p>
    <w:p w14:paraId="6534E93C" w14:textId="77777777" w:rsidR="00D14189" w:rsidRPr="00344E55" w:rsidRDefault="006D514B" w:rsidP="00D14189">
      <w:pPr>
        <w:spacing w:line="360" w:lineRule="auto"/>
        <w:contextualSpacing/>
        <w:jc w:val="both"/>
        <w:rPr>
          <w:rFonts w:ascii="Times New Roman" w:eastAsia="Times New Roman" w:hAnsi="Times New Roman" w:cs="Times New Roman"/>
          <w:sz w:val="24"/>
          <w:szCs w:val="24"/>
          <w:lang w:eastAsia="en-ZA"/>
        </w:rPr>
      </w:pPr>
      <w:r w:rsidRPr="00344E55">
        <w:rPr>
          <w:rFonts w:ascii="Times New Roman" w:hAnsi="Times New Roman" w:cs="Times New Roman"/>
          <w:sz w:val="24"/>
          <w:szCs w:val="24"/>
        </w:rPr>
        <w:t xml:space="preserve">Owing to the national general elections </w:t>
      </w:r>
      <w:r w:rsidR="00D616B8" w:rsidRPr="00344E55">
        <w:rPr>
          <w:rFonts w:ascii="Times New Roman" w:hAnsi="Times New Roman" w:cs="Times New Roman"/>
          <w:sz w:val="24"/>
          <w:szCs w:val="24"/>
        </w:rPr>
        <w:t xml:space="preserve">held on </w:t>
      </w:r>
      <w:r w:rsidR="002E7097" w:rsidRPr="00344E55">
        <w:rPr>
          <w:rFonts w:ascii="Times New Roman" w:hAnsi="Times New Roman" w:cs="Times New Roman"/>
          <w:sz w:val="24"/>
          <w:szCs w:val="24"/>
        </w:rPr>
        <w:t>8 May</w:t>
      </w:r>
      <w:r w:rsidR="00D616B8" w:rsidRPr="00344E55">
        <w:rPr>
          <w:rFonts w:ascii="Times New Roman" w:hAnsi="Times New Roman" w:cs="Times New Roman"/>
          <w:sz w:val="24"/>
          <w:szCs w:val="24"/>
        </w:rPr>
        <w:t xml:space="preserve"> </w:t>
      </w:r>
      <w:r w:rsidR="002E7097" w:rsidRPr="00344E55">
        <w:rPr>
          <w:rFonts w:ascii="Times New Roman" w:hAnsi="Times New Roman" w:cs="Times New Roman"/>
          <w:sz w:val="24"/>
          <w:szCs w:val="24"/>
        </w:rPr>
        <w:t>2019,</w:t>
      </w:r>
      <w:r w:rsidR="00D616B8" w:rsidRPr="00344E55">
        <w:rPr>
          <w:rFonts w:ascii="Times New Roman" w:hAnsi="Times New Roman" w:cs="Times New Roman"/>
          <w:sz w:val="24"/>
          <w:szCs w:val="24"/>
        </w:rPr>
        <w:t xml:space="preserve"> </w:t>
      </w:r>
      <w:r w:rsidRPr="00344E55">
        <w:rPr>
          <w:rFonts w:ascii="Times New Roman" w:hAnsi="Times New Roman" w:cs="Times New Roman"/>
          <w:sz w:val="24"/>
          <w:szCs w:val="24"/>
        </w:rPr>
        <w:t>South Africa has had two State of</w:t>
      </w:r>
      <w:r w:rsidR="00D616B8" w:rsidRPr="00344E55">
        <w:rPr>
          <w:rFonts w:ascii="Times New Roman" w:hAnsi="Times New Roman" w:cs="Times New Roman"/>
          <w:sz w:val="24"/>
          <w:szCs w:val="24"/>
        </w:rPr>
        <w:t xml:space="preserve"> the Nation </w:t>
      </w:r>
      <w:r w:rsidR="002E7097" w:rsidRPr="00344E55">
        <w:rPr>
          <w:rFonts w:ascii="Times New Roman" w:hAnsi="Times New Roman" w:cs="Times New Roman"/>
          <w:sz w:val="24"/>
          <w:szCs w:val="24"/>
        </w:rPr>
        <w:t>Address (</w:t>
      </w:r>
      <w:proofErr w:type="spellStart"/>
      <w:r w:rsidR="00D616B8" w:rsidRPr="00344E55">
        <w:rPr>
          <w:rFonts w:ascii="Times New Roman" w:hAnsi="Times New Roman" w:cs="Times New Roman"/>
          <w:sz w:val="24"/>
          <w:szCs w:val="24"/>
        </w:rPr>
        <w:t>es</w:t>
      </w:r>
      <w:proofErr w:type="spellEnd"/>
      <w:r w:rsidR="00D616B8" w:rsidRPr="00344E55">
        <w:rPr>
          <w:rFonts w:ascii="Times New Roman" w:hAnsi="Times New Roman" w:cs="Times New Roman"/>
          <w:sz w:val="24"/>
          <w:szCs w:val="24"/>
        </w:rPr>
        <w:t xml:space="preserve">), </w:t>
      </w:r>
      <w:r w:rsidRPr="00344E55">
        <w:rPr>
          <w:rFonts w:ascii="Times New Roman" w:hAnsi="Times New Roman" w:cs="Times New Roman"/>
          <w:sz w:val="24"/>
          <w:szCs w:val="24"/>
        </w:rPr>
        <w:t xml:space="preserve">February </w:t>
      </w:r>
      <w:r w:rsidR="00D616B8" w:rsidRPr="00344E55">
        <w:rPr>
          <w:rFonts w:ascii="Times New Roman" w:hAnsi="Times New Roman" w:cs="Times New Roman"/>
          <w:sz w:val="24"/>
          <w:szCs w:val="24"/>
        </w:rPr>
        <w:t xml:space="preserve">and June 2019. </w:t>
      </w:r>
      <w:r w:rsidR="007D3FCB" w:rsidRPr="00344E55">
        <w:rPr>
          <w:rFonts w:ascii="Times New Roman" w:hAnsi="Times New Roman" w:cs="Times New Roman"/>
          <w:sz w:val="24"/>
          <w:szCs w:val="24"/>
        </w:rPr>
        <w:t xml:space="preserve">In both </w:t>
      </w:r>
      <w:r w:rsidR="00D14189" w:rsidRPr="00344E55">
        <w:rPr>
          <w:rFonts w:ascii="Times New Roman" w:hAnsi="Times New Roman" w:cs="Times New Roman"/>
          <w:sz w:val="24"/>
          <w:szCs w:val="24"/>
        </w:rPr>
        <w:t xml:space="preserve">SONAs, the President emphasised government commitment towards increasing local </w:t>
      </w:r>
      <w:r w:rsidR="00D14189" w:rsidRPr="00344E55">
        <w:rPr>
          <w:rFonts w:ascii="Times New Roman" w:eastAsia="Times New Roman" w:hAnsi="Times New Roman" w:cs="Times New Roman"/>
          <w:sz w:val="24"/>
          <w:szCs w:val="24"/>
          <w:lang w:eastAsia="en-ZA"/>
        </w:rPr>
        <w:t xml:space="preserve">demand through, among other things, increasing the proportion of local goods and services procured by both government and the private sector, import replacement measures and stressed the importance of small business incubation programmes. Also in terms of market access opportunities for small enterprises infrastructure has been given a special priority with R100 billion set aside to seed the Infrastructure Fund. Labour intensive sectors particularly agriculture and agro-processing </w:t>
      </w:r>
      <w:r w:rsidR="00D14189" w:rsidRPr="00344E55">
        <w:rPr>
          <w:rFonts w:ascii="Times New Roman" w:eastAsia="Times New Roman" w:hAnsi="Times New Roman" w:cs="Times New Roman"/>
          <w:sz w:val="24"/>
          <w:szCs w:val="24"/>
          <w:lang w:eastAsia="en-ZA"/>
        </w:rPr>
        <w:lastRenderedPageBreak/>
        <w:t xml:space="preserve">have consistently received special attention with R3.9 billion allocated to the Land Bank to support black commercial and emerging farmers. Business premises and access to affordable infrastructure for small enterprises remains one of the notable bottlenecks, the President stressed the significance of revamping industrial parks in townships and rural areas that have been lying idle for years. </w:t>
      </w:r>
    </w:p>
    <w:p w14:paraId="39E492F7" w14:textId="77777777" w:rsidR="00DC434F" w:rsidRPr="00344E55" w:rsidRDefault="00DC434F" w:rsidP="00243D11">
      <w:pPr>
        <w:pStyle w:val="Default"/>
        <w:spacing w:line="360" w:lineRule="auto"/>
        <w:contextualSpacing/>
        <w:jc w:val="both"/>
        <w:rPr>
          <w:color w:val="auto"/>
        </w:rPr>
      </w:pPr>
    </w:p>
    <w:p w14:paraId="10E6E45A" w14:textId="77777777" w:rsidR="004F4A00" w:rsidRPr="00344E55" w:rsidRDefault="004F4A00" w:rsidP="005200EB">
      <w:pPr>
        <w:pStyle w:val="Default"/>
        <w:spacing w:line="360" w:lineRule="auto"/>
        <w:contextualSpacing/>
        <w:jc w:val="both"/>
        <w:rPr>
          <w:b/>
          <w:color w:val="auto"/>
        </w:rPr>
      </w:pPr>
      <w:r w:rsidRPr="00344E55">
        <w:rPr>
          <w:b/>
          <w:color w:val="auto"/>
        </w:rPr>
        <w:t>4.5</w:t>
      </w:r>
      <w:r w:rsidRPr="00344E55">
        <w:rPr>
          <w:b/>
          <w:color w:val="auto"/>
        </w:rPr>
        <w:tab/>
        <w:t xml:space="preserve">Planned Policy </w:t>
      </w:r>
      <w:r w:rsidR="005F2BF0" w:rsidRPr="00344E55">
        <w:rPr>
          <w:b/>
          <w:color w:val="auto"/>
        </w:rPr>
        <w:t>Initiatives</w:t>
      </w:r>
    </w:p>
    <w:p w14:paraId="04D30347" w14:textId="77777777" w:rsidR="005F2BF0" w:rsidRPr="00344E55" w:rsidRDefault="002E7097" w:rsidP="005200EB">
      <w:pPr>
        <w:pStyle w:val="Default"/>
        <w:spacing w:line="360" w:lineRule="auto"/>
        <w:contextualSpacing/>
        <w:jc w:val="both"/>
        <w:rPr>
          <w:color w:val="auto"/>
        </w:rPr>
      </w:pPr>
      <w:r w:rsidRPr="00344E55">
        <w:rPr>
          <w:color w:val="auto"/>
        </w:rPr>
        <w:t>All</w:t>
      </w:r>
      <w:r w:rsidR="004F4A00" w:rsidRPr="00344E55">
        <w:rPr>
          <w:color w:val="auto"/>
        </w:rPr>
        <w:t xml:space="preserve"> planned policy init</w:t>
      </w:r>
      <w:r w:rsidR="007C4665" w:rsidRPr="00344E55">
        <w:rPr>
          <w:color w:val="auto"/>
        </w:rPr>
        <w:t xml:space="preserve">iatives </w:t>
      </w:r>
      <w:r w:rsidRPr="00344E55">
        <w:rPr>
          <w:color w:val="auto"/>
        </w:rPr>
        <w:t xml:space="preserve">as contained in table two (2) below had been earmarked for implementation during 2015/16, 2016/17, 2017/18 and </w:t>
      </w:r>
      <w:r w:rsidR="004F4A00" w:rsidRPr="00344E55">
        <w:rPr>
          <w:color w:val="auto"/>
        </w:rPr>
        <w:t>2018/19</w:t>
      </w:r>
      <w:r w:rsidRPr="00344E55">
        <w:rPr>
          <w:color w:val="auto"/>
        </w:rPr>
        <w:t>. However,</w:t>
      </w:r>
      <w:r w:rsidR="004F4A00" w:rsidRPr="00344E55">
        <w:rPr>
          <w:color w:val="auto"/>
        </w:rPr>
        <w:t xml:space="preserve"> </w:t>
      </w:r>
      <w:r w:rsidRPr="00344E55">
        <w:rPr>
          <w:color w:val="auto"/>
        </w:rPr>
        <w:t xml:space="preserve">they have all been deferred for implementation during 2019/20 </w:t>
      </w:r>
      <w:r w:rsidR="004F4A00" w:rsidRPr="00344E55">
        <w:rPr>
          <w:color w:val="auto"/>
        </w:rPr>
        <w:t xml:space="preserve">financial year. </w:t>
      </w:r>
      <w:r w:rsidR="00206A2C" w:rsidRPr="00344E55">
        <w:rPr>
          <w:color w:val="auto"/>
        </w:rPr>
        <w:t>It is important to note that, over and above these, the Portfolio Committee has implored the Department to look into Franchising regulations, Business Act, and other key policy measures falling outside DSBD purview such as PPPFA, BBBEE and charters, Co-operative Banks Act, IPAP and APAP to name the few.</w:t>
      </w:r>
    </w:p>
    <w:p w14:paraId="2E315F36" w14:textId="77777777" w:rsidR="002E7097" w:rsidRPr="00344E55" w:rsidRDefault="002E7097" w:rsidP="005200EB">
      <w:pPr>
        <w:pStyle w:val="Default"/>
        <w:spacing w:line="360" w:lineRule="auto"/>
        <w:contextualSpacing/>
        <w:jc w:val="both"/>
        <w:rPr>
          <w:color w:val="auto"/>
        </w:rPr>
      </w:pPr>
    </w:p>
    <w:p w14:paraId="371E58BC" w14:textId="77777777" w:rsidR="005F2BF0" w:rsidRPr="00344E55" w:rsidRDefault="005F2BF0" w:rsidP="005F2BF0">
      <w:pPr>
        <w:pStyle w:val="Default"/>
        <w:contextualSpacing/>
        <w:jc w:val="both"/>
        <w:rPr>
          <w:b/>
          <w:color w:val="auto"/>
        </w:rPr>
      </w:pPr>
      <w:r w:rsidRPr="00344E55">
        <w:rPr>
          <w:b/>
          <w:color w:val="auto"/>
        </w:rPr>
        <w:t xml:space="preserve">Table 2: </w:t>
      </w:r>
      <w:r w:rsidR="008E7226" w:rsidRPr="00344E55">
        <w:rPr>
          <w:b/>
          <w:color w:val="auto"/>
        </w:rPr>
        <w:t>Planned Policy Initia</w:t>
      </w:r>
      <w:r w:rsidR="00A70A0D" w:rsidRPr="00344E55">
        <w:rPr>
          <w:b/>
          <w:color w:val="auto"/>
        </w:rPr>
        <w:t>ti</w:t>
      </w:r>
      <w:r w:rsidR="008E7226" w:rsidRPr="00344E55">
        <w:rPr>
          <w:b/>
          <w:color w:val="auto"/>
        </w:rPr>
        <w:t>ves</w:t>
      </w:r>
    </w:p>
    <w:tbl>
      <w:tblPr>
        <w:tblW w:w="9530" w:type="dxa"/>
        <w:tblCellMar>
          <w:left w:w="0" w:type="dxa"/>
          <w:right w:w="0" w:type="dxa"/>
        </w:tblCellMar>
        <w:tblLook w:val="0420" w:firstRow="1" w:lastRow="0" w:firstColumn="0" w:lastColumn="0" w:noHBand="0" w:noVBand="1"/>
      </w:tblPr>
      <w:tblGrid>
        <w:gridCol w:w="2338"/>
        <w:gridCol w:w="7192"/>
      </w:tblGrid>
      <w:tr w:rsidR="005F2BF0" w:rsidRPr="00344E55" w14:paraId="68E3FEDC" w14:textId="77777777" w:rsidTr="00680941">
        <w:trPr>
          <w:trHeight w:val="351"/>
        </w:trPr>
        <w:tc>
          <w:tcPr>
            <w:tcW w:w="233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23EEE07" w14:textId="77777777" w:rsidR="005F2BF0" w:rsidRPr="00344E55" w:rsidRDefault="005F2BF0" w:rsidP="005F2BF0">
            <w:pPr>
              <w:spacing w:after="0" w:line="240"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b/>
                <w:bCs/>
                <w:smallCaps/>
                <w:sz w:val="24"/>
                <w:szCs w:val="24"/>
                <w:lang w:val="en-US" w:eastAsia="en-ZA"/>
              </w:rPr>
              <w:t>Policy</w:t>
            </w:r>
          </w:p>
        </w:tc>
        <w:tc>
          <w:tcPr>
            <w:tcW w:w="719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633E5231" w14:textId="77777777" w:rsidR="005F2BF0" w:rsidRPr="00344E55" w:rsidRDefault="005F2BF0" w:rsidP="005F2BF0">
            <w:pPr>
              <w:spacing w:after="0" w:line="240"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b/>
                <w:bCs/>
                <w:smallCaps/>
                <w:sz w:val="24"/>
                <w:szCs w:val="24"/>
                <w:lang w:val="en-US" w:eastAsia="en-ZA"/>
              </w:rPr>
              <w:t>Intent</w:t>
            </w:r>
          </w:p>
        </w:tc>
      </w:tr>
      <w:tr w:rsidR="005F2BF0" w:rsidRPr="00344E55" w14:paraId="4037E888" w14:textId="77777777" w:rsidTr="00F21C9D">
        <w:trPr>
          <w:trHeight w:val="1213"/>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B52EB1" w14:textId="77777777" w:rsidR="005F2BF0" w:rsidRPr="00344E55" w:rsidRDefault="005F2BF0" w:rsidP="002E7097">
            <w:pPr>
              <w:spacing w:after="0" w:line="240" w:lineRule="auto"/>
              <w:jc w:val="both"/>
              <w:rPr>
                <w:rFonts w:ascii="Times New Roman" w:eastAsia="Times New Roman" w:hAnsi="Times New Roman" w:cs="Times New Roman"/>
                <w:sz w:val="24"/>
                <w:szCs w:val="24"/>
                <w:lang w:eastAsia="en-ZA"/>
              </w:rPr>
            </w:pPr>
            <w:r w:rsidRPr="00344E55">
              <w:rPr>
                <w:rFonts w:ascii="Times New Roman" w:eastAsia="Calibri" w:hAnsi="Times New Roman" w:cs="Times New Roman"/>
                <w:b/>
                <w:bCs/>
                <w:smallCaps/>
                <w:sz w:val="24"/>
                <w:szCs w:val="24"/>
                <w:lang w:eastAsia="en-ZA"/>
              </w:rPr>
              <w:t xml:space="preserve">National Small </w:t>
            </w:r>
            <w:r w:rsidR="002E7097" w:rsidRPr="00344E55">
              <w:rPr>
                <w:rFonts w:ascii="Times New Roman" w:eastAsia="Calibri" w:hAnsi="Times New Roman" w:cs="Times New Roman"/>
                <w:b/>
                <w:bCs/>
                <w:smallCaps/>
                <w:sz w:val="24"/>
                <w:szCs w:val="24"/>
                <w:lang w:eastAsia="en-ZA"/>
              </w:rPr>
              <w:t>Enterprise</w:t>
            </w:r>
            <w:r w:rsidRPr="00344E55">
              <w:rPr>
                <w:rFonts w:ascii="Times New Roman" w:eastAsia="Calibri" w:hAnsi="Times New Roman" w:cs="Times New Roman"/>
                <w:b/>
                <w:bCs/>
                <w:smallCaps/>
                <w:sz w:val="24"/>
                <w:szCs w:val="24"/>
                <w:lang w:eastAsia="en-ZA"/>
              </w:rPr>
              <w:t xml:space="preserve"> Act (No. 102 </w:t>
            </w:r>
            <w:r w:rsidRPr="00344E55">
              <w:rPr>
                <w:rFonts w:ascii="Times New Roman" w:eastAsiaTheme="minorEastAsia" w:hAnsi="Times New Roman" w:cs="Times New Roman"/>
                <w:b/>
                <w:bCs/>
                <w:smallCaps/>
                <w:sz w:val="24"/>
                <w:szCs w:val="24"/>
                <w:lang w:eastAsia="en-ZA"/>
              </w:rPr>
              <w:t>of</w:t>
            </w:r>
            <w:r w:rsidRPr="00344E55">
              <w:rPr>
                <w:rFonts w:ascii="Times New Roman" w:eastAsia="Calibri" w:hAnsi="Times New Roman" w:cs="Times New Roman"/>
                <w:b/>
                <w:bCs/>
                <w:smallCaps/>
                <w:sz w:val="24"/>
                <w:szCs w:val="24"/>
                <w:lang w:eastAsia="en-ZA"/>
              </w:rPr>
              <w:t xml:space="preserve"> 1996</w:t>
            </w:r>
            <w:r w:rsidR="002E7097" w:rsidRPr="00344E55">
              <w:rPr>
                <w:rFonts w:ascii="Times New Roman" w:eastAsia="Calibri" w:hAnsi="Times New Roman" w:cs="Times New Roman"/>
                <w:b/>
                <w:bCs/>
                <w:smallCaps/>
                <w:sz w:val="24"/>
                <w:szCs w:val="24"/>
                <w:lang w:eastAsia="en-ZA"/>
              </w:rPr>
              <w:t>) as amended in 2003 and 2004</w:t>
            </w:r>
          </w:p>
        </w:tc>
        <w:tc>
          <w:tcPr>
            <w:tcW w:w="71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CFDEF" w14:textId="77777777" w:rsidR="002E7097" w:rsidRPr="00344E55" w:rsidRDefault="002E7097" w:rsidP="00F80D2E">
            <w:pPr>
              <w:pStyle w:val="ListParagraph"/>
              <w:numPr>
                <w:ilvl w:val="0"/>
                <w:numId w:val="23"/>
              </w:numPr>
              <w:spacing w:line="360" w:lineRule="auto"/>
              <w:jc w:val="both"/>
              <w:rPr>
                <w:lang w:eastAsia="en-ZA"/>
              </w:rPr>
            </w:pPr>
            <w:r w:rsidRPr="00344E55">
              <w:rPr>
                <w:rFonts w:eastAsia="Calibri"/>
                <w:bCs/>
                <w:lang w:eastAsia="en-ZA"/>
              </w:rPr>
              <w:t>The Department is in the process of amending of the National Small Business Act (No. 102 of 1996) and anticipate submitting a bill to the Executive Authority during the course of 2019 / 20 financial year. To date amendments to Schedule 1 of the National Small En</w:t>
            </w:r>
            <w:r w:rsidR="007C4665" w:rsidRPr="00344E55">
              <w:rPr>
                <w:rFonts w:eastAsia="Calibri"/>
                <w:bCs/>
                <w:lang w:eastAsia="en-ZA"/>
              </w:rPr>
              <w:t>terprises Act has been gazetted;</w:t>
            </w:r>
          </w:p>
          <w:p w14:paraId="2536BE86" w14:textId="77777777" w:rsidR="005F2BF0" w:rsidRPr="00344E55" w:rsidRDefault="005F2BF0" w:rsidP="002E7097">
            <w:pPr>
              <w:jc w:val="both"/>
              <w:rPr>
                <w:rFonts w:ascii="Times New Roman" w:hAnsi="Times New Roman" w:cs="Times New Roman"/>
                <w:sz w:val="24"/>
                <w:szCs w:val="24"/>
                <w:lang w:eastAsia="en-ZA"/>
              </w:rPr>
            </w:pPr>
          </w:p>
        </w:tc>
      </w:tr>
      <w:tr w:rsidR="005F2BF0" w:rsidRPr="00344E55" w14:paraId="37FDD73E" w14:textId="77777777" w:rsidTr="00F21C9D">
        <w:trPr>
          <w:trHeight w:val="1780"/>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E078AE" w14:textId="77777777" w:rsidR="005F2BF0" w:rsidRPr="00344E55" w:rsidRDefault="005F2BF0" w:rsidP="005F2BF0">
            <w:pPr>
              <w:spacing w:after="0" w:line="240" w:lineRule="auto"/>
              <w:jc w:val="both"/>
              <w:rPr>
                <w:rFonts w:ascii="Times New Roman" w:eastAsia="Times New Roman" w:hAnsi="Times New Roman" w:cs="Times New Roman"/>
                <w:sz w:val="24"/>
                <w:szCs w:val="24"/>
                <w:lang w:eastAsia="en-ZA"/>
              </w:rPr>
            </w:pPr>
            <w:r w:rsidRPr="00344E55">
              <w:rPr>
                <w:rFonts w:ascii="Times New Roman" w:eastAsiaTheme="minorEastAsia" w:hAnsi="Times New Roman" w:cs="Times New Roman"/>
                <w:b/>
                <w:bCs/>
                <w:smallCaps/>
                <w:sz w:val="24"/>
                <w:szCs w:val="24"/>
                <w:lang w:eastAsia="en-ZA"/>
              </w:rPr>
              <w:t>Integrated Strategy on the Promotion of Entrepreneurship and Small Enterprises</w:t>
            </w:r>
          </w:p>
        </w:tc>
        <w:tc>
          <w:tcPr>
            <w:tcW w:w="71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828BCC" w14:textId="77777777" w:rsidR="00E079AF" w:rsidRPr="00344E55" w:rsidRDefault="00E079AF" w:rsidP="00F80D2E">
            <w:pPr>
              <w:pStyle w:val="ListParagraph"/>
              <w:numPr>
                <w:ilvl w:val="0"/>
                <w:numId w:val="23"/>
              </w:numPr>
              <w:spacing w:line="360" w:lineRule="auto"/>
              <w:jc w:val="both"/>
              <w:rPr>
                <w:lang w:eastAsia="en-ZA"/>
              </w:rPr>
            </w:pPr>
            <w:r w:rsidRPr="00344E55">
              <w:rPr>
                <w:rFonts w:eastAsia="Calibri"/>
                <w:lang w:eastAsia="en-ZA"/>
              </w:rPr>
              <w:t xml:space="preserve">The DSBD is reviewing the Integrated Strategy on the Promotion of Entrepreneurship and Small Enterprises, in order for the strategy to remain relevant and to accommodate recent economic </w:t>
            </w:r>
            <w:r w:rsidR="007C4665" w:rsidRPr="00344E55">
              <w:rPr>
                <w:rFonts w:eastAsia="Calibri"/>
                <w:lang w:eastAsia="en-ZA"/>
              </w:rPr>
              <w:t>activities and business cycles;</w:t>
            </w:r>
          </w:p>
          <w:p w14:paraId="0439C9C2" w14:textId="77777777" w:rsidR="005F2BF0" w:rsidRPr="00344E55" w:rsidRDefault="005F2BF0" w:rsidP="002E7097">
            <w:pPr>
              <w:jc w:val="both"/>
              <w:rPr>
                <w:rFonts w:ascii="Times New Roman" w:hAnsi="Times New Roman" w:cs="Times New Roman"/>
                <w:sz w:val="24"/>
                <w:szCs w:val="24"/>
                <w:lang w:eastAsia="en-ZA"/>
              </w:rPr>
            </w:pPr>
          </w:p>
        </w:tc>
      </w:tr>
      <w:tr w:rsidR="005F2BF0" w:rsidRPr="00344E55" w14:paraId="08B033A0" w14:textId="77777777" w:rsidTr="00F21C9D">
        <w:trPr>
          <w:trHeight w:val="1186"/>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372F1B" w14:textId="77777777" w:rsidR="005F2BF0" w:rsidRPr="00344E55" w:rsidRDefault="005F2BF0" w:rsidP="005F2BF0">
            <w:pPr>
              <w:spacing w:after="0" w:line="240" w:lineRule="auto"/>
              <w:jc w:val="both"/>
              <w:rPr>
                <w:rFonts w:ascii="Times New Roman" w:eastAsia="Times New Roman" w:hAnsi="Times New Roman" w:cs="Times New Roman"/>
                <w:sz w:val="24"/>
                <w:szCs w:val="24"/>
                <w:lang w:eastAsia="en-ZA"/>
              </w:rPr>
            </w:pPr>
            <w:r w:rsidRPr="00344E55">
              <w:rPr>
                <w:rFonts w:ascii="Times New Roman" w:eastAsiaTheme="minorEastAsia" w:hAnsi="Times New Roman" w:cs="Times New Roman"/>
                <w:b/>
                <w:bCs/>
                <w:smallCaps/>
                <w:sz w:val="24"/>
                <w:szCs w:val="24"/>
                <w:lang w:eastAsia="en-ZA"/>
              </w:rPr>
              <w:t>Midterm Review of the Co-operatives Strategy (2012-20220:</w:t>
            </w:r>
          </w:p>
        </w:tc>
        <w:tc>
          <w:tcPr>
            <w:tcW w:w="71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16E086" w14:textId="77777777" w:rsidR="005F2BF0" w:rsidRPr="00344E55" w:rsidRDefault="00E079AF" w:rsidP="00F80D2E">
            <w:pPr>
              <w:pStyle w:val="ListParagraph"/>
              <w:numPr>
                <w:ilvl w:val="0"/>
                <w:numId w:val="23"/>
              </w:numPr>
              <w:spacing w:line="360" w:lineRule="auto"/>
              <w:jc w:val="both"/>
              <w:rPr>
                <w:lang w:eastAsia="en-ZA"/>
              </w:rPr>
            </w:pPr>
            <w:r w:rsidRPr="00344E55">
              <w:rPr>
                <w:rFonts w:eastAsia="Calibri"/>
                <w:lang w:eastAsia="en-ZA"/>
              </w:rPr>
              <w:t xml:space="preserve">The DSBD will evaluate the Co-operatives Strategy (2012-2022) and improve on the implementation plan and will inform the development of an integrated approach to co-operatives </w:t>
            </w:r>
            <w:r w:rsidRPr="00344E55">
              <w:rPr>
                <w:rFonts w:eastAsia="Calibri"/>
                <w:lang w:eastAsia="en-ZA"/>
              </w:rPr>
              <w:lastRenderedPageBreak/>
              <w:t>development.</w:t>
            </w:r>
          </w:p>
        </w:tc>
      </w:tr>
    </w:tbl>
    <w:p w14:paraId="6AB9246A" w14:textId="77777777" w:rsidR="005F2BF0" w:rsidRPr="00344E55" w:rsidRDefault="005F2BF0" w:rsidP="005F2BF0">
      <w:pPr>
        <w:pStyle w:val="Default"/>
        <w:contextualSpacing/>
        <w:jc w:val="both"/>
        <w:rPr>
          <w:b/>
          <w:color w:val="auto"/>
        </w:rPr>
      </w:pPr>
      <w:r w:rsidRPr="00344E55">
        <w:rPr>
          <w:b/>
          <w:color w:val="auto"/>
        </w:rPr>
        <w:lastRenderedPageBreak/>
        <w:t xml:space="preserve">Source: DSBD </w:t>
      </w:r>
      <w:r w:rsidR="007C4665" w:rsidRPr="00344E55">
        <w:rPr>
          <w:b/>
          <w:color w:val="auto"/>
        </w:rPr>
        <w:t>2019/2020 Annual Performance Plan</w:t>
      </w:r>
    </w:p>
    <w:p w14:paraId="5BB6F335" w14:textId="77777777" w:rsidR="00A80249" w:rsidRPr="00344E55" w:rsidRDefault="00A80249" w:rsidP="00A80249">
      <w:pPr>
        <w:pStyle w:val="Default"/>
        <w:spacing w:line="360" w:lineRule="auto"/>
        <w:contextualSpacing/>
        <w:jc w:val="both"/>
        <w:rPr>
          <w:b/>
          <w:color w:val="auto"/>
        </w:rPr>
      </w:pPr>
      <w:r w:rsidRPr="00344E55">
        <w:rPr>
          <w:b/>
          <w:color w:val="auto"/>
        </w:rPr>
        <w:t>5.</w:t>
      </w:r>
      <w:r w:rsidRPr="00344E55">
        <w:rPr>
          <w:b/>
          <w:color w:val="auto"/>
        </w:rPr>
        <w:tab/>
        <w:t>BUDGET ANALYSIS</w:t>
      </w:r>
    </w:p>
    <w:p w14:paraId="149D13D2" w14:textId="77777777" w:rsidR="00A80249" w:rsidRPr="00344E55" w:rsidRDefault="00A80249" w:rsidP="00A80249">
      <w:pPr>
        <w:pStyle w:val="Default"/>
        <w:spacing w:line="360" w:lineRule="auto"/>
        <w:contextualSpacing/>
        <w:jc w:val="both"/>
        <w:rPr>
          <w:b/>
          <w:color w:val="auto"/>
        </w:rPr>
      </w:pPr>
    </w:p>
    <w:p w14:paraId="690E116A" w14:textId="77777777" w:rsidR="005200EB" w:rsidRPr="00344E55" w:rsidRDefault="00FB344C" w:rsidP="00A80249">
      <w:pPr>
        <w:pStyle w:val="Default"/>
        <w:spacing w:line="360" w:lineRule="auto"/>
        <w:contextualSpacing/>
        <w:jc w:val="both"/>
        <w:rPr>
          <w:b/>
          <w:color w:val="auto"/>
        </w:rPr>
      </w:pPr>
      <w:r w:rsidRPr="00344E55">
        <w:rPr>
          <w:color w:val="auto"/>
        </w:rPr>
        <w:t xml:space="preserve">The Department’s total budget allocation for Medium </w:t>
      </w:r>
      <w:r w:rsidR="008D2D1C" w:rsidRPr="00344E55">
        <w:rPr>
          <w:color w:val="auto"/>
        </w:rPr>
        <w:t xml:space="preserve">Term </w:t>
      </w:r>
      <w:r w:rsidRPr="00344E55">
        <w:rPr>
          <w:color w:val="auto"/>
        </w:rPr>
        <w:t xml:space="preserve">Expenditure </w:t>
      </w:r>
      <w:r w:rsidR="00206A2C" w:rsidRPr="00344E55">
        <w:rPr>
          <w:color w:val="auto"/>
        </w:rPr>
        <w:t xml:space="preserve">Framework </w:t>
      </w:r>
      <w:r w:rsidR="008D2D1C" w:rsidRPr="00344E55">
        <w:rPr>
          <w:color w:val="auto"/>
        </w:rPr>
        <w:t xml:space="preserve">allocation as shown on table </w:t>
      </w:r>
      <w:r w:rsidR="00722366" w:rsidRPr="00344E55">
        <w:rPr>
          <w:color w:val="auto"/>
        </w:rPr>
        <w:t>3</w:t>
      </w:r>
      <w:r w:rsidR="005200EB" w:rsidRPr="00344E55">
        <w:rPr>
          <w:color w:val="auto"/>
        </w:rPr>
        <w:t xml:space="preserve"> below </w:t>
      </w:r>
      <w:r w:rsidR="008D2D1C" w:rsidRPr="00344E55">
        <w:rPr>
          <w:color w:val="auto"/>
        </w:rPr>
        <w:t xml:space="preserve">is R8 billion. </w:t>
      </w:r>
      <w:proofErr w:type="gramStart"/>
      <w:r w:rsidR="008D2D1C" w:rsidRPr="00344E55">
        <w:rPr>
          <w:color w:val="auto"/>
        </w:rPr>
        <w:t>The total</w:t>
      </w:r>
      <w:r w:rsidR="005200EB" w:rsidRPr="00344E55">
        <w:rPr>
          <w:color w:val="auto"/>
        </w:rPr>
        <w:t xml:space="preserve"> allocation, </w:t>
      </w:r>
      <w:r w:rsidR="00431C20" w:rsidRPr="00344E55">
        <w:rPr>
          <w:color w:val="auto"/>
        </w:rPr>
        <w:t xml:space="preserve">which includes transfers to </w:t>
      </w:r>
      <w:r w:rsidR="005200EB" w:rsidRPr="00344E55">
        <w:rPr>
          <w:color w:val="auto"/>
        </w:rPr>
        <w:t>Small Enterprise Development Agency</w:t>
      </w:r>
      <w:r w:rsidR="00983130" w:rsidRPr="00344E55">
        <w:rPr>
          <w:color w:val="auto"/>
        </w:rPr>
        <w:t>,</w:t>
      </w:r>
      <w:r w:rsidR="008D2D1C" w:rsidRPr="00344E55">
        <w:rPr>
          <w:color w:val="auto"/>
        </w:rPr>
        <w:t xml:space="preserve"> and </w:t>
      </w:r>
      <w:r w:rsidR="00983130" w:rsidRPr="00344E55">
        <w:rPr>
          <w:color w:val="auto"/>
        </w:rPr>
        <w:t xml:space="preserve">a </w:t>
      </w:r>
      <w:r w:rsidR="00A80249" w:rsidRPr="00344E55">
        <w:rPr>
          <w:color w:val="auto"/>
        </w:rPr>
        <w:t xml:space="preserve">R1 billion </w:t>
      </w:r>
      <w:r w:rsidR="00983130" w:rsidRPr="00344E55">
        <w:rPr>
          <w:color w:val="auto"/>
        </w:rPr>
        <w:t>portion of the Small Bus</w:t>
      </w:r>
      <w:r w:rsidR="00206A2C" w:rsidRPr="00344E55">
        <w:rPr>
          <w:color w:val="auto"/>
        </w:rPr>
        <w:t>iness and Innovation Fund</w:t>
      </w:r>
      <w:r w:rsidR="00983130" w:rsidRPr="00344E55">
        <w:rPr>
          <w:color w:val="auto"/>
        </w:rPr>
        <w:t xml:space="preserve"> announced by the President and the Minister of Finance in February 2018.</w:t>
      </w:r>
      <w:proofErr w:type="gramEnd"/>
      <w:r w:rsidR="00A80249" w:rsidRPr="00344E55">
        <w:rPr>
          <w:color w:val="auto"/>
        </w:rPr>
        <w:t xml:space="preserve"> </w:t>
      </w:r>
      <w:r w:rsidR="00983130" w:rsidRPr="00344E55">
        <w:rPr>
          <w:rFonts w:eastAsia="Times New Roman"/>
          <w:color w:val="auto"/>
          <w:lang w:eastAsia="en-ZA"/>
        </w:rPr>
        <w:t>Th</w:t>
      </w:r>
      <w:r w:rsidR="00A80249" w:rsidRPr="00344E55">
        <w:rPr>
          <w:color w:val="auto"/>
        </w:rPr>
        <w:t xml:space="preserve">e objective of the fund is to </w:t>
      </w:r>
      <w:r w:rsidR="00983130" w:rsidRPr="00344E55">
        <w:rPr>
          <w:rFonts w:eastAsia="Times New Roman"/>
          <w:color w:val="auto"/>
          <w:lang w:eastAsia="en-ZA"/>
        </w:rPr>
        <w:t>build on best practices and will largely be directed at innovative start-ups with a reasonable prospect of success.</w:t>
      </w:r>
      <w:r w:rsidR="00A80249" w:rsidRPr="00344E55">
        <w:rPr>
          <w:color w:val="auto"/>
        </w:rPr>
        <w:t xml:space="preserve"> It </w:t>
      </w:r>
      <w:proofErr w:type="spellStart"/>
      <w:r w:rsidR="00A80249" w:rsidRPr="00344E55">
        <w:rPr>
          <w:color w:val="auto"/>
        </w:rPr>
        <w:t>wi</w:t>
      </w:r>
      <w:r w:rsidR="00983130" w:rsidRPr="00344E55">
        <w:rPr>
          <w:color w:val="auto"/>
          <w:lang w:val="en"/>
        </w:rPr>
        <w:t>ll</w:t>
      </w:r>
      <w:proofErr w:type="spellEnd"/>
      <w:r w:rsidR="00983130" w:rsidRPr="00344E55">
        <w:rPr>
          <w:color w:val="auto"/>
          <w:lang w:val="en"/>
        </w:rPr>
        <w:t xml:space="preserve"> receive R3.2 billion over the medium-term, which it will lend to small business intermediaries, such as fund managers and incubators.  The intermediaries will fund and support ideation and start-up companies and small businesses focusing on innovation</w:t>
      </w:r>
      <w:r w:rsidR="00A80249" w:rsidRPr="00344E55">
        <w:rPr>
          <w:color w:val="auto"/>
          <w:lang w:val="en"/>
        </w:rPr>
        <w:t>. The total DSBD allocation therefore will in</w:t>
      </w:r>
      <w:r w:rsidR="008D2D1C" w:rsidRPr="00344E55">
        <w:rPr>
          <w:color w:val="auto"/>
        </w:rPr>
        <w:t xml:space="preserve">crease from R1.5 </w:t>
      </w:r>
      <w:proofErr w:type="gramStart"/>
      <w:r w:rsidR="008D2D1C" w:rsidRPr="00344E55">
        <w:rPr>
          <w:color w:val="auto"/>
        </w:rPr>
        <w:t>billion i</w:t>
      </w:r>
      <w:r w:rsidR="00722366" w:rsidRPr="00344E55">
        <w:rPr>
          <w:color w:val="auto"/>
        </w:rPr>
        <w:t>n 201</w:t>
      </w:r>
      <w:r w:rsidR="008D2D1C" w:rsidRPr="00344E55">
        <w:rPr>
          <w:color w:val="auto"/>
        </w:rPr>
        <w:t>8/19</w:t>
      </w:r>
      <w:proofErr w:type="gramEnd"/>
      <w:r w:rsidR="008D2D1C" w:rsidRPr="00344E55">
        <w:rPr>
          <w:color w:val="auto"/>
        </w:rPr>
        <w:t xml:space="preserve"> to </w:t>
      </w:r>
      <w:r w:rsidR="00722366" w:rsidRPr="00344E55">
        <w:rPr>
          <w:color w:val="auto"/>
        </w:rPr>
        <w:t>R2.</w:t>
      </w:r>
      <w:r w:rsidR="008D2D1C" w:rsidRPr="00344E55">
        <w:rPr>
          <w:color w:val="auto"/>
        </w:rPr>
        <w:t>5</w:t>
      </w:r>
      <w:r w:rsidR="00722366" w:rsidRPr="00344E55">
        <w:rPr>
          <w:color w:val="auto"/>
        </w:rPr>
        <w:t xml:space="preserve"> billion </w:t>
      </w:r>
      <w:r w:rsidR="008D2D1C" w:rsidRPr="00344E55">
        <w:rPr>
          <w:color w:val="auto"/>
        </w:rPr>
        <w:t>during the current</w:t>
      </w:r>
      <w:r w:rsidR="00722366" w:rsidRPr="00344E55">
        <w:rPr>
          <w:color w:val="auto"/>
        </w:rPr>
        <w:t xml:space="preserve"> financial year.</w:t>
      </w:r>
      <w:r w:rsidR="005200EB" w:rsidRPr="00344E55">
        <w:rPr>
          <w:color w:val="auto"/>
        </w:rPr>
        <w:t xml:space="preserve"> The Department’s budget is </w:t>
      </w:r>
      <w:r w:rsidR="00722366" w:rsidRPr="00344E55">
        <w:rPr>
          <w:color w:val="auto"/>
        </w:rPr>
        <w:t>dispersed</w:t>
      </w:r>
      <w:r w:rsidR="005200EB" w:rsidRPr="00344E55">
        <w:rPr>
          <w:color w:val="auto"/>
        </w:rPr>
        <w:t xml:space="preserve"> across the following </w:t>
      </w:r>
      <w:r w:rsidR="00722366" w:rsidRPr="00344E55">
        <w:rPr>
          <w:color w:val="auto"/>
        </w:rPr>
        <w:t xml:space="preserve">four </w:t>
      </w:r>
      <w:r w:rsidR="005200EB" w:rsidRPr="00344E55">
        <w:rPr>
          <w:color w:val="auto"/>
        </w:rPr>
        <w:t>programmes: -</w:t>
      </w:r>
    </w:p>
    <w:p w14:paraId="5BBEFD34" w14:textId="77777777" w:rsidR="005200EB" w:rsidRPr="00344E55" w:rsidRDefault="005200EB" w:rsidP="00A80249">
      <w:pPr>
        <w:pStyle w:val="Default"/>
        <w:spacing w:line="360" w:lineRule="auto"/>
        <w:contextualSpacing/>
        <w:jc w:val="both"/>
        <w:rPr>
          <w:color w:val="auto"/>
        </w:rPr>
      </w:pPr>
    </w:p>
    <w:p w14:paraId="49048ABB" w14:textId="77777777" w:rsidR="005200EB" w:rsidRPr="00344E55" w:rsidRDefault="005200EB" w:rsidP="00F80D2E">
      <w:pPr>
        <w:pStyle w:val="Default"/>
        <w:numPr>
          <w:ilvl w:val="0"/>
          <w:numId w:val="6"/>
        </w:numPr>
        <w:spacing w:line="360" w:lineRule="auto"/>
        <w:contextualSpacing/>
        <w:jc w:val="both"/>
        <w:rPr>
          <w:color w:val="auto"/>
        </w:rPr>
      </w:pPr>
      <w:r w:rsidRPr="00344E55">
        <w:rPr>
          <w:color w:val="auto"/>
        </w:rPr>
        <w:t>Programme 1: Administration;</w:t>
      </w:r>
    </w:p>
    <w:p w14:paraId="4E4B15C7" w14:textId="77777777" w:rsidR="005200EB" w:rsidRPr="00344E55" w:rsidRDefault="005200EB" w:rsidP="00F80D2E">
      <w:pPr>
        <w:pStyle w:val="Default"/>
        <w:numPr>
          <w:ilvl w:val="0"/>
          <w:numId w:val="6"/>
        </w:numPr>
        <w:spacing w:line="360" w:lineRule="auto"/>
        <w:contextualSpacing/>
        <w:jc w:val="both"/>
        <w:rPr>
          <w:color w:val="auto"/>
        </w:rPr>
      </w:pPr>
      <w:r w:rsidRPr="00344E55">
        <w:rPr>
          <w:color w:val="auto"/>
        </w:rPr>
        <w:t xml:space="preserve">Programme 2: </w:t>
      </w:r>
      <w:r w:rsidR="008C4F1D" w:rsidRPr="00344E55">
        <w:rPr>
          <w:color w:val="auto"/>
        </w:rPr>
        <w:t>Sector Policy and Research;</w:t>
      </w:r>
    </w:p>
    <w:p w14:paraId="318F5813" w14:textId="77777777" w:rsidR="008C4F1D" w:rsidRPr="00344E55" w:rsidRDefault="005200EB" w:rsidP="00F80D2E">
      <w:pPr>
        <w:pStyle w:val="Default"/>
        <w:numPr>
          <w:ilvl w:val="0"/>
          <w:numId w:val="6"/>
        </w:numPr>
        <w:spacing w:line="360" w:lineRule="auto"/>
        <w:contextualSpacing/>
        <w:jc w:val="both"/>
        <w:rPr>
          <w:color w:val="auto"/>
        </w:rPr>
      </w:pPr>
      <w:r w:rsidRPr="00344E55">
        <w:rPr>
          <w:color w:val="auto"/>
        </w:rPr>
        <w:t>Programme 3</w:t>
      </w:r>
      <w:r w:rsidR="008C4F1D" w:rsidRPr="00344E55">
        <w:rPr>
          <w:color w:val="auto"/>
        </w:rPr>
        <w:t>: Integrated Co-operatives Development and;</w:t>
      </w:r>
    </w:p>
    <w:p w14:paraId="63329024" w14:textId="77777777" w:rsidR="005200EB" w:rsidRPr="00344E55" w:rsidRDefault="008C4F1D" w:rsidP="00F80D2E">
      <w:pPr>
        <w:pStyle w:val="Default"/>
        <w:numPr>
          <w:ilvl w:val="0"/>
          <w:numId w:val="6"/>
        </w:numPr>
        <w:spacing w:line="360" w:lineRule="auto"/>
        <w:contextualSpacing/>
        <w:jc w:val="both"/>
        <w:rPr>
          <w:color w:val="auto"/>
        </w:rPr>
      </w:pPr>
      <w:r w:rsidRPr="00344E55">
        <w:rPr>
          <w:color w:val="auto"/>
        </w:rPr>
        <w:t>Programme 4: Enterprise Development and Entrepreneurship.</w:t>
      </w:r>
    </w:p>
    <w:p w14:paraId="25D09A9C" w14:textId="77777777" w:rsidR="005200EB" w:rsidRPr="00344E55" w:rsidRDefault="005200EB" w:rsidP="00A80249">
      <w:pPr>
        <w:pStyle w:val="Default"/>
        <w:spacing w:line="360" w:lineRule="auto"/>
        <w:contextualSpacing/>
        <w:jc w:val="both"/>
        <w:rPr>
          <w:color w:val="auto"/>
        </w:rPr>
      </w:pPr>
    </w:p>
    <w:p w14:paraId="4EC80ADE" w14:textId="77777777" w:rsidR="005200EB" w:rsidRPr="00344E55" w:rsidRDefault="00722366" w:rsidP="00DE3B47">
      <w:pPr>
        <w:pStyle w:val="Default"/>
        <w:contextualSpacing/>
        <w:jc w:val="both"/>
        <w:rPr>
          <w:b/>
          <w:color w:val="auto"/>
        </w:rPr>
      </w:pPr>
      <w:r w:rsidRPr="00344E55">
        <w:rPr>
          <w:b/>
          <w:color w:val="auto"/>
        </w:rPr>
        <w:t>Table 3</w:t>
      </w:r>
      <w:r w:rsidR="005200EB" w:rsidRPr="00344E55">
        <w:rPr>
          <w:b/>
          <w:color w:val="auto"/>
        </w:rPr>
        <w:t xml:space="preserve">: </w:t>
      </w:r>
      <w:r w:rsidR="00CD5F80" w:rsidRPr="00344E55">
        <w:rPr>
          <w:b/>
          <w:color w:val="auto"/>
        </w:rPr>
        <w:t xml:space="preserve">Overview of </w:t>
      </w:r>
      <w:r w:rsidR="00FB344C" w:rsidRPr="00344E55">
        <w:rPr>
          <w:b/>
          <w:color w:val="auto"/>
        </w:rPr>
        <w:t>2019/2020 Budget and MTEF Estimates</w:t>
      </w:r>
    </w:p>
    <w:tbl>
      <w:tblPr>
        <w:tblW w:w="8900" w:type="dxa"/>
        <w:tblLayout w:type="fixed"/>
        <w:tblCellMar>
          <w:left w:w="0" w:type="dxa"/>
          <w:right w:w="0" w:type="dxa"/>
        </w:tblCellMar>
        <w:tblLook w:val="0600" w:firstRow="0" w:lastRow="0" w:firstColumn="0" w:lastColumn="0" w:noHBand="1" w:noVBand="1"/>
      </w:tblPr>
      <w:tblGrid>
        <w:gridCol w:w="1790"/>
        <w:gridCol w:w="990"/>
        <w:gridCol w:w="1260"/>
        <w:gridCol w:w="1170"/>
        <w:gridCol w:w="1260"/>
        <w:gridCol w:w="1226"/>
        <w:gridCol w:w="1204"/>
      </w:tblGrid>
      <w:tr w:rsidR="00CD5F80" w:rsidRPr="00344E55" w14:paraId="2633CBC4" w14:textId="77777777" w:rsidTr="00F21C9D">
        <w:trPr>
          <w:trHeight w:val="326"/>
        </w:trPr>
        <w:tc>
          <w:tcPr>
            <w:tcW w:w="1790" w:type="dxa"/>
            <w:vMerge w:val="restart"/>
            <w:tcBorders>
              <w:top w:val="single" w:sz="8" w:space="0" w:color="000000"/>
              <w:left w:val="single" w:sz="8" w:space="0" w:color="000000"/>
              <w:bottom w:val="single" w:sz="8" w:space="0" w:color="000000"/>
              <w:right w:val="single" w:sz="8" w:space="0" w:color="000000"/>
            </w:tcBorders>
            <w:shd w:val="clear" w:color="auto" w:fill="92D050"/>
            <w:tcMar>
              <w:top w:w="14" w:type="dxa"/>
              <w:left w:w="14" w:type="dxa"/>
              <w:bottom w:w="0" w:type="dxa"/>
              <w:right w:w="14" w:type="dxa"/>
            </w:tcMar>
            <w:vAlign w:val="bottom"/>
            <w:hideMark/>
          </w:tcPr>
          <w:p w14:paraId="6B55C954" w14:textId="77777777" w:rsidR="00CD5F80" w:rsidRPr="00344E55" w:rsidRDefault="00D626F1" w:rsidP="00D626F1">
            <w:pPr>
              <w:spacing w:after="0" w:line="240" w:lineRule="auto"/>
              <w:contextualSpacing/>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PROGRAMME</w:t>
            </w:r>
          </w:p>
        </w:tc>
        <w:tc>
          <w:tcPr>
            <w:tcW w:w="990" w:type="dxa"/>
            <w:tcBorders>
              <w:top w:val="single" w:sz="8" w:space="0" w:color="000000"/>
              <w:left w:val="single" w:sz="8" w:space="0" w:color="000000"/>
              <w:bottom w:val="single" w:sz="8" w:space="0" w:color="000000"/>
              <w:right w:val="single" w:sz="8" w:space="0" w:color="000000"/>
            </w:tcBorders>
            <w:shd w:val="clear" w:color="auto" w:fill="92D050"/>
            <w:tcMar>
              <w:top w:w="14" w:type="dxa"/>
              <w:left w:w="14" w:type="dxa"/>
              <w:bottom w:w="0" w:type="dxa"/>
              <w:right w:w="14" w:type="dxa"/>
            </w:tcMar>
            <w:vAlign w:val="bottom"/>
            <w:hideMark/>
          </w:tcPr>
          <w:p w14:paraId="55197DD2"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AUDITED OUTCOME</w:t>
            </w:r>
          </w:p>
        </w:tc>
        <w:tc>
          <w:tcPr>
            <w:tcW w:w="1260" w:type="dxa"/>
            <w:tcBorders>
              <w:top w:val="single" w:sz="8" w:space="0" w:color="000000"/>
              <w:left w:val="single" w:sz="8" w:space="0" w:color="000000"/>
              <w:bottom w:val="single" w:sz="8" w:space="0" w:color="000000"/>
              <w:right w:val="single" w:sz="8" w:space="0" w:color="000000"/>
            </w:tcBorders>
            <w:shd w:val="clear" w:color="auto" w:fill="92D050"/>
            <w:tcMar>
              <w:top w:w="14" w:type="dxa"/>
              <w:left w:w="14" w:type="dxa"/>
              <w:bottom w:w="0" w:type="dxa"/>
              <w:right w:w="14" w:type="dxa"/>
            </w:tcMar>
            <w:vAlign w:val="bottom"/>
            <w:hideMark/>
          </w:tcPr>
          <w:p w14:paraId="4DFCC71E"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MAIN APPROPRIATION</w:t>
            </w:r>
          </w:p>
        </w:tc>
        <w:tc>
          <w:tcPr>
            <w:tcW w:w="3656" w:type="dxa"/>
            <w:gridSpan w:val="3"/>
            <w:tcBorders>
              <w:top w:val="single" w:sz="8" w:space="0" w:color="000000"/>
              <w:left w:val="single" w:sz="8" w:space="0" w:color="000000"/>
              <w:bottom w:val="single" w:sz="8" w:space="0" w:color="000000"/>
              <w:right w:val="single" w:sz="8" w:space="0" w:color="000000"/>
            </w:tcBorders>
            <w:shd w:val="clear" w:color="auto" w:fill="92D050"/>
            <w:tcMar>
              <w:top w:w="14" w:type="dxa"/>
              <w:left w:w="14" w:type="dxa"/>
              <w:bottom w:w="0" w:type="dxa"/>
              <w:right w:w="14" w:type="dxa"/>
            </w:tcMar>
            <w:vAlign w:val="bottom"/>
            <w:hideMark/>
          </w:tcPr>
          <w:p w14:paraId="756F9DF7"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MTEF</w:t>
            </w:r>
          </w:p>
        </w:tc>
        <w:tc>
          <w:tcPr>
            <w:tcW w:w="1204" w:type="dxa"/>
            <w:tcBorders>
              <w:top w:val="single" w:sz="8" w:space="0" w:color="000000"/>
              <w:left w:val="single" w:sz="8" w:space="0" w:color="000000"/>
              <w:bottom w:val="single" w:sz="8" w:space="0" w:color="000000"/>
              <w:right w:val="single" w:sz="8" w:space="0" w:color="000000"/>
            </w:tcBorders>
            <w:shd w:val="clear" w:color="auto" w:fill="92D050"/>
            <w:tcMar>
              <w:top w:w="14" w:type="dxa"/>
              <w:left w:w="14" w:type="dxa"/>
              <w:bottom w:w="0" w:type="dxa"/>
              <w:right w:w="14" w:type="dxa"/>
            </w:tcMar>
            <w:vAlign w:val="bottom"/>
            <w:hideMark/>
          </w:tcPr>
          <w:p w14:paraId="560C054A"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 </w:t>
            </w:r>
          </w:p>
        </w:tc>
      </w:tr>
      <w:tr w:rsidR="00CD5F80" w:rsidRPr="00344E55" w14:paraId="69D10BAF" w14:textId="77777777" w:rsidTr="00F21C9D">
        <w:trPr>
          <w:trHeight w:val="326"/>
        </w:trPr>
        <w:tc>
          <w:tcPr>
            <w:tcW w:w="1790" w:type="dxa"/>
            <w:vMerge/>
            <w:tcBorders>
              <w:top w:val="single" w:sz="8" w:space="0" w:color="000000"/>
              <w:left w:val="single" w:sz="8" w:space="0" w:color="000000"/>
              <w:bottom w:val="single" w:sz="8" w:space="0" w:color="000000"/>
              <w:right w:val="single" w:sz="8" w:space="0" w:color="000000"/>
            </w:tcBorders>
            <w:vAlign w:val="center"/>
            <w:hideMark/>
          </w:tcPr>
          <w:p w14:paraId="2C1CD68D" w14:textId="77777777" w:rsidR="00CD5F80" w:rsidRPr="00344E55" w:rsidRDefault="00CD5F80" w:rsidP="00E079AF">
            <w:pPr>
              <w:spacing w:after="0" w:line="240" w:lineRule="auto"/>
              <w:contextualSpacing/>
              <w:rPr>
                <w:rFonts w:ascii="Times New Roman" w:eastAsia="Times New Roman" w:hAnsi="Times New Roman" w:cs="Times New Roman"/>
                <w:sz w:val="24"/>
                <w:szCs w:val="24"/>
                <w:lang w:eastAsia="en-ZA"/>
              </w:rPr>
            </w:pPr>
          </w:p>
        </w:tc>
        <w:tc>
          <w:tcPr>
            <w:tcW w:w="990" w:type="dxa"/>
            <w:tcBorders>
              <w:top w:val="single" w:sz="8" w:space="0" w:color="000000"/>
              <w:left w:val="single" w:sz="8" w:space="0" w:color="000000"/>
              <w:bottom w:val="single" w:sz="8" w:space="0" w:color="000000"/>
              <w:right w:val="single" w:sz="8" w:space="0" w:color="000000"/>
            </w:tcBorders>
            <w:shd w:val="clear" w:color="auto" w:fill="92D050"/>
            <w:tcMar>
              <w:top w:w="14" w:type="dxa"/>
              <w:left w:w="14" w:type="dxa"/>
              <w:bottom w:w="0" w:type="dxa"/>
              <w:right w:w="14" w:type="dxa"/>
            </w:tcMar>
            <w:vAlign w:val="bottom"/>
            <w:hideMark/>
          </w:tcPr>
          <w:p w14:paraId="695FA979"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2017/18</w:t>
            </w:r>
          </w:p>
          <w:p w14:paraId="15F58763"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R’000</w:t>
            </w:r>
          </w:p>
        </w:tc>
        <w:tc>
          <w:tcPr>
            <w:tcW w:w="1260" w:type="dxa"/>
            <w:tcBorders>
              <w:top w:val="single" w:sz="8" w:space="0" w:color="000000"/>
              <w:left w:val="single" w:sz="8" w:space="0" w:color="000000"/>
              <w:bottom w:val="single" w:sz="8" w:space="0" w:color="000000"/>
              <w:right w:val="single" w:sz="8" w:space="0" w:color="000000"/>
            </w:tcBorders>
            <w:shd w:val="clear" w:color="auto" w:fill="92D050"/>
            <w:tcMar>
              <w:top w:w="14" w:type="dxa"/>
              <w:left w:w="14" w:type="dxa"/>
              <w:bottom w:w="0" w:type="dxa"/>
              <w:right w:w="14" w:type="dxa"/>
            </w:tcMar>
            <w:vAlign w:val="bottom"/>
            <w:hideMark/>
          </w:tcPr>
          <w:p w14:paraId="0757A12F"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2018/19</w:t>
            </w:r>
          </w:p>
          <w:p w14:paraId="47CF2EBD"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 xml:space="preserve"> R’000</w:t>
            </w:r>
          </w:p>
        </w:tc>
        <w:tc>
          <w:tcPr>
            <w:tcW w:w="1170" w:type="dxa"/>
            <w:tcBorders>
              <w:top w:val="single" w:sz="8" w:space="0" w:color="000000"/>
              <w:left w:val="single" w:sz="8" w:space="0" w:color="000000"/>
              <w:bottom w:val="single" w:sz="8" w:space="0" w:color="000000"/>
              <w:right w:val="single" w:sz="8" w:space="0" w:color="000000"/>
            </w:tcBorders>
            <w:shd w:val="clear" w:color="auto" w:fill="92D050"/>
            <w:tcMar>
              <w:top w:w="14" w:type="dxa"/>
              <w:left w:w="14" w:type="dxa"/>
              <w:bottom w:w="0" w:type="dxa"/>
              <w:right w:w="14" w:type="dxa"/>
            </w:tcMar>
            <w:vAlign w:val="bottom"/>
            <w:hideMark/>
          </w:tcPr>
          <w:p w14:paraId="7240D802"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2019/20</w:t>
            </w:r>
          </w:p>
          <w:p w14:paraId="3CABAC47"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 xml:space="preserve"> R’000</w:t>
            </w:r>
          </w:p>
        </w:tc>
        <w:tc>
          <w:tcPr>
            <w:tcW w:w="1260" w:type="dxa"/>
            <w:tcBorders>
              <w:top w:val="single" w:sz="8" w:space="0" w:color="000000"/>
              <w:left w:val="single" w:sz="8" w:space="0" w:color="000000"/>
              <w:bottom w:val="single" w:sz="8" w:space="0" w:color="000000"/>
              <w:right w:val="single" w:sz="8" w:space="0" w:color="000000"/>
            </w:tcBorders>
            <w:shd w:val="clear" w:color="auto" w:fill="92D050"/>
            <w:tcMar>
              <w:top w:w="14" w:type="dxa"/>
              <w:left w:w="14" w:type="dxa"/>
              <w:bottom w:w="0" w:type="dxa"/>
              <w:right w:w="14" w:type="dxa"/>
            </w:tcMar>
            <w:vAlign w:val="bottom"/>
            <w:hideMark/>
          </w:tcPr>
          <w:p w14:paraId="20FCFAD5"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2020/21</w:t>
            </w:r>
          </w:p>
          <w:p w14:paraId="242F8B75"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 xml:space="preserve">R’000 </w:t>
            </w:r>
          </w:p>
        </w:tc>
        <w:tc>
          <w:tcPr>
            <w:tcW w:w="1226" w:type="dxa"/>
            <w:tcBorders>
              <w:top w:val="single" w:sz="8" w:space="0" w:color="000000"/>
              <w:left w:val="single" w:sz="8" w:space="0" w:color="000000"/>
              <w:bottom w:val="single" w:sz="8" w:space="0" w:color="000000"/>
              <w:right w:val="single" w:sz="8" w:space="0" w:color="000000"/>
            </w:tcBorders>
            <w:shd w:val="clear" w:color="auto" w:fill="92D050"/>
            <w:tcMar>
              <w:top w:w="14" w:type="dxa"/>
              <w:left w:w="14" w:type="dxa"/>
              <w:bottom w:w="0" w:type="dxa"/>
              <w:right w:w="14" w:type="dxa"/>
            </w:tcMar>
            <w:vAlign w:val="bottom"/>
            <w:hideMark/>
          </w:tcPr>
          <w:p w14:paraId="4F05C552"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2021/22</w:t>
            </w:r>
          </w:p>
          <w:p w14:paraId="2B6FAF03"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 xml:space="preserve">R’000    </w:t>
            </w:r>
          </w:p>
        </w:tc>
        <w:tc>
          <w:tcPr>
            <w:tcW w:w="1204" w:type="dxa"/>
            <w:tcBorders>
              <w:top w:val="single" w:sz="8" w:space="0" w:color="000000"/>
              <w:left w:val="single" w:sz="8" w:space="0" w:color="000000"/>
              <w:bottom w:val="single" w:sz="8" w:space="0" w:color="000000"/>
              <w:right w:val="single" w:sz="8" w:space="0" w:color="000000"/>
            </w:tcBorders>
            <w:shd w:val="clear" w:color="auto" w:fill="92D050"/>
            <w:tcMar>
              <w:top w:w="14" w:type="dxa"/>
              <w:left w:w="14" w:type="dxa"/>
              <w:bottom w:w="0" w:type="dxa"/>
              <w:right w:w="14" w:type="dxa"/>
            </w:tcMar>
            <w:vAlign w:val="bottom"/>
            <w:hideMark/>
          </w:tcPr>
          <w:p w14:paraId="7699BFDB"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TOTAL OVER MTEF</w:t>
            </w:r>
          </w:p>
          <w:p w14:paraId="0362367D" w14:textId="77777777" w:rsidR="00CD5F80" w:rsidRPr="00344E55" w:rsidRDefault="00CD5F80" w:rsidP="00204F9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 xml:space="preserve">R’000    </w:t>
            </w:r>
          </w:p>
        </w:tc>
      </w:tr>
      <w:tr w:rsidR="00CD5F80" w:rsidRPr="00344E55" w14:paraId="4F800A6C" w14:textId="77777777" w:rsidTr="00F21C9D">
        <w:trPr>
          <w:trHeight w:val="263"/>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13BA3435" w14:textId="77777777" w:rsidR="00CD5F80" w:rsidRPr="00344E55" w:rsidRDefault="00CD5F80" w:rsidP="00E079AF">
            <w:pPr>
              <w:spacing w:after="0" w:line="240" w:lineRule="auto"/>
              <w:contextualSpacing/>
              <w:textAlignment w:val="top"/>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Administration</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6971A3DA" w14:textId="77777777" w:rsidR="00CD5F80" w:rsidRPr="00344E55" w:rsidRDefault="00CD5F80" w:rsidP="00CD5F80">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116,999</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47A7D0CA" w14:textId="77777777" w:rsidR="00CD5F80" w:rsidRPr="00344E55" w:rsidRDefault="00CD5F80" w:rsidP="00CD5F80">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127,121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0C01B31F"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124,388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384168A8"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131,496 </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4058B7F1"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139,630 </w:t>
            </w:r>
          </w:p>
        </w:tc>
        <w:tc>
          <w:tcPr>
            <w:tcW w:w="120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26957A42"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395,514 </w:t>
            </w:r>
          </w:p>
        </w:tc>
      </w:tr>
      <w:tr w:rsidR="00CD5F80" w:rsidRPr="00344E55" w14:paraId="16E3CF0B" w14:textId="77777777" w:rsidTr="00F21C9D">
        <w:trPr>
          <w:trHeight w:val="353"/>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7E1C9FE8" w14:textId="77777777" w:rsidR="00CD5F80" w:rsidRPr="00344E55" w:rsidRDefault="00CD5F80" w:rsidP="00E079AF">
            <w:pPr>
              <w:spacing w:after="0" w:line="240" w:lineRule="auto"/>
              <w:contextualSpacing/>
              <w:textAlignment w:val="top"/>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Sector Policy and Research</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2B2F7CD8" w14:textId="77777777" w:rsidR="00F21C9D" w:rsidRPr="00344E55" w:rsidRDefault="00F21C9D" w:rsidP="00CD5F80">
            <w:pPr>
              <w:spacing w:after="0" w:line="240" w:lineRule="auto"/>
              <w:contextualSpacing/>
              <w:jc w:val="right"/>
              <w:textAlignment w:val="bottom"/>
              <w:rPr>
                <w:rFonts w:ascii="Times New Roman" w:eastAsia="Times New Roman" w:hAnsi="Times New Roman" w:cs="Times New Roman"/>
                <w:color w:val="000000"/>
                <w:kern w:val="24"/>
                <w:sz w:val="24"/>
                <w:szCs w:val="24"/>
                <w:lang w:eastAsia="en-ZA"/>
              </w:rPr>
            </w:pPr>
          </w:p>
          <w:p w14:paraId="57D54428" w14:textId="77777777" w:rsidR="00CD5F80" w:rsidRPr="00344E55" w:rsidRDefault="00CD5F80" w:rsidP="00CD5F80">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16,748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2BA49CA2" w14:textId="77777777" w:rsidR="00F21C9D" w:rsidRPr="00344E55" w:rsidRDefault="00F21C9D" w:rsidP="00CD5F80">
            <w:pPr>
              <w:spacing w:after="0" w:line="240" w:lineRule="auto"/>
              <w:contextualSpacing/>
              <w:jc w:val="right"/>
              <w:textAlignment w:val="bottom"/>
              <w:rPr>
                <w:rFonts w:ascii="Times New Roman" w:eastAsia="Times New Roman" w:hAnsi="Times New Roman" w:cs="Times New Roman"/>
                <w:color w:val="000000"/>
                <w:kern w:val="24"/>
                <w:sz w:val="24"/>
                <w:szCs w:val="24"/>
                <w:lang w:eastAsia="en-ZA"/>
              </w:rPr>
            </w:pPr>
          </w:p>
          <w:p w14:paraId="6519AE1E" w14:textId="77777777" w:rsidR="00CD5F80" w:rsidRPr="00344E55" w:rsidRDefault="00CD5F80" w:rsidP="00CD5F80">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22,447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2539A8BD"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35,615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300B2D75"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39,416 </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37DBB054"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42,310 </w:t>
            </w:r>
          </w:p>
        </w:tc>
        <w:tc>
          <w:tcPr>
            <w:tcW w:w="120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020863A8"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117,341 </w:t>
            </w:r>
          </w:p>
        </w:tc>
      </w:tr>
      <w:tr w:rsidR="00CD5F80" w:rsidRPr="00344E55" w14:paraId="52945F65" w14:textId="77777777" w:rsidTr="00F21C9D">
        <w:trPr>
          <w:trHeight w:val="641"/>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3C8A9684" w14:textId="77777777" w:rsidR="00CD5F80" w:rsidRPr="00344E55" w:rsidRDefault="00CD5F80" w:rsidP="00F21C9D">
            <w:pPr>
              <w:spacing w:after="0" w:line="240" w:lineRule="auto"/>
              <w:contextualSpacing/>
              <w:textAlignment w:val="top"/>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Integrated Co-operatives </w:t>
            </w:r>
            <w:r w:rsidRPr="00344E55">
              <w:rPr>
                <w:rFonts w:ascii="Times New Roman" w:eastAsia="Times New Roman" w:hAnsi="Times New Roman" w:cs="Times New Roman"/>
                <w:color w:val="000000"/>
                <w:kern w:val="24"/>
                <w:sz w:val="24"/>
                <w:szCs w:val="24"/>
                <w:lang w:eastAsia="en-ZA"/>
              </w:rPr>
              <w:lastRenderedPageBreak/>
              <w:t>Development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2BBD154E" w14:textId="77777777" w:rsidR="00CD5F80" w:rsidRPr="00344E55" w:rsidRDefault="00CD5F80" w:rsidP="00CD5F80">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lastRenderedPageBreak/>
              <w:t>99,204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0FE71287" w14:textId="77777777" w:rsidR="00F21C9D" w:rsidRPr="00344E55" w:rsidRDefault="00F21C9D" w:rsidP="00CD5F80">
            <w:pPr>
              <w:spacing w:after="0" w:line="240" w:lineRule="auto"/>
              <w:contextualSpacing/>
              <w:jc w:val="right"/>
              <w:textAlignment w:val="bottom"/>
              <w:rPr>
                <w:rFonts w:ascii="Times New Roman" w:eastAsia="Times New Roman" w:hAnsi="Times New Roman" w:cs="Times New Roman"/>
                <w:color w:val="000000"/>
                <w:kern w:val="24"/>
                <w:sz w:val="24"/>
                <w:szCs w:val="24"/>
                <w:lang w:eastAsia="en-ZA"/>
              </w:rPr>
            </w:pPr>
          </w:p>
          <w:p w14:paraId="2EBE7992" w14:textId="77777777" w:rsidR="00F21C9D" w:rsidRPr="00344E55" w:rsidRDefault="00F21C9D" w:rsidP="00CD5F80">
            <w:pPr>
              <w:spacing w:after="0" w:line="240" w:lineRule="auto"/>
              <w:contextualSpacing/>
              <w:jc w:val="right"/>
              <w:textAlignment w:val="bottom"/>
              <w:rPr>
                <w:rFonts w:ascii="Times New Roman" w:eastAsia="Times New Roman" w:hAnsi="Times New Roman" w:cs="Times New Roman"/>
                <w:color w:val="000000"/>
                <w:kern w:val="24"/>
                <w:sz w:val="24"/>
                <w:szCs w:val="24"/>
                <w:lang w:eastAsia="en-ZA"/>
              </w:rPr>
            </w:pPr>
          </w:p>
          <w:p w14:paraId="5C4A962D" w14:textId="77777777" w:rsidR="00CD5F80" w:rsidRPr="00344E55" w:rsidRDefault="00CD5F80" w:rsidP="00CD5F80">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lastRenderedPageBreak/>
              <w:t>115,017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347028C5"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lastRenderedPageBreak/>
              <w:t xml:space="preserve">     127,628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4DD8E109"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135,080 </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143DFD73"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142,269 </w:t>
            </w:r>
          </w:p>
        </w:tc>
        <w:tc>
          <w:tcPr>
            <w:tcW w:w="120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2930DCD3"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404,977 </w:t>
            </w:r>
          </w:p>
        </w:tc>
      </w:tr>
      <w:tr w:rsidR="00CD5F80" w:rsidRPr="00344E55" w14:paraId="5FA96FC2" w14:textId="77777777" w:rsidTr="00F21C9D">
        <w:trPr>
          <w:trHeight w:val="550"/>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211C903E" w14:textId="77777777" w:rsidR="00CD5F80" w:rsidRPr="00344E55" w:rsidRDefault="00CD5F80" w:rsidP="00E079AF">
            <w:pPr>
              <w:spacing w:after="0" w:line="240" w:lineRule="auto"/>
              <w:contextualSpacing/>
              <w:textAlignment w:val="top"/>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lastRenderedPageBreak/>
              <w:t xml:space="preserve">Enterprise Development </w:t>
            </w:r>
          </w:p>
          <w:p w14:paraId="5FD6593D" w14:textId="77777777" w:rsidR="00CD5F80" w:rsidRPr="00344E55" w:rsidRDefault="00CD5F80" w:rsidP="00E079AF">
            <w:pPr>
              <w:spacing w:after="0" w:line="240" w:lineRule="auto"/>
              <w:contextualSpacing/>
              <w:textAlignment w:val="top"/>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and Entrepreneurship</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D2A5446" w14:textId="77777777" w:rsidR="00CD5F80" w:rsidRPr="00344E55" w:rsidRDefault="00CD5F80" w:rsidP="00CD5F80">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eastAsia="en-ZA"/>
              </w:rPr>
              <w:t>1,226,533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1BEFD67A" w14:textId="77777777" w:rsidR="00F21C9D" w:rsidRPr="00344E55" w:rsidRDefault="00F21C9D" w:rsidP="00CD5F80">
            <w:pPr>
              <w:spacing w:after="0" w:line="240" w:lineRule="auto"/>
              <w:contextualSpacing/>
              <w:jc w:val="right"/>
              <w:textAlignment w:val="bottom"/>
              <w:rPr>
                <w:rFonts w:ascii="Times New Roman" w:eastAsia="Times New Roman" w:hAnsi="Times New Roman" w:cs="Times New Roman"/>
                <w:color w:val="000000"/>
                <w:kern w:val="24"/>
                <w:sz w:val="24"/>
                <w:szCs w:val="24"/>
                <w:lang w:eastAsia="en-ZA"/>
              </w:rPr>
            </w:pPr>
          </w:p>
          <w:p w14:paraId="5B03C004" w14:textId="77777777" w:rsidR="00F21C9D" w:rsidRPr="00344E55" w:rsidRDefault="00F21C9D" w:rsidP="00CD5F80">
            <w:pPr>
              <w:spacing w:after="0" w:line="240" w:lineRule="auto"/>
              <w:contextualSpacing/>
              <w:jc w:val="right"/>
              <w:textAlignment w:val="bottom"/>
              <w:rPr>
                <w:rFonts w:ascii="Times New Roman" w:eastAsia="Times New Roman" w:hAnsi="Times New Roman" w:cs="Times New Roman"/>
                <w:color w:val="000000"/>
                <w:kern w:val="24"/>
                <w:sz w:val="24"/>
                <w:szCs w:val="24"/>
                <w:lang w:eastAsia="en-ZA"/>
              </w:rPr>
            </w:pPr>
          </w:p>
          <w:p w14:paraId="39EA2E0C" w14:textId="77777777" w:rsidR="00F21C9D" w:rsidRPr="00344E55" w:rsidRDefault="00F21C9D" w:rsidP="00CD5F80">
            <w:pPr>
              <w:spacing w:after="0" w:line="240" w:lineRule="auto"/>
              <w:contextualSpacing/>
              <w:jc w:val="right"/>
              <w:textAlignment w:val="bottom"/>
              <w:rPr>
                <w:rFonts w:ascii="Times New Roman" w:eastAsia="Times New Roman" w:hAnsi="Times New Roman" w:cs="Times New Roman"/>
                <w:color w:val="000000"/>
                <w:kern w:val="24"/>
                <w:sz w:val="24"/>
                <w:szCs w:val="24"/>
                <w:lang w:eastAsia="en-ZA"/>
              </w:rPr>
            </w:pPr>
          </w:p>
          <w:p w14:paraId="67F55EF8" w14:textId="77777777" w:rsidR="00CD5F80" w:rsidRPr="00344E55" w:rsidRDefault="00CD5F80" w:rsidP="00CD5F80">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1,223,868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4B493D6A"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2,280 921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53C5E5DF"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2,407 271 </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6A107819"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2,539 124 </w:t>
            </w:r>
          </w:p>
        </w:tc>
        <w:tc>
          <w:tcPr>
            <w:tcW w:w="120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14:paraId="14DC39FE"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kern w:val="24"/>
                <w:sz w:val="24"/>
                <w:szCs w:val="24"/>
                <w:lang w:eastAsia="en-ZA"/>
              </w:rPr>
              <w:t xml:space="preserve">    7,227,316 </w:t>
            </w:r>
          </w:p>
        </w:tc>
      </w:tr>
      <w:tr w:rsidR="00472145" w:rsidRPr="00344E55" w14:paraId="579843CA" w14:textId="77777777" w:rsidTr="00472145">
        <w:trPr>
          <w:trHeight w:val="218"/>
        </w:trPr>
        <w:tc>
          <w:tcPr>
            <w:tcW w:w="17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4" w:type="dxa"/>
              <w:left w:w="14" w:type="dxa"/>
              <w:bottom w:w="0" w:type="dxa"/>
              <w:right w:w="14" w:type="dxa"/>
            </w:tcMar>
            <w:vAlign w:val="bottom"/>
            <w:hideMark/>
          </w:tcPr>
          <w:p w14:paraId="02313EF2"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TOTAL</w:t>
            </w:r>
          </w:p>
        </w:tc>
        <w:tc>
          <w:tcPr>
            <w:tcW w:w="9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4" w:type="dxa"/>
              <w:left w:w="14" w:type="dxa"/>
              <w:bottom w:w="0" w:type="dxa"/>
              <w:right w:w="14" w:type="dxa"/>
            </w:tcMar>
            <w:vAlign w:val="bottom"/>
            <w:hideMark/>
          </w:tcPr>
          <w:p w14:paraId="364878BF" w14:textId="77777777" w:rsidR="00CD5F80" w:rsidRPr="00344E55" w:rsidRDefault="00CD5F80" w:rsidP="00CD5F80">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1,459,484</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4" w:type="dxa"/>
              <w:left w:w="14" w:type="dxa"/>
              <w:bottom w:w="0" w:type="dxa"/>
              <w:right w:w="14" w:type="dxa"/>
            </w:tcMar>
            <w:vAlign w:val="bottom"/>
            <w:hideMark/>
          </w:tcPr>
          <w:p w14:paraId="154CFF06" w14:textId="77777777" w:rsidR="00CD5F80" w:rsidRPr="00344E55" w:rsidRDefault="00CD5F80" w:rsidP="00CD5F80">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1,488,453</w:t>
            </w:r>
          </w:p>
        </w:tc>
        <w:tc>
          <w:tcPr>
            <w:tcW w:w="117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4" w:type="dxa"/>
              <w:left w:w="14" w:type="dxa"/>
              <w:bottom w:w="0" w:type="dxa"/>
              <w:right w:w="14" w:type="dxa"/>
            </w:tcMar>
            <w:vAlign w:val="bottom"/>
            <w:hideMark/>
          </w:tcPr>
          <w:p w14:paraId="45E0462C"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2,</w:t>
            </w:r>
            <w:r w:rsidRPr="00344E55">
              <w:rPr>
                <w:rFonts w:ascii="Times New Roman" w:eastAsia="Times New Roman" w:hAnsi="Times New Roman" w:cs="Times New Roman"/>
                <w:b/>
                <w:bCs/>
                <w:color w:val="000000"/>
                <w:kern w:val="24"/>
                <w:sz w:val="24"/>
                <w:szCs w:val="24"/>
                <w:lang w:val="en-US" w:eastAsia="en-ZA"/>
              </w:rPr>
              <w:t>568,552</w:t>
            </w:r>
            <w:r w:rsidRPr="00344E55">
              <w:rPr>
                <w:rFonts w:ascii="Times New Roman" w:eastAsia="Times New Roman" w:hAnsi="Times New Roman" w:cs="Times New Roman"/>
                <w:b/>
                <w:bCs/>
                <w:color w:val="000000"/>
                <w:kern w:val="24"/>
                <w:sz w:val="24"/>
                <w:szCs w:val="24"/>
                <w:lang w:eastAsia="en-ZA"/>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4" w:type="dxa"/>
              <w:left w:w="14" w:type="dxa"/>
              <w:bottom w:w="0" w:type="dxa"/>
              <w:right w:w="14" w:type="dxa"/>
            </w:tcMar>
            <w:vAlign w:val="bottom"/>
            <w:hideMark/>
          </w:tcPr>
          <w:p w14:paraId="47F0DA47"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2,713,263</w:t>
            </w:r>
          </w:p>
        </w:tc>
        <w:tc>
          <w:tcPr>
            <w:tcW w:w="12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4" w:type="dxa"/>
              <w:left w:w="14" w:type="dxa"/>
              <w:bottom w:w="0" w:type="dxa"/>
              <w:right w:w="14" w:type="dxa"/>
            </w:tcMar>
            <w:vAlign w:val="bottom"/>
            <w:hideMark/>
          </w:tcPr>
          <w:p w14:paraId="7DF2BCE4"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 xml:space="preserve">            2,863,333 </w:t>
            </w:r>
          </w:p>
        </w:tc>
        <w:tc>
          <w:tcPr>
            <w:tcW w:w="120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4" w:type="dxa"/>
              <w:left w:w="14" w:type="dxa"/>
              <w:bottom w:w="0" w:type="dxa"/>
              <w:right w:w="14" w:type="dxa"/>
            </w:tcMar>
            <w:vAlign w:val="bottom"/>
            <w:hideMark/>
          </w:tcPr>
          <w:p w14:paraId="644574A1" w14:textId="77777777" w:rsidR="00CD5F80" w:rsidRPr="00344E55" w:rsidRDefault="00CD5F80" w:rsidP="00E079AF">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en-US" w:eastAsia="en-ZA"/>
              </w:rPr>
              <w:t xml:space="preserve">            8,145,148 </w:t>
            </w:r>
          </w:p>
        </w:tc>
      </w:tr>
    </w:tbl>
    <w:p w14:paraId="076D8D87" w14:textId="77777777" w:rsidR="005200EB" w:rsidRPr="00344E55" w:rsidRDefault="005200EB" w:rsidP="00DE3B47">
      <w:pPr>
        <w:pStyle w:val="Default"/>
        <w:contextualSpacing/>
        <w:jc w:val="both"/>
        <w:rPr>
          <w:b/>
          <w:color w:val="auto"/>
        </w:rPr>
      </w:pPr>
      <w:r w:rsidRPr="00344E55">
        <w:rPr>
          <w:b/>
          <w:color w:val="auto"/>
        </w:rPr>
        <w:t>Source: DSBD Annual Performance Plan</w:t>
      </w:r>
      <w:r w:rsidR="00F21C9D" w:rsidRPr="00344E55">
        <w:rPr>
          <w:b/>
          <w:color w:val="auto"/>
        </w:rPr>
        <w:t xml:space="preserve"> 2019/20</w:t>
      </w:r>
    </w:p>
    <w:p w14:paraId="10DB3229" w14:textId="77777777" w:rsidR="005200EB" w:rsidRPr="00344E55" w:rsidRDefault="005200EB" w:rsidP="00D626F1">
      <w:pPr>
        <w:pStyle w:val="Default"/>
        <w:spacing w:line="360" w:lineRule="auto"/>
        <w:contextualSpacing/>
        <w:jc w:val="both"/>
        <w:rPr>
          <w:color w:val="auto"/>
        </w:rPr>
      </w:pPr>
    </w:p>
    <w:p w14:paraId="442018A0" w14:textId="77777777" w:rsidR="00671FC6" w:rsidRPr="00344E55" w:rsidRDefault="008209F1" w:rsidP="00671FC6">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Austerity belt-tightening measures </w:t>
      </w:r>
      <w:r w:rsidR="00D626F1" w:rsidRPr="00344E55">
        <w:rPr>
          <w:rFonts w:ascii="Times New Roman" w:hAnsi="Times New Roman" w:cs="Times New Roman"/>
          <w:sz w:val="24"/>
          <w:szCs w:val="24"/>
        </w:rPr>
        <w:t>currently being carried out</w:t>
      </w:r>
      <w:r w:rsidRPr="00344E55">
        <w:rPr>
          <w:rFonts w:ascii="Times New Roman" w:hAnsi="Times New Roman" w:cs="Times New Roman"/>
          <w:sz w:val="24"/>
          <w:szCs w:val="24"/>
        </w:rPr>
        <w:t xml:space="preserve"> </w:t>
      </w:r>
      <w:r w:rsidR="005E0CFD" w:rsidRPr="00344E55">
        <w:rPr>
          <w:rFonts w:ascii="Times New Roman" w:hAnsi="Times New Roman" w:cs="Times New Roman"/>
          <w:sz w:val="24"/>
          <w:szCs w:val="24"/>
        </w:rPr>
        <w:t>across</w:t>
      </w:r>
      <w:r w:rsidRPr="00344E55">
        <w:rPr>
          <w:rFonts w:ascii="Times New Roman" w:hAnsi="Times New Roman" w:cs="Times New Roman"/>
          <w:sz w:val="24"/>
          <w:szCs w:val="24"/>
        </w:rPr>
        <w:t xml:space="preserve"> all spheres of </w:t>
      </w:r>
      <w:r w:rsidR="00D626F1" w:rsidRPr="00344E55">
        <w:rPr>
          <w:rFonts w:ascii="Times New Roman" w:hAnsi="Times New Roman" w:cs="Times New Roman"/>
          <w:sz w:val="24"/>
          <w:szCs w:val="24"/>
        </w:rPr>
        <w:t>the state</w:t>
      </w:r>
      <w:r w:rsidRPr="00344E55">
        <w:rPr>
          <w:rFonts w:ascii="Times New Roman" w:hAnsi="Times New Roman" w:cs="Times New Roman"/>
          <w:sz w:val="24"/>
          <w:szCs w:val="24"/>
        </w:rPr>
        <w:t xml:space="preserve"> have really </w:t>
      </w:r>
      <w:r w:rsidR="005E0CFD" w:rsidRPr="00344E55">
        <w:rPr>
          <w:rFonts w:ascii="Times New Roman" w:hAnsi="Times New Roman" w:cs="Times New Roman"/>
          <w:sz w:val="24"/>
          <w:szCs w:val="24"/>
        </w:rPr>
        <w:t>affected</w:t>
      </w:r>
      <w:r w:rsidR="00321BFD" w:rsidRPr="00344E55">
        <w:rPr>
          <w:rFonts w:ascii="Times New Roman" w:hAnsi="Times New Roman" w:cs="Times New Roman"/>
          <w:sz w:val="24"/>
          <w:szCs w:val="24"/>
        </w:rPr>
        <w:t xml:space="preserve"> </w:t>
      </w:r>
      <w:r w:rsidRPr="00344E55">
        <w:rPr>
          <w:rFonts w:ascii="Times New Roman" w:hAnsi="Times New Roman" w:cs="Times New Roman"/>
          <w:sz w:val="24"/>
          <w:szCs w:val="24"/>
        </w:rPr>
        <w:t>DSBD total budget</w:t>
      </w:r>
      <w:r w:rsidR="005E0CFD" w:rsidRPr="00344E55">
        <w:rPr>
          <w:rFonts w:ascii="Times New Roman" w:hAnsi="Times New Roman" w:cs="Times New Roman"/>
          <w:sz w:val="24"/>
          <w:szCs w:val="24"/>
        </w:rPr>
        <w:t xml:space="preserve"> allocation</w:t>
      </w:r>
      <w:r w:rsidRPr="00344E55">
        <w:rPr>
          <w:rFonts w:ascii="Times New Roman" w:hAnsi="Times New Roman" w:cs="Times New Roman"/>
          <w:sz w:val="24"/>
          <w:szCs w:val="24"/>
        </w:rPr>
        <w:t xml:space="preserve">. </w:t>
      </w:r>
      <w:r w:rsidR="005E0CFD" w:rsidRPr="00344E55">
        <w:rPr>
          <w:rFonts w:ascii="Times New Roman" w:hAnsi="Times New Roman" w:cs="Times New Roman"/>
          <w:sz w:val="24"/>
          <w:szCs w:val="24"/>
        </w:rPr>
        <w:t>Juxtaposed to the two previous financial years (R1.45 in 2017/18 and R1.48 in 2018/19),</w:t>
      </w:r>
      <w:r w:rsidRPr="00344E55">
        <w:rPr>
          <w:rFonts w:ascii="Times New Roman" w:hAnsi="Times New Roman" w:cs="Times New Roman"/>
          <w:sz w:val="24"/>
          <w:szCs w:val="24"/>
        </w:rPr>
        <w:t xml:space="preserve"> DSBD budget </w:t>
      </w:r>
      <w:r w:rsidR="005E0CFD" w:rsidRPr="00344E55">
        <w:rPr>
          <w:rFonts w:ascii="Times New Roman" w:hAnsi="Times New Roman" w:cs="Times New Roman"/>
          <w:sz w:val="24"/>
          <w:szCs w:val="24"/>
        </w:rPr>
        <w:t>has recorded</w:t>
      </w:r>
      <w:r w:rsidRPr="00344E55">
        <w:rPr>
          <w:rFonts w:ascii="Times New Roman" w:hAnsi="Times New Roman" w:cs="Times New Roman"/>
          <w:sz w:val="24"/>
          <w:szCs w:val="24"/>
        </w:rPr>
        <w:t xml:space="preserve"> </w:t>
      </w:r>
      <w:r w:rsidR="005E0CFD" w:rsidRPr="00344E55">
        <w:rPr>
          <w:rFonts w:ascii="Times New Roman" w:hAnsi="Times New Roman" w:cs="Times New Roman"/>
          <w:sz w:val="24"/>
          <w:szCs w:val="24"/>
        </w:rPr>
        <w:t>insignificant</w:t>
      </w:r>
      <w:r w:rsidRPr="00344E55">
        <w:rPr>
          <w:rFonts w:ascii="Times New Roman" w:hAnsi="Times New Roman" w:cs="Times New Roman"/>
          <w:sz w:val="24"/>
          <w:szCs w:val="24"/>
        </w:rPr>
        <w:t xml:space="preserve"> increase</w:t>
      </w:r>
      <w:r w:rsidR="005E0CFD" w:rsidRPr="00344E55">
        <w:rPr>
          <w:rFonts w:ascii="Times New Roman" w:hAnsi="Times New Roman" w:cs="Times New Roman"/>
          <w:sz w:val="24"/>
          <w:szCs w:val="24"/>
        </w:rPr>
        <w:t xml:space="preserve">. For such an important sector of the economy, questions may be asked, if the sector is </w:t>
      </w:r>
      <w:r w:rsidR="00D626F1" w:rsidRPr="00344E55">
        <w:rPr>
          <w:rFonts w:ascii="Times New Roman" w:hAnsi="Times New Roman" w:cs="Times New Roman"/>
          <w:sz w:val="24"/>
          <w:szCs w:val="24"/>
        </w:rPr>
        <w:t xml:space="preserve">strategically </w:t>
      </w:r>
      <w:r w:rsidR="005E0CFD" w:rsidRPr="00344E55">
        <w:rPr>
          <w:rFonts w:ascii="Times New Roman" w:hAnsi="Times New Roman" w:cs="Times New Roman"/>
          <w:sz w:val="24"/>
          <w:szCs w:val="24"/>
        </w:rPr>
        <w:t>po</w:t>
      </w:r>
      <w:r w:rsidR="00D626F1" w:rsidRPr="00344E55">
        <w:rPr>
          <w:rFonts w:ascii="Times New Roman" w:hAnsi="Times New Roman" w:cs="Times New Roman"/>
          <w:sz w:val="24"/>
          <w:szCs w:val="24"/>
        </w:rPr>
        <w:t xml:space="preserve">sitioned </w:t>
      </w:r>
      <w:r w:rsidR="005E0CFD" w:rsidRPr="00344E55">
        <w:rPr>
          <w:rFonts w:ascii="Times New Roman" w:hAnsi="Times New Roman" w:cs="Times New Roman"/>
          <w:sz w:val="24"/>
          <w:szCs w:val="24"/>
        </w:rPr>
        <w:t xml:space="preserve">to provide much needed impetus to our ailing economy and create jobs as directed in </w:t>
      </w:r>
      <w:r w:rsidR="00D626F1" w:rsidRPr="00344E55">
        <w:rPr>
          <w:rFonts w:ascii="Times New Roman" w:hAnsi="Times New Roman" w:cs="Times New Roman"/>
          <w:sz w:val="24"/>
          <w:szCs w:val="24"/>
        </w:rPr>
        <w:t xml:space="preserve">the National Development Plan. </w:t>
      </w:r>
      <w:r w:rsidR="00321BFD" w:rsidRPr="00344E55">
        <w:rPr>
          <w:rFonts w:ascii="Times New Roman" w:hAnsi="Times New Roman" w:cs="Times New Roman"/>
          <w:sz w:val="24"/>
          <w:szCs w:val="24"/>
        </w:rPr>
        <w:t xml:space="preserve">With regard to the programmes </w:t>
      </w:r>
      <w:r w:rsidR="00337CCC" w:rsidRPr="00344E55">
        <w:rPr>
          <w:rFonts w:ascii="Times New Roman" w:hAnsi="Times New Roman" w:cs="Times New Roman"/>
          <w:sz w:val="24"/>
          <w:szCs w:val="24"/>
        </w:rPr>
        <w:t>allocations, for</w:t>
      </w:r>
      <w:r w:rsidR="00D626F1" w:rsidRPr="00344E55">
        <w:rPr>
          <w:rFonts w:ascii="Times New Roman" w:hAnsi="Times New Roman" w:cs="Times New Roman"/>
          <w:sz w:val="24"/>
          <w:szCs w:val="24"/>
        </w:rPr>
        <w:t xml:space="preserve"> </w:t>
      </w:r>
      <w:r w:rsidR="008D0982" w:rsidRPr="00344E55">
        <w:rPr>
          <w:rFonts w:ascii="Times New Roman" w:hAnsi="Times New Roman" w:cs="Times New Roman"/>
          <w:sz w:val="24"/>
          <w:szCs w:val="24"/>
        </w:rPr>
        <w:t xml:space="preserve">the past </w:t>
      </w:r>
      <w:r w:rsidR="00D626F1" w:rsidRPr="00344E55">
        <w:rPr>
          <w:rFonts w:ascii="Times New Roman" w:hAnsi="Times New Roman" w:cs="Times New Roman"/>
          <w:sz w:val="24"/>
          <w:szCs w:val="24"/>
        </w:rPr>
        <w:t xml:space="preserve">five </w:t>
      </w:r>
      <w:r w:rsidR="008D0982" w:rsidRPr="00344E55">
        <w:rPr>
          <w:rFonts w:ascii="Times New Roman" w:hAnsi="Times New Roman" w:cs="Times New Roman"/>
          <w:sz w:val="24"/>
          <w:szCs w:val="24"/>
        </w:rPr>
        <w:t xml:space="preserve">(5) </w:t>
      </w:r>
      <w:r w:rsidR="00321BFD" w:rsidRPr="00344E55">
        <w:rPr>
          <w:rFonts w:ascii="Times New Roman" w:hAnsi="Times New Roman" w:cs="Times New Roman"/>
          <w:sz w:val="24"/>
          <w:szCs w:val="24"/>
        </w:rPr>
        <w:t>consecutive years</w:t>
      </w:r>
      <w:r w:rsidR="00D626F1" w:rsidRPr="00344E55">
        <w:rPr>
          <w:rFonts w:ascii="Times New Roman" w:hAnsi="Times New Roman" w:cs="Times New Roman"/>
          <w:sz w:val="24"/>
          <w:szCs w:val="24"/>
        </w:rPr>
        <w:t xml:space="preserve"> the Portfolio Committee has struggled to reconcile </w:t>
      </w:r>
      <w:r w:rsidRPr="00344E55">
        <w:rPr>
          <w:rFonts w:ascii="Times New Roman" w:hAnsi="Times New Roman" w:cs="Times New Roman"/>
          <w:sz w:val="24"/>
          <w:szCs w:val="24"/>
        </w:rPr>
        <w:t xml:space="preserve">Programme </w:t>
      </w:r>
      <w:r w:rsidR="00933E54" w:rsidRPr="00344E55">
        <w:rPr>
          <w:rFonts w:ascii="Times New Roman" w:hAnsi="Times New Roman" w:cs="Times New Roman"/>
          <w:sz w:val="24"/>
          <w:szCs w:val="24"/>
        </w:rPr>
        <w:t>one</w:t>
      </w:r>
      <w:r w:rsidRPr="00344E55">
        <w:rPr>
          <w:rFonts w:ascii="Times New Roman" w:hAnsi="Times New Roman" w:cs="Times New Roman"/>
          <w:sz w:val="24"/>
          <w:szCs w:val="24"/>
        </w:rPr>
        <w:t xml:space="preserve"> (</w:t>
      </w:r>
      <w:r w:rsidR="008D0982" w:rsidRPr="00344E55">
        <w:rPr>
          <w:rFonts w:ascii="Times New Roman" w:hAnsi="Times New Roman" w:cs="Times New Roman"/>
          <w:sz w:val="24"/>
          <w:szCs w:val="24"/>
        </w:rPr>
        <w:t>a</w:t>
      </w:r>
      <w:r w:rsidRPr="00344E55">
        <w:rPr>
          <w:rFonts w:ascii="Times New Roman" w:hAnsi="Times New Roman" w:cs="Times New Roman"/>
          <w:sz w:val="24"/>
          <w:szCs w:val="24"/>
        </w:rPr>
        <w:t>dministration)</w:t>
      </w:r>
      <w:r w:rsidR="00D626F1" w:rsidRPr="00344E55">
        <w:rPr>
          <w:rFonts w:ascii="Times New Roman" w:hAnsi="Times New Roman" w:cs="Times New Roman"/>
          <w:sz w:val="24"/>
          <w:szCs w:val="24"/>
        </w:rPr>
        <w:t xml:space="preserve"> allocation</w:t>
      </w:r>
      <w:r w:rsidR="008D0982" w:rsidRPr="00344E55">
        <w:rPr>
          <w:rFonts w:ascii="Times New Roman" w:hAnsi="Times New Roman" w:cs="Times New Roman"/>
          <w:sz w:val="24"/>
          <w:szCs w:val="24"/>
        </w:rPr>
        <w:t xml:space="preserve"> of R124 million</w:t>
      </w:r>
      <w:r w:rsidRPr="00344E55">
        <w:rPr>
          <w:rFonts w:ascii="Times New Roman" w:hAnsi="Times New Roman" w:cs="Times New Roman"/>
          <w:sz w:val="24"/>
          <w:szCs w:val="24"/>
        </w:rPr>
        <w:t xml:space="preserve">, a mere support function, </w:t>
      </w:r>
      <w:r w:rsidR="00D626F1" w:rsidRPr="00344E55">
        <w:rPr>
          <w:rFonts w:ascii="Times New Roman" w:eastAsia="Times New Roman" w:hAnsi="Times New Roman" w:cs="Times New Roman"/>
          <w:sz w:val="24"/>
          <w:szCs w:val="24"/>
          <w:lang w:eastAsia="en-ZA"/>
        </w:rPr>
        <w:t>vis-à-vis</w:t>
      </w:r>
      <w:r w:rsidR="008D0982" w:rsidRPr="00344E55">
        <w:rPr>
          <w:rFonts w:ascii="Times New Roman" w:eastAsia="Times New Roman" w:hAnsi="Times New Roman" w:cs="Times New Roman"/>
          <w:sz w:val="24"/>
          <w:szCs w:val="24"/>
          <w:lang w:eastAsia="en-ZA"/>
        </w:rPr>
        <w:t>, other core programmes suc</w:t>
      </w:r>
      <w:r w:rsidR="001777B8" w:rsidRPr="00344E55">
        <w:rPr>
          <w:rFonts w:ascii="Times New Roman" w:eastAsia="Times New Roman" w:hAnsi="Times New Roman" w:cs="Times New Roman"/>
          <w:sz w:val="24"/>
          <w:szCs w:val="24"/>
          <w:lang w:eastAsia="en-ZA"/>
        </w:rPr>
        <w:t xml:space="preserve">h as two (2) and four (4). It </w:t>
      </w:r>
      <w:r w:rsidR="00D73550" w:rsidRPr="00344E55">
        <w:rPr>
          <w:rFonts w:ascii="Times New Roman" w:eastAsia="Times New Roman" w:hAnsi="Times New Roman" w:cs="Times New Roman"/>
          <w:sz w:val="24"/>
          <w:szCs w:val="24"/>
          <w:lang w:eastAsia="en-ZA"/>
        </w:rPr>
        <w:t xml:space="preserve">has only been </w:t>
      </w:r>
      <w:r w:rsidR="008D0982" w:rsidRPr="00344E55">
        <w:rPr>
          <w:rFonts w:ascii="Times New Roman" w:eastAsia="Times New Roman" w:hAnsi="Times New Roman" w:cs="Times New Roman"/>
          <w:sz w:val="24"/>
          <w:szCs w:val="24"/>
          <w:lang w:eastAsia="en-ZA"/>
        </w:rPr>
        <w:t xml:space="preserve">during the current financial year, and </w:t>
      </w:r>
      <w:r w:rsidR="00933E54" w:rsidRPr="00344E55">
        <w:rPr>
          <w:rFonts w:ascii="Times New Roman" w:eastAsia="Times New Roman" w:hAnsi="Times New Roman" w:cs="Times New Roman"/>
          <w:sz w:val="24"/>
          <w:szCs w:val="24"/>
          <w:lang w:eastAsia="en-ZA"/>
        </w:rPr>
        <w:t>for</w:t>
      </w:r>
      <w:r w:rsidR="008D0982" w:rsidRPr="00344E55">
        <w:rPr>
          <w:rFonts w:ascii="Times New Roman" w:eastAsia="Times New Roman" w:hAnsi="Times New Roman" w:cs="Times New Roman"/>
          <w:sz w:val="24"/>
          <w:szCs w:val="24"/>
          <w:lang w:eastAsia="en-ZA"/>
        </w:rPr>
        <w:t xml:space="preserve"> the first time, that Programme 3 (Integrated </w:t>
      </w:r>
      <w:r w:rsidR="00321BFD" w:rsidRPr="00344E55">
        <w:rPr>
          <w:rFonts w:ascii="Times New Roman" w:eastAsia="Times New Roman" w:hAnsi="Times New Roman" w:cs="Times New Roman"/>
          <w:sz w:val="24"/>
          <w:szCs w:val="24"/>
          <w:lang w:eastAsia="en-ZA"/>
        </w:rPr>
        <w:t>Co-operatives Development) got</w:t>
      </w:r>
      <w:r w:rsidR="00933E54" w:rsidRPr="00344E55">
        <w:rPr>
          <w:rFonts w:ascii="Times New Roman" w:eastAsia="Times New Roman" w:hAnsi="Times New Roman" w:cs="Times New Roman"/>
          <w:sz w:val="24"/>
          <w:szCs w:val="24"/>
          <w:lang w:eastAsia="en-ZA"/>
        </w:rPr>
        <w:t xml:space="preserve"> allocated a modest ration marginally larger than Programme one.</w:t>
      </w:r>
    </w:p>
    <w:p w14:paraId="1E5D81C7" w14:textId="77777777" w:rsidR="00671FC6" w:rsidRPr="00344E55" w:rsidRDefault="00671FC6" w:rsidP="00671FC6">
      <w:pPr>
        <w:spacing w:line="360" w:lineRule="auto"/>
        <w:contextualSpacing/>
        <w:jc w:val="both"/>
        <w:rPr>
          <w:rFonts w:ascii="Times New Roman" w:eastAsia="Times New Roman" w:hAnsi="Times New Roman" w:cs="Times New Roman"/>
          <w:sz w:val="24"/>
          <w:szCs w:val="24"/>
          <w:lang w:eastAsia="en-ZA"/>
        </w:rPr>
      </w:pPr>
    </w:p>
    <w:p w14:paraId="044865FF" w14:textId="77777777" w:rsidR="00671FC6" w:rsidRPr="00344E55" w:rsidRDefault="00671FC6" w:rsidP="00671FC6">
      <w:pPr>
        <w:spacing w:line="360" w:lineRule="auto"/>
        <w:contextualSpacing/>
        <w:jc w:val="both"/>
        <w:rPr>
          <w:rFonts w:ascii="Times New Roman" w:eastAsia="Times New Roman" w:hAnsi="Times New Roman" w:cs="Times New Roman"/>
          <w:sz w:val="24"/>
          <w:szCs w:val="24"/>
          <w:lang w:eastAsia="en-ZA"/>
        </w:rPr>
      </w:pPr>
      <w:r w:rsidRPr="00344E55">
        <w:rPr>
          <w:rFonts w:ascii="Times New Roman" w:eastAsiaTheme="minorEastAsia" w:hAnsi="Times New Roman" w:cs="Times New Roman"/>
          <w:sz w:val="24"/>
          <w:szCs w:val="24"/>
        </w:rPr>
        <w:t xml:space="preserve">As with the previous financial years, the largest component of DSBD budget is constituted of transfers and subsidies, which account for R2.3 billion or 90% of the allocated budget. As specified hereinabove </w:t>
      </w:r>
      <w:proofErr w:type="spellStart"/>
      <w:r w:rsidRPr="00344E55">
        <w:rPr>
          <w:rFonts w:ascii="Times New Roman" w:eastAsiaTheme="minorEastAsia" w:hAnsi="Times New Roman" w:cs="Times New Roman"/>
          <w:b/>
          <w:sz w:val="24"/>
          <w:szCs w:val="24"/>
        </w:rPr>
        <w:t>sefa</w:t>
      </w:r>
      <w:proofErr w:type="spellEnd"/>
      <w:r w:rsidRPr="00344E55">
        <w:rPr>
          <w:rFonts w:ascii="Times New Roman" w:eastAsiaTheme="minorEastAsia" w:hAnsi="Times New Roman" w:cs="Times New Roman"/>
          <w:sz w:val="24"/>
          <w:szCs w:val="24"/>
        </w:rPr>
        <w:t xml:space="preserve"> will be apportioned </w:t>
      </w:r>
      <w:r w:rsidRPr="00344E55">
        <w:rPr>
          <w:rFonts w:ascii="Times New Roman" w:eastAsiaTheme="minorEastAsia" w:hAnsi="Times New Roman" w:cs="Times New Roman"/>
          <w:sz w:val="24"/>
          <w:szCs w:val="24"/>
          <w:lang w:eastAsia="en-ZA"/>
        </w:rPr>
        <w:t xml:space="preserve">R1 billion or roughly over 43% through vote 31, while </w:t>
      </w:r>
      <w:proofErr w:type="spellStart"/>
      <w:r w:rsidR="008D2D1C" w:rsidRPr="00344E55">
        <w:rPr>
          <w:rFonts w:ascii="Times New Roman" w:eastAsiaTheme="minorEastAsia" w:hAnsi="Times New Roman" w:cs="Times New Roman"/>
          <w:sz w:val="24"/>
          <w:szCs w:val="24"/>
          <w:lang w:eastAsia="en-ZA"/>
        </w:rPr>
        <w:t>Seda</w:t>
      </w:r>
      <w:proofErr w:type="spellEnd"/>
      <w:r w:rsidR="008D2D1C" w:rsidRPr="00344E55">
        <w:rPr>
          <w:rFonts w:ascii="Times New Roman" w:eastAsiaTheme="minorEastAsia" w:hAnsi="Times New Roman" w:cs="Times New Roman"/>
          <w:sz w:val="24"/>
          <w:szCs w:val="24"/>
          <w:lang w:eastAsia="en-ZA"/>
        </w:rPr>
        <w:t xml:space="preserve"> receive</w:t>
      </w:r>
      <w:r w:rsidRPr="00344E55">
        <w:rPr>
          <w:rFonts w:ascii="Times New Roman" w:eastAsiaTheme="minorEastAsia" w:hAnsi="Times New Roman" w:cs="Times New Roman"/>
          <w:sz w:val="24"/>
          <w:szCs w:val="24"/>
          <w:lang w:eastAsia="en-ZA"/>
        </w:rPr>
        <w:t>s R868 million or 37% of the total budget. The Department will thus remain</w:t>
      </w:r>
      <w:r w:rsidR="008D2D1C" w:rsidRPr="00344E55">
        <w:rPr>
          <w:rFonts w:ascii="Times New Roman" w:eastAsiaTheme="minorEastAsia" w:hAnsi="Times New Roman" w:cs="Times New Roman"/>
          <w:sz w:val="24"/>
          <w:szCs w:val="24"/>
          <w:lang w:eastAsia="en-ZA"/>
        </w:rPr>
        <w:t xml:space="preserve"> with R458</w:t>
      </w:r>
      <w:r w:rsidRPr="00344E55">
        <w:rPr>
          <w:rFonts w:ascii="Times New Roman" w:eastAsiaTheme="minorEastAsia" w:hAnsi="Times New Roman" w:cs="Times New Roman"/>
          <w:sz w:val="24"/>
          <w:szCs w:val="24"/>
          <w:lang w:eastAsia="en-ZA"/>
        </w:rPr>
        <w:t xml:space="preserve"> million </w:t>
      </w:r>
      <w:r w:rsidR="008D2D1C" w:rsidRPr="00344E55">
        <w:rPr>
          <w:rFonts w:ascii="Times New Roman" w:eastAsiaTheme="minorEastAsia" w:hAnsi="Times New Roman" w:cs="Times New Roman"/>
          <w:sz w:val="24"/>
          <w:szCs w:val="24"/>
          <w:lang w:eastAsia="en-ZA"/>
        </w:rPr>
        <w:t xml:space="preserve">of the allocated transfers and subsidies as illustrated </w:t>
      </w:r>
      <w:r w:rsidRPr="00344E55">
        <w:rPr>
          <w:rFonts w:ascii="Times New Roman" w:eastAsiaTheme="minorEastAsia" w:hAnsi="Times New Roman" w:cs="Times New Roman"/>
          <w:sz w:val="24"/>
          <w:szCs w:val="24"/>
          <w:lang w:eastAsia="en-ZA"/>
        </w:rPr>
        <w:t>in table 4 below.</w:t>
      </w:r>
      <w:r w:rsidR="008D2D1C" w:rsidRPr="00344E55">
        <w:rPr>
          <w:rFonts w:ascii="Times New Roman" w:eastAsiaTheme="minorEastAsia" w:hAnsi="Times New Roman" w:cs="Times New Roman"/>
          <w:sz w:val="24"/>
          <w:szCs w:val="24"/>
          <w:lang w:eastAsia="en-ZA"/>
        </w:rPr>
        <w:t xml:space="preserve"> </w:t>
      </w:r>
    </w:p>
    <w:p w14:paraId="687D8BAD" w14:textId="77777777" w:rsidR="00671FC6" w:rsidRPr="00344E55" w:rsidRDefault="00671FC6" w:rsidP="00983130">
      <w:pPr>
        <w:pStyle w:val="Default"/>
        <w:contextualSpacing/>
        <w:jc w:val="both"/>
        <w:rPr>
          <w:b/>
          <w:color w:val="auto"/>
        </w:rPr>
      </w:pPr>
    </w:p>
    <w:p w14:paraId="336453D9" w14:textId="77777777" w:rsidR="00983130" w:rsidRPr="00344E55" w:rsidRDefault="00983130" w:rsidP="00983130">
      <w:pPr>
        <w:pStyle w:val="Default"/>
        <w:contextualSpacing/>
        <w:jc w:val="both"/>
        <w:rPr>
          <w:b/>
          <w:color w:val="auto"/>
        </w:rPr>
      </w:pPr>
      <w:r w:rsidRPr="00344E55">
        <w:rPr>
          <w:b/>
          <w:color w:val="auto"/>
        </w:rPr>
        <w:t>Table 4: Total Transfers</w:t>
      </w:r>
    </w:p>
    <w:tbl>
      <w:tblPr>
        <w:tblW w:w="9080" w:type="dxa"/>
        <w:tblCellMar>
          <w:left w:w="0" w:type="dxa"/>
          <w:right w:w="0" w:type="dxa"/>
        </w:tblCellMar>
        <w:tblLook w:val="0600" w:firstRow="0" w:lastRow="0" w:firstColumn="0" w:lastColumn="0" w:noHBand="1" w:noVBand="1"/>
      </w:tblPr>
      <w:tblGrid>
        <w:gridCol w:w="1610"/>
        <w:gridCol w:w="1440"/>
        <w:gridCol w:w="1350"/>
        <w:gridCol w:w="1620"/>
        <w:gridCol w:w="1440"/>
        <w:gridCol w:w="1620"/>
      </w:tblGrid>
      <w:tr w:rsidR="00F21C9D" w:rsidRPr="00344E55" w14:paraId="753DDF4F" w14:textId="77777777" w:rsidTr="00321BFD">
        <w:trPr>
          <w:trHeight w:val="415"/>
        </w:trPr>
        <w:tc>
          <w:tcPr>
            <w:tcW w:w="161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2AF18A2B" w14:textId="77777777" w:rsidR="00F21C9D" w:rsidRPr="00344E55" w:rsidRDefault="00F21C9D" w:rsidP="00321BF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themeColor="text1"/>
                <w:sz w:val="24"/>
                <w:szCs w:val="24"/>
                <w:lang w:eastAsia="en-ZA"/>
              </w:rPr>
              <w:t>Area of allocation</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0F4E6166" w14:textId="77777777" w:rsidR="00F21C9D" w:rsidRPr="00344E55" w:rsidRDefault="00F21C9D" w:rsidP="00321BF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themeColor="text1"/>
                <w:sz w:val="24"/>
                <w:szCs w:val="24"/>
                <w:lang w:eastAsia="en-ZA"/>
              </w:rPr>
              <w:t xml:space="preserve"> 2019/20 </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4CFB4E5C" w14:textId="77777777" w:rsidR="00F21C9D" w:rsidRPr="00344E55" w:rsidRDefault="00F21C9D" w:rsidP="00321BF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themeColor="text1"/>
                <w:sz w:val="24"/>
                <w:szCs w:val="24"/>
                <w:lang w:eastAsia="en-ZA"/>
              </w:rPr>
              <w:t xml:space="preserve"> 2020/21 </w:t>
            </w:r>
          </w:p>
        </w:tc>
        <w:tc>
          <w:tcPr>
            <w:tcW w:w="16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5FFA0420" w14:textId="77777777" w:rsidR="00F21C9D" w:rsidRPr="00344E55" w:rsidRDefault="00F21C9D" w:rsidP="00321BF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themeColor="text1"/>
                <w:sz w:val="24"/>
                <w:szCs w:val="24"/>
                <w:lang w:eastAsia="en-ZA"/>
              </w:rPr>
              <w:t xml:space="preserve"> 2021/22 </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157D1E43" w14:textId="77777777" w:rsidR="00F21C9D" w:rsidRPr="00344E55" w:rsidRDefault="00F21C9D" w:rsidP="00321BF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TOTAL MTEF</w:t>
            </w:r>
          </w:p>
        </w:tc>
        <w:tc>
          <w:tcPr>
            <w:tcW w:w="16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7BFEB39F" w14:textId="77777777" w:rsidR="00F21C9D" w:rsidRPr="00344E55" w:rsidRDefault="00F21C9D" w:rsidP="00321BF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themeColor="text1"/>
                <w:sz w:val="24"/>
                <w:szCs w:val="24"/>
                <w:lang w:eastAsia="en-ZA"/>
              </w:rPr>
              <w:t>Proportion to total Transfers</w:t>
            </w:r>
          </w:p>
        </w:tc>
      </w:tr>
      <w:tr w:rsidR="00F21C9D" w:rsidRPr="00344E55" w14:paraId="5E1D8D44" w14:textId="77777777" w:rsidTr="00321BFD">
        <w:trPr>
          <w:trHeight w:val="172"/>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ACBFFA" w14:textId="77777777" w:rsidR="00F21C9D" w:rsidRPr="00344E55" w:rsidRDefault="00983130" w:rsidP="00F21C9D">
            <w:pPr>
              <w:spacing w:after="0" w:line="360" w:lineRule="auto"/>
              <w:contextualSpacing/>
              <w:textAlignment w:val="bottom"/>
              <w:rPr>
                <w:rFonts w:ascii="Times New Roman" w:eastAsia="Times New Roman" w:hAnsi="Times New Roman" w:cs="Times New Roman"/>
                <w:b/>
                <w:sz w:val="24"/>
                <w:szCs w:val="24"/>
                <w:lang w:eastAsia="en-ZA"/>
              </w:rPr>
            </w:pPr>
            <w:proofErr w:type="spellStart"/>
            <w:r w:rsidRPr="00344E55">
              <w:rPr>
                <w:rFonts w:ascii="Times New Roman" w:eastAsia="Calibri" w:hAnsi="Times New Roman" w:cs="Times New Roman"/>
                <w:b/>
                <w:color w:val="000000"/>
                <w:sz w:val="24"/>
                <w:szCs w:val="24"/>
                <w:lang w:eastAsia="en-ZA"/>
              </w:rPr>
              <w:t>sefa</w:t>
            </w:r>
            <w:proofErr w:type="spellEnd"/>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B4DB169"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1 000 000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E9BEFF3"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1 055 000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F50F8D9"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1 113 025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675FD1"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3 168 025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D3BD9A" w14:textId="77777777" w:rsidR="00F21C9D" w:rsidRPr="00344E55" w:rsidRDefault="00F21C9D" w:rsidP="00983130">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43%</w:t>
            </w:r>
          </w:p>
        </w:tc>
      </w:tr>
      <w:tr w:rsidR="00F21C9D" w:rsidRPr="00344E55" w14:paraId="0C9EC9AA" w14:textId="77777777" w:rsidTr="00321BFD">
        <w:trPr>
          <w:trHeight w:val="190"/>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C15F1E" w14:textId="77777777" w:rsidR="00F21C9D" w:rsidRPr="00344E55" w:rsidRDefault="00F21C9D" w:rsidP="00983130">
            <w:pPr>
              <w:spacing w:after="0" w:line="360" w:lineRule="auto"/>
              <w:contextualSpacing/>
              <w:textAlignment w:val="bottom"/>
              <w:rPr>
                <w:rFonts w:ascii="Times New Roman" w:eastAsia="Times New Roman" w:hAnsi="Times New Roman" w:cs="Times New Roman"/>
                <w:sz w:val="24"/>
                <w:szCs w:val="24"/>
                <w:lang w:eastAsia="en-ZA"/>
              </w:rPr>
            </w:pPr>
            <w:proofErr w:type="spellStart"/>
            <w:r w:rsidRPr="00344E55">
              <w:rPr>
                <w:rFonts w:ascii="Times New Roman" w:eastAsia="Calibri" w:hAnsi="Times New Roman" w:cs="Times New Roman"/>
                <w:color w:val="000000" w:themeColor="text1"/>
                <w:sz w:val="24"/>
                <w:szCs w:val="24"/>
                <w:lang w:eastAsia="en-ZA"/>
              </w:rPr>
              <w:t>S</w:t>
            </w:r>
            <w:r w:rsidR="00983130" w:rsidRPr="00344E55">
              <w:rPr>
                <w:rFonts w:ascii="Times New Roman" w:eastAsia="Calibri" w:hAnsi="Times New Roman" w:cs="Times New Roman"/>
                <w:color w:val="000000" w:themeColor="text1"/>
                <w:sz w:val="24"/>
                <w:szCs w:val="24"/>
                <w:lang w:eastAsia="en-ZA"/>
              </w:rPr>
              <w:t>eda</w:t>
            </w:r>
            <w:proofErr w:type="spellEnd"/>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B6ACD93"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867 763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B5D6BC6"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908 960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9FC6FEF"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958 160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5EF7F8"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2 734 883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5BBE42" w14:textId="77777777" w:rsidR="00F21C9D" w:rsidRPr="00344E55" w:rsidRDefault="00F21C9D" w:rsidP="00A80249">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37%</w:t>
            </w:r>
          </w:p>
        </w:tc>
      </w:tr>
      <w:tr w:rsidR="00F21C9D" w:rsidRPr="00344E55" w14:paraId="21AA6C8E" w14:textId="77777777" w:rsidTr="00321BFD">
        <w:trPr>
          <w:trHeight w:val="190"/>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2AB3083" w14:textId="77777777" w:rsidR="00F21C9D" w:rsidRPr="00344E55" w:rsidRDefault="00F21C9D" w:rsidP="00F21C9D">
            <w:pPr>
              <w:spacing w:after="0" w:line="360" w:lineRule="auto"/>
              <w:contextualSpacing/>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themeColor="text1"/>
                <w:sz w:val="24"/>
                <w:szCs w:val="24"/>
                <w:lang w:eastAsia="en-ZA"/>
              </w:rPr>
              <w:t>DSBD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70DC72"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458 584</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C5C67F"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490 731</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5CE21C"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517 721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5B1C32"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1 467 036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5583B4" w14:textId="77777777" w:rsidR="00F21C9D" w:rsidRPr="00344E55" w:rsidRDefault="00A80249" w:rsidP="00A80249">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20</w:t>
            </w:r>
            <w:r w:rsidR="00F21C9D" w:rsidRPr="00344E55">
              <w:rPr>
                <w:rFonts w:ascii="Times New Roman" w:eastAsia="Calibri" w:hAnsi="Times New Roman" w:cs="Times New Roman"/>
                <w:color w:val="000000"/>
                <w:sz w:val="24"/>
                <w:szCs w:val="24"/>
                <w:lang w:val="en-US" w:eastAsia="en-ZA"/>
              </w:rPr>
              <w:t>%</w:t>
            </w:r>
          </w:p>
        </w:tc>
      </w:tr>
      <w:tr w:rsidR="00472145" w:rsidRPr="00344E55" w14:paraId="5B1909DC" w14:textId="77777777" w:rsidTr="00321BFD">
        <w:trPr>
          <w:trHeight w:val="190"/>
        </w:trPr>
        <w:tc>
          <w:tcPr>
            <w:tcW w:w="16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14:paraId="22134719" w14:textId="77777777" w:rsidR="00F21C9D" w:rsidRPr="00344E55" w:rsidRDefault="00F21C9D" w:rsidP="00F21C9D">
            <w:pPr>
              <w:spacing w:after="0" w:line="360" w:lineRule="auto"/>
              <w:contextualSpacing/>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themeColor="text1"/>
                <w:sz w:val="24"/>
                <w:szCs w:val="24"/>
                <w:lang w:eastAsia="en-ZA"/>
              </w:rPr>
              <w:lastRenderedPageBreak/>
              <w:t>Total Transfers</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14:paraId="589B56CF"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2 326 347 </w:t>
            </w:r>
          </w:p>
        </w:tc>
        <w:tc>
          <w:tcPr>
            <w:tcW w:w="13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14:paraId="5A5E1D09"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2 454 691 </w:t>
            </w:r>
          </w:p>
        </w:tc>
        <w:tc>
          <w:tcPr>
            <w:tcW w:w="16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14:paraId="678CDA4D"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2 588 906 </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14:paraId="219FBBBA" w14:textId="77777777" w:rsidR="00F21C9D" w:rsidRPr="00344E55" w:rsidRDefault="00F21C9D" w:rsidP="00F21C9D">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7 369 944 </w:t>
            </w:r>
          </w:p>
        </w:tc>
        <w:tc>
          <w:tcPr>
            <w:tcW w:w="16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14:paraId="07F19CCD" w14:textId="77777777" w:rsidR="00F21C9D" w:rsidRPr="00344E55" w:rsidRDefault="00F21C9D" w:rsidP="00983130">
            <w:pPr>
              <w:spacing w:after="0" w:line="36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100%</w:t>
            </w:r>
          </w:p>
        </w:tc>
      </w:tr>
    </w:tbl>
    <w:p w14:paraId="6A9C2F43" w14:textId="77777777" w:rsidR="00983130" w:rsidRPr="00344E55" w:rsidRDefault="00983130" w:rsidP="00983130">
      <w:pPr>
        <w:pStyle w:val="Default"/>
        <w:contextualSpacing/>
        <w:jc w:val="both"/>
        <w:rPr>
          <w:b/>
          <w:color w:val="auto"/>
        </w:rPr>
      </w:pPr>
      <w:r w:rsidRPr="00344E55">
        <w:rPr>
          <w:b/>
          <w:color w:val="auto"/>
        </w:rPr>
        <w:t>Source: DSBD Annual Performance Plan 2019/20</w:t>
      </w:r>
    </w:p>
    <w:p w14:paraId="04CDFE3A" w14:textId="77777777" w:rsidR="00BE0D71" w:rsidRPr="00344E55" w:rsidRDefault="00BE0D71" w:rsidP="00DC2853">
      <w:pPr>
        <w:pStyle w:val="Default"/>
        <w:spacing w:line="360" w:lineRule="auto"/>
        <w:contextualSpacing/>
        <w:jc w:val="both"/>
        <w:rPr>
          <w:color w:val="auto"/>
        </w:rPr>
      </w:pPr>
    </w:p>
    <w:p w14:paraId="6D9EA539" w14:textId="77777777" w:rsidR="00DC2853" w:rsidRPr="00344E55" w:rsidRDefault="00472145" w:rsidP="00DC2853">
      <w:pPr>
        <w:pStyle w:val="Default"/>
        <w:spacing w:line="360" w:lineRule="auto"/>
        <w:contextualSpacing/>
        <w:jc w:val="both"/>
        <w:rPr>
          <w:rFonts w:eastAsiaTheme="minorEastAsia"/>
          <w:color w:val="auto"/>
          <w:lang w:eastAsia="en-ZA"/>
        </w:rPr>
      </w:pPr>
      <w:proofErr w:type="gramStart"/>
      <w:r w:rsidRPr="00344E55">
        <w:rPr>
          <w:rFonts w:eastAsiaTheme="minorEastAsia"/>
          <w:color w:val="auto"/>
          <w:lang w:eastAsia="en-ZA"/>
        </w:rPr>
        <w:t xml:space="preserve">While table 5 below provides </w:t>
      </w:r>
      <w:r w:rsidR="00213C72" w:rsidRPr="00344E55">
        <w:rPr>
          <w:rFonts w:eastAsiaTheme="minorEastAsia"/>
          <w:color w:val="auto"/>
          <w:lang w:eastAsia="en-ZA"/>
        </w:rPr>
        <w:t xml:space="preserve">summary of specific transfers to </w:t>
      </w:r>
      <w:proofErr w:type="spellStart"/>
      <w:r w:rsidR="00213C72" w:rsidRPr="00344E55">
        <w:rPr>
          <w:rFonts w:eastAsiaTheme="minorEastAsia"/>
          <w:b/>
          <w:color w:val="auto"/>
          <w:lang w:eastAsia="en-ZA"/>
        </w:rPr>
        <w:t>sefa</w:t>
      </w:r>
      <w:proofErr w:type="spellEnd"/>
      <w:r w:rsidR="00213C72" w:rsidRPr="00344E55">
        <w:rPr>
          <w:rFonts w:eastAsiaTheme="minorEastAsia"/>
          <w:color w:val="auto"/>
          <w:lang w:eastAsia="en-ZA"/>
        </w:rPr>
        <w:t xml:space="preserve">, </w:t>
      </w:r>
      <w:proofErr w:type="spellStart"/>
      <w:r w:rsidR="00213C72" w:rsidRPr="00344E55">
        <w:rPr>
          <w:rFonts w:eastAsiaTheme="minorEastAsia"/>
          <w:color w:val="auto"/>
          <w:lang w:eastAsia="en-ZA"/>
        </w:rPr>
        <w:t>Seda</w:t>
      </w:r>
      <w:proofErr w:type="spellEnd"/>
      <w:r w:rsidR="00213C72" w:rsidRPr="00344E55">
        <w:rPr>
          <w:rFonts w:eastAsiaTheme="minorEastAsia"/>
          <w:color w:val="auto"/>
          <w:lang w:eastAsia="en-ZA"/>
        </w:rPr>
        <w:t xml:space="preserve"> and DSBD.</w:t>
      </w:r>
      <w:proofErr w:type="gramEnd"/>
      <w:r w:rsidR="00213C72" w:rsidRPr="00344E55">
        <w:rPr>
          <w:rFonts w:eastAsiaTheme="minorEastAsia"/>
          <w:color w:val="auto"/>
          <w:lang w:eastAsia="en-ZA"/>
        </w:rPr>
        <w:t xml:space="preserve"> There are few areas for further contemplation by the Portfolio Committee. For instance, </w:t>
      </w:r>
      <w:r w:rsidR="00D73550" w:rsidRPr="00344E55">
        <w:rPr>
          <w:rFonts w:eastAsiaTheme="minorEastAsia"/>
          <w:color w:val="auto"/>
          <w:lang w:eastAsia="en-ZA"/>
        </w:rPr>
        <w:t xml:space="preserve">contrasting </w:t>
      </w:r>
      <w:proofErr w:type="spellStart"/>
      <w:r w:rsidR="00213C72" w:rsidRPr="00344E55">
        <w:rPr>
          <w:rFonts w:eastAsiaTheme="minorEastAsia"/>
          <w:color w:val="auto"/>
          <w:lang w:eastAsia="en-ZA"/>
        </w:rPr>
        <w:t>Seda</w:t>
      </w:r>
      <w:proofErr w:type="spellEnd"/>
      <w:r w:rsidR="00213C72" w:rsidRPr="00344E55">
        <w:rPr>
          <w:rFonts w:eastAsiaTheme="minorEastAsia"/>
          <w:color w:val="auto"/>
          <w:lang w:eastAsia="en-ZA"/>
        </w:rPr>
        <w:t xml:space="preserve"> Technology Programme (STP) and Enterprise Incubation Programme (EIP) allocations</w:t>
      </w:r>
      <w:r w:rsidR="000A3BC5" w:rsidRPr="00344E55">
        <w:rPr>
          <w:rFonts w:eastAsiaTheme="minorEastAsia"/>
          <w:color w:val="auto"/>
          <w:lang w:eastAsia="en-ZA"/>
        </w:rPr>
        <w:t xml:space="preserve"> of</w:t>
      </w:r>
      <w:r w:rsidR="00213C72" w:rsidRPr="00344E55">
        <w:rPr>
          <w:rFonts w:eastAsiaTheme="minorEastAsia"/>
          <w:color w:val="auto"/>
          <w:lang w:eastAsia="en-ZA"/>
        </w:rPr>
        <w:t xml:space="preserve"> R152 million and R57 million respectively</w:t>
      </w:r>
      <w:r w:rsidR="00D73550" w:rsidRPr="00344E55">
        <w:rPr>
          <w:rFonts w:eastAsiaTheme="minorEastAsia"/>
          <w:color w:val="auto"/>
          <w:lang w:eastAsia="en-ZA"/>
        </w:rPr>
        <w:t>, it is</w:t>
      </w:r>
      <w:r w:rsidR="000A3BC5" w:rsidRPr="00344E55">
        <w:rPr>
          <w:rFonts w:eastAsiaTheme="minorEastAsia"/>
          <w:color w:val="auto"/>
          <w:lang w:eastAsia="en-ZA"/>
        </w:rPr>
        <w:t xml:space="preserve"> not consistency with the marching orders </w:t>
      </w:r>
      <w:r w:rsidR="00321BFD" w:rsidRPr="00344E55">
        <w:rPr>
          <w:rFonts w:eastAsiaTheme="minorEastAsia"/>
          <w:color w:val="auto"/>
          <w:lang w:eastAsia="en-ZA"/>
        </w:rPr>
        <w:t>given by</w:t>
      </w:r>
      <w:r w:rsidR="000A3BC5" w:rsidRPr="00344E55">
        <w:rPr>
          <w:rFonts w:eastAsiaTheme="minorEastAsia"/>
          <w:color w:val="auto"/>
          <w:lang w:eastAsia="en-ZA"/>
        </w:rPr>
        <w:t xml:space="preserve"> the President </w:t>
      </w:r>
      <w:r w:rsidR="00321BFD" w:rsidRPr="00344E55">
        <w:rPr>
          <w:rFonts w:eastAsiaTheme="minorEastAsia"/>
          <w:color w:val="auto"/>
          <w:lang w:eastAsia="en-ZA"/>
        </w:rPr>
        <w:t xml:space="preserve">during the successive 2019 SONAs </w:t>
      </w:r>
      <w:r w:rsidR="000A3BC5" w:rsidRPr="00344E55">
        <w:rPr>
          <w:rFonts w:eastAsiaTheme="minorEastAsia"/>
          <w:color w:val="auto"/>
          <w:lang w:eastAsia="en-ZA"/>
        </w:rPr>
        <w:t xml:space="preserve">with regards to </w:t>
      </w:r>
      <w:r w:rsidR="00213C72" w:rsidRPr="00344E55">
        <w:rPr>
          <w:rFonts w:eastAsiaTheme="minorEastAsia"/>
          <w:color w:val="auto"/>
          <w:lang w:eastAsia="en-ZA"/>
        </w:rPr>
        <w:t>small enterprise incubation</w:t>
      </w:r>
      <w:r w:rsidR="00DC2853" w:rsidRPr="00344E55">
        <w:rPr>
          <w:rFonts w:eastAsiaTheme="minorEastAsia"/>
          <w:color w:val="auto"/>
          <w:lang w:eastAsia="en-ZA"/>
        </w:rPr>
        <w:t xml:space="preserve"> programme. The incubation programme has now been elevated as one of the</w:t>
      </w:r>
      <w:r w:rsidR="00213C72" w:rsidRPr="00344E55">
        <w:rPr>
          <w:rFonts w:eastAsiaTheme="minorEastAsia"/>
          <w:color w:val="auto"/>
          <w:lang w:eastAsia="en-ZA"/>
        </w:rPr>
        <w:t xml:space="preserve"> government’s flagship policy </w:t>
      </w:r>
      <w:r w:rsidR="00D73550" w:rsidRPr="00344E55">
        <w:rPr>
          <w:rFonts w:eastAsiaTheme="minorEastAsia"/>
          <w:color w:val="auto"/>
          <w:lang w:eastAsia="en-ZA"/>
        </w:rPr>
        <w:t xml:space="preserve">and its budget allocation must </w:t>
      </w:r>
      <w:r w:rsidR="00213C72" w:rsidRPr="00344E55">
        <w:rPr>
          <w:rFonts w:eastAsiaTheme="minorEastAsia"/>
          <w:color w:val="auto"/>
          <w:lang w:eastAsia="en-ZA"/>
        </w:rPr>
        <w:t>find expression in the DSBD</w:t>
      </w:r>
      <w:r w:rsidR="00D73550" w:rsidRPr="00344E55">
        <w:rPr>
          <w:rFonts w:eastAsiaTheme="minorEastAsia"/>
          <w:color w:val="auto"/>
          <w:lang w:eastAsia="en-ZA"/>
        </w:rPr>
        <w:t xml:space="preserve"> and </w:t>
      </w:r>
      <w:proofErr w:type="spellStart"/>
      <w:r w:rsidR="00213C72" w:rsidRPr="00344E55">
        <w:rPr>
          <w:rFonts w:eastAsiaTheme="minorEastAsia"/>
          <w:color w:val="auto"/>
          <w:lang w:eastAsia="en-ZA"/>
        </w:rPr>
        <w:t>Seda</w:t>
      </w:r>
      <w:proofErr w:type="spellEnd"/>
      <w:r w:rsidR="00213C72" w:rsidRPr="00344E55">
        <w:rPr>
          <w:rFonts w:eastAsiaTheme="minorEastAsia"/>
          <w:color w:val="auto"/>
          <w:lang w:eastAsia="en-ZA"/>
        </w:rPr>
        <w:t xml:space="preserve"> </w:t>
      </w:r>
      <w:r w:rsidR="00D73550" w:rsidRPr="00344E55">
        <w:rPr>
          <w:rFonts w:eastAsiaTheme="minorEastAsia"/>
          <w:color w:val="auto"/>
          <w:lang w:eastAsia="en-ZA"/>
        </w:rPr>
        <w:t>strategic planning and annual performance process.</w:t>
      </w:r>
      <w:r w:rsidR="00213C72" w:rsidRPr="00344E55">
        <w:rPr>
          <w:rFonts w:eastAsiaTheme="minorEastAsia"/>
          <w:color w:val="auto"/>
          <w:lang w:eastAsia="en-ZA"/>
        </w:rPr>
        <w:t xml:space="preserve">  </w:t>
      </w:r>
    </w:p>
    <w:p w14:paraId="7A3577B6" w14:textId="77777777" w:rsidR="00DC2853" w:rsidRPr="00344E55" w:rsidRDefault="00DC2853" w:rsidP="00DC2853">
      <w:pPr>
        <w:pStyle w:val="Default"/>
        <w:spacing w:line="360" w:lineRule="auto"/>
        <w:contextualSpacing/>
        <w:jc w:val="both"/>
        <w:rPr>
          <w:rFonts w:eastAsiaTheme="minorEastAsia"/>
          <w:color w:val="auto"/>
          <w:lang w:eastAsia="en-ZA"/>
        </w:rPr>
      </w:pPr>
    </w:p>
    <w:p w14:paraId="703E72A2" w14:textId="77777777" w:rsidR="00472145" w:rsidRPr="00344E55" w:rsidRDefault="00671FC6" w:rsidP="00DC2853">
      <w:pPr>
        <w:pStyle w:val="Default"/>
        <w:spacing w:line="360" w:lineRule="auto"/>
        <w:contextualSpacing/>
        <w:jc w:val="both"/>
        <w:rPr>
          <w:rFonts w:eastAsiaTheme="minorEastAsia"/>
          <w:color w:val="auto"/>
          <w:lang w:eastAsia="en-ZA"/>
        </w:rPr>
      </w:pPr>
      <w:r w:rsidRPr="00344E55">
        <w:rPr>
          <w:rFonts w:eastAsiaTheme="minorEastAsia"/>
          <w:color w:val="auto"/>
          <w:lang w:eastAsia="en-ZA"/>
        </w:rPr>
        <w:t xml:space="preserve">In addition, during the </w:t>
      </w:r>
      <w:r w:rsidR="00DC2853" w:rsidRPr="00344E55">
        <w:rPr>
          <w:rFonts w:eastAsiaTheme="minorEastAsia"/>
          <w:color w:val="auto"/>
          <w:lang w:eastAsia="en-ZA"/>
        </w:rPr>
        <w:t>fifth</w:t>
      </w:r>
      <w:r w:rsidRPr="00344E55">
        <w:rPr>
          <w:rFonts w:eastAsiaTheme="minorEastAsia"/>
          <w:color w:val="auto"/>
          <w:lang w:eastAsia="en-ZA"/>
        </w:rPr>
        <w:t xml:space="preserve"> </w:t>
      </w:r>
      <w:r w:rsidR="00DC2853" w:rsidRPr="00344E55">
        <w:rPr>
          <w:rFonts w:eastAsiaTheme="minorEastAsia"/>
          <w:color w:val="auto"/>
          <w:lang w:eastAsia="en-ZA"/>
        </w:rPr>
        <w:t xml:space="preserve">Parliament, the Portfolio Committee expressed </w:t>
      </w:r>
      <w:r w:rsidR="008723C6" w:rsidRPr="00344E55">
        <w:rPr>
          <w:rFonts w:eastAsiaTheme="minorEastAsia"/>
          <w:color w:val="auto"/>
          <w:lang w:eastAsia="en-ZA"/>
        </w:rPr>
        <w:t>an opinion with respect to</w:t>
      </w:r>
      <w:r w:rsidR="00DC2853" w:rsidRPr="00344E55">
        <w:rPr>
          <w:rFonts w:eastAsiaTheme="minorEastAsia"/>
          <w:color w:val="auto"/>
          <w:lang w:eastAsia="en-ZA"/>
        </w:rPr>
        <w:t xml:space="preserve"> national gazelles </w:t>
      </w:r>
      <w:r w:rsidR="008723C6" w:rsidRPr="00344E55">
        <w:rPr>
          <w:rFonts w:eastAsiaTheme="minorEastAsia"/>
          <w:color w:val="auto"/>
          <w:lang w:eastAsia="en-ZA"/>
        </w:rPr>
        <w:t>which was precipitated by</w:t>
      </w:r>
      <w:r w:rsidR="00DC2853" w:rsidRPr="00344E55">
        <w:t xml:space="preserve"> National Treasury instruction to </w:t>
      </w:r>
      <w:proofErr w:type="spellStart"/>
      <w:r w:rsidR="00DC2853" w:rsidRPr="00344E55">
        <w:t>Seda</w:t>
      </w:r>
      <w:proofErr w:type="spellEnd"/>
      <w:r w:rsidR="00DC2853" w:rsidRPr="00344E55">
        <w:t xml:space="preserve"> “to classify amounts paid for the implementation of the national gazelles programme as irregular expenditure as they were approved by management without complying with procurement processes in inviting competitive bids”. The Portfolio Committee went further to make a recommendation to the Department and </w:t>
      </w:r>
      <w:proofErr w:type="spellStart"/>
      <w:r w:rsidR="00DC2853" w:rsidRPr="00344E55">
        <w:t>Seda</w:t>
      </w:r>
      <w:proofErr w:type="spellEnd"/>
      <w:r w:rsidR="00DC2853" w:rsidRPr="00344E55">
        <w:t xml:space="preserve"> to furnish it with a detailed plan of action in addressing National Trea</w:t>
      </w:r>
      <w:r w:rsidR="008723C6" w:rsidRPr="00344E55">
        <w:t xml:space="preserve">sury and Auditor General </w:t>
      </w:r>
      <w:proofErr w:type="gramStart"/>
      <w:r w:rsidR="00BE0D71" w:rsidRPr="00344E55">
        <w:t>recommendations</w:t>
      </w:r>
      <w:proofErr w:type="gramEnd"/>
      <w:r w:rsidR="00DC2853" w:rsidRPr="00344E55">
        <w:t xml:space="preserve"> regarding irregular expenditure incurred in the implementation of national gazelles by 31 October 2018. It is c</w:t>
      </w:r>
      <w:r w:rsidR="008723C6" w:rsidRPr="00344E55">
        <w:t xml:space="preserve">lear that this problem is being </w:t>
      </w:r>
      <w:r w:rsidR="00140E57" w:rsidRPr="00344E55">
        <w:t xml:space="preserve">carried forward and </w:t>
      </w:r>
      <w:r w:rsidR="00DC2853" w:rsidRPr="00344E55">
        <w:t xml:space="preserve">perpetuated to the sixth Parliament without it having been adequately </w:t>
      </w:r>
      <w:r w:rsidR="00140E57" w:rsidRPr="00344E55">
        <w:t>resolved</w:t>
      </w:r>
      <w:r w:rsidR="00DC2853" w:rsidRPr="00344E55">
        <w:t>.</w:t>
      </w:r>
      <w:r w:rsidR="008723C6" w:rsidRPr="00344E55">
        <w:t xml:space="preserve"> During the budget vote presentations, there were legacy issues </w:t>
      </w:r>
      <w:r w:rsidR="00140E57" w:rsidRPr="00344E55">
        <w:t xml:space="preserve">raised </w:t>
      </w:r>
      <w:r w:rsidR="008723C6" w:rsidRPr="00344E55">
        <w:t xml:space="preserve">including this </w:t>
      </w:r>
      <w:r w:rsidR="00140E57" w:rsidRPr="00344E55">
        <w:t>particular matter</w:t>
      </w:r>
      <w:r w:rsidR="008723C6" w:rsidRPr="00344E55">
        <w:t>, but there was an arrangement that all outstanding issues will be deliberated upon shortly after the budget vote process.</w:t>
      </w:r>
    </w:p>
    <w:p w14:paraId="26C091E3" w14:textId="77777777" w:rsidR="00472145" w:rsidRPr="00344E55" w:rsidRDefault="00472145" w:rsidP="00933E54">
      <w:pPr>
        <w:pStyle w:val="Default"/>
        <w:spacing w:line="360" w:lineRule="auto"/>
        <w:contextualSpacing/>
        <w:jc w:val="both"/>
        <w:rPr>
          <w:rFonts w:eastAsiaTheme="minorEastAsia"/>
          <w:color w:val="auto"/>
          <w:lang w:eastAsia="en-ZA"/>
        </w:rPr>
      </w:pPr>
    </w:p>
    <w:p w14:paraId="44A96DA2" w14:textId="77777777" w:rsidR="00472145" w:rsidRPr="00344E55" w:rsidRDefault="00472145" w:rsidP="00472145">
      <w:pPr>
        <w:pStyle w:val="Default"/>
        <w:contextualSpacing/>
        <w:jc w:val="both"/>
        <w:rPr>
          <w:rFonts w:eastAsiaTheme="minorEastAsia"/>
          <w:b/>
          <w:color w:val="auto"/>
          <w:lang w:eastAsia="en-ZA"/>
        </w:rPr>
      </w:pPr>
      <w:r w:rsidRPr="00344E55">
        <w:rPr>
          <w:rFonts w:eastAsiaTheme="minorEastAsia"/>
          <w:b/>
          <w:color w:val="auto"/>
          <w:lang w:eastAsia="en-ZA"/>
        </w:rPr>
        <w:t>Table 5: Detailed Transfers</w:t>
      </w:r>
    </w:p>
    <w:tbl>
      <w:tblPr>
        <w:tblW w:w="9535" w:type="dxa"/>
        <w:tblCellMar>
          <w:left w:w="0" w:type="dxa"/>
          <w:right w:w="0" w:type="dxa"/>
        </w:tblCellMar>
        <w:tblLook w:val="0600" w:firstRow="0" w:lastRow="0" w:firstColumn="0" w:lastColumn="0" w:noHBand="1" w:noVBand="1"/>
      </w:tblPr>
      <w:tblGrid>
        <w:gridCol w:w="2965"/>
        <w:gridCol w:w="1170"/>
        <w:gridCol w:w="1625"/>
        <w:gridCol w:w="1165"/>
        <w:gridCol w:w="1260"/>
        <w:gridCol w:w="1350"/>
      </w:tblGrid>
      <w:tr w:rsidR="00472145" w:rsidRPr="00344E55" w14:paraId="584F3D82" w14:textId="77777777" w:rsidTr="00472145">
        <w:trPr>
          <w:trHeight w:val="546"/>
        </w:trPr>
        <w:tc>
          <w:tcPr>
            <w:tcW w:w="2965"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14:paraId="32DFB439" w14:textId="77777777" w:rsidR="00472145" w:rsidRPr="00344E55" w:rsidRDefault="00472145" w:rsidP="00472145">
            <w:pPr>
              <w:spacing w:after="0" w:line="240" w:lineRule="auto"/>
              <w:jc w:val="center"/>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Details</w:t>
            </w:r>
          </w:p>
        </w:tc>
        <w:tc>
          <w:tcPr>
            <w:tcW w:w="117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14:paraId="4B11B66A" w14:textId="77777777" w:rsidR="00472145" w:rsidRPr="00344E55" w:rsidRDefault="00472145" w:rsidP="00472145">
            <w:pPr>
              <w:spacing w:after="0" w:line="240" w:lineRule="auto"/>
              <w:jc w:val="center"/>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 </w:t>
            </w:r>
          </w:p>
        </w:tc>
        <w:tc>
          <w:tcPr>
            <w:tcW w:w="1625"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14:paraId="018FD3D5" w14:textId="77777777" w:rsidR="00472145" w:rsidRPr="00344E55" w:rsidRDefault="00472145" w:rsidP="00204F9F">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themeColor="text1"/>
                <w:sz w:val="24"/>
                <w:szCs w:val="24"/>
                <w:lang w:eastAsia="en-ZA"/>
              </w:rPr>
              <w:t xml:space="preserve"> 2019/20 </w:t>
            </w:r>
          </w:p>
        </w:tc>
        <w:tc>
          <w:tcPr>
            <w:tcW w:w="1165"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14:paraId="05BE4542" w14:textId="77777777" w:rsidR="00472145" w:rsidRPr="00344E55" w:rsidRDefault="00472145" w:rsidP="00204F9F">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themeColor="text1"/>
                <w:sz w:val="24"/>
                <w:szCs w:val="24"/>
                <w:lang w:eastAsia="en-ZA"/>
              </w:rPr>
              <w:t xml:space="preserve"> 2020/21 </w:t>
            </w:r>
          </w:p>
        </w:tc>
        <w:tc>
          <w:tcPr>
            <w:tcW w:w="126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14:paraId="6F73B543" w14:textId="77777777" w:rsidR="00472145" w:rsidRPr="00344E55" w:rsidRDefault="00472145" w:rsidP="00204F9F">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themeColor="text1"/>
                <w:sz w:val="24"/>
                <w:szCs w:val="24"/>
                <w:lang w:eastAsia="en-ZA"/>
              </w:rPr>
              <w:t xml:space="preserve"> 2021/22 </w:t>
            </w:r>
          </w:p>
        </w:tc>
        <w:tc>
          <w:tcPr>
            <w:tcW w:w="135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14:paraId="44FDD132" w14:textId="77777777" w:rsidR="00472145" w:rsidRPr="00344E55" w:rsidRDefault="00472145" w:rsidP="00204F9F">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TOTAL 2019 MTEF</w:t>
            </w:r>
          </w:p>
        </w:tc>
      </w:tr>
      <w:tr w:rsidR="00472145" w:rsidRPr="00344E55" w14:paraId="6CBD708B" w14:textId="77777777" w:rsidTr="00472145">
        <w:trPr>
          <w:trHeight w:val="421"/>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795F7"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eastAsia="en-ZA"/>
              </w:rPr>
              <w:t xml:space="preserve">Small Business and Innovation Fund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11A98"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proofErr w:type="spellStart"/>
            <w:r w:rsidRPr="00344E55">
              <w:rPr>
                <w:rFonts w:ascii="Times New Roman" w:eastAsia="Calibri" w:hAnsi="Times New Roman" w:cs="Times New Roman"/>
                <w:b/>
                <w:bCs/>
                <w:iCs/>
                <w:color w:val="000000"/>
                <w:sz w:val="24"/>
                <w:szCs w:val="24"/>
                <w:lang w:eastAsia="en-ZA"/>
              </w:rPr>
              <w:t>sefa</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FA6086C"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1 000 000</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F9DCA7C"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1 055 000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36DDA2E"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1 113 025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857D61A"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3 168 025</w:t>
            </w:r>
          </w:p>
        </w:tc>
      </w:tr>
      <w:tr w:rsidR="00472145" w:rsidRPr="00344E55" w14:paraId="2A82905C" w14:textId="77777777" w:rsidTr="00472145">
        <w:trPr>
          <w:trHeight w:val="421"/>
        </w:trPr>
        <w:tc>
          <w:tcPr>
            <w:tcW w:w="2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3A93812D"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 xml:space="preserve">Total to </w:t>
            </w:r>
            <w:proofErr w:type="spellStart"/>
            <w:r w:rsidRPr="00344E55">
              <w:rPr>
                <w:rFonts w:ascii="Times New Roman" w:eastAsia="Calibri" w:hAnsi="Times New Roman" w:cs="Times New Roman"/>
                <w:b/>
                <w:bCs/>
                <w:color w:val="000000"/>
                <w:sz w:val="24"/>
                <w:szCs w:val="24"/>
                <w:lang w:eastAsia="en-ZA"/>
              </w:rPr>
              <w:t>sefa</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47CF7EC7"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 </w:t>
            </w:r>
          </w:p>
        </w:tc>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center"/>
            <w:hideMark/>
          </w:tcPr>
          <w:p w14:paraId="7E3F738D"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1 000 000</w:t>
            </w:r>
          </w:p>
        </w:tc>
        <w:tc>
          <w:tcPr>
            <w:tcW w:w="11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center"/>
            <w:hideMark/>
          </w:tcPr>
          <w:p w14:paraId="6340F190"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1 055 000</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center"/>
            <w:hideMark/>
          </w:tcPr>
          <w:p w14:paraId="4D801F91"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1 113 025</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center"/>
            <w:hideMark/>
          </w:tcPr>
          <w:p w14:paraId="4747D9FD"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3 168 025</w:t>
            </w:r>
          </w:p>
        </w:tc>
      </w:tr>
      <w:tr w:rsidR="00472145" w:rsidRPr="00344E55" w14:paraId="73920514" w14:textId="77777777" w:rsidTr="00472145">
        <w:trPr>
          <w:trHeight w:val="546"/>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8DDE7"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eastAsia="en-ZA"/>
              </w:rPr>
              <w:t>Small Enterprise Development Agency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95E7DF"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proofErr w:type="spellStart"/>
            <w:r w:rsidRPr="00344E55">
              <w:rPr>
                <w:rFonts w:ascii="Times New Roman" w:eastAsia="Calibri" w:hAnsi="Times New Roman" w:cs="Times New Roman"/>
                <w:iCs/>
                <w:color w:val="000000"/>
                <w:sz w:val="24"/>
                <w:szCs w:val="24"/>
                <w:lang w:eastAsia="en-ZA"/>
              </w:rPr>
              <w:t>Seda</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6ED20B8"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607 274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20CE9FD"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641 465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479831F"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675 953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4A831F9"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1 924 692 </w:t>
            </w:r>
          </w:p>
        </w:tc>
      </w:tr>
      <w:tr w:rsidR="00472145" w:rsidRPr="00344E55" w14:paraId="68F9378D" w14:textId="77777777" w:rsidTr="00472145">
        <w:trPr>
          <w:trHeight w:val="546"/>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D9D88F"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val="en-GB" w:eastAsia="en-ZA"/>
              </w:rPr>
              <w:t xml:space="preserve">Small Enterprise Development Agency: </w:t>
            </w:r>
            <w:r w:rsidRPr="00344E55">
              <w:rPr>
                <w:rFonts w:ascii="Times New Roman" w:eastAsia="Calibri" w:hAnsi="Times New Roman" w:cs="Times New Roman"/>
                <w:iCs/>
                <w:color w:val="000000"/>
                <w:sz w:val="24"/>
                <w:szCs w:val="24"/>
                <w:lang w:val="en-GB" w:eastAsia="en-ZA"/>
              </w:rPr>
              <w:lastRenderedPageBreak/>
              <w:t>Technology programme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5CF60"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proofErr w:type="spellStart"/>
            <w:r w:rsidRPr="00344E55">
              <w:rPr>
                <w:rFonts w:ascii="Times New Roman" w:eastAsia="Calibri" w:hAnsi="Times New Roman" w:cs="Times New Roman"/>
                <w:iCs/>
                <w:color w:val="000000"/>
                <w:sz w:val="24"/>
                <w:szCs w:val="24"/>
                <w:lang w:eastAsia="en-ZA"/>
              </w:rPr>
              <w:lastRenderedPageBreak/>
              <w:t>Seda</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2015F27"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152 281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9AC4DBC"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160 261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22EF4BA"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169 075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E6F255D"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481 617 </w:t>
            </w:r>
          </w:p>
        </w:tc>
      </w:tr>
      <w:tr w:rsidR="00472145" w:rsidRPr="00344E55" w14:paraId="6A71BA81" w14:textId="77777777" w:rsidTr="00472145">
        <w:trPr>
          <w:trHeight w:val="813"/>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51A1A"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val="en-GB" w:eastAsia="en-ZA"/>
              </w:rPr>
              <w:lastRenderedPageBreak/>
              <w:t xml:space="preserve">Small Enterprise Development Agency: Capacity Building Programme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73747"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proofErr w:type="spellStart"/>
            <w:r w:rsidRPr="00344E55">
              <w:rPr>
                <w:rFonts w:ascii="Times New Roman" w:eastAsia="Calibri" w:hAnsi="Times New Roman" w:cs="Times New Roman"/>
                <w:iCs/>
                <w:color w:val="000000"/>
                <w:sz w:val="24"/>
                <w:szCs w:val="24"/>
                <w:lang w:eastAsia="en-ZA"/>
              </w:rPr>
              <w:t>Seda</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1F084D9"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15 406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3253B98"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16 253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66C09FD"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17 147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9C80B98"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48 806 </w:t>
            </w:r>
          </w:p>
        </w:tc>
      </w:tr>
      <w:tr w:rsidR="00472145" w:rsidRPr="00344E55" w14:paraId="14C4617F" w14:textId="77777777" w:rsidTr="00472145">
        <w:trPr>
          <w:trHeight w:val="324"/>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CE379"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SEDA Gazelles Programmes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F4F0F"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proofErr w:type="spellStart"/>
            <w:r w:rsidRPr="00344E55">
              <w:rPr>
                <w:rFonts w:ascii="Times New Roman" w:eastAsia="Calibri" w:hAnsi="Times New Roman" w:cs="Times New Roman"/>
                <w:iCs/>
                <w:color w:val="000000"/>
                <w:sz w:val="24"/>
                <w:szCs w:val="24"/>
                <w:lang w:eastAsia="en-ZA"/>
              </w:rPr>
              <w:t>Seda</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C08AB78"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35 000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3A6FD33"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30 000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84C68DD"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31 650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65FD03C"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96 650 </w:t>
            </w:r>
          </w:p>
        </w:tc>
      </w:tr>
      <w:tr w:rsidR="00472145" w:rsidRPr="00344E55" w14:paraId="0B829729" w14:textId="77777777" w:rsidTr="00472145">
        <w:trPr>
          <w:trHeight w:val="546"/>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CF47E"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fr-FR" w:eastAsia="en-ZA"/>
              </w:rPr>
              <w:t>SEDA  Enterprise Incubation Programme (EIP)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C57D2"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proofErr w:type="spellStart"/>
            <w:r w:rsidRPr="00344E55">
              <w:rPr>
                <w:rFonts w:ascii="Times New Roman" w:eastAsia="Calibri" w:hAnsi="Times New Roman" w:cs="Times New Roman"/>
                <w:iCs/>
                <w:color w:val="000000"/>
                <w:sz w:val="24"/>
                <w:szCs w:val="24"/>
                <w:lang w:eastAsia="en-ZA"/>
              </w:rPr>
              <w:t>Seda</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FE1E928"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57 802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8BA8385"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60 981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6542C93"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64 335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63F0A80"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        183 118 </w:t>
            </w:r>
          </w:p>
        </w:tc>
      </w:tr>
      <w:tr w:rsidR="00472145" w:rsidRPr="00344E55" w14:paraId="290C134E" w14:textId="77777777" w:rsidTr="00472145">
        <w:trPr>
          <w:trHeight w:val="313"/>
        </w:trPr>
        <w:tc>
          <w:tcPr>
            <w:tcW w:w="2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2BEDBE63"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 xml:space="preserve">Total to </w:t>
            </w:r>
            <w:proofErr w:type="spellStart"/>
            <w:r w:rsidRPr="00344E55">
              <w:rPr>
                <w:rFonts w:ascii="Times New Roman" w:eastAsia="Calibri" w:hAnsi="Times New Roman" w:cs="Times New Roman"/>
                <w:b/>
                <w:bCs/>
                <w:color w:val="000000"/>
                <w:sz w:val="24"/>
                <w:szCs w:val="24"/>
                <w:lang w:eastAsia="en-ZA"/>
              </w:rPr>
              <w:t>Seda</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5AADA22C"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w:t>
            </w:r>
          </w:p>
        </w:tc>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center"/>
            <w:hideMark/>
          </w:tcPr>
          <w:p w14:paraId="52335364"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867 763</w:t>
            </w:r>
          </w:p>
        </w:tc>
        <w:tc>
          <w:tcPr>
            <w:tcW w:w="11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center"/>
            <w:hideMark/>
          </w:tcPr>
          <w:p w14:paraId="16130244"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908 960</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center"/>
            <w:hideMark/>
          </w:tcPr>
          <w:p w14:paraId="724AA37F"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958 160</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center"/>
            <w:hideMark/>
          </w:tcPr>
          <w:p w14:paraId="346F3334"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2 715 474</w:t>
            </w:r>
          </w:p>
        </w:tc>
      </w:tr>
      <w:tr w:rsidR="00472145" w:rsidRPr="00344E55" w14:paraId="33F843D1" w14:textId="77777777" w:rsidTr="00472145">
        <w:trPr>
          <w:trHeight w:val="317"/>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4D60C4"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eastAsia="en-ZA"/>
              </w:rPr>
              <w:t>BBSDP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61957"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eastAsia="en-ZA"/>
              </w:rPr>
              <w:t>DSBD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70C27"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286 126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E9FD12"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301 863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9E91A0"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318 465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58B28"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906 454 </w:t>
            </w:r>
          </w:p>
        </w:tc>
      </w:tr>
      <w:tr w:rsidR="00472145" w:rsidRPr="00344E55" w14:paraId="7C57300C" w14:textId="77777777" w:rsidTr="00472145">
        <w:trPr>
          <w:trHeight w:val="421"/>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E6AF0" w14:textId="77777777" w:rsidR="00472145" w:rsidRPr="00344E55" w:rsidRDefault="00697211"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eastAsia="en-ZA"/>
              </w:rPr>
              <w:t>Co-o</w:t>
            </w:r>
            <w:r w:rsidR="00472145" w:rsidRPr="00344E55">
              <w:rPr>
                <w:rFonts w:ascii="Times New Roman" w:eastAsia="Calibri" w:hAnsi="Times New Roman" w:cs="Times New Roman"/>
                <w:iCs/>
                <w:color w:val="000000"/>
                <w:sz w:val="24"/>
                <w:szCs w:val="24"/>
                <w:lang w:eastAsia="en-ZA"/>
              </w:rPr>
              <w:t>peratives Incentive Scheme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95401"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eastAsia="en-ZA"/>
              </w:rPr>
              <w:t>DSBD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86388"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87 984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9F48F3"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92 823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BE6587"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97 928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997F4"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278 735 </w:t>
            </w:r>
          </w:p>
        </w:tc>
      </w:tr>
      <w:tr w:rsidR="00472145" w:rsidRPr="00344E55" w14:paraId="171F45E5" w14:textId="77777777" w:rsidTr="00472145">
        <w:trPr>
          <w:trHeight w:val="546"/>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B3658"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val="en-GB" w:eastAsia="en-ZA"/>
              </w:rPr>
              <w:t xml:space="preserve">National Informal Business </w:t>
            </w:r>
            <w:proofErr w:type="spellStart"/>
            <w:r w:rsidRPr="00344E55">
              <w:rPr>
                <w:rFonts w:ascii="Times New Roman" w:eastAsia="Calibri" w:hAnsi="Times New Roman" w:cs="Times New Roman"/>
                <w:iCs/>
                <w:color w:val="000000"/>
                <w:sz w:val="24"/>
                <w:szCs w:val="24"/>
                <w:lang w:val="en-GB" w:eastAsia="en-ZA"/>
              </w:rPr>
              <w:t>Upliftment</w:t>
            </w:r>
            <w:proofErr w:type="spellEnd"/>
            <w:r w:rsidRPr="00344E55">
              <w:rPr>
                <w:rFonts w:ascii="Times New Roman" w:eastAsia="Calibri" w:hAnsi="Times New Roman" w:cs="Times New Roman"/>
                <w:iCs/>
                <w:color w:val="000000"/>
                <w:sz w:val="24"/>
                <w:szCs w:val="24"/>
                <w:lang w:val="en-GB" w:eastAsia="en-ZA"/>
              </w:rPr>
              <w:t xml:space="preserve"> Scheme (NIBUS)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C09CB7"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eastAsia="en-ZA"/>
              </w:rPr>
              <w:t>DSBD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91503"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73 914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7E9BB"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84 904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E9C61"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89 574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1E8DD"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248 392 </w:t>
            </w:r>
          </w:p>
        </w:tc>
      </w:tr>
      <w:tr w:rsidR="00472145" w:rsidRPr="00344E55" w14:paraId="2801531D" w14:textId="77777777" w:rsidTr="00472145">
        <w:trPr>
          <w:trHeight w:val="421"/>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C93357"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eastAsia="en-ZA"/>
              </w:rPr>
              <w:t>Craft Customised sector Programme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C35F95"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iCs/>
                <w:color w:val="000000"/>
                <w:sz w:val="24"/>
                <w:szCs w:val="24"/>
                <w:lang w:eastAsia="en-ZA"/>
              </w:rPr>
              <w:t>DSBD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369BD7"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10 560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05503D"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11 141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E3F26D"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11 754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81744"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val="en-US" w:eastAsia="en-ZA"/>
              </w:rPr>
              <w:t xml:space="preserve">33 455 </w:t>
            </w:r>
          </w:p>
        </w:tc>
      </w:tr>
      <w:tr w:rsidR="00472145" w:rsidRPr="00344E55" w14:paraId="77D33BB9" w14:textId="77777777" w:rsidTr="00472145">
        <w:trPr>
          <w:trHeight w:val="317"/>
        </w:trPr>
        <w:tc>
          <w:tcPr>
            <w:tcW w:w="2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55DE36FB"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TOTAL DSBD</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48F024E8"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w:t>
            </w:r>
          </w:p>
        </w:tc>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3FC4BD6F"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458 584 </w:t>
            </w:r>
          </w:p>
        </w:tc>
        <w:tc>
          <w:tcPr>
            <w:tcW w:w="11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79A42D67"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490 731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2A6EBFB5"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517 721 </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75BD3CD2"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1 467 036 </w:t>
            </w:r>
          </w:p>
        </w:tc>
      </w:tr>
      <w:tr w:rsidR="00472145" w:rsidRPr="00344E55" w14:paraId="20FB1F92" w14:textId="77777777" w:rsidTr="00472145">
        <w:trPr>
          <w:trHeight w:val="317"/>
        </w:trPr>
        <w:tc>
          <w:tcPr>
            <w:tcW w:w="2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7DA716B9"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TOTAL</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0E1FB46A" w14:textId="77777777" w:rsidR="00472145" w:rsidRPr="00344E55" w:rsidRDefault="00472145" w:rsidP="00472145">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 </w:t>
            </w:r>
          </w:p>
        </w:tc>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71590E10"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2 326 347 </w:t>
            </w:r>
          </w:p>
        </w:tc>
        <w:tc>
          <w:tcPr>
            <w:tcW w:w="11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007D6790"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2 454 691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65FABA94"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2 588 906 </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14:paraId="5ED4B39B" w14:textId="77777777" w:rsidR="00472145" w:rsidRPr="00344E55" w:rsidRDefault="00472145" w:rsidP="00472145">
            <w:pPr>
              <w:spacing w:after="0" w:line="240" w:lineRule="auto"/>
              <w:jc w:val="right"/>
              <w:textAlignment w:val="bottom"/>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val="en-US" w:eastAsia="en-ZA"/>
              </w:rPr>
              <w:t xml:space="preserve">7 369 944 </w:t>
            </w:r>
          </w:p>
        </w:tc>
      </w:tr>
    </w:tbl>
    <w:p w14:paraId="5CF6EAD8" w14:textId="77777777" w:rsidR="00472145" w:rsidRPr="00344E55" w:rsidRDefault="00472145" w:rsidP="00472145">
      <w:pPr>
        <w:pStyle w:val="Default"/>
        <w:contextualSpacing/>
        <w:jc w:val="both"/>
        <w:rPr>
          <w:b/>
          <w:color w:val="auto"/>
        </w:rPr>
      </w:pPr>
      <w:r w:rsidRPr="00344E55">
        <w:rPr>
          <w:b/>
          <w:color w:val="auto"/>
        </w:rPr>
        <w:t>Source: DSBD Annual Performance Plan 2019/20</w:t>
      </w:r>
    </w:p>
    <w:p w14:paraId="079C5343" w14:textId="77777777" w:rsidR="00472145" w:rsidRPr="00344E55" w:rsidRDefault="00472145" w:rsidP="005200EB">
      <w:pPr>
        <w:pStyle w:val="Default"/>
        <w:spacing w:line="360" w:lineRule="auto"/>
        <w:contextualSpacing/>
        <w:jc w:val="both"/>
        <w:rPr>
          <w:b/>
          <w:color w:val="auto"/>
        </w:rPr>
      </w:pPr>
    </w:p>
    <w:p w14:paraId="1332EF4F" w14:textId="77777777" w:rsidR="005200EB" w:rsidRPr="00344E55" w:rsidRDefault="005200EB" w:rsidP="005200EB">
      <w:pPr>
        <w:pStyle w:val="Default"/>
        <w:spacing w:line="360" w:lineRule="auto"/>
        <w:contextualSpacing/>
        <w:jc w:val="both"/>
        <w:rPr>
          <w:b/>
          <w:color w:val="auto"/>
        </w:rPr>
      </w:pPr>
      <w:r w:rsidRPr="00344E55">
        <w:rPr>
          <w:b/>
          <w:color w:val="auto"/>
        </w:rPr>
        <w:t>5.1</w:t>
      </w:r>
      <w:r w:rsidRPr="00344E55">
        <w:rPr>
          <w:b/>
          <w:color w:val="auto"/>
        </w:rPr>
        <w:tab/>
        <w:t>Programme 1: Administration</w:t>
      </w:r>
    </w:p>
    <w:p w14:paraId="2413657E" w14:textId="77777777" w:rsidR="004B0A8F" w:rsidRPr="00344E55" w:rsidRDefault="004B0A8F" w:rsidP="004B0A8F">
      <w:pPr>
        <w:pStyle w:val="Default"/>
        <w:spacing w:line="360" w:lineRule="auto"/>
        <w:contextualSpacing/>
        <w:jc w:val="both"/>
        <w:rPr>
          <w:color w:val="auto"/>
        </w:rPr>
      </w:pPr>
      <w:r w:rsidRPr="00344E55">
        <w:rPr>
          <w:color w:val="auto"/>
        </w:rPr>
        <w:t xml:space="preserve">The purpose of Programme 1 is to provide strategic leadership, management and support services to the Minister, Director-General, the Department and its entities.  </w:t>
      </w:r>
      <w:r w:rsidR="00B463E2" w:rsidRPr="00344E55">
        <w:rPr>
          <w:color w:val="auto"/>
        </w:rPr>
        <w:t>The programme is responsible, among others, for making certain that sound governance is in place, enhanced contribution to socioeconomic development outcomes, professional and capacitated small business development sector as well as guaranteeing that limited resources a</w:t>
      </w:r>
      <w:r w:rsidR="00204F0B" w:rsidRPr="00344E55">
        <w:rPr>
          <w:color w:val="auto"/>
        </w:rPr>
        <w:t>re utilised optimally.</w:t>
      </w:r>
      <w:r w:rsidR="00B463E2" w:rsidRPr="00344E55">
        <w:rPr>
          <w:color w:val="auto"/>
        </w:rPr>
        <w:t xml:space="preserve"> </w:t>
      </w:r>
      <w:r w:rsidRPr="00344E55">
        <w:rPr>
          <w:color w:val="auto"/>
        </w:rPr>
        <w:t xml:space="preserve">Programme 1 has been allocated </w:t>
      </w:r>
      <w:r w:rsidR="00E079AF" w:rsidRPr="00344E55">
        <w:rPr>
          <w:color w:val="auto"/>
        </w:rPr>
        <w:t xml:space="preserve">R395 million </w:t>
      </w:r>
      <w:r w:rsidRPr="00344E55">
        <w:rPr>
          <w:color w:val="auto"/>
        </w:rPr>
        <w:t>over the MTEF period</w:t>
      </w:r>
      <w:r w:rsidR="002C16C5" w:rsidRPr="00344E55">
        <w:rPr>
          <w:color w:val="auto"/>
        </w:rPr>
        <w:t xml:space="preserve"> disaggregated amongst the following </w:t>
      </w:r>
      <w:proofErr w:type="spellStart"/>
      <w:r w:rsidR="002C16C5" w:rsidRPr="00344E55">
        <w:rPr>
          <w:color w:val="auto"/>
        </w:rPr>
        <w:t>subprogrammes</w:t>
      </w:r>
      <w:proofErr w:type="spellEnd"/>
      <w:r w:rsidR="002C16C5" w:rsidRPr="00344E55">
        <w:rPr>
          <w:color w:val="auto"/>
        </w:rPr>
        <w:t>:</w:t>
      </w:r>
      <w:r w:rsidRPr="00344E55">
        <w:rPr>
          <w:color w:val="auto"/>
        </w:rPr>
        <w:t xml:space="preserve"> Ministry</w:t>
      </w:r>
      <w:r w:rsidR="002C16C5" w:rsidRPr="00344E55">
        <w:rPr>
          <w:color w:val="auto"/>
        </w:rPr>
        <w:t xml:space="preserve"> (R85 million)</w:t>
      </w:r>
      <w:r w:rsidRPr="00344E55">
        <w:rPr>
          <w:color w:val="auto"/>
        </w:rPr>
        <w:t>, Departmental Management</w:t>
      </w:r>
      <w:r w:rsidR="002C16C5" w:rsidRPr="00344E55">
        <w:rPr>
          <w:color w:val="auto"/>
        </w:rPr>
        <w:t xml:space="preserve"> (R57 million)</w:t>
      </w:r>
      <w:r w:rsidRPr="00344E55">
        <w:rPr>
          <w:color w:val="auto"/>
        </w:rPr>
        <w:t>, Corporate Services</w:t>
      </w:r>
      <w:r w:rsidR="002C16C5" w:rsidRPr="00344E55">
        <w:rPr>
          <w:color w:val="auto"/>
        </w:rPr>
        <w:t xml:space="preserve"> (R172 million)</w:t>
      </w:r>
      <w:r w:rsidRPr="00344E55">
        <w:rPr>
          <w:color w:val="auto"/>
        </w:rPr>
        <w:t>, Financial Management</w:t>
      </w:r>
      <w:r w:rsidR="002C16C5" w:rsidRPr="00344E55">
        <w:rPr>
          <w:color w:val="auto"/>
        </w:rPr>
        <w:t xml:space="preserve"> (R63 million)</w:t>
      </w:r>
      <w:r w:rsidRPr="00344E55">
        <w:rPr>
          <w:color w:val="auto"/>
        </w:rPr>
        <w:t xml:space="preserve"> and Communications</w:t>
      </w:r>
      <w:r w:rsidR="002C16C5" w:rsidRPr="00344E55">
        <w:rPr>
          <w:color w:val="auto"/>
        </w:rPr>
        <w:t xml:space="preserve"> (R16 million)</w:t>
      </w:r>
      <w:r w:rsidRPr="00344E55">
        <w:rPr>
          <w:color w:val="auto"/>
        </w:rPr>
        <w:t>.</w:t>
      </w:r>
      <w:r w:rsidR="00CE21A7" w:rsidRPr="00344E55">
        <w:rPr>
          <w:color w:val="auto"/>
        </w:rPr>
        <w:t xml:space="preserve"> </w:t>
      </w:r>
    </w:p>
    <w:p w14:paraId="17296AAB" w14:textId="77777777" w:rsidR="00E079AF" w:rsidRPr="00344E55" w:rsidRDefault="005200EB" w:rsidP="00E079AF">
      <w:pPr>
        <w:pStyle w:val="Default"/>
        <w:contextualSpacing/>
        <w:jc w:val="both"/>
        <w:rPr>
          <w:rFonts w:eastAsia="Times New Roman"/>
          <w:b/>
          <w:bCs/>
          <w:color w:val="000000" w:themeColor="text1"/>
          <w:lang w:eastAsia="en-ZA"/>
        </w:rPr>
      </w:pPr>
      <w:r w:rsidRPr="00344E55">
        <w:rPr>
          <w:b/>
          <w:color w:val="auto"/>
        </w:rPr>
        <w:t xml:space="preserve">Table </w:t>
      </w:r>
      <w:r w:rsidR="00E079AF" w:rsidRPr="00344E55">
        <w:rPr>
          <w:b/>
          <w:color w:val="auto"/>
        </w:rPr>
        <w:t xml:space="preserve">6: </w:t>
      </w:r>
      <w:r w:rsidR="00204F9F" w:rsidRPr="00344E55">
        <w:rPr>
          <w:b/>
          <w:color w:val="auto"/>
        </w:rPr>
        <w:t>Expenditure Estimates</w:t>
      </w:r>
      <w:r w:rsidR="00E079AF" w:rsidRPr="00344E55">
        <w:rPr>
          <w:b/>
          <w:color w:val="auto"/>
        </w:rPr>
        <w:t xml:space="preserve"> - </w:t>
      </w:r>
      <w:r w:rsidRPr="00344E55">
        <w:rPr>
          <w:b/>
          <w:color w:val="auto"/>
        </w:rPr>
        <w:t>Programme 1</w:t>
      </w:r>
    </w:p>
    <w:tbl>
      <w:tblPr>
        <w:tblW w:w="9350" w:type="dxa"/>
        <w:tblCellMar>
          <w:left w:w="0" w:type="dxa"/>
          <w:right w:w="0" w:type="dxa"/>
        </w:tblCellMar>
        <w:tblLook w:val="04A0" w:firstRow="1" w:lastRow="0" w:firstColumn="1" w:lastColumn="0" w:noHBand="0" w:noVBand="1"/>
      </w:tblPr>
      <w:tblGrid>
        <w:gridCol w:w="3273"/>
        <w:gridCol w:w="1298"/>
        <w:gridCol w:w="1537"/>
        <w:gridCol w:w="1876"/>
        <w:gridCol w:w="1366"/>
      </w:tblGrid>
      <w:tr w:rsidR="00E079AF" w:rsidRPr="00344E55" w14:paraId="224CEBB6" w14:textId="77777777" w:rsidTr="00E079AF">
        <w:trPr>
          <w:trHeight w:val="441"/>
        </w:trPr>
        <w:tc>
          <w:tcPr>
            <w:tcW w:w="327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14:paraId="2AEDD812" w14:textId="77777777" w:rsidR="00E079AF" w:rsidRPr="00344E55" w:rsidRDefault="00E079AF" w:rsidP="00E079AF">
            <w:pPr>
              <w:spacing w:after="0" w:line="240" w:lineRule="auto"/>
              <w:contextualSpacing/>
              <w:jc w:val="center"/>
              <w:rPr>
                <w:rFonts w:ascii="Times New Roman" w:eastAsia="Times New Roman" w:hAnsi="Times New Roman" w:cs="Times New Roman"/>
                <w:sz w:val="24"/>
                <w:szCs w:val="24"/>
                <w:lang w:eastAsia="en-ZA"/>
              </w:rPr>
            </w:pPr>
            <w:proofErr w:type="spellStart"/>
            <w:r w:rsidRPr="00344E55">
              <w:rPr>
                <w:rFonts w:ascii="Times New Roman" w:eastAsia="Times New Roman" w:hAnsi="Times New Roman" w:cs="Times New Roman"/>
                <w:b/>
                <w:bCs/>
                <w:color w:val="000000"/>
                <w:sz w:val="24"/>
                <w:szCs w:val="24"/>
                <w:lang w:val="en-US" w:eastAsia="en-ZA"/>
              </w:rPr>
              <w:t>Programme</w:t>
            </w:r>
            <w:proofErr w:type="spellEnd"/>
            <w:r w:rsidRPr="00344E55">
              <w:rPr>
                <w:rFonts w:ascii="Times New Roman" w:eastAsia="Times New Roman" w:hAnsi="Times New Roman" w:cs="Times New Roman"/>
                <w:b/>
                <w:bCs/>
                <w:color w:val="000000"/>
                <w:sz w:val="24"/>
                <w:szCs w:val="24"/>
                <w:lang w:val="en-US" w:eastAsia="en-ZA"/>
              </w:rPr>
              <w:t xml:space="preserve"> 1: Administration</w:t>
            </w:r>
          </w:p>
        </w:tc>
        <w:tc>
          <w:tcPr>
            <w:tcW w:w="129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0186FBFE" w14:textId="77777777" w:rsidR="00E079AF" w:rsidRPr="00344E55" w:rsidRDefault="00E079AF" w:rsidP="00E079AF">
            <w:pPr>
              <w:spacing w:after="0" w:line="240" w:lineRule="auto"/>
              <w:contextualSpacing/>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2019/20</w:t>
            </w:r>
          </w:p>
        </w:tc>
        <w:tc>
          <w:tcPr>
            <w:tcW w:w="1537"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327DDD65" w14:textId="77777777" w:rsidR="00E079AF" w:rsidRPr="00344E55" w:rsidRDefault="00E079AF" w:rsidP="00E079AF">
            <w:pPr>
              <w:spacing w:after="0" w:line="240" w:lineRule="auto"/>
              <w:contextualSpacing/>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2020/21</w:t>
            </w:r>
          </w:p>
        </w:tc>
        <w:tc>
          <w:tcPr>
            <w:tcW w:w="18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21A34648" w14:textId="77777777" w:rsidR="00E079AF" w:rsidRPr="00344E55" w:rsidRDefault="00E079AF" w:rsidP="00E079AF">
            <w:pPr>
              <w:spacing w:after="0" w:line="240" w:lineRule="auto"/>
              <w:contextualSpacing/>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2021/22</w:t>
            </w:r>
          </w:p>
        </w:tc>
        <w:tc>
          <w:tcPr>
            <w:tcW w:w="136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14:paraId="0FCC0E4A" w14:textId="77777777" w:rsidR="00E079AF" w:rsidRPr="00344E55" w:rsidRDefault="00E079AF" w:rsidP="00E079AF">
            <w:pPr>
              <w:spacing w:after="0" w:line="240" w:lineRule="auto"/>
              <w:contextualSpacing/>
              <w:rPr>
                <w:rFonts w:ascii="Times New Roman" w:eastAsia="Times New Roman" w:hAnsi="Times New Roman" w:cs="Times New Roman"/>
                <w:sz w:val="24"/>
                <w:szCs w:val="24"/>
                <w:lang w:eastAsia="en-ZA"/>
              </w:rPr>
            </w:pPr>
          </w:p>
        </w:tc>
      </w:tr>
      <w:tr w:rsidR="00E079AF" w:rsidRPr="00344E55" w14:paraId="3D0B6C67" w14:textId="77777777" w:rsidTr="00E079AF">
        <w:trPr>
          <w:trHeight w:val="343"/>
        </w:trPr>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FB777F" w14:textId="77777777" w:rsidR="00E079AF" w:rsidRPr="00344E55" w:rsidRDefault="00E079AF" w:rsidP="00E079AF">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Sub-</w:t>
            </w:r>
            <w:proofErr w:type="spellStart"/>
            <w:r w:rsidRPr="00344E55">
              <w:rPr>
                <w:rFonts w:ascii="Times New Roman" w:eastAsia="Times New Roman" w:hAnsi="Times New Roman" w:cs="Times New Roman"/>
                <w:b/>
                <w:bCs/>
                <w:color w:val="000000"/>
                <w:sz w:val="24"/>
                <w:szCs w:val="24"/>
                <w:lang w:val="en-US" w:eastAsia="en-ZA"/>
              </w:rPr>
              <w:t>programmes</w:t>
            </w:r>
            <w:proofErr w:type="spellEnd"/>
            <w:r w:rsidRPr="00344E55">
              <w:rPr>
                <w:rFonts w:ascii="Times New Roman" w:eastAsia="Times New Roman" w:hAnsi="Times New Roman" w:cs="Times New Roman"/>
                <w:b/>
                <w:bCs/>
                <w:color w:val="000000"/>
                <w:sz w:val="24"/>
                <w:szCs w:val="24"/>
                <w:lang w:val="en-US" w:eastAsia="en-ZA"/>
              </w:rPr>
              <w:t xml:space="preserve">  </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244B8A" w14:textId="77777777" w:rsidR="00E079AF" w:rsidRPr="00344E55" w:rsidRDefault="00E079AF" w:rsidP="00204F9F">
            <w:pPr>
              <w:spacing w:after="0" w:line="240" w:lineRule="auto"/>
              <w:contextualSpacing/>
              <w:jc w:val="right"/>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 xml:space="preserve">Revised </w:t>
            </w:r>
            <w:r w:rsidRPr="00344E55">
              <w:rPr>
                <w:rFonts w:ascii="Times New Roman" w:eastAsia="Times New Roman" w:hAnsi="Times New Roman" w:cs="Times New Roman"/>
                <w:b/>
                <w:bCs/>
                <w:color w:val="000000"/>
                <w:sz w:val="24"/>
                <w:szCs w:val="24"/>
                <w:lang w:val="en-US" w:eastAsia="en-ZA"/>
              </w:rPr>
              <w:br/>
              <w:t>Baseline</w:t>
            </w:r>
          </w:p>
          <w:p w14:paraId="0072F43C" w14:textId="77777777" w:rsidR="00E079AF" w:rsidRPr="00344E55" w:rsidRDefault="00E079AF"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104217" w14:textId="77777777" w:rsidR="00E079AF" w:rsidRPr="00344E55" w:rsidRDefault="00E079AF" w:rsidP="00204F9F">
            <w:pPr>
              <w:spacing w:after="0" w:line="240" w:lineRule="auto"/>
              <w:contextualSpacing/>
              <w:jc w:val="right"/>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 xml:space="preserve">Revised </w:t>
            </w:r>
            <w:r w:rsidRPr="00344E55">
              <w:rPr>
                <w:rFonts w:ascii="Times New Roman" w:eastAsia="Times New Roman" w:hAnsi="Times New Roman" w:cs="Times New Roman"/>
                <w:b/>
                <w:bCs/>
                <w:color w:val="000000"/>
                <w:sz w:val="24"/>
                <w:szCs w:val="24"/>
                <w:lang w:val="en-US" w:eastAsia="en-ZA"/>
              </w:rPr>
              <w:br/>
              <w:t>Baseline</w:t>
            </w:r>
          </w:p>
          <w:p w14:paraId="6BC45135" w14:textId="77777777" w:rsidR="00E079AF" w:rsidRPr="00344E55" w:rsidRDefault="00E079AF"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C5649" w14:textId="77777777" w:rsidR="00E079AF" w:rsidRPr="00344E55" w:rsidRDefault="00E079AF" w:rsidP="00204F9F">
            <w:pPr>
              <w:spacing w:after="0" w:line="240" w:lineRule="auto"/>
              <w:contextualSpacing/>
              <w:jc w:val="right"/>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 xml:space="preserve">Revised </w:t>
            </w:r>
            <w:r w:rsidRPr="00344E55">
              <w:rPr>
                <w:rFonts w:ascii="Times New Roman" w:eastAsia="Times New Roman" w:hAnsi="Times New Roman" w:cs="Times New Roman"/>
                <w:b/>
                <w:bCs/>
                <w:color w:val="000000"/>
                <w:sz w:val="24"/>
                <w:szCs w:val="24"/>
                <w:lang w:val="en-US" w:eastAsia="en-ZA"/>
              </w:rPr>
              <w:br/>
              <w:t>Baseline</w:t>
            </w:r>
          </w:p>
          <w:p w14:paraId="08372E6D" w14:textId="77777777" w:rsidR="00E079AF" w:rsidRPr="00344E55" w:rsidRDefault="00E079AF"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FCC165" w14:textId="77777777" w:rsidR="00E079AF" w:rsidRPr="00344E55" w:rsidRDefault="00E079AF" w:rsidP="00204F9F">
            <w:pPr>
              <w:spacing w:after="0" w:line="240" w:lineRule="auto"/>
              <w:contextualSpacing/>
              <w:jc w:val="right"/>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Total</w:t>
            </w:r>
          </w:p>
          <w:p w14:paraId="46942991" w14:textId="77777777" w:rsidR="00E079AF" w:rsidRPr="00344E55" w:rsidRDefault="00E079AF"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r>
      <w:tr w:rsidR="00E079AF" w:rsidRPr="00344E55" w14:paraId="29AA6B83" w14:textId="77777777" w:rsidTr="00E079AF">
        <w:trPr>
          <w:trHeight w:val="145"/>
        </w:trPr>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A4A8541" w14:textId="77777777" w:rsidR="00E079AF" w:rsidRPr="00344E55" w:rsidRDefault="00E079AF" w:rsidP="00E079AF">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Ministry</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7E706A7"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          26,472 </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4F6E7D9"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29,012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F2925A1"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30,068 </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8957B5D"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85,552 </w:t>
            </w:r>
          </w:p>
        </w:tc>
      </w:tr>
      <w:tr w:rsidR="00E079AF" w:rsidRPr="00344E55" w14:paraId="476B74D7" w14:textId="77777777" w:rsidTr="00E079AF">
        <w:trPr>
          <w:trHeight w:val="172"/>
        </w:trPr>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9EB5A6F" w14:textId="77777777" w:rsidR="00E079AF" w:rsidRPr="00344E55" w:rsidRDefault="00E079AF" w:rsidP="00E079AF">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Departmental Management</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4F8FFA2"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         18,500 </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F73C33D"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            18,615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715EFC0"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20,733 </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F9B6481"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57,848 </w:t>
            </w:r>
          </w:p>
        </w:tc>
      </w:tr>
      <w:tr w:rsidR="00E079AF" w:rsidRPr="00344E55" w14:paraId="0442B8F9" w14:textId="77777777" w:rsidTr="00E079AF">
        <w:trPr>
          <w:trHeight w:val="190"/>
        </w:trPr>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06E3CFE" w14:textId="77777777" w:rsidR="00E079AF" w:rsidRPr="00344E55" w:rsidRDefault="00E079AF" w:rsidP="00E079AF">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Corporate Services</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0268A6E"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         </w:t>
            </w:r>
            <w:r w:rsidRPr="00344E55">
              <w:rPr>
                <w:rFonts w:ascii="Times New Roman" w:eastAsia="Times New Roman" w:hAnsi="Times New Roman" w:cs="Times New Roman"/>
                <w:color w:val="000000"/>
                <w:sz w:val="24"/>
                <w:szCs w:val="24"/>
                <w:lang w:val="en-US" w:eastAsia="en-ZA"/>
              </w:rPr>
              <w:lastRenderedPageBreak/>
              <w:t xml:space="preserve">54,128 </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199739C"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lastRenderedPageBreak/>
              <w:t xml:space="preserve">            </w:t>
            </w:r>
            <w:r w:rsidRPr="00344E55">
              <w:rPr>
                <w:rFonts w:ascii="Times New Roman" w:eastAsia="Times New Roman" w:hAnsi="Times New Roman" w:cs="Times New Roman"/>
                <w:color w:val="000000"/>
                <w:sz w:val="24"/>
                <w:szCs w:val="24"/>
                <w:lang w:val="en-US" w:eastAsia="en-ZA"/>
              </w:rPr>
              <w:lastRenderedPageBreak/>
              <w:t xml:space="preserve">57,490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6F4D7E3"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lastRenderedPageBreak/>
              <w:t xml:space="preserve">60,492 </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A0B081B"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172,110 </w:t>
            </w:r>
          </w:p>
        </w:tc>
      </w:tr>
      <w:tr w:rsidR="00E079AF" w:rsidRPr="00344E55" w14:paraId="4A4ED2FA" w14:textId="77777777" w:rsidTr="00E079AF">
        <w:trPr>
          <w:trHeight w:val="100"/>
        </w:trPr>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EBECEAC" w14:textId="77777777" w:rsidR="00E079AF" w:rsidRPr="00344E55" w:rsidRDefault="00E079AF" w:rsidP="00E079AF">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lastRenderedPageBreak/>
              <w:t>Financial Management</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90B6863"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          20,324 </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5B077E1"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            21,038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DF3CB60"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22,625 </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CCE1D82"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63,987 </w:t>
            </w:r>
          </w:p>
        </w:tc>
      </w:tr>
      <w:tr w:rsidR="00E079AF" w:rsidRPr="00344E55" w14:paraId="44CA710C" w14:textId="77777777" w:rsidTr="00E079AF">
        <w:trPr>
          <w:trHeight w:val="190"/>
        </w:trPr>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D0096FD" w14:textId="77777777" w:rsidR="00E079AF" w:rsidRPr="00344E55" w:rsidRDefault="00E079AF" w:rsidP="00E079AF">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Communications</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AAD3D68"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            4,964 </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3197BEC"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              5,341 </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3B3EEF8"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5,712 </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8E35896"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16,017 </w:t>
            </w:r>
          </w:p>
        </w:tc>
      </w:tr>
      <w:tr w:rsidR="00E079AF" w:rsidRPr="00344E55" w14:paraId="03E09B24" w14:textId="77777777" w:rsidTr="00E079AF">
        <w:trPr>
          <w:trHeight w:val="100"/>
        </w:trPr>
        <w:tc>
          <w:tcPr>
            <w:tcW w:w="327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255FAB42" w14:textId="77777777" w:rsidR="00E079AF" w:rsidRPr="00344E55" w:rsidRDefault="00E079AF" w:rsidP="00E079AF">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Total</w:t>
            </w:r>
          </w:p>
        </w:tc>
        <w:tc>
          <w:tcPr>
            <w:tcW w:w="129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6239CAE8"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 xml:space="preserve">        124,388 </w:t>
            </w:r>
          </w:p>
        </w:tc>
        <w:tc>
          <w:tcPr>
            <w:tcW w:w="153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5E2A0E81"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 xml:space="preserve">          131,496 </w:t>
            </w:r>
          </w:p>
        </w:tc>
        <w:tc>
          <w:tcPr>
            <w:tcW w:w="18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0E7B5E1B"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 xml:space="preserve">139,630 </w:t>
            </w:r>
          </w:p>
        </w:tc>
        <w:tc>
          <w:tcPr>
            <w:tcW w:w="136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2DD5F339" w14:textId="77777777" w:rsidR="00E079AF" w:rsidRPr="00344E55" w:rsidRDefault="00E079AF" w:rsidP="00E079A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 xml:space="preserve">395,514 </w:t>
            </w:r>
          </w:p>
        </w:tc>
      </w:tr>
    </w:tbl>
    <w:p w14:paraId="5AAC67DA" w14:textId="77777777" w:rsidR="005200EB" w:rsidRPr="00344E55" w:rsidRDefault="005200EB" w:rsidP="00E079AF">
      <w:pPr>
        <w:pStyle w:val="Default"/>
        <w:contextualSpacing/>
        <w:jc w:val="both"/>
        <w:rPr>
          <w:b/>
          <w:color w:val="auto"/>
        </w:rPr>
      </w:pPr>
      <w:r w:rsidRPr="00344E55">
        <w:rPr>
          <w:b/>
          <w:color w:val="auto"/>
        </w:rPr>
        <w:t>Source: DSBD Annual Performance Plan</w:t>
      </w:r>
      <w:r w:rsidR="00E079AF" w:rsidRPr="00344E55">
        <w:rPr>
          <w:b/>
          <w:color w:val="auto"/>
        </w:rPr>
        <w:t xml:space="preserve"> 2019/20</w:t>
      </w:r>
    </w:p>
    <w:p w14:paraId="231903BE" w14:textId="77777777" w:rsidR="004B0A8F" w:rsidRPr="00344E55" w:rsidRDefault="004B0A8F" w:rsidP="005200EB">
      <w:pPr>
        <w:pStyle w:val="Default"/>
        <w:spacing w:line="360" w:lineRule="auto"/>
        <w:contextualSpacing/>
        <w:jc w:val="both"/>
        <w:rPr>
          <w:color w:val="auto"/>
        </w:rPr>
      </w:pPr>
    </w:p>
    <w:p w14:paraId="11B158EF" w14:textId="77777777" w:rsidR="004B0A8F" w:rsidRPr="00344E55" w:rsidRDefault="005200EB" w:rsidP="004B0A8F">
      <w:pPr>
        <w:pStyle w:val="Default"/>
        <w:spacing w:line="360" w:lineRule="auto"/>
        <w:contextualSpacing/>
        <w:jc w:val="both"/>
        <w:rPr>
          <w:b/>
          <w:color w:val="auto"/>
        </w:rPr>
      </w:pPr>
      <w:r w:rsidRPr="00344E55">
        <w:rPr>
          <w:b/>
          <w:color w:val="auto"/>
        </w:rPr>
        <w:t>5.2</w:t>
      </w:r>
      <w:r w:rsidRPr="00344E55">
        <w:rPr>
          <w:b/>
          <w:color w:val="auto"/>
        </w:rPr>
        <w:tab/>
        <w:t xml:space="preserve">Programme 2: </w:t>
      </w:r>
      <w:r w:rsidR="00DD6DD9" w:rsidRPr="00344E55">
        <w:rPr>
          <w:b/>
          <w:color w:val="auto"/>
        </w:rPr>
        <w:t>Sector Policy and Research</w:t>
      </w:r>
    </w:p>
    <w:p w14:paraId="5BAD722F" w14:textId="77777777" w:rsidR="00204F9F" w:rsidRPr="00344E55" w:rsidRDefault="004B0A8F" w:rsidP="004B0A8F">
      <w:pPr>
        <w:pStyle w:val="Default"/>
        <w:spacing w:line="360" w:lineRule="auto"/>
        <w:contextualSpacing/>
        <w:jc w:val="both"/>
        <w:rPr>
          <w:kern w:val="28"/>
        </w:rPr>
      </w:pPr>
      <w:r w:rsidRPr="00344E55">
        <w:rPr>
          <w:kern w:val="28"/>
        </w:rPr>
        <w:t xml:space="preserve">The purpose of Programme 2 is to create an enabling environment for the development and growth of sustainable small businesses and co-operatives through, among others, commissioning of research, development and review of policies and legislation(s), coordination and promotion of sound intergovernmental relationships, promoting the sector interests in the regional and global arena, as well as effective monitoring and evaluation of programmes to ensure the desired impact is achieved in contributing toward the creation of employment and economic growth. </w:t>
      </w:r>
    </w:p>
    <w:p w14:paraId="2802591B" w14:textId="77777777" w:rsidR="00204F9F" w:rsidRPr="00344E55" w:rsidRDefault="00204F9F" w:rsidP="004B0A8F">
      <w:pPr>
        <w:pStyle w:val="Default"/>
        <w:spacing w:line="360" w:lineRule="auto"/>
        <w:contextualSpacing/>
        <w:jc w:val="both"/>
        <w:rPr>
          <w:kern w:val="28"/>
        </w:rPr>
      </w:pPr>
    </w:p>
    <w:p w14:paraId="7D212717" w14:textId="77777777" w:rsidR="004B0A8F" w:rsidRPr="00344E55" w:rsidRDefault="004B0A8F" w:rsidP="004B0A8F">
      <w:pPr>
        <w:pStyle w:val="Default"/>
        <w:spacing w:line="360" w:lineRule="auto"/>
        <w:contextualSpacing/>
        <w:jc w:val="both"/>
        <w:rPr>
          <w:kern w:val="28"/>
        </w:rPr>
      </w:pPr>
      <w:r w:rsidRPr="00344E55">
        <w:t xml:space="preserve">The budget allotted to this programme over the MTEF period is </w:t>
      </w:r>
      <w:r w:rsidR="002C16C5" w:rsidRPr="00344E55">
        <w:t xml:space="preserve">R117 million, revised upward from </w:t>
      </w:r>
      <w:r w:rsidRPr="00344E55">
        <w:t>R70.9 million</w:t>
      </w:r>
      <w:r w:rsidR="002C16C5" w:rsidRPr="00344E55">
        <w:t xml:space="preserve"> during 2018/19 budget consideration process</w:t>
      </w:r>
      <w:r w:rsidRPr="00344E55">
        <w:t xml:space="preserve">. </w:t>
      </w:r>
      <w:r w:rsidR="00CE21A7" w:rsidRPr="00344E55">
        <w:t>It</w:t>
      </w:r>
      <w:r w:rsidRPr="00344E55">
        <w:t xml:space="preserve"> has four (4) sub-programmes, namely, Research</w:t>
      </w:r>
      <w:r w:rsidR="00204F9F" w:rsidRPr="00344E55">
        <w:t xml:space="preserve"> (R54 million)</w:t>
      </w:r>
      <w:r w:rsidRPr="00344E55">
        <w:t>, Policy and Legislation</w:t>
      </w:r>
      <w:r w:rsidR="00204F9F" w:rsidRPr="00344E55">
        <w:t xml:space="preserve"> (R21 million)</w:t>
      </w:r>
      <w:r w:rsidRPr="00344E55">
        <w:t>, International Relations and Trade</w:t>
      </w:r>
      <w:r w:rsidR="00204F9F" w:rsidRPr="00344E55">
        <w:t xml:space="preserve"> (R19 million)</w:t>
      </w:r>
      <w:r w:rsidRPr="00344E55">
        <w:t>, as well as Monitoring and Evaluation</w:t>
      </w:r>
      <w:r w:rsidR="00204F9F" w:rsidRPr="00344E55">
        <w:t xml:space="preserve"> (R21 million)</w:t>
      </w:r>
      <w:r w:rsidRPr="00344E55">
        <w:t xml:space="preserve">. For the current </w:t>
      </w:r>
      <w:r w:rsidR="00204F9F" w:rsidRPr="00344E55">
        <w:t xml:space="preserve">financial </w:t>
      </w:r>
      <w:r w:rsidR="00337CCC" w:rsidRPr="00344E55">
        <w:t>year,</w:t>
      </w:r>
      <w:r w:rsidR="00204F9F" w:rsidRPr="00344E55">
        <w:t xml:space="preserve"> the programme allocation increased from </w:t>
      </w:r>
      <w:r w:rsidRPr="00344E55">
        <w:t>R22</w:t>
      </w:r>
      <w:r w:rsidR="00204F9F" w:rsidRPr="00344E55">
        <w:t xml:space="preserve"> to R35 million</w:t>
      </w:r>
      <w:r w:rsidRPr="00344E55">
        <w:t>.</w:t>
      </w:r>
      <w:r w:rsidR="00204F9F" w:rsidRPr="00344E55">
        <w:t xml:space="preserve"> Table 7</w:t>
      </w:r>
      <w:r w:rsidR="00204F0B" w:rsidRPr="00344E55">
        <w:t xml:space="preserve"> below is a brief indicative what each </w:t>
      </w:r>
      <w:r w:rsidR="00204F9F" w:rsidRPr="00344E55">
        <w:t>subprogram</w:t>
      </w:r>
      <w:r w:rsidR="00204F0B" w:rsidRPr="00344E55">
        <w:t xml:space="preserve"> will receive.</w:t>
      </w:r>
    </w:p>
    <w:p w14:paraId="7BE585BA" w14:textId="77777777" w:rsidR="00115513" w:rsidRPr="00344E55" w:rsidRDefault="00115513" w:rsidP="005200EB">
      <w:pPr>
        <w:pStyle w:val="Default"/>
        <w:spacing w:line="360" w:lineRule="auto"/>
        <w:contextualSpacing/>
        <w:jc w:val="both"/>
        <w:rPr>
          <w:color w:val="auto"/>
        </w:rPr>
      </w:pPr>
    </w:p>
    <w:p w14:paraId="2F4831D3" w14:textId="77777777" w:rsidR="002C16C5" w:rsidRPr="00344E55" w:rsidRDefault="002C16C5" w:rsidP="002C16C5">
      <w:pPr>
        <w:pStyle w:val="Default"/>
        <w:contextualSpacing/>
        <w:jc w:val="both"/>
        <w:rPr>
          <w:rFonts w:eastAsia="Times New Roman"/>
          <w:b/>
          <w:bCs/>
          <w:color w:val="000000" w:themeColor="text1"/>
          <w:lang w:eastAsia="en-ZA"/>
        </w:rPr>
      </w:pPr>
      <w:r w:rsidRPr="00344E55">
        <w:rPr>
          <w:b/>
          <w:color w:val="auto"/>
        </w:rPr>
        <w:t>Table 7</w:t>
      </w:r>
      <w:r w:rsidR="005200EB" w:rsidRPr="00344E55">
        <w:rPr>
          <w:b/>
          <w:color w:val="auto"/>
        </w:rPr>
        <w:t xml:space="preserve">: </w:t>
      </w:r>
      <w:r w:rsidR="00204F9F" w:rsidRPr="00344E55">
        <w:rPr>
          <w:b/>
          <w:color w:val="auto"/>
        </w:rPr>
        <w:t>Expenditure Estimates</w:t>
      </w:r>
      <w:r w:rsidRPr="00344E55">
        <w:rPr>
          <w:b/>
          <w:color w:val="auto"/>
        </w:rPr>
        <w:t xml:space="preserve"> - Programme 2</w:t>
      </w:r>
    </w:p>
    <w:tbl>
      <w:tblPr>
        <w:tblW w:w="9440" w:type="dxa"/>
        <w:tblCellMar>
          <w:left w:w="0" w:type="dxa"/>
          <w:right w:w="0" w:type="dxa"/>
        </w:tblCellMar>
        <w:tblLook w:val="04A0" w:firstRow="1" w:lastRow="0" w:firstColumn="1" w:lastColumn="0" w:noHBand="0" w:noVBand="1"/>
      </w:tblPr>
      <w:tblGrid>
        <w:gridCol w:w="3072"/>
        <w:gridCol w:w="1597"/>
        <w:gridCol w:w="1597"/>
        <w:gridCol w:w="1498"/>
        <w:gridCol w:w="1676"/>
      </w:tblGrid>
      <w:tr w:rsidR="002C16C5" w:rsidRPr="00344E55" w14:paraId="13E770A7" w14:textId="77777777" w:rsidTr="002C16C5">
        <w:trPr>
          <w:trHeight w:val="145"/>
        </w:trPr>
        <w:tc>
          <w:tcPr>
            <w:tcW w:w="3072"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14:paraId="7FAC2BDD" w14:textId="77777777" w:rsidR="002C16C5" w:rsidRPr="00344E55" w:rsidRDefault="002C16C5" w:rsidP="002C16C5">
            <w:pPr>
              <w:spacing w:after="0" w:line="240" w:lineRule="auto"/>
              <w:contextualSpacing/>
              <w:jc w:val="center"/>
              <w:rPr>
                <w:rFonts w:ascii="Times New Roman" w:eastAsia="Times New Roman" w:hAnsi="Times New Roman" w:cs="Times New Roman"/>
                <w:sz w:val="24"/>
                <w:szCs w:val="24"/>
                <w:lang w:eastAsia="en-ZA"/>
              </w:rPr>
            </w:pPr>
            <w:proofErr w:type="spellStart"/>
            <w:r w:rsidRPr="00344E55">
              <w:rPr>
                <w:rFonts w:ascii="Times New Roman" w:eastAsia="Times New Roman" w:hAnsi="Times New Roman" w:cs="Times New Roman"/>
                <w:b/>
                <w:bCs/>
                <w:color w:val="000000"/>
                <w:sz w:val="24"/>
                <w:szCs w:val="24"/>
                <w:lang w:val="en-US" w:eastAsia="en-ZA"/>
              </w:rPr>
              <w:t>Programme</w:t>
            </w:r>
            <w:proofErr w:type="spellEnd"/>
            <w:r w:rsidRPr="00344E55">
              <w:rPr>
                <w:rFonts w:ascii="Times New Roman" w:eastAsia="Times New Roman" w:hAnsi="Times New Roman" w:cs="Times New Roman"/>
                <w:b/>
                <w:bCs/>
                <w:color w:val="000000"/>
                <w:sz w:val="24"/>
                <w:szCs w:val="24"/>
                <w:lang w:val="en-US" w:eastAsia="en-ZA"/>
              </w:rPr>
              <w:t xml:space="preserve"> 2: </w:t>
            </w:r>
          </w:p>
        </w:tc>
        <w:tc>
          <w:tcPr>
            <w:tcW w:w="1597"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0B1BB0AE" w14:textId="77777777" w:rsidR="002C16C5" w:rsidRPr="00344E55" w:rsidRDefault="002C16C5" w:rsidP="002C16C5">
            <w:pPr>
              <w:spacing w:after="0" w:line="240" w:lineRule="auto"/>
              <w:contextualSpacing/>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2019/20</w:t>
            </w:r>
          </w:p>
        </w:tc>
        <w:tc>
          <w:tcPr>
            <w:tcW w:w="1597"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4055AC32" w14:textId="77777777" w:rsidR="002C16C5" w:rsidRPr="00344E55" w:rsidRDefault="002C16C5" w:rsidP="002C16C5">
            <w:pPr>
              <w:spacing w:after="0" w:line="240" w:lineRule="auto"/>
              <w:contextualSpacing/>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2020/21</w:t>
            </w:r>
          </w:p>
        </w:tc>
        <w:tc>
          <w:tcPr>
            <w:tcW w:w="149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31BBE1B7" w14:textId="77777777" w:rsidR="002C16C5" w:rsidRPr="00344E55" w:rsidRDefault="002C16C5" w:rsidP="002C16C5">
            <w:pPr>
              <w:spacing w:after="0" w:line="240" w:lineRule="auto"/>
              <w:contextualSpacing/>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2021/22</w:t>
            </w:r>
          </w:p>
        </w:tc>
        <w:tc>
          <w:tcPr>
            <w:tcW w:w="16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14:paraId="0FCF045F" w14:textId="77777777" w:rsidR="002C16C5" w:rsidRPr="00344E55" w:rsidRDefault="002C16C5" w:rsidP="002C16C5">
            <w:pPr>
              <w:spacing w:after="0" w:line="240" w:lineRule="auto"/>
              <w:contextualSpacing/>
              <w:rPr>
                <w:rFonts w:ascii="Times New Roman" w:eastAsia="Times New Roman" w:hAnsi="Times New Roman" w:cs="Times New Roman"/>
                <w:sz w:val="24"/>
                <w:szCs w:val="24"/>
                <w:lang w:eastAsia="en-ZA"/>
              </w:rPr>
            </w:pPr>
          </w:p>
        </w:tc>
      </w:tr>
      <w:tr w:rsidR="002C16C5" w:rsidRPr="00344E55" w14:paraId="32DB8068" w14:textId="77777777" w:rsidTr="002C16C5">
        <w:trPr>
          <w:trHeight w:val="352"/>
        </w:trPr>
        <w:tc>
          <w:tcPr>
            <w:tcW w:w="3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D97CBA" w14:textId="77777777" w:rsidR="002C16C5" w:rsidRPr="00344E55" w:rsidRDefault="002C16C5" w:rsidP="002C16C5">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Sub-</w:t>
            </w:r>
            <w:proofErr w:type="spellStart"/>
            <w:r w:rsidRPr="00344E55">
              <w:rPr>
                <w:rFonts w:ascii="Times New Roman" w:eastAsia="Times New Roman" w:hAnsi="Times New Roman" w:cs="Times New Roman"/>
                <w:b/>
                <w:bCs/>
                <w:color w:val="000000"/>
                <w:sz w:val="24"/>
                <w:szCs w:val="24"/>
                <w:lang w:val="en-US" w:eastAsia="en-ZA"/>
              </w:rPr>
              <w:t>program</w:t>
            </w:r>
            <w:r w:rsidR="00337CCC" w:rsidRPr="00344E55">
              <w:rPr>
                <w:rFonts w:ascii="Times New Roman" w:eastAsia="Times New Roman" w:hAnsi="Times New Roman" w:cs="Times New Roman"/>
                <w:b/>
                <w:bCs/>
                <w:color w:val="000000"/>
                <w:sz w:val="24"/>
                <w:szCs w:val="24"/>
                <w:lang w:val="en-US" w:eastAsia="en-ZA"/>
              </w:rPr>
              <w:t>m</w:t>
            </w:r>
            <w:r w:rsidRPr="00344E55">
              <w:rPr>
                <w:rFonts w:ascii="Times New Roman" w:eastAsia="Times New Roman" w:hAnsi="Times New Roman" w:cs="Times New Roman"/>
                <w:b/>
                <w:bCs/>
                <w:color w:val="000000"/>
                <w:sz w:val="24"/>
                <w:szCs w:val="24"/>
                <w:lang w:val="en-US" w:eastAsia="en-ZA"/>
              </w:rPr>
              <w:t>es</w:t>
            </w:r>
            <w:proofErr w:type="spellEnd"/>
            <w:r w:rsidRPr="00344E55">
              <w:rPr>
                <w:rFonts w:ascii="Times New Roman" w:eastAsia="Times New Roman" w:hAnsi="Times New Roman" w:cs="Times New Roman"/>
                <w:b/>
                <w:bCs/>
                <w:color w:val="000000"/>
                <w:sz w:val="24"/>
                <w:szCs w:val="24"/>
                <w:lang w:val="en-US" w:eastAsia="en-ZA"/>
              </w:rPr>
              <w:t xml:space="preserve">  </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92BF0B" w14:textId="77777777" w:rsidR="002C16C5" w:rsidRPr="00344E55" w:rsidRDefault="002C16C5" w:rsidP="00204F9F">
            <w:pPr>
              <w:spacing w:after="0" w:line="240" w:lineRule="auto"/>
              <w:contextualSpacing/>
              <w:jc w:val="right"/>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 xml:space="preserve">Revised </w:t>
            </w:r>
            <w:r w:rsidRPr="00344E55">
              <w:rPr>
                <w:rFonts w:ascii="Times New Roman" w:eastAsia="Times New Roman" w:hAnsi="Times New Roman" w:cs="Times New Roman"/>
                <w:b/>
                <w:bCs/>
                <w:color w:val="000000"/>
                <w:sz w:val="24"/>
                <w:szCs w:val="24"/>
                <w:lang w:val="en-US" w:eastAsia="en-ZA"/>
              </w:rPr>
              <w:br/>
              <w:t>Baseline</w:t>
            </w:r>
          </w:p>
          <w:p w14:paraId="72B7C9CE"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C5E89D" w14:textId="77777777" w:rsidR="002C16C5" w:rsidRPr="00344E55" w:rsidRDefault="002C16C5" w:rsidP="00204F9F">
            <w:pPr>
              <w:spacing w:after="0" w:line="240" w:lineRule="auto"/>
              <w:contextualSpacing/>
              <w:jc w:val="right"/>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 xml:space="preserve">Revised </w:t>
            </w:r>
            <w:r w:rsidRPr="00344E55">
              <w:rPr>
                <w:rFonts w:ascii="Times New Roman" w:eastAsia="Times New Roman" w:hAnsi="Times New Roman" w:cs="Times New Roman"/>
                <w:b/>
                <w:bCs/>
                <w:color w:val="000000"/>
                <w:sz w:val="24"/>
                <w:szCs w:val="24"/>
                <w:lang w:val="en-US" w:eastAsia="en-ZA"/>
              </w:rPr>
              <w:br/>
              <w:t>Baseline</w:t>
            </w:r>
          </w:p>
          <w:p w14:paraId="36797D6B"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CD360E" w14:textId="77777777" w:rsidR="002C16C5" w:rsidRPr="00344E55" w:rsidRDefault="002C16C5" w:rsidP="00204F9F">
            <w:pPr>
              <w:spacing w:after="0" w:line="240" w:lineRule="auto"/>
              <w:contextualSpacing/>
              <w:jc w:val="right"/>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 xml:space="preserve">Revised </w:t>
            </w:r>
            <w:r w:rsidRPr="00344E55">
              <w:rPr>
                <w:rFonts w:ascii="Times New Roman" w:eastAsia="Times New Roman" w:hAnsi="Times New Roman" w:cs="Times New Roman"/>
                <w:b/>
                <w:bCs/>
                <w:color w:val="000000"/>
                <w:sz w:val="24"/>
                <w:szCs w:val="24"/>
                <w:lang w:val="en-US" w:eastAsia="en-ZA"/>
              </w:rPr>
              <w:br/>
              <w:t>Baseline</w:t>
            </w:r>
          </w:p>
          <w:p w14:paraId="749F9C29"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36D272" w14:textId="77777777" w:rsidR="002C16C5" w:rsidRPr="00344E55" w:rsidRDefault="002C16C5" w:rsidP="00204F9F">
            <w:pPr>
              <w:spacing w:after="0" w:line="240" w:lineRule="auto"/>
              <w:contextualSpacing/>
              <w:jc w:val="right"/>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Total</w:t>
            </w:r>
          </w:p>
          <w:p w14:paraId="14343B81"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r>
      <w:tr w:rsidR="002C16C5" w:rsidRPr="00344E55" w14:paraId="753A326E" w14:textId="77777777" w:rsidTr="002C16C5">
        <w:trPr>
          <w:trHeight w:val="145"/>
        </w:trPr>
        <w:tc>
          <w:tcPr>
            <w:tcW w:w="3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9D9E6A1" w14:textId="77777777" w:rsidR="002C16C5" w:rsidRPr="00344E55" w:rsidRDefault="002C16C5" w:rsidP="002C16C5">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Research</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77187F4"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17,330 </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97970D5"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18,169 </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2EA895F"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19,091 </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AA4F43B"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54,590 </w:t>
            </w:r>
          </w:p>
        </w:tc>
      </w:tr>
      <w:tr w:rsidR="002C16C5" w:rsidRPr="00344E55" w14:paraId="0F1C0BA2" w14:textId="77777777" w:rsidTr="002C16C5">
        <w:trPr>
          <w:trHeight w:val="172"/>
        </w:trPr>
        <w:tc>
          <w:tcPr>
            <w:tcW w:w="3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4AD8C3D" w14:textId="77777777" w:rsidR="002C16C5" w:rsidRPr="00344E55" w:rsidRDefault="002C16C5" w:rsidP="002C16C5">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Policy and Legislation</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0E9D7C1"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5,706 </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606C78D"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7,848 </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D224E28"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              8,277 </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81D1784"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21,831 </w:t>
            </w:r>
          </w:p>
        </w:tc>
      </w:tr>
      <w:tr w:rsidR="002C16C5" w:rsidRPr="00344E55" w14:paraId="76DD898E" w14:textId="77777777" w:rsidTr="002C16C5">
        <w:trPr>
          <w:trHeight w:val="45"/>
        </w:trPr>
        <w:tc>
          <w:tcPr>
            <w:tcW w:w="3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1F6EFE3" w14:textId="77777777" w:rsidR="002C16C5" w:rsidRPr="00344E55" w:rsidRDefault="002C16C5" w:rsidP="002C16C5">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International Relations</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95DAD7C"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6,026 </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9D5359A"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6,380 </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37640B1"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              6,745 </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A9CA7C8"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19,151 </w:t>
            </w:r>
          </w:p>
        </w:tc>
      </w:tr>
      <w:tr w:rsidR="002C16C5" w:rsidRPr="00344E55" w14:paraId="131429E3" w14:textId="77777777" w:rsidTr="002C16C5">
        <w:trPr>
          <w:trHeight w:val="145"/>
        </w:trPr>
        <w:tc>
          <w:tcPr>
            <w:tcW w:w="3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BF30DFD" w14:textId="77777777" w:rsidR="002C16C5" w:rsidRPr="00344E55" w:rsidRDefault="002C16C5" w:rsidP="002C16C5">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Monitoring and Evaluation</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66C7110"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6,553 </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93A3799"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7,019 </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973B8AE"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              8,197 </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780CBB8"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21,769 </w:t>
            </w:r>
          </w:p>
        </w:tc>
      </w:tr>
      <w:tr w:rsidR="002C16C5" w:rsidRPr="00344E55" w14:paraId="084278A2" w14:textId="77777777" w:rsidTr="002C16C5">
        <w:trPr>
          <w:trHeight w:val="45"/>
        </w:trPr>
        <w:tc>
          <w:tcPr>
            <w:tcW w:w="307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0797AD5B" w14:textId="77777777" w:rsidR="002C16C5" w:rsidRPr="00344E55" w:rsidRDefault="002C16C5" w:rsidP="002C16C5">
            <w:pPr>
              <w:spacing w:after="0" w:line="240" w:lineRule="auto"/>
              <w:contextualSpacing/>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Total</w:t>
            </w:r>
          </w:p>
        </w:tc>
        <w:tc>
          <w:tcPr>
            <w:tcW w:w="159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60E21EE6"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 xml:space="preserve">35,615 </w:t>
            </w:r>
          </w:p>
        </w:tc>
        <w:tc>
          <w:tcPr>
            <w:tcW w:w="159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5DC84926"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 xml:space="preserve">39,416 </w:t>
            </w:r>
          </w:p>
        </w:tc>
        <w:tc>
          <w:tcPr>
            <w:tcW w:w="149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67AB30B6"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 xml:space="preserve">            42,310 </w:t>
            </w:r>
          </w:p>
        </w:tc>
        <w:tc>
          <w:tcPr>
            <w:tcW w:w="16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2D78A443" w14:textId="77777777" w:rsidR="002C16C5" w:rsidRPr="00344E55" w:rsidRDefault="002C16C5" w:rsidP="00204F9F">
            <w:pPr>
              <w:spacing w:after="0" w:line="240" w:lineRule="auto"/>
              <w:contextualSpacing/>
              <w:jc w:val="right"/>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 xml:space="preserve">117,341 </w:t>
            </w:r>
          </w:p>
        </w:tc>
      </w:tr>
    </w:tbl>
    <w:p w14:paraId="791A8D9B" w14:textId="77777777" w:rsidR="005200EB" w:rsidRPr="00344E55" w:rsidRDefault="005200EB" w:rsidP="002C16C5">
      <w:pPr>
        <w:pStyle w:val="Default"/>
        <w:contextualSpacing/>
        <w:jc w:val="both"/>
        <w:rPr>
          <w:b/>
          <w:color w:val="auto"/>
        </w:rPr>
      </w:pPr>
      <w:r w:rsidRPr="00344E55">
        <w:rPr>
          <w:b/>
          <w:color w:val="auto"/>
        </w:rPr>
        <w:t>Source: DSBD Annual Performance Plan</w:t>
      </w:r>
      <w:r w:rsidR="002C16C5" w:rsidRPr="00344E55">
        <w:rPr>
          <w:b/>
          <w:color w:val="auto"/>
        </w:rPr>
        <w:t xml:space="preserve"> 2019/20</w:t>
      </w:r>
    </w:p>
    <w:p w14:paraId="0AB75A57" w14:textId="77777777" w:rsidR="005200EB" w:rsidRPr="00344E55" w:rsidRDefault="005200EB" w:rsidP="005200EB">
      <w:pPr>
        <w:pStyle w:val="Default"/>
        <w:spacing w:line="360" w:lineRule="auto"/>
        <w:contextualSpacing/>
        <w:jc w:val="both"/>
        <w:rPr>
          <w:b/>
          <w:color w:val="auto"/>
        </w:rPr>
      </w:pPr>
    </w:p>
    <w:p w14:paraId="371165CA" w14:textId="77777777" w:rsidR="00115513" w:rsidRPr="00344E55" w:rsidRDefault="00115513" w:rsidP="005200EB">
      <w:pPr>
        <w:pStyle w:val="Default"/>
        <w:spacing w:line="360" w:lineRule="auto"/>
        <w:contextualSpacing/>
        <w:jc w:val="both"/>
        <w:rPr>
          <w:b/>
          <w:color w:val="auto"/>
        </w:rPr>
      </w:pPr>
    </w:p>
    <w:p w14:paraId="317ADA57" w14:textId="77777777" w:rsidR="00784A03" w:rsidRPr="00344E55" w:rsidRDefault="00784A03" w:rsidP="005200EB">
      <w:pPr>
        <w:pStyle w:val="Default"/>
        <w:spacing w:line="360" w:lineRule="auto"/>
        <w:contextualSpacing/>
        <w:jc w:val="both"/>
        <w:rPr>
          <w:b/>
          <w:color w:val="auto"/>
        </w:rPr>
      </w:pPr>
    </w:p>
    <w:p w14:paraId="5116FAEB" w14:textId="77777777" w:rsidR="00784A03" w:rsidRPr="00344E55" w:rsidRDefault="00784A03" w:rsidP="005200EB">
      <w:pPr>
        <w:pStyle w:val="Default"/>
        <w:spacing w:line="360" w:lineRule="auto"/>
        <w:contextualSpacing/>
        <w:jc w:val="both"/>
        <w:rPr>
          <w:b/>
          <w:color w:val="auto"/>
        </w:rPr>
      </w:pPr>
    </w:p>
    <w:p w14:paraId="79A4F5DD" w14:textId="77777777" w:rsidR="00784A03" w:rsidRPr="00344E55" w:rsidRDefault="00784A03" w:rsidP="005200EB">
      <w:pPr>
        <w:pStyle w:val="Default"/>
        <w:spacing w:line="360" w:lineRule="auto"/>
        <w:contextualSpacing/>
        <w:jc w:val="both"/>
        <w:rPr>
          <w:b/>
          <w:color w:val="auto"/>
        </w:rPr>
      </w:pPr>
    </w:p>
    <w:p w14:paraId="48792016" w14:textId="77777777" w:rsidR="00204F0B" w:rsidRPr="00344E55" w:rsidRDefault="005200EB" w:rsidP="00204F0B">
      <w:pPr>
        <w:pStyle w:val="Default"/>
        <w:spacing w:line="360" w:lineRule="auto"/>
        <w:ind w:left="720" w:hanging="720"/>
        <w:contextualSpacing/>
        <w:jc w:val="both"/>
        <w:rPr>
          <w:b/>
          <w:color w:val="auto"/>
        </w:rPr>
      </w:pPr>
      <w:r w:rsidRPr="00344E55">
        <w:rPr>
          <w:b/>
          <w:color w:val="auto"/>
        </w:rPr>
        <w:t>5.3</w:t>
      </w:r>
      <w:r w:rsidRPr="00344E55">
        <w:rPr>
          <w:b/>
          <w:color w:val="auto"/>
        </w:rPr>
        <w:tab/>
        <w:t xml:space="preserve">Programme 3: </w:t>
      </w:r>
      <w:r w:rsidR="004430C9" w:rsidRPr="00344E55">
        <w:rPr>
          <w:b/>
          <w:color w:val="auto"/>
        </w:rPr>
        <w:t>Integrated Co-operatives Development</w:t>
      </w:r>
    </w:p>
    <w:p w14:paraId="69D0CF1F" w14:textId="77777777" w:rsidR="00697211" w:rsidRPr="00344E55" w:rsidRDefault="004B0A8F" w:rsidP="00204F0B">
      <w:pPr>
        <w:pStyle w:val="Default"/>
        <w:spacing w:line="360" w:lineRule="auto"/>
        <w:contextualSpacing/>
        <w:jc w:val="both"/>
        <w:rPr>
          <w:color w:val="auto"/>
          <w:lang w:eastAsia="en-ZA"/>
        </w:rPr>
      </w:pPr>
      <w:r w:rsidRPr="00344E55">
        <w:rPr>
          <w:color w:val="auto"/>
          <w:kern w:val="28"/>
        </w:rPr>
        <w:t xml:space="preserve">The Programme is </w:t>
      </w:r>
      <w:r w:rsidR="00204F0B" w:rsidRPr="00344E55">
        <w:rPr>
          <w:color w:val="auto"/>
          <w:kern w:val="28"/>
        </w:rPr>
        <w:t>accountable</w:t>
      </w:r>
      <w:r w:rsidRPr="00344E55">
        <w:rPr>
          <w:color w:val="auto"/>
          <w:kern w:val="28"/>
        </w:rPr>
        <w:t xml:space="preserve"> for creation of a conducive e</w:t>
      </w:r>
      <w:r w:rsidR="00204F0B" w:rsidRPr="00344E55">
        <w:rPr>
          <w:color w:val="auto"/>
          <w:kern w:val="28"/>
        </w:rPr>
        <w:t xml:space="preserve">nvironment that facilitates the </w:t>
      </w:r>
      <w:r w:rsidRPr="00344E55">
        <w:rPr>
          <w:color w:val="auto"/>
          <w:kern w:val="28"/>
        </w:rPr>
        <w:t xml:space="preserve">establishment, growth and development of co-operative enterprises through the development and review of legislation and policy, design, piloting and monitoring the impacts of support services and instruments, championing of functional partnerships and co-operation agreements, and the advocacy and thought leadership in advancing economic growth, job creation and social cohesion. The Programme has three </w:t>
      </w:r>
      <w:r w:rsidR="00697211" w:rsidRPr="00344E55">
        <w:rPr>
          <w:color w:val="auto"/>
          <w:kern w:val="28"/>
        </w:rPr>
        <w:t>subprograms</w:t>
      </w:r>
      <w:r w:rsidRPr="00344E55">
        <w:rPr>
          <w:color w:val="auto"/>
          <w:kern w:val="28"/>
        </w:rPr>
        <w:t>, namely, Co-operatives Development</w:t>
      </w:r>
      <w:r w:rsidR="00697211" w:rsidRPr="00344E55">
        <w:rPr>
          <w:color w:val="auto"/>
          <w:kern w:val="28"/>
        </w:rPr>
        <w:t xml:space="preserve"> (R28 million)</w:t>
      </w:r>
      <w:r w:rsidRPr="00344E55">
        <w:rPr>
          <w:color w:val="auto"/>
          <w:kern w:val="28"/>
        </w:rPr>
        <w:t>, Co-operatives Programme Design and Support</w:t>
      </w:r>
      <w:r w:rsidR="00697211" w:rsidRPr="00344E55">
        <w:rPr>
          <w:color w:val="auto"/>
          <w:kern w:val="28"/>
        </w:rPr>
        <w:t xml:space="preserve"> (R334 million)</w:t>
      </w:r>
      <w:r w:rsidRPr="00344E55">
        <w:rPr>
          <w:color w:val="auto"/>
          <w:kern w:val="28"/>
        </w:rPr>
        <w:t>, as well as Supplier Development and Market Access Support</w:t>
      </w:r>
      <w:r w:rsidR="00697211" w:rsidRPr="00344E55">
        <w:rPr>
          <w:color w:val="auto"/>
          <w:kern w:val="28"/>
        </w:rPr>
        <w:t xml:space="preserve"> (R41 million)</w:t>
      </w:r>
      <w:r w:rsidRPr="00344E55">
        <w:rPr>
          <w:color w:val="auto"/>
          <w:kern w:val="28"/>
        </w:rPr>
        <w:t xml:space="preserve">. </w:t>
      </w:r>
      <w:r w:rsidRPr="00344E55">
        <w:rPr>
          <w:color w:val="auto"/>
          <w:lang w:eastAsia="en-ZA"/>
        </w:rPr>
        <w:t xml:space="preserve">During the MTEF period the Programme </w:t>
      </w:r>
      <w:r w:rsidR="00697211" w:rsidRPr="00344E55">
        <w:rPr>
          <w:color w:val="auto"/>
          <w:lang w:eastAsia="en-ZA"/>
        </w:rPr>
        <w:t>is</w:t>
      </w:r>
      <w:r w:rsidRPr="00344E55">
        <w:rPr>
          <w:color w:val="auto"/>
          <w:lang w:eastAsia="en-ZA"/>
        </w:rPr>
        <w:t xml:space="preserve"> alloca</w:t>
      </w:r>
      <w:r w:rsidR="00D30882" w:rsidRPr="00344E55">
        <w:rPr>
          <w:color w:val="auto"/>
          <w:lang w:eastAsia="en-ZA"/>
        </w:rPr>
        <w:t>ted R</w:t>
      </w:r>
      <w:r w:rsidR="00697211" w:rsidRPr="00344E55">
        <w:rPr>
          <w:color w:val="auto"/>
          <w:lang w:eastAsia="en-ZA"/>
        </w:rPr>
        <w:t>405</w:t>
      </w:r>
      <w:r w:rsidR="00D30882" w:rsidRPr="00344E55">
        <w:rPr>
          <w:color w:val="auto"/>
          <w:lang w:eastAsia="en-ZA"/>
        </w:rPr>
        <w:t xml:space="preserve"> million, of which R</w:t>
      </w:r>
      <w:r w:rsidR="00697211" w:rsidRPr="00344E55">
        <w:rPr>
          <w:color w:val="auto"/>
          <w:lang w:eastAsia="en-ZA"/>
        </w:rPr>
        <w:t>127</w:t>
      </w:r>
      <w:r w:rsidR="00D30882" w:rsidRPr="00344E55">
        <w:rPr>
          <w:color w:val="auto"/>
          <w:lang w:eastAsia="en-ZA"/>
        </w:rPr>
        <w:t xml:space="preserve"> </w:t>
      </w:r>
      <w:r w:rsidRPr="00344E55">
        <w:rPr>
          <w:color w:val="auto"/>
          <w:lang w:eastAsia="en-ZA"/>
        </w:rPr>
        <w:t xml:space="preserve">million has been earmarked for the current financial year. </w:t>
      </w:r>
    </w:p>
    <w:p w14:paraId="0AA6BE05" w14:textId="77777777" w:rsidR="00697211" w:rsidRPr="00344E55" w:rsidRDefault="00697211" w:rsidP="00204F0B">
      <w:pPr>
        <w:pStyle w:val="Default"/>
        <w:spacing w:line="360" w:lineRule="auto"/>
        <w:contextualSpacing/>
        <w:jc w:val="both"/>
        <w:rPr>
          <w:color w:val="auto"/>
        </w:rPr>
      </w:pPr>
    </w:p>
    <w:p w14:paraId="39D46C8E" w14:textId="77777777" w:rsidR="00204F9F" w:rsidRPr="00344E55" w:rsidRDefault="001E44D4" w:rsidP="00204F9F">
      <w:pPr>
        <w:pStyle w:val="Default"/>
        <w:contextualSpacing/>
        <w:jc w:val="both"/>
        <w:rPr>
          <w:rFonts w:eastAsia="Times New Roman"/>
          <w:b/>
          <w:bCs/>
          <w:smallCaps/>
          <w:color w:val="000000" w:themeColor="text1"/>
          <w:lang w:eastAsia="en-ZA"/>
        </w:rPr>
      </w:pPr>
      <w:r w:rsidRPr="00344E55">
        <w:rPr>
          <w:b/>
          <w:color w:val="auto"/>
        </w:rPr>
        <w:t>Table 8</w:t>
      </w:r>
      <w:r w:rsidR="005200EB" w:rsidRPr="00344E55">
        <w:rPr>
          <w:b/>
          <w:color w:val="auto"/>
        </w:rPr>
        <w:t>: Exp</w:t>
      </w:r>
      <w:r w:rsidR="00204F9F" w:rsidRPr="00344E55">
        <w:rPr>
          <w:b/>
          <w:color w:val="auto"/>
        </w:rPr>
        <w:t>enditure Estimates – Programme 3</w:t>
      </w:r>
    </w:p>
    <w:tbl>
      <w:tblPr>
        <w:tblW w:w="8900" w:type="dxa"/>
        <w:tblCellMar>
          <w:left w:w="0" w:type="dxa"/>
          <w:right w:w="0" w:type="dxa"/>
        </w:tblCellMar>
        <w:tblLook w:val="04A0" w:firstRow="1" w:lastRow="0" w:firstColumn="1" w:lastColumn="0" w:noHBand="0" w:noVBand="1"/>
      </w:tblPr>
      <w:tblGrid>
        <w:gridCol w:w="3050"/>
        <w:gridCol w:w="1440"/>
        <w:gridCol w:w="1440"/>
        <w:gridCol w:w="1530"/>
        <w:gridCol w:w="1440"/>
      </w:tblGrid>
      <w:tr w:rsidR="00697211" w:rsidRPr="00344E55" w14:paraId="004F3651" w14:textId="77777777" w:rsidTr="00697211">
        <w:trPr>
          <w:trHeight w:val="163"/>
        </w:trPr>
        <w:tc>
          <w:tcPr>
            <w:tcW w:w="30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14:paraId="255559E8"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 </w:t>
            </w:r>
            <w:proofErr w:type="spellStart"/>
            <w:r w:rsidRPr="00344E55">
              <w:rPr>
                <w:rFonts w:ascii="Times New Roman" w:eastAsia="Times New Roman" w:hAnsi="Times New Roman" w:cs="Times New Roman"/>
                <w:b/>
                <w:bCs/>
                <w:color w:val="000000"/>
                <w:sz w:val="24"/>
                <w:szCs w:val="24"/>
                <w:lang w:val="en-US" w:eastAsia="en-ZA"/>
              </w:rPr>
              <w:t>Programme</w:t>
            </w:r>
            <w:proofErr w:type="spellEnd"/>
            <w:r w:rsidRPr="00344E55">
              <w:rPr>
                <w:rFonts w:ascii="Times New Roman" w:eastAsia="Times New Roman" w:hAnsi="Times New Roman" w:cs="Times New Roman"/>
                <w:b/>
                <w:bCs/>
                <w:color w:val="000000"/>
                <w:sz w:val="24"/>
                <w:szCs w:val="24"/>
                <w:lang w:val="en-US" w:eastAsia="en-ZA"/>
              </w:rPr>
              <w:t xml:space="preserve"> 3:</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5666D659"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2019/20</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4239EF98"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2020/21</w:t>
            </w:r>
          </w:p>
        </w:tc>
        <w:tc>
          <w:tcPr>
            <w:tcW w:w="15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43A97D33"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2021/22</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14:paraId="5834E558"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w:t>
            </w:r>
          </w:p>
        </w:tc>
      </w:tr>
      <w:tr w:rsidR="00204F9F" w:rsidRPr="00344E55" w14:paraId="7CA56887" w14:textId="77777777" w:rsidTr="00697211">
        <w:trPr>
          <w:trHeight w:val="53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E370A1" w14:textId="77777777" w:rsidR="00204F9F" w:rsidRPr="00344E55" w:rsidRDefault="00697211" w:rsidP="00204F9F">
            <w:pPr>
              <w:spacing w:after="0" w:line="256"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Sub</w:t>
            </w:r>
            <w:r w:rsidR="00337CCC" w:rsidRPr="00344E55">
              <w:rPr>
                <w:rFonts w:ascii="Times New Roman" w:eastAsia="Times New Roman" w:hAnsi="Times New Roman" w:cs="Times New Roman"/>
                <w:b/>
                <w:bCs/>
                <w:color w:val="000000"/>
                <w:sz w:val="24"/>
                <w:szCs w:val="24"/>
                <w:lang w:val="en-US" w:eastAsia="en-ZA"/>
              </w:rPr>
              <w:t>-</w:t>
            </w:r>
            <w:proofErr w:type="spellStart"/>
            <w:r w:rsidRPr="00344E55">
              <w:rPr>
                <w:rFonts w:ascii="Times New Roman" w:eastAsia="Times New Roman" w:hAnsi="Times New Roman" w:cs="Times New Roman"/>
                <w:b/>
                <w:bCs/>
                <w:color w:val="000000"/>
                <w:sz w:val="24"/>
                <w:szCs w:val="24"/>
                <w:lang w:val="en-US" w:eastAsia="en-ZA"/>
              </w:rPr>
              <w:t>programmes</w:t>
            </w:r>
            <w:proofErr w:type="spellEnd"/>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64BAF7" w14:textId="77777777" w:rsidR="00204F9F" w:rsidRPr="00344E55" w:rsidRDefault="00204F9F" w:rsidP="00204F9F">
            <w:pPr>
              <w:spacing w:after="0" w:line="256" w:lineRule="auto"/>
              <w:jc w:val="center"/>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 xml:space="preserve">Revised </w:t>
            </w:r>
            <w:r w:rsidRPr="00344E55">
              <w:rPr>
                <w:rFonts w:ascii="Times New Roman" w:eastAsia="Times New Roman" w:hAnsi="Times New Roman" w:cs="Times New Roman"/>
                <w:b/>
                <w:bCs/>
                <w:color w:val="000000"/>
                <w:sz w:val="24"/>
                <w:szCs w:val="24"/>
                <w:lang w:val="en-US" w:eastAsia="en-ZA"/>
              </w:rPr>
              <w:br/>
              <w:t>Baseline</w:t>
            </w:r>
          </w:p>
          <w:p w14:paraId="24655BF1"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84E798" w14:textId="77777777" w:rsidR="00204F9F" w:rsidRPr="00344E55" w:rsidRDefault="00204F9F" w:rsidP="00204F9F">
            <w:pPr>
              <w:spacing w:after="0" w:line="256" w:lineRule="auto"/>
              <w:jc w:val="center"/>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 xml:space="preserve">Revised </w:t>
            </w:r>
            <w:r w:rsidRPr="00344E55">
              <w:rPr>
                <w:rFonts w:ascii="Times New Roman" w:eastAsia="Times New Roman" w:hAnsi="Times New Roman" w:cs="Times New Roman"/>
                <w:b/>
                <w:bCs/>
                <w:color w:val="000000"/>
                <w:sz w:val="24"/>
                <w:szCs w:val="24"/>
                <w:lang w:val="en-US" w:eastAsia="en-ZA"/>
              </w:rPr>
              <w:br/>
              <w:t>Baseline</w:t>
            </w:r>
          </w:p>
          <w:p w14:paraId="08B59128"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8E6454" w14:textId="77777777" w:rsidR="00204F9F" w:rsidRPr="00344E55" w:rsidRDefault="00204F9F" w:rsidP="00204F9F">
            <w:pPr>
              <w:spacing w:after="0" w:line="256" w:lineRule="auto"/>
              <w:jc w:val="center"/>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 xml:space="preserve">Revised </w:t>
            </w:r>
            <w:r w:rsidRPr="00344E55">
              <w:rPr>
                <w:rFonts w:ascii="Times New Roman" w:eastAsia="Times New Roman" w:hAnsi="Times New Roman" w:cs="Times New Roman"/>
                <w:b/>
                <w:bCs/>
                <w:color w:val="000000"/>
                <w:sz w:val="24"/>
                <w:szCs w:val="24"/>
                <w:lang w:val="en-US" w:eastAsia="en-ZA"/>
              </w:rPr>
              <w:br/>
              <w:t>Baseline</w:t>
            </w:r>
          </w:p>
          <w:p w14:paraId="49ABB837"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C6FDAE" w14:textId="77777777" w:rsidR="00204F9F" w:rsidRPr="00344E55" w:rsidRDefault="00204F9F" w:rsidP="00204F9F">
            <w:pPr>
              <w:spacing w:after="0" w:line="256" w:lineRule="auto"/>
              <w:jc w:val="center"/>
              <w:rPr>
                <w:rFonts w:ascii="Times New Roman" w:eastAsia="Times New Roman" w:hAnsi="Times New Roman" w:cs="Times New Roman"/>
                <w:b/>
                <w:bCs/>
                <w:color w:val="000000"/>
                <w:sz w:val="24"/>
                <w:szCs w:val="24"/>
                <w:lang w:val="en-US" w:eastAsia="en-ZA"/>
              </w:rPr>
            </w:pPr>
            <w:r w:rsidRPr="00344E55">
              <w:rPr>
                <w:rFonts w:ascii="Times New Roman" w:eastAsia="Times New Roman" w:hAnsi="Times New Roman" w:cs="Times New Roman"/>
                <w:b/>
                <w:bCs/>
                <w:color w:val="000000"/>
                <w:sz w:val="24"/>
                <w:szCs w:val="24"/>
                <w:lang w:val="en-US" w:eastAsia="en-ZA"/>
              </w:rPr>
              <w:t>Total</w:t>
            </w:r>
          </w:p>
          <w:p w14:paraId="7BFEE508"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R'000</w:t>
            </w:r>
          </w:p>
        </w:tc>
      </w:tr>
      <w:tr w:rsidR="00204F9F" w:rsidRPr="00344E55" w14:paraId="72A7CF3C" w14:textId="77777777" w:rsidTr="00697211">
        <w:trPr>
          <w:trHeight w:val="190"/>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0A7F05C" w14:textId="77777777" w:rsidR="00204F9F" w:rsidRPr="00344E55" w:rsidRDefault="00204F9F" w:rsidP="00204F9F">
            <w:pPr>
              <w:spacing w:after="0" w:line="256"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Co-operatives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5BCFA38"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9,038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DD83FD6"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9,672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15DA92"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10,268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D6EE730"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28,978 </w:t>
            </w:r>
          </w:p>
        </w:tc>
      </w:tr>
      <w:tr w:rsidR="00204F9F" w:rsidRPr="00344E55" w14:paraId="669C8C13" w14:textId="77777777" w:rsidTr="00697211">
        <w:trPr>
          <w:trHeight w:val="118"/>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AC636D8" w14:textId="77777777" w:rsidR="00204F9F" w:rsidRPr="00344E55" w:rsidRDefault="00204F9F" w:rsidP="00204F9F">
            <w:pPr>
              <w:spacing w:after="0" w:line="256"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 xml:space="preserve">Co-operatives </w:t>
            </w:r>
            <w:proofErr w:type="spellStart"/>
            <w:r w:rsidRPr="00344E55">
              <w:rPr>
                <w:rFonts w:ascii="Times New Roman" w:eastAsia="Times New Roman" w:hAnsi="Times New Roman" w:cs="Times New Roman"/>
                <w:color w:val="000000"/>
                <w:sz w:val="24"/>
                <w:szCs w:val="24"/>
                <w:lang w:val="en-US" w:eastAsia="en-ZA"/>
              </w:rPr>
              <w:t>Programme</w:t>
            </w:r>
            <w:proofErr w:type="spellEnd"/>
            <w:r w:rsidRPr="00344E55">
              <w:rPr>
                <w:rFonts w:ascii="Times New Roman" w:eastAsia="Times New Roman" w:hAnsi="Times New Roman" w:cs="Times New Roman"/>
                <w:color w:val="000000"/>
                <w:sz w:val="24"/>
                <w:szCs w:val="24"/>
                <w:lang w:val="en-US" w:eastAsia="en-ZA"/>
              </w:rPr>
              <w:t xml:space="preserve"> Design and Support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132D4AA"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105,511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6152937"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111,722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4DB0A4E"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117,515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2273EAE"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334,748 </w:t>
            </w:r>
          </w:p>
        </w:tc>
      </w:tr>
      <w:tr w:rsidR="00204F9F" w:rsidRPr="00344E55" w14:paraId="4DCECB02" w14:textId="77777777" w:rsidTr="00697211">
        <w:trPr>
          <w:trHeight w:val="4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EB6A047" w14:textId="77777777" w:rsidR="00204F9F" w:rsidRPr="00344E55" w:rsidRDefault="00204F9F" w:rsidP="00204F9F">
            <w:pPr>
              <w:spacing w:after="0" w:line="256"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color w:val="000000"/>
                <w:sz w:val="24"/>
                <w:szCs w:val="24"/>
                <w:lang w:val="en-US" w:eastAsia="en-ZA"/>
              </w:rPr>
              <w:t>Supplier Development and Market Access Support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F2F826E"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13,079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CABB078"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13,686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19DC4C3"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14,486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C922629"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color w:val="000000"/>
                <w:sz w:val="24"/>
                <w:szCs w:val="24"/>
                <w:lang w:eastAsia="en-ZA"/>
              </w:rPr>
              <w:t xml:space="preserve">41,251 </w:t>
            </w:r>
          </w:p>
        </w:tc>
      </w:tr>
      <w:tr w:rsidR="00697211" w:rsidRPr="00344E55" w14:paraId="6A2C830D" w14:textId="77777777" w:rsidTr="00697211">
        <w:trPr>
          <w:trHeight w:val="45"/>
        </w:trPr>
        <w:tc>
          <w:tcPr>
            <w:tcW w:w="30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114EFCF2" w14:textId="77777777" w:rsidR="00204F9F" w:rsidRPr="00344E55" w:rsidRDefault="00204F9F" w:rsidP="00204F9F">
            <w:pPr>
              <w:spacing w:after="0" w:line="256" w:lineRule="auto"/>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sz w:val="24"/>
                <w:szCs w:val="24"/>
                <w:lang w:val="en-US" w:eastAsia="en-ZA"/>
              </w:rPr>
              <w:t>Total</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1E4A9500"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 xml:space="preserve">127,628 </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2E42E69C"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 xml:space="preserve">135,080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5795BEB2"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 xml:space="preserve">142,269 </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bottom"/>
            <w:hideMark/>
          </w:tcPr>
          <w:p w14:paraId="26C18C35" w14:textId="77777777" w:rsidR="00204F9F" w:rsidRPr="00344E55" w:rsidRDefault="00204F9F" w:rsidP="00204F9F">
            <w:pPr>
              <w:spacing w:after="0" w:line="256" w:lineRule="auto"/>
              <w:jc w:val="center"/>
              <w:rPr>
                <w:rFonts w:ascii="Times New Roman" w:eastAsia="Times New Roman" w:hAnsi="Times New Roman" w:cs="Times New Roman"/>
                <w:sz w:val="24"/>
                <w:szCs w:val="24"/>
                <w:lang w:eastAsia="en-ZA"/>
              </w:rPr>
            </w:pPr>
            <w:r w:rsidRPr="00344E55">
              <w:rPr>
                <w:rFonts w:ascii="Times New Roman" w:eastAsia="Calibri" w:hAnsi="Times New Roman" w:cs="Times New Roman"/>
                <w:b/>
                <w:bCs/>
                <w:color w:val="000000"/>
                <w:sz w:val="24"/>
                <w:szCs w:val="24"/>
                <w:lang w:eastAsia="en-ZA"/>
              </w:rPr>
              <w:t xml:space="preserve">404,977 </w:t>
            </w:r>
          </w:p>
        </w:tc>
      </w:tr>
    </w:tbl>
    <w:p w14:paraId="48AC7399" w14:textId="77777777" w:rsidR="005200EB" w:rsidRPr="00344E55" w:rsidRDefault="005200EB" w:rsidP="00204F9F">
      <w:pPr>
        <w:pStyle w:val="Default"/>
        <w:contextualSpacing/>
        <w:jc w:val="both"/>
        <w:rPr>
          <w:b/>
          <w:color w:val="auto"/>
        </w:rPr>
      </w:pPr>
      <w:r w:rsidRPr="00344E55">
        <w:rPr>
          <w:b/>
          <w:color w:val="auto"/>
        </w:rPr>
        <w:t>Source: DSBD Annual Performance Plan</w:t>
      </w:r>
      <w:r w:rsidR="00204F9F" w:rsidRPr="00344E55">
        <w:rPr>
          <w:b/>
          <w:color w:val="auto"/>
        </w:rPr>
        <w:t xml:space="preserve"> 2019/20</w:t>
      </w:r>
    </w:p>
    <w:p w14:paraId="1ADB8150" w14:textId="77777777" w:rsidR="005200EB" w:rsidRPr="00344E55" w:rsidRDefault="005200EB" w:rsidP="004430C9">
      <w:pPr>
        <w:pStyle w:val="Default"/>
        <w:spacing w:line="360" w:lineRule="auto"/>
        <w:contextualSpacing/>
        <w:jc w:val="both"/>
        <w:rPr>
          <w:color w:val="auto"/>
        </w:rPr>
      </w:pPr>
    </w:p>
    <w:p w14:paraId="71FC8D89" w14:textId="77777777" w:rsidR="00EB7F89" w:rsidRPr="00344E55" w:rsidRDefault="00DC07C6" w:rsidP="00EB7F89">
      <w:pPr>
        <w:pStyle w:val="Default"/>
        <w:spacing w:line="360" w:lineRule="auto"/>
        <w:ind w:left="720" w:hanging="720"/>
        <w:contextualSpacing/>
        <w:jc w:val="both"/>
        <w:rPr>
          <w:b/>
          <w:color w:val="auto"/>
        </w:rPr>
      </w:pPr>
      <w:r w:rsidRPr="00344E55">
        <w:rPr>
          <w:b/>
          <w:color w:val="auto"/>
        </w:rPr>
        <w:t>5.4</w:t>
      </w:r>
      <w:r w:rsidRPr="00344E55">
        <w:rPr>
          <w:b/>
          <w:color w:val="auto"/>
        </w:rPr>
        <w:tab/>
        <w:t>Programme 4: Enterprise Development and Entrepreneurship</w:t>
      </w:r>
    </w:p>
    <w:p w14:paraId="00CEB8CF" w14:textId="77777777" w:rsidR="00EB7F89" w:rsidRPr="00344E55" w:rsidRDefault="004B0A8F" w:rsidP="00EB7F89">
      <w:pPr>
        <w:pStyle w:val="Default"/>
        <w:spacing w:line="360" w:lineRule="auto"/>
        <w:contextualSpacing/>
        <w:jc w:val="both"/>
        <w:rPr>
          <w:rFonts w:eastAsia="Calibri"/>
        </w:rPr>
      </w:pPr>
      <w:r w:rsidRPr="00344E55">
        <w:rPr>
          <w:rFonts w:eastAsia="Calibri"/>
        </w:rPr>
        <w:t>Programme 4 has been allocated R</w:t>
      </w:r>
      <w:r w:rsidR="00EB7F89" w:rsidRPr="00344E55">
        <w:rPr>
          <w:rFonts w:eastAsia="Calibri"/>
        </w:rPr>
        <w:t xml:space="preserve">7.2 </w:t>
      </w:r>
      <w:r w:rsidRPr="00344E55">
        <w:rPr>
          <w:rFonts w:eastAsia="Calibri"/>
        </w:rPr>
        <w:t xml:space="preserve">billion over the MTEF </w:t>
      </w:r>
      <w:r w:rsidR="00EB7F89" w:rsidRPr="00344E55">
        <w:rPr>
          <w:rFonts w:eastAsia="Calibri"/>
        </w:rPr>
        <w:t xml:space="preserve">with a sizeable portion of this </w:t>
      </w:r>
      <w:r w:rsidRPr="00344E55">
        <w:rPr>
          <w:rFonts w:eastAsia="Calibri"/>
        </w:rPr>
        <w:t xml:space="preserve">amount going to </w:t>
      </w:r>
      <w:proofErr w:type="spellStart"/>
      <w:r w:rsidRPr="00344E55">
        <w:rPr>
          <w:rFonts w:eastAsia="Calibri"/>
        </w:rPr>
        <w:t>Seda</w:t>
      </w:r>
      <w:proofErr w:type="spellEnd"/>
      <w:r w:rsidRPr="00344E55">
        <w:rPr>
          <w:rFonts w:eastAsia="Calibri"/>
        </w:rPr>
        <w:t xml:space="preserve">. The spending focus for the Enterprise Development and Entrepreneurship Programme over the medium term will be on the four (4) </w:t>
      </w:r>
      <w:proofErr w:type="spellStart"/>
      <w:r w:rsidRPr="00344E55">
        <w:rPr>
          <w:rFonts w:eastAsia="Calibri"/>
        </w:rPr>
        <w:t>subprogrammes</w:t>
      </w:r>
      <w:proofErr w:type="spellEnd"/>
      <w:r w:rsidRPr="00344E55">
        <w:rPr>
          <w:rFonts w:eastAsia="Calibri"/>
        </w:rPr>
        <w:t xml:space="preserve"> constituting the Programme, namely, Enterprises and Supplier Development Programme, SMME Programme Design and Support, SMME Competitiveness and Entrepreneurship. For </w:t>
      </w:r>
      <w:r w:rsidRPr="00344E55">
        <w:rPr>
          <w:rFonts w:eastAsia="Calibri"/>
        </w:rPr>
        <w:lastRenderedPageBreak/>
        <w:t>the current financial year 2018/19 the Programme has been allocated R</w:t>
      </w:r>
      <w:r w:rsidR="00EB7F89" w:rsidRPr="00344E55">
        <w:rPr>
          <w:rFonts w:eastAsia="Calibri"/>
        </w:rPr>
        <w:t>2.6</w:t>
      </w:r>
      <w:r w:rsidRPr="00344E55">
        <w:rPr>
          <w:rFonts w:eastAsia="Calibri"/>
        </w:rPr>
        <w:t xml:space="preserve"> billion</w:t>
      </w:r>
      <w:r w:rsidR="00EB7F89" w:rsidRPr="00344E55">
        <w:rPr>
          <w:rFonts w:eastAsia="Calibri"/>
        </w:rPr>
        <w:t xml:space="preserve"> which as indicated consist of </w:t>
      </w:r>
      <w:proofErr w:type="spellStart"/>
      <w:r w:rsidR="00EB7F89" w:rsidRPr="00344E55">
        <w:rPr>
          <w:rFonts w:eastAsia="Calibri"/>
        </w:rPr>
        <w:t>Seda</w:t>
      </w:r>
      <w:proofErr w:type="spellEnd"/>
      <w:r w:rsidR="00EB7F89" w:rsidRPr="00344E55">
        <w:rPr>
          <w:rFonts w:eastAsia="Calibri"/>
        </w:rPr>
        <w:t xml:space="preserve"> </w:t>
      </w:r>
      <w:r w:rsidR="00007EDB" w:rsidRPr="00344E55">
        <w:rPr>
          <w:rFonts w:eastAsia="Calibri"/>
        </w:rPr>
        <w:t xml:space="preserve">allocation of R868 million </w:t>
      </w:r>
      <w:r w:rsidR="00EB7F89" w:rsidRPr="00344E55">
        <w:rPr>
          <w:rFonts w:eastAsia="Calibri"/>
        </w:rPr>
        <w:t xml:space="preserve">and </w:t>
      </w:r>
      <w:proofErr w:type="spellStart"/>
      <w:r w:rsidR="00EB7F89" w:rsidRPr="00344E55">
        <w:rPr>
          <w:rFonts w:eastAsia="Calibri"/>
          <w:b/>
        </w:rPr>
        <w:t>sefa</w:t>
      </w:r>
      <w:proofErr w:type="spellEnd"/>
      <w:r w:rsidR="00EB7F89" w:rsidRPr="00344E55">
        <w:rPr>
          <w:rFonts w:eastAsia="Calibri"/>
        </w:rPr>
        <w:t xml:space="preserve"> </w:t>
      </w:r>
      <w:r w:rsidR="00007EDB" w:rsidRPr="00344E55">
        <w:rPr>
          <w:rFonts w:eastAsia="Calibri"/>
        </w:rPr>
        <w:t>provision</w:t>
      </w:r>
      <w:r w:rsidR="00EB7F89" w:rsidRPr="00344E55">
        <w:rPr>
          <w:rFonts w:eastAsia="Calibri"/>
        </w:rPr>
        <w:t xml:space="preserve"> of R1 billion</w:t>
      </w:r>
      <w:r w:rsidRPr="00344E55">
        <w:rPr>
          <w:rFonts w:eastAsia="Calibri"/>
        </w:rPr>
        <w:t>.</w:t>
      </w:r>
    </w:p>
    <w:p w14:paraId="15949061" w14:textId="77777777" w:rsidR="005200EB" w:rsidRPr="00344E55" w:rsidRDefault="00EB7F89" w:rsidP="00EB7F89">
      <w:pPr>
        <w:pStyle w:val="Default"/>
        <w:spacing w:line="360" w:lineRule="auto"/>
        <w:contextualSpacing/>
        <w:jc w:val="both"/>
        <w:rPr>
          <w:b/>
        </w:rPr>
      </w:pPr>
      <w:r w:rsidRPr="00344E55">
        <w:rPr>
          <w:b/>
        </w:rPr>
        <w:t xml:space="preserve"> </w:t>
      </w:r>
    </w:p>
    <w:p w14:paraId="7F738F09" w14:textId="77777777" w:rsidR="00007EDB" w:rsidRPr="00344E55" w:rsidRDefault="00007EDB" w:rsidP="00EB7F89">
      <w:pPr>
        <w:pStyle w:val="Default"/>
        <w:spacing w:line="360" w:lineRule="auto"/>
        <w:contextualSpacing/>
        <w:jc w:val="both"/>
        <w:rPr>
          <w:b/>
        </w:rPr>
      </w:pPr>
    </w:p>
    <w:p w14:paraId="0F4341A6" w14:textId="77777777" w:rsidR="00007EDB" w:rsidRPr="00344E55" w:rsidRDefault="00007EDB" w:rsidP="00EB7F89">
      <w:pPr>
        <w:pStyle w:val="Default"/>
        <w:spacing w:line="360" w:lineRule="auto"/>
        <w:contextualSpacing/>
        <w:jc w:val="both"/>
        <w:rPr>
          <w:b/>
        </w:rPr>
      </w:pPr>
    </w:p>
    <w:p w14:paraId="223A326E" w14:textId="77777777" w:rsidR="00007EDB" w:rsidRPr="00344E55" w:rsidRDefault="00007EDB" w:rsidP="00EB7F89">
      <w:pPr>
        <w:pStyle w:val="Default"/>
        <w:spacing w:line="360" w:lineRule="auto"/>
        <w:contextualSpacing/>
        <w:jc w:val="both"/>
        <w:rPr>
          <w:b/>
        </w:rPr>
      </w:pPr>
    </w:p>
    <w:p w14:paraId="2DAD777C" w14:textId="77777777" w:rsidR="00007EDB" w:rsidRPr="00344E55" w:rsidRDefault="00007EDB" w:rsidP="00EB7F89">
      <w:pPr>
        <w:pStyle w:val="Default"/>
        <w:spacing w:line="360" w:lineRule="auto"/>
        <w:contextualSpacing/>
        <w:jc w:val="both"/>
        <w:rPr>
          <w:b/>
        </w:rPr>
      </w:pPr>
    </w:p>
    <w:p w14:paraId="72CD9B7F" w14:textId="77777777" w:rsidR="00007EDB" w:rsidRPr="00344E55" w:rsidRDefault="00007EDB" w:rsidP="00EB7F89">
      <w:pPr>
        <w:pStyle w:val="Default"/>
        <w:spacing w:line="360" w:lineRule="auto"/>
        <w:contextualSpacing/>
        <w:jc w:val="both"/>
        <w:rPr>
          <w:b/>
        </w:rPr>
      </w:pPr>
    </w:p>
    <w:p w14:paraId="54D353F7" w14:textId="77777777" w:rsidR="00007EDB" w:rsidRPr="00344E55" w:rsidRDefault="00007EDB" w:rsidP="00EB7F89">
      <w:pPr>
        <w:pStyle w:val="Default"/>
        <w:spacing w:line="360" w:lineRule="auto"/>
        <w:contextualSpacing/>
        <w:jc w:val="both"/>
        <w:rPr>
          <w:b/>
        </w:rPr>
      </w:pPr>
    </w:p>
    <w:p w14:paraId="4A491C3F" w14:textId="77777777" w:rsidR="00784A03" w:rsidRPr="00344E55" w:rsidRDefault="00784A03" w:rsidP="00EB7F89">
      <w:pPr>
        <w:pStyle w:val="Default"/>
        <w:spacing w:line="360" w:lineRule="auto"/>
        <w:contextualSpacing/>
        <w:jc w:val="both"/>
        <w:rPr>
          <w:b/>
        </w:rPr>
      </w:pPr>
    </w:p>
    <w:p w14:paraId="71CD7DD7" w14:textId="77777777" w:rsidR="00007EDB" w:rsidRPr="00344E55" w:rsidRDefault="00007EDB" w:rsidP="00007EDB">
      <w:pPr>
        <w:pStyle w:val="Default"/>
        <w:spacing w:line="360" w:lineRule="auto"/>
        <w:contextualSpacing/>
        <w:jc w:val="center"/>
        <w:rPr>
          <w:b/>
        </w:rPr>
      </w:pPr>
      <w:r w:rsidRPr="00344E55">
        <w:rPr>
          <w:b/>
        </w:rPr>
        <w:t>SMALL ENTERPRISE DEVELOPMENT AGENCY</w:t>
      </w:r>
    </w:p>
    <w:p w14:paraId="7361A2F4" w14:textId="77777777" w:rsidR="00007EDB" w:rsidRPr="00344E55" w:rsidRDefault="00007EDB" w:rsidP="00007EDB">
      <w:pPr>
        <w:pStyle w:val="Default"/>
        <w:spacing w:line="360" w:lineRule="auto"/>
        <w:contextualSpacing/>
        <w:jc w:val="center"/>
        <w:rPr>
          <w:b/>
        </w:rPr>
      </w:pPr>
    </w:p>
    <w:p w14:paraId="03B5629B" w14:textId="77777777" w:rsidR="005200EB" w:rsidRPr="00344E55" w:rsidRDefault="002B6B37" w:rsidP="00007EDB">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6.</w:t>
      </w:r>
      <w:r w:rsidRPr="00344E55">
        <w:rPr>
          <w:rFonts w:ascii="Times New Roman" w:hAnsi="Times New Roman" w:cs="Times New Roman"/>
          <w:b/>
          <w:sz w:val="24"/>
          <w:szCs w:val="24"/>
        </w:rPr>
        <w:tab/>
        <w:t>MANDATE</w:t>
      </w:r>
    </w:p>
    <w:p w14:paraId="60948071" w14:textId="77777777" w:rsidR="00007EDB" w:rsidRPr="00344E55" w:rsidRDefault="00007EDB" w:rsidP="00007EDB">
      <w:pPr>
        <w:spacing w:line="360" w:lineRule="auto"/>
        <w:contextualSpacing/>
        <w:jc w:val="both"/>
        <w:rPr>
          <w:rFonts w:ascii="Times New Roman" w:hAnsi="Times New Roman" w:cs="Times New Roman"/>
          <w:b/>
          <w:sz w:val="24"/>
          <w:szCs w:val="24"/>
        </w:rPr>
      </w:pPr>
    </w:p>
    <w:p w14:paraId="3C10485E" w14:textId="77777777" w:rsidR="00007EDB" w:rsidRPr="00344E55" w:rsidRDefault="005200EB" w:rsidP="00007EDB">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lang w:val="en-US"/>
        </w:rPr>
        <w:t>Small Enterprise Development Agency (</w:t>
      </w:r>
      <w:proofErr w:type="spellStart"/>
      <w:r w:rsidRPr="00344E55">
        <w:rPr>
          <w:rFonts w:ascii="Times New Roman" w:hAnsi="Times New Roman" w:cs="Times New Roman"/>
          <w:sz w:val="24"/>
          <w:szCs w:val="24"/>
          <w:lang w:val="en-US"/>
        </w:rPr>
        <w:t>S</w:t>
      </w:r>
      <w:r w:rsidR="001E44D4" w:rsidRPr="00344E55">
        <w:rPr>
          <w:rFonts w:ascii="Times New Roman" w:hAnsi="Times New Roman" w:cs="Times New Roman"/>
          <w:sz w:val="24"/>
          <w:szCs w:val="24"/>
          <w:lang w:val="en-US"/>
        </w:rPr>
        <w:t>eda</w:t>
      </w:r>
      <w:proofErr w:type="spellEnd"/>
      <w:r w:rsidRPr="00344E55">
        <w:rPr>
          <w:rFonts w:ascii="Times New Roman" w:hAnsi="Times New Roman" w:cs="Times New Roman"/>
          <w:sz w:val="24"/>
          <w:szCs w:val="24"/>
          <w:lang w:val="en-US"/>
        </w:rPr>
        <w:t xml:space="preserve">) is an entity of the Department of Small Business Development </w:t>
      </w:r>
      <w:r w:rsidRPr="00344E55">
        <w:rPr>
          <w:rFonts w:ascii="Times New Roman" w:hAnsi="Times New Roman" w:cs="Times New Roman"/>
          <w:sz w:val="24"/>
          <w:szCs w:val="24"/>
        </w:rPr>
        <w:t xml:space="preserve">whose mandate include, inter alia, developing, nurturing, supporting and promoting small business ventures throughout the country, whilst ensuring their growth and sustainability in a harmonised fashion with various stakeholders. The Minister of Small Business Development is the executive authority of the agency and as such exercise oversight role over the agency as prescribed by the Public Finance Management Act. </w:t>
      </w:r>
      <w:proofErr w:type="spellStart"/>
      <w:r w:rsidRPr="00344E55">
        <w:rPr>
          <w:rFonts w:ascii="Times New Roman" w:hAnsi="Times New Roman" w:cs="Times New Roman"/>
          <w:sz w:val="24"/>
          <w:szCs w:val="24"/>
        </w:rPr>
        <w:t>S</w:t>
      </w:r>
      <w:r w:rsidR="001E44D4" w:rsidRPr="00344E55">
        <w:rPr>
          <w:rFonts w:ascii="Times New Roman" w:hAnsi="Times New Roman" w:cs="Times New Roman"/>
          <w:sz w:val="24"/>
          <w:szCs w:val="24"/>
        </w:rPr>
        <w:t>eda</w:t>
      </w:r>
      <w:proofErr w:type="spellEnd"/>
      <w:r w:rsidRPr="00344E55">
        <w:rPr>
          <w:rFonts w:ascii="Times New Roman" w:hAnsi="Times New Roman" w:cs="Times New Roman"/>
          <w:sz w:val="24"/>
          <w:szCs w:val="24"/>
        </w:rPr>
        <w:t xml:space="preserve"> was conceptualised in 2004, through amendment of the National Small </w:t>
      </w:r>
      <w:r w:rsidR="001E44D4" w:rsidRPr="00344E55">
        <w:rPr>
          <w:rFonts w:ascii="Times New Roman" w:hAnsi="Times New Roman" w:cs="Times New Roman"/>
          <w:sz w:val="24"/>
          <w:szCs w:val="24"/>
        </w:rPr>
        <w:t>Enterprise</w:t>
      </w:r>
      <w:r w:rsidRPr="00344E55">
        <w:rPr>
          <w:rFonts w:ascii="Times New Roman" w:hAnsi="Times New Roman" w:cs="Times New Roman"/>
          <w:sz w:val="24"/>
          <w:szCs w:val="24"/>
        </w:rPr>
        <w:t xml:space="preserve"> Act, amendment Act 29 of 2004, which essentially made provision for the incorporation of the </w:t>
      </w:r>
      <w:proofErr w:type="spellStart"/>
      <w:r w:rsidRPr="00344E55">
        <w:rPr>
          <w:rFonts w:ascii="Times New Roman" w:hAnsi="Times New Roman" w:cs="Times New Roman"/>
          <w:sz w:val="24"/>
          <w:szCs w:val="24"/>
        </w:rPr>
        <w:t>Ntsika</w:t>
      </w:r>
      <w:proofErr w:type="spellEnd"/>
      <w:r w:rsidRPr="00344E55">
        <w:rPr>
          <w:rFonts w:ascii="Times New Roman" w:hAnsi="Times New Roman" w:cs="Times New Roman"/>
          <w:sz w:val="24"/>
          <w:szCs w:val="24"/>
        </w:rPr>
        <w:t xml:space="preserve"> Enterprise Promotion Agency, the National Manufacturing Advisory Centre and any other designated institutions into a single Small Enterprise Development Agency under the Department of Trade and Industry (</w:t>
      </w:r>
      <w:r w:rsidRPr="00344E55">
        <w:rPr>
          <w:rFonts w:ascii="Times New Roman" w:hAnsi="Times New Roman" w:cs="Times New Roman"/>
          <w:b/>
          <w:sz w:val="24"/>
          <w:szCs w:val="24"/>
        </w:rPr>
        <w:t xml:space="preserve">the </w:t>
      </w:r>
      <w:proofErr w:type="spellStart"/>
      <w:r w:rsidRPr="00344E55">
        <w:rPr>
          <w:rFonts w:ascii="Times New Roman" w:hAnsi="Times New Roman" w:cs="Times New Roman"/>
          <w:b/>
          <w:sz w:val="24"/>
          <w:szCs w:val="24"/>
        </w:rPr>
        <w:t>dti</w:t>
      </w:r>
      <w:proofErr w:type="spellEnd"/>
      <w:r w:rsidRPr="00344E55">
        <w:rPr>
          <w:rFonts w:ascii="Times New Roman" w:hAnsi="Times New Roman" w:cs="Times New Roman"/>
          <w:sz w:val="24"/>
          <w:szCs w:val="24"/>
        </w:rPr>
        <w:t>). It is a schedule 3A national public entity in terms of the Public Finance Management Act (PFMA), Act 1 of 1999, as amended, and incorporated as a company in terms of the Companies Act, 2008.</w:t>
      </w:r>
    </w:p>
    <w:p w14:paraId="57B50567" w14:textId="77777777" w:rsidR="00007EDB" w:rsidRPr="00344E55" w:rsidRDefault="00007EDB" w:rsidP="00007EDB">
      <w:pPr>
        <w:spacing w:line="360" w:lineRule="auto"/>
        <w:contextualSpacing/>
        <w:jc w:val="both"/>
        <w:rPr>
          <w:rFonts w:ascii="Times New Roman" w:hAnsi="Times New Roman" w:cs="Times New Roman"/>
          <w:sz w:val="24"/>
          <w:szCs w:val="24"/>
        </w:rPr>
      </w:pPr>
    </w:p>
    <w:p w14:paraId="569D36A7" w14:textId="77777777" w:rsidR="00007EDB" w:rsidRPr="00344E55" w:rsidRDefault="00007EDB" w:rsidP="00007EDB">
      <w:pPr>
        <w:spacing w:line="360" w:lineRule="auto"/>
        <w:contextualSpacing/>
        <w:jc w:val="both"/>
        <w:rPr>
          <w:rFonts w:ascii="Times New Roman" w:hAnsi="Times New Roman" w:cs="Times New Roman"/>
          <w:b/>
          <w:bCs/>
          <w:kern w:val="24"/>
          <w:sz w:val="24"/>
          <w:szCs w:val="24"/>
          <w:lang w:val="en-GB"/>
        </w:rPr>
      </w:pPr>
      <w:r w:rsidRPr="00344E55">
        <w:rPr>
          <w:rFonts w:ascii="Times New Roman" w:hAnsi="Times New Roman" w:cs="Times New Roman"/>
          <w:b/>
          <w:bCs/>
          <w:kern w:val="24"/>
          <w:sz w:val="24"/>
          <w:szCs w:val="24"/>
          <w:lang w:val="en-GB"/>
        </w:rPr>
        <w:t>6.1</w:t>
      </w:r>
      <w:r w:rsidRPr="00344E55">
        <w:rPr>
          <w:rFonts w:ascii="Times New Roman" w:hAnsi="Times New Roman" w:cs="Times New Roman"/>
          <w:b/>
          <w:bCs/>
          <w:kern w:val="24"/>
          <w:sz w:val="24"/>
          <w:szCs w:val="24"/>
          <w:lang w:val="en-GB"/>
        </w:rPr>
        <w:tab/>
      </w:r>
      <w:proofErr w:type="spellStart"/>
      <w:r w:rsidR="00337CCC" w:rsidRPr="00344E55">
        <w:rPr>
          <w:rFonts w:ascii="Times New Roman" w:hAnsi="Times New Roman" w:cs="Times New Roman"/>
          <w:b/>
          <w:bCs/>
          <w:kern w:val="24"/>
          <w:sz w:val="24"/>
          <w:szCs w:val="24"/>
          <w:lang w:val="en-GB"/>
        </w:rPr>
        <w:t>Seda</w:t>
      </w:r>
      <w:proofErr w:type="spellEnd"/>
      <w:r w:rsidR="00337CCC" w:rsidRPr="00344E55">
        <w:rPr>
          <w:rFonts w:ascii="Times New Roman" w:hAnsi="Times New Roman" w:cs="Times New Roman"/>
          <w:b/>
          <w:bCs/>
          <w:kern w:val="24"/>
          <w:sz w:val="24"/>
          <w:szCs w:val="24"/>
          <w:lang w:val="en-GB"/>
        </w:rPr>
        <w:t xml:space="preserve"> Vision</w:t>
      </w:r>
      <w:r w:rsidRPr="00344E55">
        <w:rPr>
          <w:rFonts w:ascii="Times New Roman" w:hAnsi="Times New Roman" w:cs="Times New Roman"/>
          <w:b/>
          <w:bCs/>
          <w:kern w:val="24"/>
          <w:sz w:val="24"/>
          <w:szCs w:val="24"/>
          <w:lang w:val="en-GB"/>
        </w:rPr>
        <w:t xml:space="preserve"> </w:t>
      </w:r>
    </w:p>
    <w:p w14:paraId="684696A2" w14:textId="77777777" w:rsidR="00007EDB" w:rsidRPr="00344E55" w:rsidRDefault="00007EDB" w:rsidP="00007EDB">
      <w:pPr>
        <w:spacing w:line="360" w:lineRule="auto"/>
        <w:contextualSpacing/>
        <w:jc w:val="both"/>
        <w:rPr>
          <w:rFonts w:ascii="Times New Roman" w:hAnsi="Times New Roman" w:cs="Times New Roman"/>
          <w:kern w:val="24"/>
          <w:sz w:val="24"/>
          <w:szCs w:val="24"/>
          <w:lang w:val="en-GB"/>
        </w:rPr>
      </w:pPr>
      <w:proofErr w:type="gramStart"/>
      <w:r w:rsidRPr="00344E55">
        <w:rPr>
          <w:rFonts w:ascii="Times New Roman" w:hAnsi="Times New Roman" w:cs="Times New Roman"/>
          <w:kern w:val="24"/>
          <w:sz w:val="24"/>
          <w:szCs w:val="24"/>
          <w:lang w:val="en-GB"/>
        </w:rPr>
        <w:t>To be the centre of excellence for small enterprise development in South Africa.</w:t>
      </w:r>
      <w:proofErr w:type="gramEnd"/>
      <w:r w:rsidRPr="00344E55">
        <w:rPr>
          <w:rFonts w:ascii="Times New Roman" w:hAnsi="Times New Roman" w:cs="Times New Roman"/>
          <w:kern w:val="24"/>
          <w:sz w:val="24"/>
          <w:szCs w:val="24"/>
          <w:lang w:val="en-GB"/>
        </w:rPr>
        <w:t xml:space="preserve"> </w:t>
      </w:r>
    </w:p>
    <w:p w14:paraId="770DA941" w14:textId="77777777" w:rsidR="00007EDB" w:rsidRPr="00344E55" w:rsidRDefault="00007EDB" w:rsidP="00007EDB">
      <w:pPr>
        <w:spacing w:line="360" w:lineRule="auto"/>
        <w:contextualSpacing/>
        <w:jc w:val="both"/>
        <w:rPr>
          <w:rFonts w:ascii="Times New Roman" w:hAnsi="Times New Roman" w:cs="Times New Roman"/>
          <w:kern w:val="24"/>
          <w:sz w:val="24"/>
          <w:szCs w:val="24"/>
          <w:lang w:val="en-GB"/>
        </w:rPr>
      </w:pPr>
    </w:p>
    <w:p w14:paraId="62230BBC" w14:textId="77777777" w:rsidR="00007EDB" w:rsidRPr="00344E55" w:rsidRDefault="00007EDB" w:rsidP="00007EDB">
      <w:pPr>
        <w:spacing w:line="360" w:lineRule="auto"/>
        <w:contextualSpacing/>
        <w:jc w:val="both"/>
        <w:rPr>
          <w:rFonts w:ascii="Times New Roman" w:hAnsi="Times New Roman" w:cs="Times New Roman"/>
          <w:kern w:val="24"/>
          <w:sz w:val="24"/>
          <w:szCs w:val="24"/>
          <w:lang w:val="en-GB"/>
        </w:rPr>
      </w:pPr>
      <w:r w:rsidRPr="00344E55">
        <w:rPr>
          <w:rFonts w:ascii="Times New Roman" w:hAnsi="Times New Roman" w:cs="Times New Roman"/>
          <w:b/>
          <w:bCs/>
          <w:kern w:val="24"/>
          <w:sz w:val="24"/>
          <w:szCs w:val="24"/>
          <w:lang w:val="en-GB"/>
        </w:rPr>
        <w:t>6.2</w:t>
      </w:r>
      <w:r w:rsidRPr="00344E55">
        <w:rPr>
          <w:rFonts w:ascii="Times New Roman" w:hAnsi="Times New Roman" w:cs="Times New Roman"/>
          <w:b/>
          <w:bCs/>
          <w:kern w:val="24"/>
          <w:sz w:val="24"/>
          <w:szCs w:val="24"/>
          <w:lang w:val="en-GB"/>
        </w:rPr>
        <w:tab/>
        <w:t>Mission</w:t>
      </w:r>
      <w:r w:rsidRPr="00344E55">
        <w:rPr>
          <w:rFonts w:ascii="Times New Roman" w:hAnsi="Times New Roman" w:cs="Times New Roman"/>
          <w:kern w:val="24"/>
          <w:sz w:val="24"/>
          <w:szCs w:val="24"/>
          <w:lang w:val="en-GB"/>
        </w:rPr>
        <w:t xml:space="preserve"> </w:t>
      </w:r>
    </w:p>
    <w:p w14:paraId="75862581" w14:textId="77777777" w:rsidR="00007EDB" w:rsidRPr="00344E55" w:rsidRDefault="00007EDB" w:rsidP="00007EDB">
      <w:pPr>
        <w:spacing w:line="360" w:lineRule="auto"/>
        <w:contextualSpacing/>
        <w:jc w:val="both"/>
        <w:rPr>
          <w:rFonts w:ascii="Times New Roman" w:hAnsi="Times New Roman" w:cs="Times New Roman"/>
          <w:kern w:val="24"/>
          <w:sz w:val="24"/>
          <w:szCs w:val="24"/>
          <w:lang w:val="en-GB"/>
        </w:rPr>
      </w:pPr>
      <w:r w:rsidRPr="00344E55">
        <w:rPr>
          <w:rFonts w:ascii="Times New Roman" w:hAnsi="Times New Roman" w:cs="Times New Roman"/>
          <w:kern w:val="24"/>
          <w:sz w:val="24"/>
          <w:szCs w:val="24"/>
          <w:lang w:val="en-GB"/>
        </w:rPr>
        <w:t xml:space="preserve">To promote entrepreneurship and develop small enterprises by providing customised non-financial business support services that results in business growth and sustainability, in </w:t>
      </w:r>
      <w:r w:rsidRPr="00344E55">
        <w:rPr>
          <w:rFonts w:ascii="Times New Roman" w:hAnsi="Times New Roman" w:cs="Times New Roman"/>
          <w:kern w:val="24"/>
          <w:sz w:val="24"/>
          <w:szCs w:val="24"/>
          <w:lang w:val="en-GB"/>
        </w:rPr>
        <w:lastRenderedPageBreak/>
        <w:t>collaboration with other role players, including global partners who make international best practices available to local entrepreneurs.</w:t>
      </w:r>
    </w:p>
    <w:p w14:paraId="3659A985" w14:textId="77777777" w:rsidR="00007EDB" w:rsidRPr="00344E55" w:rsidRDefault="00007EDB" w:rsidP="00007EDB">
      <w:pPr>
        <w:spacing w:line="360" w:lineRule="auto"/>
        <w:contextualSpacing/>
        <w:jc w:val="both"/>
        <w:rPr>
          <w:rFonts w:ascii="Times New Roman" w:hAnsi="Times New Roman" w:cs="Times New Roman"/>
          <w:kern w:val="24"/>
          <w:sz w:val="24"/>
          <w:szCs w:val="24"/>
          <w:lang w:val="en-GB"/>
        </w:rPr>
      </w:pPr>
    </w:p>
    <w:p w14:paraId="28C91D46" w14:textId="77777777" w:rsidR="001E44D4" w:rsidRPr="00344E55" w:rsidRDefault="00007EDB" w:rsidP="001E44D4">
      <w:pPr>
        <w:spacing w:line="360" w:lineRule="auto"/>
        <w:contextualSpacing/>
        <w:jc w:val="both"/>
        <w:rPr>
          <w:rFonts w:ascii="Times New Roman" w:hAnsi="Times New Roman" w:cs="Times New Roman"/>
          <w:sz w:val="24"/>
          <w:szCs w:val="24"/>
        </w:rPr>
      </w:pPr>
      <w:r w:rsidRPr="00344E55">
        <w:rPr>
          <w:rFonts w:ascii="Times New Roman" w:hAnsi="Times New Roman" w:cs="Times New Roman"/>
          <w:b/>
          <w:bCs/>
          <w:kern w:val="24"/>
          <w:sz w:val="24"/>
          <w:szCs w:val="24"/>
          <w:lang w:val="en-GB"/>
        </w:rPr>
        <w:t>6.3</w:t>
      </w:r>
      <w:r w:rsidRPr="00344E55">
        <w:rPr>
          <w:rFonts w:ascii="Times New Roman" w:hAnsi="Times New Roman" w:cs="Times New Roman"/>
          <w:b/>
          <w:bCs/>
          <w:kern w:val="24"/>
          <w:sz w:val="24"/>
          <w:szCs w:val="24"/>
          <w:lang w:val="en-GB"/>
        </w:rPr>
        <w:tab/>
        <w:t>Values</w:t>
      </w:r>
    </w:p>
    <w:p w14:paraId="4674C49F" w14:textId="77777777" w:rsidR="00007EDB" w:rsidRPr="00344E55" w:rsidRDefault="00007EDB" w:rsidP="001E44D4">
      <w:pPr>
        <w:pStyle w:val="ListParagraph"/>
        <w:numPr>
          <w:ilvl w:val="0"/>
          <w:numId w:val="27"/>
        </w:numPr>
        <w:spacing w:line="360" w:lineRule="auto"/>
        <w:jc w:val="both"/>
      </w:pPr>
      <w:r w:rsidRPr="00344E55">
        <w:rPr>
          <w:kern w:val="24"/>
          <w:lang w:val="en-GB"/>
        </w:rPr>
        <w:t>Nature;</w:t>
      </w:r>
    </w:p>
    <w:p w14:paraId="08A7D877" w14:textId="77777777" w:rsidR="00007EDB" w:rsidRPr="00344E55" w:rsidRDefault="00007EDB" w:rsidP="00007EDB">
      <w:pPr>
        <w:pStyle w:val="ListParagraph"/>
        <w:numPr>
          <w:ilvl w:val="0"/>
          <w:numId w:val="27"/>
        </w:numPr>
        <w:spacing w:line="360" w:lineRule="auto"/>
        <w:jc w:val="both"/>
      </w:pPr>
      <w:r w:rsidRPr="00344E55">
        <w:rPr>
          <w:kern w:val="24"/>
          <w:lang w:val="en-GB"/>
        </w:rPr>
        <w:t>Innovation;</w:t>
      </w:r>
    </w:p>
    <w:p w14:paraId="2A27F266" w14:textId="77777777" w:rsidR="00007EDB" w:rsidRPr="00344E55" w:rsidRDefault="00007EDB" w:rsidP="00007EDB">
      <w:pPr>
        <w:pStyle w:val="ListParagraph"/>
        <w:numPr>
          <w:ilvl w:val="0"/>
          <w:numId w:val="27"/>
        </w:numPr>
        <w:spacing w:line="360" w:lineRule="auto"/>
        <w:jc w:val="both"/>
      </w:pPr>
      <w:r w:rsidRPr="00344E55">
        <w:rPr>
          <w:kern w:val="24"/>
          <w:lang w:val="en-GB"/>
        </w:rPr>
        <w:t>Customer- centric;</w:t>
      </w:r>
    </w:p>
    <w:p w14:paraId="598AEA20" w14:textId="77777777" w:rsidR="00007EDB" w:rsidRPr="00344E55" w:rsidRDefault="00007EDB" w:rsidP="00007EDB">
      <w:pPr>
        <w:pStyle w:val="ListParagraph"/>
        <w:numPr>
          <w:ilvl w:val="0"/>
          <w:numId w:val="27"/>
        </w:numPr>
        <w:spacing w:line="360" w:lineRule="auto"/>
        <w:jc w:val="both"/>
      </w:pPr>
      <w:r w:rsidRPr="00344E55">
        <w:rPr>
          <w:kern w:val="24"/>
          <w:lang w:val="en-GB"/>
        </w:rPr>
        <w:t xml:space="preserve">Responsible conduct. </w:t>
      </w:r>
    </w:p>
    <w:p w14:paraId="4144BADF" w14:textId="77777777" w:rsidR="00007EDB" w:rsidRPr="00344E55" w:rsidRDefault="00007EDB" w:rsidP="00007EDB">
      <w:pPr>
        <w:spacing w:line="360" w:lineRule="auto"/>
        <w:contextualSpacing/>
        <w:jc w:val="both"/>
        <w:rPr>
          <w:rFonts w:ascii="Times New Roman" w:hAnsi="Times New Roman" w:cs="Times New Roman"/>
          <w:sz w:val="24"/>
          <w:szCs w:val="24"/>
        </w:rPr>
      </w:pPr>
    </w:p>
    <w:p w14:paraId="04C1D069" w14:textId="77777777" w:rsidR="005200EB" w:rsidRPr="00344E55" w:rsidRDefault="00007EDB" w:rsidP="00007EDB">
      <w:pPr>
        <w:spacing w:line="360" w:lineRule="auto"/>
        <w:contextualSpacing/>
        <w:jc w:val="both"/>
        <w:rPr>
          <w:rFonts w:ascii="Times New Roman" w:hAnsi="Times New Roman" w:cs="Times New Roman"/>
          <w:sz w:val="24"/>
          <w:szCs w:val="24"/>
        </w:rPr>
      </w:pPr>
      <w:r w:rsidRPr="00344E55">
        <w:rPr>
          <w:rFonts w:ascii="Times New Roman" w:hAnsi="Times New Roman" w:cs="Times New Roman"/>
          <w:b/>
          <w:sz w:val="24"/>
          <w:szCs w:val="24"/>
        </w:rPr>
        <w:t>6.4</w:t>
      </w:r>
      <w:r w:rsidRPr="00344E55">
        <w:rPr>
          <w:rFonts w:ascii="Times New Roman" w:hAnsi="Times New Roman" w:cs="Times New Roman"/>
          <w:b/>
          <w:sz w:val="24"/>
          <w:szCs w:val="24"/>
        </w:rPr>
        <w:tab/>
      </w:r>
      <w:r w:rsidR="005200EB" w:rsidRPr="00344E55">
        <w:rPr>
          <w:rFonts w:ascii="Times New Roman" w:hAnsi="Times New Roman" w:cs="Times New Roman"/>
          <w:b/>
          <w:bCs/>
          <w:sz w:val="24"/>
          <w:szCs w:val="24"/>
          <w:lang w:val="en-US"/>
        </w:rPr>
        <w:t>Goal</w:t>
      </w:r>
    </w:p>
    <w:p w14:paraId="1A6505FE" w14:textId="77777777" w:rsidR="005200EB" w:rsidRPr="00344E55" w:rsidRDefault="005200EB" w:rsidP="00007EDB">
      <w:pPr>
        <w:spacing w:line="360" w:lineRule="auto"/>
        <w:contextualSpacing/>
        <w:jc w:val="both"/>
        <w:rPr>
          <w:rFonts w:ascii="Times New Roman" w:eastAsiaTheme="minorEastAsia" w:hAnsi="Times New Roman" w:cs="Times New Roman"/>
          <w:kern w:val="24"/>
          <w:sz w:val="24"/>
          <w:szCs w:val="24"/>
          <w:lang w:val="en-US"/>
        </w:rPr>
      </w:pPr>
      <w:r w:rsidRPr="00344E55">
        <w:rPr>
          <w:rFonts w:ascii="Times New Roman" w:eastAsiaTheme="minorEastAsia" w:hAnsi="Times New Roman" w:cs="Times New Roman"/>
          <w:kern w:val="24"/>
          <w:sz w:val="24"/>
          <w:szCs w:val="24"/>
          <w:lang w:val="en-US"/>
        </w:rPr>
        <w:t xml:space="preserve">Ensure that the small enterprise sector grows and increases its </w:t>
      </w:r>
      <w:r w:rsidR="00007EDB" w:rsidRPr="00344E55">
        <w:rPr>
          <w:rFonts w:ascii="Times New Roman" w:eastAsiaTheme="minorEastAsia" w:hAnsi="Times New Roman" w:cs="Times New Roman"/>
          <w:kern w:val="24"/>
          <w:sz w:val="24"/>
          <w:szCs w:val="24"/>
          <w:lang w:val="en-US"/>
        </w:rPr>
        <w:t xml:space="preserve">contribution to sustainable and </w:t>
      </w:r>
      <w:r w:rsidRPr="00344E55">
        <w:rPr>
          <w:rFonts w:ascii="Times New Roman" w:eastAsiaTheme="minorEastAsia" w:hAnsi="Times New Roman" w:cs="Times New Roman"/>
          <w:kern w:val="24"/>
          <w:sz w:val="24"/>
          <w:szCs w:val="24"/>
          <w:lang w:val="en-US"/>
        </w:rPr>
        <w:t>equitable social and economic development, employment and wealth creation.</w:t>
      </w:r>
    </w:p>
    <w:p w14:paraId="30A39D71" w14:textId="77777777" w:rsidR="005200EB" w:rsidRPr="00344E55" w:rsidRDefault="001E44D4" w:rsidP="00B677BB">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7</w:t>
      </w:r>
      <w:r w:rsidR="00AF0904" w:rsidRPr="00344E55">
        <w:rPr>
          <w:rFonts w:ascii="Times New Roman" w:hAnsi="Times New Roman" w:cs="Times New Roman"/>
          <w:b/>
          <w:sz w:val="24"/>
          <w:szCs w:val="24"/>
          <w:lang w:val="en-US"/>
        </w:rPr>
        <w:t>.</w:t>
      </w:r>
      <w:r w:rsidR="00AF0904" w:rsidRPr="00344E55">
        <w:rPr>
          <w:rFonts w:ascii="Times New Roman" w:hAnsi="Times New Roman" w:cs="Times New Roman"/>
          <w:b/>
          <w:sz w:val="24"/>
          <w:szCs w:val="24"/>
          <w:lang w:val="en-US"/>
        </w:rPr>
        <w:tab/>
        <w:t>SEDA PROGRAMME SUMMARY</w:t>
      </w:r>
    </w:p>
    <w:p w14:paraId="0FDBCC6C" w14:textId="77777777" w:rsidR="00450305" w:rsidRPr="00344E55" w:rsidRDefault="00450305" w:rsidP="00B677BB">
      <w:pPr>
        <w:spacing w:line="360" w:lineRule="auto"/>
        <w:contextualSpacing/>
        <w:jc w:val="both"/>
        <w:rPr>
          <w:rFonts w:ascii="Times New Roman" w:hAnsi="Times New Roman" w:cs="Times New Roman"/>
          <w:b/>
          <w:sz w:val="24"/>
          <w:szCs w:val="24"/>
          <w:lang w:val="en-US"/>
        </w:rPr>
      </w:pPr>
    </w:p>
    <w:p w14:paraId="7E3E12F0" w14:textId="77777777" w:rsidR="00E502A6" w:rsidRPr="00344E55" w:rsidRDefault="00E502A6" w:rsidP="00B677BB">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7.1</w:t>
      </w:r>
      <w:r w:rsidRPr="00344E55">
        <w:rPr>
          <w:rFonts w:ascii="Times New Roman" w:hAnsi="Times New Roman" w:cs="Times New Roman"/>
          <w:b/>
          <w:sz w:val="24"/>
          <w:szCs w:val="24"/>
          <w:lang w:val="en-US"/>
        </w:rPr>
        <w:tab/>
        <w:t>Administration</w:t>
      </w:r>
    </w:p>
    <w:p w14:paraId="2E697ADF" w14:textId="77777777" w:rsidR="00B677BB" w:rsidRPr="00344E55" w:rsidRDefault="00E502A6" w:rsidP="00B677BB">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The purpose of administration programme is to provide strategic leadership and support to core delivery to ensure successful implementation of the organisations strategy. This includes monitoring organisations performance, strategic alignment with the </w:t>
      </w:r>
      <w:r w:rsidR="00337CCC" w:rsidRPr="00344E55">
        <w:rPr>
          <w:rFonts w:ascii="Times New Roman" w:hAnsi="Times New Roman" w:cs="Times New Roman"/>
          <w:sz w:val="24"/>
          <w:szCs w:val="24"/>
        </w:rPr>
        <w:t>shareholder’s</w:t>
      </w:r>
      <w:r w:rsidRPr="00344E55">
        <w:rPr>
          <w:rFonts w:ascii="Times New Roman" w:hAnsi="Times New Roman" w:cs="Times New Roman"/>
          <w:sz w:val="24"/>
          <w:szCs w:val="24"/>
        </w:rPr>
        <w:t xml:space="preserve"> expectations and capacitating the organisation to achieve its set objectives. This programme is intended to support the achievement of all the perspectives of the balanced scorecard i.e. organisational capacity, internal processes, finance and customer and stakeholder perspectives. </w:t>
      </w:r>
    </w:p>
    <w:p w14:paraId="1F9B9641" w14:textId="77777777" w:rsidR="00B677BB" w:rsidRPr="00344E55" w:rsidRDefault="00B677BB" w:rsidP="00B677BB">
      <w:pPr>
        <w:spacing w:line="360" w:lineRule="auto"/>
        <w:contextualSpacing/>
        <w:jc w:val="both"/>
        <w:rPr>
          <w:rFonts w:ascii="Times New Roman" w:hAnsi="Times New Roman" w:cs="Times New Roman"/>
          <w:sz w:val="24"/>
          <w:szCs w:val="24"/>
        </w:rPr>
      </w:pPr>
    </w:p>
    <w:p w14:paraId="2EDFFBE7" w14:textId="77777777" w:rsidR="00E502A6" w:rsidRPr="00344E55" w:rsidRDefault="00E502A6" w:rsidP="00B677BB">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By improving strategic alignment, stakeholder engagement, organisational performance increasing funding improving cost efficiencies including improving customer and stakeholder satisfaction the organisation seek to ensure that all non-core divisions are able to support, improve and optimise their functions to contribute effectively in the organisation performance.</w:t>
      </w:r>
      <w:r w:rsidR="00B677BB" w:rsidRPr="00344E55">
        <w:rPr>
          <w:rFonts w:ascii="Times New Roman" w:hAnsi="Times New Roman" w:cs="Times New Roman"/>
          <w:sz w:val="24"/>
          <w:szCs w:val="24"/>
        </w:rPr>
        <w:t xml:space="preserve"> An estimated R177 million has been budgeted for this programme, while this is expected to increase steadily over the MTEF period to R198 million. </w:t>
      </w:r>
    </w:p>
    <w:p w14:paraId="61CFA0E9" w14:textId="77777777" w:rsidR="00B677BB" w:rsidRPr="00344E55" w:rsidRDefault="00B677BB" w:rsidP="00B677BB">
      <w:pPr>
        <w:spacing w:line="360" w:lineRule="auto"/>
        <w:contextualSpacing/>
        <w:jc w:val="both"/>
        <w:rPr>
          <w:rFonts w:ascii="Times New Roman" w:hAnsi="Times New Roman" w:cs="Times New Roman"/>
          <w:sz w:val="24"/>
          <w:szCs w:val="24"/>
        </w:rPr>
      </w:pPr>
    </w:p>
    <w:p w14:paraId="755CFC3C" w14:textId="77777777" w:rsidR="00EC4D44" w:rsidRPr="00344E55" w:rsidRDefault="00E502A6" w:rsidP="00B677BB">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7.1</w:t>
      </w:r>
      <w:r w:rsidRPr="00344E55">
        <w:rPr>
          <w:rFonts w:ascii="Times New Roman" w:hAnsi="Times New Roman" w:cs="Times New Roman"/>
          <w:b/>
          <w:sz w:val="24"/>
          <w:szCs w:val="24"/>
          <w:lang w:val="en-US"/>
        </w:rPr>
        <w:tab/>
      </w:r>
      <w:r w:rsidR="00EC4D44" w:rsidRPr="00344E55">
        <w:rPr>
          <w:rFonts w:ascii="Times New Roman" w:hAnsi="Times New Roman" w:cs="Times New Roman"/>
          <w:b/>
          <w:sz w:val="24"/>
          <w:szCs w:val="24"/>
          <w:lang w:val="en-US"/>
        </w:rPr>
        <w:t>Ente</w:t>
      </w:r>
      <w:r w:rsidRPr="00344E55">
        <w:rPr>
          <w:rFonts w:ascii="Times New Roman" w:hAnsi="Times New Roman" w:cs="Times New Roman"/>
          <w:b/>
          <w:sz w:val="24"/>
          <w:szCs w:val="24"/>
          <w:lang w:val="en-US"/>
        </w:rPr>
        <w:t>rprise Development</w:t>
      </w:r>
    </w:p>
    <w:p w14:paraId="0B4571BA" w14:textId="77777777" w:rsidR="00E502A6" w:rsidRPr="00344E55" w:rsidRDefault="00E502A6" w:rsidP="00B677BB">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The purpose of the programme is to support small businesses and co-operatives by providing them with needs based and growth oriented non-financial business development support, to </w:t>
      </w:r>
      <w:r w:rsidRPr="00344E55">
        <w:rPr>
          <w:rFonts w:ascii="Times New Roman" w:hAnsi="Times New Roman" w:cs="Times New Roman"/>
          <w:sz w:val="24"/>
          <w:szCs w:val="24"/>
        </w:rPr>
        <w:lastRenderedPageBreak/>
        <w:t xml:space="preserve">ensure that their businesses are sustainable and contribute to the countries developmental goals of decreasing unemployment and increasing economic contribution to GDP. This programme is intended to support the achievement of the organisational capacity perspective of the balanced scorecard. By improving service access the organisation seek to ensure that supported enterprises and cooperatives are provided with business related information, advice, consultancy, training, coaching, mentoring and business development intervention to improve their business performance. </w:t>
      </w:r>
    </w:p>
    <w:p w14:paraId="02289DA7" w14:textId="77777777" w:rsidR="00E502A6" w:rsidRPr="00344E55" w:rsidRDefault="00E502A6" w:rsidP="00B677BB">
      <w:pPr>
        <w:spacing w:line="360" w:lineRule="auto"/>
        <w:contextualSpacing/>
        <w:jc w:val="both"/>
        <w:rPr>
          <w:rFonts w:ascii="Times New Roman" w:hAnsi="Times New Roman" w:cs="Times New Roman"/>
          <w:sz w:val="24"/>
          <w:szCs w:val="24"/>
        </w:rPr>
      </w:pPr>
    </w:p>
    <w:p w14:paraId="6B34C22B" w14:textId="77777777" w:rsidR="00E502A6" w:rsidRPr="00344E55" w:rsidRDefault="00E502A6" w:rsidP="00B677BB">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These services aimed at providing solutions related to various business functions from production to human resources, finance, marketing, quality improvement and export development. Rural and township enterprises including cooperatives are prioritised by ensuring that must of the support offered is directed towards them. For the current financial </w:t>
      </w:r>
      <w:r w:rsidR="00337CCC" w:rsidRPr="00344E55">
        <w:rPr>
          <w:rFonts w:ascii="Times New Roman" w:hAnsi="Times New Roman" w:cs="Times New Roman"/>
          <w:sz w:val="24"/>
          <w:szCs w:val="24"/>
        </w:rPr>
        <w:t>year,</w:t>
      </w:r>
      <w:r w:rsidRPr="00344E55">
        <w:rPr>
          <w:rFonts w:ascii="Times New Roman" w:hAnsi="Times New Roman" w:cs="Times New Roman"/>
          <w:sz w:val="24"/>
          <w:szCs w:val="24"/>
        </w:rPr>
        <w:t xml:space="preserve"> the programme is allocated R534 million.</w:t>
      </w:r>
    </w:p>
    <w:p w14:paraId="6209D5CC" w14:textId="77777777" w:rsidR="00E502A6" w:rsidRPr="00344E55" w:rsidRDefault="00E502A6" w:rsidP="00B677BB">
      <w:pPr>
        <w:spacing w:line="360" w:lineRule="auto"/>
        <w:contextualSpacing/>
        <w:jc w:val="both"/>
        <w:rPr>
          <w:rFonts w:ascii="Times New Roman" w:hAnsi="Times New Roman" w:cs="Times New Roman"/>
          <w:sz w:val="24"/>
          <w:szCs w:val="24"/>
        </w:rPr>
      </w:pPr>
    </w:p>
    <w:p w14:paraId="2E5BCC5A" w14:textId="77777777" w:rsidR="00E502A6" w:rsidRPr="00344E55" w:rsidRDefault="00E502A6" w:rsidP="00B677BB">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7.2</w:t>
      </w:r>
      <w:r w:rsidRPr="00344E55">
        <w:rPr>
          <w:rFonts w:ascii="Times New Roman" w:hAnsi="Times New Roman" w:cs="Times New Roman"/>
          <w:b/>
          <w:sz w:val="24"/>
          <w:szCs w:val="24"/>
        </w:rPr>
        <w:tab/>
      </w:r>
      <w:proofErr w:type="spellStart"/>
      <w:r w:rsidRPr="00344E55">
        <w:rPr>
          <w:rFonts w:ascii="Times New Roman" w:hAnsi="Times New Roman" w:cs="Times New Roman"/>
          <w:b/>
          <w:sz w:val="24"/>
          <w:szCs w:val="24"/>
        </w:rPr>
        <w:t>Seda</w:t>
      </w:r>
      <w:proofErr w:type="spellEnd"/>
      <w:r w:rsidRPr="00344E55">
        <w:rPr>
          <w:rFonts w:ascii="Times New Roman" w:hAnsi="Times New Roman" w:cs="Times New Roman"/>
          <w:b/>
          <w:sz w:val="24"/>
          <w:szCs w:val="24"/>
        </w:rPr>
        <w:t xml:space="preserve"> Technology Programme</w:t>
      </w:r>
    </w:p>
    <w:p w14:paraId="12BB58FD" w14:textId="77777777" w:rsidR="00B677BB" w:rsidRPr="00344E55" w:rsidRDefault="00E502A6" w:rsidP="00B677BB">
      <w:pPr>
        <w:autoSpaceDE w:val="0"/>
        <w:autoSpaceDN w:val="0"/>
        <w:adjustRightInd w:val="0"/>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To provide technology and innovation oriented interventions, including quality and product improvement support to small enterprises and cooperatives. To enable incubated clients to improve their survival rate beyond first challenging two years of business start-up by providing support to improve their product offering and other business development support. Moreover, the programme is intended to support the achievement of the organisational capacity perspective of the balanced scorecard. By improving service access the organisation seek to ensure that supported enterprises and clients are provided with incubation support, technological equipment and innovation support to improve their capacity and productivity. </w:t>
      </w:r>
    </w:p>
    <w:p w14:paraId="38518F8B" w14:textId="77777777" w:rsidR="00B677BB" w:rsidRPr="00344E55" w:rsidRDefault="00B677BB" w:rsidP="00B677BB">
      <w:pPr>
        <w:autoSpaceDE w:val="0"/>
        <w:autoSpaceDN w:val="0"/>
        <w:adjustRightInd w:val="0"/>
        <w:spacing w:line="360" w:lineRule="auto"/>
        <w:contextualSpacing/>
        <w:jc w:val="both"/>
        <w:rPr>
          <w:rFonts w:ascii="Times New Roman" w:hAnsi="Times New Roman" w:cs="Times New Roman"/>
          <w:sz w:val="24"/>
          <w:szCs w:val="24"/>
        </w:rPr>
      </w:pPr>
    </w:p>
    <w:p w14:paraId="2BFC92BA" w14:textId="77777777" w:rsidR="00E502A6" w:rsidRPr="00344E55" w:rsidRDefault="00E502A6" w:rsidP="00B677BB">
      <w:pPr>
        <w:autoSpaceDE w:val="0"/>
        <w:autoSpaceDN w:val="0"/>
        <w:adjustRightInd w:val="0"/>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Another focus of the programme is to ensure that incubated clients are given tools to be self-sustainable post incubation period and are able to contribute meaningfully to the economy. The Quality and Standards interventions ensure that the products and services of the supported enterprises </w:t>
      </w:r>
      <w:proofErr w:type="gramStart"/>
      <w:r w:rsidRPr="00344E55">
        <w:rPr>
          <w:rFonts w:ascii="Times New Roman" w:hAnsi="Times New Roman" w:cs="Times New Roman"/>
          <w:sz w:val="24"/>
          <w:szCs w:val="24"/>
        </w:rPr>
        <w:t>complies</w:t>
      </w:r>
      <w:proofErr w:type="gramEnd"/>
      <w:r w:rsidRPr="00344E55">
        <w:rPr>
          <w:rFonts w:ascii="Times New Roman" w:hAnsi="Times New Roman" w:cs="Times New Roman"/>
          <w:sz w:val="24"/>
          <w:szCs w:val="24"/>
        </w:rPr>
        <w:t xml:space="preserve"> with the statutory and regulatory requirements and create market access.</w:t>
      </w:r>
      <w:r w:rsidR="00B677BB" w:rsidRPr="00344E55">
        <w:rPr>
          <w:rFonts w:ascii="Times New Roman" w:hAnsi="Times New Roman" w:cs="Times New Roman"/>
          <w:sz w:val="24"/>
          <w:szCs w:val="24"/>
        </w:rPr>
        <w:t xml:space="preserve"> </w:t>
      </w:r>
      <w:r w:rsidRPr="00344E55">
        <w:rPr>
          <w:rFonts w:ascii="Times New Roman" w:hAnsi="Times New Roman" w:cs="Times New Roman"/>
          <w:sz w:val="24"/>
          <w:szCs w:val="24"/>
        </w:rPr>
        <w:t>For the current financial the programme is budgeted R225 million.</w:t>
      </w:r>
    </w:p>
    <w:p w14:paraId="1395AB23" w14:textId="77777777" w:rsidR="00E502A6" w:rsidRPr="00344E55" w:rsidRDefault="00E502A6" w:rsidP="00B677BB">
      <w:pPr>
        <w:spacing w:line="360" w:lineRule="auto"/>
        <w:contextualSpacing/>
        <w:jc w:val="both"/>
        <w:rPr>
          <w:rFonts w:ascii="Times New Roman" w:hAnsi="Times New Roman" w:cs="Times New Roman"/>
          <w:b/>
          <w:sz w:val="24"/>
          <w:szCs w:val="24"/>
          <w:lang w:val="en-US"/>
        </w:rPr>
      </w:pPr>
    </w:p>
    <w:p w14:paraId="6FD30EB7" w14:textId="77777777" w:rsidR="00B677BB" w:rsidRPr="00344E55" w:rsidRDefault="00B677BB" w:rsidP="00B677BB">
      <w:pPr>
        <w:spacing w:line="24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Table 9: Expenditure Estimates</w:t>
      </w:r>
    </w:p>
    <w:tbl>
      <w:tblPr>
        <w:tblW w:w="8995" w:type="dxa"/>
        <w:tblCellMar>
          <w:left w:w="0" w:type="dxa"/>
          <w:right w:w="0" w:type="dxa"/>
        </w:tblCellMar>
        <w:tblLook w:val="0600" w:firstRow="0" w:lastRow="0" w:firstColumn="0" w:lastColumn="0" w:noHBand="1" w:noVBand="1"/>
      </w:tblPr>
      <w:tblGrid>
        <w:gridCol w:w="1844"/>
        <w:gridCol w:w="977"/>
        <w:gridCol w:w="1045"/>
        <w:gridCol w:w="962"/>
        <w:gridCol w:w="962"/>
        <w:gridCol w:w="976"/>
        <w:gridCol w:w="1073"/>
        <w:gridCol w:w="1156"/>
      </w:tblGrid>
      <w:tr w:rsidR="00E502A6" w:rsidRPr="00344E55" w14:paraId="5798FA34" w14:textId="77777777" w:rsidTr="00904D18">
        <w:trPr>
          <w:trHeight w:val="249"/>
        </w:trPr>
        <w:tc>
          <w:tcPr>
            <w:tcW w:w="1863"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vAlign w:val="center"/>
            <w:hideMark/>
          </w:tcPr>
          <w:p w14:paraId="0EE87ABE" w14:textId="77777777" w:rsidR="00E502A6" w:rsidRPr="00344E55" w:rsidRDefault="00E502A6" w:rsidP="00904D18">
            <w:pPr>
              <w:spacing w:after="0" w:line="240" w:lineRule="auto"/>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Programmes</w:t>
            </w:r>
          </w:p>
        </w:tc>
        <w:tc>
          <w:tcPr>
            <w:tcW w:w="984"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vAlign w:val="center"/>
            <w:hideMark/>
          </w:tcPr>
          <w:p w14:paraId="07B99309" w14:textId="77777777" w:rsidR="00E502A6" w:rsidRPr="00344E55" w:rsidRDefault="00E502A6" w:rsidP="00904D18">
            <w:pPr>
              <w:spacing w:after="0" w:line="240" w:lineRule="auto"/>
              <w:jc w:val="center"/>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2017/18</w:t>
            </w:r>
          </w:p>
        </w:tc>
        <w:tc>
          <w:tcPr>
            <w:tcW w:w="973"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vAlign w:val="center"/>
            <w:hideMark/>
          </w:tcPr>
          <w:p w14:paraId="754A62BC" w14:textId="77777777" w:rsidR="00E502A6" w:rsidRPr="00344E55" w:rsidRDefault="00E502A6" w:rsidP="00904D18">
            <w:pPr>
              <w:spacing w:after="0" w:line="240" w:lineRule="auto"/>
              <w:jc w:val="center"/>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2018/19</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vAlign w:val="center"/>
            <w:hideMark/>
          </w:tcPr>
          <w:p w14:paraId="41BAB56A" w14:textId="77777777" w:rsidR="00E502A6" w:rsidRPr="00344E55" w:rsidRDefault="00E502A6" w:rsidP="00904D18">
            <w:pPr>
              <w:spacing w:after="0" w:line="240" w:lineRule="auto"/>
              <w:jc w:val="center"/>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2019/20</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vAlign w:val="center"/>
            <w:hideMark/>
          </w:tcPr>
          <w:p w14:paraId="32CE8BBC" w14:textId="77777777" w:rsidR="00E502A6" w:rsidRPr="00344E55" w:rsidRDefault="00E502A6" w:rsidP="00904D18">
            <w:pPr>
              <w:spacing w:after="0" w:line="240" w:lineRule="auto"/>
              <w:jc w:val="center"/>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2020/21</w:t>
            </w:r>
          </w:p>
        </w:tc>
        <w:tc>
          <w:tcPr>
            <w:tcW w:w="977"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vAlign w:val="center"/>
            <w:hideMark/>
          </w:tcPr>
          <w:p w14:paraId="38D3782D" w14:textId="77777777" w:rsidR="00E502A6" w:rsidRPr="00344E55" w:rsidRDefault="00E502A6" w:rsidP="00904D18">
            <w:pPr>
              <w:spacing w:after="0" w:line="240" w:lineRule="auto"/>
              <w:jc w:val="center"/>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2021/22</w:t>
            </w:r>
          </w:p>
        </w:tc>
        <w:tc>
          <w:tcPr>
            <w:tcW w:w="1080"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vAlign w:val="center"/>
            <w:hideMark/>
          </w:tcPr>
          <w:p w14:paraId="23B617C3" w14:textId="77777777" w:rsidR="00E502A6" w:rsidRPr="00344E55" w:rsidRDefault="00E502A6" w:rsidP="00904D18">
            <w:pPr>
              <w:spacing w:after="0" w:line="240" w:lineRule="auto"/>
              <w:jc w:val="center"/>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2022/23</w:t>
            </w:r>
          </w:p>
        </w:tc>
        <w:tc>
          <w:tcPr>
            <w:tcW w:w="1170"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vAlign w:val="center"/>
            <w:hideMark/>
          </w:tcPr>
          <w:p w14:paraId="1BBA5D46" w14:textId="77777777" w:rsidR="00E502A6" w:rsidRPr="00344E55" w:rsidRDefault="00E502A6" w:rsidP="00904D18">
            <w:pPr>
              <w:spacing w:after="0" w:line="240" w:lineRule="auto"/>
              <w:jc w:val="center"/>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2023/24</w:t>
            </w:r>
          </w:p>
        </w:tc>
      </w:tr>
      <w:tr w:rsidR="00E502A6" w:rsidRPr="00344E55" w14:paraId="32CABC7D" w14:textId="77777777" w:rsidTr="00904D18">
        <w:trPr>
          <w:trHeight w:val="249"/>
        </w:trPr>
        <w:tc>
          <w:tcPr>
            <w:tcW w:w="1863" w:type="dxa"/>
            <w:tcBorders>
              <w:top w:val="single" w:sz="4" w:space="0" w:color="000000"/>
              <w:left w:val="single" w:sz="4" w:space="0" w:color="000000"/>
              <w:bottom w:val="single" w:sz="4" w:space="0" w:color="000000"/>
              <w:right w:val="single" w:sz="4" w:space="0" w:color="000000"/>
            </w:tcBorders>
            <w:shd w:val="clear" w:color="auto" w:fill="DDDDDD"/>
            <w:tcMar>
              <w:top w:w="11" w:type="dxa"/>
              <w:left w:w="11" w:type="dxa"/>
              <w:bottom w:w="0" w:type="dxa"/>
              <w:right w:w="11" w:type="dxa"/>
            </w:tcMar>
            <w:vAlign w:val="center"/>
            <w:hideMark/>
          </w:tcPr>
          <w:p w14:paraId="22C38A70" w14:textId="77777777" w:rsidR="00E502A6" w:rsidRPr="00344E55" w:rsidRDefault="00E502A6" w:rsidP="00904D18">
            <w:pPr>
              <w:spacing w:after="0" w:line="240" w:lineRule="auto"/>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w:t>
            </w:r>
          </w:p>
        </w:tc>
        <w:tc>
          <w:tcPr>
            <w:tcW w:w="984" w:type="dxa"/>
            <w:tcBorders>
              <w:top w:val="single" w:sz="4" w:space="0" w:color="000000"/>
              <w:left w:val="single" w:sz="4" w:space="0" w:color="000000"/>
              <w:bottom w:val="single" w:sz="4" w:space="0" w:color="000000"/>
              <w:right w:val="single" w:sz="4" w:space="0" w:color="000000"/>
            </w:tcBorders>
            <w:shd w:val="clear" w:color="auto" w:fill="DDDDDD"/>
            <w:tcMar>
              <w:top w:w="11" w:type="dxa"/>
              <w:left w:w="11" w:type="dxa"/>
              <w:bottom w:w="0" w:type="dxa"/>
              <w:right w:w="11" w:type="dxa"/>
            </w:tcMar>
            <w:vAlign w:val="center"/>
            <w:hideMark/>
          </w:tcPr>
          <w:p w14:paraId="42A2B398" w14:textId="77777777" w:rsidR="00E502A6" w:rsidRPr="00344E55" w:rsidRDefault="00E502A6" w:rsidP="00904D18">
            <w:pPr>
              <w:spacing w:after="0" w:line="240" w:lineRule="auto"/>
              <w:jc w:val="center"/>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Audited outcome</w:t>
            </w:r>
            <w:r w:rsidRPr="00344E55">
              <w:rPr>
                <w:rFonts w:ascii="Times New Roman" w:eastAsia="Times New Roman" w:hAnsi="Times New Roman" w:cs="Times New Roman"/>
                <w:b/>
                <w:bCs/>
                <w:color w:val="000000"/>
                <w:kern w:val="24"/>
                <w:sz w:val="24"/>
                <w:szCs w:val="24"/>
                <w:lang w:eastAsia="en-ZA"/>
              </w:rPr>
              <w:br/>
              <w:t>R'000</w:t>
            </w:r>
          </w:p>
        </w:tc>
        <w:tc>
          <w:tcPr>
            <w:tcW w:w="973" w:type="dxa"/>
            <w:tcBorders>
              <w:top w:val="single" w:sz="4" w:space="0" w:color="000000"/>
              <w:left w:val="single" w:sz="4" w:space="0" w:color="000000"/>
              <w:bottom w:val="single" w:sz="4" w:space="0" w:color="000000"/>
              <w:right w:val="single" w:sz="4" w:space="0" w:color="000000"/>
            </w:tcBorders>
            <w:shd w:val="clear" w:color="auto" w:fill="DDDDDD"/>
            <w:tcMar>
              <w:top w:w="11" w:type="dxa"/>
              <w:left w:w="11" w:type="dxa"/>
              <w:bottom w:w="0" w:type="dxa"/>
              <w:right w:w="11" w:type="dxa"/>
            </w:tcMar>
            <w:vAlign w:val="center"/>
            <w:hideMark/>
          </w:tcPr>
          <w:p w14:paraId="76D09DF0" w14:textId="77777777" w:rsidR="00E502A6" w:rsidRPr="00344E55" w:rsidRDefault="00E502A6" w:rsidP="00904D18">
            <w:pPr>
              <w:spacing w:after="0" w:line="240" w:lineRule="auto"/>
              <w:jc w:val="center"/>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Approved budget </w:t>
            </w:r>
            <w:r w:rsidRPr="00344E55">
              <w:rPr>
                <w:rFonts w:ascii="Times New Roman" w:eastAsia="Times New Roman" w:hAnsi="Times New Roman" w:cs="Times New Roman"/>
                <w:b/>
                <w:bCs/>
                <w:color w:val="000000"/>
                <w:kern w:val="24"/>
                <w:sz w:val="24"/>
                <w:szCs w:val="24"/>
                <w:lang w:eastAsia="en-ZA"/>
              </w:rPr>
              <w:br/>
              <w:t>R'000</w:t>
            </w:r>
          </w:p>
        </w:tc>
        <w:tc>
          <w:tcPr>
            <w:tcW w:w="5175" w:type="dxa"/>
            <w:gridSpan w:val="5"/>
            <w:tcBorders>
              <w:top w:val="single" w:sz="4" w:space="0" w:color="000000"/>
              <w:left w:val="single" w:sz="4" w:space="0" w:color="000000"/>
              <w:bottom w:val="single" w:sz="4" w:space="0" w:color="000000"/>
              <w:right w:val="single" w:sz="4" w:space="0" w:color="000000"/>
            </w:tcBorders>
            <w:shd w:val="clear" w:color="auto" w:fill="DDDDDD"/>
            <w:tcMar>
              <w:top w:w="11" w:type="dxa"/>
              <w:left w:w="11" w:type="dxa"/>
              <w:bottom w:w="0" w:type="dxa"/>
              <w:right w:w="11" w:type="dxa"/>
            </w:tcMar>
            <w:vAlign w:val="center"/>
            <w:hideMark/>
          </w:tcPr>
          <w:p w14:paraId="3C480A95" w14:textId="77777777" w:rsidR="00E502A6" w:rsidRPr="00344E55" w:rsidRDefault="00E502A6" w:rsidP="00904D18">
            <w:pPr>
              <w:spacing w:after="0" w:line="240" w:lineRule="auto"/>
              <w:jc w:val="center"/>
              <w:textAlignment w:val="center"/>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Estimated budgets</w:t>
            </w:r>
            <w:r w:rsidRPr="00344E55">
              <w:rPr>
                <w:rFonts w:ascii="Times New Roman" w:eastAsia="Times New Roman" w:hAnsi="Times New Roman" w:cs="Times New Roman"/>
                <w:b/>
                <w:bCs/>
                <w:color w:val="000000"/>
                <w:kern w:val="24"/>
                <w:sz w:val="24"/>
                <w:szCs w:val="24"/>
                <w:lang w:eastAsia="en-ZA"/>
              </w:rPr>
              <w:br/>
              <w:t>R'000</w:t>
            </w:r>
          </w:p>
        </w:tc>
      </w:tr>
      <w:tr w:rsidR="00E502A6" w:rsidRPr="00344E55" w14:paraId="23AE4C89" w14:textId="77777777" w:rsidTr="00904D18">
        <w:trPr>
          <w:trHeight w:val="59"/>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26ADD064"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lastRenderedPageBreak/>
              <w:t>Administration</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75206304"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155,650 </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768396B9"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181,556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313A243B"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177,362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1E8CAA00"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188,832 </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15628F2E"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198,117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011B8EA3"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210,004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193BBC2A"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222,604 </w:t>
            </w:r>
          </w:p>
        </w:tc>
      </w:tr>
      <w:tr w:rsidR="00E502A6" w:rsidRPr="00344E55" w14:paraId="669A8814" w14:textId="77777777" w:rsidTr="00904D18">
        <w:trPr>
          <w:trHeight w:val="159"/>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70BAE85D"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Enterprise Development</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4D713002"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426,229 </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0A4B9479"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471,656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108B8DF9"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535,949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54D23CC8"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534,094 </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2072AEC2"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566,230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6AA703BE"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564,646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244783DD"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597,265 </w:t>
            </w:r>
          </w:p>
        </w:tc>
      </w:tr>
      <w:tr w:rsidR="00E502A6" w:rsidRPr="00344E55" w14:paraId="1108A86E" w14:textId="77777777" w:rsidTr="00904D18">
        <w:trPr>
          <w:trHeight w:val="59"/>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51635C74"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proofErr w:type="spellStart"/>
            <w:r w:rsidRPr="00344E55">
              <w:rPr>
                <w:rFonts w:ascii="Times New Roman" w:eastAsia="Times New Roman" w:hAnsi="Times New Roman" w:cs="Times New Roman"/>
                <w:b/>
                <w:bCs/>
                <w:color w:val="000000"/>
                <w:kern w:val="24"/>
                <w:sz w:val="24"/>
                <w:szCs w:val="24"/>
                <w:lang w:eastAsia="en-ZA"/>
              </w:rPr>
              <w:t>Seda</w:t>
            </w:r>
            <w:proofErr w:type="spellEnd"/>
            <w:r w:rsidRPr="00344E55">
              <w:rPr>
                <w:rFonts w:ascii="Times New Roman" w:eastAsia="Times New Roman" w:hAnsi="Times New Roman" w:cs="Times New Roman"/>
                <w:b/>
                <w:bCs/>
                <w:color w:val="000000"/>
                <w:kern w:val="24"/>
                <w:sz w:val="24"/>
                <w:szCs w:val="24"/>
                <w:lang w:eastAsia="en-ZA"/>
              </w:rPr>
              <w:t xml:space="preserve"> Technology Programme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6BDEAB46"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187,980 </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585D942A"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229,928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1909F34A"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225,489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2DC7242B"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237,495 </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4BC347A2"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247,169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1D9FECAB"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261,999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1B47154B" w14:textId="77777777" w:rsidR="00E502A6" w:rsidRPr="00344E55" w:rsidRDefault="00E502A6" w:rsidP="00904D18">
            <w:pPr>
              <w:spacing w:after="0" w:line="240" w:lineRule="auto"/>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277,719 </w:t>
            </w:r>
          </w:p>
        </w:tc>
      </w:tr>
      <w:tr w:rsidR="00E502A6" w:rsidRPr="00344E55" w14:paraId="45AD580F" w14:textId="77777777" w:rsidTr="00904D18">
        <w:trPr>
          <w:trHeight w:val="186"/>
        </w:trPr>
        <w:tc>
          <w:tcPr>
            <w:tcW w:w="18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1" w:type="dxa"/>
              <w:left w:w="11" w:type="dxa"/>
              <w:bottom w:w="0" w:type="dxa"/>
              <w:right w:w="11" w:type="dxa"/>
            </w:tcMar>
            <w:vAlign w:val="bottom"/>
            <w:hideMark/>
          </w:tcPr>
          <w:p w14:paraId="143230B2" w14:textId="77777777" w:rsidR="00E502A6" w:rsidRPr="00344E55" w:rsidRDefault="00E502A6" w:rsidP="00904D18">
            <w:pPr>
              <w:spacing w:after="0" w:line="240" w:lineRule="auto"/>
              <w:textAlignment w:val="bottom"/>
              <w:rPr>
                <w:rFonts w:ascii="Times New Roman" w:eastAsia="Times New Roman" w:hAnsi="Times New Roman" w:cs="Times New Roman"/>
                <w:b/>
                <w:sz w:val="24"/>
                <w:szCs w:val="24"/>
                <w:lang w:eastAsia="en-ZA"/>
              </w:rPr>
            </w:pPr>
            <w:r w:rsidRPr="00344E55">
              <w:rPr>
                <w:rFonts w:ascii="Times New Roman" w:eastAsia="Times New Roman" w:hAnsi="Times New Roman" w:cs="Times New Roman"/>
                <w:b/>
                <w:bCs/>
                <w:color w:val="000000"/>
                <w:kern w:val="24"/>
                <w:sz w:val="24"/>
                <w:szCs w:val="24"/>
                <w:lang w:eastAsia="en-ZA"/>
              </w:rPr>
              <w:t>Total expenditure</w:t>
            </w:r>
          </w:p>
        </w:tc>
        <w:tc>
          <w:tcPr>
            <w:tcW w:w="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1" w:type="dxa"/>
              <w:left w:w="11" w:type="dxa"/>
              <w:bottom w:w="0" w:type="dxa"/>
              <w:right w:w="11" w:type="dxa"/>
            </w:tcMar>
            <w:vAlign w:val="bottom"/>
            <w:hideMark/>
          </w:tcPr>
          <w:p w14:paraId="6482E0FF" w14:textId="77777777" w:rsidR="00E502A6" w:rsidRPr="00344E55" w:rsidRDefault="00E502A6" w:rsidP="00904D18">
            <w:pPr>
              <w:spacing w:after="0" w:line="240" w:lineRule="auto"/>
              <w:textAlignment w:val="bottom"/>
              <w:rPr>
                <w:rFonts w:ascii="Times New Roman" w:eastAsia="Times New Roman" w:hAnsi="Times New Roman" w:cs="Times New Roman"/>
                <w:b/>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769,859 </w:t>
            </w:r>
          </w:p>
        </w:tc>
        <w:tc>
          <w:tcPr>
            <w:tcW w:w="9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1" w:type="dxa"/>
              <w:left w:w="11" w:type="dxa"/>
              <w:bottom w:w="0" w:type="dxa"/>
              <w:right w:w="11" w:type="dxa"/>
            </w:tcMar>
            <w:vAlign w:val="bottom"/>
            <w:hideMark/>
          </w:tcPr>
          <w:p w14:paraId="0BFE89A8" w14:textId="77777777" w:rsidR="00E502A6" w:rsidRPr="00344E55" w:rsidRDefault="00E502A6" w:rsidP="00904D18">
            <w:pPr>
              <w:spacing w:after="0" w:line="240" w:lineRule="auto"/>
              <w:textAlignment w:val="bottom"/>
              <w:rPr>
                <w:rFonts w:ascii="Times New Roman" w:eastAsia="Times New Roman" w:hAnsi="Times New Roman" w:cs="Times New Roman"/>
                <w:b/>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883,140 </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1" w:type="dxa"/>
              <w:left w:w="11" w:type="dxa"/>
              <w:bottom w:w="0" w:type="dxa"/>
              <w:right w:w="11" w:type="dxa"/>
            </w:tcMar>
            <w:vAlign w:val="bottom"/>
            <w:hideMark/>
          </w:tcPr>
          <w:p w14:paraId="3EF39E8A" w14:textId="77777777" w:rsidR="00E502A6" w:rsidRPr="00344E55" w:rsidRDefault="00E502A6" w:rsidP="00904D18">
            <w:pPr>
              <w:spacing w:after="0" w:line="240" w:lineRule="auto"/>
              <w:textAlignment w:val="bottom"/>
              <w:rPr>
                <w:rFonts w:ascii="Times New Roman" w:eastAsia="Times New Roman" w:hAnsi="Times New Roman" w:cs="Times New Roman"/>
                <w:b/>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938,800 </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1" w:type="dxa"/>
              <w:left w:w="11" w:type="dxa"/>
              <w:bottom w:w="0" w:type="dxa"/>
              <w:right w:w="11" w:type="dxa"/>
            </w:tcMar>
            <w:vAlign w:val="bottom"/>
            <w:hideMark/>
          </w:tcPr>
          <w:p w14:paraId="2315E9EE" w14:textId="77777777" w:rsidR="00E502A6" w:rsidRPr="00344E55" w:rsidRDefault="00E502A6" w:rsidP="00904D18">
            <w:pPr>
              <w:spacing w:after="0" w:line="240" w:lineRule="auto"/>
              <w:textAlignment w:val="bottom"/>
              <w:rPr>
                <w:rFonts w:ascii="Times New Roman" w:eastAsia="Times New Roman" w:hAnsi="Times New Roman" w:cs="Times New Roman"/>
                <w:b/>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960,421 </w:t>
            </w:r>
          </w:p>
        </w:tc>
        <w:tc>
          <w:tcPr>
            <w:tcW w:w="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1" w:type="dxa"/>
              <w:left w:w="11" w:type="dxa"/>
              <w:bottom w:w="0" w:type="dxa"/>
              <w:right w:w="11" w:type="dxa"/>
            </w:tcMar>
            <w:vAlign w:val="bottom"/>
            <w:hideMark/>
          </w:tcPr>
          <w:p w14:paraId="1ABC021D" w14:textId="77777777" w:rsidR="00E502A6" w:rsidRPr="00344E55" w:rsidRDefault="00E502A6" w:rsidP="00904D18">
            <w:pPr>
              <w:spacing w:after="0" w:line="240" w:lineRule="auto"/>
              <w:textAlignment w:val="bottom"/>
              <w:rPr>
                <w:rFonts w:ascii="Times New Roman" w:eastAsia="Times New Roman" w:hAnsi="Times New Roman" w:cs="Times New Roman"/>
                <w:b/>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1,011,516 </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1" w:type="dxa"/>
              <w:left w:w="11" w:type="dxa"/>
              <w:bottom w:w="0" w:type="dxa"/>
              <w:right w:w="11" w:type="dxa"/>
            </w:tcMar>
            <w:vAlign w:val="bottom"/>
            <w:hideMark/>
          </w:tcPr>
          <w:p w14:paraId="39A9E448" w14:textId="77777777" w:rsidR="00E502A6" w:rsidRPr="00344E55" w:rsidRDefault="00E502A6" w:rsidP="00904D18">
            <w:pPr>
              <w:spacing w:after="0" w:line="240" w:lineRule="auto"/>
              <w:textAlignment w:val="bottom"/>
              <w:rPr>
                <w:rFonts w:ascii="Times New Roman" w:eastAsia="Times New Roman" w:hAnsi="Times New Roman" w:cs="Times New Roman"/>
                <w:b/>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1,036,650 </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1" w:type="dxa"/>
              <w:left w:w="11" w:type="dxa"/>
              <w:bottom w:w="0" w:type="dxa"/>
              <w:right w:w="11" w:type="dxa"/>
            </w:tcMar>
            <w:vAlign w:val="bottom"/>
            <w:hideMark/>
          </w:tcPr>
          <w:p w14:paraId="45A77E84" w14:textId="77777777" w:rsidR="00E502A6" w:rsidRPr="00344E55" w:rsidRDefault="00E502A6" w:rsidP="00904D18">
            <w:pPr>
              <w:spacing w:after="0" w:line="240" w:lineRule="auto"/>
              <w:textAlignment w:val="bottom"/>
              <w:rPr>
                <w:rFonts w:ascii="Times New Roman" w:eastAsia="Times New Roman" w:hAnsi="Times New Roman" w:cs="Times New Roman"/>
                <w:b/>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1,097,589 </w:t>
            </w:r>
          </w:p>
        </w:tc>
      </w:tr>
    </w:tbl>
    <w:p w14:paraId="26180394" w14:textId="77777777" w:rsidR="00E502A6" w:rsidRPr="00344E55" w:rsidRDefault="00B677BB" w:rsidP="00450305">
      <w:pPr>
        <w:spacing w:line="360" w:lineRule="auto"/>
        <w:contextualSpacing/>
        <w:rPr>
          <w:rFonts w:ascii="Times New Roman" w:hAnsi="Times New Roman" w:cs="Times New Roman"/>
          <w:b/>
          <w:sz w:val="24"/>
          <w:szCs w:val="24"/>
          <w:lang w:val="en-US"/>
        </w:rPr>
      </w:pPr>
      <w:r w:rsidRPr="00344E55">
        <w:rPr>
          <w:rFonts w:ascii="Times New Roman" w:hAnsi="Times New Roman" w:cs="Times New Roman"/>
          <w:b/>
          <w:sz w:val="24"/>
          <w:szCs w:val="24"/>
          <w:lang w:val="en-US"/>
        </w:rPr>
        <w:t xml:space="preserve">Source: </w:t>
      </w:r>
      <w:proofErr w:type="spellStart"/>
      <w:r w:rsidRPr="00344E55">
        <w:rPr>
          <w:rFonts w:ascii="Times New Roman" w:hAnsi="Times New Roman" w:cs="Times New Roman"/>
          <w:b/>
          <w:sz w:val="24"/>
          <w:szCs w:val="24"/>
          <w:lang w:val="en-US"/>
        </w:rPr>
        <w:t>Seda</w:t>
      </w:r>
      <w:proofErr w:type="spellEnd"/>
      <w:r w:rsidRPr="00344E55">
        <w:rPr>
          <w:rFonts w:ascii="Times New Roman" w:hAnsi="Times New Roman" w:cs="Times New Roman"/>
          <w:b/>
          <w:sz w:val="24"/>
          <w:szCs w:val="24"/>
          <w:lang w:val="en-US"/>
        </w:rPr>
        <w:t xml:space="preserve"> Annual Performance Plan 2019/20</w:t>
      </w:r>
    </w:p>
    <w:p w14:paraId="024E0D3A" w14:textId="77777777" w:rsidR="0033434A" w:rsidRPr="00344E55" w:rsidRDefault="0033434A" w:rsidP="0033434A">
      <w:pPr>
        <w:spacing w:line="360" w:lineRule="auto"/>
        <w:contextualSpacing/>
        <w:jc w:val="both"/>
        <w:rPr>
          <w:rFonts w:ascii="Times New Roman" w:hAnsi="Times New Roman" w:cs="Times New Roman"/>
          <w:b/>
          <w:sz w:val="24"/>
          <w:szCs w:val="24"/>
          <w:lang w:val="en-US"/>
        </w:rPr>
      </w:pPr>
    </w:p>
    <w:p w14:paraId="075E0FFD" w14:textId="77777777" w:rsidR="0095051C" w:rsidRPr="00344E55" w:rsidRDefault="00B677BB" w:rsidP="0095051C">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8</w:t>
      </w:r>
      <w:r w:rsidR="004F528E" w:rsidRPr="00344E55">
        <w:rPr>
          <w:rFonts w:ascii="Times New Roman" w:hAnsi="Times New Roman" w:cs="Times New Roman"/>
          <w:b/>
          <w:sz w:val="24"/>
          <w:szCs w:val="24"/>
          <w:lang w:val="en-US"/>
        </w:rPr>
        <w:t>.</w:t>
      </w:r>
      <w:r w:rsidR="004F528E" w:rsidRPr="00344E55">
        <w:rPr>
          <w:rFonts w:ascii="Times New Roman" w:hAnsi="Times New Roman" w:cs="Times New Roman"/>
          <w:b/>
          <w:sz w:val="24"/>
          <w:szCs w:val="24"/>
          <w:lang w:val="en-US"/>
        </w:rPr>
        <w:tab/>
        <w:t>SEDA BUDGET ALLOCATION</w:t>
      </w:r>
      <w:r w:rsidR="0033434A" w:rsidRPr="00344E55">
        <w:rPr>
          <w:rFonts w:ascii="Times New Roman" w:hAnsi="Times New Roman" w:cs="Times New Roman"/>
          <w:b/>
          <w:sz w:val="24"/>
          <w:szCs w:val="24"/>
          <w:lang w:val="en-US"/>
        </w:rPr>
        <w:t xml:space="preserve"> AND ANALYSIS</w:t>
      </w:r>
    </w:p>
    <w:p w14:paraId="3E980CF1" w14:textId="77777777" w:rsidR="001E44D4" w:rsidRPr="00344E55" w:rsidRDefault="001E44D4" w:rsidP="0095051C">
      <w:pPr>
        <w:spacing w:line="360" w:lineRule="auto"/>
        <w:contextualSpacing/>
        <w:jc w:val="both"/>
        <w:rPr>
          <w:rFonts w:ascii="Times New Roman" w:hAnsi="Times New Roman" w:cs="Times New Roman"/>
          <w:b/>
          <w:sz w:val="24"/>
          <w:szCs w:val="24"/>
          <w:lang w:val="en-US"/>
        </w:rPr>
      </w:pPr>
    </w:p>
    <w:p w14:paraId="6A355494" w14:textId="77777777" w:rsidR="00280CD4" w:rsidRPr="00344E55" w:rsidRDefault="009D2A0B" w:rsidP="00280CD4">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lang w:val="en-US"/>
        </w:rPr>
        <w:t xml:space="preserve">During the budget vote </w:t>
      </w:r>
      <w:r w:rsidR="00280CD4" w:rsidRPr="00344E55">
        <w:rPr>
          <w:rFonts w:ascii="Times New Roman" w:hAnsi="Times New Roman" w:cs="Times New Roman"/>
          <w:sz w:val="24"/>
          <w:szCs w:val="24"/>
          <w:lang w:val="en-US"/>
        </w:rPr>
        <w:t>process,</w:t>
      </w:r>
      <w:r w:rsidRPr="00344E55">
        <w:rPr>
          <w:rFonts w:ascii="Times New Roman" w:hAnsi="Times New Roman" w:cs="Times New Roman"/>
          <w:sz w:val="24"/>
          <w:szCs w:val="24"/>
          <w:lang w:val="en-US"/>
        </w:rPr>
        <w:t xml:space="preserve"> </w:t>
      </w:r>
      <w:proofErr w:type="spellStart"/>
      <w:r w:rsidRPr="00344E55">
        <w:rPr>
          <w:rFonts w:ascii="Times New Roman" w:hAnsi="Times New Roman" w:cs="Times New Roman"/>
          <w:sz w:val="24"/>
          <w:szCs w:val="24"/>
          <w:lang w:val="en-US"/>
        </w:rPr>
        <w:t>Seda</w:t>
      </w:r>
      <w:proofErr w:type="spellEnd"/>
      <w:r w:rsidRPr="00344E55">
        <w:rPr>
          <w:rFonts w:ascii="Times New Roman" w:hAnsi="Times New Roman" w:cs="Times New Roman"/>
          <w:sz w:val="24"/>
          <w:szCs w:val="24"/>
          <w:lang w:val="en-US"/>
        </w:rPr>
        <w:t xml:space="preserve"> Accounting Officer informed the Portfolio Committee </w:t>
      </w:r>
      <w:r w:rsidR="00280CD4" w:rsidRPr="00344E55">
        <w:rPr>
          <w:rFonts w:ascii="Times New Roman" w:hAnsi="Times New Roman" w:cs="Times New Roman"/>
          <w:sz w:val="24"/>
          <w:szCs w:val="24"/>
          <w:lang w:val="en-US"/>
        </w:rPr>
        <w:t xml:space="preserve">that the agency </w:t>
      </w:r>
      <w:r w:rsidR="00280CD4" w:rsidRPr="00344E55">
        <w:rPr>
          <w:rFonts w:ascii="Times New Roman" w:eastAsiaTheme="minorEastAsia" w:hAnsi="Times New Roman" w:cs="Times New Roman"/>
          <w:kern w:val="24"/>
          <w:sz w:val="24"/>
          <w:szCs w:val="24"/>
        </w:rPr>
        <w:t xml:space="preserve">is anticipating a major reduction in its budget over the MTEF by approximately R123 million which is 5% from 2018/19 to 2020/21. Other areas of discontent flagged were - </w:t>
      </w:r>
    </w:p>
    <w:p w14:paraId="1AFA96EC" w14:textId="77777777" w:rsidR="00280CD4" w:rsidRPr="00344E55" w:rsidRDefault="00280CD4" w:rsidP="00280CD4">
      <w:pPr>
        <w:pStyle w:val="ListParagraph"/>
        <w:numPr>
          <w:ilvl w:val="0"/>
          <w:numId w:val="28"/>
        </w:numPr>
        <w:spacing w:line="360" w:lineRule="auto"/>
        <w:jc w:val="both"/>
      </w:pPr>
      <w:r w:rsidRPr="00344E55">
        <w:rPr>
          <w:rFonts w:eastAsiaTheme="minorEastAsia"/>
          <w:lang w:val="en-US"/>
        </w:rPr>
        <w:t xml:space="preserve">Budget pressures arising from Value Added Tax (VAT) increase and inflation increases on office infrastructure </w:t>
      </w:r>
      <w:r w:rsidR="00337CCC" w:rsidRPr="00344E55">
        <w:rPr>
          <w:rFonts w:eastAsiaTheme="minorEastAsia"/>
          <w:lang w:val="en-US"/>
        </w:rPr>
        <w:t>contracts at</w:t>
      </w:r>
      <w:r w:rsidRPr="00344E55">
        <w:rPr>
          <w:rFonts w:eastAsiaTheme="minorEastAsia"/>
          <w:lang w:val="en-US"/>
        </w:rPr>
        <w:t xml:space="preserve"> an </w:t>
      </w:r>
      <w:r w:rsidR="00337CCC" w:rsidRPr="00344E55">
        <w:rPr>
          <w:rFonts w:eastAsiaTheme="minorEastAsia"/>
          <w:lang w:val="en-US"/>
        </w:rPr>
        <w:t>escalation rate</w:t>
      </w:r>
      <w:r w:rsidRPr="00344E55">
        <w:rPr>
          <w:rFonts w:eastAsiaTheme="minorEastAsia"/>
          <w:lang w:val="en-US"/>
        </w:rPr>
        <w:t xml:space="preserve"> </w:t>
      </w:r>
      <w:r w:rsidR="00337CCC" w:rsidRPr="00344E55">
        <w:rPr>
          <w:rFonts w:eastAsiaTheme="minorEastAsia"/>
          <w:lang w:val="en-US"/>
        </w:rPr>
        <w:t>higher than</w:t>
      </w:r>
      <w:r w:rsidRPr="00344E55">
        <w:rPr>
          <w:rFonts w:eastAsiaTheme="minorEastAsia"/>
          <w:lang w:val="en-US"/>
        </w:rPr>
        <w:t xml:space="preserve"> </w:t>
      </w:r>
      <w:r w:rsidR="00337CCC" w:rsidRPr="00344E55">
        <w:rPr>
          <w:rFonts w:eastAsiaTheme="minorEastAsia"/>
          <w:lang w:val="en-US"/>
        </w:rPr>
        <w:t>annual budget</w:t>
      </w:r>
      <w:r w:rsidRPr="00344E55">
        <w:rPr>
          <w:rFonts w:eastAsiaTheme="minorEastAsia"/>
          <w:lang w:val="en-US"/>
        </w:rPr>
        <w:t xml:space="preserve"> </w:t>
      </w:r>
      <w:r w:rsidR="00337CCC" w:rsidRPr="00344E55">
        <w:rPr>
          <w:rFonts w:eastAsiaTheme="minorEastAsia"/>
          <w:lang w:val="en-US"/>
        </w:rPr>
        <w:t>increase percentage</w:t>
      </w:r>
      <w:r w:rsidRPr="00344E55">
        <w:rPr>
          <w:rFonts w:eastAsiaTheme="minorEastAsia"/>
          <w:lang w:val="en-US"/>
        </w:rPr>
        <w:t>;</w:t>
      </w:r>
    </w:p>
    <w:p w14:paraId="1A7C9774" w14:textId="77777777" w:rsidR="00280CD4" w:rsidRPr="00344E55" w:rsidRDefault="00280CD4" w:rsidP="00280CD4">
      <w:pPr>
        <w:pStyle w:val="ListParagraph"/>
        <w:numPr>
          <w:ilvl w:val="0"/>
          <w:numId w:val="28"/>
        </w:numPr>
        <w:spacing w:line="360" w:lineRule="auto"/>
        <w:jc w:val="both"/>
      </w:pPr>
      <w:r w:rsidRPr="00344E55">
        <w:rPr>
          <w:rFonts w:eastAsiaTheme="minorEastAsia"/>
          <w:kern w:val="24"/>
          <w:lang w:val="en-US"/>
        </w:rPr>
        <w:t xml:space="preserve">Increasing costs </w:t>
      </w:r>
      <w:r w:rsidR="00337CCC" w:rsidRPr="00344E55">
        <w:rPr>
          <w:rFonts w:eastAsiaTheme="minorEastAsia"/>
          <w:kern w:val="24"/>
          <w:lang w:val="en-US"/>
        </w:rPr>
        <w:t>of leased</w:t>
      </w:r>
      <w:r w:rsidRPr="00344E55">
        <w:rPr>
          <w:rFonts w:eastAsiaTheme="minorEastAsia"/>
          <w:kern w:val="24"/>
          <w:lang w:val="en-US"/>
        </w:rPr>
        <w:t xml:space="preserve"> </w:t>
      </w:r>
      <w:r w:rsidR="00337CCC" w:rsidRPr="00344E55">
        <w:rPr>
          <w:rFonts w:eastAsiaTheme="minorEastAsia"/>
          <w:kern w:val="24"/>
          <w:lang w:val="en-US"/>
        </w:rPr>
        <w:t>equipment and</w:t>
      </w:r>
      <w:r w:rsidRPr="00344E55">
        <w:rPr>
          <w:rFonts w:eastAsiaTheme="minorEastAsia"/>
          <w:kern w:val="24"/>
          <w:lang w:val="en-US"/>
        </w:rPr>
        <w:t xml:space="preserve"> other </w:t>
      </w:r>
      <w:r w:rsidR="00337CCC" w:rsidRPr="00344E55">
        <w:rPr>
          <w:rFonts w:eastAsiaTheme="minorEastAsia"/>
          <w:kern w:val="24"/>
          <w:lang w:val="en-US"/>
        </w:rPr>
        <w:t>outsourced services</w:t>
      </w:r>
      <w:r w:rsidRPr="00344E55">
        <w:rPr>
          <w:rFonts w:eastAsiaTheme="minorEastAsia"/>
          <w:kern w:val="24"/>
          <w:lang w:val="en-US"/>
        </w:rPr>
        <w:t xml:space="preserve"> and;</w:t>
      </w:r>
    </w:p>
    <w:p w14:paraId="38CB0E10" w14:textId="77777777" w:rsidR="00280CD4" w:rsidRPr="00344E55" w:rsidRDefault="00280CD4" w:rsidP="00280CD4">
      <w:pPr>
        <w:pStyle w:val="ListParagraph"/>
        <w:numPr>
          <w:ilvl w:val="0"/>
          <w:numId w:val="28"/>
        </w:numPr>
        <w:spacing w:line="360" w:lineRule="auto"/>
        <w:jc w:val="both"/>
      </w:pPr>
      <w:r w:rsidRPr="00344E55">
        <w:rPr>
          <w:rFonts w:eastAsiaTheme="minorEastAsia"/>
          <w:kern w:val="24"/>
          <w:lang w:val="en-US"/>
        </w:rPr>
        <w:t>Some Partners who are no longer continuing to fund part of the running costs of branches that were jointly established –continuity risk for colocation service points</w:t>
      </w:r>
      <w:r w:rsidRPr="00344E55">
        <w:rPr>
          <w:rFonts w:eastAsiaTheme="minorEastAsia"/>
          <w:kern w:val="24"/>
        </w:rPr>
        <w:t xml:space="preserve">. </w:t>
      </w:r>
    </w:p>
    <w:p w14:paraId="60E75C3E" w14:textId="77777777" w:rsidR="003A2A0E" w:rsidRPr="00344E55" w:rsidRDefault="00280CD4" w:rsidP="00280CD4">
      <w:pPr>
        <w:spacing w:line="360" w:lineRule="auto"/>
        <w:contextualSpacing/>
        <w:jc w:val="both"/>
        <w:rPr>
          <w:rFonts w:ascii="Times New Roman" w:eastAsiaTheme="minorEastAsia" w:hAnsi="Times New Roman" w:cs="Times New Roman"/>
          <w:kern w:val="24"/>
          <w:sz w:val="24"/>
          <w:szCs w:val="24"/>
        </w:rPr>
      </w:pPr>
      <w:r w:rsidRPr="00344E55">
        <w:rPr>
          <w:rFonts w:ascii="Times New Roman" w:eastAsiaTheme="minorEastAsia" w:hAnsi="Times New Roman" w:cs="Times New Roman"/>
          <w:kern w:val="24"/>
          <w:sz w:val="24"/>
          <w:szCs w:val="24"/>
        </w:rPr>
        <w:t xml:space="preserve">This results in the budget available for programmes and </w:t>
      </w:r>
      <w:proofErr w:type="gramStart"/>
      <w:r w:rsidRPr="00344E55">
        <w:rPr>
          <w:rFonts w:ascii="Times New Roman" w:eastAsiaTheme="minorEastAsia" w:hAnsi="Times New Roman" w:cs="Times New Roman"/>
          <w:kern w:val="24"/>
          <w:sz w:val="24"/>
          <w:szCs w:val="24"/>
        </w:rPr>
        <w:t>projects being reduced accordingly as the total budget amount is</w:t>
      </w:r>
      <w:proofErr w:type="gramEnd"/>
      <w:r w:rsidRPr="00344E55">
        <w:rPr>
          <w:rFonts w:ascii="Times New Roman" w:eastAsiaTheme="minorEastAsia" w:hAnsi="Times New Roman" w:cs="Times New Roman"/>
          <w:kern w:val="24"/>
          <w:sz w:val="24"/>
          <w:szCs w:val="24"/>
        </w:rPr>
        <w:t xml:space="preserve"> limited.</w:t>
      </w:r>
      <w:r w:rsidRPr="00344E55">
        <w:rPr>
          <w:rFonts w:ascii="Times New Roman" w:hAnsi="Times New Roman" w:cs="Times New Roman"/>
          <w:sz w:val="24"/>
          <w:szCs w:val="24"/>
        </w:rPr>
        <w:t xml:space="preserve"> </w:t>
      </w:r>
      <w:r w:rsidRPr="00344E55">
        <w:rPr>
          <w:rFonts w:ascii="Times New Roman" w:eastAsiaTheme="minorEastAsia" w:hAnsi="Times New Roman" w:cs="Times New Roman"/>
          <w:kern w:val="24"/>
          <w:sz w:val="24"/>
          <w:szCs w:val="24"/>
        </w:rPr>
        <w:t xml:space="preserve">As a consequence, </w:t>
      </w:r>
      <w:proofErr w:type="spellStart"/>
      <w:r w:rsidRPr="00344E55">
        <w:rPr>
          <w:rFonts w:ascii="Times New Roman" w:eastAsiaTheme="minorEastAsia" w:hAnsi="Times New Roman" w:cs="Times New Roman"/>
          <w:kern w:val="24"/>
          <w:sz w:val="24"/>
          <w:szCs w:val="24"/>
        </w:rPr>
        <w:t>Seda</w:t>
      </w:r>
      <w:proofErr w:type="spellEnd"/>
      <w:r w:rsidRPr="00344E55">
        <w:rPr>
          <w:rFonts w:ascii="Times New Roman" w:eastAsiaTheme="minorEastAsia" w:hAnsi="Times New Roman" w:cs="Times New Roman"/>
          <w:kern w:val="24"/>
          <w:sz w:val="24"/>
          <w:szCs w:val="24"/>
        </w:rPr>
        <w:t xml:space="preserve"> is expecting a number of strategic initiatives had to be scaled down or postponed in previous financial years such as incubation expansion, the one municipality one product programme (OMOP), and promotion of </w:t>
      </w:r>
      <w:proofErr w:type="spellStart"/>
      <w:r w:rsidRPr="00344E55">
        <w:rPr>
          <w:rFonts w:ascii="Times New Roman" w:eastAsiaTheme="minorEastAsia" w:hAnsi="Times New Roman" w:cs="Times New Roman"/>
          <w:kern w:val="24"/>
          <w:sz w:val="24"/>
          <w:szCs w:val="24"/>
        </w:rPr>
        <w:t>Seda’s</w:t>
      </w:r>
      <w:proofErr w:type="spellEnd"/>
      <w:r w:rsidRPr="00344E55">
        <w:rPr>
          <w:rFonts w:ascii="Times New Roman" w:eastAsiaTheme="minorEastAsia" w:hAnsi="Times New Roman" w:cs="Times New Roman"/>
          <w:kern w:val="24"/>
          <w:sz w:val="24"/>
          <w:szCs w:val="24"/>
        </w:rPr>
        <w:t xml:space="preserve"> interventions in the key growth sectors where technical interventions are needed. </w:t>
      </w:r>
      <w:r w:rsidR="00BD6A2B" w:rsidRPr="00344E55">
        <w:rPr>
          <w:rFonts w:ascii="Times New Roman" w:eastAsiaTheme="minorEastAsia" w:hAnsi="Times New Roman" w:cs="Times New Roman"/>
          <w:kern w:val="24"/>
          <w:sz w:val="24"/>
          <w:szCs w:val="24"/>
        </w:rPr>
        <w:t>As alluded to earlier</w:t>
      </w:r>
      <w:r w:rsidR="00730C00" w:rsidRPr="00344E55">
        <w:rPr>
          <w:rFonts w:ascii="Times New Roman" w:eastAsiaTheme="minorEastAsia" w:hAnsi="Times New Roman" w:cs="Times New Roman"/>
          <w:kern w:val="24"/>
          <w:sz w:val="24"/>
          <w:szCs w:val="24"/>
        </w:rPr>
        <w:t>,</w:t>
      </w:r>
      <w:r w:rsidR="00BD6A2B" w:rsidRPr="00344E55">
        <w:rPr>
          <w:rFonts w:ascii="Times New Roman" w:eastAsiaTheme="minorEastAsia" w:hAnsi="Times New Roman" w:cs="Times New Roman"/>
          <w:kern w:val="24"/>
          <w:sz w:val="24"/>
          <w:szCs w:val="24"/>
        </w:rPr>
        <w:t xml:space="preserve"> other </w:t>
      </w:r>
      <w:r w:rsidR="003A2A0E" w:rsidRPr="00344E55">
        <w:rPr>
          <w:rFonts w:ascii="Times New Roman" w:eastAsiaTheme="minorEastAsia" w:hAnsi="Times New Roman" w:cs="Times New Roman"/>
          <w:kern w:val="24"/>
          <w:sz w:val="24"/>
          <w:szCs w:val="24"/>
        </w:rPr>
        <w:t xml:space="preserve">programmes for implementation during the current financial year and MTEF period include those that had been flagged by the Portfolio Committee during the fifth Parliament e.g. </w:t>
      </w:r>
      <w:r w:rsidR="00BD6A2B" w:rsidRPr="00344E55">
        <w:rPr>
          <w:rFonts w:ascii="Times New Roman" w:eastAsiaTheme="minorEastAsia" w:hAnsi="Times New Roman" w:cs="Times New Roman"/>
          <w:kern w:val="24"/>
          <w:sz w:val="24"/>
          <w:szCs w:val="24"/>
        </w:rPr>
        <w:t xml:space="preserve">enterprise incubation programme and national gazelles, these are subject to further </w:t>
      </w:r>
      <w:r w:rsidR="00730C00" w:rsidRPr="00344E55">
        <w:rPr>
          <w:rFonts w:ascii="Times New Roman" w:eastAsiaTheme="minorEastAsia" w:hAnsi="Times New Roman" w:cs="Times New Roman"/>
          <w:kern w:val="24"/>
          <w:sz w:val="24"/>
          <w:szCs w:val="24"/>
        </w:rPr>
        <w:t>examining</w:t>
      </w:r>
      <w:r w:rsidR="00BD6A2B" w:rsidRPr="00344E55">
        <w:rPr>
          <w:rFonts w:ascii="Times New Roman" w:eastAsiaTheme="minorEastAsia" w:hAnsi="Times New Roman" w:cs="Times New Roman"/>
          <w:kern w:val="24"/>
          <w:sz w:val="24"/>
          <w:szCs w:val="24"/>
        </w:rPr>
        <w:t xml:space="preserve"> by the Portfolio Committee.</w:t>
      </w:r>
    </w:p>
    <w:p w14:paraId="26CAADF6" w14:textId="77777777" w:rsidR="009D2A0B" w:rsidRPr="00344E55" w:rsidRDefault="009D2A0B" w:rsidP="0095051C">
      <w:pPr>
        <w:spacing w:line="360" w:lineRule="auto"/>
        <w:contextualSpacing/>
        <w:jc w:val="both"/>
        <w:rPr>
          <w:rFonts w:ascii="Times New Roman" w:hAnsi="Times New Roman" w:cs="Times New Roman"/>
          <w:sz w:val="24"/>
          <w:szCs w:val="24"/>
          <w:lang w:val="en-US"/>
        </w:rPr>
      </w:pPr>
    </w:p>
    <w:p w14:paraId="48807E60" w14:textId="77777777" w:rsidR="0095051C" w:rsidRPr="00344E55" w:rsidRDefault="00B677BB" w:rsidP="001E44D4">
      <w:pPr>
        <w:spacing w:line="240" w:lineRule="auto"/>
        <w:contextualSpacing/>
        <w:jc w:val="both"/>
        <w:rPr>
          <w:rFonts w:ascii="Times New Roman" w:hAnsi="Times New Roman" w:cs="Times New Roman"/>
          <w:b/>
          <w:sz w:val="24"/>
          <w:szCs w:val="24"/>
          <w:lang w:val="en-US"/>
        </w:rPr>
      </w:pPr>
      <w:r w:rsidRPr="00344E55">
        <w:rPr>
          <w:rFonts w:ascii="Times New Roman" w:eastAsia="Times New Roman" w:hAnsi="Times New Roman" w:cs="Times New Roman"/>
          <w:b/>
          <w:sz w:val="24"/>
          <w:szCs w:val="24"/>
          <w:lang w:eastAsia="en-ZA"/>
        </w:rPr>
        <w:t>Table 10</w:t>
      </w:r>
      <w:r w:rsidR="001E44D4" w:rsidRPr="00344E55">
        <w:rPr>
          <w:rFonts w:ascii="Times New Roman" w:eastAsia="Times New Roman" w:hAnsi="Times New Roman" w:cs="Times New Roman"/>
          <w:b/>
          <w:sz w:val="24"/>
          <w:szCs w:val="24"/>
          <w:lang w:eastAsia="en-ZA"/>
        </w:rPr>
        <w:t xml:space="preserve">: </w:t>
      </w:r>
      <w:r w:rsidRPr="00344E55">
        <w:rPr>
          <w:rFonts w:ascii="Times New Roman" w:eastAsia="Times New Roman" w:hAnsi="Times New Roman" w:cs="Times New Roman"/>
          <w:b/>
          <w:sz w:val="24"/>
          <w:szCs w:val="24"/>
          <w:lang w:eastAsia="en-ZA"/>
        </w:rPr>
        <w:t xml:space="preserve">Disaggregated </w:t>
      </w:r>
      <w:r w:rsidR="001E44D4" w:rsidRPr="00344E55">
        <w:rPr>
          <w:rFonts w:ascii="Times New Roman" w:eastAsia="Times New Roman" w:hAnsi="Times New Roman" w:cs="Times New Roman"/>
          <w:b/>
          <w:sz w:val="24"/>
          <w:szCs w:val="24"/>
          <w:lang w:eastAsia="en-ZA"/>
        </w:rPr>
        <w:t>Expenditure Estimates</w:t>
      </w:r>
      <w:r w:rsidRPr="00344E55">
        <w:rPr>
          <w:rFonts w:ascii="Times New Roman" w:eastAsia="Times New Roman" w:hAnsi="Times New Roman" w:cs="Times New Roman"/>
          <w:b/>
          <w:sz w:val="24"/>
          <w:szCs w:val="24"/>
          <w:lang w:eastAsia="en-ZA"/>
        </w:rPr>
        <w:t xml:space="preserve"> </w:t>
      </w:r>
    </w:p>
    <w:tbl>
      <w:tblPr>
        <w:tblW w:w="9016" w:type="dxa"/>
        <w:tblCellMar>
          <w:left w:w="0" w:type="dxa"/>
          <w:right w:w="0" w:type="dxa"/>
        </w:tblCellMar>
        <w:tblLook w:val="0600" w:firstRow="0" w:lastRow="0" w:firstColumn="0" w:lastColumn="0" w:noHBand="1" w:noVBand="1"/>
      </w:tblPr>
      <w:tblGrid>
        <w:gridCol w:w="2515"/>
        <w:gridCol w:w="1440"/>
        <w:gridCol w:w="900"/>
        <w:gridCol w:w="810"/>
        <w:gridCol w:w="810"/>
        <w:gridCol w:w="900"/>
        <w:gridCol w:w="828"/>
        <w:gridCol w:w="813"/>
      </w:tblGrid>
      <w:tr w:rsidR="001E44D4" w:rsidRPr="00344E55" w14:paraId="48517582" w14:textId="77777777" w:rsidTr="009D2A0B">
        <w:trPr>
          <w:trHeight w:val="223"/>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047CF1B6" w14:textId="77777777" w:rsidR="001E44D4" w:rsidRPr="00344E55" w:rsidRDefault="001E44D4" w:rsidP="009D2A0B">
            <w:pPr>
              <w:spacing w:after="0" w:line="240" w:lineRule="auto"/>
              <w:contextualSpacing/>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INCOME</w:t>
            </w:r>
          </w:p>
        </w:tc>
      </w:tr>
      <w:tr w:rsidR="009D2A0B" w:rsidRPr="00344E55" w14:paraId="4C183390" w14:textId="77777777" w:rsidTr="009D2A0B">
        <w:trPr>
          <w:trHeight w:val="250"/>
        </w:trPr>
        <w:tc>
          <w:tcPr>
            <w:tcW w:w="2515"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7815E460" w14:textId="77777777" w:rsidR="001E44D4" w:rsidRPr="00344E55" w:rsidRDefault="001E44D4" w:rsidP="001E44D4">
            <w:pPr>
              <w:spacing w:after="0" w:line="240" w:lineRule="auto"/>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7AE72325" w14:textId="77777777" w:rsidR="001E44D4" w:rsidRPr="00344E55" w:rsidRDefault="001E44D4" w:rsidP="001E44D4">
            <w:pPr>
              <w:spacing w:after="0" w:line="240" w:lineRule="auto"/>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FY 17/18</w:t>
            </w:r>
          </w:p>
        </w:tc>
        <w:tc>
          <w:tcPr>
            <w:tcW w:w="9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103C2E6B" w14:textId="77777777" w:rsidR="001E44D4" w:rsidRPr="00344E55" w:rsidRDefault="001E44D4" w:rsidP="009D2A0B">
            <w:pPr>
              <w:spacing w:after="0" w:line="240" w:lineRule="auto"/>
              <w:contextualSpacing/>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FY 18/19</w:t>
            </w:r>
          </w:p>
        </w:tc>
        <w:tc>
          <w:tcPr>
            <w:tcW w:w="81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6FCD689B" w14:textId="77777777" w:rsidR="001E44D4" w:rsidRPr="00344E55" w:rsidRDefault="001E44D4" w:rsidP="009D2A0B">
            <w:pPr>
              <w:spacing w:after="0" w:line="240" w:lineRule="auto"/>
              <w:contextualSpacing/>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FY 19/20</w:t>
            </w:r>
          </w:p>
        </w:tc>
        <w:tc>
          <w:tcPr>
            <w:tcW w:w="81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3632E2D1" w14:textId="77777777" w:rsidR="001E44D4" w:rsidRPr="00344E55" w:rsidRDefault="001E44D4" w:rsidP="009D2A0B">
            <w:pPr>
              <w:spacing w:after="0" w:line="240" w:lineRule="auto"/>
              <w:contextualSpacing/>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FY 20/21</w:t>
            </w:r>
          </w:p>
        </w:tc>
        <w:tc>
          <w:tcPr>
            <w:tcW w:w="9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593443F7" w14:textId="77777777" w:rsidR="001E44D4" w:rsidRPr="00344E55" w:rsidRDefault="001E44D4" w:rsidP="009D2A0B">
            <w:pPr>
              <w:spacing w:after="0" w:line="240" w:lineRule="auto"/>
              <w:contextualSpacing/>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FY 21/22</w:t>
            </w:r>
          </w:p>
        </w:tc>
        <w:tc>
          <w:tcPr>
            <w:tcW w:w="828"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452044FB" w14:textId="77777777" w:rsidR="001E44D4" w:rsidRPr="00344E55" w:rsidRDefault="001E44D4" w:rsidP="009D2A0B">
            <w:pPr>
              <w:spacing w:after="0" w:line="240" w:lineRule="auto"/>
              <w:contextualSpacing/>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FY 22/23</w:t>
            </w:r>
          </w:p>
        </w:tc>
        <w:tc>
          <w:tcPr>
            <w:tcW w:w="813"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02031A65" w14:textId="77777777" w:rsidR="001E44D4" w:rsidRPr="00344E55" w:rsidRDefault="001E44D4" w:rsidP="009D2A0B">
            <w:pPr>
              <w:spacing w:after="0" w:line="240" w:lineRule="auto"/>
              <w:contextualSpacing/>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FY 23/24</w:t>
            </w:r>
          </w:p>
        </w:tc>
      </w:tr>
      <w:tr w:rsidR="009D2A0B" w:rsidRPr="00344E55" w14:paraId="4BBAA7CA" w14:textId="77777777" w:rsidTr="009D2A0B">
        <w:trPr>
          <w:trHeight w:val="160"/>
        </w:trPr>
        <w:tc>
          <w:tcPr>
            <w:tcW w:w="2515"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577EEEDC" w14:textId="77777777" w:rsidR="001E44D4" w:rsidRPr="00344E55" w:rsidRDefault="001E44D4" w:rsidP="001E44D4">
            <w:pPr>
              <w:spacing w:after="0" w:line="240" w:lineRule="auto"/>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3B9E4CB5" w14:textId="77777777" w:rsidR="001E44D4" w:rsidRPr="00344E55" w:rsidRDefault="001E44D4" w:rsidP="001E44D4">
            <w:pPr>
              <w:spacing w:after="0" w:line="240" w:lineRule="auto"/>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Audited </w:t>
            </w:r>
            <w:r w:rsidRPr="00344E55">
              <w:rPr>
                <w:rFonts w:ascii="Times New Roman" w:eastAsia="Times New Roman" w:hAnsi="Times New Roman" w:cs="Times New Roman"/>
                <w:b/>
                <w:bCs/>
                <w:color w:val="000000"/>
                <w:kern w:val="24"/>
                <w:sz w:val="24"/>
                <w:szCs w:val="24"/>
                <w:lang w:eastAsia="en-ZA"/>
              </w:rPr>
              <w:lastRenderedPageBreak/>
              <w:t>figures</w:t>
            </w:r>
          </w:p>
        </w:tc>
        <w:tc>
          <w:tcPr>
            <w:tcW w:w="9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42F18CFA" w14:textId="77777777" w:rsidR="001E44D4" w:rsidRPr="00344E55" w:rsidRDefault="001E44D4" w:rsidP="009D2A0B">
            <w:pPr>
              <w:spacing w:after="0" w:line="240" w:lineRule="auto"/>
              <w:contextualSpacing/>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lastRenderedPageBreak/>
              <w:t>Budget</w:t>
            </w:r>
          </w:p>
        </w:tc>
        <w:tc>
          <w:tcPr>
            <w:tcW w:w="4161" w:type="dxa"/>
            <w:gridSpan w:val="5"/>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47BA28C3" w14:textId="77777777" w:rsidR="001E44D4" w:rsidRPr="00344E55" w:rsidRDefault="001E44D4" w:rsidP="009D2A0B">
            <w:pPr>
              <w:spacing w:after="0" w:line="240" w:lineRule="auto"/>
              <w:contextualSpacing/>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Draft</w:t>
            </w:r>
          </w:p>
        </w:tc>
      </w:tr>
      <w:tr w:rsidR="009D2A0B" w:rsidRPr="00344E55" w14:paraId="003F047D" w14:textId="77777777" w:rsidTr="009D2A0B">
        <w:trPr>
          <w:trHeight w:val="178"/>
        </w:trPr>
        <w:tc>
          <w:tcPr>
            <w:tcW w:w="2515"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52C3E040" w14:textId="77777777" w:rsidR="001E44D4" w:rsidRPr="00344E55" w:rsidRDefault="001E44D4" w:rsidP="001E44D4">
            <w:pPr>
              <w:spacing w:after="0" w:line="240" w:lineRule="auto"/>
              <w:jc w:val="center"/>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lastRenderedPageBreak/>
              <w:t> </w:t>
            </w:r>
          </w:p>
        </w:tc>
        <w:tc>
          <w:tcPr>
            <w:tcW w:w="6501" w:type="dxa"/>
            <w:gridSpan w:val="7"/>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3F7ED85C" w14:textId="77777777" w:rsidR="001E44D4" w:rsidRPr="00344E55" w:rsidRDefault="001E44D4" w:rsidP="009D2A0B">
            <w:pPr>
              <w:spacing w:after="0" w:line="240" w:lineRule="auto"/>
              <w:contextualSpacing/>
              <w:jc w:val="center"/>
              <w:textAlignment w:val="bottom"/>
              <w:rPr>
                <w:rFonts w:ascii="Times New Roman" w:eastAsia="Times New Roman" w:hAnsi="Times New Roman" w:cs="Times New Roman"/>
                <w:sz w:val="24"/>
                <w:szCs w:val="24"/>
                <w:lang w:eastAsia="en-ZA"/>
              </w:rPr>
            </w:pPr>
            <w:proofErr w:type="spellStart"/>
            <w:r w:rsidRPr="00344E55">
              <w:rPr>
                <w:rFonts w:ascii="Times New Roman" w:eastAsia="Times New Roman" w:hAnsi="Times New Roman" w:cs="Times New Roman"/>
                <w:b/>
                <w:bCs/>
                <w:color w:val="000000"/>
                <w:kern w:val="24"/>
                <w:sz w:val="24"/>
                <w:szCs w:val="24"/>
                <w:lang w:eastAsia="en-ZA"/>
              </w:rPr>
              <w:t>R'million</w:t>
            </w:r>
            <w:proofErr w:type="spellEnd"/>
          </w:p>
        </w:tc>
      </w:tr>
      <w:tr w:rsidR="009D2A0B" w:rsidRPr="00344E55" w14:paraId="3E43C86A" w14:textId="77777777" w:rsidTr="009D2A0B">
        <w:trPr>
          <w:trHeight w:val="223"/>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C9BD255" w14:textId="77777777" w:rsidR="001E44D4" w:rsidRPr="00344E55" w:rsidRDefault="001E44D4" w:rsidP="009D2A0B">
            <w:pPr>
              <w:spacing w:after="0" w:line="240" w:lineRule="auto"/>
              <w:contextualSpacing/>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da-DK" w:eastAsia="en-ZA"/>
              </w:rPr>
              <w:t>Seda - DSBD from ENE budget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0E0ACB8"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575.8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64EECA5"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580.2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CD95062"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607.3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7ED7C4C"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641.5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CC62807"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676.0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8FA8C21"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716.5 </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EDEA3ED"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759.5 </w:t>
            </w:r>
          </w:p>
        </w:tc>
      </w:tr>
      <w:tr w:rsidR="009D2A0B" w:rsidRPr="00344E55" w14:paraId="2B701411" w14:textId="77777777" w:rsidTr="009D2A0B">
        <w:trPr>
          <w:trHeight w:val="187"/>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96C5429" w14:textId="77777777" w:rsidR="001E44D4" w:rsidRPr="00344E55" w:rsidRDefault="001E44D4" w:rsidP="009D2A0B">
            <w:pPr>
              <w:spacing w:after="0" w:line="240" w:lineRule="auto"/>
              <w:contextualSpacing/>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val="da-DK" w:eastAsia="en-ZA"/>
              </w:rPr>
              <w:t>STP - DSBD from ENE budget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BE597F0"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146.1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202B35F"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144.6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CA80D8B"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152.3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61C52A8"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160.3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79BC39C"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169.1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AC0394"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179.2 </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B11F850"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190.0 </w:t>
            </w:r>
          </w:p>
        </w:tc>
      </w:tr>
      <w:tr w:rsidR="009D2A0B" w:rsidRPr="00344E55" w14:paraId="146B77FB" w14:textId="77777777" w:rsidTr="009D2A0B">
        <w:trPr>
          <w:trHeight w:val="34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5BEA586" w14:textId="77777777" w:rsidR="001E44D4" w:rsidRPr="00344E55" w:rsidRDefault="001E44D4" w:rsidP="009D2A0B">
            <w:pPr>
              <w:spacing w:after="0" w:line="240" w:lineRule="auto"/>
              <w:contextualSpacing/>
              <w:textAlignment w:val="bottom"/>
              <w:rPr>
                <w:rFonts w:ascii="Times New Roman" w:eastAsia="Times New Roman" w:hAnsi="Times New Roman" w:cs="Times New Roman"/>
                <w:sz w:val="24"/>
                <w:szCs w:val="24"/>
                <w:lang w:eastAsia="en-ZA"/>
              </w:rPr>
            </w:pPr>
            <w:proofErr w:type="spellStart"/>
            <w:r w:rsidRPr="00344E55">
              <w:rPr>
                <w:rFonts w:ascii="Times New Roman" w:eastAsia="Times New Roman" w:hAnsi="Times New Roman" w:cs="Times New Roman"/>
                <w:b/>
                <w:bCs/>
                <w:color w:val="000000"/>
                <w:kern w:val="24"/>
                <w:sz w:val="24"/>
                <w:szCs w:val="24"/>
                <w:lang w:eastAsia="en-ZA"/>
              </w:rPr>
              <w:t>Seda</w:t>
            </w:r>
            <w:proofErr w:type="spellEnd"/>
            <w:r w:rsidRPr="00344E55">
              <w:rPr>
                <w:rFonts w:ascii="Times New Roman" w:eastAsia="Times New Roman" w:hAnsi="Times New Roman" w:cs="Times New Roman"/>
                <w:b/>
                <w:bCs/>
                <w:color w:val="000000"/>
                <w:kern w:val="24"/>
                <w:sz w:val="24"/>
                <w:szCs w:val="24"/>
                <w:lang w:eastAsia="en-ZA"/>
              </w:rPr>
              <w:t xml:space="preserve"> - National Gazelle programme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DE0B4E2"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0882C93"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15.0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322E196"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35.0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C351DB2"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30.0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CC10636"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31.7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4182992"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33.5 </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DFFABB8"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35.6 </w:t>
            </w:r>
          </w:p>
        </w:tc>
      </w:tr>
      <w:tr w:rsidR="009D2A0B" w:rsidRPr="00344E55" w14:paraId="5EFD309A" w14:textId="77777777" w:rsidTr="00BD6A2B">
        <w:trPr>
          <w:trHeight w:val="205"/>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9E68C41" w14:textId="77777777" w:rsidR="001E44D4" w:rsidRPr="00344E55" w:rsidRDefault="001E44D4" w:rsidP="009D2A0B">
            <w:pPr>
              <w:spacing w:after="0" w:line="240" w:lineRule="auto"/>
              <w:contextualSpacing/>
              <w:textAlignment w:val="bottom"/>
              <w:rPr>
                <w:rFonts w:ascii="Times New Roman" w:eastAsia="Times New Roman" w:hAnsi="Times New Roman" w:cs="Times New Roman"/>
                <w:sz w:val="24"/>
                <w:szCs w:val="24"/>
                <w:lang w:eastAsia="en-ZA"/>
              </w:rPr>
            </w:pPr>
            <w:proofErr w:type="spellStart"/>
            <w:r w:rsidRPr="00344E55">
              <w:rPr>
                <w:rFonts w:ascii="Times New Roman" w:eastAsia="Times New Roman" w:hAnsi="Times New Roman" w:cs="Times New Roman"/>
                <w:b/>
                <w:bCs/>
                <w:color w:val="000000"/>
                <w:kern w:val="24"/>
                <w:sz w:val="24"/>
                <w:szCs w:val="24"/>
                <w:lang w:eastAsia="en-ZA"/>
              </w:rPr>
              <w:t>Seda</w:t>
            </w:r>
            <w:proofErr w:type="spellEnd"/>
            <w:r w:rsidRPr="00344E55">
              <w:rPr>
                <w:rFonts w:ascii="Times New Roman" w:eastAsia="Times New Roman" w:hAnsi="Times New Roman" w:cs="Times New Roman"/>
                <w:b/>
                <w:bCs/>
                <w:color w:val="000000"/>
                <w:kern w:val="24"/>
                <w:sz w:val="24"/>
                <w:szCs w:val="24"/>
                <w:lang w:eastAsia="en-ZA"/>
              </w:rPr>
              <w:t xml:space="preserve"> - IMEDP programme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C9FA309"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33E48D7"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31.9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77D3F43"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30.0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AF0E168"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34.5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6041432"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36.4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5878B99"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  </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C03205C"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  </w:t>
            </w:r>
          </w:p>
        </w:tc>
      </w:tr>
      <w:tr w:rsidR="009D2A0B" w:rsidRPr="00344E55" w14:paraId="609D10F4" w14:textId="77777777" w:rsidTr="009D2A0B">
        <w:trPr>
          <w:trHeight w:val="277"/>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23E7337" w14:textId="77777777" w:rsidR="001E44D4" w:rsidRPr="00344E55" w:rsidRDefault="001E44D4" w:rsidP="009D2A0B">
            <w:pPr>
              <w:spacing w:after="0" w:line="240" w:lineRule="auto"/>
              <w:contextualSpacing/>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STP - Capacity Building programme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0D6D4B5"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CAAE16B"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30.5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296B284"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15.4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A4B5A7B"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16.3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7DAE325"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17.1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348E0B5"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18.2 </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E12033"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19.3 </w:t>
            </w:r>
          </w:p>
        </w:tc>
      </w:tr>
      <w:tr w:rsidR="009D2A0B" w:rsidRPr="00344E55" w14:paraId="4C1F9369" w14:textId="77777777" w:rsidTr="009D2A0B">
        <w:trPr>
          <w:trHeight w:val="385"/>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4A05BFA" w14:textId="77777777" w:rsidR="001E44D4" w:rsidRPr="00344E55" w:rsidRDefault="001E44D4" w:rsidP="009D2A0B">
            <w:pPr>
              <w:spacing w:after="0" w:line="240" w:lineRule="auto"/>
              <w:contextualSpacing/>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STP - Enterprise Incubation programme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6F5388D"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8872B93"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54.7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49F82A3"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57.8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6639810"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61.0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5CD400E"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64.3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E1F334D"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68.2 </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FFDF20"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72.3 </w:t>
            </w:r>
          </w:p>
        </w:tc>
      </w:tr>
      <w:tr w:rsidR="009D2A0B" w:rsidRPr="00344E55" w14:paraId="271A271A" w14:textId="77777777" w:rsidTr="009D2A0B">
        <w:trPr>
          <w:trHeight w:val="223"/>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266F33D" w14:textId="77777777" w:rsidR="001E44D4" w:rsidRPr="00344E55" w:rsidRDefault="001E44D4" w:rsidP="009D2A0B">
            <w:pPr>
              <w:spacing w:after="0" w:line="240" w:lineRule="auto"/>
              <w:contextualSpacing/>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External earnings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28E7207"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39.0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DB974F2"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20.8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EC8523D"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29.7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607BE55"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12.0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21DAA5C"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12.0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71D38FA"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15.0 </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71FB972"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15.0 </w:t>
            </w:r>
          </w:p>
        </w:tc>
      </w:tr>
      <w:tr w:rsidR="009D2A0B" w:rsidRPr="00344E55" w14:paraId="5D34D1D9" w14:textId="77777777" w:rsidTr="009D2A0B">
        <w:trPr>
          <w:trHeight w:val="133"/>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15ADE5F" w14:textId="77777777" w:rsidR="001E44D4" w:rsidRPr="00344E55" w:rsidRDefault="001E44D4" w:rsidP="009D2A0B">
            <w:pPr>
              <w:spacing w:after="0" w:line="240" w:lineRule="auto"/>
              <w:contextualSpacing/>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Other income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611B8C2"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9.2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0E9A092"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5.3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DC206C9"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11.3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78B2FB4"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1B1C856"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5.0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C5F4AB5"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6.0 </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EC1D5D3"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Cs/>
                <w:color w:val="000000"/>
                <w:kern w:val="24"/>
                <w:sz w:val="24"/>
                <w:szCs w:val="24"/>
                <w:lang w:eastAsia="en-ZA"/>
              </w:rPr>
              <w:t xml:space="preserve">              6.0 </w:t>
            </w:r>
          </w:p>
        </w:tc>
      </w:tr>
      <w:tr w:rsidR="009D2A0B" w:rsidRPr="00344E55" w14:paraId="3BAC4899" w14:textId="77777777" w:rsidTr="009D2A0B">
        <w:trPr>
          <w:trHeight w:val="97"/>
        </w:trPr>
        <w:tc>
          <w:tcPr>
            <w:tcW w:w="2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bottom"/>
            <w:hideMark/>
          </w:tcPr>
          <w:p w14:paraId="4E6355A3" w14:textId="77777777" w:rsidR="001E44D4" w:rsidRPr="00344E55" w:rsidRDefault="001E44D4" w:rsidP="009D2A0B">
            <w:pPr>
              <w:spacing w:after="0" w:line="240" w:lineRule="auto"/>
              <w:contextualSpacing/>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TOTAL INCOME</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bottom"/>
            <w:hideMark/>
          </w:tcPr>
          <w:p w14:paraId="53D925F4"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800.5 </w:t>
            </w: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bottom"/>
            <w:hideMark/>
          </w:tcPr>
          <w:p w14:paraId="4C91F661"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883.1 </w:t>
            </w: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bottom"/>
            <w:hideMark/>
          </w:tcPr>
          <w:p w14:paraId="16A5C0EE"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938.8 </w:t>
            </w: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bottom"/>
            <w:hideMark/>
          </w:tcPr>
          <w:p w14:paraId="6FE72E32"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960.4 </w:t>
            </w: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bottom"/>
            <w:hideMark/>
          </w:tcPr>
          <w:p w14:paraId="12E415CC"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1,011.5 </w:t>
            </w:r>
          </w:p>
        </w:tc>
        <w:tc>
          <w:tcPr>
            <w:tcW w:w="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bottom"/>
            <w:hideMark/>
          </w:tcPr>
          <w:p w14:paraId="532500A9"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1,036.6 </w:t>
            </w:r>
          </w:p>
        </w:tc>
        <w:tc>
          <w:tcPr>
            <w:tcW w:w="8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bottom w:w="0" w:type="dxa"/>
              <w:right w:w="10" w:type="dxa"/>
            </w:tcMar>
            <w:vAlign w:val="bottom"/>
            <w:hideMark/>
          </w:tcPr>
          <w:p w14:paraId="4D972D28" w14:textId="77777777" w:rsidR="001E44D4" w:rsidRPr="00344E55" w:rsidRDefault="001E44D4" w:rsidP="009D2A0B">
            <w:pPr>
              <w:spacing w:after="0" w:line="240" w:lineRule="auto"/>
              <w:contextualSpacing/>
              <w:jc w:val="right"/>
              <w:textAlignment w:val="bottom"/>
              <w:rPr>
                <w:rFonts w:ascii="Times New Roman" w:eastAsia="Times New Roman" w:hAnsi="Times New Roman" w:cs="Times New Roman"/>
                <w:sz w:val="24"/>
                <w:szCs w:val="24"/>
                <w:lang w:eastAsia="en-ZA"/>
              </w:rPr>
            </w:pPr>
            <w:r w:rsidRPr="00344E55">
              <w:rPr>
                <w:rFonts w:ascii="Times New Roman" w:eastAsia="Times New Roman" w:hAnsi="Times New Roman" w:cs="Times New Roman"/>
                <w:b/>
                <w:bCs/>
                <w:color w:val="000000"/>
                <w:kern w:val="24"/>
                <w:sz w:val="24"/>
                <w:szCs w:val="24"/>
                <w:lang w:eastAsia="en-ZA"/>
              </w:rPr>
              <w:t xml:space="preserve">        1,097.6 </w:t>
            </w:r>
          </w:p>
        </w:tc>
      </w:tr>
    </w:tbl>
    <w:p w14:paraId="5B69F317" w14:textId="77777777" w:rsidR="00967429" w:rsidRPr="00344E55" w:rsidRDefault="00BD6A2B" w:rsidP="005200EB">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 xml:space="preserve">Source: </w:t>
      </w:r>
      <w:proofErr w:type="spellStart"/>
      <w:r w:rsidRPr="00344E55">
        <w:rPr>
          <w:rFonts w:ascii="Times New Roman" w:hAnsi="Times New Roman" w:cs="Times New Roman"/>
          <w:b/>
          <w:sz w:val="24"/>
          <w:szCs w:val="24"/>
        </w:rPr>
        <w:t>Seda</w:t>
      </w:r>
      <w:proofErr w:type="spellEnd"/>
      <w:r w:rsidRPr="00344E55">
        <w:rPr>
          <w:rFonts w:ascii="Times New Roman" w:hAnsi="Times New Roman" w:cs="Times New Roman"/>
          <w:b/>
          <w:sz w:val="24"/>
          <w:szCs w:val="24"/>
        </w:rPr>
        <w:t xml:space="preserve"> Annual Performance Plan 2019/20</w:t>
      </w:r>
    </w:p>
    <w:p w14:paraId="0A9FAD93"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2AD28951"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69EAA2A5"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696E72F3"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4D3CBA67"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2DC7F15D"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6A833E7F"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48017371"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7AB67FB4"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464E0B6F"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3B1982A8"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5CB63EFF" w14:textId="77777777" w:rsidR="00967429" w:rsidRPr="00344E55" w:rsidRDefault="00967429" w:rsidP="005200EB">
      <w:pPr>
        <w:spacing w:line="360" w:lineRule="auto"/>
        <w:contextualSpacing/>
        <w:jc w:val="both"/>
        <w:rPr>
          <w:rFonts w:ascii="Times New Roman" w:hAnsi="Times New Roman" w:cs="Times New Roman"/>
          <w:b/>
          <w:sz w:val="24"/>
          <w:szCs w:val="24"/>
        </w:rPr>
      </w:pPr>
    </w:p>
    <w:p w14:paraId="569B9FEA" w14:textId="77777777" w:rsidR="00BD6A2B" w:rsidRPr="00344E55" w:rsidRDefault="00BD6A2B" w:rsidP="005200EB">
      <w:pPr>
        <w:spacing w:line="360" w:lineRule="auto"/>
        <w:contextualSpacing/>
        <w:jc w:val="both"/>
        <w:rPr>
          <w:rFonts w:ascii="Times New Roman" w:hAnsi="Times New Roman" w:cs="Times New Roman"/>
          <w:b/>
          <w:sz w:val="24"/>
          <w:szCs w:val="24"/>
        </w:rPr>
      </w:pPr>
    </w:p>
    <w:p w14:paraId="2B52C7B3" w14:textId="77777777" w:rsidR="005200EB" w:rsidRPr="00344E55" w:rsidRDefault="005200EB" w:rsidP="00967429">
      <w:pPr>
        <w:spacing w:line="360" w:lineRule="auto"/>
        <w:contextualSpacing/>
        <w:jc w:val="center"/>
        <w:rPr>
          <w:rFonts w:ascii="Times New Roman" w:hAnsi="Times New Roman" w:cs="Times New Roman"/>
          <w:b/>
          <w:sz w:val="24"/>
          <w:szCs w:val="24"/>
        </w:rPr>
      </w:pPr>
      <w:r w:rsidRPr="00344E55">
        <w:rPr>
          <w:rFonts w:ascii="Times New Roman" w:hAnsi="Times New Roman" w:cs="Times New Roman"/>
          <w:b/>
          <w:sz w:val="24"/>
          <w:szCs w:val="24"/>
        </w:rPr>
        <w:t>SMALL ENTERPRISE FINANCE AGENCY</w:t>
      </w:r>
    </w:p>
    <w:p w14:paraId="21C3E2E3" w14:textId="77777777" w:rsidR="005200EB" w:rsidRPr="00344E55" w:rsidRDefault="005200EB" w:rsidP="001D130E">
      <w:pPr>
        <w:spacing w:line="360" w:lineRule="auto"/>
        <w:contextualSpacing/>
        <w:jc w:val="both"/>
        <w:rPr>
          <w:rFonts w:ascii="Times New Roman" w:hAnsi="Times New Roman" w:cs="Times New Roman"/>
          <w:b/>
          <w:sz w:val="24"/>
          <w:szCs w:val="24"/>
        </w:rPr>
      </w:pPr>
    </w:p>
    <w:p w14:paraId="72E3F587" w14:textId="77777777" w:rsidR="005200EB" w:rsidRPr="00344E55" w:rsidRDefault="00C90449" w:rsidP="001D130E">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9</w:t>
      </w:r>
      <w:r w:rsidR="00022E0F" w:rsidRPr="00344E55">
        <w:rPr>
          <w:rFonts w:ascii="Times New Roman" w:hAnsi="Times New Roman" w:cs="Times New Roman"/>
          <w:b/>
          <w:sz w:val="24"/>
          <w:szCs w:val="24"/>
        </w:rPr>
        <w:t>.</w:t>
      </w:r>
      <w:r w:rsidR="00022E0F" w:rsidRPr="00344E55">
        <w:rPr>
          <w:rFonts w:ascii="Times New Roman" w:hAnsi="Times New Roman" w:cs="Times New Roman"/>
          <w:b/>
          <w:sz w:val="24"/>
          <w:szCs w:val="24"/>
        </w:rPr>
        <w:tab/>
        <w:t>MANDATE</w:t>
      </w:r>
    </w:p>
    <w:p w14:paraId="2E4F3ECB" w14:textId="77777777" w:rsidR="005200EB" w:rsidRPr="00344E55" w:rsidRDefault="005200EB" w:rsidP="001D130E">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The Small Enterprise Finance Agency (</w:t>
      </w:r>
      <w:proofErr w:type="spellStart"/>
      <w:r w:rsidR="006E42EF" w:rsidRPr="00344E55">
        <w:rPr>
          <w:rFonts w:ascii="Times New Roman" w:hAnsi="Times New Roman" w:cs="Times New Roman"/>
          <w:b/>
          <w:sz w:val="24"/>
          <w:szCs w:val="24"/>
        </w:rPr>
        <w:t>sefa</w:t>
      </w:r>
      <w:proofErr w:type="spellEnd"/>
      <w:r w:rsidRPr="00344E55">
        <w:rPr>
          <w:rFonts w:ascii="Times New Roman" w:hAnsi="Times New Roman" w:cs="Times New Roman"/>
          <w:sz w:val="24"/>
          <w:szCs w:val="24"/>
        </w:rPr>
        <w:t xml:space="preserve">) </w:t>
      </w:r>
      <w:r w:rsidR="00C90449" w:rsidRPr="00344E55">
        <w:rPr>
          <w:rFonts w:ascii="Times New Roman" w:hAnsi="Times New Roman" w:cs="Times New Roman"/>
          <w:sz w:val="24"/>
          <w:szCs w:val="24"/>
        </w:rPr>
        <w:t xml:space="preserve">was </w:t>
      </w:r>
      <w:r w:rsidRPr="00344E55">
        <w:rPr>
          <w:rFonts w:ascii="Times New Roman" w:hAnsi="Times New Roman" w:cs="Times New Roman"/>
          <w:sz w:val="24"/>
          <w:szCs w:val="24"/>
        </w:rPr>
        <w:t xml:space="preserve">established in April 2012 through the amalgamation of South African Micro-Finance Apex Fund (SAMAF), </w:t>
      </w:r>
      <w:proofErr w:type="spellStart"/>
      <w:r w:rsidRPr="00344E55">
        <w:rPr>
          <w:rFonts w:ascii="Times New Roman" w:hAnsi="Times New Roman" w:cs="Times New Roman"/>
          <w:sz w:val="24"/>
          <w:szCs w:val="24"/>
        </w:rPr>
        <w:t>Khula</w:t>
      </w:r>
      <w:proofErr w:type="spellEnd"/>
      <w:r w:rsidRPr="00344E55">
        <w:rPr>
          <w:rFonts w:ascii="Times New Roman" w:hAnsi="Times New Roman" w:cs="Times New Roman"/>
          <w:sz w:val="24"/>
          <w:szCs w:val="24"/>
        </w:rPr>
        <w:t xml:space="preserve"> Enterprise Finance and Industrial Development Corporation’s small business activities. It is</w:t>
      </w:r>
      <w:r w:rsidR="00730C00" w:rsidRPr="00344E55">
        <w:rPr>
          <w:rFonts w:ascii="Times New Roman" w:hAnsi="Times New Roman" w:cs="Times New Roman"/>
          <w:sz w:val="24"/>
          <w:szCs w:val="24"/>
        </w:rPr>
        <w:t xml:space="preserve"> </w:t>
      </w:r>
      <w:proofErr w:type="spellStart"/>
      <w:r w:rsidR="00730C00" w:rsidRPr="00344E55">
        <w:rPr>
          <w:rFonts w:ascii="Times New Roman" w:hAnsi="Times New Roman" w:cs="Times New Roman"/>
          <w:sz w:val="24"/>
          <w:szCs w:val="24"/>
        </w:rPr>
        <w:t>corporatised</w:t>
      </w:r>
      <w:proofErr w:type="spellEnd"/>
      <w:r w:rsidRPr="00344E55">
        <w:rPr>
          <w:rFonts w:ascii="Times New Roman" w:hAnsi="Times New Roman" w:cs="Times New Roman"/>
          <w:sz w:val="24"/>
          <w:szCs w:val="24"/>
        </w:rPr>
        <w:t xml:space="preserve"> </w:t>
      </w:r>
      <w:r w:rsidRPr="00344E55">
        <w:rPr>
          <w:rFonts w:ascii="Times New Roman" w:hAnsi="Times New Roman" w:cs="Times New Roman"/>
          <w:sz w:val="24"/>
          <w:szCs w:val="24"/>
        </w:rPr>
        <w:lastRenderedPageBreak/>
        <w:t xml:space="preserve">as an entity in terms of the Companies Act of 2008 and Section 3(d) of the Industrial Development Corporation (IDC) Act, 1940, and thus a wholly owned subsidiary of the IDC. Section 3(d) of the IDC Act seeks “to foster the development of small and medium enterprises and co-operatives”. </w:t>
      </w:r>
      <w:r w:rsidR="006E42EF" w:rsidRPr="00344E55">
        <w:rPr>
          <w:rFonts w:ascii="Times New Roman" w:hAnsi="Times New Roman" w:cs="Times New Roman"/>
          <w:sz w:val="24"/>
          <w:szCs w:val="24"/>
        </w:rPr>
        <w:t xml:space="preserve">The entity </w:t>
      </w:r>
      <w:r w:rsidR="00FB3A98" w:rsidRPr="00344E55">
        <w:rPr>
          <w:rFonts w:ascii="Times New Roman" w:hAnsi="Times New Roman" w:cs="Times New Roman"/>
          <w:sz w:val="24"/>
          <w:szCs w:val="24"/>
        </w:rPr>
        <w:t xml:space="preserve">is </w:t>
      </w:r>
      <w:r w:rsidR="006E42EF" w:rsidRPr="00344E55">
        <w:rPr>
          <w:rFonts w:ascii="Times New Roman" w:hAnsi="Times New Roman" w:cs="Times New Roman"/>
          <w:sz w:val="24"/>
          <w:szCs w:val="24"/>
        </w:rPr>
        <w:t>ironically</w:t>
      </w:r>
      <w:r w:rsidRPr="00344E55">
        <w:rPr>
          <w:rFonts w:ascii="Times New Roman" w:hAnsi="Times New Roman" w:cs="Times New Roman"/>
          <w:sz w:val="24"/>
          <w:szCs w:val="24"/>
        </w:rPr>
        <w:t xml:space="preserve"> a schedule 2 (in line with the parent entity IDC) but not a schedule 3A entity like </w:t>
      </w:r>
      <w:proofErr w:type="spellStart"/>
      <w:r w:rsidRPr="00344E55">
        <w:rPr>
          <w:rFonts w:ascii="Times New Roman" w:hAnsi="Times New Roman" w:cs="Times New Roman"/>
          <w:sz w:val="24"/>
          <w:szCs w:val="24"/>
        </w:rPr>
        <w:t>S</w:t>
      </w:r>
      <w:r w:rsidR="006E42EF" w:rsidRPr="00344E55">
        <w:rPr>
          <w:rFonts w:ascii="Times New Roman" w:hAnsi="Times New Roman" w:cs="Times New Roman"/>
          <w:sz w:val="24"/>
          <w:szCs w:val="24"/>
        </w:rPr>
        <w:t>eda</w:t>
      </w:r>
      <w:proofErr w:type="spellEnd"/>
      <w:r w:rsidRPr="00344E55">
        <w:rPr>
          <w:rFonts w:ascii="Times New Roman" w:hAnsi="Times New Roman" w:cs="Times New Roman"/>
          <w:sz w:val="24"/>
          <w:szCs w:val="24"/>
        </w:rPr>
        <w:t xml:space="preserve">. There are no provisions within the body of the PFMA dealing with subsidiaries as a corporate form, separate from their parent entities. Therefore, the Minister of Small Business Development is not the Executive Authority and therefore her ability to exercise oversight responsibility over the agency as prescribed in the Public Finance Management Act is </w:t>
      </w:r>
      <w:r w:rsidR="006E42EF" w:rsidRPr="00344E55">
        <w:rPr>
          <w:rFonts w:ascii="Times New Roman" w:hAnsi="Times New Roman" w:cs="Times New Roman"/>
          <w:sz w:val="24"/>
          <w:szCs w:val="24"/>
        </w:rPr>
        <w:t>impaired</w:t>
      </w:r>
      <w:r w:rsidRPr="00344E55">
        <w:rPr>
          <w:rFonts w:ascii="Times New Roman" w:hAnsi="Times New Roman" w:cs="Times New Roman"/>
          <w:sz w:val="24"/>
          <w:szCs w:val="24"/>
        </w:rPr>
        <w:t xml:space="preserve">. </w:t>
      </w:r>
    </w:p>
    <w:p w14:paraId="3128CA3D" w14:textId="77777777" w:rsidR="006E42EF" w:rsidRPr="00344E55" w:rsidRDefault="006E42EF" w:rsidP="001D130E">
      <w:pPr>
        <w:spacing w:line="360" w:lineRule="auto"/>
        <w:contextualSpacing/>
        <w:jc w:val="both"/>
        <w:rPr>
          <w:rFonts w:ascii="Times New Roman" w:hAnsi="Times New Roman" w:cs="Times New Roman"/>
          <w:sz w:val="24"/>
          <w:szCs w:val="24"/>
        </w:rPr>
      </w:pPr>
    </w:p>
    <w:p w14:paraId="04E34D7F" w14:textId="77777777" w:rsidR="00022E0F" w:rsidRPr="00344E55" w:rsidRDefault="00C90449" w:rsidP="001D130E">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10</w:t>
      </w:r>
      <w:r w:rsidR="00022E0F" w:rsidRPr="00344E55">
        <w:rPr>
          <w:rFonts w:ascii="Times New Roman" w:hAnsi="Times New Roman" w:cs="Times New Roman"/>
          <w:b/>
          <w:sz w:val="24"/>
          <w:szCs w:val="24"/>
        </w:rPr>
        <w:t>.</w:t>
      </w:r>
      <w:r w:rsidR="00022E0F" w:rsidRPr="00344E55">
        <w:rPr>
          <w:rFonts w:ascii="Times New Roman" w:hAnsi="Times New Roman" w:cs="Times New Roman"/>
          <w:b/>
          <w:sz w:val="24"/>
          <w:szCs w:val="24"/>
        </w:rPr>
        <w:tab/>
        <w:t>LEGISLATIVE AND POLICY MANDATE</w:t>
      </w:r>
    </w:p>
    <w:p w14:paraId="1F20B19E" w14:textId="77777777" w:rsidR="00022E0F" w:rsidRPr="00344E55" w:rsidRDefault="00022E0F" w:rsidP="001D130E">
      <w:pPr>
        <w:spacing w:line="360" w:lineRule="auto"/>
        <w:contextualSpacing/>
        <w:jc w:val="both"/>
        <w:rPr>
          <w:rFonts w:ascii="Times New Roman" w:hAnsi="Times New Roman" w:cs="Times New Roman"/>
          <w:sz w:val="24"/>
          <w:szCs w:val="24"/>
        </w:rPr>
      </w:pPr>
    </w:p>
    <w:p w14:paraId="444AC1E1" w14:textId="77777777" w:rsidR="00022E0F" w:rsidRPr="00344E55" w:rsidRDefault="00022E0F" w:rsidP="00022E0F">
      <w:pPr>
        <w:spacing w:line="360" w:lineRule="auto"/>
        <w:contextualSpacing/>
        <w:jc w:val="both"/>
        <w:rPr>
          <w:rFonts w:ascii="Times New Roman" w:hAnsi="Times New Roman" w:cs="Times New Roman"/>
          <w:sz w:val="24"/>
          <w:szCs w:val="24"/>
        </w:rPr>
      </w:pPr>
      <w:proofErr w:type="spellStart"/>
      <w:proofErr w:type="gramStart"/>
      <w:r w:rsidRPr="00344E55">
        <w:rPr>
          <w:rFonts w:ascii="Times New Roman" w:hAnsi="Times New Roman" w:cs="Times New Roman"/>
          <w:b/>
          <w:bCs/>
          <w:sz w:val="24"/>
          <w:szCs w:val="24"/>
        </w:rPr>
        <w:t>sefa</w:t>
      </w:r>
      <w:r w:rsidRPr="00344E55">
        <w:rPr>
          <w:rFonts w:ascii="Times New Roman" w:hAnsi="Times New Roman" w:cs="Times New Roman"/>
          <w:sz w:val="24"/>
          <w:szCs w:val="24"/>
        </w:rPr>
        <w:t>’s</w:t>
      </w:r>
      <w:proofErr w:type="spellEnd"/>
      <w:proofErr w:type="gramEnd"/>
      <w:r w:rsidRPr="00344E55">
        <w:rPr>
          <w:rFonts w:ascii="Times New Roman" w:hAnsi="Times New Roman" w:cs="Times New Roman"/>
          <w:sz w:val="24"/>
          <w:szCs w:val="24"/>
        </w:rPr>
        <w:t xml:space="preserve"> operations are governed and guided by a wide range of legislative requirements and government policies. The following are the key legislative instruments and government policies that inform </w:t>
      </w:r>
      <w:proofErr w:type="spellStart"/>
      <w:r w:rsidRPr="00344E55">
        <w:rPr>
          <w:rFonts w:ascii="Times New Roman" w:hAnsi="Times New Roman" w:cs="Times New Roman"/>
          <w:b/>
          <w:bCs/>
          <w:sz w:val="24"/>
          <w:szCs w:val="24"/>
        </w:rPr>
        <w:t>sefa</w:t>
      </w:r>
      <w:r w:rsidRPr="00344E55">
        <w:rPr>
          <w:rFonts w:ascii="Times New Roman" w:hAnsi="Times New Roman" w:cs="Times New Roman"/>
          <w:sz w:val="24"/>
          <w:szCs w:val="24"/>
        </w:rPr>
        <w:t>’s</w:t>
      </w:r>
      <w:proofErr w:type="spellEnd"/>
      <w:r w:rsidRPr="00344E55">
        <w:rPr>
          <w:rFonts w:ascii="Times New Roman" w:hAnsi="Times New Roman" w:cs="Times New Roman"/>
          <w:sz w:val="24"/>
          <w:szCs w:val="24"/>
        </w:rPr>
        <w:t xml:space="preserve"> strategy and operational plans:-</w:t>
      </w:r>
    </w:p>
    <w:p w14:paraId="02FCB985" w14:textId="77777777" w:rsidR="00022E0F" w:rsidRPr="00344E55" w:rsidRDefault="00022E0F" w:rsidP="00022E0F">
      <w:pPr>
        <w:spacing w:line="360" w:lineRule="auto"/>
        <w:contextualSpacing/>
        <w:jc w:val="both"/>
        <w:rPr>
          <w:rFonts w:ascii="Times New Roman" w:hAnsi="Times New Roman" w:cs="Times New Roman"/>
          <w:sz w:val="24"/>
          <w:szCs w:val="24"/>
        </w:rPr>
      </w:pPr>
    </w:p>
    <w:p w14:paraId="3465E28F" w14:textId="77777777" w:rsidR="00022E0F" w:rsidRPr="00344E55" w:rsidRDefault="00022E0F" w:rsidP="00022E0F">
      <w:pPr>
        <w:spacing w:line="24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Table 1</w:t>
      </w:r>
      <w:r w:rsidR="00C90449" w:rsidRPr="00344E55">
        <w:rPr>
          <w:rFonts w:ascii="Times New Roman" w:hAnsi="Times New Roman" w:cs="Times New Roman"/>
          <w:b/>
          <w:sz w:val="24"/>
          <w:szCs w:val="24"/>
        </w:rPr>
        <w:t>1</w:t>
      </w:r>
      <w:r w:rsidRPr="00344E55">
        <w:rPr>
          <w:rFonts w:ascii="Times New Roman" w:hAnsi="Times New Roman" w:cs="Times New Roman"/>
          <w:b/>
          <w:sz w:val="24"/>
          <w:szCs w:val="24"/>
        </w:rPr>
        <w:t xml:space="preserve">: </w:t>
      </w:r>
      <w:r w:rsidR="00FB3A98" w:rsidRPr="00344E55">
        <w:rPr>
          <w:rFonts w:ascii="Times New Roman" w:hAnsi="Times New Roman" w:cs="Times New Roman"/>
          <w:b/>
          <w:sz w:val="24"/>
          <w:szCs w:val="24"/>
        </w:rPr>
        <w:t>Applicable Legislations</w:t>
      </w:r>
    </w:p>
    <w:tbl>
      <w:tblPr>
        <w:tblStyle w:val="TableGrid"/>
        <w:tblW w:w="0" w:type="auto"/>
        <w:tblLook w:val="04A0" w:firstRow="1" w:lastRow="0" w:firstColumn="1" w:lastColumn="0" w:noHBand="0" w:noVBand="1"/>
      </w:tblPr>
      <w:tblGrid>
        <w:gridCol w:w="3060"/>
        <w:gridCol w:w="5421"/>
      </w:tblGrid>
      <w:tr w:rsidR="00022E0F" w:rsidRPr="00344E55" w14:paraId="0289ADB3" w14:textId="77777777" w:rsidTr="00022E0F">
        <w:tc>
          <w:tcPr>
            <w:tcW w:w="3060" w:type="dxa"/>
            <w:shd w:val="clear" w:color="auto" w:fill="92D050"/>
          </w:tcPr>
          <w:p w14:paraId="43B1471E" w14:textId="77777777" w:rsidR="00022E0F" w:rsidRPr="00344E55" w:rsidRDefault="00022E0F" w:rsidP="00022E0F">
            <w:pPr>
              <w:spacing w:line="360" w:lineRule="auto"/>
              <w:contextualSpacing/>
              <w:rPr>
                <w:b/>
                <w:sz w:val="24"/>
                <w:szCs w:val="24"/>
              </w:rPr>
            </w:pPr>
            <w:r w:rsidRPr="00344E55">
              <w:rPr>
                <w:b/>
                <w:sz w:val="24"/>
                <w:szCs w:val="24"/>
              </w:rPr>
              <w:t>National Legislation</w:t>
            </w:r>
          </w:p>
        </w:tc>
        <w:tc>
          <w:tcPr>
            <w:tcW w:w="5421" w:type="dxa"/>
            <w:shd w:val="clear" w:color="auto" w:fill="92D050"/>
          </w:tcPr>
          <w:p w14:paraId="0302191A" w14:textId="77777777" w:rsidR="00022E0F" w:rsidRPr="00344E55" w:rsidRDefault="00022E0F" w:rsidP="00022E0F">
            <w:pPr>
              <w:spacing w:line="360" w:lineRule="auto"/>
              <w:contextualSpacing/>
              <w:rPr>
                <w:b/>
                <w:sz w:val="24"/>
                <w:szCs w:val="24"/>
              </w:rPr>
            </w:pPr>
            <w:r w:rsidRPr="00344E55">
              <w:rPr>
                <w:b/>
                <w:sz w:val="24"/>
                <w:szCs w:val="24"/>
              </w:rPr>
              <w:t>Government Policy/Strategies</w:t>
            </w:r>
          </w:p>
        </w:tc>
      </w:tr>
      <w:tr w:rsidR="00022E0F" w:rsidRPr="00344E55" w14:paraId="0EE1A5FA" w14:textId="77777777" w:rsidTr="00022E0F">
        <w:tc>
          <w:tcPr>
            <w:tcW w:w="3060" w:type="dxa"/>
          </w:tcPr>
          <w:p w14:paraId="76D968CB" w14:textId="77777777" w:rsidR="00022E0F" w:rsidRPr="00344E55" w:rsidRDefault="00022E0F" w:rsidP="00022E0F">
            <w:pPr>
              <w:pStyle w:val="Default"/>
              <w:spacing w:line="360" w:lineRule="auto"/>
              <w:contextualSpacing/>
              <w:rPr>
                <w:color w:val="auto"/>
              </w:rPr>
            </w:pPr>
            <w:r w:rsidRPr="00344E55">
              <w:rPr>
                <w:color w:val="auto"/>
              </w:rPr>
              <w:t xml:space="preserve">Industrial Development Corporation Act </w:t>
            </w:r>
          </w:p>
          <w:p w14:paraId="0D963080" w14:textId="77777777" w:rsidR="00022E0F" w:rsidRPr="00344E55" w:rsidRDefault="00022E0F" w:rsidP="00022E0F">
            <w:pPr>
              <w:spacing w:line="360" w:lineRule="auto"/>
              <w:contextualSpacing/>
              <w:rPr>
                <w:sz w:val="24"/>
                <w:szCs w:val="24"/>
              </w:rPr>
            </w:pPr>
          </w:p>
        </w:tc>
        <w:tc>
          <w:tcPr>
            <w:tcW w:w="5421" w:type="dxa"/>
          </w:tcPr>
          <w:p w14:paraId="55CF5AF7" w14:textId="77777777" w:rsidR="00022E0F" w:rsidRPr="00344E55" w:rsidRDefault="00022E0F" w:rsidP="00022E0F">
            <w:pPr>
              <w:spacing w:line="360" w:lineRule="auto"/>
              <w:contextualSpacing/>
              <w:rPr>
                <w:sz w:val="24"/>
                <w:szCs w:val="24"/>
              </w:rPr>
            </w:pPr>
            <w:r w:rsidRPr="00344E55">
              <w:rPr>
                <w:sz w:val="24"/>
                <w:szCs w:val="24"/>
              </w:rPr>
              <w:t>White Paper on National Strategy for the Development and Promotion of Small Business in South Africa (1995)</w:t>
            </w:r>
          </w:p>
        </w:tc>
      </w:tr>
      <w:tr w:rsidR="00022E0F" w:rsidRPr="00344E55" w14:paraId="6036C614" w14:textId="77777777" w:rsidTr="00022E0F">
        <w:tc>
          <w:tcPr>
            <w:tcW w:w="3060" w:type="dxa"/>
          </w:tcPr>
          <w:p w14:paraId="01A91F0C" w14:textId="77777777" w:rsidR="00022E0F" w:rsidRPr="00344E55" w:rsidRDefault="00022E0F" w:rsidP="00022E0F">
            <w:pPr>
              <w:pStyle w:val="Default"/>
              <w:spacing w:line="360" w:lineRule="auto"/>
              <w:contextualSpacing/>
              <w:rPr>
                <w:color w:val="auto"/>
              </w:rPr>
            </w:pPr>
            <w:r w:rsidRPr="00344E55">
              <w:rPr>
                <w:color w:val="auto"/>
              </w:rPr>
              <w:t xml:space="preserve">National Small Business Act (1996) as amended in 2004 </w:t>
            </w:r>
          </w:p>
        </w:tc>
        <w:tc>
          <w:tcPr>
            <w:tcW w:w="5421" w:type="dxa"/>
          </w:tcPr>
          <w:p w14:paraId="5018BDD0" w14:textId="77777777" w:rsidR="00022E0F" w:rsidRPr="00344E55" w:rsidRDefault="00022E0F" w:rsidP="00022E0F">
            <w:pPr>
              <w:pStyle w:val="Default"/>
              <w:spacing w:line="360" w:lineRule="auto"/>
              <w:contextualSpacing/>
              <w:rPr>
                <w:color w:val="auto"/>
              </w:rPr>
            </w:pPr>
            <w:r w:rsidRPr="00344E55">
              <w:rPr>
                <w:color w:val="auto"/>
              </w:rPr>
              <w:t xml:space="preserve">Integrated Small Enterprise Development Strategy (2004) </w:t>
            </w:r>
          </w:p>
        </w:tc>
      </w:tr>
      <w:tr w:rsidR="00022E0F" w:rsidRPr="00344E55" w14:paraId="7CAC64F4" w14:textId="77777777" w:rsidTr="00022E0F">
        <w:tc>
          <w:tcPr>
            <w:tcW w:w="3060" w:type="dxa"/>
          </w:tcPr>
          <w:p w14:paraId="3059D9B0" w14:textId="77777777" w:rsidR="00022E0F" w:rsidRPr="00344E55" w:rsidRDefault="00022E0F" w:rsidP="00022E0F">
            <w:pPr>
              <w:spacing w:line="360" w:lineRule="auto"/>
              <w:contextualSpacing/>
              <w:rPr>
                <w:sz w:val="24"/>
                <w:szCs w:val="24"/>
              </w:rPr>
            </w:pPr>
            <w:r w:rsidRPr="00344E55">
              <w:rPr>
                <w:sz w:val="24"/>
                <w:szCs w:val="24"/>
              </w:rPr>
              <w:t>National Credit Act</w:t>
            </w:r>
          </w:p>
        </w:tc>
        <w:tc>
          <w:tcPr>
            <w:tcW w:w="5421" w:type="dxa"/>
          </w:tcPr>
          <w:p w14:paraId="02010869" w14:textId="77777777" w:rsidR="00022E0F" w:rsidRPr="00344E55" w:rsidRDefault="00022E0F" w:rsidP="00022E0F">
            <w:pPr>
              <w:spacing w:line="360" w:lineRule="auto"/>
              <w:contextualSpacing/>
              <w:rPr>
                <w:sz w:val="24"/>
                <w:szCs w:val="24"/>
              </w:rPr>
            </w:pPr>
            <w:r w:rsidRPr="00344E55">
              <w:rPr>
                <w:sz w:val="24"/>
                <w:szCs w:val="24"/>
              </w:rPr>
              <w:t>2011 State Owned Enterprise (SOE) Presidential Review</w:t>
            </w:r>
          </w:p>
        </w:tc>
      </w:tr>
      <w:tr w:rsidR="00022E0F" w:rsidRPr="00344E55" w14:paraId="6491460A" w14:textId="77777777" w:rsidTr="00022E0F">
        <w:tc>
          <w:tcPr>
            <w:tcW w:w="3060" w:type="dxa"/>
          </w:tcPr>
          <w:p w14:paraId="7CA9E96A" w14:textId="77777777" w:rsidR="00022E0F" w:rsidRPr="00344E55" w:rsidRDefault="00022E0F" w:rsidP="00022E0F">
            <w:pPr>
              <w:spacing w:line="360" w:lineRule="auto"/>
              <w:contextualSpacing/>
              <w:rPr>
                <w:sz w:val="24"/>
                <w:szCs w:val="24"/>
              </w:rPr>
            </w:pPr>
            <w:r w:rsidRPr="00344E55">
              <w:rPr>
                <w:sz w:val="24"/>
                <w:szCs w:val="24"/>
              </w:rPr>
              <w:t>Financial Intelligence Centre Act (FICA)</w:t>
            </w:r>
          </w:p>
        </w:tc>
        <w:tc>
          <w:tcPr>
            <w:tcW w:w="5421" w:type="dxa"/>
          </w:tcPr>
          <w:p w14:paraId="1D6C7355" w14:textId="77777777" w:rsidR="00022E0F" w:rsidRPr="00344E55" w:rsidRDefault="00022E0F" w:rsidP="00022E0F">
            <w:pPr>
              <w:spacing w:line="360" w:lineRule="auto"/>
              <w:contextualSpacing/>
              <w:rPr>
                <w:sz w:val="24"/>
                <w:szCs w:val="24"/>
              </w:rPr>
            </w:pPr>
            <w:r w:rsidRPr="00344E55">
              <w:rPr>
                <w:sz w:val="24"/>
                <w:szCs w:val="24"/>
              </w:rPr>
              <w:t>New Growth Path (NGP)</w:t>
            </w:r>
          </w:p>
        </w:tc>
      </w:tr>
      <w:tr w:rsidR="00022E0F" w:rsidRPr="00344E55" w14:paraId="2AB0D01F" w14:textId="77777777" w:rsidTr="00022E0F">
        <w:tc>
          <w:tcPr>
            <w:tcW w:w="3060" w:type="dxa"/>
          </w:tcPr>
          <w:p w14:paraId="3438D662" w14:textId="77777777" w:rsidR="00022E0F" w:rsidRPr="00344E55" w:rsidRDefault="00022E0F" w:rsidP="00022E0F">
            <w:pPr>
              <w:spacing w:line="360" w:lineRule="auto"/>
              <w:contextualSpacing/>
              <w:rPr>
                <w:sz w:val="24"/>
                <w:szCs w:val="24"/>
              </w:rPr>
            </w:pPr>
            <w:r w:rsidRPr="00344E55">
              <w:rPr>
                <w:sz w:val="24"/>
                <w:szCs w:val="24"/>
              </w:rPr>
              <w:t>Public Finance Management Act (1999, as amended)</w:t>
            </w:r>
          </w:p>
        </w:tc>
        <w:tc>
          <w:tcPr>
            <w:tcW w:w="5421" w:type="dxa"/>
          </w:tcPr>
          <w:p w14:paraId="038544E6" w14:textId="77777777" w:rsidR="00022E0F" w:rsidRPr="00344E55" w:rsidRDefault="00022E0F" w:rsidP="00022E0F">
            <w:pPr>
              <w:spacing w:line="360" w:lineRule="auto"/>
              <w:contextualSpacing/>
              <w:rPr>
                <w:sz w:val="24"/>
                <w:szCs w:val="24"/>
              </w:rPr>
            </w:pPr>
            <w:r w:rsidRPr="00344E55">
              <w:rPr>
                <w:sz w:val="24"/>
                <w:szCs w:val="24"/>
              </w:rPr>
              <w:t>Industrial Policy Action Plan (IPAP)</w:t>
            </w:r>
          </w:p>
        </w:tc>
      </w:tr>
      <w:tr w:rsidR="00022E0F" w:rsidRPr="00344E55" w14:paraId="7D257E67" w14:textId="77777777" w:rsidTr="00022E0F">
        <w:tc>
          <w:tcPr>
            <w:tcW w:w="3060" w:type="dxa"/>
          </w:tcPr>
          <w:p w14:paraId="5C2D0150" w14:textId="77777777" w:rsidR="00022E0F" w:rsidRPr="00344E55" w:rsidRDefault="00022E0F" w:rsidP="00022E0F">
            <w:pPr>
              <w:spacing w:line="360" w:lineRule="auto"/>
              <w:contextualSpacing/>
              <w:rPr>
                <w:sz w:val="24"/>
                <w:szCs w:val="24"/>
              </w:rPr>
            </w:pPr>
            <w:r w:rsidRPr="00344E55">
              <w:rPr>
                <w:sz w:val="24"/>
                <w:szCs w:val="24"/>
              </w:rPr>
              <w:t>Treasury Regulation 29.1.3 requirements</w:t>
            </w:r>
          </w:p>
        </w:tc>
        <w:tc>
          <w:tcPr>
            <w:tcW w:w="5421" w:type="dxa"/>
          </w:tcPr>
          <w:p w14:paraId="459841EA" w14:textId="77777777" w:rsidR="00022E0F" w:rsidRPr="00344E55" w:rsidRDefault="00022E0F" w:rsidP="00022E0F">
            <w:pPr>
              <w:spacing w:line="360" w:lineRule="auto"/>
              <w:contextualSpacing/>
              <w:rPr>
                <w:sz w:val="24"/>
                <w:szCs w:val="24"/>
              </w:rPr>
            </w:pPr>
            <w:r w:rsidRPr="00344E55">
              <w:rPr>
                <w:sz w:val="24"/>
                <w:szCs w:val="24"/>
              </w:rPr>
              <w:t>National Development Plan (NDP)</w:t>
            </w:r>
          </w:p>
        </w:tc>
      </w:tr>
      <w:tr w:rsidR="00022E0F" w:rsidRPr="00344E55" w14:paraId="1E55F14B" w14:textId="77777777" w:rsidTr="00022E0F">
        <w:tc>
          <w:tcPr>
            <w:tcW w:w="3060" w:type="dxa"/>
          </w:tcPr>
          <w:p w14:paraId="226F31CD" w14:textId="77777777" w:rsidR="00022E0F" w:rsidRPr="00344E55" w:rsidRDefault="00022E0F" w:rsidP="00022E0F">
            <w:pPr>
              <w:spacing w:line="360" w:lineRule="auto"/>
              <w:contextualSpacing/>
              <w:rPr>
                <w:sz w:val="24"/>
                <w:szCs w:val="24"/>
              </w:rPr>
            </w:pPr>
            <w:r w:rsidRPr="00344E55">
              <w:rPr>
                <w:sz w:val="24"/>
                <w:szCs w:val="24"/>
              </w:rPr>
              <w:t>Companies Act of 2011</w:t>
            </w:r>
          </w:p>
        </w:tc>
        <w:tc>
          <w:tcPr>
            <w:tcW w:w="5421" w:type="dxa"/>
          </w:tcPr>
          <w:p w14:paraId="1ED64D08" w14:textId="77777777" w:rsidR="00022E0F" w:rsidRPr="00344E55" w:rsidRDefault="00022E0F" w:rsidP="00022E0F">
            <w:pPr>
              <w:spacing w:line="360" w:lineRule="auto"/>
              <w:contextualSpacing/>
              <w:rPr>
                <w:sz w:val="24"/>
                <w:szCs w:val="24"/>
              </w:rPr>
            </w:pPr>
            <w:r w:rsidRPr="00344E55">
              <w:rPr>
                <w:sz w:val="24"/>
                <w:szCs w:val="24"/>
              </w:rPr>
              <w:t xml:space="preserve">Government’s Medium Term Strategic Framework (MTSF) -Outcome 4: Create Decent Employment </w:t>
            </w:r>
            <w:r w:rsidRPr="00344E55">
              <w:rPr>
                <w:sz w:val="24"/>
                <w:szCs w:val="24"/>
              </w:rPr>
              <w:lastRenderedPageBreak/>
              <w:t>Through Inclusive Growth</w:t>
            </w:r>
          </w:p>
        </w:tc>
      </w:tr>
      <w:tr w:rsidR="00022E0F" w:rsidRPr="00344E55" w14:paraId="4E6408FA" w14:textId="77777777" w:rsidTr="00022E0F">
        <w:tc>
          <w:tcPr>
            <w:tcW w:w="3060" w:type="dxa"/>
          </w:tcPr>
          <w:p w14:paraId="6216855D" w14:textId="77777777" w:rsidR="00022E0F" w:rsidRPr="00344E55" w:rsidRDefault="00022E0F" w:rsidP="00022E0F">
            <w:pPr>
              <w:spacing w:line="360" w:lineRule="auto"/>
              <w:contextualSpacing/>
              <w:rPr>
                <w:sz w:val="24"/>
                <w:szCs w:val="24"/>
              </w:rPr>
            </w:pPr>
            <w:r w:rsidRPr="00344E55">
              <w:rPr>
                <w:sz w:val="24"/>
                <w:szCs w:val="24"/>
              </w:rPr>
              <w:lastRenderedPageBreak/>
              <w:t>Co-operatives Amended Act</w:t>
            </w:r>
          </w:p>
        </w:tc>
        <w:tc>
          <w:tcPr>
            <w:tcW w:w="5421" w:type="dxa"/>
          </w:tcPr>
          <w:p w14:paraId="150726B1" w14:textId="77777777" w:rsidR="00022E0F" w:rsidRPr="00344E55" w:rsidRDefault="00022E0F" w:rsidP="00022E0F">
            <w:pPr>
              <w:spacing w:line="360" w:lineRule="auto"/>
              <w:contextualSpacing/>
              <w:rPr>
                <w:sz w:val="24"/>
                <w:szCs w:val="24"/>
              </w:rPr>
            </w:pPr>
          </w:p>
        </w:tc>
      </w:tr>
      <w:tr w:rsidR="00022E0F" w:rsidRPr="00344E55" w14:paraId="75FEDDCE" w14:textId="77777777" w:rsidTr="00022E0F">
        <w:tc>
          <w:tcPr>
            <w:tcW w:w="3060" w:type="dxa"/>
          </w:tcPr>
          <w:p w14:paraId="6EB92CE5" w14:textId="77777777" w:rsidR="00022E0F" w:rsidRPr="00344E55" w:rsidRDefault="00022E0F" w:rsidP="00022E0F">
            <w:pPr>
              <w:spacing w:line="360" w:lineRule="auto"/>
              <w:contextualSpacing/>
              <w:rPr>
                <w:sz w:val="24"/>
                <w:szCs w:val="24"/>
              </w:rPr>
            </w:pPr>
            <w:r w:rsidRPr="00344E55">
              <w:rPr>
                <w:sz w:val="24"/>
                <w:szCs w:val="24"/>
              </w:rPr>
              <w:t>Short Term Insurance Act</w:t>
            </w:r>
          </w:p>
        </w:tc>
        <w:tc>
          <w:tcPr>
            <w:tcW w:w="5421" w:type="dxa"/>
          </w:tcPr>
          <w:p w14:paraId="50FC315F" w14:textId="77777777" w:rsidR="00022E0F" w:rsidRPr="00344E55" w:rsidRDefault="00022E0F" w:rsidP="00022E0F">
            <w:pPr>
              <w:spacing w:line="360" w:lineRule="auto"/>
              <w:contextualSpacing/>
              <w:rPr>
                <w:sz w:val="24"/>
                <w:szCs w:val="24"/>
              </w:rPr>
            </w:pPr>
          </w:p>
        </w:tc>
      </w:tr>
      <w:tr w:rsidR="00022E0F" w:rsidRPr="00344E55" w14:paraId="6CE4CD5A" w14:textId="77777777" w:rsidTr="00022E0F">
        <w:tc>
          <w:tcPr>
            <w:tcW w:w="3060" w:type="dxa"/>
          </w:tcPr>
          <w:p w14:paraId="4D900EF0" w14:textId="77777777" w:rsidR="00022E0F" w:rsidRPr="00344E55" w:rsidRDefault="00022E0F" w:rsidP="00022E0F">
            <w:pPr>
              <w:spacing w:line="360" w:lineRule="auto"/>
              <w:contextualSpacing/>
              <w:rPr>
                <w:sz w:val="24"/>
                <w:szCs w:val="24"/>
              </w:rPr>
            </w:pPr>
            <w:r w:rsidRPr="00344E55">
              <w:rPr>
                <w:sz w:val="24"/>
                <w:szCs w:val="24"/>
              </w:rPr>
              <w:t>Consumer Protection Act, 2008</w:t>
            </w:r>
          </w:p>
        </w:tc>
        <w:tc>
          <w:tcPr>
            <w:tcW w:w="5421" w:type="dxa"/>
          </w:tcPr>
          <w:p w14:paraId="2A99E4A1" w14:textId="77777777" w:rsidR="00022E0F" w:rsidRPr="00344E55" w:rsidRDefault="00022E0F" w:rsidP="00022E0F">
            <w:pPr>
              <w:spacing w:line="360" w:lineRule="auto"/>
              <w:contextualSpacing/>
              <w:rPr>
                <w:sz w:val="24"/>
                <w:szCs w:val="24"/>
              </w:rPr>
            </w:pPr>
          </w:p>
        </w:tc>
      </w:tr>
      <w:tr w:rsidR="00022E0F" w:rsidRPr="00344E55" w14:paraId="0C35B07B" w14:textId="77777777" w:rsidTr="00022E0F">
        <w:tc>
          <w:tcPr>
            <w:tcW w:w="3060" w:type="dxa"/>
          </w:tcPr>
          <w:p w14:paraId="20A6DFDF" w14:textId="77777777" w:rsidR="00022E0F" w:rsidRPr="00344E55" w:rsidRDefault="00022E0F" w:rsidP="00022E0F">
            <w:pPr>
              <w:spacing w:line="360" w:lineRule="auto"/>
              <w:contextualSpacing/>
              <w:rPr>
                <w:sz w:val="24"/>
                <w:szCs w:val="24"/>
              </w:rPr>
            </w:pPr>
            <w:r w:rsidRPr="00344E55">
              <w:rPr>
                <w:sz w:val="24"/>
                <w:szCs w:val="24"/>
              </w:rPr>
              <w:t>Promotion of Access to Information Act, 2000</w:t>
            </w:r>
          </w:p>
        </w:tc>
        <w:tc>
          <w:tcPr>
            <w:tcW w:w="5421" w:type="dxa"/>
          </w:tcPr>
          <w:p w14:paraId="3CE73053" w14:textId="77777777" w:rsidR="00022E0F" w:rsidRPr="00344E55" w:rsidRDefault="00022E0F" w:rsidP="00022E0F">
            <w:pPr>
              <w:spacing w:line="360" w:lineRule="auto"/>
              <w:contextualSpacing/>
              <w:rPr>
                <w:sz w:val="24"/>
                <w:szCs w:val="24"/>
              </w:rPr>
            </w:pPr>
          </w:p>
        </w:tc>
      </w:tr>
    </w:tbl>
    <w:p w14:paraId="02C00760" w14:textId="77777777" w:rsidR="00022E0F" w:rsidRPr="00344E55" w:rsidRDefault="00022E0F" w:rsidP="00F66DFC">
      <w:pPr>
        <w:spacing w:line="240" w:lineRule="auto"/>
        <w:contextualSpacing/>
        <w:rPr>
          <w:rFonts w:ascii="Times New Roman" w:hAnsi="Times New Roman" w:cs="Times New Roman"/>
          <w:b/>
          <w:sz w:val="24"/>
          <w:szCs w:val="24"/>
        </w:rPr>
      </w:pPr>
      <w:r w:rsidRPr="00344E55">
        <w:rPr>
          <w:rFonts w:ascii="Times New Roman" w:hAnsi="Times New Roman" w:cs="Times New Roman"/>
          <w:b/>
          <w:sz w:val="24"/>
          <w:szCs w:val="24"/>
        </w:rPr>
        <w:t xml:space="preserve">Source: </w:t>
      </w:r>
      <w:proofErr w:type="spellStart"/>
      <w:r w:rsidRPr="00344E55">
        <w:rPr>
          <w:rFonts w:ascii="Times New Roman" w:hAnsi="Times New Roman" w:cs="Times New Roman"/>
          <w:b/>
          <w:sz w:val="24"/>
          <w:szCs w:val="24"/>
        </w:rPr>
        <w:t>sefa</w:t>
      </w:r>
      <w:proofErr w:type="spellEnd"/>
      <w:r w:rsidRPr="00344E55">
        <w:rPr>
          <w:rFonts w:ascii="Times New Roman" w:hAnsi="Times New Roman" w:cs="Times New Roman"/>
          <w:b/>
          <w:sz w:val="24"/>
          <w:szCs w:val="24"/>
        </w:rPr>
        <w:t xml:space="preserve"> </w:t>
      </w:r>
      <w:r w:rsidR="00F66DFC" w:rsidRPr="00344E55">
        <w:rPr>
          <w:rFonts w:ascii="Times New Roman" w:hAnsi="Times New Roman" w:cs="Times New Roman"/>
          <w:b/>
          <w:sz w:val="24"/>
          <w:szCs w:val="24"/>
        </w:rPr>
        <w:t>APP 2018/19</w:t>
      </w:r>
    </w:p>
    <w:p w14:paraId="1BE79331" w14:textId="77777777" w:rsidR="00022E0F" w:rsidRPr="00344E55" w:rsidRDefault="00022E0F" w:rsidP="00022E0F">
      <w:pPr>
        <w:spacing w:line="360" w:lineRule="auto"/>
        <w:contextualSpacing/>
        <w:jc w:val="both"/>
        <w:rPr>
          <w:rFonts w:ascii="Times New Roman" w:hAnsi="Times New Roman" w:cs="Times New Roman"/>
          <w:sz w:val="24"/>
          <w:szCs w:val="24"/>
        </w:rPr>
      </w:pPr>
    </w:p>
    <w:p w14:paraId="1E0683D1" w14:textId="77777777" w:rsidR="005200EB" w:rsidRPr="00344E55" w:rsidRDefault="00471C7A" w:rsidP="001D130E">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11</w:t>
      </w:r>
      <w:r w:rsidR="00022E0F" w:rsidRPr="00344E55">
        <w:rPr>
          <w:rFonts w:ascii="Times New Roman" w:hAnsi="Times New Roman" w:cs="Times New Roman"/>
          <w:b/>
          <w:sz w:val="24"/>
          <w:szCs w:val="24"/>
        </w:rPr>
        <w:t>.</w:t>
      </w:r>
      <w:r w:rsidR="00022E0F" w:rsidRPr="00344E55">
        <w:rPr>
          <w:rFonts w:ascii="Times New Roman" w:hAnsi="Times New Roman" w:cs="Times New Roman"/>
          <w:b/>
          <w:sz w:val="24"/>
          <w:szCs w:val="24"/>
        </w:rPr>
        <w:tab/>
        <w:t>SEFA STRATEGIC PILLARS</w:t>
      </w:r>
    </w:p>
    <w:p w14:paraId="7AFB9834" w14:textId="77777777" w:rsidR="005200EB" w:rsidRPr="00344E55" w:rsidRDefault="005200EB" w:rsidP="001D130E">
      <w:pPr>
        <w:spacing w:line="360" w:lineRule="auto"/>
        <w:contextualSpacing/>
        <w:jc w:val="both"/>
        <w:rPr>
          <w:rFonts w:ascii="Times New Roman" w:hAnsi="Times New Roman" w:cs="Times New Roman"/>
          <w:b/>
          <w:sz w:val="24"/>
          <w:szCs w:val="24"/>
        </w:rPr>
      </w:pPr>
    </w:p>
    <w:p w14:paraId="210AF456" w14:textId="77777777" w:rsidR="005200EB" w:rsidRPr="00344E55" w:rsidRDefault="005200EB" w:rsidP="001D130E">
      <w:pPr>
        <w:spacing w:line="360" w:lineRule="auto"/>
        <w:contextualSpacing/>
        <w:jc w:val="both"/>
        <w:rPr>
          <w:rFonts w:ascii="Times New Roman" w:hAnsi="Times New Roman" w:cs="Times New Roman"/>
          <w:b/>
          <w:bCs/>
          <w:sz w:val="24"/>
          <w:szCs w:val="24"/>
        </w:rPr>
      </w:pPr>
      <w:r w:rsidRPr="00344E55">
        <w:rPr>
          <w:rFonts w:ascii="Times New Roman" w:hAnsi="Times New Roman" w:cs="Times New Roman"/>
          <w:b/>
          <w:bCs/>
          <w:sz w:val="24"/>
          <w:szCs w:val="24"/>
        </w:rPr>
        <w:t>Vision</w:t>
      </w:r>
    </w:p>
    <w:p w14:paraId="3C4C3B05" w14:textId="77777777" w:rsidR="005200EB" w:rsidRPr="00344E55" w:rsidRDefault="005200EB" w:rsidP="001D130E">
      <w:pPr>
        <w:spacing w:line="360" w:lineRule="auto"/>
        <w:contextualSpacing/>
        <w:jc w:val="both"/>
        <w:rPr>
          <w:rFonts w:ascii="Times New Roman" w:hAnsi="Times New Roman" w:cs="Times New Roman"/>
          <w:sz w:val="24"/>
          <w:szCs w:val="24"/>
        </w:rPr>
      </w:pPr>
      <w:proofErr w:type="gramStart"/>
      <w:r w:rsidRPr="00344E55">
        <w:rPr>
          <w:rFonts w:ascii="Times New Roman" w:hAnsi="Times New Roman" w:cs="Times New Roman"/>
          <w:sz w:val="24"/>
          <w:szCs w:val="24"/>
        </w:rPr>
        <w:t>To be the leading catalyst for the development of sustainable small, micro, medium and co-operative enterprises through the provision of finance.</w:t>
      </w:r>
      <w:proofErr w:type="gramEnd"/>
    </w:p>
    <w:p w14:paraId="5380F5FF" w14:textId="77777777" w:rsidR="005200EB" w:rsidRPr="00344E55" w:rsidRDefault="005200EB" w:rsidP="001D130E">
      <w:pPr>
        <w:spacing w:line="360" w:lineRule="auto"/>
        <w:contextualSpacing/>
        <w:jc w:val="both"/>
        <w:rPr>
          <w:rFonts w:ascii="Times New Roman" w:hAnsi="Times New Roman" w:cs="Times New Roman"/>
          <w:b/>
          <w:sz w:val="24"/>
          <w:szCs w:val="24"/>
        </w:rPr>
      </w:pPr>
    </w:p>
    <w:p w14:paraId="156A26E8" w14:textId="77777777" w:rsidR="005200EB" w:rsidRPr="00344E55" w:rsidRDefault="005200EB" w:rsidP="001D130E">
      <w:pPr>
        <w:spacing w:line="360" w:lineRule="auto"/>
        <w:contextualSpacing/>
        <w:jc w:val="both"/>
        <w:rPr>
          <w:rFonts w:ascii="Times New Roman" w:hAnsi="Times New Roman" w:cs="Times New Roman"/>
          <w:b/>
          <w:bCs/>
          <w:sz w:val="24"/>
          <w:szCs w:val="24"/>
        </w:rPr>
      </w:pPr>
      <w:r w:rsidRPr="00344E55">
        <w:rPr>
          <w:rFonts w:ascii="Times New Roman" w:hAnsi="Times New Roman" w:cs="Times New Roman"/>
          <w:b/>
          <w:bCs/>
          <w:sz w:val="24"/>
          <w:szCs w:val="24"/>
        </w:rPr>
        <w:t>Mission</w:t>
      </w:r>
    </w:p>
    <w:p w14:paraId="24636202" w14:textId="77777777" w:rsidR="005200EB" w:rsidRPr="00344E55" w:rsidRDefault="005200EB" w:rsidP="00F66DFC">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To provide simple access to finance in an efficient and sustainable manner to small, micro, medium and co-operative enterprises throughout South Africa by: -</w:t>
      </w:r>
    </w:p>
    <w:p w14:paraId="13B3A465" w14:textId="77777777" w:rsidR="005200EB" w:rsidRPr="00344E55" w:rsidRDefault="005200EB" w:rsidP="00F66DFC">
      <w:pPr>
        <w:numPr>
          <w:ilvl w:val="0"/>
          <w:numId w:val="2"/>
        </w:numPr>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Providing loan and credit facilities to SMMEs and co-operative enterprises;</w:t>
      </w:r>
    </w:p>
    <w:p w14:paraId="6DB67CF9" w14:textId="77777777" w:rsidR="005200EB" w:rsidRPr="00344E55" w:rsidRDefault="005200EB" w:rsidP="00F66DFC">
      <w:pPr>
        <w:numPr>
          <w:ilvl w:val="0"/>
          <w:numId w:val="2"/>
        </w:numPr>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Providing credit guarantees to SMMEs and co-operatives;</w:t>
      </w:r>
    </w:p>
    <w:p w14:paraId="0CE544D6" w14:textId="77777777" w:rsidR="005200EB" w:rsidRPr="00344E55" w:rsidRDefault="005200EB" w:rsidP="00F66DFC">
      <w:pPr>
        <w:numPr>
          <w:ilvl w:val="0"/>
          <w:numId w:val="2"/>
        </w:numPr>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Creating strategic partnerships with a range of institutions for sustainable SMMEs and co-operative enterprise development and support;</w:t>
      </w:r>
    </w:p>
    <w:p w14:paraId="528E7A44" w14:textId="77777777" w:rsidR="005200EB" w:rsidRPr="00344E55" w:rsidRDefault="005200EB" w:rsidP="00F66DFC">
      <w:pPr>
        <w:numPr>
          <w:ilvl w:val="0"/>
          <w:numId w:val="2"/>
        </w:numPr>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Developing, through partnerships, innovative finance products, tools and channels to catalyse increased market participation in the provision of affordable finance.</w:t>
      </w:r>
    </w:p>
    <w:p w14:paraId="3EF56935" w14:textId="77777777" w:rsidR="005200EB" w:rsidRPr="00344E55" w:rsidRDefault="005200EB" w:rsidP="001D130E">
      <w:pPr>
        <w:spacing w:line="360" w:lineRule="auto"/>
        <w:contextualSpacing/>
        <w:jc w:val="both"/>
        <w:rPr>
          <w:rFonts w:ascii="Times New Roman" w:hAnsi="Times New Roman" w:cs="Times New Roman"/>
          <w:b/>
          <w:sz w:val="24"/>
          <w:szCs w:val="24"/>
        </w:rPr>
      </w:pPr>
    </w:p>
    <w:p w14:paraId="67D1DC4F" w14:textId="77777777" w:rsidR="005200EB" w:rsidRPr="00344E55" w:rsidRDefault="005200EB" w:rsidP="001D130E">
      <w:pPr>
        <w:spacing w:line="360" w:lineRule="auto"/>
        <w:contextualSpacing/>
        <w:jc w:val="both"/>
        <w:rPr>
          <w:rFonts w:ascii="Times New Roman" w:hAnsi="Times New Roman" w:cs="Times New Roman"/>
          <w:b/>
          <w:bCs/>
          <w:sz w:val="24"/>
          <w:szCs w:val="24"/>
        </w:rPr>
      </w:pPr>
      <w:r w:rsidRPr="00344E55">
        <w:rPr>
          <w:rFonts w:ascii="Times New Roman" w:hAnsi="Times New Roman" w:cs="Times New Roman"/>
          <w:b/>
          <w:bCs/>
          <w:sz w:val="24"/>
          <w:szCs w:val="24"/>
        </w:rPr>
        <w:t>Values</w:t>
      </w:r>
    </w:p>
    <w:p w14:paraId="78FDBC88" w14:textId="77777777" w:rsidR="005200EB" w:rsidRPr="00344E55" w:rsidRDefault="005200EB" w:rsidP="00F66DFC">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SEFAs values and guiding principles to deepen institutional culture and organisational cohesion are: -</w:t>
      </w:r>
    </w:p>
    <w:p w14:paraId="39369495" w14:textId="77777777" w:rsidR="005200EB" w:rsidRPr="00344E55" w:rsidRDefault="005200EB" w:rsidP="00F80D2E">
      <w:pPr>
        <w:pStyle w:val="ListParagraph"/>
        <w:numPr>
          <w:ilvl w:val="0"/>
          <w:numId w:val="10"/>
        </w:numPr>
        <w:spacing w:line="360" w:lineRule="auto"/>
        <w:jc w:val="both"/>
      </w:pPr>
      <w:proofErr w:type="spellStart"/>
      <w:r w:rsidRPr="00344E55">
        <w:rPr>
          <w:bCs/>
        </w:rPr>
        <w:t>Kuyasheshwa</w:t>
      </w:r>
      <w:proofErr w:type="spellEnd"/>
      <w:r w:rsidRPr="00344E55">
        <w:rPr>
          <w:bCs/>
        </w:rPr>
        <w:t>:</w:t>
      </w:r>
      <w:r w:rsidRPr="00344E55">
        <w:t xml:space="preserve"> We act with speed and urgency;</w:t>
      </w:r>
    </w:p>
    <w:p w14:paraId="7DEEF69C" w14:textId="77777777" w:rsidR="005200EB" w:rsidRPr="00344E55" w:rsidRDefault="005200EB" w:rsidP="00F80D2E">
      <w:pPr>
        <w:pStyle w:val="ListParagraph"/>
        <w:numPr>
          <w:ilvl w:val="0"/>
          <w:numId w:val="10"/>
        </w:numPr>
        <w:spacing w:line="360" w:lineRule="auto"/>
        <w:jc w:val="both"/>
      </w:pPr>
      <w:r w:rsidRPr="00344E55">
        <w:rPr>
          <w:bCs/>
        </w:rPr>
        <w:t>Passion for development:</w:t>
      </w:r>
      <w:r w:rsidRPr="00344E55">
        <w:t xml:space="preserve"> Solution-driven attitude, commitment to serve;</w:t>
      </w:r>
    </w:p>
    <w:p w14:paraId="5377C0BF" w14:textId="77777777" w:rsidR="005200EB" w:rsidRPr="00344E55" w:rsidRDefault="005200EB" w:rsidP="00F80D2E">
      <w:pPr>
        <w:pStyle w:val="ListParagraph"/>
        <w:numPr>
          <w:ilvl w:val="0"/>
          <w:numId w:val="10"/>
        </w:numPr>
        <w:spacing w:line="360" w:lineRule="auto"/>
        <w:jc w:val="both"/>
      </w:pPr>
      <w:r w:rsidRPr="00344E55">
        <w:rPr>
          <w:bCs/>
        </w:rPr>
        <w:t>Integrity:</w:t>
      </w:r>
      <w:r w:rsidRPr="00344E55">
        <w:t xml:space="preserve"> Dealing with clients and stakeholders in an honest and ethical manner;</w:t>
      </w:r>
    </w:p>
    <w:p w14:paraId="342A45D1" w14:textId="77777777" w:rsidR="005200EB" w:rsidRPr="00344E55" w:rsidRDefault="005200EB" w:rsidP="00F80D2E">
      <w:pPr>
        <w:pStyle w:val="ListParagraph"/>
        <w:numPr>
          <w:ilvl w:val="0"/>
          <w:numId w:val="10"/>
        </w:numPr>
        <w:spacing w:line="360" w:lineRule="auto"/>
        <w:jc w:val="both"/>
      </w:pPr>
      <w:r w:rsidRPr="00344E55">
        <w:rPr>
          <w:bCs/>
        </w:rPr>
        <w:t>Transparency:</w:t>
      </w:r>
      <w:r w:rsidRPr="00344E55">
        <w:t xml:space="preserve"> Ensuring compliance with the best practice on the dissemination and sharing of information with all stakeholders;</w:t>
      </w:r>
    </w:p>
    <w:p w14:paraId="54C52204" w14:textId="77777777" w:rsidR="005200EB" w:rsidRPr="00344E55" w:rsidRDefault="005200EB" w:rsidP="00F80D2E">
      <w:pPr>
        <w:pStyle w:val="ListParagraph"/>
        <w:numPr>
          <w:ilvl w:val="0"/>
          <w:numId w:val="10"/>
        </w:numPr>
        <w:spacing w:line="360" w:lineRule="auto"/>
        <w:jc w:val="both"/>
      </w:pPr>
      <w:r w:rsidRPr="00344E55">
        <w:rPr>
          <w:bCs/>
        </w:rPr>
        <w:lastRenderedPageBreak/>
        <w:t>Innovation:</w:t>
      </w:r>
      <w:r w:rsidRPr="00344E55">
        <w:t xml:space="preserve"> Continuously looking for better ways to serve our customers.</w:t>
      </w:r>
    </w:p>
    <w:p w14:paraId="29B6CB0C" w14:textId="77777777" w:rsidR="00F66DFC" w:rsidRPr="00344E55" w:rsidRDefault="00F66DFC" w:rsidP="00F66DFC">
      <w:pPr>
        <w:pStyle w:val="ListParagraph"/>
        <w:spacing w:line="360" w:lineRule="auto"/>
        <w:jc w:val="both"/>
      </w:pPr>
    </w:p>
    <w:p w14:paraId="64984BCC" w14:textId="77777777" w:rsidR="005200EB" w:rsidRPr="00344E55" w:rsidRDefault="005200EB" w:rsidP="00F66DFC">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Objectives</w:t>
      </w:r>
    </w:p>
    <w:p w14:paraId="41A0B30A" w14:textId="77777777" w:rsidR="005200EB" w:rsidRPr="00344E55" w:rsidRDefault="005200EB" w:rsidP="00F80D2E">
      <w:pPr>
        <w:pStyle w:val="ListParagraph"/>
        <w:numPr>
          <w:ilvl w:val="0"/>
          <w:numId w:val="9"/>
        </w:numPr>
        <w:spacing w:line="360" w:lineRule="auto"/>
        <w:jc w:val="both"/>
      </w:pPr>
      <w:r w:rsidRPr="00344E55">
        <w:t>Increase access and provision of finance to SMMEs and co-operatives and contribute towards job creation;</w:t>
      </w:r>
    </w:p>
    <w:p w14:paraId="4D016FFB" w14:textId="77777777" w:rsidR="005200EB" w:rsidRPr="00344E55" w:rsidRDefault="005200EB" w:rsidP="00F80D2E">
      <w:pPr>
        <w:pStyle w:val="ListParagraph"/>
        <w:numPr>
          <w:ilvl w:val="0"/>
          <w:numId w:val="9"/>
        </w:numPr>
        <w:spacing w:line="360" w:lineRule="auto"/>
        <w:jc w:val="both"/>
      </w:pPr>
      <w:r w:rsidRPr="00344E55">
        <w:t>Build an effective and efficient SEFA that is sustainable and performance driven.</w:t>
      </w:r>
    </w:p>
    <w:p w14:paraId="4B31D8DC" w14:textId="77777777" w:rsidR="005200EB" w:rsidRPr="00344E55" w:rsidRDefault="005200EB" w:rsidP="001D130E">
      <w:pPr>
        <w:spacing w:line="360" w:lineRule="auto"/>
        <w:contextualSpacing/>
        <w:jc w:val="both"/>
        <w:rPr>
          <w:rFonts w:ascii="Times New Roman" w:hAnsi="Times New Roman" w:cs="Times New Roman"/>
          <w:b/>
          <w:sz w:val="24"/>
          <w:szCs w:val="24"/>
        </w:rPr>
      </w:pPr>
    </w:p>
    <w:p w14:paraId="5259403F" w14:textId="77777777" w:rsidR="0075402A" w:rsidRPr="00344E55" w:rsidRDefault="006F6C2A" w:rsidP="00F9516D">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12</w:t>
      </w:r>
      <w:r w:rsidR="0075402A" w:rsidRPr="00344E55">
        <w:rPr>
          <w:rFonts w:ascii="Times New Roman" w:hAnsi="Times New Roman" w:cs="Times New Roman"/>
          <w:b/>
          <w:sz w:val="24"/>
          <w:szCs w:val="24"/>
        </w:rPr>
        <w:t>.</w:t>
      </w:r>
      <w:r w:rsidR="0075402A" w:rsidRPr="00344E55">
        <w:rPr>
          <w:rFonts w:ascii="Times New Roman" w:hAnsi="Times New Roman" w:cs="Times New Roman"/>
          <w:b/>
          <w:sz w:val="24"/>
          <w:szCs w:val="24"/>
        </w:rPr>
        <w:tab/>
      </w:r>
      <w:r w:rsidR="00F9516D" w:rsidRPr="00344E55">
        <w:rPr>
          <w:rFonts w:ascii="Times New Roman" w:hAnsi="Times New Roman" w:cs="Times New Roman"/>
          <w:b/>
          <w:sz w:val="24"/>
          <w:szCs w:val="24"/>
        </w:rPr>
        <w:t>KEY FOCUS AREAS 2019/20</w:t>
      </w:r>
    </w:p>
    <w:p w14:paraId="45027FF0" w14:textId="77777777" w:rsidR="00F9516D" w:rsidRPr="00344E55" w:rsidRDefault="00F9516D" w:rsidP="00F9516D">
      <w:pPr>
        <w:autoSpaceDE w:val="0"/>
        <w:autoSpaceDN w:val="0"/>
        <w:adjustRightInd w:val="0"/>
        <w:spacing w:after="215" w:line="360" w:lineRule="auto"/>
        <w:contextualSpacing/>
        <w:jc w:val="both"/>
        <w:rPr>
          <w:rFonts w:ascii="Times New Roman" w:hAnsi="Times New Roman" w:cs="Times New Roman"/>
          <w:sz w:val="24"/>
          <w:szCs w:val="24"/>
        </w:rPr>
      </w:pPr>
    </w:p>
    <w:p w14:paraId="0BF2E5DE" w14:textId="77777777" w:rsidR="00F9516D" w:rsidRPr="00344E55" w:rsidRDefault="00F9516D" w:rsidP="00F9516D">
      <w:pPr>
        <w:pStyle w:val="ListParagraph"/>
        <w:numPr>
          <w:ilvl w:val="0"/>
          <w:numId w:val="29"/>
        </w:numPr>
        <w:autoSpaceDE w:val="0"/>
        <w:autoSpaceDN w:val="0"/>
        <w:adjustRightInd w:val="0"/>
        <w:spacing w:after="215" w:line="360" w:lineRule="auto"/>
        <w:jc w:val="both"/>
      </w:pPr>
      <w:r w:rsidRPr="00344E55">
        <w:t xml:space="preserve">Scale up the development impact amongst SMMEs and Co-operatives using innovation and leverage while at the same time contributing to the sustainability of funded clients. To this extent </w:t>
      </w:r>
      <w:proofErr w:type="spellStart"/>
      <w:r w:rsidRPr="00344E55">
        <w:rPr>
          <w:b/>
          <w:bCs/>
        </w:rPr>
        <w:t>sefa</w:t>
      </w:r>
      <w:proofErr w:type="spellEnd"/>
      <w:r w:rsidRPr="00344E55">
        <w:rPr>
          <w:b/>
          <w:bCs/>
        </w:rPr>
        <w:t xml:space="preserve"> </w:t>
      </w:r>
      <w:r w:rsidRPr="00344E55">
        <w:t>will introduce a blended financing model in partnership with government and the private sector;</w:t>
      </w:r>
    </w:p>
    <w:p w14:paraId="00693AA9" w14:textId="77777777" w:rsidR="00F9516D" w:rsidRPr="00344E55" w:rsidRDefault="00F9516D" w:rsidP="00F9516D">
      <w:pPr>
        <w:pStyle w:val="ListParagraph"/>
        <w:numPr>
          <w:ilvl w:val="0"/>
          <w:numId w:val="29"/>
        </w:numPr>
        <w:autoSpaceDE w:val="0"/>
        <w:autoSpaceDN w:val="0"/>
        <w:adjustRightInd w:val="0"/>
        <w:spacing w:after="215" w:line="360" w:lineRule="auto"/>
        <w:jc w:val="both"/>
      </w:pPr>
      <w:r w:rsidRPr="00344E55">
        <w:t>Introduce target lending programmes in economic sectors identified in the June 2019 State of Nation Address for youth owned enterprises and enterprises located in townships and rural communities/villages;</w:t>
      </w:r>
    </w:p>
    <w:p w14:paraId="5FFC2408" w14:textId="77777777" w:rsidR="00F9516D" w:rsidRPr="00344E55" w:rsidRDefault="00F9516D" w:rsidP="00F9516D">
      <w:pPr>
        <w:pStyle w:val="ListParagraph"/>
        <w:numPr>
          <w:ilvl w:val="0"/>
          <w:numId w:val="29"/>
        </w:numPr>
        <w:autoSpaceDE w:val="0"/>
        <w:autoSpaceDN w:val="0"/>
        <w:adjustRightInd w:val="0"/>
        <w:spacing w:after="215" w:line="360" w:lineRule="auto"/>
        <w:jc w:val="both"/>
      </w:pPr>
      <w:r w:rsidRPr="00344E55">
        <w:t>Scale up and deepen the post-investment support by reducing impairments, improving collections and client sustainability;</w:t>
      </w:r>
    </w:p>
    <w:p w14:paraId="66FF416A" w14:textId="77777777" w:rsidR="00F9516D" w:rsidRPr="00344E55" w:rsidRDefault="00F9516D" w:rsidP="00F9516D">
      <w:pPr>
        <w:pStyle w:val="ListParagraph"/>
        <w:numPr>
          <w:ilvl w:val="0"/>
          <w:numId w:val="29"/>
        </w:numPr>
        <w:autoSpaceDE w:val="0"/>
        <w:autoSpaceDN w:val="0"/>
        <w:adjustRightInd w:val="0"/>
        <w:spacing w:after="215" w:line="360" w:lineRule="auto"/>
        <w:jc w:val="both"/>
      </w:pPr>
      <w:r w:rsidRPr="00344E55">
        <w:t>The repositioning of the Direct Lending program and the disposal of the Property portfolio;</w:t>
      </w:r>
    </w:p>
    <w:p w14:paraId="697D670E" w14:textId="77777777" w:rsidR="00F9516D" w:rsidRPr="00344E55" w:rsidRDefault="00F9516D" w:rsidP="00F9516D">
      <w:pPr>
        <w:pStyle w:val="ListParagraph"/>
        <w:numPr>
          <w:ilvl w:val="0"/>
          <w:numId w:val="29"/>
        </w:numPr>
        <w:autoSpaceDE w:val="0"/>
        <w:autoSpaceDN w:val="0"/>
        <w:adjustRightInd w:val="0"/>
        <w:spacing w:after="215" w:line="360" w:lineRule="auto"/>
        <w:jc w:val="both"/>
      </w:pPr>
      <w:r w:rsidRPr="00344E55">
        <w:t>Reduce operating costs, improve efficiencies, build skills and capabilities;</w:t>
      </w:r>
    </w:p>
    <w:p w14:paraId="0AE78557" w14:textId="77777777" w:rsidR="00F9516D" w:rsidRPr="00344E55" w:rsidRDefault="00F9516D" w:rsidP="00F9516D">
      <w:pPr>
        <w:pStyle w:val="ListParagraph"/>
        <w:numPr>
          <w:ilvl w:val="0"/>
          <w:numId w:val="29"/>
        </w:numPr>
        <w:autoSpaceDE w:val="0"/>
        <w:autoSpaceDN w:val="0"/>
        <w:adjustRightInd w:val="0"/>
        <w:spacing w:after="215" w:line="360" w:lineRule="auto"/>
        <w:jc w:val="both"/>
      </w:pPr>
      <w:r w:rsidRPr="00344E55">
        <w:t>The development of agile business and management information systems for decision-making and improving customer interaction and;</w:t>
      </w:r>
    </w:p>
    <w:p w14:paraId="6EF31ABE" w14:textId="77777777" w:rsidR="00F9516D" w:rsidRPr="00344E55" w:rsidRDefault="00F9516D" w:rsidP="00F9516D">
      <w:pPr>
        <w:pStyle w:val="ListParagraph"/>
        <w:numPr>
          <w:ilvl w:val="0"/>
          <w:numId w:val="29"/>
        </w:numPr>
        <w:autoSpaceDE w:val="0"/>
        <w:autoSpaceDN w:val="0"/>
        <w:adjustRightInd w:val="0"/>
        <w:spacing w:after="215" w:line="360" w:lineRule="auto"/>
        <w:jc w:val="both"/>
      </w:pPr>
      <w:r w:rsidRPr="00344E55">
        <w:t>Deepening collaboration with Small Enterprise Development Agency, in particular by providing seamless online services to SMMEs and Co-operative Enterprises and pre-and post-investment support services</w:t>
      </w:r>
      <w:r w:rsidR="00FF488C" w:rsidRPr="00344E55">
        <w:t>.</w:t>
      </w:r>
    </w:p>
    <w:p w14:paraId="7F55D771" w14:textId="77777777" w:rsidR="00F9516D" w:rsidRPr="00344E55" w:rsidRDefault="00F9516D" w:rsidP="00F9516D">
      <w:pPr>
        <w:spacing w:line="360" w:lineRule="auto"/>
        <w:contextualSpacing/>
        <w:jc w:val="both"/>
        <w:rPr>
          <w:rFonts w:ascii="Times New Roman" w:hAnsi="Times New Roman" w:cs="Times New Roman"/>
          <w:b/>
          <w:sz w:val="24"/>
          <w:szCs w:val="24"/>
        </w:rPr>
      </w:pPr>
    </w:p>
    <w:p w14:paraId="1B3703F6" w14:textId="77777777" w:rsidR="005200EB" w:rsidRPr="00344E55" w:rsidRDefault="006F6C2A" w:rsidP="001D130E">
      <w:pPr>
        <w:spacing w:line="36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lang w:val="en-US"/>
        </w:rPr>
        <w:t>13</w:t>
      </w:r>
      <w:r w:rsidR="0075402A" w:rsidRPr="00344E55">
        <w:rPr>
          <w:rFonts w:ascii="Times New Roman" w:hAnsi="Times New Roman" w:cs="Times New Roman"/>
          <w:b/>
          <w:sz w:val="24"/>
          <w:szCs w:val="24"/>
          <w:lang w:val="en-US"/>
        </w:rPr>
        <w:t>.</w:t>
      </w:r>
      <w:r w:rsidR="0075402A" w:rsidRPr="00344E55">
        <w:rPr>
          <w:rFonts w:ascii="Times New Roman" w:hAnsi="Times New Roman" w:cs="Times New Roman"/>
          <w:b/>
          <w:sz w:val="24"/>
          <w:szCs w:val="24"/>
          <w:lang w:val="en-US"/>
        </w:rPr>
        <w:tab/>
        <w:t>SEFA PROGRAMME OVERVIEW</w:t>
      </w:r>
    </w:p>
    <w:p w14:paraId="289FBC3A" w14:textId="77777777" w:rsidR="0075402A" w:rsidRPr="00344E55" w:rsidRDefault="0075402A" w:rsidP="001D130E">
      <w:pPr>
        <w:spacing w:line="360" w:lineRule="auto"/>
        <w:contextualSpacing/>
        <w:jc w:val="both"/>
        <w:rPr>
          <w:rFonts w:ascii="Times New Roman" w:hAnsi="Times New Roman" w:cs="Times New Roman"/>
          <w:b/>
          <w:sz w:val="24"/>
          <w:szCs w:val="24"/>
          <w:lang w:val="en-US"/>
        </w:rPr>
      </w:pPr>
    </w:p>
    <w:p w14:paraId="1304B7F8" w14:textId="77777777" w:rsidR="004806F4" w:rsidRPr="00344E55" w:rsidRDefault="004806F4" w:rsidP="004806F4">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In order to ensure effective implementation of the Corporate Plan, </w:t>
      </w:r>
      <w:proofErr w:type="spellStart"/>
      <w:r w:rsidR="006F6C2A" w:rsidRPr="00344E55">
        <w:rPr>
          <w:rFonts w:ascii="Times New Roman" w:hAnsi="Times New Roman" w:cs="Times New Roman"/>
          <w:b/>
          <w:sz w:val="24"/>
          <w:szCs w:val="24"/>
        </w:rPr>
        <w:t>sefa</w:t>
      </w:r>
      <w:proofErr w:type="spellEnd"/>
      <w:r w:rsidR="006F6C2A" w:rsidRPr="00344E55">
        <w:rPr>
          <w:rFonts w:ascii="Times New Roman" w:hAnsi="Times New Roman" w:cs="Times New Roman"/>
          <w:sz w:val="24"/>
          <w:szCs w:val="24"/>
        </w:rPr>
        <w:t xml:space="preserve"> will continue to implement the follo</w:t>
      </w:r>
      <w:r w:rsidRPr="00344E55">
        <w:rPr>
          <w:rFonts w:ascii="Times New Roman" w:hAnsi="Times New Roman" w:cs="Times New Roman"/>
          <w:sz w:val="24"/>
          <w:szCs w:val="24"/>
        </w:rPr>
        <w:t xml:space="preserve">wing </w:t>
      </w:r>
      <w:r w:rsidR="006F6C2A" w:rsidRPr="00344E55">
        <w:rPr>
          <w:rFonts w:ascii="Times New Roman" w:hAnsi="Times New Roman" w:cs="Times New Roman"/>
          <w:sz w:val="24"/>
          <w:szCs w:val="24"/>
        </w:rPr>
        <w:t>programmes:-</w:t>
      </w:r>
      <w:r w:rsidRPr="00344E55">
        <w:rPr>
          <w:rFonts w:ascii="Times New Roman" w:hAnsi="Times New Roman" w:cs="Times New Roman"/>
          <w:sz w:val="24"/>
          <w:szCs w:val="24"/>
        </w:rPr>
        <w:t xml:space="preserve"> </w:t>
      </w:r>
    </w:p>
    <w:p w14:paraId="37124FBB" w14:textId="77777777" w:rsidR="004806F4" w:rsidRPr="00344E55" w:rsidRDefault="004806F4" w:rsidP="005200EB">
      <w:pPr>
        <w:spacing w:line="360" w:lineRule="auto"/>
        <w:contextualSpacing/>
        <w:jc w:val="both"/>
        <w:rPr>
          <w:rFonts w:ascii="Times New Roman" w:hAnsi="Times New Roman" w:cs="Times New Roman"/>
          <w:sz w:val="24"/>
          <w:szCs w:val="24"/>
        </w:rPr>
      </w:pPr>
    </w:p>
    <w:p w14:paraId="548979F8" w14:textId="77777777" w:rsidR="005200EB" w:rsidRPr="00344E55" w:rsidRDefault="005200EB" w:rsidP="001D130E">
      <w:pPr>
        <w:spacing w:line="24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lastRenderedPageBreak/>
        <w:t xml:space="preserve">Table </w:t>
      </w:r>
      <w:r w:rsidR="004806F4" w:rsidRPr="00344E55">
        <w:rPr>
          <w:rFonts w:ascii="Times New Roman" w:hAnsi="Times New Roman" w:cs="Times New Roman"/>
          <w:b/>
          <w:sz w:val="24"/>
          <w:szCs w:val="24"/>
        </w:rPr>
        <w:t>1</w:t>
      </w:r>
      <w:r w:rsidR="006F6C2A" w:rsidRPr="00344E55">
        <w:rPr>
          <w:rFonts w:ascii="Times New Roman" w:hAnsi="Times New Roman" w:cs="Times New Roman"/>
          <w:b/>
          <w:sz w:val="24"/>
          <w:szCs w:val="24"/>
        </w:rPr>
        <w:t>2</w:t>
      </w:r>
      <w:r w:rsidRPr="00344E55">
        <w:rPr>
          <w:rFonts w:ascii="Times New Roman" w:hAnsi="Times New Roman" w:cs="Times New Roman"/>
          <w:b/>
          <w:sz w:val="24"/>
          <w:szCs w:val="24"/>
        </w:rPr>
        <w:t>: Strategic Programmes</w:t>
      </w:r>
    </w:p>
    <w:tbl>
      <w:tblPr>
        <w:tblStyle w:val="TableGrid"/>
        <w:tblW w:w="9265" w:type="dxa"/>
        <w:tblLook w:val="04A0" w:firstRow="1" w:lastRow="0" w:firstColumn="1" w:lastColumn="0" w:noHBand="0" w:noVBand="1"/>
      </w:tblPr>
      <w:tblGrid>
        <w:gridCol w:w="2245"/>
        <w:gridCol w:w="2520"/>
        <w:gridCol w:w="4500"/>
      </w:tblGrid>
      <w:tr w:rsidR="0008296E" w:rsidRPr="00344E55" w14:paraId="387C5536" w14:textId="77777777" w:rsidTr="00AA6D6A">
        <w:tc>
          <w:tcPr>
            <w:tcW w:w="2245" w:type="dxa"/>
            <w:shd w:val="clear" w:color="auto" w:fill="92D050"/>
          </w:tcPr>
          <w:p w14:paraId="39191269" w14:textId="77777777" w:rsidR="0008296E" w:rsidRPr="00344E55" w:rsidRDefault="0008296E" w:rsidP="005200EB">
            <w:pPr>
              <w:spacing w:line="360" w:lineRule="auto"/>
              <w:contextualSpacing/>
              <w:jc w:val="both"/>
              <w:rPr>
                <w:b/>
                <w:sz w:val="24"/>
                <w:szCs w:val="24"/>
              </w:rPr>
            </w:pPr>
            <w:r w:rsidRPr="00344E55">
              <w:rPr>
                <w:b/>
                <w:sz w:val="24"/>
                <w:szCs w:val="24"/>
              </w:rPr>
              <w:t>Programme</w:t>
            </w:r>
          </w:p>
        </w:tc>
        <w:tc>
          <w:tcPr>
            <w:tcW w:w="2520" w:type="dxa"/>
            <w:shd w:val="clear" w:color="auto" w:fill="92D050"/>
            <w:vAlign w:val="center"/>
          </w:tcPr>
          <w:p w14:paraId="11E40E87" w14:textId="77777777" w:rsidR="0008296E" w:rsidRPr="00344E55" w:rsidRDefault="0008296E" w:rsidP="005200EB">
            <w:pPr>
              <w:spacing w:line="360" w:lineRule="auto"/>
              <w:contextualSpacing/>
              <w:jc w:val="both"/>
              <w:rPr>
                <w:b/>
                <w:sz w:val="24"/>
                <w:szCs w:val="24"/>
              </w:rPr>
            </w:pPr>
            <w:r w:rsidRPr="00344E55">
              <w:rPr>
                <w:b/>
                <w:sz w:val="24"/>
                <w:szCs w:val="24"/>
              </w:rPr>
              <w:t>Strategic Programmes</w:t>
            </w:r>
          </w:p>
        </w:tc>
        <w:tc>
          <w:tcPr>
            <w:tcW w:w="4500" w:type="dxa"/>
            <w:shd w:val="clear" w:color="auto" w:fill="92D050"/>
            <w:vAlign w:val="center"/>
          </w:tcPr>
          <w:p w14:paraId="750E1659" w14:textId="77777777" w:rsidR="0008296E" w:rsidRPr="00344E55" w:rsidRDefault="0008296E" w:rsidP="005200EB">
            <w:pPr>
              <w:spacing w:line="360" w:lineRule="auto"/>
              <w:contextualSpacing/>
              <w:jc w:val="both"/>
              <w:rPr>
                <w:b/>
                <w:sz w:val="24"/>
                <w:szCs w:val="24"/>
              </w:rPr>
            </w:pPr>
            <w:r w:rsidRPr="00344E55">
              <w:rPr>
                <w:b/>
                <w:sz w:val="24"/>
                <w:szCs w:val="24"/>
              </w:rPr>
              <w:t>Strategic Initiatives</w:t>
            </w:r>
          </w:p>
        </w:tc>
      </w:tr>
      <w:tr w:rsidR="0008296E" w:rsidRPr="00344E55" w14:paraId="31749AC4" w14:textId="77777777" w:rsidTr="00AA6D6A">
        <w:tc>
          <w:tcPr>
            <w:tcW w:w="2245" w:type="dxa"/>
          </w:tcPr>
          <w:p w14:paraId="14DDBC48" w14:textId="77777777" w:rsidR="0008296E" w:rsidRPr="00344E55" w:rsidRDefault="0008296E" w:rsidP="00F80D2E">
            <w:pPr>
              <w:pStyle w:val="ListParagraph"/>
              <w:numPr>
                <w:ilvl w:val="0"/>
                <w:numId w:val="3"/>
              </w:numPr>
              <w:spacing w:line="360" w:lineRule="auto"/>
              <w:rPr>
                <w:lang w:eastAsia="en-ZA"/>
              </w:rPr>
            </w:pPr>
            <w:r w:rsidRPr="00344E55">
              <w:rPr>
                <w:lang w:eastAsia="en-ZA"/>
              </w:rPr>
              <w:t>Access to finance for SMMEs and Co-operatives;</w:t>
            </w:r>
          </w:p>
        </w:tc>
        <w:tc>
          <w:tcPr>
            <w:tcW w:w="2520" w:type="dxa"/>
          </w:tcPr>
          <w:p w14:paraId="198CCA75" w14:textId="77777777" w:rsidR="0008296E" w:rsidRPr="00344E55" w:rsidRDefault="0008296E" w:rsidP="00F80D2E">
            <w:pPr>
              <w:numPr>
                <w:ilvl w:val="0"/>
                <w:numId w:val="3"/>
              </w:numPr>
              <w:spacing w:line="360" w:lineRule="auto"/>
              <w:contextualSpacing/>
              <w:rPr>
                <w:sz w:val="24"/>
                <w:szCs w:val="24"/>
              </w:rPr>
            </w:pPr>
            <w:r w:rsidRPr="00344E55">
              <w:rPr>
                <w:sz w:val="24"/>
                <w:szCs w:val="24"/>
              </w:rPr>
              <w:t>Informal Sector and Micro-Enterprise Finance;</w:t>
            </w:r>
          </w:p>
        </w:tc>
        <w:tc>
          <w:tcPr>
            <w:tcW w:w="4500" w:type="dxa"/>
          </w:tcPr>
          <w:p w14:paraId="493FBC1A"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Roll out Fresh Produce Market Project to two additional geographical areas;</w:t>
            </w:r>
          </w:p>
          <w:p w14:paraId="2D2003DE"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Consolidate and strengthen strategic partnerships in under-served provinces &amp; roll out approved projects;</w:t>
            </w:r>
          </w:p>
          <w:p w14:paraId="40412DFF"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Support MFI growth and development, new product development and new partnerships;</w:t>
            </w:r>
          </w:p>
          <w:p w14:paraId="1F8E5B04"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 xml:space="preserve">Partner with private and public institutions to offer crucial business development services needed by informal business that </w:t>
            </w:r>
            <w:proofErr w:type="spellStart"/>
            <w:r w:rsidRPr="00344E55">
              <w:rPr>
                <w:b/>
                <w:sz w:val="24"/>
                <w:szCs w:val="24"/>
              </w:rPr>
              <w:t>sefa</w:t>
            </w:r>
            <w:proofErr w:type="spellEnd"/>
            <w:r w:rsidRPr="00344E55">
              <w:rPr>
                <w:sz w:val="24"/>
                <w:szCs w:val="24"/>
              </w:rPr>
              <w:t xml:space="preserve"> cannot provide directly;</w:t>
            </w:r>
          </w:p>
          <w:p w14:paraId="334677F4"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 xml:space="preserve">Raise funds from external sources (Corporates and International Donors) and use those funds as equity/quasi equity in niche intermediaries with mandates closely aligned to </w:t>
            </w:r>
            <w:proofErr w:type="spellStart"/>
            <w:r w:rsidRPr="00344E55">
              <w:rPr>
                <w:b/>
                <w:sz w:val="24"/>
                <w:szCs w:val="24"/>
              </w:rPr>
              <w:t>sefa</w:t>
            </w:r>
            <w:proofErr w:type="spellEnd"/>
            <w:r w:rsidRPr="00344E55">
              <w:rPr>
                <w:sz w:val="24"/>
                <w:szCs w:val="24"/>
              </w:rPr>
              <w:t xml:space="preserve"> and donor funding partners to improve the sustainability of end users;</w:t>
            </w:r>
          </w:p>
        </w:tc>
      </w:tr>
      <w:tr w:rsidR="0008296E" w:rsidRPr="00344E55" w14:paraId="44E541B1" w14:textId="77777777" w:rsidTr="00AA6D6A">
        <w:tc>
          <w:tcPr>
            <w:tcW w:w="2245" w:type="dxa"/>
          </w:tcPr>
          <w:p w14:paraId="616223D9" w14:textId="77777777" w:rsidR="0008296E" w:rsidRPr="00344E55" w:rsidRDefault="0008296E" w:rsidP="0008296E">
            <w:pPr>
              <w:spacing w:line="360" w:lineRule="auto"/>
              <w:ind w:left="360"/>
              <w:contextualSpacing/>
              <w:rPr>
                <w:sz w:val="24"/>
                <w:szCs w:val="24"/>
              </w:rPr>
            </w:pPr>
          </w:p>
        </w:tc>
        <w:tc>
          <w:tcPr>
            <w:tcW w:w="2520" w:type="dxa"/>
          </w:tcPr>
          <w:p w14:paraId="0D062316" w14:textId="77777777" w:rsidR="0008296E" w:rsidRPr="00344E55" w:rsidRDefault="0008296E" w:rsidP="00F80D2E">
            <w:pPr>
              <w:numPr>
                <w:ilvl w:val="0"/>
                <w:numId w:val="3"/>
              </w:numPr>
              <w:spacing w:line="360" w:lineRule="auto"/>
              <w:contextualSpacing/>
              <w:rPr>
                <w:sz w:val="24"/>
                <w:szCs w:val="24"/>
              </w:rPr>
            </w:pPr>
            <w:r w:rsidRPr="00344E55">
              <w:rPr>
                <w:sz w:val="24"/>
                <w:szCs w:val="24"/>
              </w:rPr>
              <w:t>Direct Lending</w:t>
            </w:r>
          </w:p>
        </w:tc>
        <w:tc>
          <w:tcPr>
            <w:tcW w:w="4500" w:type="dxa"/>
          </w:tcPr>
          <w:p w14:paraId="3F7CC202"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Increased Development Impact;</w:t>
            </w:r>
          </w:p>
          <w:p w14:paraId="302B975A"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Improved Financial Sustainability;</w:t>
            </w:r>
          </w:p>
          <w:p w14:paraId="135A1C42"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Client-Centricity Towards Client-Sustainability;</w:t>
            </w:r>
          </w:p>
          <w:p w14:paraId="02FACB2D"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Enhancing Operational Efficiencies and Effectiveness</w:t>
            </w:r>
          </w:p>
          <w:p w14:paraId="6A511D7D"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Automation of front-end processes.</w:t>
            </w:r>
          </w:p>
        </w:tc>
      </w:tr>
      <w:tr w:rsidR="0008296E" w:rsidRPr="00344E55" w14:paraId="74663CE1" w14:textId="77777777" w:rsidTr="00AA6D6A">
        <w:tc>
          <w:tcPr>
            <w:tcW w:w="2245" w:type="dxa"/>
          </w:tcPr>
          <w:p w14:paraId="2A1608C1" w14:textId="77777777" w:rsidR="0008296E" w:rsidRPr="00344E55" w:rsidRDefault="0008296E" w:rsidP="0008296E">
            <w:pPr>
              <w:spacing w:line="360" w:lineRule="auto"/>
              <w:ind w:left="360"/>
              <w:contextualSpacing/>
              <w:rPr>
                <w:sz w:val="24"/>
                <w:szCs w:val="24"/>
              </w:rPr>
            </w:pPr>
          </w:p>
        </w:tc>
        <w:tc>
          <w:tcPr>
            <w:tcW w:w="2520" w:type="dxa"/>
          </w:tcPr>
          <w:p w14:paraId="2A5AABB5" w14:textId="77777777" w:rsidR="0008296E" w:rsidRPr="00344E55" w:rsidRDefault="0008296E" w:rsidP="00F80D2E">
            <w:pPr>
              <w:numPr>
                <w:ilvl w:val="0"/>
                <w:numId w:val="3"/>
              </w:numPr>
              <w:spacing w:line="360" w:lineRule="auto"/>
              <w:contextualSpacing/>
              <w:rPr>
                <w:sz w:val="24"/>
                <w:szCs w:val="24"/>
              </w:rPr>
            </w:pPr>
            <w:r w:rsidRPr="00344E55">
              <w:rPr>
                <w:sz w:val="24"/>
                <w:szCs w:val="24"/>
              </w:rPr>
              <w:t>Wholesale SME Lending</w:t>
            </w:r>
          </w:p>
        </w:tc>
        <w:tc>
          <w:tcPr>
            <w:tcW w:w="4500" w:type="dxa"/>
          </w:tcPr>
          <w:p w14:paraId="7379FF30"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 xml:space="preserve">Improve the sustainability of end users through the use of equity/quasi equity to fund niche intermediaries with mandates closely aligned to </w:t>
            </w:r>
            <w:proofErr w:type="spellStart"/>
            <w:r w:rsidRPr="00344E55">
              <w:rPr>
                <w:sz w:val="24"/>
                <w:szCs w:val="24"/>
              </w:rPr>
              <w:t>sefa</w:t>
            </w:r>
            <w:proofErr w:type="spellEnd"/>
            <w:r w:rsidRPr="00344E55">
              <w:rPr>
                <w:sz w:val="24"/>
                <w:szCs w:val="24"/>
              </w:rPr>
              <w:t xml:space="preserve"> and donor </w:t>
            </w:r>
            <w:r w:rsidRPr="00344E55">
              <w:rPr>
                <w:sz w:val="24"/>
                <w:szCs w:val="24"/>
              </w:rPr>
              <w:lastRenderedPageBreak/>
              <w:t>funding partners;</w:t>
            </w:r>
          </w:p>
          <w:p w14:paraId="2A3FDCBC"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Expand the Structured Finance Solution (SFS) offering, in partnership with Direct Lending;</w:t>
            </w:r>
          </w:p>
          <w:p w14:paraId="6F03DB5B"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Build value adding partnerships to expand outreach to under-served Provinces;</w:t>
            </w:r>
          </w:p>
          <w:p w14:paraId="020321B5"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Increase revenues through leveraging government, DFI, Donor, and ESD Resources;</w:t>
            </w:r>
          </w:p>
          <w:p w14:paraId="4D30C2BE"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Managing costs by maintaining a lean Wholesale Lending structure;</w:t>
            </w:r>
          </w:p>
          <w:p w14:paraId="62ABD062"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Preserve capital in Wholesale Lending business.</w:t>
            </w:r>
          </w:p>
        </w:tc>
      </w:tr>
      <w:tr w:rsidR="0008296E" w:rsidRPr="00344E55" w14:paraId="322434B6" w14:textId="77777777" w:rsidTr="00AA6D6A">
        <w:tc>
          <w:tcPr>
            <w:tcW w:w="2245" w:type="dxa"/>
          </w:tcPr>
          <w:p w14:paraId="113A788E" w14:textId="77777777" w:rsidR="0008296E" w:rsidRPr="00344E55" w:rsidRDefault="0008296E" w:rsidP="0008296E">
            <w:pPr>
              <w:spacing w:line="360" w:lineRule="auto"/>
              <w:ind w:left="360"/>
              <w:contextualSpacing/>
              <w:rPr>
                <w:sz w:val="24"/>
                <w:szCs w:val="24"/>
              </w:rPr>
            </w:pPr>
          </w:p>
        </w:tc>
        <w:tc>
          <w:tcPr>
            <w:tcW w:w="2520" w:type="dxa"/>
          </w:tcPr>
          <w:p w14:paraId="0B2F99F5" w14:textId="77777777" w:rsidR="0008296E" w:rsidRPr="00344E55" w:rsidRDefault="00F9516D" w:rsidP="00F80D2E">
            <w:pPr>
              <w:numPr>
                <w:ilvl w:val="0"/>
                <w:numId w:val="3"/>
              </w:numPr>
              <w:spacing w:line="360" w:lineRule="auto"/>
              <w:contextualSpacing/>
              <w:rPr>
                <w:sz w:val="24"/>
                <w:szCs w:val="24"/>
              </w:rPr>
            </w:pPr>
            <w:r w:rsidRPr="00344E55">
              <w:rPr>
                <w:sz w:val="24"/>
                <w:szCs w:val="24"/>
              </w:rPr>
              <w:t xml:space="preserve">Co-operatives </w:t>
            </w:r>
            <w:r w:rsidR="0008296E" w:rsidRPr="00344E55">
              <w:rPr>
                <w:sz w:val="24"/>
                <w:szCs w:val="24"/>
              </w:rPr>
              <w:t>Lending</w:t>
            </w:r>
          </w:p>
        </w:tc>
        <w:tc>
          <w:tcPr>
            <w:tcW w:w="4500" w:type="dxa"/>
          </w:tcPr>
          <w:p w14:paraId="3C321296"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Leverage financial and non-financial resources of other role players into a holistic framework;</w:t>
            </w:r>
          </w:p>
          <w:p w14:paraId="67FFE260" w14:textId="77777777" w:rsidR="0008296E" w:rsidRPr="00344E55" w:rsidRDefault="0008296E" w:rsidP="00F80D2E">
            <w:pPr>
              <w:numPr>
                <w:ilvl w:val="0"/>
                <w:numId w:val="4"/>
              </w:numPr>
              <w:spacing w:line="360" w:lineRule="auto"/>
              <w:contextualSpacing/>
              <w:jc w:val="both"/>
              <w:rPr>
                <w:sz w:val="24"/>
                <w:szCs w:val="24"/>
              </w:rPr>
            </w:pPr>
            <w:r w:rsidRPr="00344E55">
              <w:rPr>
                <w:sz w:val="24"/>
                <w:szCs w:val="24"/>
              </w:rPr>
              <w:t>Develop a “Co-operative Growth Eco-system Plan”;</w:t>
            </w:r>
          </w:p>
          <w:p w14:paraId="5E9C6D91" w14:textId="77777777" w:rsidR="0008296E" w:rsidRPr="00344E55" w:rsidRDefault="0008296E" w:rsidP="00F80D2E">
            <w:pPr>
              <w:numPr>
                <w:ilvl w:val="0"/>
                <w:numId w:val="4"/>
              </w:numPr>
              <w:spacing w:line="360" w:lineRule="auto"/>
              <w:contextualSpacing/>
              <w:jc w:val="both"/>
              <w:rPr>
                <w:sz w:val="24"/>
                <w:szCs w:val="24"/>
              </w:rPr>
            </w:pPr>
          </w:p>
        </w:tc>
      </w:tr>
      <w:tr w:rsidR="0008296E" w:rsidRPr="00344E55" w14:paraId="2CDA3DAB" w14:textId="77777777" w:rsidTr="00AA6D6A">
        <w:tc>
          <w:tcPr>
            <w:tcW w:w="2245" w:type="dxa"/>
          </w:tcPr>
          <w:p w14:paraId="3206E636" w14:textId="77777777" w:rsidR="0008296E" w:rsidRPr="00344E55" w:rsidRDefault="0008296E" w:rsidP="00AA6D6A">
            <w:pPr>
              <w:spacing w:line="360" w:lineRule="auto"/>
              <w:ind w:left="360"/>
              <w:contextualSpacing/>
              <w:rPr>
                <w:sz w:val="24"/>
                <w:szCs w:val="24"/>
              </w:rPr>
            </w:pPr>
          </w:p>
        </w:tc>
        <w:tc>
          <w:tcPr>
            <w:tcW w:w="2520" w:type="dxa"/>
          </w:tcPr>
          <w:p w14:paraId="4DBA7305" w14:textId="77777777" w:rsidR="0008296E" w:rsidRPr="00344E55" w:rsidRDefault="00AA6D6A" w:rsidP="00F80D2E">
            <w:pPr>
              <w:numPr>
                <w:ilvl w:val="0"/>
                <w:numId w:val="3"/>
              </w:numPr>
              <w:spacing w:line="360" w:lineRule="auto"/>
              <w:contextualSpacing/>
              <w:rPr>
                <w:sz w:val="24"/>
                <w:szCs w:val="24"/>
              </w:rPr>
            </w:pPr>
            <w:proofErr w:type="spellStart"/>
            <w:r w:rsidRPr="00344E55">
              <w:rPr>
                <w:sz w:val="24"/>
                <w:szCs w:val="24"/>
              </w:rPr>
              <w:t>Khula</w:t>
            </w:r>
            <w:proofErr w:type="spellEnd"/>
            <w:r w:rsidRPr="00344E55">
              <w:rPr>
                <w:sz w:val="24"/>
                <w:szCs w:val="24"/>
              </w:rPr>
              <w:t xml:space="preserve"> Credit Guarantee</w:t>
            </w:r>
          </w:p>
        </w:tc>
        <w:tc>
          <w:tcPr>
            <w:tcW w:w="4500" w:type="dxa"/>
          </w:tcPr>
          <w:p w14:paraId="04DB52A6" w14:textId="77777777" w:rsidR="0008296E" w:rsidRPr="00344E55" w:rsidRDefault="00AA6D6A" w:rsidP="00F80D2E">
            <w:pPr>
              <w:numPr>
                <w:ilvl w:val="0"/>
                <w:numId w:val="4"/>
              </w:numPr>
              <w:spacing w:line="360" w:lineRule="auto"/>
              <w:contextualSpacing/>
              <w:rPr>
                <w:sz w:val="24"/>
                <w:szCs w:val="24"/>
              </w:rPr>
            </w:pPr>
            <w:r w:rsidRPr="00344E55">
              <w:rPr>
                <w:sz w:val="24"/>
                <w:szCs w:val="24"/>
              </w:rPr>
              <w:t>Extend coverage to include a wider range of financial institutions and commercial suppliers of inputs to SMEs;</w:t>
            </w:r>
          </w:p>
          <w:p w14:paraId="6CFE56E2" w14:textId="77777777" w:rsidR="00AA6D6A" w:rsidRPr="00344E55" w:rsidRDefault="00AA6D6A" w:rsidP="006F6C2A">
            <w:pPr>
              <w:numPr>
                <w:ilvl w:val="0"/>
                <w:numId w:val="4"/>
              </w:numPr>
              <w:spacing w:line="360" w:lineRule="auto"/>
              <w:contextualSpacing/>
              <w:jc w:val="both"/>
              <w:rPr>
                <w:sz w:val="24"/>
                <w:szCs w:val="24"/>
              </w:rPr>
            </w:pPr>
            <w:r w:rsidRPr="00344E55">
              <w:rPr>
                <w:sz w:val="24"/>
                <w:szCs w:val="24"/>
              </w:rPr>
              <w:t>Introduce flexibility of terms and conditions to increase attractiveness of products and services to targeted SME financiers. The aim is to re-engineer the scheme to facilitate the attractiveness and ease of use by participating institutions (new agreements, enhanced business processes and systems);</w:t>
            </w:r>
          </w:p>
          <w:p w14:paraId="74581F39" w14:textId="77777777" w:rsidR="00AA6D6A" w:rsidRPr="00344E55" w:rsidRDefault="00AA6D6A" w:rsidP="006F6C2A">
            <w:pPr>
              <w:numPr>
                <w:ilvl w:val="0"/>
                <w:numId w:val="4"/>
              </w:numPr>
              <w:spacing w:line="360" w:lineRule="auto"/>
              <w:contextualSpacing/>
              <w:jc w:val="both"/>
              <w:rPr>
                <w:sz w:val="24"/>
                <w:szCs w:val="24"/>
              </w:rPr>
            </w:pPr>
            <w:r w:rsidRPr="00344E55">
              <w:rPr>
                <w:sz w:val="24"/>
                <w:szCs w:val="24"/>
              </w:rPr>
              <w:t xml:space="preserve">Develop, pilot and market new products </w:t>
            </w:r>
            <w:r w:rsidRPr="00344E55">
              <w:rPr>
                <w:sz w:val="24"/>
                <w:szCs w:val="24"/>
              </w:rPr>
              <w:lastRenderedPageBreak/>
              <w:t>and services to facilitate increased uptake of the indemnity facility. The following products and services will be developed and implemented;</w:t>
            </w:r>
          </w:p>
          <w:p w14:paraId="73B2C91C" w14:textId="77777777" w:rsidR="00AA6D6A" w:rsidRPr="00344E55" w:rsidRDefault="00AA6D6A" w:rsidP="00F80D2E">
            <w:pPr>
              <w:numPr>
                <w:ilvl w:val="0"/>
                <w:numId w:val="4"/>
              </w:numPr>
              <w:spacing w:line="360" w:lineRule="auto"/>
              <w:contextualSpacing/>
              <w:rPr>
                <w:sz w:val="24"/>
                <w:szCs w:val="24"/>
              </w:rPr>
            </w:pPr>
            <w:r w:rsidRPr="00344E55">
              <w:rPr>
                <w:sz w:val="24"/>
                <w:szCs w:val="24"/>
              </w:rPr>
              <w:t>Introduce risk-based pricing – develop and use a risk based premium pricing model.</w:t>
            </w:r>
          </w:p>
        </w:tc>
      </w:tr>
      <w:tr w:rsidR="0008296E" w:rsidRPr="00344E55" w14:paraId="6BF16B7B" w14:textId="77777777" w:rsidTr="00AA6D6A">
        <w:tc>
          <w:tcPr>
            <w:tcW w:w="2245" w:type="dxa"/>
          </w:tcPr>
          <w:p w14:paraId="4B7CA4C2" w14:textId="77777777" w:rsidR="0008296E" w:rsidRPr="00344E55" w:rsidRDefault="00AA6D6A" w:rsidP="00F80D2E">
            <w:pPr>
              <w:numPr>
                <w:ilvl w:val="0"/>
                <w:numId w:val="3"/>
              </w:numPr>
              <w:spacing w:line="360" w:lineRule="auto"/>
              <w:contextualSpacing/>
              <w:rPr>
                <w:sz w:val="24"/>
                <w:szCs w:val="24"/>
              </w:rPr>
            </w:pPr>
            <w:r w:rsidRPr="00344E55">
              <w:rPr>
                <w:sz w:val="24"/>
                <w:szCs w:val="24"/>
              </w:rPr>
              <w:lastRenderedPageBreak/>
              <w:t>Post Investment/ Workout and Restructuring Management;</w:t>
            </w:r>
          </w:p>
        </w:tc>
        <w:tc>
          <w:tcPr>
            <w:tcW w:w="2520" w:type="dxa"/>
          </w:tcPr>
          <w:p w14:paraId="07C985F0" w14:textId="77777777" w:rsidR="0008296E" w:rsidRPr="00344E55" w:rsidRDefault="00AA6D6A" w:rsidP="00AB4FE0">
            <w:pPr>
              <w:numPr>
                <w:ilvl w:val="0"/>
                <w:numId w:val="3"/>
              </w:numPr>
              <w:spacing w:line="360" w:lineRule="auto"/>
              <w:contextualSpacing/>
              <w:jc w:val="both"/>
              <w:rPr>
                <w:sz w:val="24"/>
                <w:szCs w:val="24"/>
              </w:rPr>
            </w:pPr>
            <w:r w:rsidRPr="00344E55">
              <w:rPr>
                <w:sz w:val="24"/>
                <w:szCs w:val="24"/>
              </w:rPr>
              <w:t>The primary objectives of the unit are to manage the loan portfolio by reducing the current high levels of impairments from 45% in 2017/2018 to 36% in the 2018/2019 financial year and reduce it further by 100 basis points over the MTEF period.</w:t>
            </w:r>
          </w:p>
        </w:tc>
        <w:tc>
          <w:tcPr>
            <w:tcW w:w="4500" w:type="dxa"/>
          </w:tcPr>
          <w:p w14:paraId="59240B66" w14:textId="77777777" w:rsidR="0008296E" w:rsidRPr="00344E55" w:rsidRDefault="00AA6D6A" w:rsidP="00F80D2E">
            <w:pPr>
              <w:numPr>
                <w:ilvl w:val="0"/>
                <w:numId w:val="4"/>
              </w:numPr>
              <w:spacing w:line="360" w:lineRule="auto"/>
              <w:contextualSpacing/>
              <w:jc w:val="both"/>
              <w:rPr>
                <w:sz w:val="24"/>
                <w:szCs w:val="24"/>
              </w:rPr>
            </w:pPr>
            <w:r w:rsidRPr="00344E55">
              <w:rPr>
                <w:sz w:val="24"/>
                <w:szCs w:val="24"/>
              </w:rPr>
              <w:t>Implement a pro-active monitoring approach in the identification of early warning signals for portfolio investments;</w:t>
            </w:r>
          </w:p>
          <w:p w14:paraId="56D61F45"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Workout and Restructuring;</w:t>
            </w:r>
          </w:p>
          <w:p w14:paraId="6F7A8463"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Mentorship and business support programme to develop client sustainability;</w:t>
            </w:r>
          </w:p>
          <w:p w14:paraId="4A35C080"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Collections;</w:t>
            </w:r>
          </w:p>
          <w:p w14:paraId="0B26D621"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Delinquent Loan accounts.</w:t>
            </w:r>
          </w:p>
        </w:tc>
      </w:tr>
      <w:tr w:rsidR="00AA6D6A" w:rsidRPr="00344E55" w14:paraId="132902BD" w14:textId="77777777" w:rsidTr="00AA6D6A">
        <w:tc>
          <w:tcPr>
            <w:tcW w:w="2245" w:type="dxa"/>
          </w:tcPr>
          <w:p w14:paraId="27B53011" w14:textId="77777777" w:rsidR="00AA6D6A" w:rsidRPr="00344E55" w:rsidRDefault="00AA6D6A" w:rsidP="00F80D2E">
            <w:pPr>
              <w:numPr>
                <w:ilvl w:val="0"/>
                <w:numId w:val="3"/>
              </w:numPr>
              <w:spacing w:line="360" w:lineRule="auto"/>
              <w:contextualSpacing/>
              <w:rPr>
                <w:sz w:val="24"/>
                <w:szCs w:val="24"/>
              </w:rPr>
            </w:pPr>
            <w:r w:rsidRPr="00344E55">
              <w:rPr>
                <w:sz w:val="24"/>
                <w:szCs w:val="24"/>
              </w:rPr>
              <w:t xml:space="preserve">Build an efficient and effective </w:t>
            </w:r>
            <w:proofErr w:type="spellStart"/>
            <w:r w:rsidRPr="00344E55">
              <w:rPr>
                <w:b/>
                <w:sz w:val="24"/>
                <w:szCs w:val="24"/>
              </w:rPr>
              <w:t>sefa</w:t>
            </w:r>
            <w:proofErr w:type="spellEnd"/>
            <w:r w:rsidRPr="00344E55">
              <w:rPr>
                <w:sz w:val="24"/>
                <w:szCs w:val="24"/>
              </w:rPr>
              <w:t xml:space="preserve"> that is performance driven and sustainable.</w:t>
            </w:r>
          </w:p>
        </w:tc>
        <w:tc>
          <w:tcPr>
            <w:tcW w:w="2520" w:type="dxa"/>
          </w:tcPr>
          <w:p w14:paraId="6D01C2AE" w14:textId="77777777" w:rsidR="00AA6D6A" w:rsidRPr="00344E55" w:rsidRDefault="00AA6D6A" w:rsidP="00F80D2E">
            <w:pPr>
              <w:numPr>
                <w:ilvl w:val="0"/>
                <w:numId w:val="3"/>
              </w:numPr>
              <w:spacing w:line="360" w:lineRule="auto"/>
              <w:contextualSpacing/>
              <w:rPr>
                <w:sz w:val="24"/>
                <w:szCs w:val="24"/>
              </w:rPr>
            </w:pPr>
            <w:r w:rsidRPr="00344E55">
              <w:rPr>
                <w:sz w:val="24"/>
                <w:szCs w:val="24"/>
              </w:rPr>
              <w:t>Financial Management, Supply chain and Compliance.</w:t>
            </w:r>
          </w:p>
        </w:tc>
        <w:tc>
          <w:tcPr>
            <w:tcW w:w="4500" w:type="dxa"/>
          </w:tcPr>
          <w:p w14:paraId="77968A7D"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Cost Management;</w:t>
            </w:r>
          </w:p>
          <w:p w14:paraId="654BD239"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Cash Preservation &amp; Cash Management;</w:t>
            </w:r>
          </w:p>
          <w:p w14:paraId="28CCB571"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Raise Additional Funding Through External Donors;</w:t>
            </w:r>
          </w:p>
          <w:p w14:paraId="505976A2"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Improved Financial Integrity and Automation</w:t>
            </w:r>
          </w:p>
        </w:tc>
      </w:tr>
      <w:tr w:rsidR="00AA6D6A" w:rsidRPr="00344E55" w14:paraId="19B42AC7" w14:textId="77777777" w:rsidTr="00AA6D6A">
        <w:tc>
          <w:tcPr>
            <w:tcW w:w="2245" w:type="dxa"/>
          </w:tcPr>
          <w:p w14:paraId="275AD6FE" w14:textId="77777777" w:rsidR="00AA6D6A" w:rsidRPr="00344E55" w:rsidRDefault="00AA6D6A" w:rsidP="00AA6D6A">
            <w:pPr>
              <w:spacing w:line="360" w:lineRule="auto"/>
              <w:ind w:left="360"/>
              <w:contextualSpacing/>
              <w:rPr>
                <w:sz w:val="24"/>
                <w:szCs w:val="24"/>
              </w:rPr>
            </w:pPr>
          </w:p>
        </w:tc>
        <w:tc>
          <w:tcPr>
            <w:tcW w:w="2520" w:type="dxa"/>
          </w:tcPr>
          <w:p w14:paraId="62F688F1" w14:textId="77777777" w:rsidR="00AA6D6A" w:rsidRPr="00344E55" w:rsidRDefault="00AA6D6A" w:rsidP="00F80D2E">
            <w:pPr>
              <w:numPr>
                <w:ilvl w:val="0"/>
                <w:numId w:val="3"/>
              </w:numPr>
              <w:spacing w:line="360" w:lineRule="auto"/>
              <w:contextualSpacing/>
              <w:rPr>
                <w:sz w:val="24"/>
                <w:szCs w:val="24"/>
              </w:rPr>
            </w:pPr>
            <w:r w:rsidRPr="00344E55">
              <w:rPr>
                <w:sz w:val="24"/>
                <w:szCs w:val="24"/>
              </w:rPr>
              <w:t>Human Resource Management.</w:t>
            </w:r>
          </w:p>
        </w:tc>
        <w:tc>
          <w:tcPr>
            <w:tcW w:w="4500" w:type="dxa"/>
          </w:tcPr>
          <w:p w14:paraId="26F06802"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Impact;</w:t>
            </w:r>
          </w:p>
          <w:p w14:paraId="6FD2E220"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Sustainability;</w:t>
            </w:r>
          </w:p>
          <w:p w14:paraId="0839D7D2"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Productivity;</w:t>
            </w:r>
          </w:p>
          <w:p w14:paraId="2E193FDF"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Effectiveness.</w:t>
            </w:r>
          </w:p>
        </w:tc>
      </w:tr>
      <w:tr w:rsidR="00AA6D6A" w:rsidRPr="00344E55" w14:paraId="3B3752A2" w14:textId="77777777" w:rsidTr="00AA6D6A">
        <w:tc>
          <w:tcPr>
            <w:tcW w:w="2245" w:type="dxa"/>
          </w:tcPr>
          <w:p w14:paraId="2FD9C2D3" w14:textId="77777777" w:rsidR="00AA6D6A" w:rsidRPr="00344E55" w:rsidRDefault="00AA6D6A" w:rsidP="00AA6D6A">
            <w:pPr>
              <w:spacing w:line="360" w:lineRule="auto"/>
              <w:ind w:left="360"/>
              <w:contextualSpacing/>
              <w:rPr>
                <w:sz w:val="24"/>
                <w:szCs w:val="24"/>
              </w:rPr>
            </w:pPr>
          </w:p>
        </w:tc>
        <w:tc>
          <w:tcPr>
            <w:tcW w:w="2520" w:type="dxa"/>
          </w:tcPr>
          <w:p w14:paraId="5013EAC6" w14:textId="77777777" w:rsidR="00AA6D6A" w:rsidRPr="00344E55" w:rsidRDefault="00AA6D6A" w:rsidP="00AB4FE0">
            <w:pPr>
              <w:numPr>
                <w:ilvl w:val="0"/>
                <w:numId w:val="3"/>
              </w:numPr>
              <w:spacing w:line="360" w:lineRule="auto"/>
              <w:contextualSpacing/>
              <w:jc w:val="both"/>
              <w:rPr>
                <w:sz w:val="24"/>
                <w:szCs w:val="24"/>
              </w:rPr>
            </w:pPr>
            <w:r w:rsidRPr="00344E55">
              <w:rPr>
                <w:sz w:val="24"/>
                <w:szCs w:val="24"/>
              </w:rPr>
              <w:t>Information and communication technology (ICT).</w:t>
            </w:r>
          </w:p>
        </w:tc>
        <w:tc>
          <w:tcPr>
            <w:tcW w:w="4500" w:type="dxa"/>
          </w:tcPr>
          <w:p w14:paraId="27228AC5"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Improved ICT governance;</w:t>
            </w:r>
          </w:p>
          <w:p w14:paraId="73325D10" w14:textId="77777777" w:rsidR="00AA6D6A" w:rsidRPr="00344E55" w:rsidRDefault="00AA6D6A" w:rsidP="00F80D2E">
            <w:pPr>
              <w:numPr>
                <w:ilvl w:val="0"/>
                <w:numId w:val="4"/>
              </w:numPr>
              <w:spacing w:line="360" w:lineRule="auto"/>
              <w:contextualSpacing/>
              <w:jc w:val="both"/>
              <w:rPr>
                <w:sz w:val="24"/>
                <w:szCs w:val="24"/>
              </w:rPr>
            </w:pPr>
            <w:r w:rsidRPr="00344E55">
              <w:rPr>
                <w:sz w:val="24"/>
                <w:szCs w:val="24"/>
              </w:rPr>
              <w:t>Network/Infrastructure management</w:t>
            </w:r>
            <w:r w:rsidR="0076372A" w:rsidRPr="00344E55">
              <w:rPr>
                <w:sz w:val="24"/>
                <w:szCs w:val="24"/>
              </w:rPr>
              <w:t>;</w:t>
            </w:r>
          </w:p>
          <w:p w14:paraId="6E29232C"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Application development.</w:t>
            </w:r>
          </w:p>
        </w:tc>
      </w:tr>
      <w:tr w:rsidR="0076372A" w:rsidRPr="00344E55" w14:paraId="0A215EE9" w14:textId="77777777" w:rsidTr="00AA6D6A">
        <w:tc>
          <w:tcPr>
            <w:tcW w:w="2245" w:type="dxa"/>
          </w:tcPr>
          <w:p w14:paraId="5469F03C" w14:textId="77777777" w:rsidR="0076372A" w:rsidRPr="00344E55" w:rsidRDefault="0076372A" w:rsidP="00AA6D6A">
            <w:pPr>
              <w:spacing w:line="360" w:lineRule="auto"/>
              <w:ind w:left="360"/>
              <w:contextualSpacing/>
              <w:rPr>
                <w:sz w:val="24"/>
                <w:szCs w:val="24"/>
              </w:rPr>
            </w:pPr>
          </w:p>
        </w:tc>
        <w:tc>
          <w:tcPr>
            <w:tcW w:w="2520" w:type="dxa"/>
          </w:tcPr>
          <w:p w14:paraId="7F321066" w14:textId="77777777" w:rsidR="0076372A" w:rsidRPr="00344E55" w:rsidRDefault="0076372A" w:rsidP="00F80D2E">
            <w:pPr>
              <w:numPr>
                <w:ilvl w:val="0"/>
                <w:numId w:val="3"/>
              </w:numPr>
              <w:spacing w:line="360" w:lineRule="auto"/>
              <w:contextualSpacing/>
              <w:rPr>
                <w:sz w:val="24"/>
                <w:szCs w:val="24"/>
              </w:rPr>
            </w:pPr>
            <w:r w:rsidRPr="00344E55">
              <w:rPr>
                <w:sz w:val="24"/>
                <w:szCs w:val="24"/>
              </w:rPr>
              <w:t>Corporate Strategy and Reporting.</w:t>
            </w:r>
          </w:p>
        </w:tc>
        <w:tc>
          <w:tcPr>
            <w:tcW w:w="4500" w:type="dxa"/>
          </w:tcPr>
          <w:p w14:paraId="3EAC1AC2"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Corporate planning and reporting;</w:t>
            </w:r>
          </w:p>
          <w:p w14:paraId="6B8B4822" w14:textId="77777777" w:rsidR="0076372A" w:rsidRPr="00344E55" w:rsidRDefault="006F6C2A" w:rsidP="00F80D2E">
            <w:pPr>
              <w:numPr>
                <w:ilvl w:val="0"/>
                <w:numId w:val="4"/>
              </w:numPr>
              <w:spacing w:line="360" w:lineRule="auto"/>
              <w:contextualSpacing/>
              <w:jc w:val="both"/>
              <w:rPr>
                <w:sz w:val="24"/>
                <w:szCs w:val="24"/>
              </w:rPr>
            </w:pPr>
            <w:r w:rsidRPr="00344E55">
              <w:rPr>
                <w:sz w:val="24"/>
                <w:szCs w:val="24"/>
              </w:rPr>
              <w:t xml:space="preserve">Research </w:t>
            </w:r>
            <w:r w:rsidR="0076372A" w:rsidRPr="00344E55">
              <w:rPr>
                <w:sz w:val="24"/>
                <w:szCs w:val="24"/>
              </w:rPr>
              <w:t>Management and Information Dissemination;</w:t>
            </w:r>
          </w:p>
          <w:p w14:paraId="595B4160"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Project Management Office (PMO);</w:t>
            </w:r>
          </w:p>
          <w:p w14:paraId="1CE7F7FD"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New Product Development.</w:t>
            </w:r>
          </w:p>
        </w:tc>
      </w:tr>
      <w:tr w:rsidR="0076372A" w:rsidRPr="00344E55" w14:paraId="07C6BED7" w14:textId="77777777" w:rsidTr="00AA6D6A">
        <w:tc>
          <w:tcPr>
            <w:tcW w:w="2245" w:type="dxa"/>
          </w:tcPr>
          <w:p w14:paraId="3D42B463" w14:textId="77777777" w:rsidR="0076372A" w:rsidRPr="00344E55" w:rsidRDefault="0076372A" w:rsidP="00F80D2E">
            <w:pPr>
              <w:pStyle w:val="ListParagraph"/>
              <w:numPr>
                <w:ilvl w:val="0"/>
                <w:numId w:val="4"/>
              </w:numPr>
              <w:spacing w:line="360" w:lineRule="auto"/>
              <w:rPr>
                <w:lang w:eastAsia="en-ZA"/>
              </w:rPr>
            </w:pPr>
            <w:r w:rsidRPr="00344E55">
              <w:rPr>
                <w:lang w:eastAsia="en-ZA"/>
              </w:rPr>
              <w:t xml:space="preserve">Build a strong and effective </w:t>
            </w:r>
            <w:proofErr w:type="spellStart"/>
            <w:r w:rsidRPr="00344E55">
              <w:rPr>
                <w:b/>
                <w:lang w:eastAsia="en-ZA"/>
              </w:rPr>
              <w:t>sefa</w:t>
            </w:r>
            <w:proofErr w:type="spellEnd"/>
            <w:r w:rsidRPr="00344E55">
              <w:rPr>
                <w:lang w:eastAsia="en-ZA"/>
              </w:rPr>
              <w:t xml:space="preserve"> brand emphasising accessibility to SMMEs.</w:t>
            </w:r>
          </w:p>
        </w:tc>
        <w:tc>
          <w:tcPr>
            <w:tcW w:w="2520" w:type="dxa"/>
          </w:tcPr>
          <w:p w14:paraId="430F0618" w14:textId="77777777" w:rsidR="0076372A" w:rsidRPr="00344E55" w:rsidRDefault="0076372A" w:rsidP="00F80D2E">
            <w:pPr>
              <w:numPr>
                <w:ilvl w:val="0"/>
                <w:numId w:val="3"/>
              </w:numPr>
              <w:spacing w:line="360" w:lineRule="auto"/>
              <w:contextualSpacing/>
              <w:rPr>
                <w:sz w:val="24"/>
                <w:szCs w:val="24"/>
              </w:rPr>
            </w:pPr>
            <w:r w:rsidRPr="00344E55">
              <w:rPr>
                <w:sz w:val="24"/>
                <w:szCs w:val="24"/>
              </w:rPr>
              <w:t xml:space="preserve">The role of Marketing and Communication is to position and market </w:t>
            </w:r>
            <w:proofErr w:type="spellStart"/>
            <w:r w:rsidRPr="00344E55">
              <w:rPr>
                <w:b/>
                <w:sz w:val="24"/>
                <w:szCs w:val="24"/>
              </w:rPr>
              <w:t>sefa</w:t>
            </w:r>
            <w:proofErr w:type="spellEnd"/>
            <w:r w:rsidRPr="00344E55">
              <w:rPr>
                <w:sz w:val="24"/>
                <w:szCs w:val="24"/>
              </w:rPr>
              <w:t>, its products and services to SMMEs and Co-operatives and to facilitate strategic engagements with key stakeholders.</w:t>
            </w:r>
          </w:p>
        </w:tc>
        <w:tc>
          <w:tcPr>
            <w:tcW w:w="4500" w:type="dxa"/>
          </w:tcPr>
          <w:p w14:paraId="32698F2D"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 xml:space="preserve">Enhance the </w:t>
            </w:r>
            <w:proofErr w:type="spellStart"/>
            <w:r w:rsidRPr="00344E55">
              <w:rPr>
                <w:b/>
                <w:sz w:val="24"/>
                <w:szCs w:val="24"/>
              </w:rPr>
              <w:t>sefa</w:t>
            </w:r>
            <w:proofErr w:type="spellEnd"/>
            <w:r w:rsidRPr="00344E55">
              <w:rPr>
                <w:sz w:val="24"/>
                <w:szCs w:val="24"/>
              </w:rPr>
              <w:t xml:space="preserve"> brand emphasizing accessibility of its products and service to SMMEs and Co-operation Enterprises;</w:t>
            </w:r>
          </w:p>
          <w:p w14:paraId="16A67DA1"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Customer Relationship Management;</w:t>
            </w:r>
          </w:p>
          <w:p w14:paraId="0C2E3985"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Stakeholder Engagement;</w:t>
            </w:r>
          </w:p>
          <w:p w14:paraId="64616759"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Build an effective Internal Communication Platform.</w:t>
            </w:r>
          </w:p>
        </w:tc>
      </w:tr>
      <w:tr w:rsidR="0076372A" w:rsidRPr="00344E55" w14:paraId="00E3DAC9" w14:textId="77777777" w:rsidTr="00AA6D6A">
        <w:tc>
          <w:tcPr>
            <w:tcW w:w="2245" w:type="dxa"/>
          </w:tcPr>
          <w:p w14:paraId="6E93FB18" w14:textId="77777777" w:rsidR="0076372A" w:rsidRPr="00344E55" w:rsidRDefault="0076372A" w:rsidP="00F80D2E">
            <w:pPr>
              <w:pStyle w:val="ListParagraph"/>
              <w:numPr>
                <w:ilvl w:val="0"/>
                <w:numId w:val="4"/>
              </w:numPr>
              <w:spacing w:line="360" w:lineRule="auto"/>
              <w:rPr>
                <w:lang w:eastAsia="en-ZA"/>
              </w:rPr>
            </w:pPr>
            <w:r w:rsidRPr="00344E55">
              <w:rPr>
                <w:lang w:eastAsia="en-ZA"/>
              </w:rPr>
              <w:t>Compliance, Governance, Enterprise Risk</w:t>
            </w:r>
          </w:p>
          <w:p w14:paraId="3E14C260" w14:textId="77777777" w:rsidR="0076372A" w:rsidRPr="00344E55" w:rsidRDefault="0076372A" w:rsidP="0076372A">
            <w:pPr>
              <w:pStyle w:val="ListParagraph"/>
              <w:spacing w:line="360" w:lineRule="auto"/>
              <w:ind w:left="360"/>
              <w:rPr>
                <w:lang w:eastAsia="en-ZA"/>
              </w:rPr>
            </w:pPr>
            <w:r w:rsidRPr="00344E55">
              <w:rPr>
                <w:lang w:eastAsia="en-ZA"/>
              </w:rPr>
              <w:t>Management and Internal Audit.</w:t>
            </w:r>
          </w:p>
        </w:tc>
        <w:tc>
          <w:tcPr>
            <w:tcW w:w="2520" w:type="dxa"/>
          </w:tcPr>
          <w:p w14:paraId="3D71C40D" w14:textId="77777777" w:rsidR="0076372A" w:rsidRPr="00344E55" w:rsidRDefault="0076372A" w:rsidP="00F80D2E">
            <w:pPr>
              <w:numPr>
                <w:ilvl w:val="0"/>
                <w:numId w:val="3"/>
              </w:numPr>
              <w:spacing w:line="360" w:lineRule="auto"/>
              <w:contextualSpacing/>
              <w:rPr>
                <w:sz w:val="24"/>
                <w:szCs w:val="24"/>
              </w:rPr>
            </w:pPr>
            <w:r w:rsidRPr="00344E55">
              <w:rPr>
                <w:sz w:val="24"/>
                <w:szCs w:val="24"/>
              </w:rPr>
              <w:t>Operational Risks.</w:t>
            </w:r>
          </w:p>
        </w:tc>
        <w:tc>
          <w:tcPr>
            <w:tcW w:w="4500" w:type="dxa"/>
          </w:tcPr>
          <w:p w14:paraId="507B0522"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 xml:space="preserve">Promote sustainability of </w:t>
            </w:r>
            <w:proofErr w:type="spellStart"/>
            <w:r w:rsidRPr="00344E55">
              <w:rPr>
                <w:b/>
                <w:sz w:val="24"/>
                <w:szCs w:val="24"/>
              </w:rPr>
              <w:t>sefa</w:t>
            </w:r>
            <w:proofErr w:type="spellEnd"/>
            <w:r w:rsidRPr="00344E55">
              <w:rPr>
                <w:sz w:val="24"/>
                <w:szCs w:val="24"/>
              </w:rPr>
              <w:t xml:space="preserve"> operations;</w:t>
            </w:r>
          </w:p>
          <w:p w14:paraId="1A80BE19"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Continued compliance with new regulations and legislation;</w:t>
            </w:r>
          </w:p>
          <w:p w14:paraId="58098944"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Effective Reporting.</w:t>
            </w:r>
          </w:p>
        </w:tc>
      </w:tr>
      <w:tr w:rsidR="0076372A" w:rsidRPr="00344E55" w14:paraId="78FEDA7D" w14:textId="77777777" w:rsidTr="00AA6D6A">
        <w:tc>
          <w:tcPr>
            <w:tcW w:w="2245" w:type="dxa"/>
          </w:tcPr>
          <w:p w14:paraId="404D05C5" w14:textId="77777777" w:rsidR="0076372A" w:rsidRPr="00344E55" w:rsidRDefault="0076372A" w:rsidP="0076372A">
            <w:pPr>
              <w:pStyle w:val="ListParagraph"/>
              <w:spacing w:line="360" w:lineRule="auto"/>
              <w:ind w:left="360"/>
              <w:rPr>
                <w:lang w:eastAsia="en-ZA"/>
              </w:rPr>
            </w:pPr>
          </w:p>
        </w:tc>
        <w:tc>
          <w:tcPr>
            <w:tcW w:w="2520" w:type="dxa"/>
          </w:tcPr>
          <w:p w14:paraId="65E32B9C" w14:textId="77777777" w:rsidR="0076372A" w:rsidRPr="00344E55" w:rsidRDefault="0076372A" w:rsidP="00F80D2E">
            <w:pPr>
              <w:numPr>
                <w:ilvl w:val="0"/>
                <w:numId w:val="3"/>
              </w:numPr>
              <w:spacing w:line="360" w:lineRule="auto"/>
              <w:contextualSpacing/>
              <w:rPr>
                <w:sz w:val="24"/>
                <w:szCs w:val="24"/>
              </w:rPr>
            </w:pPr>
            <w:r w:rsidRPr="00344E55">
              <w:rPr>
                <w:sz w:val="24"/>
                <w:szCs w:val="24"/>
              </w:rPr>
              <w:t>Credit Risk Management.</w:t>
            </w:r>
          </w:p>
        </w:tc>
        <w:tc>
          <w:tcPr>
            <w:tcW w:w="4500" w:type="dxa"/>
          </w:tcPr>
          <w:p w14:paraId="570CEB31" w14:textId="77777777" w:rsidR="0076372A" w:rsidRPr="00344E55" w:rsidRDefault="0076372A" w:rsidP="006F6C2A">
            <w:pPr>
              <w:numPr>
                <w:ilvl w:val="0"/>
                <w:numId w:val="4"/>
              </w:numPr>
              <w:spacing w:line="360" w:lineRule="auto"/>
              <w:contextualSpacing/>
              <w:jc w:val="both"/>
              <w:rPr>
                <w:sz w:val="24"/>
                <w:szCs w:val="24"/>
              </w:rPr>
            </w:pPr>
            <w:r w:rsidRPr="00344E55">
              <w:rPr>
                <w:sz w:val="24"/>
                <w:szCs w:val="24"/>
              </w:rPr>
              <w:t>Credit risk Appetite;</w:t>
            </w:r>
          </w:p>
          <w:p w14:paraId="25A7A9BE" w14:textId="77777777" w:rsidR="0076372A" w:rsidRPr="00344E55" w:rsidRDefault="0076372A" w:rsidP="006F6C2A">
            <w:pPr>
              <w:numPr>
                <w:ilvl w:val="0"/>
                <w:numId w:val="4"/>
              </w:numPr>
              <w:spacing w:line="360" w:lineRule="auto"/>
              <w:contextualSpacing/>
              <w:jc w:val="both"/>
              <w:rPr>
                <w:sz w:val="24"/>
                <w:szCs w:val="24"/>
              </w:rPr>
            </w:pPr>
            <w:r w:rsidRPr="00344E55">
              <w:rPr>
                <w:sz w:val="24"/>
                <w:szCs w:val="24"/>
              </w:rPr>
              <w:t>Greater Alignment between credit and business;</w:t>
            </w:r>
          </w:p>
          <w:p w14:paraId="2C27A9ED" w14:textId="77777777" w:rsidR="0076372A" w:rsidRPr="00344E55" w:rsidRDefault="0076372A" w:rsidP="006F6C2A">
            <w:pPr>
              <w:numPr>
                <w:ilvl w:val="0"/>
                <w:numId w:val="4"/>
              </w:numPr>
              <w:spacing w:line="360" w:lineRule="auto"/>
              <w:contextualSpacing/>
              <w:jc w:val="both"/>
              <w:rPr>
                <w:sz w:val="24"/>
                <w:szCs w:val="24"/>
              </w:rPr>
            </w:pPr>
            <w:r w:rsidRPr="00344E55">
              <w:rPr>
                <w:sz w:val="24"/>
                <w:szCs w:val="24"/>
              </w:rPr>
              <w:t>Optimise credit portfolio reporting;</w:t>
            </w:r>
          </w:p>
          <w:p w14:paraId="08AEC304" w14:textId="77777777" w:rsidR="0076372A" w:rsidRPr="00344E55" w:rsidRDefault="0076372A" w:rsidP="006F6C2A">
            <w:pPr>
              <w:numPr>
                <w:ilvl w:val="0"/>
                <w:numId w:val="4"/>
              </w:numPr>
              <w:spacing w:line="360" w:lineRule="auto"/>
              <w:contextualSpacing/>
              <w:jc w:val="both"/>
              <w:rPr>
                <w:sz w:val="24"/>
                <w:szCs w:val="24"/>
              </w:rPr>
            </w:pPr>
            <w:r w:rsidRPr="00344E55">
              <w:rPr>
                <w:sz w:val="24"/>
                <w:szCs w:val="24"/>
              </w:rPr>
              <w:t>Better segmentation or diversification of portfolio;</w:t>
            </w:r>
          </w:p>
          <w:p w14:paraId="337C22BB" w14:textId="77777777" w:rsidR="0076372A" w:rsidRPr="00344E55" w:rsidRDefault="0076372A" w:rsidP="006F6C2A">
            <w:pPr>
              <w:numPr>
                <w:ilvl w:val="0"/>
                <w:numId w:val="4"/>
              </w:numPr>
              <w:spacing w:line="360" w:lineRule="auto"/>
              <w:contextualSpacing/>
              <w:jc w:val="both"/>
              <w:rPr>
                <w:sz w:val="24"/>
                <w:szCs w:val="24"/>
              </w:rPr>
            </w:pPr>
            <w:r w:rsidRPr="00344E55">
              <w:rPr>
                <w:sz w:val="24"/>
                <w:szCs w:val="24"/>
              </w:rPr>
              <w:t xml:space="preserve">Revise Pricing Framework for Direct </w:t>
            </w:r>
            <w:r w:rsidRPr="00344E55">
              <w:rPr>
                <w:sz w:val="24"/>
                <w:szCs w:val="24"/>
              </w:rPr>
              <w:lastRenderedPageBreak/>
              <w:t>and Wholesale Lending;</w:t>
            </w:r>
          </w:p>
          <w:p w14:paraId="3C4D3534" w14:textId="77777777" w:rsidR="0076372A" w:rsidRPr="00344E55" w:rsidRDefault="0076372A" w:rsidP="006F6C2A">
            <w:pPr>
              <w:numPr>
                <w:ilvl w:val="0"/>
                <w:numId w:val="4"/>
              </w:numPr>
              <w:spacing w:line="360" w:lineRule="auto"/>
              <w:contextualSpacing/>
              <w:jc w:val="both"/>
              <w:rPr>
                <w:sz w:val="24"/>
                <w:szCs w:val="24"/>
              </w:rPr>
            </w:pPr>
            <w:r w:rsidRPr="00344E55">
              <w:rPr>
                <w:sz w:val="24"/>
                <w:szCs w:val="24"/>
              </w:rPr>
              <w:t>Risk Quantification Develop and maintain credit risk models.</w:t>
            </w:r>
          </w:p>
        </w:tc>
      </w:tr>
      <w:tr w:rsidR="0076372A" w:rsidRPr="00344E55" w14:paraId="4BA708AF" w14:textId="77777777" w:rsidTr="00AA6D6A">
        <w:tc>
          <w:tcPr>
            <w:tcW w:w="2245" w:type="dxa"/>
          </w:tcPr>
          <w:p w14:paraId="6410DC01" w14:textId="77777777" w:rsidR="0076372A" w:rsidRPr="00344E55" w:rsidRDefault="0076372A" w:rsidP="0076372A">
            <w:pPr>
              <w:pStyle w:val="ListParagraph"/>
              <w:spacing w:line="360" w:lineRule="auto"/>
              <w:ind w:left="360"/>
              <w:rPr>
                <w:lang w:eastAsia="en-ZA"/>
              </w:rPr>
            </w:pPr>
          </w:p>
        </w:tc>
        <w:tc>
          <w:tcPr>
            <w:tcW w:w="2520" w:type="dxa"/>
          </w:tcPr>
          <w:p w14:paraId="75D4F018" w14:textId="77777777" w:rsidR="0076372A" w:rsidRPr="00344E55" w:rsidRDefault="0076372A" w:rsidP="00F80D2E">
            <w:pPr>
              <w:numPr>
                <w:ilvl w:val="0"/>
                <w:numId w:val="3"/>
              </w:numPr>
              <w:spacing w:line="360" w:lineRule="auto"/>
              <w:contextualSpacing/>
              <w:rPr>
                <w:sz w:val="24"/>
                <w:szCs w:val="24"/>
              </w:rPr>
            </w:pPr>
            <w:r w:rsidRPr="00344E55">
              <w:rPr>
                <w:sz w:val="24"/>
                <w:szCs w:val="24"/>
              </w:rPr>
              <w:t>Internal Audit</w:t>
            </w:r>
          </w:p>
        </w:tc>
        <w:tc>
          <w:tcPr>
            <w:tcW w:w="4500" w:type="dxa"/>
          </w:tcPr>
          <w:p w14:paraId="050BD1D7" w14:textId="77777777" w:rsidR="0076372A" w:rsidRPr="00344E55" w:rsidRDefault="0076372A" w:rsidP="006F6C2A">
            <w:pPr>
              <w:numPr>
                <w:ilvl w:val="0"/>
                <w:numId w:val="4"/>
              </w:numPr>
              <w:spacing w:line="360" w:lineRule="auto"/>
              <w:contextualSpacing/>
              <w:jc w:val="both"/>
              <w:rPr>
                <w:sz w:val="24"/>
                <w:szCs w:val="24"/>
              </w:rPr>
            </w:pPr>
            <w:r w:rsidRPr="00344E55">
              <w:rPr>
                <w:sz w:val="24"/>
                <w:szCs w:val="24"/>
              </w:rPr>
              <w:t xml:space="preserve">Assurance on core </w:t>
            </w:r>
            <w:proofErr w:type="spellStart"/>
            <w:r w:rsidRPr="00344E55">
              <w:rPr>
                <w:b/>
                <w:sz w:val="24"/>
                <w:szCs w:val="24"/>
              </w:rPr>
              <w:t>sefa</w:t>
            </w:r>
            <w:proofErr w:type="spellEnd"/>
            <w:r w:rsidRPr="00344E55">
              <w:rPr>
                <w:sz w:val="24"/>
                <w:szCs w:val="24"/>
              </w:rPr>
              <w:t xml:space="preserve"> business processes;</w:t>
            </w:r>
          </w:p>
          <w:p w14:paraId="317DE82B" w14:textId="77777777" w:rsidR="0076372A" w:rsidRPr="00344E55" w:rsidRDefault="0076372A" w:rsidP="006F6C2A">
            <w:pPr>
              <w:numPr>
                <w:ilvl w:val="0"/>
                <w:numId w:val="4"/>
              </w:numPr>
              <w:spacing w:line="360" w:lineRule="auto"/>
              <w:contextualSpacing/>
              <w:jc w:val="both"/>
              <w:rPr>
                <w:sz w:val="24"/>
                <w:szCs w:val="24"/>
              </w:rPr>
            </w:pPr>
            <w:r w:rsidRPr="00344E55">
              <w:rPr>
                <w:sz w:val="24"/>
                <w:szCs w:val="24"/>
              </w:rPr>
              <w:t>Create a sound Control Environment and assist Management to achieve organisational goals;</w:t>
            </w:r>
          </w:p>
          <w:p w14:paraId="464082E7" w14:textId="77777777" w:rsidR="0076372A" w:rsidRPr="00344E55" w:rsidRDefault="0076372A" w:rsidP="006F6C2A">
            <w:pPr>
              <w:numPr>
                <w:ilvl w:val="0"/>
                <w:numId w:val="4"/>
              </w:numPr>
              <w:spacing w:line="360" w:lineRule="auto"/>
              <w:contextualSpacing/>
              <w:jc w:val="both"/>
              <w:rPr>
                <w:sz w:val="24"/>
                <w:szCs w:val="24"/>
              </w:rPr>
            </w:pPr>
            <w:r w:rsidRPr="00344E55">
              <w:rPr>
                <w:sz w:val="24"/>
                <w:szCs w:val="24"/>
              </w:rPr>
              <w:t>Improve Internal Audit Productivity/Effectiveness;</w:t>
            </w:r>
          </w:p>
          <w:p w14:paraId="33EAA41F" w14:textId="77777777" w:rsidR="0076372A" w:rsidRPr="00344E55" w:rsidRDefault="0076372A" w:rsidP="006F6C2A">
            <w:pPr>
              <w:numPr>
                <w:ilvl w:val="0"/>
                <w:numId w:val="4"/>
              </w:numPr>
              <w:spacing w:line="360" w:lineRule="auto"/>
              <w:contextualSpacing/>
              <w:jc w:val="both"/>
              <w:rPr>
                <w:sz w:val="24"/>
                <w:szCs w:val="24"/>
              </w:rPr>
            </w:pPr>
            <w:r w:rsidRPr="00344E55">
              <w:rPr>
                <w:sz w:val="24"/>
                <w:szCs w:val="24"/>
              </w:rPr>
              <w:t>Improve Risk Management and Governance processes;</w:t>
            </w:r>
          </w:p>
        </w:tc>
      </w:tr>
      <w:tr w:rsidR="0076372A" w:rsidRPr="00344E55" w14:paraId="1075C940" w14:textId="77777777" w:rsidTr="00AA6D6A">
        <w:tc>
          <w:tcPr>
            <w:tcW w:w="2245" w:type="dxa"/>
          </w:tcPr>
          <w:p w14:paraId="62051017" w14:textId="77777777" w:rsidR="0076372A" w:rsidRPr="00344E55" w:rsidRDefault="0076372A" w:rsidP="0076372A">
            <w:pPr>
              <w:pStyle w:val="ListParagraph"/>
              <w:spacing w:line="360" w:lineRule="auto"/>
              <w:ind w:left="360"/>
              <w:rPr>
                <w:lang w:eastAsia="en-ZA"/>
              </w:rPr>
            </w:pPr>
          </w:p>
        </w:tc>
        <w:tc>
          <w:tcPr>
            <w:tcW w:w="2520" w:type="dxa"/>
          </w:tcPr>
          <w:p w14:paraId="77473F7C" w14:textId="77777777" w:rsidR="0076372A" w:rsidRPr="00344E55" w:rsidRDefault="0076372A" w:rsidP="00F80D2E">
            <w:pPr>
              <w:numPr>
                <w:ilvl w:val="0"/>
                <w:numId w:val="3"/>
              </w:numPr>
              <w:spacing w:line="360" w:lineRule="auto"/>
              <w:contextualSpacing/>
              <w:rPr>
                <w:sz w:val="24"/>
                <w:szCs w:val="24"/>
              </w:rPr>
            </w:pPr>
            <w:r w:rsidRPr="00344E55">
              <w:rPr>
                <w:sz w:val="24"/>
                <w:szCs w:val="24"/>
              </w:rPr>
              <w:t>Company Secretariat and DRM.</w:t>
            </w:r>
          </w:p>
        </w:tc>
        <w:tc>
          <w:tcPr>
            <w:tcW w:w="4500" w:type="dxa"/>
          </w:tcPr>
          <w:p w14:paraId="035B5EED"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Enhanced governance practices;</w:t>
            </w:r>
          </w:p>
          <w:p w14:paraId="63556CB5"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Enhanced guidance and secretarial support to Board and Committees;</w:t>
            </w:r>
          </w:p>
          <w:p w14:paraId="5F3847F3"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Compliance with applicable laws, policies and procedures;</w:t>
            </w:r>
          </w:p>
          <w:p w14:paraId="0D2D1A36"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Automation;</w:t>
            </w:r>
          </w:p>
          <w:p w14:paraId="1653306F" w14:textId="77777777" w:rsidR="0076372A" w:rsidRPr="00344E55" w:rsidRDefault="006F6C2A" w:rsidP="00F80D2E">
            <w:pPr>
              <w:numPr>
                <w:ilvl w:val="0"/>
                <w:numId w:val="4"/>
              </w:numPr>
              <w:spacing w:line="360" w:lineRule="auto"/>
              <w:contextualSpacing/>
              <w:jc w:val="both"/>
              <w:rPr>
                <w:sz w:val="24"/>
                <w:szCs w:val="24"/>
              </w:rPr>
            </w:pPr>
            <w:r w:rsidRPr="00344E55">
              <w:rPr>
                <w:sz w:val="24"/>
                <w:szCs w:val="24"/>
              </w:rPr>
              <w:t>Strengthen DRM to effectively s</w:t>
            </w:r>
            <w:r w:rsidR="0076372A" w:rsidRPr="00344E55">
              <w:rPr>
                <w:sz w:val="24"/>
                <w:szCs w:val="24"/>
              </w:rPr>
              <w:t>upport business decisions.</w:t>
            </w:r>
          </w:p>
        </w:tc>
      </w:tr>
      <w:tr w:rsidR="0076372A" w:rsidRPr="00344E55" w14:paraId="3545705F" w14:textId="77777777" w:rsidTr="00AA6D6A">
        <w:tc>
          <w:tcPr>
            <w:tcW w:w="2245" w:type="dxa"/>
          </w:tcPr>
          <w:p w14:paraId="11B65533" w14:textId="77777777" w:rsidR="0076372A" w:rsidRPr="00344E55" w:rsidRDefault="0076372A" w:rsidP="0076372A">
            <w:pPr>
              <w:pStyle w:val="ListParagraph"/>
              <w:spacing w:line="360" w:lineRule="auto"/>
              <w:ind w:left="360"/>
              <w:rPr>
                <w:lang w:eastAsia="en-ZA"/>
              </w:rPr>
            </w:pPr>
          </w:p>
        </w:tc>
        <w:tc>
          <w:tcPr>
            <w:tcW w:w="2520" w:type="dxa"/>
          </w:tcPr>
          <w:p w14:paraId="1AEF3ACE" w14:textId="77777777" w:rsidR="0076372A" w:rsidRPr="00344E55" w:rsidRDefault="0076372A" w:rsidP="00F80D2E">
            <w:pPr>
              <w:numPr>
                <w:ilvl w:val="0"/>
                <w:numId w:val="3"/>
              </w:numPr>
              <w:spacing w:line="360" w:lineRule="auto"/>
              <w:contextualSpacing/>
              <w:rPr>
                <w:sz w:val="24"/>
                <w:szCs w:val="24"/>
              </w:rPr>
            </w:pPr>
            <w:r w:rsidRPr="00344E55">
              <w:rPr>
                <w:sz w:val="24"/>
                <w:szCs w:val="24"/>
              </w:rPr>
              <w:t>Legal Services</w:t>
            </w:r>
          </w:p>
        </w:tc>
        <w:tc>
          <w:tcPr>
            <w:tcW w:w="4500" w:type="dxa"/>
          </w:tcPr>
          <w:p w14:paraId="66AFA9EE"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Contracting – Facilitate the drafting of loan agreement and amendments based on committee decisions;</w:t>
            </w:r>
          </w:p>
          <w:p w14:paraId="7C16F908"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 xml:space="preserve">Represent and facilitate the resolution of all </w:t>
            </w:r>
            <w:proofErr w:type="spellStart"/>
            <w:r w:rsidRPr="00344E55">
              <w:rPr>
                <w:sz w:val="24"/>
                <w:szCs w:val="24"/>
              </w:rPr>
              <w:t>sefa</w:t>
            </w:r>
            <w:proofErr w:type="spellEnd"/>
            <w:r w:rsidRPr="00344E55">
              <w:rPr>
                <w:sz w:val="24"/>
                <w:szCs w:val="24"/>
              </w:rPr>
              <w:t xml:space="preserve"> legal disputes;</w:t>
            </w:r>
          </w:p>
          <w:p w14:paraId="185CA57D" w14:textId="77777777" w:rsidR="0076372A" w:rsidRPr="00344E55" w:rsidRDefault="0076372A" w:rsidP="00F80D2E">
            <w:pPr>
              <w:numPr>
                <w:ilvl w:val="0"/>
                <w:numId w:val="4"/>
              </w:numPr>
              <w:spacing w:line="360" w:lineRule="auto"/>
              <w:contextualSpacing/>
              <w:jc w:val="both"/>
              <w:rPr>
                <w:sz w:val="24"/>
                <w:szCs w:val="24"/>
              </w:rPr>
            </w:pPr>
            <w:r w:rsidRPr="00344E55">
              <w:rPr>
                <w:sz w:val="24"/>
                <w:szCs w:val="24"/>
              </w:rPr>
              <w:t xml:space="preserve">Institute and facilitate the process of legal collection where </w:t>
            </w:r>
            <w:proofErr w:type="gramStart"/>
            <w:r w:rsidRPr="00344E55">
              <w:rPr>
                <w:sz w:val="24"/>
                <w:szCs w:val="24"/>
              </w:rPr>
              <w:t>funded clients has</w:t>
            </w:r>
            <w:proofErr w:type="gramEnd"/>
            <w:r w:rsidRPr="00344E55">
              <w:rPr>
                <w:sz w:val="24"/>
                <w:szCs w:val="24"/>
              </w:rPr>
              <w:t xml:space="preserve"> reneged on the contract agreements.</w:t>
            </w:r>
          </w:p>
        </w:tc>
      </w:tr>
      <w:tr w:rsidR="0076372A" w:rsidRPr="00344E55" w14:paraId="3845F78B" w14:textId="77777777" w:rsidTr="00AA6D6A">
        <w:tc>
          <w:tcPr>
            <w:tcW w:w="2245" w:type="dxa"/>
          </w:tcPr>
          <w:p w14:paraId="43F4BCAF" w14:textId="77777777" w:rsidR="0076372A" w:rsidRPr="00344E55" w:rsidRDefault="0076372A" w:rsidP="00F80D2E">
            <w:pPr>
              <w:pStyle w:val="ListParagraph"/>
              <w:numPr>
                <w:ilvl w:val="0"/>
                <w:numId w:val="4"/>
              </w:numPr>
              <w:spacing w:line="360" w:lineRule="auto"/>
              <w:rPr>
                <w:lang w:eastAsia="en-ZA"/>
              </w:rPr>
            </w:pPr>
            <w:r w:rsidRPr="00344E55">
              <w:rPr>
                <w:lang w:eastAsia="en-ZA"/>
              </w:rPr>
              <w:t>Property Management.</w:t>
            </w:r>
          </w:p>
        </w:tc>
        <w:tc>
          <w:tcPr>
            <w:tcW w:w="2520" w:type="dxa"/>
          </w:tcPr>
          <w:p w14:paraId="1EF76D0D" w14:textId="77777777" w:rsidR="0076372A" w:rsidRPr="00344E55" w:rsidRDefault="00733DA4" w:rsidP="00F80D2E">
            <w:pPr>
              <w:numPr>
                <w:ilvl w:val="0"/>
                <w:numId w:val="3"/>
              </w:numPr>
              <w:spacing w:line="360" w:lineRule="auto"/>
              <w:contextualSpacing/>
              <w:rPr>
                <w:sz w:val="24"/>
                <w:szCs w:val="24"/>
              </w:rPr>
            </w:pPr>
            <w:r w:rsidRPr="00344E55">
              <w:rPr>
                <w:sz w:val="24"/>
                <w:szCs w:val="24"/>
              </w:rPr>
              <w:t>Properties management programme.</w:t>
            </w:r>
          </w:p>
        </w:tc>
        <w:tc>
          <w:tcPr>
            <w:tcW w:w="4500" w:type="dxa"/>
          </w:tcPr>
          <w:p w14:paraId="151F5FA5" w14:textId="77777777" w:rsidR="0076372A" w:rsidRPr="00344E55" w:rsidRDefault="00733DA4" w:rsidP="00F80D2E">
            <w:pPr>
              <w:numPr>
                <w:ilvl w:val="0"/>
                <w:numId w:val="4"/>
              </w:numPr>
              <w:spacing w:line="360" w:lineRule="auto"/>
              <w:contextualSpacing/>
              <w:jc w:val="both"/>
              <w:rPr>
                <w:sz w:val="24"/>
                <w:szCs w:val="24"/>
              </w:rPr>
            </w:pPr>
            <w:r w:rsidRPr="00344E55">
              <w:rPr>
                <w:sz w:val="24"/>
                <w:szCs w:val="24"/>
              </w:rPr>
              <w:t>Sale and transfer of Properties;</w:t>
            </w:r>
          </w:p>
          <w:p w14:paraId="6FA50133" w14:textId="77777777" w:rsidR="00733DA4" w:rsidRPr="00344E55" w:rsidRDefault="00733DA4" w:rsidP="00F80D2E">
            <w:pPr>
              <w:numPr>
                <w:ilvl w:val="0"/>
                <w:numId w:val="4"/>
              </w:numPr>
              <w:spacing w:line="360" w:lineRule="auto"/>
              <w:contextualSpacing/>
              <w:jc w:val="both"/>
              <w:rPr>
                <w:sz w:val="24"/>
                <w:szCs w:val="24"/>
              </w:rPr>
            </w:pPr>
            <w:r w:rsidRPr="00344E55">
              <w:rPr>
                <w:sz w:val="24"/>
                <w:szCs w:val="24"/>
              </w:rPr>
              <w:t>Effective and efficient administration of the property portfolio;</w:t>
            </w:r>
          </w:p>
          <w:p w14:paraId="282BED93" w14:textId="77777777" w:rsidR="00733DA4" w:rsidRPr="00344E55" w:rsidRDefault="00733DA4" w:rsidP="00F80D2E">
            <w:pPr>
              <w:numPr>
                <w:ilvl w:val="0"/>
                <w:numId w:val="4"/>
              </w:numPr>
              <w:spacing w:line="360" w:lineRule="auto"/>
              <w:contextualSpacing/>
              <w:jc w:val="both"/>
              <w:rPr>
                <w:sz w:val="24"/>
                <w:szCs w:val="24"/>
              </w:rPr>
            </w:pPr>
            <w:r w:rsidRPr="00344E55">
              <w:rPr>
                <w:sz w:val="24"/>
                <w:szCs w:val="24"/>
              </w:rPr>
              <w:t xml:space="preserve">Ensure that the </w:t>
            </w:r>
            <w:proofErr w:type="spellStart"/>
            <w:r w:rsidRPr="00344E55">
              <w:rPr>
                <w:b/>
                <w:sz w:val="24"/>
                <w:szCs w:val="24"/>
              </w:rPr>
              <w:t>sefa</w:t>
            </w:r>
            <w:proofErr w:type="spellEnd"/>
            <w:r w:rsidRPr="00344E55">
              <w:rPr>
                <w:sz w:val="24"/>
                <w:szCs w:val="24"/>
              </w:rPr>
              <w:t xml:space="preserve"> property portfolio is </w:t>
            </w:r>
            <w:r w:rsidRPr="00344E55">
              <w:rPr>
                <w:sz w:val="24"/>
                <w:szCs w:val="24"/>
              </w:rPr>
              <w:lastRenderedPageBreak/>
              <w:t>preserved.</w:t>
            </w:r>
          </w:p>
        </w:tc>
      </w:tr>
    </w:tbl>
    <w:p w14:paraId="6F3672D9" w14:textId="77777777" w:rsidR="001D130E" w:rsidRPr="00344E55" w:rsidRDefault="005200EB" w:rsidP="001D130E">
      <w:pPr>
        <w:spacing w:line="240" w:lineRule="auto"/>
        <w:contextualSpacing/>
        <w:jc w:val="both"/>
        <w:rPr>
          <w:rFonts w:ascii="Times New Roman" w:hAnsi="Times New Roman" w:cs="Times New Roman"/>
          <w:b/>
          <w:sz w:val="24"/>
          <w:szCs w:val="24"/>
          <w:lang w:val="en-US"/>
        </w:rPr>
      </w:pPr>
      <w:r w:rsidRPr="00344E55">
        <w:rPr>
          <w:rFonts w:ascii="Times New Roman" w:hAnsi="Times New Roman" w:cs="Times New Roman"/>
          <w:b/>
          <w:sz w:val="24"/>
          <w:szCs w:val="24"/>
        </w:rPr>
        <w:lastRenderedPageBreak/>
        <w:t xml:space="preserve"> </w:t>
      </w:r>
      <w:r w:rsidR="001D130E" w:rsidRPr="00344E55">
        <w:rPr>
          <w:rFonts w:ascii="Times New Roman" w:hAnsi="Times New Roman" w:cs="Times New Roman"/>
          <w:b/>
          <w:sz w:val="24"/>
          <w:szCs w:val="24"/>
          <w:lang w:val="en-US"/>
        </w:rPr>
        <w:t xml:space="preserve">Source: SEFA Annual </w:t>
      </w:r>
      <w:r w:rsidR="006F6C2A" w:rsidRPr="00344E55">
        <w:rPr>
          <w:rFonts w:ascii="Times New Roman" w:hAnsi="Times New Roman" w:cs="Times New Roman"/>
          <w:b/>
          <w:sz w:val="24"/>
          <w:szCs w:val="24"/>
          <w:lang w:val="en-US"/>
        </w:rPr>
        <w:t>Corporate</w:t>
      </w:r>
      <w:r w:rsidR="001D130E" w:rsidRPr="00344E55">
        <w:rPr>
          <w:rFonts w:ascii="Times New Roman" w:hAnsi="Times New Roman" w:cs="Times New Roman"/>
          <w:b/>
          <w:sz w:val="24"/>
          <w:szCs w:val="24"/>
          <w:lang w:val="en-US"/>
        </w:rPr>
        <w:t xml:space="preserve"> Plan</w:t>
      </w:r>
      <w:r w:rsidR="006F6C2A" w:rsidRPr="00344E55">
        <w:rPr>
          <w:rFonts w:ascii="Times New Roman" w:hAnsi="Times New Roman" w:cs="Times New Roman"/>
          <w:b/>
          <w:sz w:val="24"/>
          <w:szCs w:val="24"/>
          <w:lang w:val="en-US"/>
        </w:rPr>
        <w:t xml:space="preserve"> 2019/20</w:t>
      </w:r>
    </w:p>
    <w:p w14:paraId="16E0E97E" w14:textId="77777777" w:rsidR="005200EB" w:rsidRPr="00344E55" w:rsidRDefault="005200EB" w:rsidP="009568E6">
      <w:pPr>
        <w:spacing w:line="360" w:lineRule="auto"/>
        <w:contextualSpacing/>
        <w:jc w:val="both"/>
        <w:rPr>
          <w:rFonts w:ascii="Times New Roman" w:hAnsi="Times New Roman" w:cs="Times New Roman"/>
          <w:b/>
          <w:sz w:val="24"/>
          <w:szCs w:val="24"/>
        </w:rPr>
      </w:pPr>
    </w:p>
    <w:p w14:paraId="4D6A4796" w14:textId="77777777" w:rsidR="009568E6" w:rsidRPr="00344E55" w:rsidRDefault="009568E6" w:rsidP="009568E6">
      <w:pPr>
        <w:spacing w:line="360" w:lineRule="auto"/>
        <w:contextualSpacing/>
        <w:jc w:val="both"/>
        <w:rPr>
          <w:rFonts w:ascii="Times New Roman" w:hAnsi="Times New Roman" w:cs="Times New Roman"/>
          <w:b/>
          <w:sz w:val="24"/>
          <w:szCs w:val="24"/>
        </w:rPr>
      </w:pPr>
    </w:p>
    <w:p w14:paraId="014923E8" w14:textId="77777777" w:rsidR="006F6C2A" w:rsidRPr="00344E55" w:rsidRDefault="006F6C2A" w:rsidP="009568E6">
      <w:pPr>
        <w:spacing w:line="360" w:lineRule="auto"/>
        <w:contextualSpacing/>
        <w:jc w:val="both"/>
        <w:rPr>
          <w:rFonts w:ascii="Times New Roman" w:hAnsi="Times New Roman" w:cs="Times New Roman"/>
          <w:b/>
          <w:sz w:val="24"/>
          <w:szCs w:val="24"/>
        </w:rPr>
      </w:pPr>
    </w:p>
    <w:p w14:paraId="6DF329A9" w14:textId="77777777" w:rsidR="006F6C2A" w:rsidRPr="00344E55" w:rsidRDefault="006F6C2A" w:rsidP="009568E6">
      <w:pPr>
        <w:spacing w:line="360" w:lineRule="auto"/>
        <w:contextualSpacing/>
        <w:jc w:val="both"/>
        <w:rPr>
          <w:rFonts w:ascii="Times New Roman" w:hAnsi="Times New Roman" w:cs="Times New Roman"/>
          <w:b/>
          <w:sz w:val="24"/>
          <w:szCs w:val="24"/>
        </w:rPr>
      </w:pPr>
    </w:p>
    <w:p w14:paraId="249222F2" w14:textId="77777777" w:rsidR="006F6C2A" w:rsidRPr="00344E55" w:rsidRDefault="006F6C2A" w:rsidP="009568E6">
      <w:pPr>
        <w:spacing w:line="360" w:lineRule="auto"/>
        <w:contextualSpacing/>
        <w:jc w:val="both"/>
        <w:rPr>
          <w:rFonts w:ascii="Times New Roman" w:hAnsi="Times New Roman" w:cs="Times New Roman"/>
          <w:b/>
          <w:sz w:val="24"/>
          <w:szCs w:val="24"/>
        </w:rPr>
      </w:pPr>
    </w:p>
    <w:p w14:paraId="1553682C" w14:textId="77777777" w:rsidR="00AB4FE0" w:rsidRPr="00344E55" w:rsidRDefault="00AB4FE0" w:rsidP="00AB4FE0">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13.1</w:t>
      </w:r>
      <w:r w:rsidRPr="00344E55">
        <w:rPr>
          <w:rFonts w:ascii="Times New Roman" w:hAnsi="Times New Roman" w:cs="Times New Roman"/>
          <w:b/>
          <w:sz w:val="24"/>
          <w:szCs w:val="24"/>
        </w:rPr>
        <w:tab/>
        <w:t>Small Business and Innovation Fund</w:t>
      </w:r>
    </w:p>
    <w:p w14:paraId="3BD013AF" w14:textId="77777777" w:rsidR="00AB4FE0" w:rsidRPr="00344E55" w:rsidRDefault="00AB4FE0" w:rsidP="00AB4FE0">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 xml:space="preserve">The February 2019 Appropriation Bill established and allocated R3.2 billion over the MTEF period to </w:t>
      </w:r>
      <w:proofErr w:type="spellStart"/>
      <w:r w:rsidRPr="00344E55">
        <w:rPr>
          <w:rFonts w:ascii="Times New Roman" w:hAnsi="Times New Roman" w:cs="Times New Roman"/>
          <w:bCs/>
          <w:sz w:val="24"/>
          <w:szCs w:val="24"/>
        </w:rPr>
        <w:t>sefa</w:t>
      </w:r>
      <w:proofErr w:type="spellEnd"/>
      <w:r w:rsidRPr="00344E55">
        <w:rPr>
          <w:rFonts w:ascii="Times New Roman" w:hAnsi="Times New Roman" w:cs="Times New Roman"/>
          <w:bCs/>
          <w:sz w:val="24"/>
          <w:szCs w:val="24"/>
        </w:rPr>
        <w:t xml:space="preserve"> </w:t>
      </w:r>
      <w:r w:rsidRPr="00344E55">
        <w:rPr>
          <w:rFonts w:ascii="Times New Roman" w:hAnsi="Times New Roman" w:cs="Times New Roman"/>
          <w:sz w:val="24"/>
          <w:szCs w:val="24"/>
        </w:rPr>
        <w:t>as the implementer of the Small Business and Innovation Fund (SBIF). The Fund targets:-</w:t>
      </w:r>
    </w:p>
    <w:p w14:paraId="38900727" w14:textId="77777777" w:rsidR="00AB4FE0" w:rsidRPr="00344E55" w:rsidRDefault="00AB4FE0" w:rsidP="00AB4FE0">
      <w:pPr>
        <w:pStyle w:val="ListParagraph"/>
        <w:numPr>
          <w:ilvl w:val="0"/>
          <w:numId w:val="30"/>
        </w:numPr>
        <w:autoSpaceDE w:val="0"/>
        <w:autoSpaceDN w:val="0"/>
        <w:adjustRightInd w:val="0"/>
        <w:spacing w:line="360" w:lineRule="auto"/>
        <w:jc w:val="both"/>
      </w:pPr>
      <w:r w:rsidRPr="00344E55">
        <w:t>Underserved small, micro and medium enterprises in the early stages of the business development cycle and also;</w:t>
      </w:r>
    </w:p>
    <w:p w14:paraId="086F3033" w14:textId="77777777" w:rsidR="00AB4FE0" w:rsidRPr="00344E55" w:rsidRDefault="00AB4FE0" w:rsidP="00AB4FE0">
      <w:pPr>
        <w:pStyle w:val="ListParagraph"/>
        <w:numPr>
          <w:ilvl w:val="0"/>
          <w:numId w:val="30"/>
        </w:numPr>
        <w:autoSpaceDE w:val="0"/>
        <w:autoSpaceDN w:val="0"/>
        <w:adjustRightInd w:val="0"/>
        <w:spacing w:line="360" w:lineRule="auto"/>
        <w:jc w:val="both"/>
      </w:pPr>
      <w:r w:rsidRPr="00344E55">
        <w:t xml:space="preserve">Provides a range of financial instruments beyond what </w:t>
      </w:r>
      <w:proofErr w:type="spellStart"/>
      <w:r w:rsidRPr="00344E55">
        <w:rPr>
          <w:b/>
          <w:bCs/>
        </w:rPr>
        <w:t>sefa</w:t>
      </w:r>
      <w:proofErr w:type="spellEnd"/>
      <w:r w:rsidRPr="00344E55">
        <w:rPr>
          <w:bCs/>
        </w:rPr>
        <w:t xml:space="preserve"> </w:t>
      </w:r>
      <w:r w:rsidRPr="00344E55">
        <w:t xml:space="preserve">can offer, including grant and quasi-equity funding which is more suitable to the sector that carries a higher risk. </w:t>
      </w:r>
    </w:p>
    <w:p w14:paraId="2C98BD84" w14:textId="77777777" w:rsidR="00AB4FE0" w:rsidRPr="00344E55" w:rsidRDefault="00AB4FE0" w:rsidP="00AB4FE0">
      <w:pPr>
        <w:autoSpaceDE w:val="0"/>
        <w:autoSpaceDN w:val="0"/>
        <w:adjustRightInd w:val="0"/>
        <w:spacing w:after="0" w:line="360" w:lineRule="auto"/>
        <w:contextualSpacing/>
        <w:jc w:val="both"/>
        <w:rPr>
          <w:rFonts w:ascii="Times New Roman" w:hAnsi="Times New Roman" w:cs="Times New Roman"/>
          <w:sz w:val="24"/>
          <w:szCs w:val="24"/>
        </w:rPr>
      </w:pPr>
    </w:p>
    <w:p w14:paraId="7AAB3223" w14:textId="77777777" w:rsidR="00AB4FE0" w:rsidRPr="00344E55" w:rsidRDefault="00AB4FE0" w:rsidP="00AB4FE0">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b/>
          <w:bCs/>
          <w:sz w:val="24"/>
          <w:szCs w:val="24"/>
        </w:rPr>
        <w:t>13.1.1</w:t>
      </w:r>
      <w:r w:rsidRPr="00344E55">
        <w:rPr>
          <w:rFonts w:ascii="Times New Roman" w:hAnsi="Times New Roman" w:cs="Times New Roman"/>
          <w:b/>
          <w:bCs/>
          <w:sz w:val="24"/>
          <w:szCs w:val="24"/>
        </w:rPr>
        <w:tab/>
        <w:t>Strategic objectives of the fund</w:t>
      </w:r>
    </w:p>
    <w:p w14:paraId="14AF69F8" w14:textId="77777777" w:rsidR="00AB4FE0" w:rsidRPr="00344E55" w:rsidRDefault="00AB4FE0" w:rsidP="00AB4FE0">
      <w:pPr>
        <w:pStyle w:val="ListParagraph"/>
        <w:numPr>
          <w:ilvl w:val="0"/>
          <w:numId w:val="31"/>
        </w:numPr>
        <w:autoSpaceDE w:val="0"/>
        <w:autoSpaceDN w:val="0"/>
        <w:adjustRightInd w:val="0"/>
        <w:spacing w:line="360" w:lineRule="auto"/>
        <w:jc w:val="both"/>
      </w:pPr>
      <w:r w:rsidRPr="00344E55">
        <w:t>Increase access to finance to small, micro, medium and co-operative enterprises with specific emphasis on those in the early stage the business cycle;</w:t>
      </w:r>
    </w:p>
    <w:p w14:paraId="28810F4F" w14:textId="77777777" w:rsidR="00AB4FE0" w:rsidRPr="00344E55" w:rsidRDefault="00AB4FE0" w:rsidP="00AB4FE0">
      <w:pPr>
        <w:pStyle w:val="ListParagraph"/>
        <w:numPr>
          <w:ilvl w:val="0"/>
          <w:numId w:val="31"/>
        </w:numPr>
        <w:autoSpaceDE w:val="0"/>
        <w:autoSpaceDN w:val="0"/>
        <w:adjustRightInd w:val="0"/>
        <w:spacing w:line="360" w:lineRule="auto"/>
        <w:jc w:val="both"/>
      </w:pPr>
      <w:r w:rsidRPr="00344E55">
        <w:t>Increase the number and diversity of financial intermediaries that serve the SMMEs and co-operatives;</w:t>
      </w:r>
    </w:p>
    <w:p w14:paraId="7A3516B9" w14:textId="77777777" w:rsidR="00AB4FE0" w:rsidRPr="00344E55" w:rsidRDefault="00AB4FE0" w:rsidP="00AB4FE0">
      <w:pPr>
        <w:pStyle w:val="ListParagraph"/>
        <w:numPr>
          <w:ilvl w:val="0"/>
          <w:numId w:val="31"/>
        </w:numPr>
        <w:autoSpaceDE w:val="0"/>
        <w:autoSpaceDN w:val="0"/>
        <w:adjustRightInd w:val="0"/>
        <w:spacing w:line="360" w:lineRule="auto"/>
        <w:jc w:val="both"/>
      </w:pPr>
      <w:r w:rsidRPr="00344E55">
        <w:t>Promote and facilitate funding of innovation in key industry sectors aligned to the government’s industrial policy and science and technology innovation strategy;</w:t>
      </w:r>
    </w:p>
    <w:p w14:paraId="61B5ACEB" w14:textId="77777777" w:rsidR="00AB4FE0" w:rsidRPr="00344E55" w:rsidRDefault="00AB4FE0" w:rsidP="00AB4FE0">
      <w:pPr>
        <w:pStyle w:val="ListParagraph"/>
        <w:numPr>
          <w:ilvl w:val="0"/>
          <w:numId w:val="31"/>
        </w:numPr>
        <w:autoSpaceDE w:val="0"/>
        <w:autoSpaceDN w:val="0"/>
        <w:adjustRightInd w:val="0"/>
        <w:spacing w:line="360" w:lineRule="auto"/>
        <w:jc w:val="both"/>
      </w:pPr>
      <w:r w:rsidRPr="00344E55">
        <w:t>Enhance financial inclusion by   increasing access to finance for enterprises owned by targeted groups (women, youth, township and rural communities); and</w:t>
      </w:r>
    </w:p>
    <w:p w14:paraId="11B79B00" w14:textId="77777777" w:rsidR="00AB4FE0" w:rsidRPr="00344E55" w:rsidRDefault="00AB4FE0" w:rsidP="00AB4FE0">
      <w:pPr>
        <w:pStyle w:val="ListParagraph"/>
        <w:numPr>
          <w:ilvl w:val="0"/>
          <w:numId w:val="31"/>
        </w:numPr>
        <w:autoSpaceDE w:val="0"/>
        <w:autoSpaceDN w:val="0"/>
        <w:adjustRightInd w:val="0"/>
        <w:spacing w:line="360" w:lineRule="auto"/>
        <w:jc w:val="both"/>
      </w:pPr>
      <w:r w:rsidRPr="00344E55">
        <w:t>Leverage private sector investment to small businesses</w:t>
      </w:r>
    </w:p>
    <w:p w14:paraId="4BC20A7E" w14:textId="77777777" w:rsidR="00AB4FE0" w:rsidRPr="00344E55" w:rsidRDefault="00AB4FE0" w:rsidP="009568E6">
      <w:pPr>
        <w:spacing w:line="360" w:lineRule="auto"/>
        <w:contextualSpacing/>
        <w:jc w:val="both"/>
        <w:rPr>
          <w:rFonts w:ascii="Times New Roman" w:hAnsi="Times New Roman" w:cs="Times New Roman"/>
          <w:b/>
          <w:sz w:val="24"/>
          <w:szCs w:val="24"/>
        </w:rPr>
      </w:pPr>
    </w:p>
    <w:p w14:paraId="6E196627" w14:textId="77777777" w:rsidR="0075402A" w:rsidRPr="00344E55" w:rsidRDefault="00AB4FE0" w:rsidP="009568E6">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14</w:t>
      </w:r>
      <w:r w:rsidR="0075402A" w:rsidRPr="00344E55">
        <w:rPr>
          <w:rFonts w:ascii="Times New Roman" w:hAnsi="Times New Roman" w:cs="Times New Roman"/>
          <w:b/>
          <w:sz w:val="24"/>
          <w:szCs w:val="24"/>
        </w:rPr>
        <w:t>.</w:t>
      </w:r>
      <w:r w:rsidR="0075402A" w:rsidRPr="00344E55">
        <w:rPr>
          <w:rFonts w:ascii="Times New Roman" w:hAnsi="Times New Roman" w:cs="Times New Roman"/>
          <w:b/>
          <w:sz w:val="24"/>
          <w:szCs w:val="24"/>
        </w:rPr>
        <w:tab/>
      </w:r>
      <w:r w:rsidR="00733DA4" w:rsidRPr="00344E55">
        <w:rPr>
          <w:rFonts w:ascii="Times New Roman" w:hAnsi="Times New Roman" w:cs="Times New Roman"/>
          <w:b/>
          <w:sz w:val="24"/>
          <w:szCs w:val="24"/>
        </w:rPr>
        <w:t>FINANCIAL CONSIDERATIONS</w:t>
      </w:r>
    </w:p>
    <w:p w14:paraId="5F70D2F6" w14:textId="77777777" w:rsidR="00733DA4" w:rsidRPr="00344E55" w:rsidRDefault="00733DA4" w:rsidP="009568E6">
      <w:pPr>
        <w:spacing w:line="360" w:lineRule="auto"/>
        <w:contextualSpacing/>
        <w:jc w:val="both"/>
        <w:rPr>
          <w:rFonts w:ascii="Times New Roman" w:hAnsi="Times New Roman" w:cs="Times New Roman"/>
          <w:bCs/>
          <w:sz w:val="24"/>
          <w:szCs w:val="24"/>
        </w:rPr>
      </w:pPr>
    </w:p>
    <w:p w14:paraId="065A1DAF" w14:textId="77777777" w:rsidR="009568E6" w:rsidRPr="00344E55" w:rsidRDefault="00733DA4" w:rsidP="009568E6">
      <w:pPr>
        <w:spacing w:line="360" w:lineRule="auto"/>
        <w:contextualSpacing/>
        <w:jc w:val="both"/>
        <w:rPr>
          <w:rFonts w:ascii="Times New Roman" w:hAnsi="Times New Roman" w:cs="Times New Roman"/>
          <w:bCs/>
          <w:sz w:val="24"/>
          <w:szCs w:val="24"/>
        </w:rPr>
      </w:pPr>
      <w:proofErr w:type="spellStart"/>
      <w:proofErr w:type="gramStart"/>
      <w:r w:rsidRPr="00344E55">
        <w:rPr>
          <w:rFonts w:ascii="Times New Roman" w:hAnsi="Times New Roman" w:cs="Times New Roman"/>
          <w:b/>
          <w:bCs/>
          <w:sz w:val="24"/>
          <w:szCs w:val="24"/>
        </w:rPr>
        <w:t>sefa</w:t>
      </w:r>
      <w:proofErr w:type="spellEnd"/>
      <w:proofErr w:type="gramEnd"/>
      <w:r w:rsidRPr="00344E55">
        <w:rPr>
          <w:rFonts w:ascii="Times New Roman" w:hAnsi="Times New Roman" w:cs="Times New Roman"/>
          <w:bCs/>
          <w:sz w:val="24"/>
          <w:szCs w:val="24"/>
        </w:rPr>
        <w:t xml:space="preserve"> operations are funded by the following revenue streams: (a) interest and dividends from loans and advances, bank deposits and cash; (b) fee income; (c) property rental income: and (d) an annual government</w:t>
      </w:r>
      <w:r w:rsidR="009568E6" w:rsidRPr="00344E55">
        <w:rPr>
          <w:rFonts w:ascii="Times New Roman" w:hAnsi="Times New Roman" w:cs="Times New Roman"/>
          <w:bCs/>
          <w:sz w:val="24"/>
          <w:szCs w:val="24"/>
        </w:rPr>
        <w:t xml:space="preserve"> subsidy (the MTEF allocation). </w:t>
      </w:r>
      <w:r w:rsidR="00AB4FE0" w:rsidRPr="00344E55">
        <w:rPr>
          <w:rFonts w:ascii="Times New Roman" w:hAnsi="Times New Roman" w:cs="Times New Roman"/>
          <w:bCs/>
          <w:sz w:val="24"/>
          <w:szCs w:val="24"/>
        </w:rPr>
        <w:t xml:space="preserve">According to Estimates of National Expenditure </w:t>
      </w:r>
      <w:r w:rsidR="00AB4FE0" w:rsidRPr="00344E55">
        <w:rPr>
          <w:rFonts w:ascii="Times New Roman" w:hAnsi="Times New Roman" w:cs="Times New Roman"/>
          <w:sz w:val="24"/>
          <w:szCs w:val="24"/>
        </w:rPr>
        <w:t>the agency’s total budget for 2019/20 is R461.4 million.</w:t>
      </w:r>
      <w:r w:rsidR="00AB4FE0" w:rsidRPr="00344E55">
        <w:rPr>
          <w:rFonts w:ascii="Times New Roman" w:hAnsi="Times New Roman" w:cs="Times New Roman"/>
          <w:bCs/>
          <w:sz w:val="24"/>
          <w:szCs w:val="24"/>
        </w:rPr>
        <w:t xml:space="preserve"> </w:t>
      </w:r>
      <w:proofErr w:type="spellStart"/>
      <w:proofErr w:type="gramStart"/>
      <w:r w:rsidR="001E6369" w:rsidRPr="00344E55">
        <w:rPr>
          <w:rFonts w:ascii="Times New Roman" w:hAnsi="Times New Roman" w:cs="Times New Roman"/>
          <w:b/>
          <w:bCs/>
          <w:sz w:val="24"/>
          <w:szCs w:val="24"/>
        </w:rPr>
        <w:t>sefa</w:t>
      </w:r>
      <w:proofErr w:type="spellEnd"/>
      <w:proofErr w:type="gramEnd"/>
      <w:r w:rsidR="001E6369" w:rsidRPr="00344E55">
        <w:rPr>
          <w:rFonts w:ascii="Times New Roman" w:hAnsi="Times New Roman" w:cs="Times New Roman"/>
          <w:bCs/>
          <w:sz w:val="24"/>
          <w:szCs w:val="24"/>
        </w:rPr>
        <w:t xml:space="preserve"> financial position </w:t>
      </w:r>
      <w:r w:rsidR="001E6369" w:rsidRPr="00344E55">
        <w:rPr>
          <w:rFonts w:ascii="Times New Roman" w:hAnsi="Times New Roman" w:cs="Times New Roman"/>
          <w:bCs/>
          <w:sz w:val="24"/>
          <w:szCs w:val="24"/>
        </w:rPr>
        <w:lastRenderedPageBreak/>
        <w:t xml:space="preserve">remains grim. During 2018/19 budget vote process the </w:t>
      </w:r>
      <w:r w:rsidRPr="00344E55">
        <w:rPr>
          <w:rFonts w:ascii="Times New Roman" w:hAnsi="Times New Roman" w:cs="Times New Roman"/>
          <w:bCs/>
          <w:sz w:val="24"/>
          <w:szCs w:val="24"/>
        </w:rPr>
        <w:t xml:space="preserve">Board </w:t>
      </w:r>
      <w:r w:rsidR="001E6369" w:rsidRPr="00344E55">
        <w:rPr>
          <w:rFonts w:ascii="Times New Roman" w:hAnsi="Times New Roman" w:cs="Times New Roman"/>
          <w:bCs/>
          <w:sz w:val="24"/>
          <w:szCs w:val="24"/>
        </w:rPr>
        <w:t xml:space="preserve">had </w:t>
      </w:r>
      <w:r w:rsidRPr="00344E55">
        <w:rPr>
          <w:rFonts w:ascii="Times New Roman" w:hAnsi="Times New Roman" w:cs="Times New Roman"/>
          <w:bCs/>
          <w:sz w:val="24"/>
          <w:szCs w:val="24"/>
        </w:rPr>
        <w:t>approved budget cycle over the years 2018/19 to 2022/23. Th</w:t>
      </w:r>
      <w:r w:rsidR="001E6369" w:rsidRPr="00344E55">
        <w:rPr>
          <w:rFonts w:ascii="Times New Roman" w:hAnsi="Times New Roman" w:cs="Times New Roman"/>
          <w:bCs/>
          <w:sz w:val="24"/>
          <w:szCs w:val="24"/>
        </w:rPr>
        <w:t xml:space="preserve">e </w:t>
      </w:r>
      <w:r w:rsidRPr="00344E55">
        <w:rPr>
          <w:rFonts w:ascii="Times New Roman" w:hAnsi="Times New Roman" w:cs="Times New Roman"/>
          <w:bCs/>
          <w:sz w:val="24"/>
          <w:szCs w:val="24"/>
        </w:rPr>
        <w:t>budget incorporate</w:t>
      </w:r>
      <w:r w:rsidR="001E6369" w:rsidRPr="00344E55">
        <w:rPr>
          <w:rFonts w:ascii="Times New Roman" w:hAnsi="Times New Roman" w:cs="Times New Roman"/>
          <w:bCs/>
          <w:sz w:val="24"/>
          <w:szCs w:val="24"/>
        </w:rPr>
        <w:t>d</w:t>
      </w:r>
      <w:r w:rsidRPr="00344E55">
        <w:rPr>
          <w:rFonts w:ascii="Times New Roman" w:hAnsi="Times New Roman" w:cs="Times New Roman"/>
          <w:bCs/>
          <w:sz w:val="24"/>
          <w:szCs w:val="24"/>
        </w:rPr>
        <w:t xml:space="preserve"> the drawdown from the IDC facility</w:t>
      </w:r>
      <w:r w:rsidR="00FB3A98" w:rsidRPr="00344E55">
        <w:rPr>
          <w:rFonts w:ascii="Times New Roman" w:hAnsi="Times New Roman" w:cs="Times New Roman"/>
          <w:bCs/>
          <w:sz w:val="24"/>
          <w:szCs w:val="24"/>
        </w:rPr>
        <w:t xml:space="preserve">. </w:t>
      </w:r>
      <w:r w:rsidRPr="00344E55">
        <w:rPr>
          <w:rFonts w:ascii="Times New Roman" w:hAnsi="Times New Roman" w:cs="Times New Roman"/>
          <w:bCs/>
          <w:sz w:val="24"/>
          <w:szCs w:val="24"/>
        </w:rPr>
        <w:t>The loan facility amounts to R9</w:t>
      </w:r>
      <w:r w:rsidR="00366F65" w:rsidRPr="00344E55">
        <w:rPr>
          <w:rFonts w:ascii="Times New Roman" w:hAnsi="Times New Roman" w:cs="Times New Roman"/>
          <w:bCs/>
          <w:sz w:val="24"/>
          <w:szCs w:val="24"/>
        </w:rPr>
        <w:t>21 million, at zero percent</w:t>
      </w:r>
      <w:r w:rsidRPr="00344E55">
        <w:rPr>
          <w:rFonts w:ascii="Times New Roman" w:hAnsi="Times New Roman" w:cs="Times New Roman"/>
          <w:bCs/>
          <w:sz w:val="24"/>
          <w:szCs w:val="24"/>
        </w:rPr>
        <w:t xml:space="preserve"> interest rate and no raising fees. The loan is subject to 60 (sixty) month capital moratorium thereafter the loan shall be paid over a </w:t>
      </w:r>
      <w:r w:rsidR="00337CCC" w:rsidRPr="00344E55">
        <w:rPr>
          <w:rFonts w:ascii="Times New Roman" w:hAnsi="Times New Roman" w:cs="Times New Roman"/>
          <w:bCs/>
          <w:sz w:val="24"/>
          <w:szCs w:val="24"/>
        </w:rPr>
        <w:t>120-month</w:t>
      </w:r>
      <w:r w:rsidRPr="00344E55">
        <w:rPr>
          <w:rFonts w:ascii="Times New Roman" w:hAnsi="Times New Roman" w:cs="Times New Roman"/>
          <w:bCs/>
          <w:sz w:val="24"/>
          <w:szCs w:val="24"/>
        </w:rPr>
        <w:t xml:space="preserve"> period. First instalment shall be on the 61</w:t>
      </w:r>
      <w:r w:rsidR="00FB3A98" w:rsidRPr="00344E55">
        <w:rPr>
          <w:rFonts w:ascii="Times New Roman" w:hAnsi="Times New Roman" w:cs="Times New Roman"/>
          <w:bCs/>
          <w:sz w:val="24"/>
          <w:szCs w:val="24"/>
          <w:vertAlign w:val="superscript"/>
        </w:rPr>
        <w:t>st</w:t>
      </w:r>
      <w:r w:rsidR="00FB3A98" w:rsidRPr="00344E55">
        <w:rPr>
          <w:rFonts w:ascii="Times New Roman" w:hAnsi="Times New Roman" w:cs="Times New Roman"/>
          <w:bCs/>
          <w:sz w:val="24"/>
          <w:szCs w:val="24"/>
        </w:rPr>
        <w:t xml:space="preserve"> </w:t>
      </w:r>
      <w:r w:rsidRPr="00344E55">
        <w:rPr>
          <w:rFonts w:ascii="Times New Roman" w:hAnsi="Times New Roman" w:cs="Times New Roman"/>
          <w:bCs/>
          <w:sz w:val="24"/>
          <w:szCs w:val="24"/>
        </w:rPr>
        <w:t>month following the first drawdown. Th</w:t>
      </w:r>
      <w:r w:rsidR="001E6369" w:rsidRPr="00344E55">
        <w:rPr>
          <w:rFonts w:ascii="Times New Roman" w:hAnsi="Times New Roman" w:cs="Times New Roman"/>
          <w:bCs/>
          <w:sz w:val="24"/>
          <w:szCs w:val="24"/>
        </w:rPr>
        <w:t>e</w:t>
      </w:r>
      <w:r w:rsidRPr="00344E55">
        <w:rPr>
          <w:rFonts w:ascii="Times New Roman" w:hAnsi="Times New Roman" w:cs="Times New Roman"/>
          <w:bCs/>
          <w:sz w:val="24"/>
          <w:szCs w:val="24"/>
        </w:rPr>
        <w:t xml:space="preserve"> loan will be used for on-lending purpose</w:t>
      </w:r>
      <w:r w:rsidR="001E6369" w:rsidRPr="00344E55">
        <w:rPr>
          <w:rFonts w:ascii="Times New Roman" w:hAnsi="Times New Roman" w:cs="Times New Roman"/>
          <w:bCs/>
          <w:sz w:val="24"/>
          <w:szCs w:val="24"/>
        </w:rPr>
        <w:t>s</w:t>
      </w:r>
      <w:r w:rsidRPr="00344E55">
        <w:rPr>
          <w:rFonts w:ascii="Times New Roman" w:hAnsi="Times New Roman" w:cs="Times New Roman"/>
          <w:bCs/>
          <w:sz w:val="24"/>
          <w:szCs w:val="24"/>
        </w:rPr>
        <w:t xml:space="preserve"> only.</w:t>
      </w:r>
      <w:r w:rsidRPr="00344E55">
        <w:rPr>
          <w:rFonts w:ascii="Times New Roman" w:hAnsi="Times New Roman" w:cs="Times New Roman"/>
          <w:sz w:val="24"/>
          <w:szCs w:val="24"/>
        </w:rPr>
        <w:t xml:space="preserve"> </w:t>
      </w:r>
      <w:proofErr w:type="gramStart"/>
      <w:r w:rsidR="009568E6" w:rsidRPr="00344E55">
        <w:rPr>
          <w:rFonts w:ascii="Times New Roman" w:hAnsi="Times New Roman" w:cs="Times New Roman"/>
          <w:bCs/>
          <w:sz w:val="24"/>
          <w:szCs w:val="24"/>
        </w:rPr>
        <w:t xml:space="preserve">Even though the facility amount </w:t>
      </w:r>
      <w:r w:rsidRPr="00344E55">
        <w:rPr>
          <w:rFonts w:ascii="Times New Roman" w:hAnsi="Times New Roman" w:cs="Times New Roman"/>
          <w:bCs/>
          <w:sz w:val="24"/>
          <w:szCs w:val="24"/>
        </w:rPr>
        <w:t xml:space="preserve">to R921 million, </w:t>
      </w:r>
      <w:proofErr w:type="spellStart"/>
      <w:r w:rsidRPr="00344E55">
        <w:rPr>
          <w:rFonts w:ascii="Times New Roman" w:hAnsi="Times New Roman" w:cs="Times New Roman"/>
          <w:b/>
          <w:bCs/>
          <w:sz w:val="24"/>
          <w:szCs w:val="24"/>
        </w:rPr>
        <w:t>sefa</w:t>
      </w:r>
      <w:proofErr w:type="spellEnd"/>
      <w:r w:rsidRPr="00344E55">
        <w:rPr>
          <w:rFonts w:ascii="Times New Roman" w:hAnsi="Times New Roman" w:cs="Times New Roman"/>
          <w:bCs/>
          <w:sz w:val="24"/>
          <w:szCs w:val="24"/>
        </w:rPr>
        <w:t xml:space="preserve"> anticipates withdrawing only R640 million during the </w:t>
      </w:r>
      <w:r w:rsidR="00A5762B" w:rsidRPr="00344E55">
        <w:rPr>
          <w:rFonts w:ascii="Times New Roman" w:hAnsi="Times New Roman" w:cs="Times New Roman"/>
          <w:bCs/>
          <w:sz w:val="24"/>
          <w:szCs w:val="24"/>
        </w:rPr>
        <w:t>five (</w:t>
      </w:r>
      <w:r w:rsidRPr="00344E55">
        <w:rPr>
          <w:rFonts w:ascii="Times New Roman" w:hAnsi="Times New Roman" w:cs="Times New Roman"/>
          <w:bCs/>
          <w:sz w:val="24"/>
          <w:szCs w:val="24"/>
        </w:rPr>
        <w:t>5</w:t>
      </w:r>
      <w:r w:rsidR="00A5762B" w:rsidRPr="00344E55">
        <w:rPr>
          <w:rFonts w:ascii="Times New Roman" w:hAnsi="Times New Roman" w:cs="Times New Roman"/>
          <w:bCs/>
          <w:sz w:val="24"/>
          <w:szCs w:val="24"/>
        </w:rPr>
        <w:t>)</w:t>
      </w:r>
      <w:r w:rsidRPr="00344E55">
        <w:rPr>
          <w:rFonts w:ascii="Times New Roman" w:hAnsi="Times New Roman" w:cs="Times New Roman"/>
          <w:bCs/>
          <w:sz w:val="24"/>
          <w:szCs w:val="24"/>
        </w:rPr>
        <w:t xml:space="preserve"> year period ending 2022/23.</w:t>
      </w:r>
      <w:proofErr w:type="gramEnd"/>
      <w:r w:rsidR="009568E6" w:rsidRPr="00344E55">
        <w:rPr>
          <w:rFonts w:ascii="Times New Roman" w:hAnsi="Times New Roman" w:cs="Times New Roman"/>
          <w:sz w:val="24"/>
          <w:szCs w:val="24"/>
        </w:rPr>
        <w:t xml:space="preserve"> </w:t>
      </w:r>
      <w:r w:rsidR="009568E6" w:rsidRPr="00344E55">
        <w:rPr>
          <w:rFonts w:ascii="Times New Roman" w:hAnsi="Times New Roman" w:cs="Times New Roman"/>
          <w:bCs/>
          <w:sz w:val="24"/>
          <w:szCs w:val="24"/>
        </w:rPr>
        <w:t xml:space="preserve">The IDC loan draw down is necessitated by the worsening cash status of </w:t>
      </w:r>
      <w:proofErr w:type="spellStart"/>
      <w:r w:rsidR="009568E6" w:rsidRPr="00344E55">
        <w:rPr>
          <w:rFonts w:ascii="Times New Roman" w:hAnsi="Times New Roman" w:cs="Times New Roman"/>
          <w:b/>
          <w:bCs/>
          <w:sz w:val="24"/>
          <w:szCs w:val="24"/>
        </w:rPr>
        <w:t>sefa</w:t>
      </w:r>
      <w:proofErr w:type="spellEnd"/>
      <w:r w:rsidR="009568E6" w:rsidRPr="00344E55">
        <w:rPr>
          <w:rFonts w:ascii="Times New Roman" w:hAnsi="Times New Roman" w:cs="Times New Roman"/>
          <w:bCs/>
          <w:sz w:val="24"/>
          <w:szCs w:val="24"/>
        </w:rPr>
        <w:t xml:space="preserve"> with the depletion of cash resources over the 5-year period </w:t>
      </w:r>
      <w:r w:rsidR="00FB3A98" w:rsidRPr="00344E55">
        <w:rPr>
          <w:rFonts w:ascii="Times New Roman" w:hAnsi="Times New Roman" w:cs="Times New Roman"/>
          <w:bCs/>
          <w:sz w:val="24"/>
          <w:szCs w:val="24"/>
        </w:rPr>
        <w:t>because</w:t>
      </w:r>
      <w:r w:rsidR="009568E6" w:rsidRPr="00344E55">
        <w:rPr>
          <w:rFonts w:ascii="Times New Roman" w:hAnsi="Times New Roman" w:cs="Times New Roman"/>
          <w:bCs/>
          <w:sz w:val="24"/>
          <w:szCs w:val="24"/>
        </w:rPr>
        <w:t xml:space="preserve"> of high staff costs, high impairments rates and a worsened properties portfolio. </w:t>
      </w:r>
    </w:p>
    <w:p w14:paraId="4A316EC8" w14:textId="77777777" w:rsidR="00FB3A98" w:rsidRPr="00344E55" w:rsidRDefault="00FB3A98" w:rsidP="009568E6">
      <w:pPr>
        <w:spacing w:line="360" w:lineRule="auto"/>
        <w:contextualSpacing/>
        <w:jc w:val="both"/>
        <w:rPr>
          <w:rFonts w:ascii="Times New Roman" w:hAnsi="Times New Roman" w:cs="Times New Roman"/>
          <w:bCs/>
          <w:sz w:val="24"/>
          <w:szCs w:val="24"/>
        </w:rPr>
      </w:pPr>
    </w:p>
    <w:p w14:paraId="6573CEF0" w14:textId="77777777" w:rsidR="005200EB" w:rsidRPr="00344E55" w:rsidRDefault="001E6369" w:rsidP="00A26B16">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15</w:t>
      </w:r>
      <w:r w:rsidR="005200EB" w:rsidRPr="00344E55">
        <w:rPr>
          <w:rFonts w:ascii="Times New Roman" w:hAnsi="Times New Roman" w:cs="Times New Roman"/>
          <w:b/>
          <w:sz w:val="24"/>
          <w:szCs w:val="24"/>
        </w:rPr>
        <w:t>.</w:t>
      </w:r>
      <w:r w:rsidR="005200EB" w:rsidRPr="00344E55">
        <w:rPr>
          <w:rFonts w:ascii="Times New Roman" w:hAnsi="Times New Roman" w:cs="Times New Roman"/>
          <w:b/>
          <w:sz w:val="24"/>
          <w:szCs w:val="24"/>
        </w:rPr>
        <w:tab/>
        <w:t>OBSERVATIONS</w:t>
      </w:r>
    </w:p>
    <w:p w14:paraId="26D6B6B0" w14:textId="77777777" w:rsidR="005200EB" w:rsidRPr="00344E55" w:rsidRDefault="005200EB" w:rsidP="00A26B16">
      <w:pPr>
        <w:spacing w:line="360" w:lineRule="auto"/>
        <w:contextualSpacing/>
        <w:jc w:val="both"/>
        <w:rPr>
          <w:rFonts w:ascii="Times New Roman" w:hAnsi="Times New Roman" w:cs="Times New Roman"/>
          <w:sz w:val="24"/>
          <w:szCs w:val="24"/>
        </w:rPr>
      </w:pPr>
    </w:p>
    <w:p w14:paraId="162B4E30" w14:textId="77777777" w:rsidR="004A3553" w:rsidRPr="00344E55" w:rsidRDefault="005200EB" w:rsidP="00A26B16">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Having reflected on</w:t>
      </w:r>
      <w:r w:rsidR="009568E6" w:rsidRPr="00344E55">
        <w:rPr>
          <w:rFonts w:ascii="Times New Roman" w:hAnsi="Times New Roman" w:cs="Times New Roman"/>
          <w:sz w:val="24"/>
          <w:szCs w:val="24"/>
        </w:rPr>
        <w:t xml:space="preserve"> the Department, </w:t>
      </w:r>
      <w:proofErr w:type="spellStart"/>
      <w:r w:rsidR="009568E6" w:rsidRPr="00344E55">
        <w:rPr>
          <w:rFonts w:ascii="Times New Roman" w:hAnsi="Times New Roman" w:cs="Times New Roman"/>
          <w:b/>
          <w:sz w:val="24"/>
          <w:szCs w:val="24"/>
        </w:rPr>
        <w:t>sefa</w:t>
      </w:r>
      <w:proofErr w:type="spellEnd"/>
      <w:r w:rsidR="009568E6" w:rsidRPr="00344E55">
        <w:rPr>
          <w:rFonts w:ascii="Times New Roman" w:hAnsi="Times New Roman" w:cs="Times New Roman"/>
          <w:sz w:val="24"/>
          <w:szCs w:val="24"/>
        </w:rPr>
        <w:t xml:space="preserve"> and </w:t>
      </w:r>
      <w:proofErr w:type="spellStart"/>
      <w:r w:rsidR="009568E6" w:rsidRPr="00344E55">
        <w:rPr>
          <w:rFonts w:ascii="Times New Roman" w:hAnsi="Times New Roman" w:cs="Times New Roman"/>
          <w:sz w:val="24"/>
          <w:szCs w:val="24"/>
        </w:rPr>
        <w:t>Seda</w:t>
      </w:r>
      <w:proofErr w:type="spellEnd"/>
      <w:r w:rsidR="006A392C" w:rsidRPr="00344E55">
        <w:rPr>
          <w:rFonts w:ascii="Times New Roman" w:hAnsi="Times New Roman" w:cs="Times New Roman"/>
          <w:sz w:val="24"/>
          <w:szCs w:val="24"/>
        </w:rPr>
        <w:t xml:space="preserve"> </w:t>
      </w:r>
      <w:r w:rsidR="005D6D3A" w:rsidRPr="00344E55">
        <w:rPr>
          <w:rFonts w:ascii="Times New Roman" w:hAnsi="Times New Roman" w:cs="Times New Roman"/>
          <w:sz w:val="24"/>
          <w:szCs w:val="24"/>
        </w:rPr>
        <w:t>annual performance p</w:t>
      </w:r>
      <w:r w:rsidR="00FF488C" w:rsidRPr="00344E55">
        <w:rPr>
          <w:rFonts w:ascii="Times New Roman" w:hAnsi="Times New Roman" w:cs="Times New Roman"/>
          <w:sz w:val="24"/>
          <w:szCs w:val="24"/>
        </w:rPr>
        <w:t>lans and budgets for 2019/20</w:t>
      </w:r>
      <w:r w:rsidR="00C845DD" w:rsidRPr="00344E55">
        <w:rPr>
          <w:rFonts w:ascii="Times New Roman" w:hAnsi="Times New Roman" w:cs="Times New Roman"/>
          <w:sz w:val="24"/>
          <w:szCs w:val="24"/>
        </w:rPr>
        <w:t>,</w:t>
      </w:r>
      <w:r w:rsidR="009568E6" w:rsidRPr="00344E55">
        <w:rPr>
          <w:rFonts w:ascii="Times New Roman" w:hAnsi="Times New Roman" w:cs="Times New Roman"/>
          <w:sz w:val="24"/>
          <w:szCs w:val="24"/>
        </w:rPr>
        <w:t xml:space="preserve"> </w:t>
      </w:r>
      <w:r w:rsidRPr="00344E55">
        <w:rPr>
          <w:rFonts w:ascii="Times New Roman" w:hAnsi="Times New Roman" w:cs="Times New Roman"/>
          <w:sz w:val="24"/>
          <w:szCs w:val="24"/>
        </w:rPr>
        <w:t xml:space="preserve">the Portfolio Committee hereby register the following observations and recommendations for consideration by the Department: - </w:t>
      </w:r>
    </w:p>
    <w:p w14:paraId="16634F85" w14:textId="77777777" w:rsidR="00AE556C" w:rsidRPr="00344E55" w:rsidRDefault="00AE556C" w:rsidP="00A26B16">
      <w:pPr>
        <w:spacing w:line="360" w:lineRule="auto"/>
        <w:contextualSpacing/>
        <w:jc w:val="both"/>
        <w:rPr>
          <w:rFonts w:ascii="Times New Roman" w:hAnsi="Times New Roman" w:cs="Times New Roman"/>
          <w:sz w:val="24"/>
          <w:szCs w:val="24"/>
        </w:rPr>
      </w:pPr>
    </w:p>
    <w:p w14:paraId="7AEE711D" w14:textId="77777777" w:rsidR="00FF488C" w:rsidRPr="00344E55" w:rsidRDefault="00FF488C" w:rsidP="00A26B16">
      <w:pPr>
        <w:spacing w:line="360" w:lineRule="auto"/>
        <w:ind w:left="720" w:hanging="720"/>
        <w:contextualSpacing/>
        <w:jc w:val="both"/>
        <w:rPr>
          <w:rFonts w:ascii="Times New Roman" w:hAnsi="Times New Roman" w:cs="Times New Roman"/>
          <w:sz w:val="24"/>
          <w:szCs w:val="24"/>
        </w:rPr>
      </w:pPr>
      <w:r w:rsidRPr="00344E55">
        <w:rPr>
          <w:rFonts w:ascii="Times New Roman" w:hAnsi="Times New Roman" w:cs="Times New Roman"/>
          <w:sz w:val="24"/>
          <w:szCs w:val="24"/>
        </w:rPr>
        <w:t>15</w:t>
      </w:r>
      <w:r w:rsidR="006B4ECE" w:rsidRPr="00344E55">
        <w:rPr>
          <w:rFonts w:ascii="Times New Roman" w:hAnsi="Times New Roman" w:cs="Times New Roman"/>
          <w:sz w:val="24"/>
          <w:szCs w:val="24"/>
        </w:rPr>
        <w:t>.1</w:t>
      </w:r>
      <w:r w:rsidR="006B4ECE" w:rsidRPr="00344E55">
        <w:rPr>
          <w:rFonts w:ascii="Times New Roman" w:hAnsi="Times New Roman" w:cs="Times New Roman"/>
          <w:sz w:val="24"/>
          <w:szCs w:val="24"/>
        </w:rPr>
        <w:tab/>
        <w:t>The</w:t>
      </w:r>
      <w:r w:rsidRPr="00344E55">
        <w:rPr>
          <w:rFonts w:ascii="Times New Roman" w:hAnsi="Times New Roman" w:cs="Times New Roman"/>
          <w:sz w:val="24"/>
          <w:szCs w:val="24"/>
        </w:rPr>
        <w:t xml:space="preserve"> Portfolio Committee is pleased that following the national general elections and reconfiguration of the state departments, the De</w:t>
      </w:r>
      <w:r w:rsidR="006B4ECE" w:rsidRPr="00344E55">
        <w:rPr>
          <w:rFonts w:ascii="Times New Roman" w:hAnsi="Times New Roman" w:cs="Times New Roman"/>
          <w:sz w:val="24"/>
          <w:szCs w:val="24"/>
        </w:rPr>
        <w:t>partment of Small Business De</w:t>
      </w:r>
      <w:r w:rsidR="00C74358" w:rsidRPr="00344E55">
        <w:rPr>
          <w:rFonts w:ascii="Times New Roman" w:hAnsi="Times New Roman" w:cs="Times New Roman"/>
          <w:sz w:val="24"/>
          <w:szCs w:val="24"/>
        </w:rPr>
        <w:t xml:space="preserve">velopment </w:t>
      </w:r>
      <w:r w:rsidRPr="00344E55">
        <w:rPr>
          <w:rFonts w:ascii="Times New Roman" w:hAnsi="Times New Roman" w:cs="Times New Roman"/>
          <w:sz w:val="24"/>
          <w:szCs w:val="24"/>
        </w:rPr>
        <w:t>was spared in order to dispense its mandate of developing small enterprises. This could only reaffirm</w:t>
      </w:r>
      <w:r w:rsidR="006B4ECE" w:rsidRPr="00344E55">
        <w:rPr>
          <w:rFonts w:ascii="Times New Roman" w:hAnsi="Times New Roman" w:cs="Times New Roman"/>
          <w:sz w:val="24"/>
          <w:szCs w:val="24"/>
        </w:rPr>
        <w:t xml:space="preserve"> </w:t>
      </w:r>
      <w:r w:rsidRPr="00344E55">
        <w:rPr>
          <w:rFonts w:ascii="Times New Roman" w:hAnsi="Times New Roman" w:cs="Times New Roman"/>
          <w:sz w:val="24"/>
          <w:szCs w:val="24"/>
        </w:rPr>
        <w:t xml:space="preserve">the </w:t>
      </w:r>
      <w:r w:rsidR="006B4ECE" w:rsidRPr="00344E55">
        <w:rPr>
          <w:rFonts w:ascii="Times New Roman" w:hAnsi="Times New Roman" w:cs="Times New Roman"/>
          <w:sz w:val="24"/>
          <w:szCs w:val="24"/>
        </w:rPr>
        <w:t xml:space="preserve">prominence of the small business </w:t>
      </w:r>
      <w:r w:rsidR="00C74358" w:rsidRPr="00344E55">
        <w:rPr>
          <w:rFonts w:ascii="Times New Roman" w:hAnsi="Times New Roman" w:cs="Times New Roman"/>
          <w:sz w:val="24"/>
          <w:szCs w:val="24"/>
        </w:rPr>
        <w:t>segment</w:t>
      </w:r>
      <w:r w:rsidR="006B4ECE" w:rsidRPr="00344E55">
        <w:rPr>
          <w:rFonts w:ascii="Times New Roman" w:hAnsi="Times New Roman" w:cs="Times New Roman"/>
          <w:sz w:val="24"/>
          <w:szCs w:val="24"/>
        </w:rPr>
        <w:t xml:space="preserve"> to South Africa’s economy, and the hope that it can lead the</w:t>
      </w:r>
      <w:r w:rsidRPr="00344E55">
        <w:rPr>
          <w:rFonts w:ascii="Times New Roman" w:hAnsi="Times New Roman" w:cs="Times New Roman"/>
          <w:sz w:val="24"/>
          <w:szCs w:val="24"/>
        </w:rPr>
        <w:t xml:space="preserve"> way to a more thriving </w:t>
      </w:r>
      <w:r w:rsidR="00784A03" w:rsidRPr="00344E55">
        <w:rPr>
          <w:rFonts w:ascii="Times New Roman" w:hAnsi="Times New Roman" w:cs="Times New Roman"/>
          <w:sz w:val="24"/>
          <w:szCs w:val="24"/>
        </w:rPr>
        <w:t>economy</w:t>
      </w:r>
      <w:r w:rsidRPr="00344E55">
        <w:rPr>
          <w:rFonts w:ascii="Times New Roman" w:hAnsi="Times New Roman" w:cs="Times New Roman"/>
          <w:sz w:val="24"/>
          <w:szCs w:val="24"/>
        </w:rPr>
        <w:t>;</w:t>
      </w:r>
    </w:p>
    <w:p w14:paraId="28765089" w14:textId="77777777" w:rsidR="00223D5C" w:rsidRPr="00344E55" w:rsidRDefault="00FF488C" w:rsidP="00A26B16">
      <w:pPr>
        <w:spacing w:line="360" w:lineRule="auto"/>
        <w:ind w:left="720" w:hanging="720"/>
        <w:contextualSpacing/>
        <w:jc w:val="both"/>
        <w:rPr>
          <w:rStyle w:val="st1"/>
          <w:rFonts w:ascii="Times New Roman" w:hAnsi="Times New Roman" w:cs="Times New Roman"/>
          <w:sz w:val="24"/>
          <w:szCs w:val="24"/>
        </w:rPr>
      </w:pPr>
      <w:r w:rsidRPr="00344E55">
        <w:rPr>
          <w:rFonts w:ascii="Times New Roman" w:hAnsi="Times New Roman" w:cs="Times New Roman"/>
          <w:sz w:val="24"/>
          <w:szCs w:val="24"/>
        </w:rPr>
        <w:t>15.2</w:t>
      </w:r>
      <w:r w:rsidRPr="00344E55">
        <w:rPr>
          <w:rFonts w:ascii="Times New Roman" w:hAnsi="Times New Roman" w:cs="Times New Roman"/>
          <w:sz w:val="24"/>
          <w:szCs w:val="24"/>
        </w:rPr>
        <w:tab/>
        <w:t xml:space="preserve">The budget vote(s) engagement on 3 July </w:t>
      </w:r>
      <w:r w:rsidR="00223D5C" w:rsidRPr="00344E55">
        <w:rPr>
          <w:rFonts w:ascii="Times New Roman" w:hAnsi="Times New Roman" w:cs="Times New Roman"/>
          <w:sz w:val="24"/>
          <w:szCs w:val="24"/>
        </w:rPr>
        <w:t>2019</w:t>
      </w:r>
      <w:r w:rsidRPr="00344E55">
        <w:rPr>
          <w:rFonts w:ascii="Times New Roman" w:hAnsi="Times New Roman" w:cs="Times New Roman"/>
          <w:sz w:val="24"/>
          <w:szCs w:val="24"/>
        </w:rPr>
        <w:t xml:space="preserve"> marked the beginning of a new era, first interaction between the Department of Small Business Development and t</w:t>
      </w:r>
      <w:r w:rsidR="006B4ECE" w:rsidRPr="00344E55">
        <w:rPr>
          <w:rFonts w:ascii="Times New Roman" w:hAnsi="Times New Roman" w:cs="Times New Roman"/>
          <w:sz w:val="24"/>
          <w:szCs w:val="24"/>
        </w:rPr>
        <w:t>he Portfolio Committee</w:t>
      </w:r>
      <w:r w:rsidR="00223D5C" w:rsidRPr="00344E55">
        <w:rPr>
          <w:rFonts w:ascii="Times New Roman" w:hAnsi="Times New Roman" w:cs="Times New Roman"/>
          <w:sz w:val="24"/>
          <w:szCs w:val="24"/>
        </w:rPr>
        <w:t xml:space="preserve"> during the sixth Parliament</w:t>
      </w:r>
      <w:r w:rsidRPr="00344E55">
        <w:rPr>
          <w:rFonts w:ascii="Times New Roman" w:hAnsi="Times New Roman" w:cs="Times New Roman"/>
          <w:sz w:val="24"/>
          <w:szCs w:val="24"/>
        </w:rPr>
        <w:t xml:space="preserve">. The Chairperson of the Portfolio Committee </w:t>
      </w:r>
      <w:r w:rsidR="00223D5C" w:rsidRPr="00344E55">
        <w:rPr>
          <w:rFonts w:ascii="Times New Roman" w:hAnsi="Times New Roman" w:cs="Times New Roman"/>
          <w:sz w:val="24"/>
          <w:szCs w:val="24"/>
        </w:rPr>
        <w:t xml:space="preserve">Honourable Violet </w:t>
      </w:r>
      <w:proofErr w:type="spellStart"/>
      <w:r w:rsidR="00223D5C" w:rsidRPr="00344E55">
        <w:rPr>
          <w:rFonts w:ascii="Times New Roman" w:hAnsi="Times New Roman" w:cs="Times New Roman"/>
          <w:sz w:val="24"/>
          <w:szCs w:val="24"/>
        </w:rPr>
        <w:t>Siwela</w:t>
      </w:r>
      <w:proofErr w:type="spellEnd"/>
      <w:r w:rsidR="00223D5C" w:rsidRPr="00344E55">
        <w:rPr>
          <w:rFonts w:ascii="Times New Roman" w:hAnsi="Times New Roman" w:cs="Times New Roman"/>
          <w:sz w:val="24"/>
          <w:szCs w:val="24"/>
        </w:rPr>
        <w:t xml:space="preserve"> applauded the outgoing Portfolio Committee for a sterling foundational job done during the fifth Parliament, </w:t>
      </w:r>
      <w:r w:rsidR="00A46048" w:rsidRPr="00344E55">
        <w:rPr>
          <w:rFonts w:ascii="Times New Roman" w:hAnsi="Times New Roman" w:cs="Times New Roman"/>
          <w:sz w:val="24"/>
          <w:szCs w:val="24"/>
        </w:rPr>
        <w:t>welcome</w:t>
      </w:r>
      <w:r w:rsidRPr="00344E55">
        <w:rPr>
          <w:rFonts w:ascii="Times New Roman" w:hAnsi="Times New Roman" w:cs="Times New Roman"/>
          <w:sz w:val="24"/>
          <w:szCs w:val="24"/>
        </w:rPr>
        <w:t xml:space="preserve">d the new </w:t>
      </w:r>
      <w:r w:rsidR="00223D5C" w:rsidRPr="00344E55">
        <w:rPr>
          <w:rFonts w:ascii="Times New Roman" w:hAnsi="Times New Roman" w:cs="Times New Roman"/>
          <w:sz w:val="24"/>
          <w:szCs w:val="24"/>
        </w:rPr>
        <w:t xml:space="preserve">members and </w:t>
      </w:r>
      <w:r w:rsidRPr="00344E55">
        <w:rPr>
          <w:rFonts w:ascii="Times New Roman" w:hAnsi="Times New Roman" w:cs="Times New Roman"/>
          <w:sz w:val="24"/>
          <w:szCs w:val="24"/>
        </w:rPr>
        <w:t>the Department</w:t>
      </w:r>
      <w:r w:rsidR="00223D5C" w:rsidRPr="00344E55">
        <w:rPr>
          <w:rFonts w:ascii="Times New Roman" w:hAnsi="Times New Roman" w:cs="Times New Roman"/>
          <w:sz w:val="24"/>
          <w:szCs w:val="24"/>
        </w:rPr>
        <w:t xml:space="preserve"> under the new leadership of Minister </w:t>
      </w:r>
      <w:proofErr w:type="spellStart"/>
      <w:r w:rsidR="00223D5C" w:rsidRPr="00344E55">
        <w:rPr>
          <w:rStyle w:val="st1"/>
          <w:rFonts w:ascii="Times New Roman" w:hAnsi="Times New Roman" w:cs="Times New Roman"/>
          <w:sz w:val="24"/>
          <w:szCs w:val="24"/>
        </w:rPr>
        <w:t>Khumbudzo</w:t>
      </w:r>
      <w:proofErr w:type="spellEnd"/>
      <w:r w:rsidR="00223D5C" w:rsidRPr="00344E55">
        <w:rPr>
          <w:rStyle w:val="st1"/>
          <w:rFonts w:ascii="Times New Roman" w:hAnsi="Times New Roman" w:cs="Times New Roman"/>
          <w:sz w:val="24"/>
          <w:szCs w:val="24"/>
        </w:rPr>
        <w:t xml:space="preserve"> </w:t>
      </w:r>
      <w:proofErr w:type="spellStart"/>
      <w:r w:rsidR="00223D5C" w:rsidRPr="00344E55">
        <w:rPr>
          <w:rStyle w:val="st1"/>
          <w:rFonts w:ascii="Times New Roman" w:hAnsi="Times New Roman" w:cs="Times New Roman"/>
          <w:sz w:val="24"/>
          <w:szCs w:val="24"/>
        </w:rPr>
        <w:t>Ntshavheni</w:t>
      </w:r>
      <w:proofErr w:type="spellEnd"/>
      <w:r w:rsidR="00223D5C" w:rsidRPr="00344E55">
        <w:rPr>
          <w:rStyle w:val="st1"/>
          <w:rFonts w:ascii="Times New Roman" w:hAnsi="Times New Roman" w:cs="Times New Roman"/>
          <w:sz w:val="24"/>
          <w:szCs w:val="24"/>
        </w:rPr>
        <w:t xml:space="preserve">, and Deputy Minister Rosemary </w:t>
      </w:r>
      <w:proofErr w:type="spellStart"/>
      <w:r w:rsidR="00223D5C" w:rsidRPr="00344E55">
        <w:rPr>
          <w:rStyle w:val="st1"/>
          <w:rFonts w:ascii="Times New Roman" w:hAnsi="Times New Roman" w:cs="Times New Roman"/>
          <w:sz w:val="24"/>
          <w:szCs w:val="24"/>
        </w:rPr>
        <w:t>Capa</w:t>
      </w:r>
      <w:proofErr w:type="spellEnd"/>
      <w:r w:rsidR="00223D5C" w:rsidRPr="00344E55">
        <w:rPr>
          <w:rStyle w:val="st1"/>
          <w:rFonts w:ascii="Times New Roman" w:hAnsi="Times New Roman" w:cs="Times New Roman"/>
          <w:sz w:val="24"/>
          <w:szCs w:val="24"/>
        </w:rPr>
        <w:t>;</w:t>
      </w:r>
    </w:p>
    <w:p w14:paraId="5DFC59EE" w14:textId="77777777" w:rsidR="00CA03CA" w:rsidRPr="00344E55" w:rsidRDefault="00223D5C" w:rsidP="00A26B16">
      <w:pPr>
        <w:spacing w:line="360" w:lineRule="auto"/>
        <w:ind w:left="720" w:hanging="720"/>
        <w:contextualSpacing/>
        <w:jc w:val="both"/>
        <w:rPr>
          <w:rStyle w:val="st1"/>
          <w:rFonts w:ascii="Times New Roman" w:hAnsi="Times New Roman" w:cs="Times New Roman"/>
          <w:sz w:val="24"/>
          <w:szCs w:val="24"/>
        </w:rPr>
      </w:pPr>
      <w:r w:rsidRPr="00344E55">
        <w:rPr>
          <w:rStyle w:val="st1"/>
          <w:rFonts w:ascii="Times New Roman" w:hAnsi="Times New Roman" w:cs="Times New Roman"/>
          <w:sz w:val="24"/>
          <w:szCs w:val="24"/>
        </w:rPr>
        <w:t>15.3</w:t>
      </w:r>
      <w:r w:rsidRPr="00344E55">
        <w:rPr>
          <w:rStyle w:val="st1"/>
          <w:rFonts w:ascii="Times New Roman" w:hAnsi="Times New Roman" w:cs="Times New Roman"/>
          <w:sz w:val="24"/>
          <w:szCs w:val="24"/>
        </w:rPr>
        <w:tab/>
        <w:t xml:space="preserve">It was observed that the current annual performance plans </w:t>
      </w:r>
      <w:r w:rsidR="00A32D8F" w:rsidRPr="00344E55">
        <w:rPr>
          <w:rStyle w:val="st1"/>
          <w:rFonts w:ascii="Times New Roman" w:hAnsi="Times New Roman" w:cs="Times New Roman"/>
          <w:sz w:val="24"/>
          <w:szCs w:val="24"/>
        </w:rPr>
        <w:t>signify</w:t>
      </w:r>
      <w:r w:rsidRPr="00344E55">
        <w:rPr>
          <w:rStyle w:val="st1"/>
          <w:rFonts w:ascii="Times New Roman" w:hAnsi="Times New Roman" w:cs="Times New Roman"/>
          <w:sz w:val="24"/>
          <w:szCs w:val="24"/>
        </w:rPr>
        <w:t xml:space="preserve"> the conclusion of the first medium term strategic framework, 2014 - 2019. The 2019 </w:t>
      </w:r>
      <w:r w:rsidR="00A32D8F" w:rsidRPr="00344E55">
        <w:rPr>
          <w:rStyle w:val="st1"/>
          <w:rFonts w:ascii="Times New Roman" w:hAnsi="Times New Roman" w:cs="Times New Roman"/>
          <w:sz w:val="24"/>
          <w:szCs w:val="24"/>
        </w:rPr>
        <w:t>-</w:t>
      </w:r>
      <w:r w:rsidRPr="00344E55">
        <w:rPr>
          <w:rStyle w:val="st1"/>
          <w:rFonts w:ascii="Times New Roman" w:hAnsi="Times New Roman" w:cs="Times New Roman"/>
          <w:sz w:val="24"/>
          <w:szCs w:val="24"/>
        </w:rPr>
        <w:t xml:space="preserve"> 2024 is still being finalised hence most departments and entities are in no position to present new strategic plans that are in line with the </w:t>
      </w:r>
      <w:r w:rsidR="00A32D8F" w:rsidRPr="00344E55">
        <w:rPr>
          <w:rStyle w:val="st1"/>
          <w:rFonts w:ascii="Times New Roman" w:hAnsi="Times New Roman" w:cs="Times New Roman"/>
          <w:sz w:val="24"/>
          <w:szCs w:val="24"/>
        </w:rPr>
        <w:t xml:space="preserve">philosophy of the </w:t>
      </w:r>
      <w:r w:rsidRPr="00344E55">
        <w:rPr>
          <w:rStyle w:val="st1"/>
          <w:rFonts w:ascii="Times New Roman" w:hAnsi="Times New Roman" w:cs="Times New Roman"/>
          <w:sz w:val="24"/>
          <w:szCs w:val="24"/>
        </w:rPr>
        <w:t>new administration</w:t>
      </w:r>
      <w:r w:rsidR="00A32D8F" w:rsidRPr="00344E55">
        <w:rPr>
          <w:rStyle w:val="st1"/>
          <w:rFonts w:ascii="Times New Roman" w:hAnsi="Times New Roman" w:cs="Times New Roman"/>
          <w:sz w:val="24"/>
          <w:szCs w:val="24"/>
        </w:rPr>
        <w:t xml:space="preserve">. </w:t>
      </w:r>
      <w:r w:rsidR="00A32D8F" w:rsidRPr="00344E55">
        <w:rPr>
          <w:rStyle w:val="st1"/>
          <w:rFonts w:ascii="Times New Roman" w:hAnsi="Times New Roman" w:cs="Times New Roman"/>
          <w:sz w:val="24"/>
          <w:szCs w:val="24"/>
        </w:rPr>
        <w:lastRenderedPageBreak/>
        <w:t>Consequently, the DSBD annual performance plan presented i</w:t>
      </w:r>
      <w:r w:rsidR="001C2340" w:rsidRPr="00344E55">
        <w:rPr>
          <w:rStyle w:val="st1"/>
          <w:rFonts w:ascii="Times New Roman" w:hAnsi="Times New Roman" w:cs="Times New Roman"/>
          <w:sz w:val="24"/>
          <w:szCs w:val="24"/>
        </w:rPr>
        <w:t xml:space="preserve">s </w:t>
      </w:r>
      <w:r w:rsidR="00A32D8F" w:rsidRPr="00344E55">
        <w:rPr>
          <w:rStyle w:val="st1"/>
          <w:rFonts w:ascii="Times New Roman" w:hAnsi="Times New Roman" w:cs="Times New Roman"/>
          <w:sz w:val="24"/>
          <w:szCs w:val="24"/>
        </w:rPr>
        <w:t xml:space="preserve">premised on the strategic plan approved by the former Minister </w:t>
      </w:r>
      <w:proofErr w:type="spellStart"/>
      <w:r w:rsidR="00A32D8F" w:rsidRPr="00344E55">
        <w:rPr>
          <w:rStyle w:val="st1"/>
          <w:rFonts w:ascii="Times New Roman" w:hAnsi="Times New Roman" w:cs="Times New Roman"/>
          <w:sz w:val="24"/>
          <w:szCs w:val="24"/>
        </w:rPr>
        <w:t>Lindiwe</w:t>
      </w:r>
      <w:proofErr w:type="spellEnd"/>
      <w:r w:rsidR="00A32D8F" w:rsidRPr="00344E55">
        <w:rPr>
          <w:rStyle w:val="st1"/>
          <w:rFonts w:ascii="Times New Roman" w:hAnsi="Times New Roman" w:cs="Times New Roman"/>
          <w:sz w:val="24"/>
          <w:szCs w:val="24"/>
        </w:rPr>
        <w:t xml:space="preserve"> Zulu in 2017</w:t>
      </w:r>
      <w:r w:rsidRPr="00344E55">
        <w:rPr>
          <w:rStyle w:val="st1"/>
          <w:rFonts w:ascii="Times New Roman" w:hAnsi="Times New Roman" w:cs="Times New Roman"/>
          <w:sz w:val="24"/>
          <w:szCs w:val="24"/>
        </w:rPr>
        <w:t>;</w:t>
      </w:r>
    </w:p>
    <w:p w14:paraId="3512E836" w14:textId="77777777" w:rsidR="008F282F" w:rsidRPr="00344E55" w:rsidRDefault="00CA03CA" w:rsidP="00A26B16">
      <w:pPr>
        <w:spacing w:line="360" w:lineRule="auto"/>
        <w:ind w:left="720" w:hanging="720"/>
        <w:contextualSpacing/>
        <w:jc w:val="both"/>
        <w:rPr>
          <w:rFonts w:ascii="Times New Roman" w:eastAsia="Calibri" w:hAnsi="Times New Roman" w:cs="Times New Roman"/>
          <w:sz w:val="24"/>
          <w:szCs w:val="24"/>
        </w:rPr>
      </w:pPr>
      <w:r w:rsidRPr="00344E55">
        <w:rPr>
          <w:rStyle w:val="st1"/>
          <w:rFonts w:ascii="Times New Roman" w:hAnsi="Times New Roman" w:cs="Times New Roman"/>
          <w:sz w:val="24"/>
          <w:szCs w:val="24"/>
        </w:rPr>
        <w:t>15.4</w:t>
      </w:r>
      <w:r w:rsidRPr="00344E55">
        <w:rPr>
          <w:rStyle w:val="st1"/>
          <w:rFonts w:ascii="Times New Roman" w:hAnsi="Times New Roman" w:cs="Times New Roman"/>
          <w:sz w:val="24"/>
          <w:szCs w:val="24"/>
        </w:rPr>
        <w:tab/>
      </w:r>
      <w:r w:rsidR="00784A03" w:rsidRPr="00344E55">
        <w:rPr>
          <w:rStyle w:val="st1"/>
          <w:rFonts w:ascii="Times New Roman" w:hAnsi="Times New Roman" w:cs="Times New Roman"/>
          <w:sz w:val="24"/>
          <w:szCs w:val="24"/>
        </w:rPr>
        <w:t>During the presentation, t</w:t>
      </w:r>
      <w:r w:rsidRPr="00344E55">
        <w:rPr>
          <w:rStyle w:val="st1"/>
          <w:rFonts w:ascii="Times New Roman" w:hAnsi="Times New Roman" w:cs="Times New Roman"/>
          <w:sz w:val="24"/>
          <w:szCs w:val="24"/>
        </w:rPr>
        <w:t xml:space="preserve">he Department pointed out that </w:t>
      </w:r>
      <w:r w:rsidR="008B7DB2" w:rsidRPr="00344E55">
        <w:rPr>
          <w:rStyle w:val="st1"/>
          <w:rFonts w:ascii="Times New Roman" w:hAnsi="Times New Roman" w:cs="Times New Roman"/>
          <w:sz w:val="24"/>
          <w:szCs w:val="24"/>
        </w:rPr>
        <w:t>“</w:t>
      </w:r>
      <w:r w:rsidRPr="00344E55">
        <w:rPr>
          <w:rStyle w:val="st1"/>
          <w:rFonts w:ascii="Times New Roman" w:hAnsi="Times New Roman" w:cs="Times New Roman"/>
          <w:sz w:val="24"/>
          <w:szCs w:val="24"/>
        </w:rPr>
        <w:t xml:space="preserve">to deliver effectively </w:t>
      </w:r>
      <w:r w:rsidRPr="00344E55">
        <w:rPr>
          <w:rFonts w:ascii="Times New Roman" w:eastAsia="Calibri" w:hAnsi="Times New Roman" w:cs="Times New Roman"/>
          <w:sz w:val="24"/>
          <w:szCs w:val="24"/>
        </w:rPr>
        <w:t xml:space="preserve">on the new prioritise as state transition into the sixth administration, the operating model and organisational structure of the Department will require refinement. The latter </w:t>
      </w:r>
      <w:proofErr w:type="gramStart"/>
      <w:r w:rsidRPr="00344E55">
        <w:rPr>
          <w:rFonts w:ascii="Times New Roman" w:eastAsia="Calibri" w:hAnsi="Times New Roman" w:cs="Times New Roman"/>
          <w:sz w:val="24"/>
          <w:szCs w:val="24"/>
        </w:rPr>
        <w:t>process is aimed at streamlining process and strengthen</w:t>
      </w:r>
      <w:proofErr w:type="gramEnd"/>
      <w:r w:rsidRPr="00344E55">
        <w:rPr>
          <w:rFonts w:ascii="Times New Roman" w:eastAsia="Calibri" w:hAnsi="Times New Roman" w:cs="Times New Roman"/>
          <w:sz w:val="24"/>
          <w:szCs w:val="24"/>
        </w:rPr>
        <w:t xml:space="preserve"> support in the delivery of services and in particular closing gaps in critical areas such as Development Finance and Statistical Analysis in parallel. Furthermore, focus will also be at re skilling staff in other important roles such Monitoring</w:t>
      </w:r>
      <w:r w:rsidR="008F282F" w:rsidRPr="00344E55">
        <w:rPr>
          <w:rFonts w:ascii="Times New Roman" w:eastAsia="Calibri" w:hAnsi="Times New Roman" w:cs="Times New Roman"/>
          <w:sz w:val="24"/>
          <w:szCs w:val="24"/>
        </w:rPr>
        <w:t xml:space="preserve"> and Evaluation amongst others</w:t>
      </w:r>
      <w:r w:rsidR="008B7DB2" w:rsidRPr="00344E55">
        <w:rPr>
          <w:rFonts w:ascii="Times New Roman" w:eastAsia="Calibri" w:hAnsi="Times New Roman" w:cs="Times New Roman"/>
          <w:sz w:val="24"/>
          <w:szCs w:val="24"/>
        </w:rPr>
        <w:t>”</w:t>
      </w:r>
      <w:r w:rsidR="008F282F" w:rsidRPr="00344E55">
        <w:rPr>
          <w:rFonts w:ascii="Times New Roman" w:eastAsia="Calibri" w:hAnsi="Times New Roman" w:cs="Times New Roman"/>
          <w:sz w:val="24"/>
          <w:szCs w:val="24"/>
        </w:rPr>
        <w:t>;</w:t>
      </w:r>
    </w:p>
    <w:p w14:paraId="316336E9" w14:textId="77777777" w:rsidR="00C8369F" w:rsidRPr="00344E55" w:rsidRDefault="008F282F" w:rsidP="00A26B16">
      <w:pPr>
        <w:spacing w:line="360" w:lineRule="auto"/>
        <w:ind w:left="720" w:hanging="720"/>
        <w:contextualSpacing/>
        <w:jc w:val="both"/>
        <w:rPr>
          <w:rFonts w:ascii="Times New Roman" w:eastAsiaTheme="minorEastAsia" w:hAnsi="Times New Roman" w:cs="Times New Roman"/>
          <w:kern w:val="24"/>
          <w:sz w:val="24"/>
          <w:szCs w:val="24"/>
          <w:lang w:val="en-GB"/>
        </w:rPr>
      </w:pPr>
      <w:r w:rsidRPr="00344E55">
        <w:rPr>
          <w:rFonts w:ascii="Times New Roman" w:eastAsia="Calibri" w:hAnsi="Times New Roman" w:cs="Times New Roman"/>
          <w:sz w:val="24"/>
          <w:szCs w:val="24"/>
        </w:rPr>
        <w:t>15.5</w:t>
      </w:r>
      <w:r w:rsidRPr="00344E55">
        <w:rPr>
          <w:rFonts w:ascii="Times New Roman" w:eastAsia="Calibri" w:hAnsi="Times New Roman" w:cs="Times New Roman"/>
          <w:sz w:val="24"/>
          <w:szCs w:val="24"/>
        </w:rPr>
        <w:tab/>
      </w:r>
      <w:r w:rsidRPr="00344E55">
        <w:rPr>
          <w:rFonts w:ascii="Times New Roman" w:eastAsiaTheme="minorEastAsia" w:hAnsi="Times New Roman" w:cs="Times New Roman"/>
          <w:kern w:val="24"/>
          <w:sz w:val="24"/>
          <w:szCs w:val="24"/>
          <w:lang w:val="en-GB"/>
        </w:rPr>
        <w:t xml:space="preserve">The Portfolio Committee notes that, due to the interconnectedness between the organisational structure and the strategy, the long outstanding issue of the organisational structure will only be attended to once the Department initiates its strategic planning activities. The Portfolio Committee further records and concur with the Department of Public Administration (DPSA) guidance to the DSBD </w:t>
      </w:r>
      <w:r w:rsidR="00784A03" w:rsidRPr="00344E55">
        <w:rPr>
          <w:rFonts w:ascii="Times New Roman" w:eastAsiaTheme="minorEastAsia" w:hAnsi="Times New Roman" w:cs="Times New Roman"/>
          <w:kern w:val="24"/>
          <w:sz w:val="24"/>
          <w:szCs w:val="24"/>
          <w:lang w:val="en-GB"/>
        </w:rPr>
        <w:t xml:space="preserve">in 2018 </w:t>
      </w:r>
      <w:r w:rsidRPr="00344E55">
        <w:rPr>
          <w:rFonts w:ascii="Times New Roman" w:eastAsiaTheme="minorEastAsia" w:hAnsi="Times New Roman" w:cs="Times New Roman"/>
          <w:kern w:val="24"/>
          <w:sz w:val="24"/>
          <w:szCs w:val="24"/>
          <w:lang w:val="en-GB"/>
        </w:rPr>
        <w:t xml:space="preserve">to the </w:t>
      </w:r>
      <w:r w:rsidR="00C8369F" w:rsidRPr="00344E55">
        <w:rPr>
          <w:rFonts w:ascii="Times New Roman" w:eastAsiaTheme="minorEastAsia" w:hAnsi="Times New Roman" w:cs="Times New Roman"/>
          <w:kern w:val="24"/>
          <w:sz w:val="24"/>
          <w:szCs w:val="24"/>
          <w:lang w:val="en-GB"/>
        </w:rPr>
        <w:t>effect</w:t>
      </w:r>
      <w:r w:rsidR="004F11C6" w:rsidRPr="00344E55">
        <w:rPr>
          <w:rFonts w:ascii="Times New Roman" w:eastAsiaTheme="minorEastAsia" w:hAnsi="Times New Roman" w:cs="Times New Roman"/>
          <w:kern w:val="24"/>
          <w:sz w:val="24"/>
          <w:szCs w:val="24"/>
          <w:lang w:val="en-GB"/>
        </w:rPr>
        <w:t xml:space="preserve"> </w:t>
      </w:r>
      <w:r w:rsidR="00784A03" w:rsidRPr="00344E55">
        <w:rPr>
          <w:rFonts w:ascii="Times New Roman" w:eastAsiaTheme="minorEastAsia" w:hAnsi="Times New Roman" w:cs="Times New Roman"/>
          <w:kern w:val="24"/>
          <w:sz w:val="24"/>
          <w:szCs w:val="24"/>
          <w:lang w:val="en-GB"/>
        </w:rPr>
        <w:t xml:space="preserve">that </w:t>
      </w:r>
      <w:r w:rsidRPr="00344E55">
        <w:rPr>
          <w:rFonts w:ascii="Times New Roman" w:eastAsiaTheme="minorEastAsia" w:hAnsi="Times New Roman" w:cs="Times New Roman"/>
          <w:kern w:val="24"/>
          <w:sz w:val="24"/>
          <w:szCs w:val="24"/>
          <w:lang w:val="en-GB"/>
        </w:rPr>
        <w:t>“t</w:t>
      </w:r>
      <w:r w:rsidRPr="00344E55">
        <w:rPr>
          <w:rFonts w:ascii="Times New Roman" w:eastAsiaTheme="minorEastAsia" w:hAnsi="Times New Roman" w:cs="Times New Roman"/>
          <w:kern w:val="24"/>
          <w:sz w:val="24"/>
          <w:szCs w:val="24"/>
        </w:rPr>
        <w:t xml:space="preserve">he </w:t>
      </w:r>
      <w:r w:rsidRPr="00344E55">
        <w:rPr>
          <w:rFonts w:ascii="Times New Roman" w:eastAsiaTheme="minorEastAsia" w:hAnsi="Times New Roman" w:cs="Times New Roman"/>
          <w:kern w:val="24"/>
          <w:sz w:val="24"/>
          <w:szCs w:val="24"/>
          <w:lang w:val="en-GB"/>
        </w:rPr>
        <w:t xml:space="preserve">changes to organisational structure of the Department of Small Business Development should be held in abeyance until the sixth administration is in place given the anticipated changes expected to the Machinery of Government. This will also afford the new Executive Authority an opportunity to apply </w:t>
      </w:r>
      <w:r w:rsidR="00784A03" w:rsidRPr="00344E55">
        <w:rPr>
          <w:rFonts w:ascii="Times New Roman" w:eastAsiaTheme="minorEastAsia" w:hAnsi="Times New Roman" w:cs="Times New Roman"/>
          <w:kern w:val="24"/>
          <w:sz w:val="24"/>
          <w:szCs w:val="24"/>
          <w:lang w:val="en-GB"/>
        </w:rPr>
        <w:t>his/</w:t>
      </w:r>
      <w:r w:rsidRPr="00344E55">
        <w:rPr>
          <w:rFonts w:ascii="Times New Roman" w:eastAsiaTheme="minorEastAsia" w:hAnsi="Times New Roman" w:cs="Times New Roman"/>
          <w:kern w:val="24"/>
          <w:sz w:val="24"/>
          <w:szCs w:val="24"/>
          <w:lang w:val="en-GB"/>
        </w:rPr>
        <w:t>her mind on the configuration of the Department”</w:t>
      </w:r>
      <w:r w:rsidR="00C8369F" w:rsidRPr="00344E55">
        <w:rPr>
          <w:rFonts w:ascii="Times New Roman" w:eastAsiaTheme="minorEastAsia" w:hAnsi="Times New Roman" w:cs="Times New Roman"/>
          <w:kern w:val="24"/>
          <w:sz w:val="24"/>
          <w:szCs w:val="24"/>
          <w:lang w:val="en-GB"/>
        </w:rPr>
        <w:t>;</w:t>
      </w:r>
    </w:p>
    <w:p w14:paraId="463E5393" w14:textId="77777777" w:rsidR="004F11C6" w:rsidRPr="00344E55" w:rsidRDefault="00C8369F" w:rsidP="00A26B16">
      <w:pPr>
        <w:spacing w:line="360" w:lineRule="auto"/>
        <w:ind w:left="720" w:hanging="720"/>
        <w:contextualSpacing/>
        <w:jc w:val="both"/>
        <w:rPr>
          <w:rFonts w:ascii="Times New Roman" w:eastAsiaTheme="minorEastAsia" w:hAnsi="Times New Roman" w:cs="Times New Roman"/>
          <w:kern w:val="24"/>
          <w:sz w:val="24"/>
          <w:szCs w:val="24"/>
          <w:lang w:val="en-GB"/>
        </w:rPr>
      </w:pPr>
      <w:r w:rsidRPr="00344E55">
        <w:rPr>
          <w:rFonts w:ascii="Times New Roman" w:eastAsia="Calibri" w:hAnsi="Times New Roman" w:cs="Times New Roman"/>
          <w:sz w:val="24"/>
          <w:szCs w:val="24"/>
        </w:rPr>
        <w:t>15.6</w:t>
      </w:r>
      <w:r w:rsidRPr="00344E55">
        <w:rPr>
          <w:rFonts w:ascii="Times New Roman" w:eastAsia="Calibri" w:hAnsi="Times New Roman" w:cs="Times New Roman"/>
          <w:sz w:val="24"/>
          <w:szCs w:val="24"/>
        </w:rPr>
        <w:tab/>
      </w:r>
      <w:r w:rsidRPr="00344E55">
        <w:rPr>
          <w:rFonts w:ascii="Times New Roman" w:eastAsiaTheme="minorEastAsia" w:hAnsi="Times New Roman" w:cs="Times New Roman"/>
          <w:kern w:val="24"/>
          <w:sz w:val="24"/>
          <w:szCs w:val="24"/>
          <w:lang w:val="en-GB"/>
        </w:rPr>
        <w:t>Likewise, the Portfolio Committee notes therefore that according to DPSA, the Department of Small Business Development is currently operating on a start-up organisational structure approved by the MPSA on the 16 April 2015</w:t>
      </w:r>
      <w:r w:rsidR="004F11C6" w:rsidRPr="00344E55">
        <w:rPr>
          <w:rFonts w:ascii="Times New Roman" w:eastAsiaTheme="minorEastAsia" w:hAnsi="Times New Roman" w:cs="Times New Roman"/>
          <w:kern w:val="24"/>
          <w:sz w:val="24"/>
          <w:szCs w:val="24"/>
          <w:lang w:val="en-GB"/>
        </w:rPr>
        <w:t>;</w:t>
      </w:r>
    </w:p>
    <w:p w14:paraId="6018FA74" w14:textId="77777777" w:rsidR="00663EB9" w:rsidRPr="00344E55" w:rsidRDefault="00E056D3" w:rsidP="00A26B16">
      <w:pPr>
        <w:spacing w:line="360" w:lineRule="auto"/>
        <w:ind w:left="720" w:hanging="720"/>
        <w:contextualSpacing/>
        <w:jc w:val="both"/>
        <w:rPr>
          <w:rFonts w:ascii="Times New Roman" w:hAnsi="Times New Roman" w:cs="Times New Roman"/>
          <w:sz w:val="24"/>
          <w:szCs w:val="24"/>
        </w:rPr>
      </w:pPr>
      <w:r w:rsidRPr="00344E55">
        <w:rPr>
          <w:rFonts w:ascii="Times New Roman" w:hAnsi="Times New Roman" w:cs="Times New Roman"/>
          <w:sz w:val="24"/>
          <w:szCs w:val="24"/>
        </w:rPr>
        <w:t>15.7</w:t>
      </w:r>
      <w:r w:rsidRPr="00344E55">
        <w:rPr>
          <w:rFonts w:ascii="Times New Roman" w:hAnsi="Times New Roman" w:cs="Times New Roman"/>
          <w:sz w:val="24"/>
          <w:szCs w:val="24"/>
        </w:rPr>
        <w:tab/>
      </w:r>
      <w:r w:rsidR="006316A6" w:rsidRPr="00344E55">
        <w:rPr>
          <w:rFonts w:ascii="Times New Roman" w:eastAsia="Calibri" w:hAnsi="Times New Roman" w:cs="Times New Roman"/>
          <w:sz w:val="24"/>
          <w:szCs w:val="24"/>
          <w:lang w:val="en-GB"/>
        </w:rPr>
        <w:t xml:space="preserve">The </w:t>
      </w:r>
      <w:r w:rsidRPr="00344E55">
        <w:rPr>
          <w:rFonts w:ascii="Times New Roman" w:eastAsia="Calibri" w:hAnsi="Times New Roman" w:cs="Times New Roman"/>
          <w:sz w:val="24"/>
          <w:szCs w:val="24"/>
          <w:lang w:val="en-GB"/>
        </w:rPr>
        <w:t xml:space="preserve">Portfolio Committee, having gone through 2018 budget vote report, </w:t>
      </w:r>
      <w:r w:rsidR="006316A6" w:rsidRPr="00344E55">
        <w:rPr>
          <w:rFonts w:ascii="Times New Roman" w:eastAsia="Calibri" w:hAnsi="Times New Roman" w:cs="Times New Roman"/>
          <w:sz w:val="24"/>
          <w:szCs w:val="24"/>
          <w:lang w:val="en-GB"/>
        </w:rPr>
        <w:t xml:space="preserve">notes </w:t>
      </w:r>
      <w:r w:rsidRPr="00344E55">
        <w:rPr>
          <w:rFonts w:ascii="Times New Roman" w:eastAsia="Calibri" w:hAnsi="Times New Roman" w:cs="Times New Roman"/>
          <w:sz w:val="24"/>
          <w:szCs w:val="24"/>
          <w:lang w:val="en-GB"/>
        </w:rPr>
        <w:t xml:space="preserve">how the Department, </w:t>
      </w:r>
      <w:proofErr w:type="spellStart"/>
      <w:r w:rsidRPr="00344E55">
        <w:rPr>
          <w:rFonts w:ascii="Times New Roman" w:eastAsia="Calibri" w:hAnsi="Times New Roman" w:cs="Times New Roman"/>
          <w:b/>
          <w:sz w:val="24"/>
          <w:szCs w:val="24"/>
          <w:lang w:val="en-GB"/>
        </w:rPr>
        <w:t>sefa</w:t>
      </w:r>
      <w:proofErr w:type="spellEnd"/>
      <w:r w:rsidRPr="00344E55">
        <w:rPr>
          <w:rFonts w:ascii="Times New Roman" w:eastAsia="Calibri" w:hAnsi="Times New Roman" w:cs="Times New Roman"/>
          <w:sz w:val="24"/>
          <w:szCs w:val="24"/>
          <w:lang w:val="en-GB"/>
        </w:rPr>
        <w:t xml:space="preserve"> and </w:t>
      </w:r>
      <w:proofErr w:type="spellStart"/>
      <w:r w:rsidRPr="00344E55">
        <w:rPr>
          <w:rFonts w:ascii="Times New Roman" w:eastAsia="Calibri" w:hAnsi="Times New Roman" w:cs="Times New Roman"/>
          <w:sz w:val="24"/>
          <w:szCs w:val="24"/>
          <w:lang w:val="en-GB"/>
        </w:rPr>
        <w:t>Seda</w:t>
      </w:r>
      <w:proofErr w:type="spellEnd"/>
      <w:r w:rsidRPr="00344E55">
        <w:rPr>
          <w:rFonts w:ascii="Times New Roman" w:eastAsia="Calibri" w:hAnsi="Times New Roman" w:cs="Times New Roman"/>
          <w:sz w:val="24"/>
          <w:szCs w:val="24"/>
          <w:lang w:val="en-GB"/>
        </w:rPr>
        <w:t xml:space="preserve"> </w:t>
      </w:r>
      <w:r w:rsidR="00E3678A" w:rsidRPr="00344E55">
        <w:rPr>
          <w:rFonts w:ascii="Times New Roman" w:eastAsia="Calibri" w:hAnsi="Times New Roman" w:cs="Times New Roman"/>
          <w:sz w:val="24"/>
          <w:szCs w:val="24"/>
          <w:lang w:val="en-GB"/>
        </w:rPr>
        <w:t xml:space="preserve">have not implemented </w:t>
      </w:r>
      <w:r w:rsidR="00FD638F" w:rsidRPr="00344E55">
        <w:rPr>
          <w:rFonts w:ascii="Times New Roman" w:eastAsia="Calibri" w:hAnsi="Times New Roman" w:cs="Times New Roman"/>
          <w:sz w:val="24"/>
          <w:szCs w:val="24"/>
          <w:lang w:val="en-GB"/>
        </w:rPr>
        <w:t xml:space="preserve">some of the </w:t>
      </w:r>
      <w:r w:rsidRPr="00344E55">
        <w:rPr>
          <w:rFonts w:ascii="Times New Roman" w:eastAsia="Calibri" w:hAnsi="Times New Roman" w:cs="Times New Roman"/>
          <w:sz w:val="24"/>
          <w:szCs w:val="24"/>
          <w:lang w:val="en-GB"/>
        </w:rPr>
        <w:t xml:space="preserve">recommendations of the fifth Parliament. The 2017 strategic plan made contentious propositions </w:t>
      </w:r>
      <w:r w:rsidR="00756A53" w:rsidRPr="00344E55">
        <w:rPr>
          <w:rFonts w:ascii="Times New Roman" w:eastAsia="Calibri" w:hAnsi="Times New Roman" w:cs="Times New Roman"/>
          <w:sz w:val="24"/>
          <w:szCs w:val="24"/>
          <w:lang w:val="en-GB"/>
        </w:rPr>
        <w:t xml:space="preserve">(49: </w:t>
      </w:r>
      <w:r w:rsidR="00A903E5" w:rsidRPr="00344E55">
        <w:rPr>
          <w:rFonts w:ascii="Times New Roman" w:eastAsia="Calibri" w:hAnsi="Times New Roman" w:cs="Times New Roman"/>
          <w:sz w:val="24"/>
          <w:szCs w:val="24"/>
          <w:lang w:val="en-GB"/>
        </w:rPr>
        <w:t>Strategic Plan)</w:t>
      </w:r>
      <w:r w:rsidR="004A3553" w:rsidRPr="00344E55">
        <w:rPr>
          <w:rFonts w:ascii="Times New Roman" w:eastAsia="Calibri" w:hAnsi="Times New Roman" w:cs="Times New Roman"/>
          <w:sz w:val="24"/>
          <w:szCs w:val="24"/>
          <w:lang w:val="en-GB"/>
        </w:rPr>
        <w:t xml:space="preserve"> </w:t>
      </w:r>
      <w:r w:rsidRPr="00344E55">
        <w:rPr>
          <w:rFonts w:ascii="Times New Roman" w:eastAsia="Calibri" w:hAnsi="Times New Roman" w:cs="Times New Roman"/>
          <w:sz w:val="24"/>
          <w:szCs w:val="24"/>
          <w:lang w:val="en-GB"/>
        </w:rPr>
        <w:t xml:space="preserve">e.g. </w:t>
      </w:r>
      <w:r w:rsidR="004A3553" w:rsidRPr="00344E55">
        <w:rPr>
          <w:rFonts w:ascii="Times New Roman" w:eastAsia="Calibri" w:hAnsi="Times New Roman" w:cs="Times New Roman"/>
          <w:sz w:val="24"/>
          <w:szCs w:val="24"/>
          <w:lang w:val="en-GB"/>
        </w:rPr>
        <w:t>transfer of Enter</w:t>
      </w:r>
      <w:r w:rsidR="00614A0A" w:rsidRPr="00344E55">
        <w:rPr>
          <w:rFonts w:ascii="Times New Roman" w:eastAsia="Calibri" w:hAnsi="Times New Roman" w:cs="Times New Roman"/>
          <w:sz w:val="24"/>
          <w:szCs w:val="24"/>
          <w:lang w:val="en-GB"/>
        </w:rPr>
        <w:t>prise Incubation Programme</w:t>
      </w:r>
      <w:r w:rsidR="004A3553" w:rsidRPr="00344E55">
        <w:rPr>
          <w:rFonts w:ascii="Times New Roman" w:eastAsia="Calibri" w:hAnsi="Times New Roman" w:cs="Times New Roman"/>
          <w:sz w:val="24"/>
          <w:szCs w:val="24"/>
          <w:lang w:val="en-GB"/>
        </w:rPr>
        <w:t xml:space="preserve"> and Shared Economic Infrastructure Facility (SEIF) to </w:t>
      </w:r>
      <w:proofErr w:type="spellStart"/>
      <w:r w:rsidR="004A3553" w:rsidRPr="00344E55">
        <w:rPr>
          <w:rFonts w:ascii="Times New Roman" w:eastAsia="Calibri" w:hAnsi="Times New Roman" w:cs="Times New Roman"/>
          <w:sz w:val="24"/>
          <w:szCs w:val="24"/>
          <w:lang w:val="en-GB"/>
        </w:rPr>
        <w:t>Seda</w:t>
      </w:r>
      <w:proofErr w:type="spellEnd"/>
      <w:r w:rsidR="004A3553" w:rsidRPr="00344E55">
        <w:rPr>
          <w:rFonts w:ascii="Times New Roman" w:eastAsia="Calibri" w:hAnsi="Times New Roman" w:cs="Times New Roman"/>
          <w:sz w:val="24"/>
          <w:szCs w:val="24"/>
          <w:lang w:val="en-GB"/>
        </w:rPr>
        <w:t>, Informal and Micro Enterprise Development Programme</w:t>
      </w:r>
      <w:r w:rsidR="00784A03" w:rsidRPr="00344E55">
        <w:rPr>
          <w:rFonts w:ascii="Times New Roman" w:eastAsia="Calibri" w:hAnsi="Times New Roman" w:cs="Times New Roman"/>
          <w:sz w:val="24"/>
          <w:szCs w:val="24"/>
          <w:lang w:val="en-GB"/>
        </w:rPr>
        <w:t xml:space="preserve"> </w:t>
      </w:r>
      <w:r w:rsidR="004A3553" w:rsidRPr="00344E55">
        <w:rPr>
          <w:rFonts w:ascii="Times New Roman" w:eastAsia="Calibri" w:hAnsi="Times New Roman" w:cs="Times New Roman"/>
          <w:sz w:val="24"/>
          <w:szCs w:val="24"/>
          <w:lang w:val="en-GB"/>
        </w:rPr>
        <w:t xml:space="preserve">(IMEDP) and Black Business </w:t>
      </w:r>
      <w:r w:rsidR="00614A0A" w:rsidRPr="00344E55">
        <w:rPr>
          <w:rFonts w:ascii="Times New Roman" w:eastAsia="Calibri" w:hAnsi="Times New Roman" w:cs="Times New Roman"/>
          <w:sz w:val="24"/>
          <w:szCs w:val="24"/>
          <w:lang w:val="en-GB"/>
        </w:rPr>
        <w:t>Supplier Development Programme</w:t>
      </w:r>
      <w:r w:rsidR="004A3553" w:rsidRPr="00344E55">
        <w:rPr>
          <w:rFonts w:ascii="Times New Roman" w:eastAsia="Calibri" w:hAnsi="Times New Roman" w:cs="Times New Roman"/>
          <w:sz w:val="24"/>
          <w:szCs w:val="24"/>
          <w:lang w:val="en-GB"/>
        </w:rPr>
        <w:t xml:space="preserve"> to </w:t>
      </w:r>
      <w:proofErr w:type="spellStart"/>
      <w:r w:rsidR="004A3553" w:rsidRPr="00344E55">
        <w:rPr>
          <w:rFonts w:ascii="Times New Roman" w:eastAsia="Calibri" w:hAnsi="Times New Roman" w:cs="Times New Roman"/>
          <w:b/>
          <w:sz w:val="24"/>
          <w:szCs w:val="24"/>
          <w:lang w:val="en-GB"/>
        </w:rPr>
        <w:t>sefa</w:t>
      </w:r>
      <w:proofErr w:type="spellEnd"/>
      <w:r w:rsidR="004A3553" w:rsidRPr="00344E55">
        <w:rPr>
          <w:rFonts w:ascii="Times New Roman" w:eastAsia="Calibri" w:hAnsi="Times New Roman" w:cs="Times New Roman"/>
          <w:sz w:val="24"/>
          <w:szCs w:val="24"/>
          <w:lang w:val="en-GB"/>
        </w:rPr>
        <w:t>, and C</w:t>
      </w:r>
      <w:r w:rsidR="00614A0A" w:rsidRPr="00344E55">
        <w:rPr>
          <w:rFonts w:ascii="Times New Roman" w:eastAsia="Calibri" w:hAnsi="Times New Roman" w:cs="Times New Roman"/>
          <w:sz w:val="24"/>
          <w:szCs w:val="24"/>
          <w:lang w:val="en-GB"/>
        </w:rPr>
        <w:t>o-operatives Incentives Scheme</w:t>
      </w:r>
      <w:r w:rsidR="004A3553" w:rsidRPr="00344E55">
        <w:rPr>
          <w:rFonts w:ascii="Times New Roman" w:eastAsia="Calibri" w:hAnsi="Times New Roman" w:cs="Times New Roman"/>
          <w:sz w:val="24"/>
          <w:szCs w:val="24"/>
          <w:lang w:val="en-GB"/>
        </w:rPr>
        <w:t xml:space="preserve"> to Co-operatives Development Agency (</w:t>
      </w:r>
      <w:r w:rsidR="00614A0A" w:rsidRPr="00344E55">
        <w:rPr>
          <w:rFonts w:ascii="Times New Roman" w:eastAsia="Calibri" w:hAnsi="Times New Roman" w:cs="Times New Roman"/>
          <w:sz w:val="24"/>
          <w:szCs w:val="24"/>
          <w:lang w:val="en-GB"/>
        </w:rPr>
        <w:t>an entity that does not yet exist</w:t>
      </w:r>
      <w:r w:rsidRPr="00344E55">
        <w:rPr>
          <w:rFonts w:ascii="Times New Roman" w:eastAsia="Calibri" w:hAnsi="Times New Roman" w:cs="Times New Roman"/>
          <w:sz w:val="24"/>
          <w:szCs w:val="24"/>
          <w:lang w:val="en-GB"/>
        </w:rPr>
        <w:t xml:space="preserve">). The EIP and IMEDP have since been transferred to </w:t>
      </w:r>
      <w:proofErr w:type="spellStart"/>
      <w:r w:rsidRPr="00344E55">
        <w:rPr>
          <w:rFonts w:ascii="Times New Roman" w:eastAsia="Calibri" w:hAnsi="Times New Roman" w:cs="Times New Roman"/>
          <w:sz w:val="24"/>
          <w:szCs w:val="24"/>
          <w:lang w:val="en-GB"/>
        </w:rPr>
        <w:t>Seda</w:t>
      </w:r>
      <w:proofErr w:type="spellEnd"/>
      <w:r w:rsidRPr="00344E55">
        <w:rPr>
          <w:rFonts w:ascii="Times New Roman" w:eastAsia="Calibri" w:hAnsi="Times New Roman" w:cs="Times New Roman"/>
          <w:sz w:val="24"/>
          <w:szCs w:val="24"/>
          <w:lang w:val="en-GB"/>
        </w:rPr>
        <w:t xml:space="preserve"> without thorough discussion and engagement with the P</w:t>
      </w:r>
      <w:r w:rsidR="00125862" w:rsidRPr="00344E55">
        <w:rPr>
          <w:rFonts w:ascii="Times New Roman" w:eastAsia="Calibri" w:hAnsi="Times New Roman" w:cs="Times New Roman"/>
          <w:sz w:val="24"/>
          <w:szCs w:val="24"/>
          <w:lang w:val="en-GB"/>
        </w:rPr>
        <w:t xml:space="preserve">ortfolio </w:t>
      </w:r>
      <w:r w:rsidR="004A3553" w:rsidRPr="00344E55">
        <w:rPr>
          <w:rFonts w:ascii="Times New Roman" w:eastAsia="Calibri" w:hAnsi="Times New Roman" w:cs="Times New Roman"/>
          <w:sz w:val="24"/>
          <w:szCs w:val="24"/>
          <w:lang w:val="en-GB"/>
        </w:rPr>
        <w:t xml:space="preserve">Committee. </w:t>
      </w:r>
      <w:r w:rsidRPr="00344E55">
        <w:rPr>
          <w:rFonts w:ascii="Times New Roman" w:eastAsia="Calibri" w:hAnsi="Times New Roman" w:cs="Times New Roman"/>
          <w:sz w:val="24"/>
          <w:szCs w:val="24"/>
          <w:lang w:val="en-GB"/>
        </w:rPr>
        <w:t xml:space="preserve">As a </w:t>
      </w:r>
      <w:r w:rsidR="00614A0A" w:rsidRPr="00344E55">
        <w:rPr>
          <w:rFonts w:ascii="Times New Roman" w:eastAsia="Calibri" w:hAnsi="Times New Roman" w:cs="Times New Roman"/>
          <w:sz w:val="24"/>
          <w:szCs w:val="24"/>
          <w:lang w:val="en-GB"/>
        </w:rPr>
        <w:t>result,</w:t>
      </w:r>
      <w:r w:rsidRPr="00344E55">
        <w:rPr>
          <w:rFonts w:ascii="Times New Roman" w:eastAsia="Calibri" w:hAnsi="Times New Roman" w:cs="Times New Roman"/>
          <w:sz w:val="24"/>
          <w:szCs w:val="24"/>
          <w:lang w:val="en-GB"/>
        </w:rPr>
        <w:t xml:space="preserve"> the Portfolio Committee does not have full appreciation of the </w:t>
      </w:r>
      <w:r w:rsidR="00614A0A" w:rsidRPr="00344E55">
        <w:rPr>
          <w:rFonts w:ascii="Times New Roman" w:eastAsia="Calibri" w:hAnsi="Times New Roman" w:cs="Times New Roman"/>
          <w:sz w:val="24"/>
          <w:szCs w:val="24"/>
          <w:lang w:val="en-GB"/>
        </w:rPr>
        <w:t>ramifications</w:t>
      </w:r>
      <w:r w:rsidR="00FC2746" w:rsidRPr="00344E55">
        <w:rPr>
          <w:rFonts w:ascii="Times New Roman" w:eastAsia="Calibri" w:hAnsi="Times New Roman" w:cs="Times New Roman"/>
          <w:sz w:val="24"/>
          <w:szCs w:val="24"/>
          <w:lang w:val="en-GB"/>
        </w:rPr>
        <w:t xml:space="preserve"> on the structure and </w:t>
      </w:r>
      <w:r w:rsidR="00EA4AD4" w:rsidRPr="00344E55">
        <w:rPr>
          <w:rFonts w:ascii="Times New Roman" w:eastAsia="Calibri" w:hAnsi="Times New Roman" w:cs="Times New Roman"/>
          <w:sz w:val="24"/>
          <w:szCs w:val="24"/>
          <w:lang w:val="en-GB"/>
        </w:rPr>
        <w:t>budget of the Department</w:t>
      </w:r>
      <w:r w:rsidR="00614A0A" w:rsidRPr="00344E55">
        <w:rPr>
          <w:rFonts w:ascii="Times New Roman" w:eastAsia="Calibri" w:hAnsi="Times New Roman" w:cs="Times New Roman"/>
          <w:sz w:val="24"/>
          <w:szCs w:val="24"/>
          <w:lang w:val="en-GB"/>
        </w:rPr>
        <w:t xml:space="preserve"> except what was </w:t>
      </w:r>
      <w:r w:rsidR="00481FFC" w:rsidRPr="00344E55">
        <w:rPr>
          <w:rFonts w:ascii="Times New Roman" w:eastAsia="Calibri" w:hAnsi="Times New Roman" w:cs="Times New Roman"/>
          <w:sz w:val="24"/>
          <w:szCs w:val="24"/>
          <w:lang w:val="en-GB"/>
        </w:rPr>
        <w:t>offered</w:t>
      </w:r>
      <w:r w:rsidR="00614A0A" w:rsidRPr="00344E55">
        <w:rPr>
          <w:rFonts w:ascii="Times New Roman" w:eastAsia="Calibri" w:hAnsi="Times New Roman" w:cs="Times New Roman"/>
          <w:sz w:val="24"/>
          <w:szCs w:val="24"/>
          <w:lang w:val="en-GB"/>
        </w:rPr>
        <w:t xml:space="preserve"> during budget vote 31 presentation</w:t>
      </w:r>
      <w:r w:rsidR="00EA4AD4" w:rsidRPr="00344E55">
        <w:rPr>
          <w:rFonts w:ascii="Times New Roman" w:eastAsia="Calibri" w:hAnsi="Times New Roman" w:cs="Times New Roman"/>
          <w:sz w:val="24"/>
          <w:szCs w:val="24"/>
          <w:lang w:val="en-GB"/>
        </w:rPr>
        <w:t>;</w:t>
      </w:r>
    </w:p>
    <w:p w14:paraId="394D1BFE" w14:textId="77777777" w:rsidR="00663EB9" w:rsidRPr="00344E55" w:rsidRDefault="00663EB9" w:rsidP="00A26B16">
      <w:pPr>
        <w:spacing w:line="360" w:lineRule="auto"/>
        <w:ind w:left="720" w:hanging="720"/>
        <w:contextualSpacing/>
        <w:jc w:val="both"/>
        <w:rPr>
          <w:rFonts w:ascii="Times New Roman" w:hAnsi="Times New Roman" w:cs="Times New Roman"/>
          <w:sz w:val="24"/>
          <w:szCs w:val="24"/>
        </w:rPr>
      </w:pPr>
      <w:r w:rsidRPr="00344E55">
        <w:rPr>
          <w:rFonts w:ascii="Times New Roman" w:hAnsi="Times New Roman" w:cs="Times New Roman"/>
          <w:sz w:val="24"/>
          <w:szCs w:val="24"/>
        </w:rPr>
        <w:lastRenderedPageBreak/>
        <w:t>15.8</w:t>
      </w:r>
      <w:r w:rsidRPr="00344E55">
        <w:rPr>
          <w:rFonts w:ascii="Times New Roman" w:hAnsi="Times New Roman" w:cs="Times New Roman"/>
          <w:sz w:val="24"/>
          <w:szCs w:val="24"/>
        </w:rPr>
        <w:tab/>
        <w:t xml:space="preserve">The successive budget vote reports have made note of the </w:t>
      </w:r>
      <w:r w:rsidR="00FD638F" w:rsidRPr="00344E55">
        <w:rPr>
          <w:rFonts w:ascii="Times New Roman" w:hAnsi="Times New Roman" w:cs="Times New Roman"/>
          <w:sz w:val="24"/>
          <w:szCs w:val="24"/>
        </w:rPr>
        <w:t>uneven</w:t>
      </w:r>
      <w:r w:rsidRPr="00344E55">
        <w:rPr>
          <w:rFonts w:ascii="Times New Roman" w:hAnsi="Times New Roman" w:cs="Times New Roman"/>
          <w:sz w:val="24"/>
          <w:szCs w:val="24"/>
        </w:rPr>
        <w:t xml:space="preserve"> allocation of resources to Programme one and other core programmes of the Department. Again, during the current budget vote </w:t>
      </w:r>
      <w:r w:rsidR="00481FFC" w:rsidRPr="00344E55">
        <w:rPr>
          <w:rFonts w:ascii="Times New Roman" w:hAnsi="Times New Roman" w:cs="Times New Roman"/>
          <w:sz w:val="24"/>
          <w:szCs w:val="24"/>
        </w:rPr>
        <w:t xml:space="preserve">period </w:t>
      </w:r>
      <w:r w:rsidRPr="00344E55">
        <w:rPr>
          <w:rFonts w:ascii="Times New Roman" w:hAnsi="Times New Roman" w:cs="Times New Roman"/>
          <w:sz w:val="24"/>
          <w:szCs w:val="24"/>
        </w:rPr>
        <w:t>this observation is made;</w:t>
      </w:r>
    </w:p>
    <w:p w14:paraId="5E37AFAC" w14:textId="77777777" w:rsidR="001B305D" w:rsidRPr="00344E55" w:rsidRDefault="001B305D" w:rsidP="00A26B16">
      <w:pPr>
        <w:spacing w:line="360" w:lineRule="auto"/>
        <w:ind w:left="720" w:hanging="720"/>
        <w:contextualSpacing/>
        <w:jc w:val="both"/>
        <w:rPr>
          <w:rFonts w:ascii="Times New Roman" w:eastAsiaTheme="minorEastAsia" w:hAnsi="Times New Roman" w:cs="Times New Roman"/>
          <w:sz w:val="24"/>
          <w:szCs w:val="24"/>
          <w:lang w:eastAsia="en-ZA"/>
        </w:rPr>
      </w:pPr>
      <w:r w:rsidRPr="00344E55">
        <w:rPr>
          <w:rFonts w:ascii="Times New Roman" w:eastAsia="Calibri" w:hAnsi="Times New Roman" w:cs="Times New Roman"/>
          <w:sz w:val="24"/>
          <w:szCs w:val="24"/>
          <w:lang w:val="en-GB"/>
        </w:rPr>
        <w:t>15.9</w:t>
      </w:r>
      <w:r w:rsidRPr="00344E55">
        <w:rPr>
          <w:rFonts w:ascii="Times New Roman" w:eastAsia="Calibri" w:hAnsi="Times New Roman" w:cs="Times New Roman"/>
          <w:sz w:val="24"/>
          <w:szCs w:val="24"/>
          <w:lang w:val="en-GB"/>
        </w:rPr>
        <w:tab/>
        <w:t xml:space="preserve">Also, the uneven apportionment of resources to </w:t>
      </w:r>
      <w:proofErr w:type="spellStart"/>
      <w:r w:rsidRPr="00344E55">
        <w:rPr>
          <w:rFonts w:ascii="Times New Roman" w:eastAsiaTheme="minorEastAsia" w:hAnsi="Times New Roman" w:cs="Times New Roman"/>
          <w:sz w:val="24"/>
          <w:szCs w:val="24"/>
          <w:lang w:eastAsia="en-ZA"/>
        </w:rPr>
        <w:t>Seda</w:t>
      </w:r>
      <w:proofErr w:type="spellEnd"/>
      <w:r w:rsidRPr="00344E55">
        <w:rPr>
          <w:rFonts w:ascii="Times New Roman" w:eastAsiaTheme="minorEastAsia" w:hAnsi="Times New Roman" w:cs="Times New Roman"/>
          <w:sz w:val="24"/>
          <w:szCs w:val="24"/>
          <w:lang w:eastAsia="en-ZA"/>
        </w:rPr>
        <w:t xml:space="preserve"> Technology Programme (STP) and Enterprise Incubation Programme (EIP) allocations of R152 million and R57 million respectively is not consistency with the marching orders given by the President </w:t>
      </w:r>
      <w:r w:rsidR="00481FFC" w:rsidRPr="00344E55">
        <w:rPr>
          <w:rFonts w:ascii="Times New Roman" w:eastAsiaTheme="minorEastAsia" w:hAnsi="Times New Roman" w:cs="Times New Roman"/>
          <w:sz w:val="24"/>
          <w:szCs w:val="24"/>
          <w:lang w:eastAsia="en-ZA"/>
        </w:rPr>
        <w:t xml:space="preserve">during SONA </w:t>
      </w:r>
      <w:r w:rsidRPr="00344E55">
        <w:rPr>
          <w:rFonts w:ascii="Times New Roman" w:eastAsiaTheme="minorEastAsia" w:hAnsi="Times New Roman" w:cs="Times New Roman"/>
          <w:sz w:val="24"/>
          <w:szCs w:val="24"/>
          <w:lang w:eastAsia="en-ZA"/>
        </w:rPr>
        <w:t>with regards to small enterprise incubation programme</w:t>
      </w:r>
      <w:r w:rsidR="009F1373" w:rsidRPr="00344E55">
        <w:rPr>
          <w:rFonts w:ascii="Times New Roman" w:eastAsiaTheme="minorEastAsia" w:hAnsi="Times New Roman" w:cs="Times New Roman"/>
          <w:sz w:val="24"/>
          <w:szCs w:val="24"/>
          <w:lang w:eastAsia="en-ZA"/>
        </w:rPr>
        <w:t>;</w:t>
      </w:r>
    </w:p>
    <w:p w14:paraId="195B2F81" w14:textId="77777777" w:rsidR="001B305D" w:rsidRPr="00344E55" w:rsidRDefault="001B305D" w:rsidP="00A26B16">
      <w:pPr>
        <w:spacing w:line="360" w:lineRule="auto"/>
        <w:ind w:left="720" w:hanging="720"/>
        <w:contextualSpacing/>
        <w:jc w:val="both"/>
        <w:rPr>
          <w:rFonts w:ascii="Times New Roman" w:eastAsia="Calibri" w:hAnsi="Times New Roman" w:cs="Times New Roman"/>
          <w:sz w:val="24"/>
          <w:szCs w:val="24"/>
          <w:lang w:val="en-GB"/>
        </w:rPr>
      </w:pPr>
      <w:r w:rsidRPr="00344E55">
        <w:rPr>
          <w:rFonts w:ascii="Times New Roman" w:eastAsiaTheme="minorEastAsia" w:hAnsi="Times New Roman" w:cs="Times New Roman"/>
          <w:sz w:val="24"/>
          <w:szCs w:val="24"/>
          <w:lang w:eastAsia="en-ZA"/>
        </w:rPr>
        <w:t>15.10</w:t>
      </w:r>
      <w:r w:rsidRPr="00344E55">
        <w:rPr>
          <w:rFonts w:ascii="Times New Roman" w:eastAsiaTheme="minorEastAsia" w:hAnsi="Times New Roman" w:cs="Times New Roman"/>
          <w:sz w:val="24"/>
          <w:szCs w:val="24"/>
          <w:lang w:eastAsia="en-ZA"/>
        </w:rPr>
        <w:tab/>
      </w:r>
      <w:r w:rsidR="00663EB9" w:rsidRPr="00344E55">
        <w:rPr>
          <w:rFonts w:ascii="Times New Roman" w:hAnsi="Times New Roman" w:cs="Times New Roman"/>
          <w:sz w:val="24"/>
          <w:szCs w:val="24"/>
        </w:rPr>
        <w:t xml:space="preserve">The Committee notes that, beside Small Enterprise definition which has since been gazetted, and Alternative Dispute Resolution, </w:t>
      </w:r>
      <w:r w:rsidR="00663EB9" w:rsidRPr="00344E55">
        <w:rPr>
          <w:rFonts w:ascii="Times New Roman" w:eastAsia="Calibri" w:hAnsi="Times New Roman" w:cs="Times New Roman"/>
          <w:sz w:val="24"/>
          <w:szCs w:val="24"/>
          <w:lang w:val="en-GB"/>
        </w:rPr>
        <w:t>all</w:t>
      </w:r>
      <w:r w:rsidR="00AD00CA" w:rsidRPr="00344E55">
        <w:rPr>
          <w:rFonts w:ascii="Times New Roman" w:eastAsia="Calibri" w:hAnsi="Times New Roman" w:cs="Times New Roman"/>
          <w:sz w:val="24"/>
          <w:szCs w:val="24"/>
          <w:lang w:val="en-GB"/>
        </w:rPr>
        <w:t xml:space="preserve"> </w:t>
      </w:r>
      <w:r w:rsidR="00663EB9" w:rsidRPr="00344E55">
        <w:rPr>
          <w:rFonts w:ascii="Times New Roman" w:eastAsia="Calibri" w:hAnsi="Times New Roman" w:cs="Times New Roman"/>
          <w:sz w:val="24"/>
          <w:szCs w:val="24"/>
          <w:lang w:val="en-GB"/>
        </w:rPr>
        <w:t xml:space="preserve">other planned </w:t>
      </w:r>
      <w:r w:rsidR="00AD00CA" w:rsidRPr="00344E55">
        <w:rPr>
          <w:rFonts w:ascii="Times New Roman" w:eastAsia="Calibri" w:hAnsi="Times New Roman" w:cs="Times New Roman"/>
          <w:sz w:val="24"/>
          <w:szCs w:val="24"/>
          <w:lang w:val="en-GB"/>
        </w:rPr>
        <w:t xml:space="preserve">policy </w:t>
      </w:r>
      <w:r w:rsidR="004A3553" w:rsidRPr="00344E55">
        <w:rPr>
          <w:rFonts w:ascii="Times New Roman" w:eastAsia="Calibri" w:hAnsi="Times New Roman" w:cs="Times New Roman"/>
          <w:sz w:val="24"/>
          <w:szCs w:val="24"/>
          <w:lang w:val="en-GB"/>
        </w:rPr>
        <w:t xml:space="preserve">initiatives </w:t>
      </w:r>
      <w:r w:rsidR="004A2971" w:rsidRPr="00344E55">
        <w:rPr>
          <w:rFonts w:ascii="Times New Roman" w:eastAsia="Calibri" w:hAnsi="Times New Roman" w:cs="Times New Roman"/>
          <w:sz w:val="24"/>
          <w:szCs w:val="24"/>
          <w:lang w:val="en-GB"/>
        </w:rPr>
        <w:t xml:space="preserve">have </w:t>
      </w:r>
      <w:r w:rsidR="00663EB9" w:rsidRPr="00344E55">
        <w:rPr>
          <w:rFonts w:ascii="Times New Roman" w:eastAsia="Calibri" w:hAnsi="Times New Roman" w:cs="Times New Roman"/>
          <w:sz w:val="24"/>
          <w:szCs w:val="24"/>
          <w:lang w:val="en-GB"/>
        </w:rPr>
        <w:t xml:space="preserve">been deferred for implementation </w:t>
      </w:r>
      <w:r w:rsidR="004A2971" w:rsidRPr="00344E55">
        <w:rPr>
          <w:rFonts w:ascii="Times New Roman" w:eastAsia="Calibri" w:hAnsi="Times New Roman" w:cs="Times New Roman"/>
          <w:sz w:val="24"/>
          <w:szCs w:val="24"/>
          <w:lang w:val="en-GB"/>
        </w:rPr>
        <w:t>2019/20</w:t>
      </w:r>
      <w:r w:rsidR="00663EB9" w:rsidRPr="00344E55">
        <w:rPr>
          <w:rFonts w:ascii="Times New Roman" w:eastAsia="Calibri" w:hAnsi="Times New Roman" w:cs="Times New Roman"/>
          <w:sz w:val="24"/>
          <w:szCs w:val="24"/>
          <w:lang w:val="en-GB"/>
        </w:rPr>
        <w:t xml:space="preserve"> financial year e.g. </w:t>
      </w:r>
      <w:r w:rsidR="00366C5A" w:rsidRPr="00344E55">
        <w:rPr>
          <w:rFonts w:ascii="Times New Roman" w:eastAsia="Calibri" w:hAnsi="Times New Roman" w:cs="Times New Roman"/>
          <w:sz w:val="24"/>
          <w:szCs w:val="24"/>
          <w:lang w:val="en-GB"/>
        </w:rPr>
        <w:t xml:space="preserve">review of the National Small </w:t>
      </w:r>
      <w:r w:rsidR="00663EB9" w:rsidRPr="00344E55">
        <w:rPr>
          <w:rFonts w:ascii="Times New Roman" w:eastAsia="Calibri" w:hAnsi="Times New Roman" w:cs="Times New Roman"/>
          <w:sz w:val="24"/>
          <w:szCs w:val="24"/>
          <w:lang w:val="en-GB"/>
        </w:rPr>
        <w:t xml:space="preserve">Enterprise </w:t>
      </w:r>
      <w:r w:rsidR="00366C5A" w:rsidRPr="00344E55">
        <w:rPr>
          <w:rFonts w:ascii="Times New Roman" w:eastAsia="Calibri" w:hAnsi="Times New Roman" w:cs="Times New Roman"/>
          <w:sz w:val="24"/>
          <w:szCs w:val="24"/>
          <w:lang w:val="en-GB"/>
        </w:rPr>
        <w:t>Act,</w:t>
      </w:r>
      <w:r w:rsidR="00366C5A" w:rsidRPr="00344E55">
        <w:rPr>
          <w:rFonts w:ascii="Times New Roman" w:hAnsi="Times New Roman" w:cs="Times New Roman"/>
          <w:sz w:val="24"/>
          <w:szCs w:val="24"/>
        </w:rPr>
        <w:t xml:space="preserve"> Integrated Strategy on the Promotion of Entrepreneurship and Small</w:t>
      </w:r>
      <w:r w:rsidR="00C53671" w:rsidRPr="00344E55">
        <w:rPr>
          <w:rFonts w:ascii="Times New Roman" w:hAnsi="Times New Roman" w:cs="Times New Roman"/>
          <w:sz w:val="24"/>
          <w:szCs w:val="24"/>
        </w:rPr>
        <w:t xml:space="preserve"> </w:t>
      </w:r>
      <w:r w:rsidR="00366C5A" w:rsidRPr="00344E55">
        <w:rPr>
          <w:rFonts w:ascii="Times New Roman" w:hAnsi="Times New Roman" w:cs="Times New Roman"/>
          <w:sz w:val="24"/>
          <w:szCs w:val="24"/>
        </w:rPr>
        <w:t>Enterprises</w:t>
      </w:r>
      <w:r w:rsidR="0080055C" w:rsidRPr="00344E55">
        <w:rPr>
          <w:rFonts w:ascii="Times New Roman" w:hAnsi="Times New Roman" w:cs="Times New Roman"/>
          <w:sz w:val="24"/>
          <w:szCs w:val="24"/>
        </w:rPr>
        <w:t xml:space="preserve"> a</w:t>
      </w:r>
      <w:r w:rsidRPr="00344E55">
        <w:rPr>
          <w:rFonts w:ascii="Times New Roman" w:hAnsi="Times New Roman" w:cs="Times New Roman"/>
          <w:sz w:val="24"/>
          <w:szCs w:val="24"/>
        </w:rPr>
        <w:t>s well as</w:t>
      </w:r>
      <w:r w:rsidR="0080055C" w:rsidRPr="00344E55">
        <w:rPr>
          <w:rFonts w:ascii="Times New Roman" w:hAnsi="Times New Roman" w:cs="Times New Roman"/>
          <w:sz w:val="24"/>
          <w:szCs w:val="24"/>
        </w:rPr>
        <w:t xml:space="preserve"> review of the Integrated Strategy on the Development and Promotion</w:t>
      </w:r>
      <w:r w:rsidRPr="00344E55">
        <w:rPr>
          <w:rFonts w:ascii="Times New Roman" w:hAnsi="Times New Roman" w:cs="Times New Roman"/>
          <w:sz w:val="24"/>
          <w:szCs w:val="24"/>
        </w:rPr>
        <w:t xml:space="preserve"> of Co-operatives (2012 - 2022). </w:t>
      </w:r>
      <w:r w:rsidR="00AD00CA" w:rsidRPr="00344E55">
        <w:rPr>
          <w:rFonts w:ascii="Times New Roman" w:eastAsia="Calibri" w:hAnsi="Times New Roman" w:cs="Times New Roman"/>
          <w:sz w:val="24"/>
          <w:szCs w:val="24"/>
          <w:lang w:val="en-GB"/>
        </w:rPr>
        <w:t>While</w:t>
      </w:r>
      <w:r w:rsidR="007D2B5A" w:rsidRPr="00344E55">
        <w:rPr>
          <w:rFonts w:ascii="Times New Roman" w:eastAsia="Calibri" w:hAnsi="Times New Roman" w:cs="Times New Roman"/>
          <w:sz w:val="24"/>
          <w:szCs w:val="24"/>
          <w:lang w:val="en-GB"/>
        </w:rPr>
        <w:t xml:space="preserve"> </w:t>
      </w:r>
      <w:r w:rsidRPr="00344E55">
        <w:rPr>
          <w:rFonts w:ascii="Times New Roman" w:eastAsia="Calibri" w:hAnsi="Times New Roman" w:cs="Times New Roman"/>
          <w:sz w:val="24"/>
          <w:szCs w:val="24"/>
          <w:lang w:val="en-GB"/>
        </w:rPr>
        <w:t>other interventions proposed by the fifth Parliament i.e. franchising</w:t>
      </w:r>
      <w:r w:rsidR="007D2B5A" w:rsidRPr="00344E55">
        <w:rPr>
          <w:rFonts w:ascii="Times New Roman" w:eastAsia="Calibri" w:hAnsi="Times New Roman" w:cs="Times New Roman"/>
          <w:sz w:val="24"/>
          <w:szCs w:val="24"/>
          <w:lang w:val="en-GB"/>
        </w:rPr>
        <w:t xml:space="preserve"> industry regulations</w:t>
      </w:r>
      <w:r w:rsidRPr="00344E55">
        <w:rPr>
          <w:rFonts w:ascii="Times New Roman" w:eastAsia="Calibri" w:hAnsi="Times New Roman" w:cs="Times New Roman"/>
          <w:sz w:val="24"/>
          <w:szCs w:val="24"/>
          <w:lang w:val="en-GB"/>
        </w:rPr>
        <w:t xml:space="preserve">, review of the Business Act, Market Access Strategy as well as Wholesale and Retail charter </w:t>
      </w:r>
      <w:r w:rsidR="009F1373" w:rsidRPr="00344E55">
        <w:rPr>
          <w:rFonts w:ascii="Times New Roman" w:eastAsia="Calibri" w:hAnsi="Times New Roman" w:cs="Times New Roman"/>
          <w:sz w:val="24"/>
          <w:szCs w:val="24"/>
          <w:lang w:val="en-GB"/>
        </w:rPr>
        <w:t>does not form part of the DSBD service delivery area for 2019/20.</w:t>
      </w:r>
    </w:p>
    <w:p w14:paraId="5A3A2F6B" w14:textId="77777777" w:rsidR="00FD638F" w:rsidRPr="00344E55" w:rsidRDefault="00FD638F" w:rsidP="00A26B16">
      <w:pPr>
        <w:spacing w:line="360" w:lineRule="auto"/>
        <w:ind w:left="720" w:hanging="720"/>
        <w:contextualSpacing/>
        <w:jc w:val="both"/>
        <w:rPr>
          <w:rFonts w:ascii="Times New Roman" w:eastAsia="Calibri" w:hAnsi="Times New Roman" w:cs="Times New Roman"/>
          <w:sz w:val="24"/>
          <w:szCs w:val="24"/>
          <w:lang w:val="en-GB"/>
        </w:rPr>
      </w:pPr>
    </w:p>
    <w:p w14:paraId="053A079F" w14:textId="77777777" w:rsidR="00E45A50" w:rsidRPr="00344E55" w:rsidRDefault="001B305D" w:rsidP="00A26B16">
      <w:pPr>
        <w:spacing w:line="360" w:lineRule="auto"/>
        <w:contextualSpacing/>
        <w:jc w:val="both"/>
        <w:rPr>
          <w:rFonts w:ascii="Times New Roman" w:hAnsi="Times New Roman" w:cs="Times New Roman"/>
          <w:b/>
          <w:sz w:val="24"/>
          <w:szCs w:val="24"/>
        </w:rPr>
      </w:pPr>
      <w:r w:rsidRPr="00344E55">
        <w:rPr>
          <w:rFonts w:ascii="Times New Roman" w:hAnsi="Times New Roman" w:cs="Times New Roman"/>
          <w:b/>
          <w:sz w:val="24"/>
          <w:szCs w:val="24"/>
        </w:rPr>
        <w:t>16</w:t>
      </w:r>
      <w:r w:rsidR="00E45A50" w:rsidRPr="00344E55">
        <w:rPr>
          <w:rFonts w:ascii="Times New Roman" w:hAnsi="Times New Roman" w:cs="Times New Roman"/>
          <w:b/>
          <w:sz w:val="24"/>
          <w:szCs w:val="24"/>
        </w:rPr>
        <w:t>.</w:t>
      </w:r>
      <w:r w:rsidR="00E45A50" w:rsidRPr="00344E55">
        <w:rPr>
          <w:rFonts w:ascii="Times New Roman" w:hAnsi="Times New Roman" w:cs="Times New Roman"/>
          <w:b/>
          <w:sz w:val="24"/>
          <w:szCs w:val="24"/>
        </w:rPr>
        <w:tab/>
        <w:t>RECOMMENDATIONS</w:t>
      </w:r>
    </w:p>
    <w:p w14:paraId="1E4319E2" w14:textId="77777777" w:rsidR="00E45A50" w:rsidRPr="00344E55" w:rsidRDefault="00E45A50" w:rsidP="00A26B16">
      <w:pPr>
        <w:spacing w:line="360" w:lineRule="auto"/>
        <w:contextualSpacing/>
        <w:jc w:val="both"/>
        <w:rPr>
          <w:rFonts w:ascii="Times New Roman" w:hAnsi="Times New Roman" w:cs="Times New Roman"/>
          <w:sz w:val="24"/>
          <w:szCs w:val="24"/>
        </w:rPr>
      </w:pPr>
    </w:p>
    <w:p w14:paraId="0F44B2A5" w14:textId="77777777" w:rsidR="00C87A62" w:rsidRPr="00344E55" w:rsidRDefault="00C87A62" w:rsidP="00A26B16">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16.1</w:t>
      </w:r>
      <w:r w:rsidRPr="00344E55">
        <w:rPr>
          <w:rFonts w:ascii="Times New Roman" w:hAnsi="Times New Roman" w:cs="Times New Roman"/>
          <w:sz w:val="24"/>
          <w:szCs w:val="24"/>
        </w:rPr>
        <w:tab/>
      </w:r>
      <w:r w:rsidR="00C14F05" w:rsidRPr="00344E55">
        <w:rPr>
          <w:rFonts w:ascii="Times New Roman" w:hAnsi="Times New Roman" w:cs="Times New Roman"/>
          <w:sz w:val="24"/>
          <w:szCs w:val="24"/>
        </w:rPr>
        <w:t xml:space="preserve">During the budget vote presentations it became apparent that there </w:t>
      </w:r>
      <w:r w:rsidRPr="00344E55">
        <w:rPr>
          <w:rFonts w:ascii="Times New Roman" w:hAnsi="Times New Roman" w:cs="Times New Roman"/>
          <w:sz w:val="24"/>
          <w:szCs w:val="24"/>
        </w:rPr>
        <w:t xml:space="preserve">were </w:t>
      </w:r>
      <w:r w:rsidR="00C14F05" w:rsidRPr="00344E55">
        <w:rPr>
          <w:rFonts w:ascii="Times New Roman" w:hAnsi="Times New Roman" w:cs="Times New Roman"/>
          <w:sz w:val="24"/>
          <w:szCs w:val="24"/>
        </w:rPr>
        <w:t xml:space="preserve">a large </w:t>
      </w:r>
      <w:r w:rsidR="00C14F05" w:rsidRPr="00344E55">
        <w:rPr>
          <w:rFonts w:ascii="Times New Roman" w:hAnsi="Times New Roman" w:cs="Times New Roman"/>
          <w:sz w:val="24"/>
          <w:szCs w:val="24"/>
        </w:rPr>
        <w:tab/>
        <w:t>numbe</w:t>
      </w:r>
      <w:r w:rsidRPr="00344E55">
        <w:rPr>
          <w:rFonts w:ascii="Times New Roman" w:hAnsi="Times New Roman" w:cs="Times New Roman"/>
          <w:sz w:val="24"/>
          <w:szCs w:val="24"/>
        </w:rPr>
        <w:t xml:space="preserve">r </w:t>
      </w:r>
      <w:r w:rsidR="00C14F05" w:rsidRPr="00344E55">
        <w:rPr>
          <w:rFonts w:ascii="Times New Roman" w:hAnsi="Times New Roman" w:cs="Times New Roman"/>
          <w:sz w:val="24"/>
          <w:szCs w:val="24"/>
        </w:rPr>
        <w:t xml:space="preserve">of legacy issues that remain unattended, some have budgetary implications </w:t>
      </w:r>
      <w:r w:rsidR="00C14F05" w:rsidRPr="00344E55">
        <w:rPr>
          <w:rFonts w:ascii="Times New Roman" w:hAnsi="Times New Roman" w:cs="Times New Roman"/>
          <w:sz w:val="24"/>
          <w:szCs w:val="24"/>
        </w:rPr>
        <w:tab/>
        <w:t xml:space="preserve">while others are likely to hamper the speed with which the Department must execute </w:t>
      </w:r>
      <w:r w:rsidR="00C14F05" w:rsidRPr="00344E55">
        <w:rPr>
          <w:rFonts w:ascii="Times New Roman" w:hAnsi="Times New Roman" w:cs="Times New Roman"/>
          <w:sz w:val="24"/>
          <w:szCs w:val="24"/>
        </w:rPr>
        <w:tab/>
      </w:r>
      <w:r w:rsidRPr="00344E55">
        <w:rPr>
          <w:rFonts w:ascii="Times New Roman" w:hAnsi="Times New Roman" w:cs="Times New Roman"/>
          <w:sz w:val="24"/>
          <w:szCs w:val="24"/>
        </w:rPr>
        <w:t xml:space="preserve">its mandate. </w:t>
      </w:r>
      <w:r w:rsidR="00C14F05" w:rsidRPr="00344E55">
        <w:rPr>
          <w:rFonts w:ascii="Times New Roman" w:hAnsi="Times New Roman" w:cs="Times New Roman"/>
          <w:sz w:val="24"/>
          <w:szCs w:val="24"/>
        </w:rPr>
        <w:t>T</w:t>
      </w:r>
      <w:r w:rsidRPr="00344E55">
        <w:rPr>
          <w:rFonts w:ascii="Times New Roman" w:hAnsi="Times New Roman" w:cs="Times New Roman"/>
          <w:sz w:val="24"/>
          <w:szCs w:val="24"/>
        </w:rPr>
        <w:t xml:space="preserve">he Secretariat of the Portfolio </w:t>
      </w:r>
      <w:r w:rsidR="00C14F05" w:rsidRPr="00344E55">
        <w:rPr>
          <w:rFonts w:ascii="Times New Roman" w:hAnsi="Times New Roman" w:cs="Times New Roman"/>
          <w:sz w:val="24"/>
          <w:szCs w:val="24"/>
        </w:rPr>
        <w:t xml:space="preserve">Committee must </w:t>
      </w:r>
      <w:r w:rsidRPr="00344E55">
        <w:rPr>
          <w:rFonts w:ascii="Times New Roman" w:hAnsi="Times New Roman" w:cs="Times New Roman"/>
          <w:sz w:val="24"/>
          <w:szCs w:val="24"/>
        </w:rPr>
        <w:t xml:space="preserve">outline all these and other </w:t>
      </w:r>
      <w:r w:rsidRPr="00344E55">
        <w:rPr>
          <w:rFonts w:ascii="Times New Roman" w:hAnsi="Times New Roman" w:cs="Times New Roman"/>
          <w:sz w:val="24"/>
          <w:szCs w:val="24"/>
        </w:rPr>
        <w:tab/>
        <w:t xml:space="preserve">matters for deliberations by the Portfolio Committee and the Department before 31 July </w:t>
      </w:r>
      <w:r w:rsidRPr="00344E55">
        <w:rPr>
          <w:rFonts w:ascii="Times New Roman" w:hAnsi="Times New Roman" w:cs="Times New Roman"/>
          <w:sz w:val="24"/>
          <w:szCs w:val="24"/>
        </w:rPr>
        <w:tab/>
        <w:t>2019</w:t>
      </w:r>
      <w:r w:rsidR="007E3582" w:rsidRPr="00344E55">
        <w:rPr>
          <w:rFonts w:ascii="Times New Roman" w:hAnsi="Times New Roman" w:cs="Times New Roman"/>
          <w:sz w:val="24"/>
          <w:szCs w:val="24"/>
        </w:rPr>
        <w:t xml:space="preserve"> so that they are implemented immediately</w:t>
      </w:r>
      <w:r w:rsidRPr="00344E55">
        <w:rPr>
          <w:rFonts w:ascii="Times New Roman" w:hAnsi="Times New Roman" w:cs="Times New Roman"/>
          <w:sz w:val="24"/>
          <w:szCs w:val="24"/>
        </w:rPr>
        <w:t>;</w:t>
      </w:r>
    </w:p>
    <w:p w14:paraId="5986189D" w14:textId="77777777" w:rsidR="007E3B95" w:rsidRPr="00344E55" w:rsidRDefault="00C87A62" w:rsidP="00A26B16">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16.2</w:t>
      </w:r>
      <w:r w:rsidRPr="00344E55">
        <w:rPr>
          <w:rFonts w:ascii="Times New Roman" w:hAnsi="Times New Roman" w:cs="Times New Roman"/>
          <w:sz w:val="24"/>
          <w:szCs w:val="24"/>
        </w:rPr>
        <w:tab/>
      </w:r>
      <w:r w:rsidR="009F1373" w:rsidRPr="00344E55">
        <w:rPr>
          <w:rFonts w:ascii="Times New Roman" w:hAnsi="Times New Roman" w:cs="Times New Roman"/>
          <w:sz w:val="24"/>
          <w:szCs w:val="24"/>
        </w:rPr>
        <w:t>The Portfolio Committee notes the Auditor general report</w:t>
      </w:r>
      <w:r w:rsidRPr="00344E55">
        <w:rPr>
          <w:rFonts w:ascii="Times New Roman" w:hAnsi="Times New Roman" w:cs="Times New Roman"/>
          <w:sz w:val="24"/>
          <w:szCs w:val="24"/>
        </w:rPr>
        <w:t xml:space="preserve"> with respect to allegations of </w:t>
      </w:r>
      <w:r w:rsidR="009F1373" w:rsidRPr="00344E55">
        <w:rPr>
          <w:rFonts w:ascii="Times New Roman" w:hAnsi="Times New Roman" w:cs="Times New Roman"/>
          <w:sz w:val="24"/>
          <w:szCs w:val="24"/>
        </w:rPr>
        <w:tab/>
      </w:r>
      <w:r w:rsidRPr="00344E55">
        <w:rPr>
          <w:rFonts w:ascii="Times New Roman" w:hAnsi="Times New Roman" w:cs="Times New Roman"/>
          <w:sz w:val="24"/>
          <w:szCs w:val="24"/>
        </w:rPr>
        <w:t>fraud and corruption in the</w:t>
      </w:r>
      <w:r w:rsidR="009F1373" w:rsidRPr="00344E55">
        <w:rPr>
          <w:rFonts w:ascii="Times New Roman" w:hAnsi="Times New Roman" w:cs="Times New Roman"/>
          <w:sz w:val="24"/>
          <w:szCs w:val="24"/>
        </w:rPr>
        <w:t xml:space="preserve"> </w:t>
      </w:r>
      <w:r w:rsidRPr="00344E55">
        <w:rPr>
          <w:rFonts w:ascii="Times New Roman" w:hAnsi="Times New Roman" w:cs="Times New Roman"/>
          <w:sz w:val="24"/>
          <w:szCs w:val="24"/>
        </w:rPr>
        <w:t xml:space="preserve">Department. </w:t>
      </w:r>
      <w:r w:rsidR="007E3582" w:rsidRPr="00344E55">
        <w:rPr>
          <w:rFonts w:ascii="Times New Roman" w:hAnsi="Times New Roman" w:cs="Times New Roman"/>
          <w:sz w:val="24"/>
          <w:szCs w:val="24"/>
        </w:rPr>
        <w:t xml:space="preserve">The Portfolio Committee </w:t>
      </w:r>
      <w:r w:rsidR="009F1373" w:rsidRPr="00344E55">
        <w:rPr>
          <w:rFonts w:ascii="Times New Roman" w:hAnsi="Times New Roman" w:cs="Times New Roman"/>
          <w:sz w:val="24"/>
          <w:szCs w:val="24"/>
        </w:rPr>
        <w:t>further observes</w:t>
      </w:r>
      <w:r w:rsidR="007E3582" w:rsidRPr="00344E55">
        <w:rPr>
          <w:rFonts w:ascii="Times New Roman" w:hAnsi="Times New Roman" w:cs="Times New Roman"/>
          <w:sz w:val="24"/>
          <w:szCs w:val="24"/>
        </w:rPr>
        <w:t xml:space="preserve"> the </w:t>
      </w:r>
      <w:r w:rsidR="009F1373" w:rsidRPr="00344E55">
        <w:rPr>
          <w:rFonts w:ascii="Times New Roman" w:hAnsi="Times New Roman" w:cs="Times New Roman"/>
          <w:sz w:val="24"/>
          <w:szCs w:val="24"/>
        </w:rPr>
        <w:tab/>
      </w:r>
      <w:r w:rsidR="007E3582" w:rsidRPr="00344E55">
        <w:rPr>
          <w:rFonts w:ascii="Times New Roman" w:hAnsi="Times New Roman" w:cs="Times New Roman"/>
          <w:sz w:val="24"/>
          <w:szCs w:val="24"/>
        </w:rPr>
        <w:t>suspension of nine (9) officials and</w:t>
      </w:r>
      <w:r w:rsidR="009F1373" w:rsidRPr="00344E55">
        <w:rPr>
          <w:rFonts w:ascii="Times New Roman" w:hAnsi="Times New Roman" w:cs="Times New Roman"/>
          <w:sz w:val="24"/>
          <w:szCs w:val="24"/>
        </w:rPr>
        <w:t xml:space="preserve"> </w:t>
      </w:r>
      <w:r w:rsidR="007E3582" w:rsidRPr="00344E55">
        <w:rPr>
          <w:rFonts w:ascii="Times New Roman" w:hAnsi="Times New Roman" w:cs="Times New Roman"/>
          <w:sz w:val="24"/>
          <w:szCs w:val="24"/>
        </w:rPr>
        <w:t xml:space="preserve">mindful of the fact that more still needs to be done. </w:t>
      </w:r>
      <w:r w:rsidR="009F1373" w:rsidRPr="00344E55">
        <w:rPr>
          <w:rFonts w:ascii="Times New Roman" w:hAnsi="Times New Roman" w:cs="Times New Roman"/>
          <w:sz w:val="24"/>
          <w:szCs w:val="24"/>
        </w:rPr>
        <w:tab/>
      </w:r>
      <w:r w:rsidR="004A2971" w:rsidRPr="00344E55">
        <w:rPr>
          <w:rFonts w:ascii="Times New Roman" w:hAnsi="Times New Roman" w:cs="Times New Roman"/>
          <w:sz w:val="24"/>
          <w:szCs w:val="24"/>
        </w:rPr>
        <w:t>The</w:t>
      </w:r>
      <w:r w:rsidR="009F1373" w:rsidRPr="00344E55">
        <w:rPr>
          <w:rFonts w:ascii="Times New Roman" w:hAnsi="Times New Roman" w:cs="Times New Roman"/>
          <w:sz w:val="24"/>
          <w:szCs w:val="24"/>
        </w:rPr>
        <w:t xml:space="preserve"> </w:t>
      </w:r>
      <w:r w:rsidR="007E3582" w:rsidRPr="00344E55">
        <w:rPr>
          <w:rFonts w:ascii="Times New Roman" w:hAnsi="Times New Roman" w:cs="Times New Roman"/>
          <w:sz w:val="24"/>
          <w:szCs w:val="24"/>
        </w:rPr>
        <w:t xml:space="preserve">fifth Parliament </w:t>
      </w:r>
      <w:r w:rsidRPr="00344E55">
        <w:rPr>
          <w:rFonts w:ascii="Times New Roman" w:hAnsi="Times New Roman" w:cs="Times New Roman"/>
          <w:sz w:val="24"/>
          <w:szCs w:val="24"/>
        </w:rPr>
        <w:t>adjourned the</w:t>
      </w:r>
      <w:r w:rsidR="009F1373" w:rsidRPr="00344E55">
        <w:rPr>
          <w:rFonts w:ascii="Times New Roman" w:hAnsi="Times New Roman" w:cs="Times New Roman"/>
          <w:sz w:val="24"/>
          <w:szCs w:val="24"/>
        </w:rPr>
        <w:t xml:space="preserve"> </w:t>
      </w:r>
      <w:r w:rsidR="007E3B95" w:rsidRPr="00344E55">
        <w:rPr>
          <w:rFonts w:ascii="Times New Roman" w:hAnsi="Times New Roman" w:cs="Times New Roman"/>
          <w:sz w:val="24"/>
          <w:szCs w:val="24"/>
        </w:rPr>
        <w:t>matter for</w:t>
      </w:r>
      <w:r w:rsidR="009F1373" w:rsidRPr="00344E55">
        <w:rPr>
          <w:rFonts w:ascii="Times New Roman" w:hAnsi="Times New Roman" w:cs="Times New Roman"/>
          <w:sz w:val="24"/>
          <w:szCs w:val="24"/>
        </w:rPr>
        <w:t xml:space="preserve"> </w:t>
      </w:r>
      <w:r w:rsidR="007E3B95" w:rsidRPr="00344E55">
        <w:rPr>
          <w:rFonts w:ascii="Times New Roman" w:hAnsi="Times New Roman" w:cs="Times New Roman"/>
          <w:sz w:val="24"/>
          <w:szCs w:val="24"/>
        </w:rPr>
        <w:t>consideration</w:t>
      </w:r>
      <w:r w:rsidR="009F1373" w:rsidRPr="00344E55">
        <w:rPr>
          <w:rFonts w:ascii="Times New Roman" w:hAnsi="Times New Roman" w:cs="Times New Roman"/>
          <w:sz w:val="24"/>
          <w:szCs w:val="24"/>
        </w:rPr>
        <w:t xml:space="preserve"> </w:t>
      </w:r>
      <w:r w:rsidRPr="00344E55">
        <w:rPr>
          <w:rFonts w:ascii="Times New Roman" w:hAnsi="Times New Roman" w:cs="Times New Roman"/>
          <w:sz w:val="24"/>
          <w:szCs w:val="24"/>
        </w:rPr>
        <w:t>by</w:t>
      </w:r>
      <w:r w:rsidR="009F1373" w:rsidRPr="00344E55">
        <w:rPr>
          <w:rFonts w:ascii="Times New Roman" w:hAnsi="Times New Roman" w:cs="Times New Roman"/>
          <w:sz w:val="24"/>
          <w:szCs w:val="24"/>
        </w:rPr>
        <w:t xml:space="preserve"> </w:t>
      </w:r>
      <w:r w:rsidRPr="00344E55">
        <w:rPr>
          <w:rFonts w:ascii="Times New Roman" w:hAnsi="Times New Roman" w:cs="Times New Roman"/>
          <w:sz w:val="24"/>
          <w:szCs w:val="24"/>
        </w:rPr>
        <w:t>the</w:t>
      </w:r>
      <w:r w:rsidR="009F1373" w:rsidRPr="00344E55">
        <w:rPr>
          <w:rFonts w:ascii="Times New Roman" w:hAnsi="Times New Roman" w:cs="Times New Roman"/>
          <w:sz w:val="24"/>
          <w:szCs w:val="24"/>
        </w:rPr>
        <w:t xml:space="preserve"> Portfolio Committee </w:t>
      </w:r>
      <w:r w:rsidR="009F1373" w:rsidRPr="00344E55">
        <w:rPr>
          <w:rFonts w:ascii="Times New Roman" w:hAnsi="Times New Roman" w:cs="Times New Roman"/>
          <w:sz w:val="24"/>
          <w:szCs w:val="24"/>
        </w:rPr>
        <w:tab/>
      </w:r>
      <w:r w:rsidR="00083E49" w:rsidRPr="00344E55">
        <w:rPr>
          <w:rFonts w:ascii="Times New Roman" w:hAnsi="Times New Roman" w:cs="Times New Roman"/>
          <w:sz w:val="24"/>
          <w:szCs w:val="24"/>
        </w:rPr>
        <w:t xml:space="preserve">during </w:t>
      </w:r>
      <w:r w:rsidRPr="00344E55">
        <w:rPr>
          <w:rFonts w:ascii="Times New Roman" w:hAnsi="Times New Roman" w:cs="Times New Roman"/>
          <w:sz w:val="24"/>
          <w:szCs w:val="24"/>
        </w:rPr>
        <w:t>sixth</w:t>
      </w:r>
      <w:r w:rsidR="009F1373" w:rsidRPr="00344E55">
        <w:rPr>
          <w:rFonts w:ascii="Times New Roman" w:hAnsi="Times New Roman" w:cs="Times New Roman"/>
          <w:sz w:val="24"/>
          <w:szCs w:val="24"/>
        </w:rPr>
        <w:t xml:space="preserve"> </w:t>
      </w:r>
      <w:r w:rsidRPr="00344E55">
        <w:rPr>
          <w:rFonts w:ascii="Times New Roman" w:hAnsi="Times New Roman" w:cs="Times New Roman"/>
          <w:sz w:val="24"/>
          <w:szCs w:val="24"/>
        </w:rPr>
        <w:t>Parliament.</w:t>
      </w:r>
      <w:r w:rsidR="009F1373" w:rsidRPr="00344E55">
        <w:rPr>
          <w:rFonts w:ascii="Times New Roman" w:hAnsi="Times New Roman" w:cs="Times New Roman"/>
          <w:sz w:val="24"/>
          <w:szCs w:val="24"/>
        </w:rPr>
        <w:t xml:space="preserve"> </w:t>
      </w:r>
      <w:r w:rsidR="004A2971" w:rsidRPr="00344E55">
        <w:rPr>
          <w:rFonts w:ascii="Times New Roman" w:hAnsi="Times New Roman" w:cs="Times New Roman"/>
          <w:sz w:val="24"/>
          <w:szCs w:val="24"/>
        </w:rPr>
        <w:t>The Secretariat of the</w:t>
      </w:r>
      <w:r w:rsidR="009F1373" w:rsidRPr="00344E55">
        <w:rPr>
          <w:rFonts w:ascii="Times New Roman" w:hAnsi="Times New Roman" w:cs="Times New Roman"/>
          <w:sz w:val="24"/>
          <w:szCs w:val="24"/>
        </w:rPr>
        <w:t xml:space="preserve"> </w:t>
      </w:r>
      <w:r w:rsidRPr="00344E55">
        <w:rPr>
          <w:rFonts w:ascii="Times New Roman" w:hAnsi="Times New Roman" w:cs="Times New Roman"/>
          <w:sz w:val="24"/>
          <w:szCs w:val="24"/>
        </w:rPr>
        <w:t>Portfolio</w:t>
      </w:r>
      <w:r w:rsidR="009F1373" w:rsidRPr="00344E55">
        <w:rPr>
          <w:rFonts w:ascii="Times New Roman" w:hAnsi="Times New Roman" w:cs="Times New Roman"/>
          <w:sz w:val="24"/>
          <w:szCs w:val="24"/>
        </w:rPr>
        <w:t xml:space="preserve"> </w:t>
      </w:r>
      <w:r w:rsidRPr="00344E55">
        <w:rPr>
          <w:rFonts w:ascii="Times New Roman" w:hAnsi="Times New Roman" w:cs="Times New Roman"/>
          <w:sz w:val="24"/>
          <w:szCs w:val="24"/>
        </w:rPr>
        <w:t>Committee</w:t>
      </w:r>
      <w:r w:rsidR="009F1373" w:rsidRPr="00344E55">
        <w:rPr>
          <w:rFonts w:ascii="Times New Roman" w:hAnsi="Times New Roman" w:cs="Times New Roman"/>
          <w:sz w:val="24"/>
          <w:szCs w:val="24"/>
        </w:rPr>
        <w:t xml:space="preserve"> </w:t>
      </w:r>
      <w:r w:rsidR="004A2971" w:rsidRPr="00344E55">
        <w:rPr>
          <w:rFonts w:ascii="Times New Roman" w:hAnsi="Times New Roman" w:cs="Times New Roman"/>
          <w:sz w:val="24"/>
          <w:szCs w:val="24"/>
        </w:rPr>
        <w:t>is</w:t>
      </w:r>
      <w:r w:rsidR="009F1373" w:rsidRPr="00344E55">
        <w:rPr>
          <w:rFonts w:ascii="Times New Roman" w:hAnsi="Times New Roman" w:cs="Times New Roman"/>
          <w:sz w:val="24"/>
          <w:szCs w:val="24"/>
        </w:rPr>
        <w:t xml:space="preserve"> </w:t>
      </w:r>
      <w:r w:rsidR="00A753B0" w:rsidRPr="00344E55">
        <w:rPr>
          <w:rFonts w:ascii="Times New Roman" w:hAnsi="Times New Roman" w:cs="Times New Roman"/>
          <w:sz w:val="24"/>
          <w:szCs w:val="24"/>
        </w:rPr>
        <w:t>for that reason</w:t>
      </w:r>
      <w:r w:rsidR="009F1373" w:rsidRPr="00344E55">
        <w:rPr>
          <w:rFonts w:ascii="Times New Roman" w:hAnsi="Times New Roman" w:cs="Times New Roman"/>
          <w:sz w:val="24"/>
          <w:szCs w:val="24"/>
        </w:rPr>
        <w:t xml:space="preserve"> </w:t>
      </w:r>
      <w:r w:rsidR="00083E49" w:rsidRPr="00344E55">
        <w:rPr>
          <w:rFonts w:ascii="Times New Roman" w:hAnsi="Times New Roman" w:cs="Times New Roman"/>
          <w:sz w:val="24"/>
          <w:szCs w:val="24"/>
        </w:rPr>
        <w:tab/>
        <w:t xml:space="preserve">directed </w:t>
      </w:r>
      <w:r w:rsidR="004A2971" w:rsidRPr="00344E55">
        <w:rPr>
          <w:rFonts w:ascii="Times New Roman" w:hAnsi="Times New Roman" w:cs="Times New Roman"/>
          <w:sz w:val="24"/>
          <w:szCs w:val="24"/>
        </w:rPr>
        <w:t>to</w:t>
      </w:r>
      <w:r w:rsidR="00A753B0" w:rsidRPr="00344E55">
        <w:rPr>
          <w:rFonts w:ascii="Times New Roman" w:hAnsi="Times New Roman" w:cs="Times New Roman"/>
          <w:sz w:val="24"/>
          <w:szCs w:val="24"/>
        </w:rPr>
        <w:t xml:space="preserve"> </w:t>
      </w:r>
      <w:r w:rsidR="004A2971" w:rsidRPr="00344E55">
        <w:rPr>
          <w:rFonts w:ascii="Times New Roman" w:hAnsi="Times New Roman" w:cs="Times New Roman"/>
          <w:sz w:val="24"/>
          <w:szCs w:val="24"/>
        </w:rPr>
        <w:t xml:space="preserve">schedule an urgent </w:t>
      </w:r>
      <w:r w:rsidRPr="00344E55">
        <w:rPr>
          <w:rFonts w:ascii="Times New Roman" w:hAnsi="Times New Roman" w:cs="Times New Roman"/>
          <w:sz w:val="24"/>
          <w:szCs w:val="24"/>
        </w:rPr>
        <w:t>meeting with the Office of the</w:t>
      </w:r>
      <w:r w:rsidR="009F1373" w:rsidRPr="00344E55">
        <w:rPr>
          <w:rFonts w:ascii="Times New Roman" w:hAnsi="Times New Roman" w:cs="Times New Roman"/>
          <w:sz w:val="24"/>
          <w:szCs w:val="24"/>
        </w:rPr>
        <w:t xml:space="preserve"> </w:t>
      </w:r>
      <w:r w:rsidRPr="00344E55">
        <w:rPr>
          <w:rFonts w:ascii="Times New Roman" w:hAnsi="Times New Roman" w:cs="Times New Roman"/>
          <w:sz w:val="24"/>
          <w:szCs w:val="24"/>
        </w:rPr>
        <w:t xml:space="preserve">Auditor General before </w:t>
      </w:r>
      <w:r w:rsidR="00083E49" w:rsidRPr="00344E55">
        <w:rPr>
          <w:rFonts w:ascii="Times New Roman" w:hAnsi="Times New Roman" w:cs="Times New Roman"/>
          <w:sz w:val="24"/>
          <w:szCs w:val="24"/>
        </w:rPr>
        <w:tab/>
      </w:r>
      <w:r w:rsidRPr="00344E55">
        <w:rPr>
          <w:rFonts w:ascii="Times New Roman" w:hAnsi="Times New Roman" w:cs="Times New Roman"/>
          <w:sz w:val="24"/>
          <w:szCs w:val="24"/>
        </w:rPr>
        <w:t>31 Jul</w:t>
      </w:r>
      <w:r w:rsidR="00083E49" w:rsidRPr="00344E55">
        <w:rPr>
          <w:rFonts w:ascii="Times New Roman" w:hAnsi="Times New Roman" w:cs="Times New Roman"/>
          <w:sz w:val="24"/>
          <w:szCs w:val="24"/>
        </w:rPr>
        <w:t xml:space="preserve">y </w:t>
      </w:r>
      <w:r w:rsidR="004A2971" w:rsidRPr="00344E55">
        <w:rPr>
          <w:rFonts w:ascii="Times New Roman" w:hAnsi="Times New Roman" w:cs="Times New Roman"/>
          <w:sz w:val="24"/>
          <w:szCs w:val="24"/>
        </w:rPr>
        <w:t>2019</w:t>
      </w:r>
      <w:r w:rsidR="00A753B0" w:rsidRPr="00344E55">
        <w:rPr>
          <w:rFonts w:ascii="Times New Roman" w:hAnsi="Times New Roman" w:cs="Times New Roman"/>
          <w:sz w:val="24"/>
          <w:szCs w:val="24"/>
        </w:rPr>
        <w:t xml:space="preserve"> </w:t>
      </w:r>
      <w:r w:rsidR="009F1373" w:rsidRPr="00344E55">
        <w:rPr>
          <w:rFonts w:ascii="Times New Roman" w:hAnsi="Times New Roman" w:cs="Times New Roman"/>
          <w:sz w:val="24"/>
          <w:szCs w:val="24"/>
        </w:rPr>
        <w:t xml:space="preserve">to table a formal </w:t>
      </w:r>
      <w:r w:rsidR="00A753B0" w:rsidRPr="00344E55">
        <w:rPr>
          <w:rFonts w:ascii="Times New Roman" w:hAnsi="Times New Roman" w:cs="Times New Roman"/>
          <w:sz w:val="24"/>
          <w:szCs w:val="24"/>
        </w:rPr>
        <w:t>report to the sixth Parliament</w:t>
      </w:r>
      <w:r w:rsidR="007E3B95" w:rsidRPr="00344E55">
        <w:rPr>
          <w:rFonts w:ascii="Times New Roman" w:hAnsi="Times New Roman" w:cs="Times New Roman"/>
          <w:sz w:val="24"/>
          <w:szCs w:val="24"/>
        </w:rPr>
        <w:t xml:space="preserve"> and </w:t>
      </w:r>
      <w:r w:rsidR="009F1373" w:rsidRPr="00344E55">
        <w:rPr>
          <w:rFonts w:ascii="Times New Roman" w:hAnsi="Times New Roman" w:cs="Times New Roman"/>
          <w:sz w:val="24"/>
          <w:szCs w:val="24"/>
        </w:rPr>
        <w:t xml:space="preserve">remedial action </w:t>
      </w:r>
      <w:r w:rsidR="00083E49" w:rsidRPr="00344E55">
        <w:rPr>
          <w:rFonts w:ascii="Times New Roman" w:hAnsi="Times New Roman" w:cs="Times New Roman"/>
          <w:sz w:val="24"/>
          <w:szCs w:val="24"/>
        </w:rPr>
        <w:tab/>
      </w:r>
      <w:r w:rsidR="009F1373" w:rsidRPr="00344E55">
        <w:rPr>
          <w:rFonts w:ascii="Times New Roman" w:hAnsi="Times New Roman" w:cs="Times New Roman"/>
          <w:sz w:val="24"/>
          <w:szCs w:val="24"/>
        </w:rPr>
        <w:t>proposed</w:t>
      </w:r>
      <w:r w:rsidR="007E3B95" w:rsidRPr="00344E55">
        <w:rPr>
          <w:rFonts w:ascii="Times New Roman" w:hAnsi="Times New Roman" w:cs="Times New Roman"/>
          <w:sz w:val="24"/>
          <w:szCs w:val="24"/>
        </w:rPr>
        <w:t>.</w:t>
      </w:r>
      <w:r w:rsidR="00083E49" w:rsidRPr="00344E55">
        <w:rPr>
          <w:rFonts w:ascii="Times New Roman" w:hAnsi="Times New Roman" w:cs="Times New Roman"/>
          <w:sz w:val="24"/>
          <w:szCs w:val="24"/>
        </w:rPr>
        <w:t xml:space="preserve"> During </w:t>
      </w:r>
      <w:r w:rsidR="007E3B95" w:rsidRPr="00344E55">
        <w:rPr>
          <w:rFonts w:ascii="Times New Roman" w:hAnsi="Times New Roman" w:cs="Times New Roman"/>
          <w:sz w:val="24"/>
          <w:szCs w:val="24"/>
        </w:rPr>
        <w:t>the same session</w:t>
      </w:r>
      <w:r w:rsidR="004A2971" w:rsidRPr="00344E55">
        <w:rPr>
          <w:rFonts w:ascii="Times New Roman" w:hAnsi="Times New Roman" w:cs="Times New Roman"/>
          <w:sz w:val="24"/>
          <w:szCs w:val="24"/>
        </w:rPr>
        <w:t>,</w:t>
      </w:r>
      <w:r w:rsidR="00A753B0" w:rsidRPr="00344E55">
        <w:rPr>
          <w:rFonts w:ascii="Times New Roman" w:hAnsi="Times New Roman" w:cs="Times New Roman"/>
          <w:sz w:val="24"/>
          <w:szCs w:val="24"/>
        </w:rPr>
        <w:t xml:space="preserve"> </w:t>
      </w:r>
      <w:r w:rsidR="004A2971" w:rsidRPr="00344E55">
        <w:rPr>
          <w:rFonts w:ascii="Times New Roman" w:hAnsi="Times New Roman" w:cs="Times New Roman"/>
          <w:sz w:val="24"/>
          <w:szCs w:val="24"/>
        </w:rPr>
        <w:t xml:space="preserve">the Department </w:t>
      </w:r>
      <w:r w:rsidR="007E3B95" w:rsidRPr="00344E55">
        <w:rPr>
          <w:rFonts w:ascii="Times New Roman" w:hAnsi="Times New Roman" w:cs="Times New Roman"/>
          <w:sz w:val="24"/>
          <w:szCs w:val="24"/>
        </w:rPr>
        <w:t xml:space="preserve">shall table </w:t>
      </w:r>
      <w:r w:rsidR="009F1373" w:rsidRPr="00344E55">
        <w:rPr>
          <w:rFonts w:ascii="Times New Roman" w:hAnsi="Times New Roman" w:cs="Times New Roman"/>
          <w:sz w:val="24"/>
          <w:szCs w:val="24"/>
        </w:rPr>
        <w:t xml:space="preserve">or brief </w:t>
      </w:r>
      <w:r w:rsidR="007E3B95" w:rsidRPr="00344E55">
        <w:rPr>
          <w:rFonts w:ascii="Times New Roman" w:hAnsi="Times New Roman" w:cs="Times New Roman"/>
          <w:sz w:val="24"/>
          <w:szCs w:val="24"/>
        </w:rPr>
        <w:t>the Portfolio</w:t>
      </w:r>
      <w:r w:rsidR="009F1373" w:rsidRPr="00344E55">
        <w:rPr>
          <w:rFonts w:ascii="Times New Roman" w:hAnsi="Times New Roman" w:cs="Times New Roman"/>
          <w:sz w:val="24"/>
          <w:szCs w:val="24"/>
        </w:rPr>
        <w:t xml:space="preserve"> </w:t>
      </w:r>
      <w:r w:rsidR="00083E49" w:rsidRPr="00344E55">
        <w:rPr>
          <w:rFonts w:ascii="Times New Roman" w:hAnsi="Times New Roman" w:cs="Times New Roman"/>
          <w:sz w:val="24"/>
          <w:szCs w:val="24"/>
        </w:rPr>
        <w:lastRenderedPageBreak/>
        <w:tab/>
        <w:t xml:space="preserve">Committee </w:t>
      </w:r>
      <w:r w:rsidR="009F1373" w:rsidRPr="00344E55">
        <w:rPr>
          <w:rFonts w:ascii="Times New Roman" w:hAnsi="Times New Roman" w:cs="Times New Roman"/>
          <w:sz w:val="24"/>
          <w:szCs w:val="24"/>
        </w:rPr>
        <w:t xml:space="preserve">with </w:t>
      </w:r>
      <w:r w:rsidR="00083E49" w:rsidRPr="00344E55">
        <w:rPr>
          <w:rFonts w:ascii="Times New Roman" w:hAnsi="Times New Roman" w:cs="Times New Roman"/>
          <w:sz w:val="24"/>
          <w:szCs w:val="24"/>
        </w:rPr>
        <w:t xml:space="preserve">a </w:t>
      </w:r>
      <w:r w:rsidR="007E3B95" w:rsidRPr="00344E55">
        <w:rPr>
          <w:rFonts w:ascii="Times New Roman" w:hAnsi="Times New Roman" w:cs="Times New Roman"/>
          <w:sz w:val="24"/>
          <w:szCs w:val="24"/>
        </w:rPr>
        <w:t>detailed plan of action</w:t>
      </w:r>
      <w:r w:rsidR="00A753B0" w:rsidRPr="00344E55">
        <w:rPr>
          <w:rFonts w:ascii="Times New Roman" w:hAnsi="Times New Roman" w:cs="Times New Roman"/>
          <w:sz w:val="24"/>
          <w:szCs w:val="24"/>
        </w:rPr>
        <w:t xml:space="preserve"> </w:t>
      </w:r>
      <w:r w:rsidR="009F1373" w:rsidRPr="00344E55">
        <w:rPr>
          <w:rFonts w:ascii="Times New Roman" w:hAnsi="Times New Roman" w:cs="Times New Roman"/>
          <w:sz w:val="24"/>
          <w:szCs w:val="24"/>
        </w:rPr>
        <w:t xml:space="preserve">and </w:t>
      </w:r>
      <w:r w:rsidR="004A2971" w:rsidRPr="00344E55">
        <w:rPr>
          <w:rFonts w:ascii="Times New Roman" w:hAnsi="Times New Roman" w:cs="Times New Roman"/>
          <w:sz w:val="24"/>
          <w:szCs w:val="24"/>
        </w:rPr>
        <w:t xml:space="preserve">disciplinary </w:t>
      </w:r>
      <w:r w:rsidR="007E3B95" w:rsidRPr="00344E55">
        <w:rPr>
          <w:rFonts w:ascii="Times New Roman" w:hAnsi="Times New Roman" w:cs="Times New Roman"/>
          <w:sz w:val="24"/>
          <w:szCs w:val="24"/>
        </w:rPr>
        <w:t>measures</w:t>
      </w:r>
      <w:r w:rsidR="009F1373" w:rsidRPr="00344E55">
        <w:rPr>
          <w:rFonts w:ascii="Times New Roman" w:hAnsi="Times New Roman" w:cs="Times New Roman"/>
          <w:sz w:val="24"/>
          <w:szCs w:val="24"/>
        </w:rPr>
        <w:t xml:space="preserve"> i</w:t>
      </w:r>
      <w:r w:rsidR="007E3B95" w:rsidRPr="00344E55">
        <w:rPr>
          <w:rFonts w:ascii="Times New Roman" w:hAnsi="Times New Roman" w:cs="Times New Roman"/>
          <w:sz w:val="24"/>
          <w:szCs w:val="24"/>
        </w:rPr>
        <w:t xml:space="preserve">t shall adopt in </w:t>
      </w:r>
      <w:r w:rsidR="00083E49" w:rsidRPr="00344E55">
        <w:rPr>
          <w:rFonts w:ascii="Times New Roman" w:hAnsi="Times New Roman" w:cs="Times New Roman"/>
          <w:sz w:val="24"/>
          <w:szCs w:val="24"/>
        </w:rPr>
        <w:tab/>
      </w:r>
      <w:r w:rsidR="004A2971" w:rsidRPr="00344E55">
        <w:rPr>
          <w:rFonts w:ascii="Times New Roman" w:hAnsi="Times New Roman" w:cs="Times New Roman"/>
          <w:sz w:val="24"/>
          <w:szCs w:val="24"/>
        </w:rPr>
        <w:t>applying t</w:t>
      </w:r>
      <w:r w:rsidR="00083E49" w:rsidRPr="00344E55">
        <w:rPr>
          <w:rFonts w:ascii="Times New Roman" w:hAnsi="Times New Roman" w:cs="Times New Roman"/>
          <w:sz w:val="24"/>
          <w:szCs w:val="24"/>
        </w:rPr>
        <w:t xml:space="preserve">he </w:t>
      </w:r>
      <w:r w:rsidR="007E3B95" w:rsidRPr="00344E55">
        <w:rPr>
          <w:rFonts w:ascii="Times New Roman" w:hAnsi="Times New Roman" w:cs="Times New Roman"/>
          <w:sz w:val="24"/>
          <w:szCs w:val="24"/>
        </w:rPr>
        <w:t>Auditor General</w:t>
      </w:r>
      <w:r w:rsidR="00A753B0" w:rsidRPr="00344E55">
        <w:rPr>
          <w:rFonts w:ascii="Times New Roman" w:hAnsi="Times New Roman" w:cs="Times New Roman"/>
          <w:sz w:val="24"/>
          <w:szCs w:val="24"/>
        </w:rPr>
        <w:t xml:space="preserve"> </w:t>
      </w:r>
      <w:r w:rsidR="007E3B95" w:rsidRPr="00344E55">
        <w:rPr>
          <w:rFonts w:ascii="Times New Roman" w:hAnsi="Times New Roman" w:cs="Times New Roman"/>
          <w:sz w:val="24"/>
          <w:szCs w:val="24"/>
        </w:rPr>
        <w:t>recommendations</w:t>
      </w:r>
      <w:r w:rsidR="00A753B0" w:rsidRPr="00344E55">
        <w:rPr>
          <w:rFonts w:ascii="Times New Roman" w:hAnsi="Times New Roman" w:cs="Times New Roman"/>
          <w:sz w:val="24"/>
          <w:szCs w:val="24"/>
        </w:rPr>
        <w:t>;</w:t>
      </w:r>
    </w:p>
    <w:p w14:paraId="086B337A" w14:textId="77777777" w:rsidR="00C87A62" w:rsidRPr="00344E55" w:rsidRDefault="007E3B95" w:rsidP="00A26B16">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16.3</w:t>
      </w:r>
      <w:r w:rsidRPr="00344E55">
        <w:rPr>
          <w:rFonts w:ascii="Times New Roman" w:hAnsi="Times New Roman" w:cs="Times New Roman"/>
          <w:sz w:val="24"/>
          <w:szCs w:val="24"/>
        </w:rPr>
        <w:tab/>
      </w:r>
      <w:r w:rsidR="001C2340" w:rsidRPr="00344E55">
        <w:rPr>
          <w:rFonts w:ascii="Times New Roman" w:hAnsi="Times New Roman" w:cs="Times New Roman"/>
          <w:sz w:val="24"/>
          <w:szCs w:val="24"/>
        </w:rPr>
        <w:t>It is</w:t>
      </w:r>
      <w:r w:rsidR="00A753B0" w:rsidRPr="00344E55">
        <w:rPr>
          <w:rFonts w:ascii="Times New Roman" w:hAnsi="Times New Roman" w:cs="Times New Roman"/>
          <w:sz w:val="24"/>
          <w:szCs w:val="24"/>
        </w:rPr>
        <w:t xml:space="preserve"> </w:t>
      </w:r>
      <w:r w:rsidRPr="00344E55">
        <w:rPr>
          <w:rFonts w:ascii="Times New Roman" w:hAnsi="Times New Roman" w:cs="Times New Roman"/>
          <w:sz w:val="24"/>
          <w:szCs w:val="24"/>
        </w:rPr>
        <w:t xml:space="preserve">envisaged that the 2019 - 2024 Medium Term Strategic Framework shall have </w:t>
      </w:r>
      <w:r w:rsidRPr="00344E55">
        <w:rPr>
          <w:rFonts w:ascii="Times New Roman" w:hAnsi="Times New Roman" w:cs="Times New Roman"/>
          <w:sz w:val="24"/>
          <w:szCs w:val="24"/>
        </w:rPr>
        <w:tab/>
      </w:r>
      <w:r w:rsidR="001C2340" w:rsidRPr="00344E55">
        <w:rPr>
          <w:rFonts w:ascii="Times New Roman" w:hAnsi="Times New Roman" w:cs="Times New Roman"/>
          <w:sz w:val="24"/>
          <w:szCs w:val="24"/>
        </w:rPr>
        <w:t xml:space="preserve">been </w:t>
      </w:r>
      <w:r w:rsidR="004A2971" w:rsidRPr="00344E55">
        <w:rPr>
          <w:rFonts w:ascii="Times New Roman" w:hAnsi="Times New Roman" w:cs="Times New Roman"/>
          <w:sz w:val="24"/>
          <w:szCs w:val="24"/>
        </w:rPr>
        <w:t xml:space="preserve">completed before </w:t>
      </w:r>
      <w:r w:rsidRPr="00344E55">
        <w:rPr>
          <w:rFonts w:ascii="Times New Roman" w:hAnsi="Times New Roman" w:cs="Times New Roman"/>
          <w:sz w:val="24"/>
          <w:szCs w:val="24"/>
        </w:rPr>
        <w:t xml:space="preserve">31 July 2019. The Portfolio Committee is urging the </w:t>
      </w:r>
      <w:r w:rsidR="001C2340" w:rsidRPr="00344E55">
        <w:rPr>
          <w:rFonts w:ascii="Times New Roman" w:hAnsi="Times New Roman" w:cs="Times New Roman"/>
          <w:sz w:val="24"/>
          <w:szCs w:val="24"/>
        </w:rPr>
        <w:tab/>
      </w:r>
      <w:r w:rsidRPr="00344E55">
        <w:rPr>
          <w:rFonts w:ascii="Times New Roman" w:hAnsi="Times New Roman" w:cs="Times New Roman"/>
          <w:sz w:val="24"/>
          <w:szCs w:val="24"/>
        </w:rPr>
        <w:t xml:space="preserve">Department to </w:t>
      </w:r>
      <w:r w:rsidR="001C2340" w:rsidRPr="00344E55">
        <w:rPr>
          <w:rFonts w:ascii="Times New Roman" w:hAnsi="Times New Roman" w:cs="Times New Roman"/>
          <w:sz w:val="24"/>
          <w:szCs w:val="24"/>
        </w:rPr>
        <w:t xml:space="preserve">immediately resume the crafting of the strategic plan, to comply with all </w:t>
      </w:r>
      <w:r w:rsidR="001C2340" w:rsidRPr="00344E55">
        <w:rPr>
          <w:rFonts w:ascii="Times New Roman" w:hAnsi="Times New Roman" w:cs="Times New Roman"/>
          <w:sz w:val="24"/>
          <w:szCs w:val="24"/>
        </w:rPr>
        <w:tab/>
        <w:t xml:space="preserve">the government prescripts pertaining </w:t>
      </w:r>
      <w:r w:rsidR="004A2971" w:rsidRPr="00344E55">
        <w:rPr>
          <w:rFonts w:ascii="Times New Roman" w:hAnsi="Times New Roman" w:cs="Times New Roman"/>
          <w:sz w:val="24"/>
          <w:szCs w:val="24"/>
        </w:rPr>
        <w:t xml:space="preserve">to </w:t>
      </w:r>
      <w:r w:rsidR="001C2340" w:rsidRPr="00344E55">
        <w:rPr>
          <w:rFonts w:ascii="Times New Roman" w:hAnsi="Times New Roman" w:cs="Times New Roman"/>
          <w:sz w:val="24"/>
          <w:szCs w:val="24"/>
        </w:rPr>
        <w:t xml:space="preserve">the strategic plans and organisational structure </w:t>
      </w:r>
      <w:r w:rsidR="001C2340" w:rsidRPr="00344E55">
        <w:rPr>
          <w:rFonts w:ascii="Times New Roman" w:hAnsi="Times New Roman" w:cs="Times New Roman"/>
          <w:sz w:val="24"/>
          <w:szCs w:val="24"/>
        </w:rPr>
        <w:tab/>
        <w:t>e.g. Public Finance Management Act</w:t>
      </w:r>
      <w:r w:rsidR="00F14BA8" w:rsidRPr="00344E55">
        <w:rPr>
          <w:rFonts w:ascii="Times New Roman" w:hAnsi="Times New Roman" w:cs="Times New Roman"/>
          <w:sz w:val="24"/>
          <w:szCs w:val="24"/>
        </w:rPr>
        <w:t>,1999</w:t>
      </w:r>
      <w:r w:rsidR="001C2340" w:rsidRPr="00344E55">
        <w:rPr>
          <w:rFonts w:ascii="Times New Roman" w:hAnsi="Times New Roman" w:cs="Times New Roman"/>
          <w:sz w:val="24"/>
          <w:szCs w:val="24"/>
        </w:rPr>
        <w:t xml:space="preserve"> and Public Service Act</w:t>
      </w:r>
      <w:r w:rsidR="00F14BA8" w:rsidRPr="00344E55">
        <w:rPr>
          <w:rFonts w:ascii="Times New Roman" w:hAnsi="Times New Roman" w:cs="Times New Roman"/>
          <w:sz w:val="24"/>
          <w:szCs w:val="24"/>
        </w:rPr>
        <w:t>,1994</w:t>
      </w:r>
      <w:r w:rsidR="001C2340" w:rsidRPr="00344E55">
        <w:rPr>
          <w:rFonts w:ascii="Times New Roman" w:hAnsi="Times New Roman" w:cs="Times New Roman"/>
          <w:sz w:val="24"/>
          <w:szCs w:val="24"/>
        </w:rPr>
        <w:t xml:space="preserve"> before the end of Q3 of </w:t>
      </w:r>
      <w:r w:rsidR="001C2340" w:rsidRPr="00344E55">
        <w:rPr>
          <w:rFonts w:ascii="Times New Roman" w:hAnsi="Times New Roman" w:cs="Times New Roman"/>
          <w:sz w:val="24"/>
          <w:szCs w:val="24"/>
        </w:rPr>
        <w:tab/>
        <w:t>the 2019/20 financial year;</w:t>
      </w:r>
    </w:p>
    <w:p w14:paraId="13A28D24" w14:textId="77777777" w:rsidR="00A127FF" w:rsidRPr="00344E55" w:rsidRDefault="00A127FF" w:rsidP="00A26B16">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16.4</w:t>
      </w:r>
      <w:r w:rsidRPr="00344E55">
        <w:rPr>
          <w:rFonts w:ascii="Times New Roman" w:hAnsi="Times New Roman" w:cs="Times New Roman"/>
          <w:sz w:val="24"/>
          <w:szCs w:val="24"/>
        </w:rPr>
        <w:tab/>
        <w:t xml:space="preserve">In relation to 16.3 above, considering that other state departments i.e. Economic </w:t>
      </w:r>
      <w:r w:rsidRPr="00344E55">
        <w:rPr>
          <w:rFonts w:ascii="Times New Roman" w:hAnsi="Times New Roman" w:cs="Times New Roman"/>
          <w:sz w:val="24"/>
          <w:szCs w:val="24"/>
        </w:rPr>
        <w:tab/>
        <w:t>Development Department have been collapsed or reconfigured, this provides DSBD</w:t>
      </w:r>
      <w:r w:rsidR="00662142" w:rsidRPr="00344E55">
        <w:rPr>
          <w:rFonts w:ascii="Times New Roman" w:hAnsi="Times New Roman" w:cs="Times New Roman"/>
          <w:sz w:val="24"/>
          <w:szCs w:val="24"/>
        </w:rPr>
        <w:tab/>
      </w:r>
      <w:r w:rsidRPr="00344E55">
        <w:rPr>
          <w:rFonts w:ascii="Times New Roman" w:hAnsi="Times New Roman" w:cs="Times New Roman"/>
          <w:sz w:val="24"/>
          <w:szCs w:val="24"/>
        </w:rPr>
        <w:t xml:space="preserve"> an opportunity to consolidate all small enterprise functions</w:t>
      </w:r>
      <w:r w:rsidR="00662142" w:rsidRPr="00344E55">
        <w:rPr>
          <w:rFonts w:ascii="Times New Roman" w:hAnsi="Times New Roman" w:cs="Times New Roman"/>
          <w:sz w:val="24"/>
          <w:szCs w:val="24"/>
        </w:rPr>
        <w:t xml:space="preserve"> and budgets scattered in </w:t>
      </w:r>
      <w:r w:rsidR="00662142" w:rsidRPr="00344E55">
        <w:rPr>
          <w:rFonts w:ascii="Times New Roman" w:hAnsi="Times New Roman" w:cs="Times New Roman"/>
          <w:sz w:val="24"/>
          <w:szCs w:val="24"/>
        </w:rPr>
        <w:tab/>
      </w:r>
      <w:r w:rsidR="004A2971" w:rsidRPr="00344E55">
        <w:rPr>
          <w:rFonts w:ascii="Times New Roman" w:hAnsi="Times New Roman" w:cs="Times New Roman"/>
          <w:sz w:val="24"/>
          <w:szCs w:val="24"/>
        </w:rPr>
        <w:t>various</w:t>
      </w:r>
      <w:r w:rsidR="00662142" w:rsidRPr="00344E55">
        <w:rPr>
          <w:rFonts w:ascii="Times New Roman" w:hAnsi="Times New Roman" w:cs="Times New Roman"/>
          <w:sz w:val="24"/>
          <w:szCs w:val="24"/>
        </w:rPr>
        <w:t xml:space="preserve"> </w:t>
      </w:r>
      <w:r w:rsidR="00083E49" w:rsidRPr="00344E55">
        <w:rPr>
          <w:rFonts w:ascii="Times New Roman" w:hAnsi="Times New Roman" w:cs="Times New Roman"/>
          <w:sz w:val="24"/>
          <w:szCs w:val="24"/>
        </w:rPr>
        <w:t xml:space="preserve">state </w:t>
      </w:r>
      <w:r w:rsidRPr="00344E55">
        <w:rPr>
          <w:rFonts w:ascii="Times New Roman" w:hAnsi="Times New Roman" w:cs="Times New Roman"/>
          <w:sz w:val="24"/>
          <w:szCs w:val="24"/>
        </w:rPr>
        <w:t>Department</w:t>
      </w:r>
      <w:r w:rsidR="00662142" w:rsidRPr="00344E55">
        <w:rPr>
          <w:rFonts w:ascii="Times New Roman" w:hAnsi="Times New Roman" w:cs="Times New Roman"/>
          <w:sz w:val="24"/>
          <w:szCs w:val="24"/>
        </w:rPr>
        <w:t>s. The Department must</w:t>
      </w:r>
      <w:r w:rsidRPr="00344E55">
        <w:rPr>
          <w:rFonts w:ascii="Times New Roman" w:hAnsi="Times New Roman" w:cs="Times New Roman"/>
          <w:sz w:val="24"/>
          <w:szCs w:val="24"/>
        </w:rPr>
        <w:t xml:space="preserve"> </w:t>
      </w:r>
      <w:r w:rsidR="004A2971" w:rsidRPr="00344E55">
        <w:rPr>
          <w:rFonts w:ascii="Times New Roman" w:hAnsi="Times New Roman" w:cs="Times New Roman"/>
          <w:sz w:val="24"/>
          <w:szCs w:val="24"/>
        </w:rPr>
        <w:t xml:space="preserve">guide </w:t>
      </w:r>
      <w:r w:rsidR="00662142" w:rsidRPr="00344E55">
        <w:rPr>
          <w:rFonts w:ascii="Times New Roman" w:hAnsi="Times New Roman" w:cs="Times New Roman"/>
          <w:sz w:val="24"/>
          <w:szCs w:val="24"/>
        </w:rPr>
        <w:t xml:space="preserve">the Portfolio Committee which </w:t>
      </w:r>
      <w:r w:rsidR="00083E49" w:rsidRPr="00344E55">
        <w:rPr>
          <w:rFonts w:ascii="Times New Roman" w:hAnsi="Times New Roman" w:cs="Times New Roman"/>
          <w:sz w:val="24"/>
          <w:szCs w:val="24"/>
        </w:rPr>
        <w:tab/>
        <w:t xml:space="preserve">of </w:t>
      </w:r>
      <w:r w:rsidRPr="00344E55">
        <w:rPr>
          <w:rFonts w:ascii="Times New Roman" w:hAnsi="Times New Roman" w:cs="Times New Roman"/>
          <w:sz w:val="24"/>
          <w:szCs w:val="24"/>
        </w:rPr>
        <w:t>the funct</w:t>
      </w:r>
      <w:r w:rsidR="00662142" w:rsidRPr="00344E55">
        <w:rPr>
          <w:rFonts w:ascii="Times New Roman" w:hAnsi="Times New Roman" w:cs="Times New Roman"/>
          <w:sz w:val="24"/>
          <w:szCs w:val="24"/>
        </w:rPr>
        <w:t xml:space="preserve">ions, budget and personnel will </w:t>
      </w:r>
      <w:r w:rsidR="004A2971" w:rsidRPr="00344E55">
        <w:rPr>
          <w:rFonts w:ascii="Times New Roman" w:hAnsi="Times New Roman" w:cs="Times New Roman"/>
          <w:sz w:val="24"/>
          <w:szCs w:val="24"/>
        </w:rPr>
        <w:t xml:space="preserve">be </w:t>
      </w:r>
      <w:r w:rsidRPr="00344E55">
        <w:rPr>
          <w:rFonts w:ascii="Times New Roman" w:hAnsi="Times New Roman" w:cs="Times New Roman"/>
          <w:sz w:val="24"/>
          <w:szCs w:val="24"/>
        </w:rPr>
        <w:t xml:space="preserve">relocated or transferred to the </w:t>
      </w:r>
      <w:r w:rsidR="00662142" w:rsidRPr="00344E55">
        <w:rPr>
          <w:rFonts w:ascii="Times New Roman" w:hAnsi="Times New Roman" w:cs="Times New Roman"/>
          <w:sz w:val="24"/>
          <w:szCs w:val="24"/>
        </w:rPr>
        <w:t>DSBD</w:t>
      </w:r>
      <w:r w:rsidR="004A2971" w:rsidRPr="00344E55">
        <w:rPr>
          <w:rFonts w:ascii="Times New Roman" w:hAnsi="Times New Roman" w:cs="Times New Roman"/>
          <w:sz w:val="24"/>
          <w:szCs w:val="24"/>
        </w:rPr>
        <w:t>,</w:t>
      </w:r>
      <w:r w:rsidR="00662142" w:rsidRPr="00344E55">
        <w:rPr>
          <w:rFonts w:ascii="Times New Roman" w:hAnsi="Times New Roman" w:cs="Times New Roman"/>
          <w:sz w:val="24"/>
          <w:szCs w:val="24"/>
        </w:rPr>
        <w:t xml:space="preserve"> so </w:t>
      </w:r>
      <w:r w:rsidR="004A2971" w:rsidRPr="00344E55">
        <w:rPr>
          <w:rFonts w:ascii="Times New Roman" w:hAnsi="Times New Roman" w:cs="Times New Roman"/>
          <w:sz w:val="24"/>
          <w:szCs w:val="24"/>
        </w:rPr>
        <w:tab/>
      </w:r>
      <w:r w:rsidR="00662142" w:rsidRPr="00344E55">
        <w:rPr>
          <w:rFonts w:ascii="Times New Roman" w:hAnsi="Times New Roman" w:cs="Times New Roman"/>
          <w:sz w:val="24"/>
          <w:szCs w:val="24"/>
        </w:rPr>
        <w:t xml:space="preserve">that </w:t>
      </w:r>
      <w:r w:rsidR="00A753B0" w:rsidRPr="00344E55">
        <w:rPr>
          <w:rFonts w:ascii="Times New Roman" w:hAnsi="Times New Roman" w:cs="Times New Roman"/>
          <w:sz w:val="24"/>
          <w:szCs w:val="24"/>
        </w:rPr>
        <w:t xml:space="preserve">if required, </w:t>
      </w:r>
      <w:r w:rsidR="00662142" w:rsidRPr="00344E55">
        <w:rPr>
          <w:rFonts w:ascii="Times New Roman" w:hAnsi="Times New Roman" w:cs="Times New Roman"/>
          <w:sz w:val="24"/>
          <w:szCs w:val="24"/>
        </w:rPr>
        <w:t>the Po</w:t>
      </w:r>
      <w:r w:rsidR="004A2971" w:rsidRPr="00344E55">
        <w:rPr>
          <w:rFonts w:ascii="Times New Roman" w:hAnsi="Times New Roman" w:cs="Times New Roman"/>
          <w:sz w:val="24"/>
          <w:szCs w:val="24"/>
        </w:rPr>
        <w:t xml:space="preserve">rtfolio Committee can start the </w:t>
      </w:r>
      <w:r w:rsidR="00662142" w:rsidRPr="00344E55">
        <w:rPr>
          <w:rFonts w:ascii="Times New Roman" w:hAnsi="Times New Roman" w:cs="Times New Roman"/>
          <w:sz w:val="24"/>
          <w:szCs w:val="24"/>
        </w:rPr>
        <w:t xml:space="preserve">process of interacting with other </w:t>
      </w:r>
      <w:r w:rsidR="00A753B0" w:rsidRPr="00344E55">
        <w:rPr>
          <w:rFonts w:ascii="Times New Roman" w:hAnsi="Times New Roman" w:cs="Times New Roman"/>
          <w:sz w:val="24"/>
          <w:szCs w:val="24"/>
        </w:rPr>
        <w:tab/>
      </w:r>
      <w:r w:rsidR="00662142" w:rsidRPr="00344E55">
        <w:rPr>
          <w:rFonts w:ascii="Times New Roman" w:hAnsi="Times New Roman" w:cs="Times New Roman"/>
          <w:sz w:val="24"/>
          <w:szCs w:val="24"/>
        </w:rPr>
        <w:t>Portfolio</w:t>
      </w:r>
      <w:r w:rsidR="00A753B0" w:rsidRPr="00344E55">
        <w:rPr>
          <w:rFonts w:ascii="Times New Roman" w:hAnsi="Times New Roman" w:cs="Times New Roman"/>
          <w:sz w:val="24"/>
          <w:szCs w:val="24"/>
        </w:rPr>
        <w:t xml:space="preserve"> </w:t>
      </w:r>
      <w:r w:rsidR="00662142" w:rsidRPr="00344E55">
        <w:rPr>
          <w:rFonts w:ascii="Times New Roman" w:hAnsi="Times New Roman" w:cs="Times New Roman"/>
          <w:sz w:val="24"/>
          <w:szCs w:val="24"/>
        </w:rPr>
        <w:t>Committees of Parliament</w:t>
      </w:r>
      <w:r w:rsidR="004A2971" w:rsidRPr="00344E55">
        <w:rPr>
          <w:rFonts w:ascii="Times New Roman" w:hAnsi="Times New Roman" w:cs="Times New Roman"/>
          <w:sz w:val="24"/>
          <w:szCs w:val="24"/>
        </w:rPr>
        <w:t xml:space="preserve"> before the </w:t>
      </w:r>
      <w:r w:rsidR="00662142" w:rsidRPr="00344E55">
        <w:rPr>
          <w:rFonts w:ascii="Times New Roman" w:hAnsi="Times New Roman" w:cs="Times New Roman"/>
          <w:sz w:val="24"/>
          <w:szCs w:val="24"/>
        </w:rPr>
        <w:t xml:space="preserve">finalisation of the strategic planning </w:t>
      </w:r>
      <w:r w:rsidR="00A753B0" w:rsidRPr="00344E55">
        <w:rPr>
          <w:rFonts w:ascii="Times New Roman" w:hAnsi="Times New Roman" w:cs="Times New Roman"/>
          <w:sz w:val="24"/>
          <w:szCs w:val="24"/>
        </w:rPr>
        <w:tab/>
      </w:r>
      <w:r w:rsidR="00662142" w:rsidRPr="00344E55">
        <w:rPr>
          <w:rFonts w:ascii="Times New Roman" w:hAnsi="Times New Roman" w:cs="Times New Roman"/>
          <w:sz w:val="24"/>
          <w:szCs w:val="24"/>
        </w:rPr>
        <w:t>process</w:t>
      </w:r>
      <w:r w:rsidR="004A2971" w:rsidRPr="00344E55">
        <w:rPr>
          <w:rFonts w:ascii="Times New Roman" w:hAnsi="Times New Roman" w:cs="Times New Roman"/>
          <w:sz w:val="24"/>
          <w:szCs w:val="24"/>
        </w:rPr>
        <w:t>es</w:t>
      </w:r>
      <w:r w:rsidR="00A753B0" w:rsidRPr="00344E55">
        <w:rPr>
          <w:rFonts w:ascii="Times New Roman" w:hAnsi="Times New Roman" w:cs="Times New Roman"/>
          <w:sz w:val="24"/>
          <w:szCs w:val="24"/>
        </w:rPr>
        <w:t xml:space="preserve"> </w:t>
      </w:r>
      <w:r w:rsidR="004A2971" w:rsidRPr="00344E55">
        <w:rPr>
          <w:rFonts w:ascii="Times New Roman" w:hAnsi="Times New Roman" w:cs="Times New Roman"/>
          <w:sz w:val="24"/>
          <w:szCs w:val="24"/>
        </w:rPr>
        <w:t>for both the Department and the Portfolio Committee</w:t>
      </w:r>
      <w:r w:rsidR="00662142" w:rsidRPr="00344E55">
        <w:rPr>
          <w:rFonts w:ascii="Times New Roman" w:hAnsi="Times New Roman" w:cs="Times New Roman"/>
          <w:sz w:val="24"/>
          <w:szCs w:val="24"/>
        </w:rPr>
        <w:t>;</w:t>
      </w:r>
    </w:p>
    <w:p w14:paraId="5E0D4BEF" w14:textId="77777777" w:rsidR="00A758AC" w:rsidRPr="00344E55" w:rsidRDefault="00074B62" w:rsidP="00A26B16">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16.5</w:t>
      </w:r>
      <w:r w:rsidR="004A2971" w:rsidRPr="00344E55">
        <w:rPr>
          <w:rFonts w:ascii="Times New Roman" w:hAnsi="Times New Roman" w:cs="Times New Roman"/>
          <w:sz w:val="24"/>
          <w:szCs w:val="24"/>
        </w:rPr>
        <w:tab/>
      </w:r>
      <w:r w:rsidRPr="00344E55">
        <w:rPr>
          <w:rFonts w:ascii="Times New Roman" w:hAnsi="Times New Roman" w:cs="Times New Roman"/>
          <w:sz w:val="24"/>
          <w:szCs w:val="24"/>
        </w:rPr>
        <w:t>The strategic plan of the Department must also pronounce on the i</w:t>
      </w:r>
      <w:r w:rsidR="004A2971" w:rsidRPr="00344E55">
        <w:rPr>
          <w:rFonts w:ascii="Times New Roman" w:hAnsi="Times New Roman" w:cs="Times New Roman"/>
          <w:sz w:val="24"/>
          <w:szCs w:val="24"/>
        </w:rPr>
        <w:t xml:space="preserve">nstitutional </w:t>
      </w:r>
      <w:r w:rsidRPr="00344E55">
        <w:rPr>
          <w:rFonts w:ascii="Times New Roman" w:hAnsi="Times New Roman" w:cs="Times New Roman"/>
          <w:sz w:val="24"/>
          <w:szCs w:val="24"/>
        </w:rPr>
        <w:tab/>
      </w:r>
      <w:r w:rsidR="004A2971" w:rsidRPr="00344E55">
        <w:rPr>
          <w:rFonts w:ascii="Times New Roman" w:hAnsi="Times New Roman" w:cs="Times New Roman"/>
          <w:sz w:val="24"/>
          <w:szCs w:val="24"/>
        </w:rPr>
        <w:t xml:space="preserve">realignment of entities </w:t>
      </w:r>
      <w:r w:rsidRPr="00344E55">
        <w:rPr>
          <w:rFonts w:ascii="Times New Roman" w:hAnsi="Times New Roman" w:cs="Times New Roman"/>
          <w:sz w:val="24"/>
          <w:szCs w:val="24"/>
        </w:rPr>
        <w:t xml:space="preserve">e.g. standing recommendation to transfer </w:t>
      </w:r>
      <w:proofErr w:type="spellStart"/>
      <w:r w:rsidRPr="00344E55">
        <w:rPr>
          <w:rFonts w:ascii="Times New Roman" w:hAnsi="Times New Roman" w:cs="Times New Roman"/>
          <w:b/>
          <w:sz w:val="24"/>
          <w:szCs w:val="24"/>
        </w:rPr>
        <w:t>sefa</w:t>
      </w:r>
      <w:proofErr w:type="spellEnd"/>
      <w:r w:rsidRPr="00344E55">
        <w:rPr>
          <w:rFonts w:ascii="Times New Roman" w:hAnsi="Times New Roman" w:cs="Times New Roman"/>
          <w:sz w:val="24"/>
          <w:szCs w:val="24"/>
        </w:rPr>
        <w:t xml:space="preserve"> to DSBD and/or </w:t>
      </w:r>
      <w:r w:rsidRPr="00344E55">
        <w:rPr>
          <w:rFonts w:ascii="Times New Roman" w:hAnsi="Times New Roman" w:cs="Times New Roman"/>
          <w:sz w:val="24"/>
          <w:szCs w:val="24"/>
        </w:rPr>
        <w:tab/>
        <w:t xml:space="preserve">amalgamate </w:t>
      </w:r>
      <w:proofErr w:type="spellStart"/>
      <w:r w:rsidRPr="00344E55">
        <w:rPr>
          <w:rFonts w:ascii="Times New Roman" w:hAnsi="Times New Roman" w:cs="Times New Roman"/>
          <w:sz w:val="24"/>
          <w:szCs w:val="24"/>
        </w:rPr>
        <w:t>Seda</w:t>
      </w:r>
      <w:proofErr w:type="spellEnd"/>
      <w:r w:rsidRPr="00344E55">
        <w:rPr>
          <w:rFonts w:ascii="Times New Roman" w:hAnsi="Times New Roman" w:cs="Times New Roman"/>
          <w:sz w:val="24"/>
          <w:szCs w:val="24"/>
        </w:rPr>
        <w:t xml:space="preserve"> and </w:t>
      </w:r>
      <w:proofErr w:type="spellStart"/>
      <w:r w:rsidRPr="00344E55">
        <w:rPr>
          <w:rFonts w:ascii="Times New Roman" w:hAnsi="Times New Roman" w:cs="Times New Roman"/>
          <w:b/>
          <w:sz w:val="24"/>
          <w:szCs w:val="24"/>
        </w:rPr>
        <w:t>sefa</w:t>
      </w:r>
      <w:proofErr w:type="spellEnd"/>
      <w:r w:rsidRPr="00344E55">
        <w:rPr>
          <w:rFonts w:ascii="Times New Roman" w:hAnsi="Times New Roman" w:cs="Times New Roman"/>
          <w:sz w:val="24"/>
          <w:szCs w:val="24"/>
        </w:rPr>
        <w:t xml:space="preserve"> into a single entity, Small Enterprise Advisory Body, Co-</w:t>
      </w:r>
      <w:r w:rsidR="00A758AC" w:rsidRPr="00344E55">
        <w:rPr>
          <w:rFonts w:ascii="Times New Roman" w:hAnsi="Times New Roman" w:cs="Times New Roman"/>
          <w:sz w:val="24"/>
          <w:szCs w:val="24"/>
        </w:rPr>
        <w:tab/>
      </w:r>
      <w:r w:rsidRPr="00344E55">
        <w:rPr>
          <w:rFonts w:ascii="Times New Roman" w:hAnsi="Times New Roman" w:cs="Times New Roman"/>
          <w:sz w:val="24"/>
          <w:szCs w:val="24"/>
        </w:rPr>
        <w:t>operatives</w:t>
      </w:r>
      <w:r w:rsidR="00A758AC" w:rsidRPr="00344E55">
        <w:rPr>
          <w:rFonts w:ascii="Times New Roman" w:hAnsi="Times New Roman" w:cs="Times New Roman"/>
          <w:sz w:val="24"/>
          <w:szCs w:val="24"/>
        </w:rPr>
        <w:t xml:space="preserve"> Development Agency, Co-operatives </w:t>
      </w:r>
      <w:r w:rsidRPr="00344E55">
        <w:rPr>
          <w:rFonts w:ascii="Times New Roman" w:hAnsi="Times New Roman" w:cs="Times New Roman"/>
          <w:sz w:val="24"/>
          <w:szCs w:val="24"/>
        </w:rPr>
        <w:t xml:space="preserve">Tribunal, Co-operatives Training </w:t>
      </w:r>
      <w:r w:rsidR="00A758AC" w:rsidRPr="00344E55">
        <w:rPr>
          <w:rFonts w:ascii="Times New Roman" w:hAnsi="Times New Roman" w:cs="Times New Roman"/>
          <w:sz w:val="24"/>
          <w:szCs w:val="24"/>
        </w:rPr>
        <w:tab/>
      </w:r>
      <w:r w:rsidRPr="00344E55">
        <w:rPr>
          <w:rFonts w:ascii="Times New Roman" w:hAnsi="Times New Roman" w:cs="Times New Roman"/>
          <w:sz w:val="24"/>
          <w:szCs w:val="24"/>
        </w:rPr>
        <w:t>Academy</w:t>
      </w:r>
      <w:r w:rsidR="00A758AC" w:rsidRPr="00344E55">
        <w:rPr>
          <w:rFonts w:ascii="Times New Roman" w:hAnsi="Times New Roman" w:cs="Times New Roman"/>
          <w:sz w:val="24"/>
          <w:szCs w:val="24"/>
        </w:rPr>
        <w:t xml:space="preserve"> as well as </w:t>
      </w:r>
      <w:r w:rsidRPr="00344E55">
        <w:rPr>
          <w:rFonts w:ascii="Times New Roman" w:hAnsi="Times New Roman" w:cs="Times New Roman"/>
          <w:sz w:val="24"/>
          <w:szCs w:val="24"/>
        </w:rPr>
        <w:t>Co-operative Development Fund</w:t>
      </w:r>
      <w:r w:rsidR="00A758AC" w:rsidRPr="00344E55">
        <w:rPr>
          <w:rFonts w:ascii="Times New Roman" w:hAnsi="Times New Roman" w:cs="Times New Roman"/>
          <w:sz w:val="24"/>
          <w:szCs w:val="24"/>
        </w:rPr>
        <w:t>;</w:t>
      </w:r>
    </w:p>
    <w:p w14:paraId="3F26EFF5" w14:textId="77777777" w:rsidR="00924D2F" w:rsidRPr="00344E55" w:rsidRDefault="00A758AC" w:rsidP="00A26B16">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16.6</w:t>
      </w:r>
      <w:r w:rsidRPr="00344E55">
        <w:rPr>
          <w:rFonts w:ascii="Times New Roman" w:hAnsi="Times New Roman" w:cs="Times New Roman"/>
          <w:sz w:val="24"/>
          <w:szCs w:val="24"/>
        </w:rPr>
        <w:tab/>
        <w:t xml:space="preserve">Moreover, subsequent to the creation of the Prudential Authority (PA), an agency of </w:t>
      </w:r>
      <w:r w:rsidRPr="00344E55">
        <w:rPr>
          <w:rFonts w:ascii="Times New Roman" w:hAnsi="Times New Roman" w:cs="Times New Roman"/>
          <w:sz w:val="24"/>
          <w:szCs w:val="24"/>
        </w:rPr>
        <w:tab/>
        <w:t xml:space="preserve">the South African Reserve Bank (SARB), most functions, budget and personnel from </w:t>
      </w:r>
      <w:r w:rsidRPr="00344E55">
        <w:rPr>
          <w:rFonts w:ascii="Times New Roman" w:hAnsi="Times New Roman" w:cs="Times New Roman"/>
          <w:sz w:val="24"/>
          <w:szCs w:val="24"/>
        </w:rPr>
        <w:tab/>
        <w:t xml:space="preserve">Co-operative Banks Development Agency (CBDA) </w:t>
      </w:r>
      <w:r w:rsidRPr="00344E55">
        <w:rPr>
          <w:rFonts w:ascii="Times New Roman" w:hAnsi="Times New Roman" w:cs="Times New Roman"/>
          <w:sz w:val="24"/>
          <w:szCs w:val="24"/>
        </w:rPr>
        <w:tab/>
      </w:r>
      <w:r w:rsidR="00DA343F" w:rsidRPr="00344E55">
        <w:rPr>
          <w:rFonts w:ascii="Times New Roman" w:hAnsi="Times New Roman" w:cs="Times New Roman"/>
          <w:sz w:val="24"/>
          <w:szCs w:val="24"/>
        </w:rPr>
        <w:t xml:space="preserve">were </w:t>
      </w:r>
      <w:r w:rsidRPr="00344E55">
        <w:rPr>
          <w:rFonts w:ascii="Times New Roman" w:hAnsi="Times New Roman" w:cs="Times New Roman"/>
          <w:sz w:val="24"/>
          <w:szCs w:val="24"/>
        </w:rPr>
        <w:t xml:space="preserve">transferred to PA, leaving </w:t>
      </w:r>
      <w:r w:rsidRPr="00344E55">
        <w:rPr>
          <w:rFonts w:ascii="Times New Roman" w:hAnsi="Times New Roman" w:cs="Times New Roman"/>
          <w:sz w:val="24"/>
          <w:szCs w:val="24"/>
        </w:rPr>
        <w:tab/>
        <w:t xml:space="preserve">Co-operative Financial Institutions in the balance. </w:t>
      </w:r>
      <w:r w:rsidR="00DA343F" w:rsidRPr="00344E55">
        <w:rPr>
          <w:rFonts w:ascii="Times New Roman" w:hAnsi="Times New Roman" w:cs="Times New Roman"/>
          <w:sz w:val="24"/>
          <w:szCs w:val="24"/>
        </w:rPr>
        <w:t xml:space="preserve">Pursuant to the fifth Parliament </w:t>
      </w:r>
      <w:r w:rsidR="00DA343F" w:rsidRPr="00344E55">
        <w:rPr>
          <w:rFonts w:ascii="Times New Roman" w:hAnsi="Times New Roman" w:cs="Times New Roman"/>
          <w:sz w:val="24"/>
          <w:szCs w:val="24"/>
        </w:rPr>
        <w:tab/>
        <w:t xml:space="preserve">recommendation, the </w:t>
      </w:r>
      <w:r w:rsidR="00074B62" w:rsidRPr="00344E55">
        <w:rPr>
          <w:rFonts w:ascii="Times New Roman" w:hAnsi="Times New Roman" w:cs="Times New Roman"/>
          <w:sz w:val="24"/>
          <w:szCs w:val="24"/>
        </w:rPr>
        <w:t xml:space="preserve">Department </w:t>
      </w:r>
      <w:r w:rsidR="00DA343F" w:rsidRPr="00344E55">
        <w:rPr>
          <w:rFonts w:ascii="Times New Roman" w:hAnsi="Times New Roman" w:cs="Times New Roman"/>
          <w:sz w:val="24"/>
          <w:szCs w:val="24"/>
        </w:rPr>
        <w:t xml:space="preserve">must develop a well-articulated framework </w:t>
      </w:r>
      <w:r w:rsidR="00074B62" w:rsidRPr="00344E55">
        <w:rPr>
          <w:rFonts w:ascii="Times New Roman" w:hAnsi="Times New Roman" w:cs="Times New Roman"/>
          <w:sz w:val="24"/>
          <w:szCs w:val="24"/>
        </w:rPr>
        <w:t xml:space="preserve">for </w:t>
      </w:r>
      <w:r w:rsidR="00DA343F" w:rsidRPr="00344E55">
        <w:rPr>
          <w:rFonts w:ascii="Times New Roman" w:hAnsi="Times New Roman" w:cs="Times New Roman"/>
          <w:sz w:val="24"/>
          <w:szCs w:val="24"/>
        </w:rPr>
        <w:tab/>
      </w:r>
      <w:r w:rsidR="00074B62" w:rsidRPr="00344E55">
        <w:rPr>
          <w:rFonts w:ascii="Times New Roman" w:hAnsi="Times New Roman" w:cs="Times New Roman"/>
          <w:sz w:val="24"/>
          <w:szCs w:val="24"/>
        </w:rPr>
        <w:t>leveraging Co-operative</w:t>
      </w:r>
      <w:r w:rsidR="00DA343F" w:rsidRPr="00344E55">
        <w:rPr>
          <w:rFonts w:ascii="Times New Roman" w:hAnsi="Times New Roman" w:cs="Times New Roman"/>
          <w:sz w:val="24"/>
          <w:szCs w:val="24"/>
        </w:rPr>
        <w:t xml:space="preserve">s Financial Institution and Co-operative Banks to </w:t>
      </w:r>
      <w:r w:rsidR="00074B62" w:rsidRPr="00344E55">
        <w:rPr>
          <w:rFonts w:ascii="Times New Roman" w:hAnsi="Times New Roman" w:cs="Times New Roman"/>
          <w:sz w:val="24"/>
          <w:szCs w:val="24"/>
        </w:rPr>
        <w:t xml:space="preserve">unlock </w:t>
      </w:r>
      <w:r w:rsidR="00DA343F" w:rsidRPr="00344E55">
        <w:rPr>
          <w:rFonts w:ascii="Times New Roman" w:hAnsi="Times New Roman" w:cs="Times New Roman"/>
          <w:sz w:val="24"/>
          <w:szCs w:val="24"/>
        </w:rPr>
        <w:tab/>
      </w:r>
      <w:r w:rsidR="00074B62" w:rsidRPr="00344E55">
        <w:rPr>
          <w:rFonts w:ascii="Times New Roman" w:hAnsi="Times New Roman" w:cs="Times New Roman"/>
          <w:sz w:val="24"/>
          <w:szCs w:val="24"/>
        </w:rPr>
        <w:t xml:space="preserve">access to capital for small enterprises. The </w:t>
      </w:r>
      <w:r w:rsidR="00DA343F" w:rsidRPr="00344E55">
        <w:rPr>
          <w:rFonts w:ascii="Times New Roman" w:hAnsi="Times New Roman" w:cs="Times New Roman"/>
          <w:sz w:val="24"/>
          <w:szCs w:val="24"/>
        </w:rPr>
        <w:t xml:space="preserve">current strategic plan is mute on this </w:t>
      </w:r>
      <w:r w:rsidR="00074B62" w:rsidRPr="00344E55">
        <w:rPr>
          <w:rFonts w:ascii="Times New Roman" w:hAnsi="Times New Roman" w:cs="Times New Roman"/>
          <w:sz w:val="24"/>
          <w:szCs w:val="24"/>
        </w:rPr>
        <w:t xml:space="preserve">and </w:t>
      </w:r>
      <w:r w:rsidR="00DA343F" w:rsidRPr="00344E55">
        <w:rPr>
          <w:rFonts w:ascii="Times New Roman" w:hAnsi="Times New Roman" w:cs="Times New Roman"/>
          <w:sz w:val="24"/>
          <w:szCs w:val="24"/>
        </w:rPr>
        <w:tab/>
        <w:t xml:space="preserve">other </w:t>
      </w:r>
      <w:r w:rsidR="00074B62" w:rsidRPr="00344E55">
        <w:rPr>
          <w:rFonts w:ascii="Times New Roman" w:hAnsi="Times New Roman" w:cs="Times New Roman"/>
          <w:sz w:val="24"/>
          <w:szCs w:val="24"/>
        </w:rPr>
        <w:t xml:space="preserve">critical </w:t>
      </w:r>
      <w:r w:rsidR="00DA343F" w:rsidRPr="00344E55">
        <w:rPr>
          <w:rFonts w:ascii="Times New Roman" w:hAnsi="Times New Roman" w:cs="Times New Roman"/>
          <w:sz w:val="24"/>
          <w:szCs w:val="24"/>
        </w:rPr>
        <w:t xml:space="preserve">interventions </w:t>
      </w:r>
      <w:r w:rsidR="00A753B0" w:rsidRPr="00344E55">
        <w:rPr>
          <w:rFonts w:ascii="Times New Roman" w:hAnsi="Times New Roman" w:cs="Times New Roman"/>
          <w:sz w:val="24"/>
          <w:szCs w:val="24"/>
        </w:rPr>
        <w:t xml:space="preserve">necessary </w:t>
      </w:r>
      <w:r w:rsidR="00DA343F" w:rsidRPr="00344E55">
        <w:rPr>
          <w:rFonts w:ascii="Times New Roman" w:hAnsi="Times New Roman" w:cs="Times New Roman"/>
          <w:sz w:val="24"/>
          <w:szCs w:val="24"/>
        </w:rPr>
        <w:t xml:space="preserve">to deal </w:t>
      </w:r>
      <w:r w:rsidR="00074B62" w:rsidRPr="00344E55">
        <w:rPr>
          <w:rFonts w:ascii="Times New Roman" w:hAnsi="Times New Roman" w:cs="Times New Roman"/>
          <w:sz w:val="24"/>
          <w:szCs w:val="24"/>
        </w:rPr>
        <w:t xml:space="preserve">with </w:t>
      </w:r>
      <w:r w:rsidR="00DA343F" w:rsidRPr="00344E55">
        <w:rPr>
          <w:rFonts w:ascii="Times New Roman" w:hAnsi="Times New Roman" w:cs="Times New Roman"/>
          <w:sz w:val="24"/>
          <w:szCs w:val="24"/>
        </w:rPr>
        <w:t xml:space="preserve">issues of </w:t>
      </w:r>
      <w:r w:rsidR="00074B62" w:rsidRPr="00344E55">
        <w:rPr>
          <w:rFonts w:ascii="Times New Roman" w:hAnsi="Times New Roman" w:cs="Times New Roman"/>
          <w:sz w:val="24"/>
          <w:szCs w:val="24"/>
        </w:rPr>
        <w:t>access to finance</w:t>
      </w:r>
      <w:r w:rsidR="00DA343F" w:rsidRPr="00344E55">
        <w:rPr>
          <w:rFonts w:ascii="Times New Roman" w:hAnsi="Times New Roman" w:cs="Times New Roman"/>
          <w:sz w:val="24"/>
          <w:szCs w:val="24"/>
        </w:rPr>
        <w:t xml:space="preserve"> for small </w:t>
      </w:r>
      <w:r w:rsidR="00A753B0" w:rsidRPr="00344E55">
        <w:rPr>
          <w:rFonts w:ascii="Times New Roman" w:hAnsi="Times New Roman" w:cs="Times New Roman"/>
          <w:sz w:val="24"/>
          <w:szCs w:val="24"/>
        </w:rPr>
        <w:tab/>
      </w:r>
      <w:r w:rsidR="00DA343F" w:rsidRPr="00344E55">
        <w:rPr>
          <w:rFonts w:ascii="Times New Roman" w:hAnsi="Times New Roman" w:cs="Times New Roman"/>
          <w:sz w:val="24"/>
          <w:szCs w:val="24"/>
        </w:rPr>
        <w:t>businesses</w:t>
      </w:r>
      <w:r w:rsidR="00074B62" w:rsidRPr="00344E55">
        <w:rPr>
          <w:rFonts w:ascii="Times New Roman" w:hAnsi="Times New Roman" w:cs="Times New Roman"/>
          <w:sz w:val="24"/>
          <w:szCs w:val="24"/>
        </w:rPr>
        <w:t>.</w:t>
      </w:r>
      <w:r w:rsidR="00A753B0" w:rsidRPr="00344E55">
        <w:rPr>
          <w:rFonts w:ascii="Times New Roman" w:hAnsi="Times New Roman" w:cs="Times New Roman"/>
          <w:sz w:val="24"/>
          <w:szCs w:val="24"/>
        </w:rPr>
        <w:t xml:space="preserve"> </w:t>
      </w:r>
      <w:r w:rsidR="00074B62" w:rsidRPr="00344E55">
        <w:rPr>
          <w:rFonts w:ascii="Times New Roman" w:hAnsi="Times New Roman" w:cs="Times New Roman"/>
          <w:sz w:val="24"/>
          <w:szCs w:val="24"/>
        </w:rPr>
        <w:t>Th</w:t>
      </w:r>
      <w:r w:rsidR="00DA343F" w:rsidRPr="00344E55">
        <w:rPr>
          <w:rFonts w:ascii="Times New Roman" w:hAnsi="Times New Roman" w:cs="Times New Roman"/>
          <w:sz w:val="24"/>
          <w:szCs w:val="24"/>
        </w:rPr>
        <w:t xml:space="preserve">e proposed framework </w:t>
      </w:r>
      <w:r w:rsidR="00074B62" w:rsidRPr="00344E55">
        <w:rPr>
          <w:rFonts w:ascii="Times New Roman" w:hAnsi="Times New Roman" w:cs="Times New Roman"/>
          <w:sz w:val="24"/>
          <w:szCs w:val="24"/>
        </w:rPr>
        <w:t xml:space="preserve">or plan must be presented to the Portfolio </w:t>
      </w:r>
      <w:r w:rsidR="00A753B0" w:rsidRPr="00344E55">
        <w:rPr>
          <w:rFonts w:ascii="Times New Roman" w:hAnsi="Times New Roman" w:cs="Times New Roman"/>
          <w:sz w:val="24"/>
          <w:szCs w:val="24"/>
        </w:rPr>
        <w:tab/>
      </w:r>
      <w:r w:rsidR="00074B62" w:rsidRPr="00344E55">
        <w:rPr>
          <w:rFonts w:ascii="Times New Roman" w:hAnsi="Times New Roman" w:cs="Times New Roman"/>
          <w:sz w:val="24"/>
          <w:szCs w:val="24"/>
        </w:rPr>
        <w:t>Committee before</w:t>
      </w:r>
      <w:r w:rsidR="00A753B0" w:rsidRPr="00344E55">
        <w:rPr>
          <w:rFonts w:ascii="Times New Roman" w:hAnsi="Times New Roman" w:cs="Times New Roman"/>
          <w:sz w:val="24"/>
          <w:szCs w:val="24"/>
        </w:rPr>
        <w:t xml:space="preserve"> </w:t>
      </w:r>
      <w:r w:rsidR="00074B62" w:rsidRPr="00344E55">
        <w:rPr>
          <w:rFonts w:ascii="Times New Roman" w:hAnsi="Times New Roman" w:cs="Times New Roman"/>
          <w:sz w:val="24"/>
          <w:szCs w:val="24"/>
        </w:rPr>
        <w:t xml:space="preserve">the end of </w:t>
      </w:r>
      <w:r w:rsidR="00DA343F" w:rsidRPr="00344E55">
        <w:rPr>
          <w:rFonts w:ascii="Times New Roman" w:hAnsi="Times New Roman" w:cs="Times New Roman"/>
          <w:sz w:val="24"/>
          <w:szCs w:val="24"/>
        </w:rPr>
        <w:t>the</w:t>
      </w:r>
      <w:r w:rsidR="00A753B0" w:rsidRPr="00344E55">
        <w:rPr>
          <w:rFonts w:ascii="Times New Roman" w:hAnsi="Times New Roman" w:cs="Times New Roman"/>
          <w:sz w:val="24"/>
          <w:szCs w:val="24"/>
        </w:rPr>
        <w:t xml:space="preserve"> </w:t>
      </w:r>
      <w:r w:rsidR="00DA343F" w:rsidRPr="00344E55">
        <w:rPr>
          <w:rFonts w:ascii="Times New Roman" w:hAnsi="Times New Roman" w:cs="Times New Roman"/>
          <w:sz w:val="24"/>
          <w:szCs w:val="24"/>
        </w:rPr>
        <w:t xml:space="preserve">strategic </w:t>
      </w:r>
      <w:r w:rsidR="00924D2F" w:rsidRPr="00344E55">
        <w:rPr>
          <w:rFonts w:ascii="Times New Roman" w:hAnsi="Times New Roman" w:cs="Times New Roman"/>
          <w:sz w:val="24"/>
          <w:szCs w:val="24"/>
        </w:rPr>
        <w:t xml:space="preserve">planning period or Q3 2019/20; </w:t>
      </w:r>
    </w:p>
    <w:p w14:paraId="53D06591" w14:textId="77777777" w:rsidR="00052577" w:rsidRPr="00344E55" w:rsidRDefault="00924D2F" w:rsidP="00A26B16">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16.7</w:t>
      </w:r>
      <w:r w:rsidRPr="00344E55">
        <w:rPr>
          <w:rFonts w:ascii="Times New Roman" w:hAnsi="Times New Roman" w:cs="Times New Roman"/>
          <w:sz w:val="24"/>
          <w:szCs w:val="24"/>
        </w:rPr>
        <w:tab/>
        <w:t xml:space="preserve">As noted in the Portfolio Committee legacy report </w:t>
      </w:r>
      <w:r w:rsidR="00C83ACC" w:rsidRPr="00344E55">
        <w:rPr>
          <w:rFonts w:ascii="Times New Roman" w:hAnsi="Times New Roman" w:cs="Times New Roman"/>
          <w:sz w:val="24"/>
          <w:szCs w:val="24"/>
        </w:rPr>
        <w:t xml:space="preserve">that </w:t>
      </w:r>
      <w:proofErr w:type="spellStart"/>
      <w:r w:rsidR="00C83ACC" w:rsidRPr="00344E55">
        <w:rPr>
          <w:rFonts w:ascii="Times New Roman" w:hAnsi="Times New Roman" w:cs="Times New Roman"/>
          <w:b/>
          <w:sz w:val="24"/>
          <w:szCs w:val="24"/>
        </w:rPr>
        <w:t>sefa</w:t>
      </w:r>
      <w:proofErr w:type="spellEnd"/>
      <w:r w:rsidR="00C83ACC" w:rsidRPr="00344E55">
        <w:rPr>
          <w:rFonts w:ascii="Times New Roman" w:hAnsi="Times New Roman" w:cs="Times New Roman"/>
          <w:sz w:val="24"/>
          <w:szCs w:val="24"/>
        </w:rPr>
        <w:t xml:space="preserve">, throughout its existence, </w:t>
      </w:r>
      <w:r w:rsidR="00C83ACC" w:rsidRPr="00344E55">
        <w:rPr>
          <w:rFonts w:ascii="Times New Roman" w:hAnsi="Times New Roman" w:cs="Times New Roman"/>
          <w:sz w:val="24"/>
          <w:szCs w:val="24"/>
        </w:rPr>
        <w:tab/>
        <w:t xml:space="preserve">has only funded one </w:t>
      </w:r>
      <w:proofErr w:type="spellStart"/>
      <w:r w:rsidRPr="00344E55">
        <w:rPr>
          <w:rFonts w:ascii="Times New Roman" w:hAnsi="Times New Roman" w:cs="Times New Roman"/>
          <w:sz w:val="24"/>
          <w:szCs w:val="24"/>
        </w:rPr>
        <w:t>Disobotla</w:t>
      </w:r>
      <w:proofErr w:type="spellEnd"/>
      <w:r w:rsidRPr="00344E55">
        <w:rPr>
          <w:rFonts w:ascii="Times New Roman" w:hAnsi="Times New Roman" w:cs="Times New Roman"/>
          <w:sz w:val="24"/>
          <w:szCs w:val="24"/>
        </w:rPr>
        <w:t xml:space="preserve"> Primary Saving and Co-operative Bank, while the use </w:t>
      </w:r>
      <w:r w:rsidR="00C83ACC" w:rsidRPr="00344E55">
        <w:rPr>
          <w:rFonts w:ascii="Times New Roman" w:hAnsi="Times New Roman" w:cs="Times New Roman"/>
          <w:sz w:val="24"/>
          <w:szCs w:val="24"/>
        </w:rPr>
        <w:tab/>
        <w:t xml:space="preserve">of dubious </w:t>
      </w:r>
      <w:r w:rsidRPr="00344E55">
        <w:rPr>
          <w:rFonts w:ascii="Times New Roman" w:hAnsi="Times New Roman" w:cs="Times New Roman"/>
          <w:sz w:val="24"/>
          <w:szCs w:val="24"/>
        </w:rPr>
        <w:t>intermediaries was widespread.</w:t>
      </w:r>
      <w:r w:rsidR="00C83ACC" w:rsidRPr="00344E55">
        <w:rPr>
          <w:rFonts w:ascii="Times New Roman" w:hAnsi="Times New Roman" w:cs="Times New Roman"/>
          <w:sz w:val="24"/>
          <w:szCs w:val="24"/>
        </w:rPr>
        <w:t xml:space="preserve"> The proposed framework requested in 16.6 </w:t>
      </w:r>
      <w:r w:rsidR="00C83ACC" w:rsidRPr="00344E55">
        <w:rPr>
          <w:rFonts w:ascii="Times New Roman" w:hAnsi="Times New Roman" w:cs="Times New Roman"/>
          <w:sz w:val="24"/>
          <w:szCs w:val="24"/>
        </w:rPr>
        <w:lastRenderedPageBreak/>
        <w:tab/>
        <w:t xml:space="preserve">must incorporate plans or strategy on how Small Business and Innovation Fund will </w:t>
      </w:r>
      <w:r w:rsidR="00C83ACC" w:rsidRPr="00344E55">
        <w:rPr>
          <w:rFonts w:ascii="Times New Roman" w:hAnsi="Times New Roman" w:cs="Times New Roman"/>
          <w:sz w:val="24"/>
          <w:szCs w:val="24"/>
        </w:rPr>
        <w:tab/>
        <w:t xml:space="preserve">expedite utilisation of </w:t>
      </w:r>
      <w:r w:rsidR="00C83ACC" w:rsidRPr="00344E55">
        <w:rPr>
          <w:rFonts w:ascii="Times New Roman" w:hAnsi="Times New Roman" w:cs="Times New Roman"/>
          <w:sz w:val="24"/>
          <w:szCs w:val="24"/>
        </w:rPr>
        <w:tab/>
        <w:t>community based Co-operative Financial Institutions and Co-</w:t>
      </w:r>
      <w:r w:rsidR="00C83ACC" w:rsidRPr="00344E55">
        <w:rPr>
          <w:rFonts w:ascii="Times New Roman" w:hAnsi="Times New Roman" w:cs="Times New Roman"/>
          <w:sz w:val="24"/>
          <w:szCs w:val="24"/>
        </w:rPr>
        <w:tab/>
        <w:t>operative Banks particularly in light of the fact that the</w:t>
      </w:r>
      <w:r w:rsidR="00A753B0" w:rsidRPr="00344E55">
        <w:rPr>
          <w:rFonts w:ascii="Times New Roman" w:hAnsi="Times New Roman" w:cs="Times New Roman"/>
          <w:sz w:val="24"/>
          <w:szCs w:val="24"/>
        </w:rPr>
        <w:t xml:space="preserve">ir credibility is not in question as </w:t>
      </w:r>
      <w:r w:rsidR="00A753B0" w:rsidRPr="00344E55">
        <w:rPr>
          <w:rFonts w:ascii="Times New Roman" w:hAnsi="Times New Roman" w:cs="Times New Roman"/>
          <w:sz w:val="24"/>
          <w:szCs w:val="24"/>
        </w:rPr>
        <w:tab/>
        <w:t xml:space="preserve">they </w:t>
      </w:r>
      <w:r w:rsidR="00C83ACC" w:rsidRPr="00344E55">
        <w:rPr>
          <w:rFonts w:ascii="Times New Roman" w:hAnsi="Times New Roman" w:cs="Times New Roman"/>
          <w:sz w:val="24"/>
          <w:szCs w:val="24"/>
        </w:rPr>
        <w:t xml:space="preserve">are </w:t>
      </w:r>
      <w:r w:rsidR="00281692" w:rsidRPr="00344E55">
        <w:rPr>
          <w:rFonts w:ascii="Times New Roman" w:hAnsi="Times New Roman" w:cs="Times New Roman"/>
          <w:sz w:val="24"/>
          <w:szCs w:val="24"/>
        </w:rPr>
        <w:t xml:space="preserve">now </w:t>
      </w:r>
      <w:r w:rsidR="00C83ACC" w:rsidRPr="00344E55">
        <w:rPr>
          <w:rFonts w:ascii="Times New Roman" w:hAnsi="Times New Roman" w:cs="Times New Roman"/>
          <w:sz w:val="24"/>
          <w:szCs w:val="24"/>
        </w:rPr>
        <w:t>registered and</w:t>
      </w:r>
      <w:r w:rsidR="00A753B0" w:rsidRPr="00344E55">
        <w:rPr>
          <w:rFonts w:ascii="Times New Roman" w:hAnsi="Times New Roman" w:cs="Times New Roman"/>
          <w:sz w:val="24"/>
          <w:szCs w:val="24"/>
        </w:rPr>
        <w:t xml:space="preserve"> </w:t>
      </w:r>
      <w:r w:rsidR="00281692" w:rsidRPr="00344E55">
        <w:rPr>
          <w:rFonts w:ascii="Times New Roman" w:hAnsi="Times New Roman" w:cs="Times New Roman"/>
          <w:sz w:val="24"/>
          <w:szCs w:val="24"/>
        </w:rPr>
        <w:t xml:space="preserve">regulated </w:t>
      </w:r>
      <w:r w:rsidR="00C83ACC" w:rsidRPr="00344E55">
        <w:rPr>
          <w:rFonts w:ascii="Times New Roman" w:hAnsi="Times New Roman" w:cs="Times New Roman"/>
          <w:sz w:val="24"/>
          <w:szCs w:val="24"/>
        </w:rPr>
        <w:t>by the South African Reserve Bank;</w:t>
      </w:r>
    </w:p>
    <w:p w14:paraId="7CD5442A" w14:textId="77777777" w:rsidR="00052577" w:rsidRPr="00344E55" w:rsidRDefault="00074B62" w:rsidP="00A26B16">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16.</w:t>
      </w:r>
      <w:r w:rsidR="00C83ACC" w:rsidRPr="00344E55">
        <w:rPr>
          <w:rFonts w:ascii="Times New Roman" w:hAnsi="Times New Roman" w:cs="Times New Roman"/>
          <w:sz w:val="24"/>
          <w:szCs w:val="24"/>
        </w:rPr>
        <w:t>8</w:t>
      </w:r>
      <w:r w:rsidRPr="00344E55">
        <w:rPr>
          <w:rFonts w:ascii="Times New Roman" w:hAnsi="Times New Roman" w:cs="Times New Roman"/>
          <w:sz w:val="24"/>
          <w:szCs w:val="24"/>
        </w:rPr>
        <w:tab/>
        <w:t xml:space="preserve">Owing to the crosscutting nature of the small enterprise sector, it is unrealistic to </w:t>
      </w:r>
      <w:r w:rsidRPr="00344E55">
        <w:rPr>
          <w:rFonts w:ascii="Times New Roman" w:hAnsi="Times New Roman" w:cs="Times New Roman"/>
          <w:sz w:val="24"/>
          <w:szCs w:val="24"/>
        </w:rPr>
        <w:tab/>
        <w:t>anticipate that DSBD will distribute and deliver all the sector’s necessities</w:t>
      </w:r>
      <w:r w:rsidR="00A753B0" w:rsidRPr="00344E55">
        <w:rPr>
          <w:rFonts w:ascii="Times New Roman" w:hAnsi="Times New Roman" w:cs="Times New Roman"/>
          <w:sz w:val="24"/>
          <w:szCs w:val="24"/>
        </w:rPr>
        <w:t xml:space="preserve"> by itself</w:t>
      </w:r>
      <w:r w:rsidRPr="00344E55">
        <w:rPr>
          <w:rFonts w:ascii="Times New Roman" w:hAnsi="Times New Roman" w:cs="Times New Roman"/>
          <w:sz w:val="24"/>
          <w:szCs w:val="24"/>
        </w:rPr>
        <w:t xml:space="preserve">. It </w:t>
      </w:r>
      <w:r w:rsidR="00A753B0" w:rsidRPr="00344E55">
        <w:rPr>
          <w:rFonts w:ascii="Times New Roman" w:hAnsi="Times New Roman" w:cs="Times New Roman"/>
          <w:sz w:val="24"/>
          <w:szCs w:val="24"/>
        </w:rPr>
        <w:tab/>
      </w:r>
      <w:r w:rsidRPr="00344E55">
        <w:rPr>
          <w:rFonts w:ascii="Times New Roman" w:hAnsi="Times New Roman" w:cs="Times New Roman"/>
          <w:sz w:val="24"/>
          <w:szCs w:val="24"/>
        </w:rPr>
        <w:t>is</w:t>
      </w:r>
      <w:r w:rsidR="00A753B0" w:rsidRPr="00344E55">
        <w:rPr>
          <w:rFonts w:ascii="Times New Roman" w:hAnsi="Times New Roman" w:cs="Times New Roman"/>
          <w:sz w:val="24"/>
          <w:szCs w:val="24"/>
        </w:rPr>
        <w:t xml:space="preserve"> inevitable</w:t>
      </w:r>
      <w:r w:rsidRPr="00344E55">
        <w:rPr>
          <w:rFonts w:ascii="Times New Roman" w:hAnsi="Times New Roman" w:cs="Times New Roman"/>
          <w:sz w:val="24"/>
          <w:szCs w:val="24"/>
        </w:rPr>
        <w:t xml:space="preserve"> that the Department will distribute some of the </w:t>
      </w:r>
      <w:r w:rsidR="00A753B0" w:rsidRPr="00344E55">
        <w:rPr>
          <w:rFonts w:ascii="Times New Roman" w:hAnsi="Times New Roman" w:cs="Times New Roman"/>
          <w:sz w:val="24"/>
          <w:szCs w:val="24"/>
        </w:rPr>
        <w:t>service and products</w:t>
      </w:r>
      <w:r w:rsidR="00A753B0" w:rsidRPr="00344E55">
        <w:rPr>
          <w:rFonts w:ascii="Times New Roman" w:hAnsi="Times New Roman" w:cs="Times New Roman"/>
          <w:sz w:val="24"/>
          <w:szCs w:val="24"/>
        </w:rPr>
        <w:tab/>
      </w:r>
      <w:r w:rsidRPr="00344E55">
        <w:rPr>
          <w:rFonts w:ascii="Times New Roman" w:hAnsi="Times New Roman" w:cs="Times New Roman"/>
          <w:sz w:val="24"/>
          <w:szCs w:val="24"/>
        </w:rPr>
        <w:t>through</w:t>
      </w:r>
      <w:r w:rsidR="00A753B0" w:rsidRPr="00344E55">
        <w:rPr>
          <w:rFonts w:ascii="Times New Roman" w:hAnsi="Times New Roman" w:cs="Times New Roman"/>
          <w:sz w:val="24"/>
          <w:szCs w:val="24"/>
        </w:rPr>
        <w:t xml:space="preserve"> </w:t>
      </w:r>
      <w:r w:rsidRPr="00344E55">
        <w:rPr>
          <w:rFonts w:ascii="Times New Roman" w:hAnsi="Times New Roman" w:cs="Times New Roman"/>
          <w:sz w:val="24"/>
          <w:szCs w:val="24"/>
        </w:rPr>
        <w:t>memorandum</w:t>
      </w:r>
      <w:r w:rsidR="00A753B0" w:rsidRPr="00344E55">
        <w:rPr>
          <w:rFonts w:ascii="Times New Roman" w:hAnsi="Times New Roman" w:cs="Times New Roman"/>
          <w:sz w:val="24"/>
          <w:szCs w:val="24"/>
        </w:rPr>
        <w:t xml:space="preserve"> </w:t>
      </w:r>
      <w:r w:rsidRPr="00344E55">
        <w:rPr>
          <w:rFonts w:ascii="Times New Roman" w:hAnsi="Times New Roman" w:cs="Times New Roman"/>
          <w:sz w:val="24"/>
          <w:szCs w:val="24"/>
        </w:rPr>
        <w:t>of agreements,</w:t>
      </w:r>
      <w:r w:rsidR="00A753B0" w:rsidRPr="00344E55">
        <w:rPr>
          <w:rFonts w:ascii="Times New Roman" w:hAnsi="Times New Roman" w:cs="Times New Roman"/>
          <w:sz w:val="24"/>
          <w:szCs w:val="24"/>
        </w:rPr>
        <w:t xml:space="preserve"> </w:t>
      </w:r>
      <w:r w:rsidRPr="00344E55">
        <w:rPr>
          <w:rFonts w:ascii="Times New Roman" w:hAnsi="Times New Roman" w:cs="Times New Roman"/>
          <w:sz w:val="24"/>
          <w:szCs w:val="24"/>
        </w:rPr>
        <w:t>transversal agreements</w:t>
      </w:r>
      <w:r w:rsidR="00A753B0" w:rsidRPr="00344E55">
        <w:rPr>
          <w:rFonts w:ascii="Times New Roman" w:hAnsi="Times New Roman" w:cs="Times New Roman"/>
          <w:sz w:val="24"/>
          <w:szCs w:val="24"/>
        </w:rPr>
        <w:t xml:space="preserve"> </w:t>
      </w:r>
      <w:r w:rsidRPr="00344E55">
        <w:rPr>
          <w:rFonts w:ascii="Times New Roman" w:hAnsi="Times New Roman" w:cs="Times New Roman"/>
          <w:sz w:val="24"/>
          <w:szCs w:val="24"/>
        </w:rPr>
        <w:t xml:space="preserve">and partnership </w:t>
      </w:r>
      <w:r w:rsidR="00A753B0" w:rsidRPr="00344E55">
        <w:rPr>
          <w:rFonts w:ascii="Times New Roman" w:hAnsi="Times New Roman" w:cs="Times New Roman"/>
          <w:sz w:val="24"/>
          <w:szCs w:val="24"/>
        </w:rPr>
        <w:tab/>
      </w:r>
      <w:r w:rsidRPr="00344E55">
        <w:rPr>
          <w:rFonts w:ascii="Times New Roman" w:hAnsi="Times New Roman" w:cs="Times New Roman"/>
          <w:sz w:val="24"/>
          <w:szCs w:val="24"/>
        </w:rPr>
        <w:t>agreements to</w:t>
      </w:r>
      <w:r w:rsidR="00A753B0" w:rsidRPr="00344E55">
        <w:rPr>
          <w:rFonts w:ascii="Times New Roman" w:hAnsi="Times New Roman" w:cs="Times New Roman"/>
          <w:sz w:val="24"/>
          <w:szCs w:val="24"/>
        </w:rPr>
        <w:t xml:space="preserve"> </w:t>
      </w:r>
      <w:r w:rsidRPr="00344E55">
        <w:rPr>
          <w:rFonts w:ascii="Times New Roman" w:hAnsi="Times New Roman" w:cs="Times New Roman"/>
          <w:sz w:val="24"/>
          <w:szCs w:val="24"/>
        </w:rPr>
        <w:t>name the few</w:t>
      </w:r>
      <w:r w:rsidR="00A753B0" w:rsidRPr="00344E55">
        <w:rPr>
          <w:rFonts w:ascii="Times New Roman" w:hAnsi="Times New Roman" w:cs="Times New Roman"/>
          <w:sz w:val="24"/>
          <w:szCs w:val="24"/>
        </w:rPr>
        <w:t>. T</w:t>
      </w:r>
      <w:r w:rsidRPr="00344E55">
        <w:rPr>
          <w:rFonts w:ascii="Times New Roman" w:hAnsi="Times New Roman" w:cs="Times New Roman"/>
          <w:sz w:val="24"/>
          <w:szCs w:val="24"/>
        </w:rPr>
        <w:t xml:space="preserve">he Department is accordingly called upon to develop </w:t>
      </w:r>
      <w:r w:rsidR="00A753B0" w:rsidRPr="00344E55">
        <w:rPr>
          <w:rFonts w:ascii="Times New Roman" w:hAnsi="Times New Roman" w:cs="Times New Roman"/>
          <w:sz w:val="24"/>
          <w:szCs w:val="24"/>
        </w:rPr>
        <w:tab/>
      </w:r>
      <w:r w:rsidRPr="00344E55">
        <w:rPr>
          <w:rFonts w:ascii="Times New Roman" w:hAnsi="Times New Roman" w:cs="Times New Roman"/>
          <w:sz w:val="24"/>
          <w:szCs w:val="24"/>
        </w:rPr>
        <w:t>and present to</w:t>
      </w:r>
      <w:r w:rsidR="00A753B0" w:rsidRPr="00344E55">
        <w:rPr>
          <w:rFonts w:ascii="Times New Roman" w:hAnsi="Times New Roman" w:cs="Times New Roman"/>
          <w:sz w:val="24"/>
          <w:szCs w:val="24"/>
        </w:rPr>
        <w:t xml:space="preserve"> </w:t>
      </w:r>
      <w:r w:rsidRPr="00344E55">
        <w:rPr>
          <w:rFonts w:ascii="Times New Roman" w:hAnsi="Times New Roman" w:cs="Times New Roman"/>
          <w:sz w:val="24"/>
          <w:szCs w:val="24"/>
        </w:rPr>
        <w:t xml:space="preserve">the Portfolio Committee a credible stakeholder matrix outlining </w:t>
      </w:r>
      <w:r w:rsidR="00A753B0" w:rsidRPr="00344E55">
        <w:rPr>
          <w:rFonts w:ascii="Times New Roman" w:hAnsi="Times New Roman" w:cs="Times New Roman"/>
          <w:sz w:val="24"/>
          <w:szCs w:val="24"/>
        </w:rPr>
        <w:t xml:space="preserve">potential </w:t>
      </w:r>
      <w:r w:rsidR="00A753B0" w:rsidRPr="00344E55">
        <w:rPr>
          <w:rFonts w:ascii="Times New Roman" w:hAnsi="Times New Roman" w:cs="Times New Roman"/>
          <w:sz w:val="24"/>
          <w:szCs w:val="24"/>
        </w:rPr>
        <w:tab/>
        <w:t>stakeholders and their projected roles</w:t>
      </w:r>
      <w:r w:rsidRPr="00344E55">
        <w:rPr>
          <w:rFonts w:ascii="Times New Roman" w:hAnsi="Times New Roman" w:cs="Times New Roman"/>
          <w:sz w:val="24"/>
          <w:szCs w:val="24"/>
        </w:rPr>
        <w:t xml:space="preserve">, thematically and sectoral, indicating succinctly </w:t>
      </w:r>
      <w:r w:rsidR="00A753B0" w:rsidRPr="00344E55">
        <w:rPr>
          <w:rFonts w:ascii="Times New Roman" w:hAnsi="Times New Roman" w:cs="Times New Roman"/>
          <w:sz w:val="24"/>
          <w:szCs w:val="24"/>
        </w:rPr>
        <w:tab/>
      </w:r>
      <w:r w:rsidRPr="00344E55">
        <w:rPr>
          <w:rFonts w:ascii="Times New Roman" w:hAnsi="Times New Roman" w:cs="Times New Roman"/>
          <w:sz w:val="24"/>
          <w:szCs w:val="24"/>
        </w:rPr>
        <w:t>the role Intergovernmental</w:t>
      </w:r>
      <w:r w:rsidR="00A753B0" w:rsidRPr="00344E55">
        <w:rPr>
          <w:rFonts w:ascii="Times New Roman" w:hAnsi="Times New Roman" w:cs="Times New Roman"/>
          <w:sz w:val="24"/>
          <w:szCs w:val="24"/>
        </w:rPr>
        <w:t xml:space="preserve"> </w:t>
      </w:r>
      <w:r w:rsidRPr="00344E55">
        <w:rPr>
          <w:rFonts w:ascii="Times New Roman" w:hAnsi="Times New Roman" w:cs="Times New Roman"/>
          <w:sz w:val="24"/>
          <w:szCs w:val="24"/>
        </w:rPr>
        <w:t>Relations Framework Act</w:t>
      </w:r>
      <w:r w:rsidR="00F14BA8" w:rsidRPr="00344E55">
        <w:rPr>
          <w:rFonts w:ascii="Times New Roman" w:hAnsi="Times New Roman" w:cs="Times New Roman"/>
          <w:sz w:val="24"/>
          <w:szCs w:val="24"/>
        </w:rPr>
        <w:t>, 2005</w:t>
      </w:r>
      <w:r w:rsidR="00A753B0" w:rsidRPr="00344E55">
        <w:rPr>
          <w:rFonts w:ascii="Times New Roman" w:hAnsi="Times New Roman" w:cs="Times New Roman"/>
          <w:sz w:val="24"/>
          <w:szCs w:val="24"/>
        </w:rPr>
        <w:t xml:space="preserve"> in streamlining government </w:t>
      </w:r>
      <w:r w:rsidR="00A753B0" w:rsidRPr="00344E55">
        <w:rPr>
          <w:rFonts w:ascii="Times New Roman" w:hAnsi="Times New Roman" w:cs="Times New Roman"/>
          <w:sz w:val="24"/>
          <w:szCs w:val="24"/>
        </w:rPr>
        <w:tab/>
        <w:t>services</w:t>
      </w:r>
      <w:r w:rsidRPr="00344E55">
        <w:rPr>
          <w:rFonts w:ascii="Times New Roman" w:hAnsi="Times New Roman" w:cs="Times New Roman"/>
          <w:sz w:val="24"/>
          <w:szCs w:val="24"/>
        </w:rPr>
        <w:t>;</w:t>
      </w:r>
    </w:p>
    <w:p w14:paraId="1CA4ECF5" w14:textId="77777777" w:rsidR="00E45A50" w:rsidRPr="00344E55" w:rsidRDefault="00052577" w:rsidP="00A26B16">
      <w:pPr>
        <w:autoSpaceDE w:val="0"/>
        <w:autoSpaceDN w:val="0"/>
        <w:adjustRightInd w:val="0"/>
        <w:spacing w:after="0"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16.9</w:t>
      </w:r>
      <w:r w:rsidRPr="00344E55">
        <w:rPr>
          <w:rFonts w:ascii="Times New Roman" w:hAnsi="Times New Roman" w:cs="Times New Roman"/>
          <w:sz w:val="24"/>
          <w:szCs w:val="24"/>
        </w:rPr>
        <w:tab/>
        <w:t xml:space="preserve">One of the critical delivery </w:t>
      </w:r>
      <w:proofErr w:type="gramStart"/>
      <w:r w:rsidRPr="00344E55">
        <w:rPr>
          <w:rFonts w:ascii="Times New Roman" w:hAnsi="Times New Roman" w:cs="Times New Roman"/>
          <w:sz w:val="24"/>
          <w:szCs w:val="24"/>
        </w:rPr>
        <w:t>area</w:t>
      </w:r>
      <w:proofErr w:type="gramEnd"/>
      <w:r w:rsidRPr="00344E55">
        <w:rPr>
          <w:rFonts w:ascii="Times New Roman" w:hAnsi="Times New Roman" w:cs="Times New Roman"/>
          <w:sz w:val="24"/>
          <w:szCs w:val="24"/>
        </w:rPr>
        <w:t xml:space="preserve"> for the Department is the issue of market access. </w:t>
      </w:r>
      <w:r w:rsidRPr="00344E55">
        <w:rPr>
          <w:rFonts w:ascii="Times New Roman" w:hAnsi="Times New Roman" w:cs="Times New Roman"/>
          <w:sz w:val="24"/>
          <w:szCs w:val="24"/>
        </w:rPr>
        <w:tab/>
      </w:r>
      <w:r w:rsidR="00E45A50" w:rsidRPr="00344E55">
        <w:rPr>
          <w:rFonts w:ascii="Times New Roman" w:hAnsi="Times New Roman" w:cs="Times New Roman"/>
          <w:sz w:val="24"/>
          <w:szCs w:val="24"/>
        </w:rPr>
        <w:t xml:space="preserve">Without strong private sector </w:t>
      </w:r>
      <w:r w:rsidRPr="00344E55">
        <w:rPr>
          <w:rFonts w:ascii="Times New Roman" w:hAnsi="Times New Roman" w:cs="Times New Roman"/>
          <w:sz w:val="24"/>
          <w:szCs w:val="24"/>
        </w:rPr>
        <w:t>partnerships,</w:t>
      </w:r>
      <w:r w:rsidR="00E45A50" w:rsidRPr="00344E55">
        <w:rPr>
          <w:rFonts w:ascii="Times New Roman" w:hAnsi="Times New Roman" w:cs="Times New Roman"/>
          <w:sz w:val="24"/>
          <w:szCs w:val="24"/>
        </w:rPr>
        <w:t xml:space="preserve"> the Department is not likely to go further</w:t>
      </w:r>
      <w:r w:rsidRPr="00344E55">
        <w:rPr>
          <w:rFonts w:ascii="Times New Roman" w:hAnsi="Times New Roman" w:cs="Times New Roman"/>
          <w:sz w:val="24"/>
          <w:szCs w:val="24"/>
        </w:rPr>
        <w:t xml:space="preserve"> in </w:t>
      </w:r>
      <w:r w:rsidRPr="00344E55">
        <w:rPr>
          <w:rFonts w:ascii="Times New Roman" w:hAnsi="Times New Roman" w:cs="Times New Roman"/>
          <w:sz w:val="24"/>
          <w:szCs w:val="24"/>
        </w:rPr>
        <w:tab/>
        <w:t xml:space="preserve">terms of realising this objective hence the Portfolio Committee call to the Department </w:t>
      </w:r>
      <w:r w:rsidRPr="00344E55">
        <w:rPr>
          <w:rFonts w:ascii="Times New Roman" w:hAnsi="Times New Roman" w:cs="Times New Roman"/>
          <w:sz w:val="24"/>
          <w:szCs w:val="24"/>
        </w:rPr>
        <w:tab/>
        <w:t xml:space="preserve">to spearhead Wholesale and Retail charter, to develop Market Access Strategy clearly </w:t>
      </w:r>
      <w:r w:rsidRPr="00344E55">
        <w:rPr>
          <w:rFonts w:ascii="Times New Roman" w:hAnsi="Times New Roman" w:cs="Times New Roman"/>
          <w:sz w:val="24"/>
          <w:szCs w:val="24"/>
        </w:rPr>
        <w:tab/>
        <w:t xml:space="preserve">stating how small enterprises will benefit from a 30 percent procurement policy and </w:t>
      </w:r>
      <w:r w:rsidR="00BD0828" w:rsidRPr="00344E55">
        <w:rPr>
          <w:rFonts w:ascii="Times New Roman" w:hAnsi="Times New Roman" w:cs="Times New Roman"/>
          <w:sz w:val="24"/>
          <w:szCs w:val="24"/>
        </w:rPr>
        <w:tab/>
      </w:r>
      <w:r w:rsidRPr="00344E55">
        <w:rPr>
          <w:rFonts w:ascii="Times New Roman" w:hAnsi="Times New Roman" w:cs="Times New Roman"/>
          <w:sz w:val="24"/>
          <w:szCs w:val="24"/>
        </w:rPr>
        <w:t xml:space="preserve">R100 </w:t>
      </w:r>
      <w:r w:rsidR="004F11C6" w:rsidRPr="00344E55">
        <w:rPr>
          <w:rFonts w:ascii="Times New Roman" w:hAnsi="Times New Roman" w:cs="Times New Roman"/>
          <w:sz w:val="24"/>
          <w:szCs w:val="24"/>
        </w:rPr>
        <w:t xml:space="preserve">billion </w:t>
      </w:r>
      <w:r w:rsidRPr="00344E55">
        <w:rPr>
          <w:rFonts w:ascii="Times New Roman" w:hAnsi="Times New Roman" w:cs="Times New Roman"/>
          <w:sz w:val="24"/>
          <w:szCs w:val="24"/>
        </w:rPr>
        <w:t>Infrastructure Fund recently announced by the President;</w:t>
      </w:r>
    </w:p>
    <w:p w14:paraId="7E23237B" w14:textId="77777777" w:rsidR="00E45A50" w:rsidRPr="00344E55" w:rsidRDefault="00BD0828" w:rsidP="00A26B16">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lang w:val="en-GB"/>
        </w:rPr>
        <w:t>16.10</w:t>
      </w:r>
      <w:r w:rsidRPr="00344E55">
        <w:rPr>
          <w:rFonts w:ascii="Times New Roman" w:hAnsi="Times New Roman" w:cs="Times New Roman"/>
          <w:sz w:val="24"/>
          <w:szCs w:val="24"/>
          <w:lang w:val="en-GB"/>
        </w:rPr>
        <w:tab/>
      </w:r>
      <w:r w:rsidR="00E45A50" w:rsidRPr="00344E55">
        <w:rPr>
          <w:rFonts w:ascii="Times New Roman" w:hAnsi="Times New Roman" w:cs="Times New Roman"/>
          <w:sz w:val="24"/>
          <w:szCs w:val="24"/>
        </w:rPr>
        <w:t xml:space="preserve">The review of the National Small </w:t>
      </w:r>
      <w:r w:rsidRPr="00344E55">
        <w:rPr>
          <w:rFonts w:ascii="Times New Roman" w:hAnsi="Times New Roman" w:cs="Times New Roman"/>
          <w:sz w:val="24"/>
          <w:szCs w:val="24"/>
        </w:rPr>
        <w:t>Enterprise</w:t>
      </w:r>
      <w:r w:rsidR="00E45A50" w:rsidRPr="00344E55">
        <w:rPr>
          <w:rFonts w:ascii="Times New Roman" w:hAnsi="Times New Roman" w:cs="Times New Roman"/>
          <w:sz w:val="24"/>
          <w:szCs w:val="24"/>
        </w:rPr>
        <w:t xml:space="preserve"> Act</w:t>
      </w:r>
      <w:r w:rsidR="00F14BA8" w:rsidRPr="00344E55">
        <w:rPr>
          <w:rFonts w:ascii="Times New Roman" w:hAnsi="Times New Roman" w:cs="Times New Roman"/>
          <w:sz w:val="24"/>
          <w:szCs w:val="24"/>
        </w:rPr>
        <w:t>, 1996</w:t>
      </w:r>
      <w:r w:rsidR="00E45A50" w:rsidRPr="00344E55">
        <w:rPr>
          <w:rFonts w:ascii="Times New Roman" w:hAnsi="Times New Roman" w:cs="Times New Roman"/>
          <w:sz w:val="24"/>
          <w:szCs w:val="24"/>
        </w:rPr>
        <w:t xml:space="preserve"> </w:t>
      </w:r>
      <w:r w:rsidR="002B7D07" w:rsidRPr="00344E55">
        <w:rPr>
          <w:rFonts w:ascii="Times New Roman" w:hAnsi="Times New Roman" w:cs="Times New Roman"/>
          <w:sz w:val="24"/>
          <w:szCs w:val="24"/>
        </w:rPr>
        <w:t xml:space="preserve">has been on the agenda since 2015 </w:t>
      </w:r>
      <w:r w:rsidR="002B7D07" w:rsidRPr="00344E55">
        <w:rPr>
          <w:rFonts w:ascii="Times New Roman" w:hAnsi="Times New Roman" w:cs="Times New Roman"/>
          <w:sz w:val="24"/>
          <w:szCs w:val="24"/>
        </w:rPr>
        <w:tab/>
        <w:t xml:space="preserve">hence this has been a standing recommendation since then. The revised act or new </w:t>
      </w:r>
      <w:r w:rsidR="002B7D07" w:rsidRPr="00344E55">
        <w:rPr>
          <w:rFonts w:ascii="Times New Roman" w:hAnsi="Times New Roman" w:cs="Times New Roman"/>
          <w:sz w:val="24"/>
          <w:szCs w:val="24"/>
        </w:rPr>
        <w:tab/>
        <w:t xml:space="preserve">bill </w:t>
      </w:r>
      <w:r w:rsidR="004F11C6" w:rsidRPr="00344E55">
        <w:rPr>
          <w:rFonts w:ascii="Times New Roman" w:hAnsi="Times New Roman" w:cs="Times New Roman"/>
          <w:sz w:val="24"/>
          <w:szCs w:val="24"/>
        </w:rPr>
        <w:t xml:space="preserve">must be </w:t>
      </w:r>
      <w:r w:rsidR="00083E49" w:rsidRPr="00344E55">
        <w:rPr>
          <w:rFonts w:ascii="Times New Roman" w:hAnsi="Times New Roman" w:cs="Times New Roman"/>
          <w:sz w:val="24"/>
          <w:szCs w:val="24"/>
        </w:rPr>
        <w:t xml:space="preserve">accelerated and </w:t>
      </w:r>
      <w:r w:rsidR="002B7D07" w:rsidRPr="00344E55">
        <w:rPr>
          <w:rFonts w:ascii="Times New Roman" w:hAnsi="Times New Roman" w:cs="Times New Roman"/>
          <w:sz w:val="24"/>
          <w:szCs w:val="24"/>
        </w:rPr>
        <w:t>tabled before</w:t>
      </w:r>
      <w:r w:rsidR="00083E49" w:rsidRPr="00344E55">
        <w:rPr>
          <w:rFonts w:ascii="Times New Roman" w:hAnsi="Times New Roman" w:cs="Times New Roman"/>
          <w:sz w:val="24"/>
          <w:szCs w:val="24"/>
        </w:rPr>
        <w:t xml:space="preserve"> </w:t>
      </w:r>
      <w:r w:rsidR="002B7D07" w:rsidRPr="00344E55">
        <w:rPr>
          <w:rFonts w:ascii="Times New Roman" w:hAnsi="Times New Roman" w:cs="Times New Roman"/>
          <w:sz w:val="24"/>
          <w:szCs w:val="24"/>
        </w:rPr>
        <w:t xml:space="preserve">the end of Q3 2019/20. Should this deadline </w:t>
      </w:r>
      <w:r w:rsidR="00083E49" w:rsidRPr="00344E55">
        <w:rPr>
          <w:rFonts w:ascii="Times New Roman" w:hAnsi="Times New Roman" w:cs="Times New Roman"/>
          <w:sz w:val="24"/>
          <w:szCs w:val="24"/>
        </w:rPr>
        <w:tab/>
        <w:t xml:space="preserve">be missed, for whatever reason, the </w:t>
      </w:r>
      <w:r w:rsidR="002B7D07" w:rsidRPr="00344E55">
        <w:rPr>
          <w:rFonts w:ascii="Times New Roman" w:hAnsi="Times New Roman" w:cs="Times New Roman"/>
          <w:sz w:val="24"/>
          <w:szCs w:val="24"/>
        </w:rPr>
        <w:t>Portfolio</w:t>
      </w:r>
      <w:r w:rsidR="004F11C6" w:rsidRPr="00344E55">
        <w:rPr>
          <w:rFonts w:ascii="Times New Roman" w:hAnsi="Times New Roman" w:cs="Times New Roman"/>
          <w:sz w:val="24"/>
          <w:szCs w:val="24"/>
        </w:rPr>
        <w:t xml:space="preserve"> </w:t>
      </w:r>
      <w:r w:rsidR="002B7D07" w:rsidRPr="00344E55">
        <w:rPr>
          <w:rFonts w:ascii="Times New Roman" w:hAnsi="Times New Roman" w:cs="Times New Roman"/>
          <w:sz w:val="24"/>
          <w:szCs w:val="24"/>
        </w:rPr>
        <w:t xml:space="preserve">Committee must </w:t>
      </w:r>
      <w:r w:rsidR="00083E49" w:rsidRPr="00344E55">
        <w:rPr>
          <w:rFonts w:ascii="Times New Roman" w:hAnsi="Times New Roman" w:cs="Times New Roman"/>
          <w:sz w:val="24"/>
          <w:szCs w:val="24"/>
        </w:rPr>
        <w:t xml:space="preserve">initiate the process of </w:t>
      </w:r>
      <w:r w:rsidR="00083E49" w:rsidRPr="00344E55">
        <w:rPr>
          <w:rFonts w:ascii="Times New Roman" w:hAnsi="Times New Roman" w:cs="Times New Roman"/>
          <w:sz w:val="24"/>
          <w:szCs w:val="24"/>
        </w:rPr>
        <w:tab/>
        <w:t xml:space="preserve">creating the new bill in terms of Rule 271 (1), </w:t>
      </w:r>
      <w:r w:rsidR="002B7D07" w:rsidRPr="00344E55">
        <w:rPr>
          <w:rFonts w:ascii="Times New Roman" w:hAnsi="Times New Roman" w:cs="Times New Roman"/>
          <w:sz w:val="24"/>
          <w:szCs w:val="24"/>
        </w:rPr>
        <w:t xml:space="preserve">bills initiated by Assembly </w:t>
      </w:r>
      <w:proofErr w:type="gramStart"/>
      <w:r w:rsidR="002B7D07" w:rsidRPr="00344E55">
        <w:rPr>
          <w:rFonts w:ascii="Times New Roman" w:hAnsi="Times New Roman" w:cs="Times New Roman"/>
          <w:sz w:val="24"/>
          <w:szCs w:val="24"/>
        </w:rPr>
        <w:t>Committee.</w:t>
      </w:r>
      <w:proofErr w:type="gramEnd"/>
      <w:r w:rsidR="002B7D07" w:rsidRPr="00344E55">
        <w:rPr>
          <w:rFonts w:ascii="Times New Roman" w:hAnsi="Times New Roman" w:cs="Times New Roman"/>
          <w:sz w:val="24"/>
          <w:szCs w:val="24"/>
        </w:rPr>
        <w:t xml:space="preserve"> </w:t>
      </w:r>
      <w:r w:rsidR="004F11C6" w:rsidRPr="00344E55">
        <w:rPr>
          <w:rFonts w:ascii="Times New Roman" w:hAnsi="Times New Roman" w:cs="Times New Roman"/>
          <w:sz w:val="24"/>
          <w:szCs w:val="24"/>
        </w:rPr>
        <w:tab/>
      </w:r>
      <w:r w:rsidR="002B7D07" w:rsidRPr="00344E55">
        <w:rPr>
          <w:rFonts w:ascii="Times New Roman" w:hAnsi="Times New Roman" w:cs="Times New Roman"/>
          <w:sz w:val="24"/>
          <w:szCs w:val="24"/>
        </w:rPr>
        <w:t>The</w:t>
      </w:r>
      <w:r w:rsidR="004F11C6" w:rsidRPr="00344E55">
        <w:rPr>
          <w:rFonts w:ascii="Times New Roman" w:hAnsi="Times New Roman" w:cs="Times New Roman"/>
          <w:sz w:val="24"/>
          <w:szCs w:val="24"/>
        </w:rPr>
        <w:t xml:space="preserve"> </w:t>
      </w:r>
      <w:r w:rsidR="002B7D07" w:rsidRPr="00344E55">
        <w:rPr>
          <w:rFonts w:ascii="Times New Roman" w:hAnsi="Times New Roman" w:cs="Times New Roman"/>
          <w:sz w:val="24"/>
          <w:szCs w:val="24"/>
        </w:rPr>
        <w:t>Portfolio</w:t>
      </w:r>
      <w:r w:rsidR="004F11C6" w:rsidRPr="00344E55">
        <w:rPr>
          <w:rFonts w:ascii="Times New Roman" w:hAnsi="Times New Roman" w:cs="Times New Roman"/>
          <w:sz w:val="24"/>
          <w:szCs w:val="24"/>
        </w:rPr>
        <w:t xml:space="preserve"> </w:t>
      </w:r>
      <w:r w:rsidR="002B7D07" w:rsidRPr="00344E55">
        <w:rPr>
          <w:rFonts w:ascii="Times New Roman" w:hAnsi="Times New Roman" w:cs="Times New Roman"/>
          <w:sz w:val="24"/>
          <w:szCs w:val="24"/>
        </w:rPr>
        <w:t>Committee Secretariat must schedule a meeting where</w:t>
      </w:r>
      <w:r w:rsidR="00083E49" w:rsidRPr="00344E55">
        <w:rPr>
          <w:rFonts w:ascii="Times New Roman" w:hAnsi="Times New Roman" w:cs="Times New Roman"/>
          <w:sz w:val="24"/>
          <w:szCs w:val="24"/>
        </w:rPr>
        <w:t>in</w:t>
      </w:r>
      <w:r w:rsidR="002B7D07" w:rsidRPr="00344E55">
        <w:rPr>
          <w:rFonts w:ascii="Times New Roman" w:hAnsi="Times New Roman" w:cs="Times New Roman"/>
          <w:sz w:val="24"/>
          <w:szCs w:val="24"/>
        </w:rPr>
        <w:t xml:space="preserve"> DSBD would </w:t>
      </w:r>
      <w:r w:rsidR="004F11C6" w:rsidRPr="00344E55">
        <w:rPr>
          <w:rFonts w:ascii="Times New Roman" w:hAnsi="Times New Roman" w:cs="Times New Roman"/>
          <w:sz w:val="24"/>
          <w:szCs w:val="24"/>
        </w:rPr>
        <w:tab/>
      </w:r>
      <w:r w:rsidR="002B7D07" w:rsidRPr="00344E55">
        <w:rPr>
          <w:rFonts w:ascii="Times New Roman" w:hAnsi="Times New Roman" w:cs="Times New Roman"/>
          <w:sz w:val="24"/>
          <w:szCs w:val="24"/>
        </w:rPr>
        <w:t>come</w:t>
      </w:r>
      <w:r w:rsidR="004F11C6" w:rsidRPr="00344E55">
        <w:rPr>
          <w:rFonts w:ascii="Times New Roman" w:hAnsi="Times New Roman" w:cs="Times New Roman"/>
          <w:sz w:val="24"/>
          <w:szCs w:val="24"/>
        </w:rPr>
        <w:t xml:space="preserve"> </w:t>
      </w:r>
      <w:r w:rsidR="002B7D07" w:rsidRPr="00344E55">
        <w:rPr>
          <w:rFonts w:ascii="Times New Roman" w:hAnsi="Times New Roman" w:cs="Times New Roman"/>
          <w:sz w:val="24"/>
          <w:szCs w:val="24"/>
        </w:rPr>
        <w:t>and</w:t>
      </w:r>
      <w:r w:rsidR="004F11C6" w:rsidRPr="00344E55">
        <w:rPr>
          <w:rFonts w:ascii="Times New Roman" w:hAnsi="Times New Roman" w:cs="Times New Roman"/>
          <w:sz w:val="24"/>
          <w:szCs w:val="24"/>
        </w:rPr>
        <w:t xml:space="preserve"> </w:t>
      </w:r>
      <w:r w:rsidR="002B7D07" w:rsidRPr="00344E55">
        <w:rPr>
          <w:rFonts w:ascii="Times New Roman" w:hAnsi="Times New Roman" w:cs="Times New Roman"/>
          <w:sz w:val="24"/>
          <w:szCs w:val="24"/>
        </w:rPr>
        <w:t xml:space="preserve">present progress, including presenting the rationale of excluding the </w:t>
      </w:r>
      <w:r w:rsidR="004F11C6" w:rsidRPr="00344E55">
        <w:rPr>
          <w:rFonts w:ascii="Times New Roman" w:hAnsi="Times New Roman" w:cs="Times New Roman"/>
          <w:sz w:val="24"/>
          <w:szCs w:val="24"/>
        </w:rPr>
        <w:tab/>
      </w:r>
      <w:r w:rsidR="002B7D07" w:rsidRPr="00344E55">
        <w:rPr>
          <w:rFonts w:ascii="Times New Roman" w:hAnsi="Times New Roman" w:cs="Times New Roman"/>
          <w:sz w:val="24"/>
          <w:szCs w:val="24"/>
        </w:rPr>
        <w:t>definition of</w:t>
      </w:r>
      <w:r w:rsidR="004F11C6" w:rsidRPr="00344E55">
        <w:rPr>
          <w:rFonts w:ascii="Times New Roman" w:hAnsi="Times New Roman" w:cs="Times New Roman"/>
          <w:sz w:val="24"/>
          <w:szCs w:val="24"/>
        </w:rPr>
        <w:t xml:space="preserve"> </w:t>
      </w:r>
      <w:r w:rsidR="002B7D07" w:rsidRPr="00344E55">
        <w:rPr>
          <w:rFonts w:ascii="Times New Roman" w:hAnsi="Times New Roman" w:cs="Times New Roman"/>
          <w:sz w:val="24"/>
          <w:szCs w:val="24"/>
        </w:rPr>
        <w:t xml:space="preserve">a small enterprise and alternative dispute resolution mechanism from the </w:t>
      </w:r>
      <w:r w:rsidR="004F11C6" w:rsidRPr="00344E55">
        <w:rPr>
          <w:rFonts w:ascii="Times New Roman" w:hAnsi="Times New Roman" w:cs="Times New Roman"/>
          <w:sz w:val="24"/>
          <w:szCs w:val="24"/>
        </w:rPr>
        <w:tab/>
      </w:r>
      <w:r w:rsidR="001777B8" w:rsidRPr="00344E55">
        <w:rPr>
          <w:rFonts w:ascii="Times New Roman" w:hAnsi="Times New Roman" w:cs="Times New Roman"/>
          <w:sz w:val="24"/>
          <w:szCs w:val="24"/>
        </w:rPr>
        <w:t>entire</w:t>
      </w:r>
      <w:r w:rsidR="004F11C6" w:rsidRPr="00344E55">
        <w:rPr>
          <w:rFonts w:ascii="Times New Roman" w:hAnsi="Times New Roman" w:cs="Times New Roman"/>
          <w:sz w:val="24"/>
          <w:szCs w:val="24"/>
        </w:rPr>
        <w:t xml:space="preserve"> </w:t>
      </w:r>
      <w:r w:rsidR="001777B8" w:rsidRPr="00344E55">
        <w:rPr>
          <w:rFonts w:ascii="Times New Roman" w:hAnsi="Times New Roman" w:cs="Times New Roman"/>
          <w:sz w:val="24"/>
          <w:szCs w:val="24"/>
        </w:rPr>
        <w:t xml:space="preserve">process of reviewing the act. The proposal of the Portfolio Committee is that the </w:t>
      </w:r>
      <w:r w:rsidR="001777B8" w:rsidRPr="00344E55">
        <w:rPr>
          <w:rFonts w:ascii="Times New Roman" w:hAnsi="Times New Roman" w:cs="Times New Roman"/>
          <w:sz w:val="24"/>
          <w:szCs w:val="24"/>
        </w:rPr>
        <w:tab/>
        <w:t xml:space="preserve">revised act or a new </w:t>
      </w:r>
      <w:r w:rsidR="006554BC" w:rsidRPr="00344E55">
        <w:rPr>
          <w:rFonts w:ascii="Times New Roman" w:hAnsi="Times New Roman" w:cs="Times New Roman"/>
          <w:sz w:val="24"/>
          <w:szCs w:val="24"/>
        </w:rPr>
        <w:t>bill</w:t>
      </w:r>
      <w:r w:rsidR="001777B8" w:rsidRPr="00344E55">
        <w:rPr>
          <w:rFonts w:ascii="Times New Roman" w:hAnsi="Times New Roman" w:cs="Times New Roman"/>
          <w:sz w:val="24"/>
          <w:szCs w:val="24"/>
        </w:rPr>
        <w:t xml:space="preserve"> must incorporate dispute resolution mechanism e.g</w:t>
      </w:r>
      <w:r w:rsidR="00B92CBC" w:rsidRPr="00344E55">
        <w:rPr>
          <w:rFonts w:ascii="Times New Roman" w:hAnsi="Times New Roman" w:cs="Times New Roman"/>
          <w:sz w:val="24"/>
          <w:szCs w:val="24"/>
        </w:rPr>
        <w:t xml:space="preserve">. Small </w:t>
      </w:r>
      <w:r w:rsidR="001777B8" w:rsidRPr="00344E55">
        <w:rPr>
          <w:rFonts w:ascii="Times New Roman" w:hAnsi="Times New Roman" w:cs="Times New Roman"/>
          <w:sz w:val="24"/>
          <w:szCs w:val="24"/>
        </w:rPr>
        <w:tab/>
        <w:t xml:space="preserve">Enterprise/Business Commission and Tribunal in a similar fashion to national credit act </w:t>
      </w:r>
      <w:r w:rsidR="001777B8" w:rsidRPr="00344E55">
        <w:rPr>
          <w:rFonts w:ascii="Times New Roman" w:hAnsi="Times New Roman" w:cs="Times New Roman"/>
          <w:sz w:val="24"/>
          <w:szCs w:val="24"/>
        </w:rPr>
        <w:tab/>
        <w:t xml:space="preserve">and competition act. </w:t>
      </w:r>
      <w:r w:rsidR="00B92CBC" w:rsidRPr="00344E55">
        <w:rPr>
          <w:rFonts w:ascii="Times New Roman" w:hAnsi="Times New Roman" w:cs="Times New Roman"/>
          <w:sz w:val="24"/>
          <w:szCs w:val="24"/>
        </w:rPr>
        <w:t xml:space="preserve">In addition, </w:t>
      </w:r>
      <w:r w:rsidR="001777B8" w:rsidRPr="00344E55">
        <w:rPr>
          <w:rFonts w:ascii="Times New Roman" w:hAnsi="Times New Roman" w:cs="Times New Roman"/>
          <w:sz w:val="24"/>
          <w:szCs w:val="24"/>
        </w:rPr>
        <w:t xml:space="preserve">DSBD position </w:t>
      </w:r>
      <w:r w:rsidR="006554BC" w:rsidRPr="00344E55">
        <w:rPr>
          <w:rFonts w:ascii="Times New Roman" w:hAnsi="Times New Roman" w:cs="Times New Roman"/>
          <w:sz w:val="24"/>
          <w:szCs w:val="24"/>
        </w:rPr>
        <w:t xml:space="preserve">with respect to the review of the </w:t>
      </w:r>
      <w:r w:rsidR="00E45A50" w:rsidRPr="00344E55">
        <w:rPr>
          <w:rFonts w:ascii="Times New Roman" w:hAnsi="Times New Roman" w:cs="Times New Roman"/>
          <w:sz w:val="24"/>
          <w:szCs w:val="24"/>
        </w:rPr>
        <w:t>Co-</w:t>
      </w:r>
      <w:r w:rsidR="001777B8" w:rsidRPr="00344E55">
        <w:rPr>
          <w:rFonts w:ascii="Times New Roman" w:hAnsi="Times New Roman" w:cs="Times New Roman"/>
          <w:sz w:val="24"/>
          <w:szCs w:val="24"/>
        </w:rPr>
        <w:tab/>
      </w:r>
      <w:r w:rsidR="00E45A50" w:rsidRPr="00344E55">
        <w:rPr>
          <w:rFonts w:ascii="Times New Roman" w:hAnsi="Times New Roman" w:cs="Times New Roman"/>
          <w:sz w:val="24"/>
          <w:szCs w:val="24"/>
        </w:rPr>
        <w:t>oper</w:t>
      </w:r>
      <w:r w:rsidR="00B92CBC" w:rsidRPr="00344E55">
        <w:rPr>
          <w:rFonts w:ascii="Times New Roman" w:hAnsi="Times New Roman" w:cs="Times New Roman"/>
          <w:sz w:val="24"/>
          <w:szCs w:val="24"/>
        </w:rPr>
        <w:t xml:space="preserve">atives Act </w:t>
      </w:r>
      <w:r w:rsidR="006554BC" w:rsidRPr="00344E55">
        <w:rPr>
          <w:rFonts w:ascii="Times New Roman" w:hAnsi="Times New Roman" w:cs="Times New Roman"/>
          <w:sz w:val="24"/>
          <w:szCs w:val="24"/>
        </w:rPr>
        <w:t xml:space="preserve">(as amended) </w:t>
      </w:r>
      <w:r w:rsidR="00442BC0" w:rsidRPr="00344E55">
        <w:rPr>
          <w:rFonts w:ascii="Times New Roman" w:hAnsi="Times New Roman" w:cs="Times New Roman"/>
          <w:sz w:val="24"/>
          <w:szCs w:val="24"/>
        </w:rPr>
        <w:t xml:space="preserve">must </w:t>
      </w:r>
      <w:r w:rsidR="00B92CBC" w:rsidRPr="00344E55">
        <w:rPr>
          <w:rFonts w:ascii="Times New Roman" w:hAnsi="Times New Roman" w:cs="Times New Roman"/>
          <w:sz w:val="24"/>
          <w:szCs w:val="24"/>
        </w:rPr>
        <w:t xml:space="preserve">be clarified </w:t>
      </w:r>
      <w:r w:rsidR="006554BC" w:rsidRPr="00344E55">
        <w:rPr>
          <w:rFonts w:ascii="Times New Roman" w:hAnsi="Times New Roman" w:cs="Times New Roman"/>
          <w:sz w:val="24"/>
          <w:szCs w:val="24"/>
        </w:rPr>
        <w:t>to</w:t>
      </w:r>
      <w:r w:rsidR="001777B8" w:rsidRPr="00344E55">
        <w:rPr>
          <w:rFonts w:ascii="Times New Roman" w:hAnsi="Times New Roman" w:cs="Times New Roman"/>
          <w:sz w:val="24"/>
          <w:szCs w:val="24"/>
        </w:rPr>
        <w:t xml:space="preserve"> </w:t>
      </w:r>
      <w:r w:rsidR="00E45A50" w:rsidRPr="00344E55">
        <w:rPr>
          <w:rFonts w:ascii="Times New Roman" w:hAnsi="Times New Roman" w:cs="Times New Roman"/>
          <w:sz w:val="24"/>
          <w:szCs w:val="24"/>
        </w:rPr>
        <w:t>th</w:t>
      </w:r>
      <w:r w:rsidR="00B92CBC" w:rsidRPr="00344E55">
        <w:rPr>
          <w:rFonts w:ascii="Times New Roman" w:hAnsi="Times New Roman" w:cs="Times New Roman"/>
          <w:sz w:val="24"/>
          <w:szCs w:val="24"/>
        </w:rPr>
        <w:t xml:space="preserve">e Portfolio Committee as these </w:t>
      </w:r>
      <w:r w:rsidR="001777B8" w:rsidRPr="00344E55">
        <w:rPr>
          <w:rFonts w:ascii="Times New Roman" w:hAnsi="Times New Roman" w:cs="Times New Roman"/>
          <w:sz w:val="24"/>
          <w:szCs w:val="24"/>
        </w:rPr>
        <w:tab/>
      </w:r>
      <w:r w:rsidR="006554BC" w:rsidRPr="00344E55">
        <w:rPr>
          <w:rFonts w:ascii="Times New Roman" w:hAnsi="Times New Roman" w:cs="Times New Roman"/>
          <w:sz w:val="24"/>
          <w:szCs w:val="24"/>
        </w:rPr>
        <w:t xml:space="preserve">have </w:t>
      </w:r>
      <w:r w:rsidR="00442BC0" w:rsidRPr="00344E55">
        <w:rPr>
          <w:rFonts w:ascii="Times New Roman" w:hAnsi="Times New Roman" w:cs="Times New Roman"/>
          <w:sz w:val="24"/>
          <w:szCs w:val="24"/>
        </w:rPr>
        <w:t xml:space="preserve">implications on the </w:t>
      </w:r>
      <w:r w:rsidR="00E45A50" w:rsidRPr="00344E55">
        <w:rPr>
          <w:rFonts w:ascii="Times New Roman" w:hAnsi="Times New Roman" w:cs="Times New Roman"/>
          <w:sz w:val="24"/>
          <w:szCs w:val="24"/>
        </w:rPr>
        <w:t xml:space="preserve">programme and </w:t>
      </w:r>
      <w:r w:rsidR="00B92CBC" w:rsidRPr="00344E55">
        <w:rPr>
          <w:rFonts w:ascii="Times New Roman" w:hAnsi="Times New Roman" w:cs="Times New Roman"/>
          <w:sz w:val="24"/>
          <w:szCs w:val="24"/>
        </w:rPr>
        <w:t xml:space="preserve">budget of </w:t>
      </w:r>
      <w:r w:rsidR="006554BC" w:rsidRPr="00344E55">
        <w:rPr>
          <w:rFonts w:ascii="Times New Roman" w:hAnsi="Times New Roman" w:cs="Times New Roman"/>
          <w:sz w:val="24"/>
          <w:szCs w:val="24"/>
        </w:rPr>
        <w:tab/>
      </w:r>
      <w:r w:rsidR="00B92CBC" w:rsidRPr="00344E55">
        <w:rPr>
          <w:rFonts w:ascii="Times New Roman" w:hAnsi="Times New Roman" w:cs="Times New Roman"/>
          <w:sz w:val="24"/>
          <w:szCs w:val="24"/>
        </w:rPr>
        <w:t xml:space="preserve">the Committee. So are </w:t>
      </w:r>
      <w:r w:rsidR="006554BC" w:rsidRPr="00344E55">
        <w:rPr>
          <w:rFonts w:ascii="Times New Roman" w:hAnsi="Times New Roman" w:cs="Times New Roman"/>
          <w:sz w:val="24"/>
          <w:szCs w:val="24"/>
        </w:rPr>
        <w:t xml:space="preserve">reviews of </w:t>
      </w:r>
      <w:r w:rsidR="001777B8" w:rsidRPr="00344E55">
        <w:rPr>
          <w:rFonts w:ascii="Times New Roman" w:hAnsi="Times New Roman" w:cs="Times New Roman"/>
          <w:sz w:val="24"/>
          <w:szCs w:val="24"/>
        </w:rPr>
        <w:tab/>
      </w:r>
      <w:r w:rsidR="006554BC" w:rsidRPr="00344E55">
        <w:rPr>
          <w:rFonts w:ascii="Times New Roman" w:hAnsi="Times New Roman" w:cs="Times New Roman"/>
          <w:sz w:val="24"/>
          <w:szCs w:val="24"/>
        </w:rPr>
        <w:t xml:space="preserve">the </w:t>
      </w:r>
      <w:r w:rsidR="00442BC0" w:rsidRPr="00344E55">
        <w:rPr>
          <w:rFonts w:ascii="Times New Roman" w:hAnsi="Times New Roman" w:cs="Times New Roman"/>
          <w:sz w:val="24"/>
          <w:szCs w:val="24"/>
        </w:rPr>
        <w:t xml:space="preserve">Integrated Strategy </w:t>
      </w:r>
      <w:r w:rsidR="00E45A50" w:rsidRPr="00344E55">
        <w:rPr>
          <w:rFonts w:ascii="Times New Roman" w:hAnsi="Times New Roman" w:cs="Times New Roman"/>
          <w:sz w:val="24"/>
          <w:szCs w:val="24"/>
        </w:rPr>
        <w:t>on the Promotion</w:t>
      </w:r>
      <w:r w:rsidR="00B92CBC" w:rsidRPr="00344E55">
        <w:rPr>
          <w:rFonts w:ascii="Times New Roman" w:hAnsi="Times New Roman" w:cs="Times New Roman"/>
          <w:sz w:val="24"/>
          <w:szCs w:val="24"/>
        </w:rPr>
        <w:t xml:space="preserve"> of </w:t>
      </w:r>
      <w:r w:rsidR="006554BC" w:rsidRPr="00344E55">
        <w:rPr>
          <w:rFonts w:ascii="Times New Roman" w:hAnsi="Times New Roman" w:cs="Times New Roman"/>
          <w:sz w:val="24"/>
          <w:szCs w:val="24"/>
        </w:rPr>
        <w:tab/>
      </w:r>
      <w:r w:rsidR="00B92CBC" w:rsidRPr="00344E55">
        <w:rPr>
          <w:rFonts w:ascii="Times New Roman" w:hAnsi="Times New Roman" w:cs="Times New Roman"/>
          <w:sz w:val="24"/>
          <w:szCs w:val="24"/>
        </w:rPr>
        <w:t xml:space="preserve">Entrepreneurship and Small </w:t>
      </w:r>
      <w:r w:rsidR="006554BC" w:rsidRPr="00344E55">
        <w:rPr>
          <w:rFonts w:ascii="Times New Roman" w:hAnsi="Times New Roman" w:cs="Times New Roman"/>
          <w:sz w:val="24"/>
          <w:szCs w:val="24"/>
        </w:rPr>
        <w:t xml:space="preserve">Enterprises </w:t>
      </w:r>
      <w:r w:rsidR="001777B8" w:rsidRPr="00344E55">
        <w:rPr>
          <w:rFonts w:ascii="Times New Roman" w:hAnsi="Times New Roman" w:cs="Times New Roman"/>
          <w:sz w:val="24"/>
          <w:szCs w:val="24"/>
        </w:rPr>
        <w:lastRenderedPageBreak/>
        <w:tab/>
      </w:r>
      <w:r w:rsidR="006554BC" w:rsidRPr="00344E55">
        <w:rPr>
          <w:rFonts w:ascii="Times New Roman" w:hAnsi="Times New Roman" w:cs="Times New Roman"/>
          <w:sz w:val="24"/>
          <w:szCs w:val="24"/>
        </w:rPr>
        <w:t xml:space="preserve">and </w:t>
      </w:r>
      <w:r w:rsidR="00442BC0" w:rsidRPr="00344E55">
        <w:rPr>
          <w:rFonts w:ascii="Times New Roman" w:hAnsi="Times New Roman" w:cs="Times New Roman"/>
          <w:sz w:val="24"/>
          <w:szCs w:val="24"/>
        </w:rPr>
        <w:t xml:space="preserve">review of the </w:t>
      </w:r>
      <w:r w:rsidR="00E45A50" w:rsidRPr="00344E55">
        <w:rPr>
          <w:rFonts w:ascii="Times New Roman" w:hAnsi="Times New Roman" w:cs="Times New Roman"/>
          <w:sz w:val="24"/>
          <w:szCs w:val="24"/>
        </w:rPr>
        <w:t>Integrated Strategy o</w:t>
      </w:r>
      <w:r w:rsidR="001777B8" w:rsidRPr="00344E55">
        <w:rPr>
          <w:rFonts w:ascii="Times New Roman" w:hAnsi="Times New Roman" w:cs="Times New Roman"/>
          <w:sz w:val="24"/>
          <w:szCs w:val="24"/>
        </w:rPr>
        <w:t xml:space="preserve">n the </w:t>
      </w:r>
      <w:r w:rsidR="00B92CBC" w:rsidRPr="00344E55">
        <w:rPr>
          <w:rFonts w:ascii="Times New Roman" w:hAnsi="Times New Roman" w:cs="Times New Roman"/>
          <w:sz w:val="24"/>
          <w:szCs w:val="24"/>
        </w:rPr>
        <w:t xml:space="preserve">Development and Promotion </w:t>
      </w:r>
      <w:r w:rsidR="001777B8" w:rsidRPr="00344E55">
        <w:rPr>
          <w:rFonts w:ascii="Times New Roman" w:hAnsi="Times New Roman" w:cs="Times New Roman"/>
          <w:sz w:val="24"/>
          <w:szCs w:val="24"/>
        </w:rPr>
        <w:t xml:space="preserve">of </w:t>
      </w:r>
      <w:r w:rsidR="006554BC" w:rsidRPr="00344E55">
        <w:rPr>
          <w:rFonts w:ascii="Times New Roman" w:hAnsi="Times New Roman" w:cs="Times New Roman"/>
          <w:sz w:val="24"/>
          <w:szCs w:val="24"/>
        </w:rPr>
        <w:t>Co-</w:t>
      </w:r>
      <w:r w:rsidR="001777B8" w:rsidRPr="00344E55">
        <w:rPr>
          <w:rFonts w:ascii="Times New Roman" w:hAnsi="Times New Roman" w:cs="Times New Roman"/>
          <w:sz w:val="24"/>
          <w:szCs w:val="24"/>
        </w:rPr>
        <w:tab/>
      </w:r>
      <w:r w:rsidR="006554BC" w:rsidRPr="00344E55">
        <w:rPr>
          <w:rFonts w:ascii="Times New Roman" w:hAnsi="Times New Roman" w:cs="Times New Roman"/>
          <w:sz w:val="24"/>
          <w:szCs w:val="24"/>
        </w:rPr>
        <w:t xml:space="preserve">operatives </w:t>
      </w:r>
      <w:r w:rsidR="00E21EFA" w:rsidRPr="00344E55">
        <w:rPr>
          <w:rFonts w:ascii="Times New Roman" w:hAnsi="Times New Roman" w:cs="Times New Roman"/>
          <w:sz w:val="24"/>
          <w:szCs w:val="24"/>
        </w:rPr>
        <w:t xml:space="preserve">(2012 - 2022). These </w:t>
      </w:r>
      <w:r w:rsidR="00E45A50" w:rsidRPr="00344E55">
        <w:rPr>
          <w:rFonts w:ascii="Times New Roman" w:hAnsi="Times New Roman" w:cs="Times New Roman"/>
          <w:sz w:val="24"/>
          <w:szCs w:val="24"/>
        </w:rPr>
        <w:t>have be</w:t>
      </w:r>
      <w:r w:rsidR="00E21EFA" w:rsidRPr="00344E55">
        <w:rPr>
          <w:rFonts w:ascii="Times New Roman" w:hAnsi="Times New Roman" w:cs="Times New Roman"/>
          <w:sz w:val="24"/>
          <w:szCs w:val="24"/>
        </w:rPr>
        <w:t xml:space="preserve">en under policy initiatives for </w:t>
      </w:r>
      <w:r w:rsidR="00442BC0" w:rsidRPr="00344E55">
        <w:rPr>
          <w:rFonts w:ascii="Times New Roman" w:hAnsi="Times New Roman" w:cs="Times New Roman"/>
          <w:sz w:val="24"/>
          <w:szCs w:val="24"/>
        </w:rPr>
        <w:t xml:space="preserve">three </w:t>
      </w:r>
      <w:r w:rsidR="001777B8" w:rsidRPr="00344E55">
        <w:rPr>
          <w:rFonts w:ascii="Times New Roman" w:hAnsi="Times New Roman" w:cs="Times New Roman"/>
          <w:sz w:val="24"/>
          <w:szCs w:val="24"/>
        </w:rPr>
        <w:tab/>
      </w:r>
      <w:r w:rsidR="006554BC" w:rsidRPr="00344E55">
        <w:rPr>
          <w:rFonts w:ascii="Times New Roman" w:hAnsi="Times New Roman" w:cs="Times New Roman"/>
          <w:sz w:val="24"/>
          <w:szCs w:val="24"/>
        </w:rPr>
        <w:t xml:space="preserve">consecutive </w:t>
      </w:r>
      <w:r w:rsidR="00E45A50" w:rsidRPr="00344E55">
        <w:rPr>
          <w:rFonts w:ascii="Times New Roman" w:hAnsi="Times New Roman" w:cs="Times New Roman"/>
          <w:sz w:val="24"/>
          <w:szCs w:val="24"/>
        </w:rPr>
        <w:t>financial yea</w:t>
      </w:r>
      <w:r w:rsidR="001777B8" w:rsidRPr="00344E55">
        <w:rPr>
          <w:rFonts w:ascii="Times New Roman" w:hAnsi="Times New Roman" w:cs="Times New Roman"/>
          <w:sz w:val="24"/>
          <w:szCs w:val="24"/>
        </w:rPr>
        <w:t>rs without a hint of what their statuses are</w:t>
      </w:r>
    </w:p>
    <w:p w14:paraId="25151388" w14:textId="77777777" w:rsidR="00B84B57" w:rsidRPr="00344E55" w:rsidRDefault="00B84B57" w:rsidP="00A26B16">
      <w:pPr>
        <w:spacing w:line="360" w:lineRule="auto"/>
        <w:contextualSpacing/>
        <w:jc w:val="both"/>
        <w:rPr>
          <w:rFonts w:ascii="Times New Roman" w:hAnsi="Times New Roman" w:cs="Times New Roman"/>
          <w:sz w:val="24"/>
          <w:szCs w:val="24"/>
        </w:rPr>
      </w:pPr>
    </w:p>
    <w:p w14:paraId="349B06F9" w14:textId="77777777" w:rsidR="00B84B57" w:rsidRPr="00344E55" w:rsidRDefault="00B84B57" w:rsidP="00A26B16">
      <w:pPr>
        <w:spacing w:line="360" w:lineRule="auto"/>
        <w:contextualSpacing/>
        <w:jc w:val="both"/>
        <w:rPr>
          <w:rFonts w:ascii="Times New Roman" w:hAnsi="Times New Roman" w:cs="Times New Roman"/>
          <w:sz w:val="24"/>
          <w:szCs w:val="24"/>
        </w:rPr>
      </w:pPr>
      <w:r w:rsidRPr="00344E55">
        <w:rPr>
          <w:rFonts w:ascii="Times New Roman" w:hAnsi="Times New Roman" w:cs="Times New Roman"/>
          <w:sz w:val="24"/>
          <w:szCs w:val="24"/>
        </w:rPr>
        <w:t>Report to be considered.</w:t>
      </w:r>
    </w:p>
    <w:p w14:paraId="3A674BA2" w14:textId="77777777" w:rsidR="005D6D3A" w:rsidRPr="00344E55" w:rsidRDefault="005D6D3A" w:rsidP="00A26B16">
      <w:pPr>
        <w:pBdr>
          <w:bottom w:val="single" w:sz="12" w:space="1" w:color="auto"/>
        </w:pBdr>
        <w:spacing w:after="0" w:line="360" w:lineRule="auto"/>
        <w:contextualSpacing/>
        <w:jc w:val="both"/>
        <w:rPr>
          <w:rFonts w:ascii="Times New Roman" w:hAnsi="Times New Roman" w:cs="Times New Roman"/>
          <w:sz w:val="24"/>
          <w:szCs w:val="24"/>
        </w:rPr>
      </w:pPr>
    </w:p>
    <w:sectPr w:rsidR="005D6D3A" w:rsidRPr="00344E55" w:rsidSect="000D436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BB7CE" w14:textId="77777777" w:rsidR="004011CB" w:rsidRDefault="004011CB">
      <w:pPr>
        <w:spacing w:after="0" w:line="240" w:lineRule="auto"/>
      </w:pPr>
      <w:r>
        <w:separator/>
      </w:r>
    </w:p>
  </w:endnote>
  <w:endnote w:type="continuationSeparator" w:id="0">
    <w:p w14:paraId="4FE00966" w14:textId="77777777" w:rsidR="004011CB" w:rsidRDefault="0040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770233"/>
      <w:docPartObj>
        <w:docPartGallery w:val="Page Numbers (Bottom of Page)"/>
        <w:docPartUnique/>
      </w:docPartObj>
    </w:sdtPr>
    <w:sdtEndPr>
      <w:rPr>
        <w:rFonts w:ascii="Arial" w:hAnsi="Arial" w:cs="Arial"/>
        <w:noProof/>
        <w:sz w:val="22"/>
        <w:szCs w:val="22"/>
      </w:rPr>
    </w:sdtEndPr>
    <w:sdtContent>
      <w:p w14:paraId="7735FFE5" w14:textId="77777777" w:rsidR="00337CCC" w:rsidRPr="006653B1" w:rsidRDefault="00337CCC" w:rsidP="006653B1">
        <w:pPr>
          <w:pStyle w:val="Footer"/>
          <w:jc w:val="center"/>
          <w:rPr>
            <w:rFonts w:ascii="Arial" w:hAnsi="Arial" w:cs="Arial"/>
            <w:sz w:val="22"/>
            <w:szCs w:val="22"/>
          </w:rPr>
        </w:pPr>
        <w:r w:rsidRPr="006653B1">
          <w:rPr>
            <w:rFonts w:ascii="Arial" w:hAnsi="Arial" w:cs="Arial"/>
            <w:sz w:val="22"/>
            <w:szCs w:val="22"/>
          </w:rPr>
          <w:fldChar w:fldCharType="begin"/>
        </w:r>
        <w:r w:rsidRPr="006653B1">
          <w:rPr>
            <w:rFonts w:ascii="Arial" w:hAnsi="Arial" w:cs="Arial"/>
            <w:sz w:val="22"/>
            <w:szCs w:val="22"/>
          </w:rPr>
          <w:instrText xml:space="preserve"> PAGE   \* MERGEFORMAT </w:instrText>
        </w:r>
        <w:r w:rsidRPr="006653B1">
          <w:rPr>
            <w:rFonts w:ascii="Arial" w:hAnsi="Arial" w:cs="Arial"/>
            <w:sz w:val="22"/>
            <w:szCs w:val="22"/>
          </w:rPr>
          <w:fldChar w:fldCharType="separate"/>
        </w:r>
        <w:r w:rsidR="000B564A">
          <w:rPr>
            <w:rFonts w:ascii="Arial" w:hAnsi="Arial" w:cs="Arial"/>
            <w:noProof/>
            <w:sz w:val="22"/>
            <w:szCs w:val="22"/>
          </w:rPr>
          <w:t>1</w:t>
        </w:r>
        <w:r w:rsidRPr="006653B1">
          <w:rPr>
            <w:rFonts w:ascii="Arial" w:hAnsi="Arial" w:cs="Arial"/>
            <w:noProof/>
            <w:sz w:val="22"/>
            <w:szCs w:val="22"/>
          </w:rPr>
          <w:fldChar w:fldCharType="end"/>
        </w:r>
      </w:p>
    </w:sdtContent>
  </w:sdt>
  <w:p w14:paraId="6DA6DCDD" w14:textId="77777777" w:rsidR="00337CCC" w:rsidRDefault="00337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C2A3F" w14:textId="77777777" w:rsidR="004011CB" w:rsidRDefault="004011CB">
      <w:pPr>
        <w:spacing w:after="0" w:line="240" w:lineRule="auto"/>
      </w:pPr>
      <w:r>
        <w:separator/>
      </w:r>
    </w:p>
  </w:footnote>
  <w:footnote w:type="continuationSeparator" w:id="0">
    <w:p w14:paraId="61FEC539" w14:textId="77777777" w:rsidR="004011CB" w:rsidRDefault="00401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518B"/>
    <w:multiLevelType w:val="hybridMultilevel"/>
    <w:tmpl w:val="057EEDC2"/>
    <w:lvl w:ilvl="0" w:tplc="1C090003">
      <w:start w:val="1"/>
      <w:numFmt w:val="bullet"/>
      <w:lvlText w:val="o"/>
      <w:lvlJc w:val="left"/>
      <w:pPr>
        <w:tabs>
          <w:tab w:val="num" w:pos="360"/>
        </w:tabs>
        <w:ind w:left="360" w:hanging="360"/>
      </w:pPr>
      <w:rPr>
        <w:rFonts w:ascii="Courier New" w:hAnsi="Courier New" w:cs="Courier New" w:hint="default"/>
      </w:rPr>
    </w:lvl>
    <w:lvl w:ilvl="1" w:tplc="5CDCDACA" w:tentative="1">
      <w:start w:val="1"/>
      <w:numFmt w:val="bullet"/>
      <w:lvlText w:val=""/>
      <w:lvlJc w:val="left"/>
      <w:pPr>
        <w:tabs>
          <w:tab w:val="num" w:pos="1080"/>
        </w:tabs>
        <w:ind w:left="1080" w:hanging="360"/>
      </w:pPr>
      <w:rPr>
        <w:rFonts w:ascii="Symbol" w:hAnsi="Symbol" w:hint="default"/>
      </w:rPr>
    </w:lvl>
    <w:lvl w:ilvl="2" w:tplc="0FFEF47E" w:tentative="1">
      <w:start w:val="1"/>
      <w:numFmt w:val="bullet"/>
      <w:lvlText w:val=""/>
      <w:lvlJc w:val="left"/>
      <w:pPr>
        <w:tabs>
          <w:tab w:val="num" w:pos="1800"/>
        </w:tabs>
        <w:ind w:left="1800" w:hanging="360"/>
      </w:pPr>
      <w:rPr>
        <w:rFonts w:ascii="Symbol" w:hAnsi="Symbol" w:hint="default"/>
      </w:rPr>
    </w:lvl>
    <w:lvl w:ilvl="3" w:tplc="1892EF70" w:tentative="1">
      <w:start w:val="1"/>
      <w:numFmt w:val="bullet"/>
      <w:lvlText w:val=""/>
      <w:lvlJc w:val="left"/>
      <w:pPr>
        <w:tabs>
          <w:tab w:val="num" w:pos="2520"/>
        </w:tabs>
        <w:ind w:left="2520" w:hanging="360"/>
      </w:pPr>
      <w:rPr>
        <w:rFonts w:ascii="Symbol" w:hAnsi="Symbol" w:hint="default"/>
      </w:rPr>
    </w:lvl>
    <w:lvl w:ilvl="4" w:tplc="2466CBE8" w:tentative="1">
      <w:start w:val="1"/>
      <w:numFmt w:val="bullet"/>
      <w:lvlText w:val=""/>
      <w:lvlJc w:val="left"/>
      <w:pPr>
        <w:tabs>
          <w:tab w:val="num" w:pos="3240"/>
        </w:tabs>
        <w:ind w:left="3240" w:hanging="360"/>
      </w:pPr>
      <w:rPr>
        <w:rFonts w:ascii="Symbol" w:hAnsi="Symbol" w:hint="default"/>
      </w:rPr>
    </w:lvl>
    <w:lvl w:ilvl="5" w:tplc="2F46DFE8" w:tentative="1">
      <w:start w:val="1"/>
      <w:numFmt w:val="bullet"/>
      <w:lvlText w:val=""/>
      <w:lvlJc w:val="left"/>
      <w:pPr>
        <w:tabs>
          <w:tab w:val="num" w:pos="3960"/>
        </w:tabs>
        <w:ind w:left="3960" w:hanging="360"/>
      </w:pPr>
      <w:rPr>
        <w:rFonts w:ascii="Symbol" w:hAnsi="Symbol" w:hint="default"/>
      </w:rPr>
    </w:lvl>
    <w:lvl w:ilvl="6" w:tplc="689A587A" w:tentative="1">
      <w:start w:val="1"/>
      <w:numFmt w:val="bullet"/>
      <w:lvlText w:val=""/>
      <w:lvlJc w:val="left"/>
      <w:pPr>
        <w:tabs>
          <w:tab w:val="num" w:pos="4680"/>
        </w:tabs>
        <w:ind w:left="4680" w:hanging="360"/>
      </w:pPr>
      <w:rPr>
        <w:rFonts w:ascii="Symbol" w:hAnsi="Symbol" w:hint="default"/>
      </w:rPr>
    </w:lvl>
    <w:lvl w:ilvl="7" w:tplc="B726A0F6" w:tentative="1">
      <w:start w:val="1"/>
      <w:numFmt w:val="bullet"/>
      <w:lvlText w:val=""/>
      <w:lvlJc w:val="left"/>
      <w:pPr>
        <w:tabs>
          <w:tab w:val="num" w:pos="5400"/>
        </w:tabs>
        <w:ind w:left="5400" w:hanging="360"/>
      </w:pPr>
      <w:rPr>
        <w:rFonts w:ascii="Symbol" w:hAnsi="Symbol" w:hint="default"/>
      </w:rPr>
    </w:lvl>
    <w:lvl w:ilvl="8" w:tplc="A44A1A12" w:tentative="1">
      <w:start w:val="1"/>
      <w:numFmt w:val="bullet"/>
      <w:lvlText w:val=""/>
      <w:lvlJc w:val="left"/>
      <w:pPr>
        <w:tabs>
          <w:tab w:val="num" w:pos="6120"/>
        </w:tabs>
        <w:ind w:left="6120" w:hanging="360"/>
      </w:pPr>
      <w:rPr>
        <w:rFonts w:ascii="Symbol" w:hAnsi="Symbol" w:hint="default"/>
      </w:rPr>
    </w:lvl>
  </w:abstractNum>
  <w:abstractNum w:abstractNumId="1">
    <w:nsid w:val="0A807EBA"/>
    <w:multiLevelType w:val="hybridMultilevel"/>
    <w:tmpl w:val="DDEC2D28"/>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253BB0"/>
    <w:multiLevelType w:val="hybridMultilevel"/>
    <w:tmpl w:val="30EC5C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14E89"/>
    <w:multiLevelType w:val="hybridMultilevel"/>
    <w:tmpl w:val="139ED5C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9DC4457"/>
    <w:multiLevelType w:val="hybridMultilevel"/>
    <w:tmpl w:val="13B0C796"/>
    <w:lvl w:ilvl="0" w:tplc="74A2E944">
      <w:start w:val="1"/>
      <w:numFmt w:val="bullet"/>
      <w:lvlText w:val=""/>
      <w:lvlJc w:val="left"/>
      <w:pPr>
        <w:tabs>
          <w:tab w:val="num" w:pos="720"/>
        </w:tabs>
        <w:ind w:left="720" w:hanging="360"/>
      </w:pPr>
      <w:rPr>
        <w:rFonts w:ascii="Wingdings" w:hAnsi="Wingdings" w:hint="default"/>
      </w:rPr>
    </w:lvl>
    <w:lvl w:ilvl="1" w:tplc="6CE62C18" w:tentative="1">
      <w:start w:val="1"/>
      <w:numFmt w:val="bullet"/>
      <w:lvlText w:val=""/>
      <w:lvlJc w:val="left"/>
      <w:pPr>
        <w:tabs>
          <w:tab w:val="num" w:pos="1440"/>
        </w:tabs>
        <w:ind w:left="1440" w:hanging="360"/>
      </w:pPr>
      <w:rPr>
        <w:rFonts w:ascii="Wingdings" w:hAnsi="Wingdings" w:hint="default"/>
      </w:rPr>
    </w:lvl>
    <w:lvl w:ilvl="2" w:tplc="E3A24F48" w:tentative="1">
      <w:start w:val="1"/>
      <w:numFmt w:val="bullet"/>
      <w:lvlText w:val=""/>
      <w:lvlJc w:val="left"/>
      <w:pPr>
        <w:tabs>
          <w:tab w:val="num" w:pos="2160"/>
        </w:tabs>
        <w:ind w:left="2160" w:hanging="360"/>
      </w:pPr>
      <w:rPr>
        <w:rFonts w:ascii="Wingdings" w:hAnsi="Wingdings" w:hint="default"/>
      </w:rPr>
    </w:lvl>
    <w:lvl w:ilvl="3" w:tplc="D3A4F6E0" w:tentative="1">
      <w:start w:val="1"/>
      <w:numFmt w:val="bullet"/>
      <w:lvlText w:val=""/>
      <w:lvlJc w:val="left"/>
      <w:pPr>
        <w:tabs>
          <w:tab w:val="num" w:pos="2880"/>
        </w:tabs>
        <w:ind w:left="2880" w:hanging="360"/>
      </w:pPr>
      <w:rPr>
        <w:rFonts w:ascii="Wingdings" w:hAnsi="Wingdings" w:hint="default"/>
      </w:rPr>
    </w:lvl>
    <w:lvl w:ilvl="4" w:tplc="9FB6A436" w:tentative="1">
      <w:start w:val="1"/>
      <w:numFmt w:val="bullet"/>
      <w:lvlText w:val=""/>
      <w:lvlJc w:val="left"/>
      <w:pPr>
        <w:tabs>
          <w:tab w:val="num" w:pos="3600"/>
        </w:tabs>
        <w:ind w:left="3600" w:hanging="360"/>
      </w:pPr>
      <w:rPr>
        <w:rFonts w:ascii="Wingdings" w:hAnsi="Wingdings" w:hint="default"/>
      </w:rPr>
    </w:lvl>
    <w:lvl w:ilvl="5" w:tplc="4E8A71BA" w:tentative="1">
      <w:start w:val="1"/>
      <w:numFmt w:val="bullet"/>
      <w:lvlText w:val=""/>
      <w:lvlJc w:val="left"/>
      <w:pPr>
        <w:tabs>
          <w:tab w:val="num" w:pos="4320"/>
        </w:tabs>
        <w:ind w:left="4320" w:hanging="360"/>
      </w:pPr>
      <w:rPr>
        <w:rFonts w:ascii="Wingdings" w:hAnsi="Wingdings" w:hint="default"/>
      </w:rPr>
    </w:lvl>
    <w:lvl w:ilvl="6" w:tplc="771C00C2" w:tentative="1">
      <w:start w:val="1"/>
      <w:numFmt w:val="bullet"/>
      <w:lvlText w:val=""/>
      <w:lvlJc w:val="left"/>
      <w:pPr>
        <w:tabs>
          <w:tab w:val="num" w:pos="5040"/>
        </w:tabs>
        <w:ind w:left="5040" w:hanging="360"/>
      </w:pPr>
      <w:rPr>
        <w:rFonts w:ascii="Wingdings" w:hAnsi="Wingdings" w:hint="default"/>
      </w:rPr>
    </w:lvl>
    <w:lvl w:ilvl="7" w:tplc="880EFE22" w:tentative="1">
      <w:start w:val="1"/>
      <w:numFmt w:val="bullet"/>
      <w:lvlText w:val=""/>
      <w:lvlJc w:val="left"/>
      <w:pPr>
        <w:tabs>
          <w:tab w:val="num" w:pos="5760"/>
        </w:tabs>
        <w:ind w:left="5760" w:hanging="360"/>
      </w:pPr>
      <w:rPr>
        <w:rFonts w:ascii="Wingdings" w:hAnsi="Wingdings" w:hint="default"/>
      </w:rPr>
    </w:lvl>
    <w:lvl w:ilvl="8" w:tplc="28825242" w:tentative="1">
      <w:start w:val="1"/>
      <w:numFmt w:val="bullet"/>
      <w:lvlText w:val=""/>
      <w:lvlJc w:val="left"/>
      <w:pPr>
        <w:tabs>
          <w:tab w:val="num" w:pos="6480"/>
        </w:tabs>
        <w:ind w:left="6480" w:hanging="360"/>
      </w:pPr>
      <w:rPr>
        <w:rFonts w:ascii="Wingdings" w:hAnsi="Wingdings" w:hint="default"/>
      </w:rPr>
    </w:lvl>
  </w:abstractNum>
  <w:abstractNum w:abstractNumId="5">
    <w:nsid w:val="1AAB3F31"/>
    <w:multiLevelType w:val="hybridMultilevel"/>
    <w:tmpl w:val="F2CC1B7A"/>
    <w:lvl w:ilvl="0" w:tplc="5BCC3F18">
      <w:start w:val="1"/>
      <w:numFmt w:val="decimal"/>
      <w:lvlText w:val="%1)"/>
      <w:lvlJc w:val="left"/>
      <w:pPr>
        <w:tabs>
          <w:tab w:val="num" w:pos="720"/>
        </w:tabs>
        <w:ind w:left="720" w:hanging="360"/>
      </w:pPr>
    </w:lvl>
    <w:lvl w:ilvl="1" w:tplc="D3EC80B8" w:tentative="1">
      <w:start w:val="1"/>
      <w:numFmt w:val="decimal"/>
      <w:lvlText w:val="%2)"/>
      <w:lvlJc w:val="left"/>
      <w:pPr>
        <w:tabs>
          <w:tab w:val="num" w:pos="1440"/>
        </w:tabs>
        <w:ind w:left="1440" w:hanging="360"/>
      </w:pPr>
    </w:lvl>
    <w:lvl w:ilvl="2" w:tplc="87F2AEA2" w:tentative="1">
      <w:start w:val="1"/>
      <w:numFmt w:val="decimal"/>
      <w:lvlText w:val="%3)"/>
      <w:lvlJc w:val="left"/>
      <w:pPr>
        <w:tabs>
          <w:tab w:val="num" w:pos="2160"/>
        </w:tabs>
        <w:ind w:left="2160" w:hanging="360"/>
      </w:pPr>
    </w:lvl>
    <w:lvl w:ilvl="3" w:tplc="EC840BD2" w:tentative="1">
      <w:start w:val="1"/>
      <w:numFmt w:val="decimal"/>
      <w:lvlText w:val="%4)"/>
      <w:lvlJc w:val="left"/>
      <w:pPr>
        <w:tabs>
          <w:tab w:val="num" w:pos="2880"/>
        </w:tabs>
        <w:ind w:left="2880" w:hanging="360"/>
      </w:pPr>
    </w:lvl>
    <w:lvl w:ilvl="4" w:tplc="F1A87168" w:tentative="1">
      <w:start w:val="1"/>
      <w:numFmt w:val="decimal"/>
      <w:lvlText w:val="%5)"/>
      <w:lvlJc w:val="left"/>
      <w:pPr>
        <w:tabs>
          <w:tab w:val="num" w:pos="3600"/>
        </w:tabs>
        <w:ind w:left="3600" w:hanging="360"/>
      </w:pPr>
    </w:lvl>
    <w:lvl w:ilvl="5" w:tplc="225A3650" w:tentative="1">
      <w:start w:val="1"/>
      <w:numFmt w:val="decimal"/>
      <w:lvlText w:val="%6)"/>
      <w:lvlJc w:val="left"/>
      <w:pPr>
        <w:tabs>
          <w:tab w:val="num" w:pos="4320"/>
        </w:tabs>
        <w:ind w:left="4320" w:hanging="360"/>
      </w:pPr>
    </w:lvl>
    <w:lvl w:ilvl="6" w:tplc="17AA1B30" w:tentative="1">
      <w:start w:val="1"/>
      <w:numFmt w:val="decimal"/>
      <w:lvlText w:val="%7)"/>
      <w:lvlJc w:val="left"/>
      <w:pPr>
        <w:tabs>
          <w:tab w:val="num" w:pos="5040"/>
        </w:tabs>
        <w:ind w:left="5040" w:hanging="360"/>
      </w:pPr>
    </w:lvl>
    <w:lvl w:ilvl="7" w:tplc="3F44938C" w:tentative="1">
      <w:start w:val="1"/>
      <w:numFmt w:val="decimal"/>
      <w:lvlText w:val="%8)"/>
      <w:lvlJc w:val="left"/>
      <w:pPr>
        <w:tabs>
          <w:tab w:val="num" w:pos="5760"/>
        </w:tabs>
        <w:ind w:left="5760" w:hanging="360"/>
      </w:pPr>
    </w:lvl>
    <w:lvl w:ilvl="8" w:tplc="E5FCB5B8" w:tentative="1">
      <w:start w:val="1"/>
      <w:numFmt w:val="decimal"/>
      <w:lvlText w:val="%9)"/>
      <w:lvlJc w:val="left"/>
      <w:pPr>
        <w:tabs>
          <w:tab w:val="num" w:pos="6480"/>
        </w:tabs>
        <w:ind w:left="6480" w:hanging="360"/>
      </w:pPr>
    </w:lvl>
  </w:abstractNum>
  <w:abstractNum w:abstractNumId="6">
    <w:nsid w:val="1C0A5FBB"/>
    <w:multiLevelType w:val="hybridMultilevel"/>
    <w:tmpl w:val="B4C472C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6763439"/>
    <w:multiLevelType w:val="hybridMultilevel"/>
    <w:tmpl w:val="6652CC4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76E548A"/>
    <w:multiLevelType w:val="hybridMultilevel"/>
    <w:tmpl w:val="E0D0055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B050C9C"/>
    <w:multiLevelType w:val="hybridMultilevel"/>
    <w:tmpl w:val="DB46B98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DA30A3D"/>
    <w:multiLevelType w:val="multilevel"/>
    <w:tmpl w:val="EFD667A8"/>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ECE4DD4"/>
    <w:multiLevelType w:val="hybridMultilevel"/>
    <w:tmpl w:val="1D0CAE42"/>
    <w:lvl w:ilvl="0" w:tplc="1C090009">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nsid w:val="2F7B3996"/>
    <w:multiLevelType w:val="hybridMultilevel"/>
    <w:tmpl w:val="F454C85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13045BE"/>
    <w:multiLevelType w:val="hybridMultilevel"/>
    <w:tmpl w:val="7F70772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3F86C98"/>
    <w:multiLevelType w:val="hybridMultilevel"/>
    <w:tmpl w:val="AC1066A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BFC7758"/>
    <w:multiLevelType w:val="hybridMultilevel"/>
    <w:tmpl w:val="6ECAD58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1CA309C"/>
    <w:multiLevelType w:val="hybridMultilevel"/>
    <w:tmpl w:val="03729130"/>
    <w:lvl w:ilvl="0" w:tplc="450C341C">
      <w:start w:val="1"/>
      <w:numFmt w:val="decimal"/>
      <w:lvlText w:val="%1)"/>
      <w:lvlJc w:val="left"/>
      <w:pPr>
        <w:tabs>
          <w:tab w:val="num" w:pos="720"/>
        </w:tabs>
        <w:ind w:left="720" w:hanging="360"/>
      </w:pPr>
    </w:lvl>
    <w:lvl w:ilvl="1" w:tplc="906ADD40" w:tentative="1">
      <w:start w:val="1"/>
      <w:numFmt w:val="decimal"/>
      <w:lvlText w:val="%2)"/>
      <w:lvlJc w:val="left"/>
      <w:pPr>
        <w:tabs>
          <w:tab w:val="num" w:pos="1440"/>
        </w:tabs>
        <w:ind w:left="1440" w:hanging="360"/>
      </w:pPr>
    </w:lvl>
    <w:lvl w:ilvl="2" w:tplc="7E82D9E0" w:tentative="1">
      <w:start w:val="1"/>
      <w:numFmt w:val="decimal"/>
      <w:lvlText w:val="%3)"/>
      <w:lvlJc w:val="left"/>
      <w:pPr>
        <w:tabs>
          <w:tab w:val="num" w:pos="2160"/>
        </w:tabs>
        <w:ind w:left="2160" w:hanging="360"/>
      </w:pPr>
    </w:lvl>
    <w:lvl w:ilvl="3" w:tplc="1D1ADF30" w:tentative="1">
      <w:start w:val="1"/>
      <w:numFmt w:val="decimal"/>
      <w:lvlText w:val="%4)"/>
      <w:lvlJc w:val="left"/>
      <w:pPr>
        <w:tabs>
          <w:tab w:val="num" w:pos="2880"/>
        </w:tabs>
        <w:ind w:left="2880" w:hanging="360"/>
      </w:pPr>
    </w:lvl>
    <w:lvl w:ilvl="4" w:tplc="AE2EB244" w:tentative="1">
      <w:start w:val="1"/>
      <w:numFmt w:val="decimal"/>
      <w:lvlText w:val="%5)"/>
      <w:lvlJc w:val="left"/>
      <w:pPr>
        <w:tabs>
          <w:tab w:val="num" w:pos="3600"/>
        </w:tabs>
        <w:ind w:left="3600" w:hanging="360"/>
      </w:pPr>
    </w:lvl>
    <w:lvl w:ilvl="5" w:tplc="543620CE" w:tentative="1">
      <w:start w:val="1"/>
      <w:numFmt w:val="decimal"/>
      <w:lvlText w:val="%6)"/>
      <w:lvlJc w:val="left"/>
      <w:pPr>
        <w:tabs>
          <w:tab w:val="num" w:pos="4320"/>
        </w:tabs>
        <w:ind w:left="4320" w:hanging="360"/>
      </w:pPr>
    </w:lvl>
    <w:lvl w:ilvl="6" w:tplc="E0C0B246" w:tentative="1">
      <w:start w:val="1"/>
      <w:numFmt w:val="decimal"/>
      <w:lvlText w:val="%7)"/>
      <w:lvlJc w:val="left"/>
      <w:pPr>
        <w:tabs>
          <w:tab w:val="num" w:pos="5040"/>
        </w:tabs>
        <w:ind w:left="5040" w:hanging="360"/>
      </w:pPr>
    </w:lvl>
    <w:lvl w:ilvl="7" w:tplc="DD06C7DA" w:tentative="1">
      <w:start w:val="1"/>
      <w:numFmt w:val="decimal"/>
      <w:lvlText w:val="%8)"/>
      <w:lvlJc w:val="left"/>
      <w:pPr>
        <w:tabs>
          <w:tab w:val="num" w:pos="5760"/>
        </w:tabs>
        <w:ind w:left="5760" w:hanging="360"/>
      </w:pPr>
    </w:lvl>
    <w:lvl w:ilvl="8" w:tplc="6FA45D2A" w:tentative="1">
      <w:start w:val="1"/>
      <w:numFmt w:val="decimal"/>
      <w:lvlText w:val="%9)"/>
      <w:lvlJc w:val="left"/>
      <w:pPr>
        <w:tabs>
          <w:tab w:val="num" w:pos="6480"/>
        </w:tabs>
        <w:ind w:left="6480" w:hanging="360"/>
      </w:pPr>
    </w:lvl>
  </w:abstractNum>
  <w:abstractNum w:abstractNumId="17">
    <w:nsid w:val="49E93683"/>
    <w:multiLevelType w:val="hybridMultilevel"/>
    <w:tmpl w:val="F81269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0E35398"/>
    <w:multiLevelType w:val="hybridMultilevel"/>
    <w:tmpl w:val="670E13D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5304E33"/>
    <w:multiLevelType w:val="hybridMultilevel"/>
    <w:tmpl w:val="7230209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6636531"/>
    <w:multiLevelType w:val="hybridMultilevel"/>
    <w:tmpl w:val="8CBCB00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9A02092"/>
    <w:multiLevelType w:val="hybridMultilevel"/>
    <w:tmpl w:val="58FAFC64"/>
    <w:lvl w:ilvl="0" w:tplc="2188C598">
      <w:start w:val="1"/>
      <w:numFmt w:val="decimal"/>
      <w:lvlText w:val="%1)"/>
      <w:lvlJc w:val="left"/>
      <w:pPr>
        <w:tabs>
          <w:tab w:val="num" w:pos="720"/>
        </w:tabs>
        <w:ind w:left="720" w:hanging="360"/>
      </w:pPr>
    </w:lvl>
    <w:lvl w:ilvl="1" w:tplc="F8743A14" w:tentative="1">
      <w:start w:val="1"/>
      <w:numFmt w:val="decimal"/>
      <w:lvlText w:val="%2)"/>
      <w:lvlJc w:val="left"/>
      <w:pPr>
        <w:tabs>
          <w:tab w:val="num" w:pos="1440"/>
        </w:tabs>
        <w:ind w:left="1440" w:hanging="360"/>
      </w:pPr>
    </w:lvl>
    <w:lvl w:ilvl="2" w:tplc="6D04A474" w:tentative="1">
      <w:start w:val="1"/>
      <w:numFmt w:val="decimal"/>
      <w:lvlText w:val="%3)"/>
      <w:lvlJc w:val="left"/>
      <w:pPr>
        <w:tabs>
          <w:tab w:val="num" w:pos="2160"/>
        </w:tabs>
        <w:ind w:left="2160" w:hanging="360"/>
      </w:pPr>
    </w:lvl>
    <w:lvl w:ilvl="3" w:tplc="74A8B934" w:tentative="1">
      <w:start w:val="1"/>
      <w:numFmt w:val="decimal"/>
      <w:lvlText w:val="%4)"/>
      <w:lvlJc w:val="left"/>
      <w:pPr>
        <w:tabs>
          <w:tab w:val="num" w:pos="2880"/>
        </w:tabs>
        <w:ind w:left="2880" w:hanging="360"/>
      </w:pPr>
    </w:lvl>
    <w:lvl w:ilvl="4" w:tplc="94CCE85A" w:tentative="1">
      <w:start w:val="1"/>
      <w:numFmt w:val="decimal"/>
      <w:lvlText w:val="%5)"/>
      <w:lvlJc w:val="left"/>
      <w:pPr>
        <w:tabs>
          <w:tab w:val="num" w:pos="3600"/>
        </w:tabs>
        <w:ind w:left="3600" w:hanging="360"/>
      </w:pPr>
    </w:lvl>
    <w:lvl w:ilvl="5" w:tplc="615A52EA" w:tentative="1">
      <w:start w:val="1"/>
      <w:numFmt w:val="decimal"/>
      <w:lvlText w:val="%6)"/>
      <w:lvlJc w:val="left"/>
      <w:pPr>
        <w:tabs>
          <w:tab w:val="num" w:pos="4320"/>
        </w:tabs>
        <w:ind w:left="4320" w:hanging="360"/>
      </w:pPr>
    </w:lvl>
    <w:lvl w:ilvl="6" w:tplc="4A1A2DBC" w:tentative="1">
      <w:start w:val="1"/>
      <w:numFmt w:val="decimal"/>
      <w:lvlText w:val="%7)"/>
      <w:lvlJc w:val="left"/>
      <w:pPr>
        <w:tabs>
          <w:tab w:val="num" w:pos="5040"/>
        </w:tabs>
        <w:ind w:left="5040" w:hanging="360"/>
      </w:pPr>
    </w:lvl>
    <w:lvl w:ilvl="7" w:tplc="097E900A" w:tentative="1">
      <w:start w:val="1"/>
      <w:numFmt w:val="decimal"/>
      <w:lvlText w:val="%8)"/>
      <w:lvlJc w:val="left"/>
      <w:pPr>
        <w:tabs>
          <w:tab w:val="num" w:pos="5760"/>
        </w:tabs>
        <w:ind w:left="5760" w:hanging="360"/>
      </w:pPr>
    </w:lvl>
    <w:lvl w:ilvl="8" w:tplc="42288B7A" w:tentative="1">
      <w:start w:val="1"/>
      <w:numFmt w:val="decimal"/>
      <w:lvlText w:val="%9)"/>
      <w:lvlJc w:val="left"/>
      <w:pPr>
        <w:tabs>
          <w:tab w:val="num" w:pos="6480"/>
        </w:tabs>
        <w:ind w:left="6480" w:hanging="360"/>
      </w:pPr>
    </w:lvl>
  </w:abstractNum>
  <w:abstractNum w:abstractNumId="22">
    <w:nsid w:val="61071BA8"/>
    <w:multiLevelType w:val="hybridMultilevel"/>
    <w:tmpl w:val="75D27BC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19E443C"/>
    <w:multiLevelType w:val="hybridMultilevel"/>
    <w:tmpl w:val="67F69FF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5F81CE5"/>
    <w:multiLevelType w:val="hybridMultilevel"/>
    <w:tmpl w:val="B838B93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A0C0C4B"/>
    <w:multiLevelType w:val="hybridMultilevel"/>
    <w:tmpl w:val="B1684F7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B0E4C6A"/>
    <w:multiLevelType w:val="hybridMultilevel"/>
    <w:tmpl w:val="892A9B2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D1D2FA1"/>
    <w:multiLevelType w:val="hybridMultilevel"/>
    <w:tmpl w:val="252ECD6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D290A83"/>
    <w:multiLevelType w:val="hybridMultilevel"/>
    <w:tmpl w:val="D8D2A04A"/>
    <w:lvl w:ilvl="0" w:tplc="B8B6A706">
      <w:start w:val="1"/>
      <w:numFmt w:val="decimal"/>
      <w:lvlText w:val="%1)"/>
      <w:lvlJc w:val="left"/>
      <w:pPr>
        <w:tabs>
          <w:tab w:val="num" w:pos="720"/>
        </w:tabs>
        <w:ind w:left="720" w:hanging="360"/>
      </w:pPr>
    </w:lvl>
    <w:lvl w:ilvl="1" w:tplc="FB405BD0" w:tentative="1">
      <w:start w:val="1"/>
      <w:numFmt w:val="decimal"/>
      <w:lvlText w:val="%2)"/>
      <w:lvlJc w:val="left"/>
      <w:pPr>
        <w:tabs>
          <w:tab w:val="num" w:pos="1440"/>
        </w:tabs>
        <w:ind w:left="1440" w:hanging="360"/>
      </w:pPr>
    </w:lvl>
    <w:lvl w:ilvl="2" w:tplc="B54834E6" w:tentative="1">
      <w:start w:val="1"/>
      <w:numFmt w:val="decimal"/>
      <w:lvlText w:val="%3)"/>
      <w:lvlJc w:val="left"/>
      <w:pPr>
        <w:tabs>
          <w:tab w:val="num" w:pos="2160"/>
        </w:tabs>
        <w:ind w:left="2160" w:hanging="360"/>
      </w:pPr>
    </w:lvl>
    <w:lvl w:ilvl="3" w:tplc="E59E9456" w:tentative="1">
      <w:start w:val="1"/>
      <w:numFmt w:val="decimal"/>
      <w:lvlText w:val="%4)"/>
      <w:lvlJc w:val="left"/>
      <w:pPr>
        <w:tabs>
          <w:tab w:val="num" w:pos="2880"/>
        </w:tabs>
        <w:ind w:left="2880" w:hanging="360"/>
      </w:pPr>
    </w:lvl>
    <w:lvl w:ilvl="4" w:tplc="143A67EA" w:tentative="1">
      <w:start w:val="1"/>
      <w:numFmt w:val="decimal"/>
      <w:lvlText w:val="%5)"/>
      <w:lvlJc w:val="left"/>
      <w:pPr>
        <w:tabs>
          <w:tab w:val="num" w:pos="3600"/>
        </w:tabs>
        <w:ind w:left="3600" w:hanging="360"/>
      </w:pPr>
    </w:lvl>
    <w:lvl w:ilvl="5" w:tplc="08BECAEE" w:tentative="1">
      <w:start w:val="1"/>
      <w:numFmt w:val="decimal"/>
      <w:lvlText w:val="%6)"/>
      <w:lvlJc w:val="left"/>
      <w:pPr>
        <w:tabs>
          <w:tab w:val="num" w:pos="4320"/>
        </w:tabs>
        <w:ind w:left="4320" w:hanging="360"/>
      </w:pPr>
    </w:lvl>
    <w:lvl w:ilvl="6" w:tplc="C004E33A" w:tentative="1">
      <w:start w:val="1"/>
      <w:numFmt w:val="decimal"/>
      <w:lvlText w:val="%7)"/>
      <w:lvlJc w:val="left"/>
      <w:pPr>
        <w:tabs>
          <w:tab w:val="num" w:pos="5040"/>
        </w:tabs>
        <w:ind w:left="5040" w:hanging="360"/>
      </w:pPr>
    </w:lvl>
    <w:lvl w:ilvl="7" w:tplc="BA0E41EC" w:tentative="1">
      <w:start w:val="1"/>
      <w:numFmt w:val="decimal"/>
      <w:lvlText w:val="%8)"/>
      <w:lvlJc w:val="left"/>
      <w:pPr>
        <w:tabs>
          <w:tab w:val="num" w:pos="5760"/>
        </w:tabs>
        <w:ind w:left="5760" w:hanging="360"/>
      </w:pPr>
    </w:lvl>
    <w:lvl w:ilvl="8" w:tplc="9132A7EE" w:tentative="1">
      <w:start w:val="1"/>
      <w:numFmt w:val="decimal"/>
      <w:lvlText w:val="%9)"/>
      <w:lvlJc w:val="left"/>
      <w:pPr>
        <w:tabs>
          <w:tab w:val="num" w:pos="6480"/>
        </w:tabs>
        <w:ind w:left="6480" w:hanging="360"/>
      </w:pPr>
    </w:lvl>
  </w:abstractNum>
  <w:abstractNum w:abstractNumId="29">
    <w:nsid w:val="74F81DB0"/>
    <w:multiLevelType w:val="multilevel"/>
    <w:tmpl w:val="2B326CC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C6768A"/>
    <w:multiLevelType w:val="hybridMultilevel"/>
    <w:tmpl w:val="A20C2F1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26"/>
  </w:num>
  <w:num w:numId="5">
    <w:abstractNumId w:val="14"/>
  </w:num>
  <w:num w:numId="6">
    <w:abstractNumId w:val="18"/>
  </w:num>
  <w:num w:numId="7">
    <w:abstractNumId w:val="13"/>
  </w:num>
  <w:num w:numId="8">
    <w:abstractNumId w:val="17"/>
  </w:num>
  <w:num w:numId="9">
    <w:abstractNumId w:val="25"/>
  </w:num>
  <w:num w:numId="10">
    <w:abstractNumId w:val="2"/>
  </w:num>
  <w:num w:numId="11">
    <w:abstractNumId w:val="29"/>
  </w:num>
  <w:num w:numId="12">
    <w:abstractNumId w:val="5"/>
  </w:num>
  <w:num w:numId="13">
    <w:abstractNumId w:val="16"/>
  </w:num>
  <w:num w:numId="14">
    <w:abstractNumId w:val="21"/>
  </w:num>
  <w:num w:numId="15">
    <w:abstractNumId w:val="28"/>
  </w:num>
  <w:num w:numId="16">
    <w:abstractNumId w:val="15"/>
  </w:num>
  <w:num w:numId="17">
    <w:abstractNumId w:val="6"/>
  </w:num>
  <w:num w:numId="18">
    <w:abstractNumId w:val="22"/>
  </w:num>
  <w:num w:numId="19">
    <w:abstractNumId w:val="24"/>
  </w:num>
  <w:num w:numId="20">
    <w:abstractNumId w:val="23"/>
  </w:num>
  <w:num w:numId="21">
    <w:abstractNumId w:val="12"/>
  </w:num>
  <w:num w:numId="22">
    <w:abstractNumId w:val="8"/>
  </w:num>
  <w:num w:numId="23">
    <w:abstractNumId w:val="27"/>
  </w:num>
  <w:num w:numId="24">
    <w:abstractNumId w:val="4"/>
  </w:num>
  <w:num w:numId="25">
    <w:abstractNumId w:val="7"/>
  </w:num>
  <w:num w:numId="26">
    <w:abstractNumId w:val="9"/>
  </w:num>
  <w:num w:numId="27">
    <w:abstractNumId w:val="3"/>
  </w:num>
  <w:num w:numId="28">
    <w:abstractNumId w:val="19"/>
  </w:num>
  <w:num w:numId="29">
    <w:abstractNumId w:val="20"/>
  </w:num>
  <w:num w:numId="30">
    <w:abstractNumId w:val="11"/>
  </w:num>
  <w:num w:numId="31">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BC"/>
    <w:rsid w:val="0000057D"/>
    <w:rsid w:val="00001A1A"/>
    <w:rsid w:val="000074A5"/>
    <w:rsid w:val="00007902"/>
    <w:rsid w:val="00007EDB"/>
    <w:rsid w:val="000115C3"/>
    <w:rsid w:val="00017053"/>
    <w:rsid w:val="0001785B"/>
    <w:rsid w:val="00022E0F"/>
    <w:rsid w:val="00025266"/>
    <w:rsid w:val="00027452"/>
    <w:rsid w:val="00030BBE"/>
    <w:rsid w:val="0003689A"/>
    <w:rsid w:val="000372A2"/>
    <w:rsid w:val="000409A5"/>
    <w:rsid w:val="00040A47"/>
    <w:rsid w:val="00044626"/>
    <w:rsid w:val="00046575"/>
    <w:rsid w:val="00050EBF"/>
    <w:rsid w:val="00052577"/>
    <w:rsid w:val="000553D9"/>
    <w:rsid w:val="000561B7"/>
    <w:rsid w:val="00061FB8"/>
    <w:rsid w:val="00062861"/>
    <w:rsid w:val="00064D35"/>
    <w:rsid w:val="00067F22"/>
    <w:rsid w:val="0007264C"/>
    <w:rsid w:val="00074B62"/>
    <w:rsid w:val="00074BD2"/>
    <w:rsid w:val="00080018"/>
    <w:rsid w:val="000805DF"/>
    <w:rsid w:val="0008296E"/>
    <w:rsid w:val="00083E49"/>
    <w:rsid w:val="00084B5E"/>
    <w:rsid w:val="000865B8"/>
    <w:rsid w:val="0009246A"/>
    <w:rsid w:val="000A3BC5"/>
    <w:rsid w:val="000A598F"/>
    <w:rsid w:val="000A6D79"/>
    <w:rsid w:val="000B453B"/>
    <w:rsid w:val="000B564A"/>
    <w:rsid w:val="000C7F8C"/>
    <w:rsid w:val="000D0E76"/>
    <w:rsid w:val="000D3B11"/>
    <w:rsid w:val="000D4368"/>
    <w:rsid w:val="000E4EC8"/>
    <w:rsid w:val="00100A9D"/>
    <w:rsid w:val="001018B6"/>
    <w:rsid w:val="0010369C"/>
    <w:rsid w:val="00115513"/>
    <w:rsid w:val="0012017D"/>
    <w:rsid w:val="00125862"/>
    <w:rsid w:val="0013654D"/>
    <w:rsid w:val="00140E57"/>
    <w:rsid w:val="0014335F"/>
    <w:rsid w:val="00146CA9"/>
    <w:rsid w:val="001471BB"/>
    <w:rsid w:val="00147689"/>
    <w:rsid w:val="00156E53"/>
    <w:rsid w:val="00162496"/>
    <w:rsid w:val="00162DAB"/>
    <w:rsid w:val="00165156"/>
    <w:rsid w:val="001657C3"/>
    <w:rsid w:val="00166FE8"/>
    <w:rsid w:val="0017166D"/>
    <w:rsid w:val="001718D1"/>
    <w:rsid w:val="00173E7B"/>
    <w:rsid w:val="001758AD"/>
    <w:rsid w:val="001777B8"/>
    <w:rsid w:val="001810B8"/>
    <w:rsid w:val="00182672"/>
    <w:rsid w:val="00186A8E"/>
    <w:rsid w:val="001928CB"/>
    <w:rsid w:val="00194027"/>
    <w:rsid w:val="00194983"/>
    <w:rsid w:val="00194C21"/>
    <w:rsid w:val="00195A76"/>
    <w:rsid w:val="00197CD4"/>
    <w:rsid w:val="00197D64"/>
    <w:rsid w:val="001A2C6B"/>
    <w:rsid w:val="001A375D"/>
    <w:rsid w:val="001A4B5B"/>
    <w:rsid w:val="001B305D"/>
    <w:rsid w:val="001B74A6"/>
    <w:rsid w:val="001C17B5"/>
    <w:rsid w:val="001C184B"/>
    <w:rsid w:val="001C2340"/>
    <w:rsid w:val="001C2688"/>
    <w:rsid w:val="001D086B"/>
    <w:rsid w:val="001D130E"/>
    <w:rsid w:val="001D614C"/>
    <w:rsid w:val="001D6B10"/>
    <w:rsid w:val="001D7F1B"/>
    <w:rsid w:val="001E2592"/>
    <w:rsid w:val="001E2FF6"/>
    <w:rsid w:val="001E44D4"/>
    <w:rsid w:val="001E6369"/>
    <w:rsid w:val="001F305D"/>
    <w:rsid w:val="001F3925"/>
    <w:rsid w:val="001F6818"/>
    <w:rsid w:val="00204F0B"/>
    <w:rsid w:val="00204F9F"/>
    <w:rsid w:val="00206A2C"/>
    <w:rsid w:val="00213C72"/>
    <w:rsid w:val="002151B7"/>
    <w:rsid w:val="00220C3E"/>
    <w:rsid w:val="002211D2"/>
    <w:rsid w:val="00221CFA"/>
    <w:rsid w:val="0022226A"/>
    <w:rsid w:val="00223D5C"/>
    <w:rsid w:val="0022762C"/>
    <w:rsid w:val="002307EB"/>
    <w:rsid w:val="00232D29"/>
    <w:rsid w:val="00237D7C"/>
    <w:rsid w:val="00241605"/>
    <w:rsid w:val="00243D11"/>
    <w:rsid w:val="00244DF4"/>
    <w:rsid w:val="00256A5C"/>
    <w:rsid w:val="00256ECF"/>
    <w:rsid w:val="00260E23"/>
    <w:rsid w:val="00265F6C"/>
    <w:rsid w:val="002758FF"/>
    <w:rsid w:val="002769B2"/>
    <w:rsid w:val="00276D15"/>
    <w:rsid w:val="00280CD4"/>
    <w:rsid w:val="00281692"/>
    <w:rsid w:val="002844A6"/>
    <w:rsid w:val="00291002"/>
    <w:rsid w:val="002919EA"/>
    <w:rsid w:val="0029649A"/>
    <w:rsid w:val="002A0A4D"/>
    <w:rsid w:val="002A622F"/>
    <w:rsid w:val="002B6B37"/>
    <w:rsid w:val="002B7710"/>
    <w:rsid w:val="002B7D07"/>
    <w:rsid w:val="002C16C5"/>
    <w:rsid w:val="002C4A19"/>
    <w:rsid w:val="002C71E1"/>
    <w:rsid w:val="002D0B81"/>
    <w:rsid w:val="002D5BED"/>
    <w:rsid w:val="002E7097"/>
    <w:rsid w:val="002F1434"/>
    <w:rsid w:val="002F2F2E"/>
    <w:rsid w:val="00305280"/>
    <w:rsid w:val="00306D4B"/>
    <w:rsid w:val="00306DD3"/>
    <w:rsid w:val="00311B0F"/>
    <w:rsid w:val="003136A9"/>
    <w:rsid w:val="00314B9D"/>
    <w:rsid w:val="00315C48"/>
    <w:rsid w:val="00320B47"/>
    <w:rsid w:val="00321BFD"/>
    <w:rsid w:val="00326A21"/>
    <w:rsid w:val="003321D5"/>
    <w:rsid w:val="0033434A"/>
    <w:rsid w:val="0033785B"/>
    <w:rsid w:val="00337CCC"/>
    <w:rsid w:val="00343A78"/>
    <w:rsid w:val="00344E55"/>
    <w:rsid w:val="003515EF"/>
    <w:rsid w:val="00351A7D"/>
    <w:rsid w:val="00357908"/>
    <w:rsid w:val="00364113"/>
    <w:rsid w:val="00366036"/>
    <w:rsid w:val="00366C5A"/>
    <w:rsid w:val="00366D90"/>
    <w:rsid w:val="00366F65"/>
    <w:rsid w:val="003738C3"/>
    <w:rsid w:val="00373A47"/>
    <w:rsid w:val="003944FD"/>
    <w:rsid w:val="003A0AC7"/>
    <w:rsid w:val="003A2A0E"/>
    <w:rsid w:val="003A355B"/>
    <w:rsid w:val="003A35BA"/>
    <w:rsid w:val="003A7C2C"/>
    <w:rsid w:val="003B28BC"/>
    <w:rsid w:val="003B44F1"/>
    <w:rsid w:val="003B6531"/>
    <w:rsid w:val="003C087C"/>
    <w:rsid w:val="003C1EF6"/>
    <w:rsid w:val="003C4918"/>
    <w:rsid w:val="003C51B3"/>
    <w:rsid w:val="003C7619"/>
    <w:rsid w:val="003D027F"/>
    <w:rsid w:val="003D180F"/>
    <w:rsid w:val="003D2F76"/>
    <w:rsid w:val="003D33E9"/>
    <w:rsid w:val="003D40F0"/>
    <w:rsid w:val="003E4075"/>
    <w:rsid w:val="003E42F3"/>
    <w:rsid w:val="003F2306"/>
    <w:rsid w:val="003F2BA2"/>
    <w:rsid w:val="003F41F8"/>
    <w:rsid w:val="003F5003"/>
    <w:rsid w:val="004011CB"/>
    <w:rsid w:val="00403865"/>
    <w:rsid w:val="00404A94"/>
    <w:rsid w:val="00411B34"/>
    <w:rsid w:val="00411F4C"/>
    <w:rsid w:val="00414BAC"/>
    <w:rsid w:val="0041613F"/>
    <w:rsid w:val="00417A6B"/>
    <w:rsid w:val="00422131"/>
    <w:rsid w:val="004221D3"/>
    <w:rsid w:val="00422BA5"/>
    <w:rsid w:val="00431C20"/>
    <w:rsid w:val="0043754F"/>
    <w:rsid w:val="00442BC0"/>
    <w:rsid w:val="004430C9"/>
    <w:rsid w:val="004457CA"/>
    <w:rsid w:val="00445FEC"/>
    <w:rsid w:val="00450305"/>
    <w:rsid w:val="004509FF"/>
    <w:rsid w:val="00452382"/>
    <w:rsid w:val="00457236"/>
    <w:rsid w:val="004638F6"/>
    <w:rsid w:val="004661BB"/>
    <w:rsid w:val="00471C7A"/>
    <w:rsid w:val="00472145"/>
    <w:rsid w:val="004754A0"/>
    <w:rsid w:val="00476B6B"/>
    <w:rsid w:val="004772FC"/>
    <w:rsid w:val="004806F4"/>
    <w:rsid w:val="00481FFC"/>
    <w:rsid w:val="0048494A"/>
    <w:rsid w:val="004971A1"/>
    <w:rsid w:val="004A2971"/>
    <w:rsid w:val="004A3553"/>
    <w:rsid w:val="004A59D7"/>
    <w:rsid w:val="004B02CA"/>
    <w:rsid w:val="004B0A8F"/>
    <w:rsid w:val="004B47C2"/>
    <w:rsid w:val="004D03F2"/>
    <w:rsid w:val="004D0B44"/>
    <w:rsid w:val="004D2B08"/>
    <w:rsid w:val="004E00B1"/>
    <w:rsid w:val="004E4604"/>
    <w:rsid w:val="004F11C6"/>
    <w:rsid w:val="004F446A"/>
    <w:rsid w:val="004F4A00"/>
    <w:rsid w:val="004F528E"/>
    <w:rsid w:val="004F52FD"/>
    <w:rsid w:val="00506669"/>
    <w:rsid w:val="005066DC"/>
    <w:rsid w:val="00512310"/>
    <w:rsid w:val="00514714"/>
    <w:rsid w:val="00515AEE"/>
    <w:rsid w:val="0051796B"/>
    <w:rsid w:val="005200EB"/>
    <w:rsid w:val="00524666"/>
    <w:rsid w:val="00525754"/>
    <w:rsid w:val="00525986"/>
    <w:rsid w:val="0053064E"/>
    <w:rsid w:val="00535671"/>
    <w:rsid w:val="005422B7"/>
    <w:rsid w:val="00544707"/>
    <w:rsid w:val="005455A1"/>
    <w:rsid w:val="00551339"/>
    <w:rsid w:val="00560AB3"/>
    <w:rsid w:val="00560F07"/>
    <w:rsid w:val="00561285"/>
    <w:rsid w:val="00564E6A"/>
    <w:rsid w:val="0057283A"/>
    <w:rsid w:val="00573937"/>
    <w:rsid w:val="005743E0"/>
    <w:rsid w:val="005748CA"/>
    <w:rsid w:val="00577EA7"/>
    <w:rsid w:val="0058232A"/>
    <w:rsid w:val="00586AA6"/>
    <w:rsid w:val="0058733B"/>
    <w:rsid w:val="00590E4B"/>
    <w:rsid w:val="00592C77"/>
    <w:rsid w:val="00593C51"/>
    <w:rsid w:val="0059799E"/>
    <w:rsid w:val="005C263B"/>
    <w:rsid w:val="005C3E4B"/>
    <w:rsid w:val="005C4EF2"/>
    <w:rsid w:val="005D6D3A"/>
    <w:rsid w:val="005D7164"/>
    <w:rsid w:val="005E0753"/>
    <w:rsid w:val="005E0CFD"/>
    <w:rsid w:val="005E2C51"/>
    <w:rsid w:val="005E2DB3"/>
    <w:rsid w:val="005E45B2"/>
    <w:rsid w:val="005E66EB"/>
    <w:rsid w:val="005F0609"/>
    <w:rsid w:val="005F14D9"/>
    <w:rsid w:val="005F2A42"/>
    <w:rsid w:val="005F2B49"/>
    <w:rsid w:val="005F2BF0"/>
    <w:rsid w:val="005F3E5F"/>
    <w:rsid w:val="005F5067"/>
    <w:rsid w:val="00614A0A"/>
    <w:rsid w:val="006239DC"/>
    <w:rsid w:val="006308A1"/>
    <w:rsid w:val="006316A6"/>
    <w:rsid w:val="00635200"/>
    <w:rsid w:val="00646B02"/>
    <w:rsid w:val="00652AA3"/>
    <w:rsid w:val="006554BC"/>
    <w:rsid w:val="00656B0B"/>
    <w:rsid w:val="00660F42"/>
    <w:rsid w:val="00661D2E"/>
    <w:rsid w:val="00662142"/>
    <w:rsid w:val="00663EB9"/>
    <w:rsid w:val="00664412"/>
    <w:rsid w:val="006649F2"/>
    <w:rsid w:val="006653B1"/>
    <w:rsid w:val="00671570"/>
    <w:rsid w:val="00671FC6"/>
    <w:rsid w:val="006725E9"/>
    <w:rsid w:val="0067638F"/>
    <w:rsid w:val="00680941"/>
    <w:rsid w:val="0068744D"/>
    <w:rsid w:val="00697211"/>
    <w:rsid w:val="00697C19"/>
    <w:rsid w:val="006A0AB3"/>
    <w:rsid w:val="006A0C5F"/>
    <w:rsid w:val="006A323A"/>
    <w:rsid w:val="006A392C"/>
    <w:rsid w:val="006A4536"/>
    <w:rsid w:val="006A47C9"/>
    <w:rsid w:val="006A528D"/>
    <w:rsid w:val="006A7678"/>
    <w:rsid w:val="006B2DCF"/>
    <w:rsid w:val="006B4ECE"/>
    <w:rsid w:val="006B7814"/>
    <w:rsid w:val="006C4C8C"/>
    <w:rsid w:val="006C4D4B"/>
    <w:rsid w:val="006D176C"/>
    <w:rsid w:val="006D514B"/>
    <w:rsid w:val="006E1D28"/>
    <w:rsid w:val="006E42EF"/>
    <w:rsid w:val="006E5D57"/>
    <w:rsid w:val="006E6958"/>
    <w:rsid w:val="006F2084"/>
    <w:rsid w:val="006F27F3"/>
    <w:rsid w:val="006F4267"/>
    <w:rsid w:val="006F4317"/>
    <w:rsid w:val="006F43F8"/>
    <w:rsid w:val="006F6C2A"/>
    <w:rsid w:val="0071053F"/>
    <w:rsid w:val="00713CD6"/>
    <w:rsid w:val="00722366"/>
    <w:rsid w:val="00730C00"/>
    <w:rsid w:val="00733DA4"/>
    <w:rsid w:val="00736384"/>
    <w:rsid w:val="0074087C"/>
    <w:rsid w:val="00751C5A"/>
    <w:rsid w:val="0075402A"/>
    <w:rsid w:val="00756A53"/>
    <w:rsid w:val="0076372A"/>
    <w:rsid w:val="00776E83"/>
    <w:rsid w:val="00784A03"/>
    <w:rsid w:val="00795760"/>
    <w:rsid w:val="007A138A"/>
    <w:rsid w:val="007B5559"/>
    <w:rsid w:val="007B5F75"/>
    <w:rsid w:val="007C16B4"/>
    <w:rsid w:val="007C31D9"/>
    <w:rsid w:val="007C4665"/>
    <w:rsid w:val="007C7624"/>
    <w:rsid w:val="007D2B5A"/>
    <w:rsid w:val="007D3FCB"/>
    <w:rsid w:val="007E3582"/>
    <w:rsid w:val="007E3B95"/>
    <w:rsid w:val="007E5B61"/>
    <w:rsid w:val="007E6527"/>
    <w:rsid w:val="007E72C8"/>
    <w:rsid w:val="007E7CA2"/>
    <w:rsid w:val="007F3894"/>
    <w:rsid w:val="0080055C"/>
    <w:rsid w:val="00800C38"/>
    <w:rsid w:val="00802182"/>
    <w:rsid w:val="00812821"/>
    <w:rsid w:val="008209F1"/>
    <w:rsid w:val="008224BF"/>
    <w:rsid w:val="0082540B"/>
    <w:rsid w:val="00826A60"/>
    <w:rsid w:val="00826C8F"/>
    <w:rsid w:val="0082715B"/>
    <w:rsid w:val="00827DAC"/>
    <w:rsid w:val="00830B24"/>
    <w:rsid w:val="00841491"/>
    <w:rsid w:val="00841FA4"/>
    <w:rsid w:val="00843AD9"/>
    <w:rsid w:val="00846C94"/>
    <w:rsid w:val="0084719C"/>
    <w:rsid w:val="008537EC"/>
    <w:rsid w:val="008563D9"/>
    <w:rsid w:val="00860F74"/>
    <w:rsid w:val="00867002"/>
    <w:rsid w:val="008723C6"/>
    <w:rsid w:val="008738D7"/>
    <w:rsid w:val="00883AB5"/>
    <w:rsid w:val="00887F7F"/>
    <w:rsid w:val="00891DD8"/>
    <w:rsid w:val="008961B0"/>
    <w:rsid w:val="008967A3"/>
    <w:rsid w:val="008A063B"/>
    <w:rsid w:val="008A2199"/>
    <w:rsid w:val="008A43AB"/>
    <w:rsid w:val="008A5DD9"/>
    <w:rsid w:val="008A7335"/>
    <w:rsid w:val="008B0FC1"/>
    <w:rsid w:val="008B2F7B"/>
    <w:rsid w:val="008B7DB2"/>
    <w:rsid w:val="008C4F1D"/>
    <w:rsid w:val="008C6C76"/>
    <w:rsid w:val="008D0982"/>
    <w:rsid w:val="008D169B"/>
    <w:rsid w:val="008D17F7"/>
    <w:rsid w:val="008D2D1C"/>
    <w:rsid w:val="008D6ECF"/>
    <w:rsid w:val="008E7226"/>
    <w:rsid w:val="008F1338"/>
    <w:rsid w:val="008F22C2"/>
    <w:rsid w:val="008F282F"/>
    <w:rsid w:val="008F6AF7"/>
    <w:rsid w:val="0090154F"/>
    <w:rsid w:val="009035D3"/>
    <w:rsid w:val="00904D18"/>
    <w:rsid w:val="009077DC"/>
    <w:rsid w:val="009104BC"/>
    <w:rsid w:val="00915B7F"/>
    <w:rsid w:val="009205E3"/>
    <w:rsid w:val="00923C82"/>
    <w:rsid w:val="00924D2F"/>
    <w:rsid w:val="00930B8A"/>
    <w:rsid w:val="00933E54"/>
    <w:rsid w:val="0093686C"/>
    <w:rsid w:val="00937AEA"/>
    <w:rsid w:val="00942149"/>
    <w:rsid w:val="0095051C"/>
    <w:rsid w:val="009568E6"/>
    <w:rsid w:val="00960C5E"/>
    <w:rsid w:val="00964AB6"/>
    <w:rsid w:val="00967429"/>
    <w:rsid w:val="00967D2D"/>
    <w:rsid w:val="00980924"/>
    <w:rsid w:val="00983130"/>
    <w:rsid w:val="00984E98"/>
    <w:rsid w:val="0099318F"/>
    <w:rsid w:val="009A31CC"/>
    <w:rsid w:val="009A43E3"/>
    <w:rsid w:val="009B03FA"/>
    <w:rsid w:val="009B2302"/>
    <w:rsid w:val="009C3E68"/>
    <w:rsid w:val="009C4DC1"/>
    <w:rsid w:val="009D1D92"/>
    <w:rsid w:val="009D28E4"/>
    <w:rsid w:val="009D2A0B"/>
    <w:rsid w:val="009E01C2"/>
    <w:rsid w:val="009E2397"/>
    <w:rsid w:val="009E4A82"/>
    <w:rsid w:val="009F0A9F"/>
    <w:rsid w:val="009F1373"/>
    <w:rsid w:val="009F383B"/>
    <w:rsid w:val="009F3999"/>
    <w:rsid w:val="009F4343"/>
    <w:rsid w:val="009F55B9"/>
    <w:rsid w:val="009F7FEE"/>
    <w:rsid w:val="00A127FF"/>
    <w:rsid w:val="00A13588"/>
    <w:rsid w:val="00A2011C"/>
    <w:rsid w:val="00A26B16"/>
    <w:rsid w:val="00A274C2"/>
    <w:rsid w:val="00A27DC5"/>
    <w:rsid w:val="00A32212"/>
    <w:rsid w:val="00A328D3"/>
    <w:rsid w:val="00A32D8F"/>
    <w:rsid w:val="00A439D5"/>
    <w:rsid w:val="00A45FFC"/>
    <w:rsid w:val="00A46048"/>
    <w:rsid w:val="00A5762B"/>
    <w:rsid w:val="00A63B64"/>
    <w:rsid w:val="00A63DA7"/>
    <w:rsid w:val="00A63F49"/>
    <w:rsid w:val="00A669DB"/>
    <w:rsid w:val="00A6732E"/>
    <w:rsid w:val="00A70A0D"/>
    <w:rsid w:val="00A753B0"/>
    <w:rsid w:val="00A758AC"/>
    <w:rsid w:val="00A766E7"/>
    <w:rsid w:val="00A80249"/>
    <w:rsid w:val="00A81B3D"/>
    <w:rsid w:val="00A822A5"/>
    <w:rsid w:val="00A83662"/>
    <w:rsid w:val="00A86BE1"/>
    <w:rsid w:val="00A903E5"/>
    <w:rsid w:val="00A93390"/>
    <w:rsid w:val="00A933CA"/>
    <w:rsid w:val="00AA2F2C"/>
    <w:rsid w:val="00AA4526"/>
    <w:rsid w:val="00AA4C71"/>
    <w:rsid w:val="00AA69C5"/>
    <w:rsid w:val="00AA6D6A"/>
    <w:rsid w:val="00AB2844"/>
    <w:rsid w:val="00AB3E58"/>
    <w:rsid w:val="00AB48B5"/>
    <w:rsid w:val="00AB4FE0"/>
    <w:rsid w:val="00AB5EBC"/>
    <w:rsid w:val="00AC09EC"/>
    <w:rsid w:val="00AD00CA"/>
    <w:rsid w:val="00AD1E11"/>
    <w:rsid w:val="00AD2DCA"/>
    <w:rsid w:val="00AD3D25"/>
    <w:rsid w:val="00AD5905"/>
    <w:rsid w:val="00AE21F0"/>
    <w:rsid w:val="00AE3DEB"/>
    <w:rsid w:val="00AE556C"/>
    <w:rsid w:val="00AE573D"/>
    <w:rsid w:val="00AF0068"/>
    <w:rsid w:val="00AF0904"/>
    <w:rsid w:val="00AF3543"/>
    <w:rsid w:val="00AF38E9"/>
    <w:rsid w:val="00AF6534"/>
    <w:rsid w:val="00AF6C33"/>
    <w:rsid w:val="00B03B52"/>
    <w:rsid w:val="00B03F1F"/>
    <w:rsid w:val="00B178B6"/>
    <w:rsid w:val="00B24E08"/>
    <w:rsid w:val="00B30826"/>
    <w:rsid w:val="00B30C0C"/>
    <w:rsid w:val="00B339D0"/>
    <w:rsid w:val="00B34D8F"/>
    <w:rsid w:val="00B40E3E"/>
    <w:rsid w:val="00B43B7C"/>
    <w:rsid w:val="00B463E2"/>
    <w:rsid w:val="00B46A4A"/>
    <w:rsid w:val="00B540E5"/>
    <w:rsid w:val="00B556A4"/>
    <w:rsid w:val="00B5575F"/>
    <w:rsid w:val="00B63660"/>
    <w:rsid w:val="00B677BB"/>
    <w:rsid w:val="00B7453C"/>
    <w:rsid w:val="00B75617"/>
    <w:rsid w:val="00B75C1B"/>
    <w:rsid w:val="00B80DDE"/>
    <w:rsid w:val="00B83503"/>
    <w:rsid w:val="00B84B57"/>
    <w:rsid w:val="00B863BB"/>
    <w:rsid w:val="00B868C0"/>
    <w:rsid w:val="00B92CBC"/>
    <w:rsid w:val="00B96F9B"/>
    <w:rsid w:val="00BA0EAC"/>
    <w:rsid w:val="00BA32EB"/>
    <w:rsid w:val="00BC0691"/>
    <w:rsid w:val="00BD0828"/>
    <w:rsid w:val="00BD2DF2"/>
    <w:rsid w:val="00BD41C2"/>
    <w:rsid w:val="00BD6A2B"/>
    <w:rsid w:val="00BE0D71"/>
    <w:rsid w:val="00BE0E06"/>
    <w:rsid w:val="00BE1BE1"/>
    <w:rsid w:val="00BE4E81"/>
    <w:rsid w:val="00BF1B61"/>
    <w:rsid w:val="00BF43B4"/>
    <w:rsid w:val="00C0000C"/>
    <w:rsid w:val="00C057C2"/>
    <w:rsid w:val="00C12FB8"/>
    <w:rsid w:val="00C14C1E"/>
    <w:rsid w:val="00C14D58"/>
    <w:rsid w:val="00C14F05"/>
    <w:rsid w:val="00C16A6B"/>
    <w:rsid w:val="00C22CC5"/>
    <w:rsid w:val="00C27977"/>
    <w:rsid w:val="00C35502"/>
    <w:rsid w:val="00C36057"/>
    <w:rsid w:val="00C4214C"/>
    <w:rsid w:val="00C421E3"/>
    <w:rsid w:val="00C4566D"/>
    <w:rsid w:val="00C53671"/>
    <w:rsid w:val="00C555B0"/>
    <w:rsid w:val="00C57DDB"/>
    <w:rsid w:val="00C70AF8"/>
    <w:rsid w:val="00C723FE"/>
    <w:rsid w:val="00C74358"/>
    <w:rsid w:val="00C74C17"/>
    <w:rsid w:val="00C74EFC"/>
    <w:rsid w:val="00C7553A"/>
    <w:rsid w:val="00C761FB"/>
    <w:rsid w:val="00C8116E"/>
    <w:rsid w:val="00C8369F"/>
    <w:rsid w:val="00C83ACC"/>
    <w:rsid w:val="00C845DD"/>
    <w:rsid w:val="00C8547C"/>
    <w:rsid w:val="00C86C08"/>
    <w:rsid w:val="00C87A62"/>
    <w:rsid w:val="00C90449"/>
    <w:rsid w:val="00C9049C"/>
    <w:rsid w:val="00C9170E"/>
    <w:rsid w:val="00C91964"/>
    <w:rsid w:val="00C96AC8"/>
    <w:rsid w:val="00CA03CA"/>
    <w:rsid w:val="00CA33CF"/>
    <w:rsid w:val="00CB1EAC"/>
    <w:rsid w:val="00CB3D75"/>
    <w:rsid w:val="00CB52FA"/>
    <w:rsid w:val="00CB56DD"/>
    <w:rsid w:val="00CB5C7A"/>
    <w:rsid w:val="00CB6064"/>
    <w:rsid w:val="00CB6114"/>
    <w:rsid w:val="00CC1157"/>
    <w:rsid w:val="00CC22A8"/>
    <w:rsid w:val="00CC3D31"/>
    <w:rsid w:val="00CC726B"/>
    <w:rsid w:val="00CC76DF"/>
    <w:rsid w:val="00CD5C81"/>
    <w:rsid w:val="00CD5F80"/>
    <w:rsid w:val="00CE0575"/>
    <w:rsid w:val="00CE071B"/>
    <w:rsid w:val="00CE21A7"/>
    <w:rsid w:val="00CF1D35"/>
    <w:rsid w:val="00CF6FEF"/>
    <w:rsid w:val="00D00915"/>
    <w:rsid w:val="00D00F58"/>
    <w:rsid w:val="00D03E1F"/>
    <w:rsid w:val="00D0650D"/>
    <w:rsid w:val="00D07A40"/>
    <w:rsid w:val="00D14189"/>
    <w:rsid w:val="00D160AA"/>
    <w:rsid w:val="00D16E61"/>
    <w:rsid w:val="00D170A6"/>
    <w:rsid w:val="00D27050"/>
    <w:rsid w:val="00D30882"/>
    <w:rsid w:val="00D36C87"/>
    <w:rsid w:val="00D3705A"/>
    <w:rsid w:val="00D371DB"/>
    <w:rsid w:val="00D55B39"/>
    <w:rsid w:val="00D608CE"/>
    <w:rsid w:val="00D616B8"/>
    <w:rsid w:val="00D626F1"/>
    <w:rsid w:val="00D73550"/>
    <w:rsid w:val="00D767E6"/>
    <w:rsid w:val="00D85FEF"/>
    <w:rsid w:val="00D945F7"/>
    <w:rsid w:val="00DA343F"/>
    <w:rsid w:val="00DA3FAC"/>
    <w:rsid w:val="00DA78C7"/>
    <w:rsid w:val="00DB34E6"/>
    <w:rsid w:val="00DB68F6"/>
    <w:rsid w:val="00DB70F8"/>
    <w:rsid w:val="00DC07C6"/>
    <w:rsid w:val="00DC0C55"/>
    <w:rsid w:val="00DC2348"/>
    <w:rsid w:val="00DC2853"/>
    <w:rsid w:val="00DC38BB"/>
    <w:rsid w:val="00DC40CA"/>
    <w:rsid w:val="00DC434F"/>
    <w:rsid w:val="00DC6882"/>
    <w:rsid w:val="00DD1A8C"/>
    <w:rsid w:val="00DD23B4"/>
    <w:rsid w:val="00DD43D1"/>
    <w:rsid w:val="00DD69C6"/>
    <w:rsid w:val="00DD6DD9"/>
    <w:rsid w:val="00DE1DF2"/>
    <w:rsid w:val="00DE2431"/>
    <w:rsid w:val="00DE3B47"/>
    <w:rsid w:val="00DE5EEC"/>
    <w:rsid w:val="00DF6781"/>
    <w:rsid w:val="00E01C40"/>
    <w:rsid w:val="00E04040"/>
    <w:rsid w:val="00E056D3"/>
    <w:rsid w:val="00E079AF"/>
    <w:rsid w:val="00E142AF"/>
    <w:rsid w:val="00E21EFA"/>
    <w:rsid w:val="00E23579"/>
    <w:rsid w:val="00E24E1F"/>
    <w:rsid w:val="00E339C9"/>
    <w:rsid w:val="00E3678A"/>
    <w:rsid w:val="00E43CFD"/>
    <w:rsid w:val="00E44F48"/>
    <w:rsid w:val="00E45A50"/>
    <w:rsid w:val="00E45EAE"/>
    <w:rsid w:val="00E46C90"/>
    <w:rsid w:val="00E47CE6"/>
    <w:rsid w:val="00E502A6"/>
    <w:rsid w:val="00E50399"/>
    <w:rsid w:val="00E5227C"/>
    <w:rsid w:val="00E56885"/>
    <w:rsid w:val="00E622FC"/>
    <w:rsid w:val="00E6350F"/>
    <w:rsid w:val="00E63BFB"/>
    <w:rsid w:val="00E701B9"/>
    <w:rsid w:val="00E71353"/>
    <w:rsid w:val="00E715E3"/>
    <w:rsid w:val="00E82ECA"/>
    <w:rsid w:val="00E83F59"/>
    <w:rsid w:val="00E8475D"/>
    <w:rsid w:val="00E961AA"/>
    <w:rsid w:val="00E97442"/>
    <w:rsid w:val="00EA3DA2"/>
    <w:rsid w:val="00EA4AD4"/>
    <w:rsid w:val="00EA649B"/>
    <w:rsid w:val="00EB0358"/>
    <w:rsid w:val="00EB3DAE"/>
    <w:rsid w:val="00EB55C7"/>
    <w:rsid w:val="00EB6FA4"/>
    <w:rsid w:val="00EB7F89"/>
    <w:rsid w:val="00EC204E"/>
    <w:rsid w:val="00EC4D44"/>
    <w:rsid w:val="00ED14D4"/>
    <w:rsid w:val="00ED1E18"/>
    <w:rsid w:val="00ED6601"/>
    <w:rsid w:val="00EE3704"/>
    <w:rsid w:val="00EF005A"/>
    <w:rsid w:val="00EF129D"/>
    <w:rsid w:val="00EF794D"/>
    <w:rsid w:val="00F14384"/>
    <w:rsid w:val="00F14BA8"/>
    <w:rsid w:val="00F17229"/>
    <w:rsid w:val="00F206A3"/>
    <w:rsid w:val="00F21C9D"/>
    <w:rsid w:val="00F24516"/>
    <w:rsid w:val="00F26071"/>
    <w:rsid w:val="00F34ABA"/>
    <w:rsid w:val="00F45986"/>
    <w:rsid w:val="00F53CE5"/>
    <w:rsid w:val="00F55C56"/>
    <w:rsid w:val="00F60030"/>
    <w:rsid w:val="00F6037D"/>
    <w:rsid w:val="00F60AF7"/>
    <w:rsid w:val="00F66DFC"/>
    <w:rsid w:val="00F80D2E"/>
    <w:rsid w:val="00F8106F"/>
    <w:rsid w:val="00F8223D"/>
    <w:rsid w:val="00F87BAA"/>
    <w:rsid w:val="00F93E32"/>
    <w:rsid w:val="00F9516D"/>
    <w:rsid w:val="00F9750A"/>
    <w:rsid w:val="00FA04C4"/>
    <w:rsid w:val="00FA4A07"/>
    <w:rsid w:val="00FB344C"/>
    <w:rsid w:val="00FB3A98"/>
    <w:rsid w:val="00FB3D48"/>
    <w:rsid w:val="00FB4109"/>
    <w:rsid w:val="00FB532F"/>
    <w:rsid w:val="00FC2746"/>
    <w:rsid w:val="00FC2F08"/>
    <w:rsid w:val="00FD638F"/>
    <w:rsid w:val="00FE591D"/>
    <w:rsid w:val="00FE6AFC"/>
    <w:rsid w:val="00FF070F"/>
    <w:rsid w:val="00FF17D8"/>
    <w:rsid w:val="00FF1C5D"/>
    <w:rsid w:val="00FF3227"/>
    <w:rsid w:val="00FF387A"/>
    <w:rsid w:val="00FF488C"/>
    <w:rsid w:val="00FF730C"/>
    <w:rsid w:val="00FF7C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68"/>
  </w:style>
  <w:style w:type="paragraph" w:styleId="Heading1">
    <w:name w:val="heading 1"/>
    <w:basedOn w:val="Normal"/>
    <w:next w:val="Normal"/>
    <w:link w:val="Heading1Char"/>
    <w:qFormat/>
    <w:rsid w:val="005200EB"/>
    <w:pPr>
      <w:keepNext/>
      <w:spacing w:after="0" w:line="240" w:lineRule="auto"/>
      <w:outlineLvl w:val="0"/>
    </w:pPr>
    <w:rPr>
      <w:rFonts w:ascii="Arial" w:eastAsia="Times New Roman" w:hAnsi="Arial" w:cs="Arial"/>
      <w:b/>
      <w:bCs/>
      <w:color w:val="001F00"/>
      <w:spacing w:val="6"/>
      <w:kern w:val="32"/>
      <w:sz w:val="20"/>
      <w:szCs w:val="20"/>
      <w:lang w:val="en-GB" w:eastAsia="en-GB"/>
    </w:rPr>
  </w:style>
  <w:style w:type="paragraph" w:styleId="Heading2">
    <w:name w:val="heading 2"/>
    <w:basedOn w:val="Normal"/>
    <w:next w:val="Normal"/>
    <w:link w:val="Heading2Char"/>
    <w:qFormat/>
    <w:rsid w:val="005200EB"/>
    <w:pPr>
      <w:keepNext/>
      <w:spacing w:after="0" w:line="240" w:lineRule="auto"/>
      <w:outlineLvl w:val="1"/>
    </w:pPr>
    <w:rPr>
      <w:rFonts w:ascii="Arial" w:eastAsia="Times New Roman" w:hAnsi="Arial" w:cs="Arial"/>
      <w:b/>
      <w:bCs/>
      <w:iCs/>
      <w:color w:val="001F00"/>
      <w:spacing w:val="6"/>
      <w:sz w:val="18"/>
      <w:szCs w:val="18"/>
      <w:lang w:val="en-GB" w:eastAsia="en-GB"/>
    </w:rPr>
  </w:style>
  <w:style w:type="paragraph" w:styleId="Heading3">
    <w:name w:val="heading 3"/>
    <w:basedOn w:val="Normal"/>
    <w:next w:val="Normal"/>
    <w:link w:val="Heading3Char"/>
    <w:qFormat/>
    <w:rsid w:val="005200EB"/>
    <w:pPr>
      <w:keepNext/>
      <w:spacing w:before="240" w:after="60" w:line="240" w:lineRule="auto"/>
      <w:outlineLvl w:val="2"/>
    </w:pPr>
    <w:rPr>
      <w:rFonts w:ascii="Arial" w:eastAsia="Times New Roman" w:hAnsi="Arial" w:cs="Arial"/>
      <w:b/>
      <w:bCs/>
      <w:color w:val="001F00"/>
      <w:spacing w:val="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B5EB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AB5EB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69DB"/>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9205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F431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semiHidden/>
    <w:unhideWhenUsed/>
    <w:rsid w:val="00ED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14D4"/>
    <w:rPr>
      <w:rFonts w:ascii="Segoe UI" w:hAnsi="Segoe UI" w:cs="Segoe UI"/>
      <w:sz w:val="18"/>
      <w:szCs w:val="18"/>
    </w:rPr>
  </w:style>
  <w:style w:type="paragraph" w:styleId="Header">
    <w:name w:val="header"/>
    <w:basedOn w:val="Normal"/>
    <w:link w:val="HeaderChar"/>
    <w:uiPriority w:val="99"/>
    <w:rsid w:val="00DA78C7"/>
    <w:pPr>
      <w:tabs>
        <w:tab w:val="center" w:pos="4320"/>
        <w:tab w:val="right" w:pos="8640"/>
      </w:tabs>
      <w:spacing w:after="0" w:line="240" w:lineRule="auto"/>
    </w:pPr>
    <w:rPr>
      <w:rFonts w:ascii="Times New Roman" w:eastAsia="Times New Roman" w:hAnsi="Times New Roman" w:cs="Times New Roman"/>
      <w:b/>
      <w:szCs w:val="20"/>
      <w:lang w:val="en-GB"/>
    </w:rPr>
  </w:style>
  <w:style w:type="character" w:customStyle="1" w:styleId="HeaderChar">
    <w:name w:val="Header Char"/>
    <w:basedOn w:val="DefaultParagraphFont"/>
    <w:link w:val="Header"/>
    <w:uiPriority w:val="99"/>
    <w:rsid w:val="00DA78C7"/>
    <w:rPr>
      <w:rFonts w:ascii="Times New Roman" w:eastAsia="Times New Roman" w:hAnsi="Times New Roman" w:cs="Times New Roman"/>
      <w:b/>
      <w:szCs w:val="20"/>
      <w:lang w:val="en-GB"/>
    </w:rPr>
  </w:style>
  <w:style w:type="character" w:styleId="CommentReference">
    <w:name w:val="annotation reference"/>
    <w:basedOn w:val="DefaultParagraphFont"/>
    <w:unhideWhenUsed/>
    <w:rsid w:val="009F55B9"/>
    <w:rPr>
      <w:sz w:val="16"/>
      <w:szCs w:val="16"/>
    </w:rPr>
  </w:style>
  <w:style w:type="paragraph" w:styleId="CommentText">
    <w:name w:val="annotation text"/>
    <w:basedOn w:val="Normal"/>
    <w:link w:val="CommentTextChar"/>
    <w:unhideWhenUsed/>
    <w:rsid w:val="009F55B9"/>
    <w:pPr>
      <w:spacing w:line="240" w:lineRule="auto"/>
    </w:pPr>
    <w:rPr>
      <w:sz w:val="20"/>
      <w:szCs w:val="20"/>
    </w:rPr>
  </w:style>
  <w:style w:type="character" w:customStyle="1" w:styleId="CommentTextChar">
    <w:name w:val="Comment Text Char"/>
    <w:basedOn w:val="DefaultParagraphFont"/>
    <w:link w:val="CommentText"/>
    <w:rsid w:val="009F55B9"/>
    <w:rPr>
      <w:sz w:val="20"/>
      <w:szCs w:val="20"/>
    </w:rPr>
  </w:style>
  <w:style w:type="paragraph" w:styleId="CommentSubject">
    <w:name w:val="annotation subject"/>
    <w:basedOn w:val="CommentText"/>
    <w:next w:val="CommentText"/>
    <w:link w:val="CommentSubjectChar"/>
    <w:semiHidden/>
    <w:unhideWhenUsed/>
    <w:rsid w:val="009F55B9"/>
    <w:rPr>
      <w:b/>
      <w:bCs/>
    </w:rPr>
  </w:style>
  <w:style w:type="character" w:customStyle="1" w:styleId="CommentSubjectChar">
    <w:name w:val="Comment Subject Char"/>
    <w:basedOn w:val="CommentTextChar"/>
    <w:link w:val="CommentSubject"/>
    <w:semiHidden/>
    <w:rsid w:val="009F55B9"/>
    <w:rPr>
      <w:b/>
      <w:bCs/>
      <w:sz w:val="20"/>
      <w:szCs w:val="20"/>
    </w:rPr>
  </w:style>
  <w:style w:type="character" w:customStyle="1" w:styleId="Heading1Char">
    <w:name w:val="Heading 1 Char"/>
    <w:basedOn w:val="DefaultParagraphFont"/>
    <w:link w:val="Heading1"/>
    <w:rsid w:val="005200EB"/>
    <w:rPr>
      <w:rFonts w:ascii="Arial" w:eastAsia="Times New Roman" w:hAnsi="Arial" w:cs="Arial"/>
      <w:b/>
      <w:bCs/>
      <w:color w:val="001F00"/>
      <w:spacing w:val="6"/>
      <w:kern w:val="32"/>
      <w:sz w:val="20"/>
      <w:szCs w:val="20"/>
      <w:lang w:val="en-GB" w:eastAsia="en-GB"/>
    </w:rPr>
  </w:style>
  <w:style w:type="character" w:customStyle="1" w:styleId="Heading2Char">
    <w:name w:val="Heading 2 Char"/>
    <w:basedOn w:val="DefaultParagraphFont"/>
    <w:link w:val="Heading2"/>
    <w:rsid w:val="005200EB"/>
    <w:rPr>
      <w:rFonts w:ascii="Arial" w:eastAsia="Times New Roman" w:hAnsi="Arial" w:cs="Arial"/>
      <w:b/>
      <w:bCs/>
      <w:iCs/>
      <w:color w:val="001F00"/>
      <w:spacing w:val="6"/>
      <w:sz w:val="18"/>
      <w:szCs w:val="18"/>
      <w:lang w:val="en-GB" w:eastAsia="en-GB"/>
    </w:rPr>
  </w:style>
  <w:style w:type="character" w:customStyle="1" w:styleId="Heading3Char">
    <w:name w:val="Heading 3 Char"/>
    <w:basedOn w:val="DefaultParagraphFont"/>
    <w:link w:val="Heading3"/>
    <w:rsid w:val="005200EB"/>
    <w:rPr>
      <w:rFonts w:ascii="Arial" w:eastAsia="Times New Roman" w:hAnsi="Arial" w:cs="Arial"/>
      <w:b/>
      <w:bCs/>
      <w:color w:val="001F00"/>
      <w:spacing w:val="6"/>
      <w:sz w:val="26"/>
      <w:szCs w:val="26"/>
      <w:lang w:val="en-GB" w:eastAsia="en-GB"/>
    </w:rPr>
  </w:style>
  <w:style w:type="paragraph" w:customStyle="1" w:styleId="NormalUpper">
    <w:name w:val="Normal Upper"/>
    <w:basedOn w:val="Normal"/>
    <w:rsid w:val="005200EB"/>
    <w:pPr>
      <w:spacing w:after="0" w:line="240" w:lineRule="auto"/>
    </w:pPr>
    <w:rPr>
      <w:rFonts w:ascii="Arial" w:eastAsia="Times New Roman" w:hAnsi="Arial" w:cs="Times New Roman"/>
      <w:caps/>
      <w:color w:val="001F00"/>
      <w:spacing w:val="6"/>
      <w:sz w:val="18"/>
      <w:szCs w:val="18"/>
      <w:lang w:val="en-GB" w:eastAsia="en-GB"/>
    </w:rPr>
  </w:style>
  <w:style w:type="paragraph" w:customStyle="1" w:styleId="Normalbold">
    <w:name w:val="Normal bold"/>
    <w:basedOn w:val="Normal"/>
    <w:rsid w:val="005200EB"/>
    <w:pPr>
      <w:spacing w:after="0" w:line="240" w:lineRule="auto"/>
    </w:pPr>
    <w:rPr>
      <w:rFonts w:ascii="Arial" w:eastAsia="Times New Roman" w:hAnsi="Arial" w:cs="Times New Roman"/>
      <w:b/>
      <w:color w:val="001F00"/>
      <w:spacing w:val="6"/>
      <w:sz w:val="18"/>
      <w:szCs w:val="18"/>
      <w:lang w:val="en-GB" w:eastAsia="en-GB"/>
    </w:rPr>
  </w:style>
  <w:style w:type="paragraph" w:customStyle="1" w:styleId="NormalUpperbold">
    <w:name w:val="Normal Upper bold"/>
    <w:basedOn w:val="Normal"/>
    <w:rsid w:val="005200EB"/>
    <w:pPr>
      <w:spacing w:after="0" w:line="240" w:lineRule="auto"/>
    </w:pPr>
    <w:rPr>
      <w:rFonts w:ascii="Arial" w:eastAsia="Times New Roman" w:hAnsi="Arial" w:cs="Times New Roman"/>
      <w:b/>
      <w:caps/>
      <w:color w:val="001F00"/>
      <w:spacing w:val="6"/>
      <w:sz w:val="18"/>
      <w:szCs w:val="18"/>
      <w:lang w:val="en-GB" w:eastAsia="en-GB"/>
    </w:rPr>
  </w:style>
  <w:style w:type="paragraph" w:customStyle="1" w:styleId="Footerbold">
    <w:name w:val="Footer bold"/>
    <w:basedOn w:val="Footer"/>
    <w:link w:val="FooterboldChar"/>
    <w:rsid w:val="005200EB"/>
    <w:pPr>
      <w:tabs>
        <w:tab w:val="clear" w:pos="4513"/>
        <w:tab w:val="clear" w:pos="9026"/>
      </w:tabs>
    </w:pPr>
    <w:rPr>
      <w:rFonts w:ascii="Arial" w:hAnsi="Arial"/>
      <w:b/>
      <w:sz w:val="14"/>
      <w:szCs w:val="14"/>
      <w:lang w:val="en-GB"/>
    </w:rPr>
  </w:style>
  <w:style w:type="character" w:customStyle="1" w:styleId="FooterboldChar">
    <w:name w:val="Footer bold Char"/>
    <w:link w:val="Footerbold"/>
    <w:rsid w:val="005200EB"/>
    <w:rPr>
      <w:rFonts w:ascii="Arial" w:eastAsia="Times New Roman" w:hAnsi="Arial" w:cs="Times New Roman"/>
      <w:b/>
      <w:sz w:val="14"/>
      <w:szCs w:val="14"/>
      <w:lang w:val="en-GB" w:eastAsia="en-GB"/>
    </w:rPr>
  </w:style>
  <w:style w:type="character" w:styleId="PageNumber">
    <w:name w:val="page number"/>
    <w:basedOn w:val="DefaultParagraphFont"/>
    <w:rsid w:val="005200EB"/>
  </w:style>
  <w:style w:type="table" w:styleId="TableGrid">
    <w:name w:val="Table Grid"/>
    <w:basedOn w:val="TableNormal"/>
    <w:uiPriority w:val="39"/>
    <w:rsid w:val="005200E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5200EB"/>
    <w:pPr>
      <w:spacing w:after="0" w:line="240" w:lineRule="auto"/>
      <w:jc w:val="right"/>
    </w:pPr>
    <w:rPr>
      <w:rFonts w:ascii="Arial" w:eastAsia="Times New Roman" w:hAnsi="Arial" w:cs="Times New Roman"/>
      <w:color w:val="001F00"/>
      <w:spacing w:val="6"/>
      <w:sz w:val="18"/>
      <w:szCs w:val="18"/>
      <w:lang w:val="en-GB" w:eastAsia="en-GB"/>
    </w:rPr>
  </w:style>
  <w:style w:type="paragraph" w:customStyle="1" w:styleId="NormalCenter">
    <w:name w:val="Normal Center"/>
    <w:basedOn w:val="Normal"/>
    <w:rsid w:val="005200EB"/>
    <w:pPr>
      <w:spacing w:after="0" w:line="240" w:lineRule="auto"/>
      <w:jc w:val="center"/>
    </w:pPr>
    <w:rPr>
      <w:rFonts w:ascii="Arial" w:eastAsia="Times New Roman" w:hAnsi="Arial" w:cs="Times New Roman"/>
      <w:color w:val="001F00"/>
      <w:spacing w:val="6"/>
      <w:sz w:val="18"/>
      <w:szCs w:val="18"/>
      <w:lang w:val="en-GB" w:eastAsia="en-GB"/>
    </w:rPr>
  </w:style>
  <w:style w:type="paragraph" w:customStyle="1" w:styleId="NormalBoldCenter">
    <w:name w:val="Normal Bold Center"/>
    <w:basedOn w:val="NormalCenter"/>
    <w:rsid w:val="005200EB"/>
    <w:rPr>
      <w:b/>
    </w:rPr>
  </w:style>
  <w:style w:type="paragraph" w:customStyle="1" w:styleId="Spacer">
    <w:name w:val="Spacer"/>
    <w:basedOn w:val="Normal"/>
    <w:rsid w:val="005200EB"/>
    <w:pPr>
      <w:spacing w:after="0" w:line="240" w:lineRule="auto"/>
    </w:pPr>
    <w:rPr>
      <w:rFonts w:ascii="Arial" w:eastAsia="Times New Roman" w:hAnsi="Arial" w:cs="Times New Roman"/>
      <w:color w:val="001F00"/>
      <w:spacing w:val="6"/>
      <w:sz w:val="2"/>
      <w:szCs w:val="18"/>
      <w:lang w:val="en-GB" w:eastAsia="en-GB"/>
    </w:rPr>
  </w:style>
  <w:style w:type="paragraph" w:styleId="DocumentMap">
    <w:name w:val="Document Map"/>
    <w:basedOn w:val="Normal"/>
    <w:link w:val="DocumentMapChar"/>
    <w:semiHidden/>
    <w:rsid w:val="005200EB"/>
    <w:pPr>
      <w:shd w:val="clear" w:color="auto" w:fill="000080"/>
      <w:spacing w:after="0" w:line="240" w:lineRule="auto"/>
    </w:pPr>
    <w:rPr>
      <w:rFonts w:ascii="Tahoma" w:eastAsia="Times New Roman" w:hAnsi="Tahoma" w:cs="Tahoma"/>
      <w:color w:val="001F00"/>
      <w:spacing w:val="6"/>
      <w:sz w:val="20"/>
      <w:szCs w:val="20"/>
      <w:lang w:val="en-GB" w:eastAsia="en-GB"/>
    </w:rPr>
  </w:style>
  <w:style w:type="character" w:customStyle="1" w:styleId="DocumentMapChar">
    <w:name w:val="Document Map Char"/>
    <w:basedOn w:val="DefaultParagraphFont"/>
    <w:link w:val="DocumentMap"/>
    <w:semiHidden/>
    <w:rsid w:val="005200EB"/>
    <w:rPr>
      <w:rFonts w:ascii="Tahoma" w:eastAsia="Times New Roman" w:hAnsi="Tahoma" w:cs="Tahoma"/>
      <w:color w:val="001F00"/>
      <w:spacing w:val="6"/>
      <w:sz w:val="20"/>
      <w:szCs w:val="20"/>
      <w:shd w:val="clear" w:color="auto" w:fill="000080"/>
      <w:lang w:val="en-GB" w:eastAsia="en-GB"/>
    </w:rPr>
  </w:style>
  <w:style w:type="character" w:styleId="Hyperlink">
    <w:name w:val="Hyperlink"/>
    <w:rsid w:val="005200EB"/>
    <w:rPr>
      <w:color w:val="0000FF"/>
      <w:u w:val="single"/>
    </w:rPr>
  </w:style>
  <w:style w:type="paragraph" w:styleId="PlainText">
    <w:name w:val="Plain Text"/>
    <w:basedOn w:val="Normal"/>
    <w:link w:val="PlainTextChar"/>
    <w:rsid w:val="005200EB"/>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5200EB"/>
    <w:rPr>
      <w:rFonts w:ascii="Courier New" w:eastAsia="Times New Roman" w:hAnsi="Courier New" w:cs="Courier New"/>
      <w:sz w:val="20"/>
      <w:szCs w:val="20"/>
      <w:lang w:val="en-GB"/>
    </w:rPr>
  </w:style>
  <w:style w:type="paragraph" w:customStyle="1" w:styleId="Char">
    <w:name w:val="Char"/>
    <w:basedOn w:val="Normal"/>
    <w:rsid w:val="005200EB"/>
    <w:pPr>
      <w:spacing w:line="240" w:lineRule="exact"/>
    </w:pPr>
    <w:rPr>
      <w:rFonts w:ascii="Arial" w:eastAsia="Times New Roman" w:hAnsi="Arial" w:cs="Times New Roman"/>
      <w:bCs/>
      <w:szCs w:val="24"/>
      <w:lang w:val="en-US"/>
    </w:rPr>
  </w:style>
  <w:style w:type="paragraph" w:styleId="NoSpacing">
    <w:name w:val="No Spacing"/>
    <w:qFormat/>
    <w:rsid w:val="005200EB"/>
    <w:pPr>
      <w:spacing w:after="0" w:line="240" w:lineRule="auto"/>
    </w:pPr>
    <w:rPr>
      <w:rFonts w:ascii="Calibri" w:eastAsia="Times New Roman" w:hAnsi="Calibri" w:cs="Times New Roman"/>
    </w:rPr>
  </w:style>
  <w:style w:type="paragraph" w:customStyle="1" w:styleId="char0">
    <w:name w:val="char"/>
    <w:basedOn w:val="Normal"/>
    <w:rsid w:val="005200EB"/>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FootnoteText">
    <w:name w:val="footnote text"/>
    <w:aliases w:val="Footnote Text Char1,Footnote Text Char Char"/>
    <w:basedOn w:val="Normal"/>
    <w:link w:val="FootnoteTextChar"/>
    <w:uiPriority w:val="99"/>
    <w:rsid w:val="005200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
    <w:basedOn w:val="DefaultParagraphFont"/>
    <w:link w:val="FootnoteText"/>
    <w:uiPriority w:val="99"/>
    <w:rsid w:val="005200EB"/>
    <w:rPr>
      <w:rFonts w:ascii="Times New Roman" w:eastAsia="Times New Roman" w:hAnsi="Times New Roman" w:cs="Times New Roman"/>
      <w:sz w:val="20"/>
      <w:szCs w:val="20"/>
      <w:lang w:val="en-US"/>
    </w:rPr>
  </w:style>
  <w:style w:type="character" w:styleId="FootnoteReference">
    <w:name w:val="footnote reference"/>
    <w:uiPriority w:val="99"/>
    <w:rsid w:val="005200EB"/>
    <w:rPr>
      <w:vertAlign w:val="superscript"/>
    </w:rPr>
  </w:style>
  <w:style w:type="character" w:styleId="Emphasis">
    <w:name w:val="Emphasis"/>
    <w:basedOn w:val="DefaultParagraphFont"/>
    <w:uiPriority w:val="20"/>
    <w:qFormat/>
    <w:rsid w:val="004F52FD"/>
    <w:rPr>
      <w:b/>
      <w:bCs/>
      <w:i w:val="0"/>
      <w:iCs w:val="0"/>
    </w:rPr>
  </w:style>
  <w:style w:type="character" w:customStyle="1" w:styleId="st1">
    <w:name w:val="st1"/>
    <w:basedOn w:val="DefaultParagraphFont"/>
    <w:rsid w:val="004F5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68"/>
  </w:style>
  <w:style w:type="paragraph" w:styleId="Heading1">
    <w:name w:val="heading 1"/>
    <w:basedOn w:val="Normal"/>
    <w:next w:val="Normal"/>
    <w:link w:val="Heading1Char"/>
    <w:qFormat/>
    <w:rsid w:val="005200EB"/>
    <w:pPr>
      <w:keepNext/>
      <w:spacing w:after="0" w:line="240" w:lineRule="auto"/>
      <w:outlineLvl w:val="0"/>
    </w:pPr>
    <w:rPr>
      <w:rFonts w:ascii="Arial" w:eastAsia="Times New Roman" w:hAnsi="Arial" w:cs="Arial"/>
      <w:b/>
      <w:bCs/>
      <w:color w:val="001F00"/>
      <w:spacing w:val="6"/>
      <w:kern w:val="32"/>
      <w:sz w:val="20"/>
      <w:szCs w:val="20"/>
      <w:lang w:val="en-GB" w:eastAsia="en-GB"/>
    </w:rPr>
  </w:style>
  <w:style w:type="paragraph" w:styleId="Heading2">
    <w:name w:val="heading 2"/>
    <w:basedOn w:val="Normal"/>
    <w:next w:val="Normal"/>
    <w:link w:val="Heading2Char"/>
    <w:qFormat/>
    <w:rsid w:val="005200EB"/>
    <w:pPr>
      <w:keepNext/>
      <w:spacing w:after="0" w:line="240" w:lineRule="auto"/>
      <w:outlineLvl w:val="1"/>
    </w:pPr>
    <w:rPr>
      <w:rFonts w:ascii="Arial" w:eastAsia="Times New Roman" w:hAnsi="Arial" w:cs="Arial"/>
      <w:b/>
      <w:bCs/>
      <w:iCs/>
      <w:color w:val="001F00"/>
      <w:spacing w:val="6"/>
      <w:sz w:val="18"/>
      <w:szCs w:val="18"/>
      <w:lang w:val="en-GB" w:eastAsia="en-GB"/>
    </w:rPr>
  </w:style>
  <w:style w:type="paragraph" w:styleId="Heading3">
    <w:name w:val="heading 3"/>
    <w:basedOn w:val="Normal"/>
    <w:next w:val="Normal"/>
    <w:link w:val="Heading3Char"/>
    <w:qFormat/>
    <w:rsid w:val="005200EB"/>
    <w:pPr>
      <w:keepNext/>
      <w:spacing w:before="240" w:after="60" w:line="240" w:lineRule="auto"/>
      <w:outlineLvl w:val="2"/>
    </w:pPr>
    <w:rPr>
      <w:rFonts w:ascii="Arial" w:eastAsia="Times New Roman" w:hAnsi="Arial" w:cs="Arial"/>
      <w:b/>
      <w:bCs/>
      <w:color w:val="001F00"/>
      <w:spacing w:val="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B5EB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AB5EB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69DB"/>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9205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F431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semiHidden/>
    <w:unhideWhenUsed/>
    <w:rsid w:val="00ED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14D4"/>
    <w:rPr>
      <w:rFonts w:ascii="Segoe UI" w:hAnsi="Segoe UI" w:cs="Segoe UI"/>
      <w:sz w:val="18"/>
      <w:szCs w:val="18"/>
    </w:rPr>
  </w:style>
  <w:style w:type="paragraph" w:styleId="Header">
    <w:name w:val="header"/>
    <w:basedOn w:val="Normal"/>
    <w:link w:val="HeaderChar"/>
    <w:uiPriority w:val="99"/>
    <w:rsid w:val="00DA78C7"/>
    <w:pPr>
      <w:tabs>
        <w:tab w:val="center" w:pos="4320"/>
        <w:tab w:val="right" w:pos="8640"/>
      </w:tabs>
      <w:spacing w:after="0" w:line="240" w:lineRule="auto"/>
    </w:pPr>
    <w:rPr>
      <w:rFonts w:ascii="Times New Roman" w:eastAsia="Times New Roman" w:hAnsi="Times New Roman" w:cs="Times New Roman"/>
      <w:b/>
      <w:szCs w:val="20"/>
      <w:lang w:val="en-GB"/>
    </w:rPr>
  </w:style>
  <w:style w:type="character" w:customStyle="1" w:styleId="HeaderChar">
    <w:name w:val="Header Char"/>
    <w:basedOn w:val="DefaultParagraphFont"/>
    <w:link w:val="Header"/>
    <w:uiPriority w:val="99"/>
    <w:rsid w:val="00DA78C7"/>
    <w:rPr>
      <w:rFonts w:ascii="Times New Roman" w:eastAsia="Times New Roman" w:hAnsi="Times New Roman" w:cs="Times New Roman"/>
      <w:b/>
      <w:szCs w:val="20"/>
      <w:lang w:val="en-GB"/>
    </w:rPr>
  </w:style>
  <w:style w:type="character" w:styleId="CommentReference">
    <w:name w:val="annotation reference"/>
    <w:basedOn w:val="DefaultParagraphFont"/>
    <w:unhideWhenUsed/>
    <w:rsid w:val="009F55B9"/>
    <w:rPr>
      <w:sz w:val="16"/>
      <w:szCs w:val="16"/>
    </w:rPr>
  </w:style>
  <w:style w:type="paragraph" w:styleId="CommentText">
    <w:name w:val="annotation text"/>
    <w:basedOn w:val="Normal"/>
    <w:link w:val="CommentTextChar"/>
    <w:unhideWhenUsed/>
    <w:rsid w:val="009F55B9"/>
    <w:pPr>
      <w:spacing w:line="240" w:lineRule="auto"/>
    </w:pPr>
    <w:rPr>
      <w:sz w:val="20"/>
      <w:szCs w:val="20"/>
    </w:rPr>
  </w:style>
  <w:style w:type="character" w:customStyle="1" w:styleId="CommentTextChar">
    <w:name w:val="Comment Text Char"/>
    <w:basedOn w:val="DefaultParagraphFont"/>
    <w:link w:val="CommentText"/>
    <w:rsid w:val="009F55B9"/>
    <w:rPr>
      <w:sz w:val="20"/>
      <w:szCs w:val="20"/>
    </w:rPr>
  </w:style>
  <w:style w:type="paragraph" w:styleId="CommentSubject">
    <w:name w:val="annotation subject"/>
    <w:basedOn w:val="CommentText"/>
    <w:next w:val="CommentText"/>
    <w:link w:val="CommentSubjectChar"/>
    <w:semiHidden/>
    <w:unhideWhenUsed/>
    <w:rsid w:val="009F55B9"/>
    <w:rPr>
      <w:b/>
      <w:bCs/>
    </w:rPr>
  </w:style>
  <w:style w:type="character" w:customStyle="1" w:styleId="CommentSubjectChar">
    <w:name w:val="Comment Subject Char"/>
    <w:basedOn w:val="CommentTextChar"/>
    <w:link w:val="CommentSubject"/>
    <w:semiHidden/>
    <w:rsid w:val="009F55B9"/>
    <w:rPr>
      <w:b/>
      <w:bCs/>
      <w:sz w:val="20"/>
      <w:szCs w:val="20"/>
    </w:rPr>
  </w:style>
  <w:style w:type="character" w:customStyle="1" w:styleId="Heading1Char">
    <w:name w:val="Heading 1 Char"/>
    <w:basedOn w:val="DefaultParagraphFont"/>
    <w:link w:val="Heading1"/>
    <w:rsid w:val="005200EB"/>
    <w:rPr>
      <w:rFonts w:ascii="Arial" w:eastAsia="Times New Roman" w:hAnsi="Arial" w:cs="Arial"/>
      <w:b/>
      <w:bCs/>
      <w:color w:val="001F00"/>
      <w:spacing w:val="6"/>
      <w:kern w:val="32"/>
      <w:sz w:val="20"/>
      <w:szCs w:val="20"/>
      <w:lang w:val="en-GB" w:eastAsia="en-GB"/>
    </w:rPr>
  </w:style>
  <w:style w:type="character" w:customStyle="1" w:styleId="Heading2Char">
    <w:name w:val="Heading 2 Char"/>
    <w:basedOn w:val="DefaultParagraphFont"/>
    <w:link w:val="Heading2"/>
    <w:rsid w:val="005200EB"/>
    <w:rPr>
      <w:rFonts w:ascii="Arial" w:eastAsia="Times New Roman" w:hAnsi="Arial" w:cs="Arial"/>
      <w:b/>
      <w:bCs/>
      <w:iCs/>
      <w:color w:val="001F00"/>
      <w:spacing w:val="6"/>
      <w:sz w:val="18"/>
      <w:szCs w:val="18"/>
      <w:lang w:val="en-GB" w:eastAsia="en-GB"/>
    </w:rPr>
  </w:style>
  <w:style w:type="character" w:customStyle="1" w:styleId="Heading3Char">
    <w:name w:val="Heading 3 Char"/>
    <w:basedOn w:val="DefaultParagraphFont"/>
    <w:link w:val="Heading3"/>
    <w:rsid w:val="005200EB"/>
    <w:rPr>
      <w:rFonts w:ascii="Arial" w:eastAsia="Times New Roman" w:hAnsi="Arial" w:cs="Arial"/>
      <w:b/>
      <w:bCs/>
      <w:color w:val="001F00"/>
      <w:spacing w:val="6"/>
      <w:sz w:val="26"/>
      <w:szCs w:val="26"/>
      <w:lang w:val="en-GB" w:eastAsia="en-GB"/>
    </w:rPr>
  </w:style>
  <w:style w:type="paragraph" w:customStyle="1" w:styleId="NormalUpper">
    <w:name w:val="Normal Upper"/>
    <w:basedOn w:val="Normal"/>
    <w:rsid w:val="005200EB"/>
    <w:pPr>
      <w:spacing w:after="0" w:line="240" w:lineRule="auto"/>
    </w:pPr>
    <w:rPr>
      <w:rFonts w:ascii="Arial" w:eastAsia="Times New Roman" w:hAnsi="Arial" w:cs="Times New Roman"/>
      <w:caps/>
      <w:color w:val="001F00"/>
      <w:spacing w:val="6"/>
      <w:sz w:val="18"/>
      <w:szCs w:val="18"/>
      <w:lang w:val="en-GB" w:eastAsia="en-GB"/>
    </w:rPr>
  </w:style>
  <w:style w:type="paragraph" w:customStyle="1" w:styleId="Normalbold">
    <w:name w:val="Normal bold"/>
    <w:basedOn w:val="Normal"/>
    <w:rsid w:val="005200EB"/>
    <w:pPr>
      <w:spacing w:after="0" w:line="240" w:lineRule="auto"/>
    </w:pPr>
    <w:rPr>
      <w:rFonts w:ascii="Arial" w:eastAsia="Times New Roman" w:hAnsi="Arial" w:cs="Times New Roman"/>
      <w:b/>
      <w:color w:val="001F00"/>
      <w:spacing w:val="6"/>
      <w:sz w:val="18"/>
      <w:szCs w:val="18"/>
      <w:lang w:val="en-GB" w:eastAsia="en-GB"/>
    </w:rPr>
  </w:style>
  <w:style w:type="paragraph" w:customStyle="1" w:styleId="NormalUpperbold">
    <w:name w:val="Normal Upper bold"/>
    <w:basedOn w:val="Normal"/>
    <w:rsid w:val="005200EB"/>
    <w:pPr>
      <w:spacing w:after="0" w:line="240" w:lineRule="auto"/>
    </w:pPr>
    <w:rPr>
      <w:rFonts w:ascii="Arial" w:eastAsia="Times New Roman" w:hAnsi="Arial" w:cs="Times New Roman"/>
      <w:b/>
      <w:caps/>
      <w:color w:val="001F00"/>
      <w:spacing w:val="6"/>
      <w:sz w:val="18"/>
      <w:szCs w:val="18"/>
      <w:lang w:val="en-GB" w:eastAsia="en-GB"/>
    </w:rPr>
  </w:style>
  <w:style w:type="paragraph" w:customStyle="1" w:styleId="Footerbold">
    <w:name w:val="Footer bold"/>
    <w:basedOn w:val="Footer"/>
    <w:link w:val="FooterboldChar"/>
    <w:rsid w:val="005200EB"/>
    <w:pPr>
      <w:tabs>
        <w:tab w:val="clear" w:pos="4513"/>
        <w:tab w:val="clear" w:pos="9026"/>
      </w:tabs>
    </w:pPr>
    <w:rPr>
      <w:rFonts w:ascii="Arial" w:hAnsi="Arial"/>
      <w:b/>
      <w:sz w:val="14"/>
      <w:szCs w:val="14"/>
      <w:lang w:val="en-GB"/>
    </w:rPr>
  </w:style>
  <w:style w:type="character" w:customStyle="1" w:styleId="FooterboldChar">
    <w:name w:val="Footer bold Char"/>
    <w:link w:val="Footerbold"/>
    <w:rsid w:val="005200EB"/>
    <w:rPr>
      <w:rFonts w:ascii="Arial" w:eastAsia="Times New Roman" w:hAnsi="Arial" w:cs="Times New Roman"/>
      <w:b/>
      <w:sz w:val="14"/>
      <w:szCs w:val="14"/>
      <w:lang w:val="en-GB" w:eastAsia="en-GB"/>
    </w:rPr>
  </w:style>
  <w:style w:type="character" w:styleId="PageNumber">
    <w:name w:val="page number"/>
    <w:basedOn w:val="DefaultParagraphFont"/>
    <w:rsid w:val="005200EB"/>
  </w:style>
  <w:style w:type="table" w:styleId="TableGrid">
    <w:name w:val="Table Grid"/>
    <w:basedOn w:val="TableNormal"/>
    <w:uiPriority w:val="39"/>
    <w:rsid w:val="005200E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5200EB"/>
    <w:pPr>
      <w:spacing w:after="0" w:line="240" w:lineRule="auto"/>
      <w:jc w:val="right"/>
    </w:pPr>
    <w:rPr>
      <w:rFonts w:ascii="Arial" w:eastAsia="Times New Roman" w:hAnsi="Arial" w:cs="Times New Roman"/>
      <w:color w:val="001F00"/>
      <w:spacing w:val="6"/>
      <w:sz w:val="18"/>
      <w:szCs w:val="18"/>
      <w:lang w:val="en-GB" w:eastAsia="en-GB"/>
    </w:rPr>
  </w:style>
  <w:style w:type="paragraph" w:customStyle="1" w:styleId="NormalCenter">
    <w:name w:val="Normal Center"/>
    <w:basedOn w:val="Normal"/>
    <w:rsid w:val="005200EB"/>
    <w:pPr>
      <w:spacing w:after="0" w:line="240" w:lineRule="auto"/>
      <w:jc w:val="center"/>
    </w:pPr>
    <w:rPr>
      <w:rFonts w:ascii="Arial" w:eastAsia="Times New Roman" w:hAnsi="Arial" w:cs="Times New Roman"/>
      <w:color w:val="001F00"/>
      <w:spacing w:val="6"/>
      <w:sz w:val="18"/>
      <w:szCs w:val="18"/>
      <w:lang w:val="en-GB" w:eastAsia="en-GB"/>
    </w:rPr>
  </w:style>
  <w:style w:type="paragraph" w:customStyle="1" w:styleId="NormalBoldCenter">
    <w:name w:val="Normal Bold Center"/>
    <w:basedOn w:val="NormalCenter"/>
    <w:rsid w:val="005200EB"/>
    <w:rPr>
      <w:b/>
    </w:rPr>
  </w:style>
  <w:style w:type="paragraph" w:customStyle="1" w:styleId="Spacer">
    <w:name w:val="Spacer"/>
    <w:basedOn w:val="Normal"/>
    <w:rsid w:val="005200EB"/>
    <w:pPr>
      <w:spacing w:after="0" w:line="240" w:lineRule="auto"/>
    </w:pPr>
    <w:rPr>
      <w:rFonts w:ascii="Arial" w:eastAsia="Times New Roman" w:hAnsi="Arial" w:cs="Times New Roman"/>
      <w:color w:val="001F00"/>
      <w:spacing w:val="6"/>
      <w:sz w:val="2"/>
      <w:szCs w:val="18"/>
      <w:lang w:val="en-GB" w:eastAsia="en-GB"/>
    </w:rPr>
  </w:style>
  <w:style w:type="paragraph" w:styleId="DocumentMap">
    <w:name w:val="Document Map"/>
    <w:basedOn w:val="Normal"/>
    <w:link w:val="DocumentMapChar"/>
    <w:semiHidden/>
    <w:rsid w:val="005200EB"/>
    <w:pPr>
      <w:shd w:val="clear" w:color="auto" w:fill="000080"/>
      <w:spacing w:after="0" w:line="240" w:lineRule="auto"/>
    </w:pPr>
    <w:rPr>
      <w:rFonts w:ascii="Tahoma" w:eastAsia="Times New Roman" w:hAnsi="Tahoma" w:cs="Tahoma"/>
      <w:color w:val="001F00"/>
      <w:spacing w:val="6"/>
      <w:sz w:val="20"/>
      <w:szCs w:val="20"/>
      <w:lang w:val="en-GB" w:eastAsia="en-GB"/>
    </w:rPr>
  </w:style>
  <w:style w:type="character" w:customStyle="1" w:styleId="DocumentMapChar">
    <w:name w:val="Document Map Char"/>
    <w:basedOn w:val="DefaultParagraphFont"/>
    <w:link w:val="DocumentMap"/>
    <w:semiHidden/>
    <w:rsid w:val="005200EB"/>
    <w:rPr>
      <w:rFonts w:ascii="Tahoma" w:eastAsia="Times New Roman" w:hAnsi="Tahoma" w:cs="Tahoma"/>
      <w:color w:val="001F00"/>
      <w:spacing w:val="6"/>
      <w:sz w:val="20"/>
      <w:szCs w:val="20"/>
      <w:shd w:val="clear" w:color="auto" w:fill="000080"/>
      <w:lang w:val="en-GB" w:eastAsia="en-GB"/>
    </w:rPr>
  </w:style>
  <w:style w:type="character" w:styleId="Hyperlink">
    <w:name w:val="Hyperlink"/>
    <w:rsid w:val="005200EB"/>
    <w:rPr>
      <w:color w:val="0000FF"/>
      <w:u w:val="single"/>
    </w:rPr>
  </w:style>
  <w:style w:type="paragraph" w:styleId="PlainText">
    <w:name w:val="Plain Text"/>
    <w:basedOn w:val="Normal"/>
    <w:link w:val="PlainTextChar"/>
    <w:rsid w:val="005200EB"/>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5200EB"/>
    <w:rPr>
      <w:rFonts w:ascii="Courier New" w:eastAsia="Times New Roman" w:hAnsi="Courier New" w:cs="Courier New"/>
      <w:sz w:val="20"/>
      <w:szCs w:val="20"/>
      <w:lang w:val="en-GB"/>
    </w:rPr>
  </w:style>
  <w:style w:type="paragraph" w:customStyle="1" w:styleId="Char">
    <w:name w:val="Char"/>
    <w:basedOn w:val="Normal"/>
    <w:rsid w:val="005200EB"/>
    <w:pPr>
      <w:spacing w:line="240" w:lineRule="exact"/>
    </w:pPr>
    <w:rPr>
      <w:rFonts w:ascii="Arial" w:eastAsia="Times New Roman" w:hAnsi="Arial" w:cs="Times New Roman"/>
      <w:bCs/>
      <w:szCs w:val="24"/>
      <w:lang w:val="en-US"/>
    </w:rPr>
  </w:style>
  <w:style w:type="paragraph" w:styleId="NoSpacing">
    <w:name w:val="No Spacing"/>
    <w:qFormat/>
    <w:rsid w:val="005200EB"/>
    <w:pPr>
      <w:spacing w:after="0" w:line="240" w:lineRule="auto"/>
    </w:pPr>
    <w:rPr>
      <w:rFonts w:ascii="Calibri" w:eastAsia="Times New Roman" w:hAnsi="Calibri" w:cs="Times New Roman"/>
    </w:rPr>
  </w:style>
  <w:style w:type="paragraph" w:customStyle="1" w:styleId="char0">
    <w:name w:val="char"/>
    <w:basedOn w:val="Normal"/>
    <w:rsid w:val="005200EB"/>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FootnoteText">
    <w:name w:val="footnote text"/>
    <w:aliases w:val="Footnote Text Char1,Footnote Text Char Char"/>
    <w:basedOn w:val="Normal"/>
    <w:link w:val="FootnoteTextChar"/>
    <w:uiPriority w:val="99"/>
    <w:rsid w:val="005200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
    <w:basedOn w:val="DefaultParagraphFont"/>
    <w:link w:val="FootnoteText"/>
    <w:uiPriority w:val="99"/>
    <w:rsid w:val="005200EB"/>
    <w:rPr>
      <w:rFonts w:ascii="Times New Roman" w:eastAsia="Times New Roman" w:hAnsi="Times New Roman" w:cs="Times New Roman"/>
      <w:sz w:val="20"/>
      <w:szCs w:val="20"/>
      <w:lang w:val="en-US"/>
    </w:rPr>
  </w:style>
  <w:style w:type="character" w:styleId="FootnoteReference">
    <w:name w:val="footnote reference"/>
    <w:uiPriority w:val="99"/>
    <w:rsid w:val="005200EB"/>
    <w:rPr>
      <w:vertAlign w:val="superscript"/>
    </w:rPr>
  </w:style>
  <w:style w:type="character" w:styleId="Emphasis">
    <w:name w:val="Emphasis"/>
    <w:basedOn w:val="DefaultParagraphFont"/>
    <w:uiPriority w:val="20"/>
    <w:qFormat/>
    <w:rsid w:val="004F52FD"/>
    <w:rPr>
      <w:b/>
      <w:bCs/>
      <w:i w:val="0"/>
      <w:iCs w:val="0"/>
    </w:rPr>
  </w:style>
  <w:style w:type="character" w:customStyle="1" w:styleId="st1">
    <w:name w:val="st1"/>
    <w:basedOn w:val="DefaultParagraphFont"/>
    <w:rsid w:val="004F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390">
      <w:bodyDiv w:val="1"/>
      <w:marLeft w:val="0"/>
      <w:marRight w:val="0"/>
      <w:marTop w:val="0"/>
      <w:marBottom w:val="0"/>
      <w:divBdr>
        <w:top w:val="none" w:sz="0" w:space="0" w:color="auto"/>
        <w:left w:val="none" w:sz="0" w:space="0" w:color="auto"/>
        <w:bottom w:val="none" w:sz="0" w:space="0" w:color="auto"/>
        <w:right w:val="none" w:sz="0" w:space="0" w:color="auto"/>
      </w:divBdr>
    </w:div>
    <w:div w:id="49496173">
      <w:bodyDiv w:val="1"/>
      <w:marLeft w:val="0"/>
      <w:marRight w:val="0"/>
      <w:marTop w:val="0"/>
      <w:marBottom w:val="0"/>
      <w:divBdr>
        <w:top w:val="none" w:sz="0" w:space="0" w:color="auto"/>
        <w:left w:val="none" w:sz="0" w:space="0" w:color="auto"/>
        <w:bottom w:val="none" w:sz="0" w:space="0" w:color="auto"/>
        <w:right w:val="none" w:sz="0" w:space="0" w:color="auto"/>
      </w:divBdr>
    </w:div>
    <w:div w:id="75905088">
      <w:bodyDiv w:val="1"/>
      <w:marLeft w:val="0"/>
      <w:marRight w:val="0"/>
      <w:marTop w:val="0"/>
      <w:marBottom w:val="0"/>
      <w:divBdr>
        <w:top w:val="none" w:sz="0" w:space="0" w:color="auto"/>
        <w:left w:val="none" w:sz="0" w:space="0" w:color="auto"/>
        <w:bottom w:val="none" w:sz="0" w:space="0" w:color="auto"/>
        <w:right w:val="none" w:sz="0" w:space="0" w:color="auto"/>
      </w:divBdr>
    </w:div>
    <w:div w:id="118575463">
      <w:bodyDiv w:val="1"/>
      <w:marLeft w:val="0"/>
      <w:marRight w:val="0"/>
      <w:marTop w:val="0"/>
      <w:marBottom w:val="0"/>
      <w:divBdr>
        <w:top w:val="none" w:sz="0" w:space="0" w:color="auto"/>
        <w:left w:val="none" w:sz="0" w:space="0" w:color="auto"/>
        <w:bottom w:val="none" w:sz="0" w:space="0" w:color="auto"/>
        <w:right w:val="none" w:sz="0" w:space="0" w:color="auto"/>
      </w:divBdr>
      <w:divsChild>
        <w:div w:id="1625624123">
          <w:marLeft w:val="0"/>
          <w:marRight w:val="0"/>
          <w:marTop w:val="0"/>
          <w:marBottom w:val="0"/>
          <w:divBdr>
            <w:top w:val="none" w:sz="0" w:space="0" w:color="auto"/>
            <w:left w:val="none" w:sz="0" w:space="0" w:color="auto"/>
            <w:bottom w:val="none" w:sz="0" w:space="0" w:color="auto"/>
            <w:right w:val="none" w:sz="0" w:space="0" w:color="auto"/>
          </w:divBdr>
          <w:divsChild>
            <w:div w:id="1440175669">
              <w:marLeft w:val="0"/>
              <w:marRight w:val="0"/>
              <w:marTop w:val="0"/>
              <w:marBottom w:val="0"/>
              <w:divBdr>
                <w:top w:val="none" w:sz="0" w:space="0" w:color="auto"/>
                <w:left w:val="none" w:sz="0" w:space="0" w:color="auto"/>
                <w:bottom w:val="none" w:sz="0" w:space="0" w:color="auto"/>
                <w:right w:val="none" w:sz="0" w:space="0" w:color="auto"/>
              </w:divBdr>
              <w:divsChild>
                <w:div w:id="1632324562">
                  <w:marLeft w:val="0"/>
                  <w:marRight w:val="0"/>
                  <w:marTop w:val="0"/>
                  <w:marBottom w:val="0"/>
                  <w:divBdr>
                    <w:top w:val="none" w:sz="0" w:space="0" w:color="auto"/>
                    <w:left w:val="none" w:sz="0" w:space="0" w:color="auto"/>
                    <w:bottom w:val="none" w:sz="0" w:space="0" w:color="auto"/>
                    <w:right w:val="none" w:sz="0" w:space="0" w:color="auto"/>
                  </w:divBdr>
                  <w:divsChild>
                    <w:div w:id="923688392">
                      <w:marLeft w:val="0"/>
                      <w:marRight w:val="0"/>
                      <w:marTop w:val="0"/>
                      <w:marBottom w:val="0"/>
                      <w:divBdr>
                        <w:top w:val="none" w:sz="0" w:space="0" w:color="auto"/>
                        <w:left w:val="none" w:sz="0" w:space="0" w:color="auto"/>
                        <w:bottom w:val="none" w:sz="0" w:space="0" w:color="auto"/>
                        <w:right w:val="none" w:sz="0" w:space="0" w:color="auto"/>
                      </w:divBdr>
                      <w:divsChild>
                        <w:div w:id="1115834741">
                          <w:marLeft w:val="0"/>
                          <w:marRight w:val="0"/>
                          <w:marTop w:val="0"/>
                          <w:marBottom w:val="0"/>
                          <w:divBdr>
                            <w:top w:val="none" w:sz="0" w:space="0" w:color="auto"/>
                            <w:left w:val="none" w:sz="0" w:space="0" w:color="auto"/>
                            <w:bottom w:val="none" w:sz="0" w:space="0" w:color="auto"/>
                            <w:right w:val="none" w:sz="0" w:space="0" w:color="auto"/>
                          </w:divBdr>
                          <w:divsChild>
                            <w:div w:id="756440396">
                              <w:marLeft w:val="2070"/>
                              <w:marRight w:val="3960"/>
                              <w:marTop w:val="0"/>
                              <w:marBottom w:val="0"/>
                              <w:divBdr>
                                <w:top w:val="none" w:sz="0" w:space="0" w:color="auto"/>
                                <w:left w:val="none" w:sz="0" w:space="0" w:color="auto"/>
                                <w:bottom w:val="none" w:sz="0" w:space="0" w:color="auto"/>
                                <w:right w:val="none" w:sz="0" w:space="0" w:color="auto"/>
                              </w:divBdr>
                              <w:divsChild>
                                <w:div w:id="1634866092">
                                  <w:marLeft w:val="0"/>
                                  <w:marRight w:val="0"/>
                                  <w:marTop w:val="0"/>
                                  <w:marBottom w:val="0"/>
                                  <w:divBdr>
                                    <w:top w:val="none" w:sz="0" w:space="0" w:color="auto"/>
                                    <w:left w:val="none" w:sz="0" w:space="0" w:color="auto"/>
                                    <w:bottom w:val="none" w:sz="0" w:space="0" w:color="auto"/>
                                    <w:right w:val="none" w:sz="0" w:space="0" w:color="auto"/>
                                  </w:divBdr>
                                  <w:divsChild>
                                    <w:div w:id="864752784">
                                      <w:marLeft w:val="0"/>
                                      <w:marRight w:val="0"/>
                                      <w:marTop w:val="0"/>
                                      <w:marBottom w:val="0"/>
                                      <w:divBdr>
                                        <w:top w:val="none" w:sz="0" w:space="0" w:color="auto"/>
                                        <w:left w:val="none" w:sz="0" w:space="0" w:color="auto"/>
                                        <w:bottom w:val="none" w:sz="0" w:space="0" w:color="auto"/>
                                        <w:right w:val="none" w:sz="0" w:space="0" w:color="auto"/>
                                      </w:divBdr>
                                      <w:divsChild>
                                        <w:div w:id="1991445429">
                                          <w:marLeft w:val="0"/>
                                          <w:marRight w:val="0"/>
                                          <w:marTop w:val="0"/>
                                          <w:marBottom w:val="0"/>
                                          <w:divBdr>
                                            <w:top w:val="none" w:sz="0" w:space="0" w:color="auto"/>
                                            <w:left w:val="none" w:sz="0" w:space="0" w:color="auto"/>
                                            <w:bottom w:val="none" w:sz="0" w:space="0" w:color="auto"/>
                                            <w:right w:val="none" w:sz="0" w:space="0" w:color="auto"/>
                                          </w:divBdr>
                                          <w:divsChild>
                                            <w:div w:id="1822043229">
                                              <w:marLeft w:val="0"/>
                                              <w:marRight w:val="0"/>
                                              <w:marTop w:val="90"/>
                                              <w:marBottom w:val="0"/>
                                              <w:divBdr>
                                                <w:top w:val="none" w:sz="0" w:space="0" w:color="auto"/>
                                                <w:left w:val="none" w:sz="0" w:space="0" w:color="auto"/>
                                                <w:bottom w:val="none" w:sz="0" w:space="0" w:color="auto"/>
                                                <w:right w:val="none" w:sz="0" w:space="0" w:color="auto"/>
                                              </w:divBdr>
                                              <w:divsChild>
                                                <w:div w:id="2000886372">
                                                  <w:marLeft w:val="0"/>
                                                  <w:marRight w:val="0"/>
                                                  <w:marTop w:val="0"/>
                                                  <w:marBottom w:val="0"/>
                                                  <w:divBdr>
                                                    <w:top w:val="none" w:sz="0" w:space="0" w:color="auto"/>
                                                    <w:left w:val="none" w:sz="0" w:space="0" w:color="auto"/>
                                                    <w:bottom w:val="none" w:sz="0" w:space="0" w:color="auto"/>
                                                    <w:right w:val="none" w:sz="0" w:space="0" w:color="auto"/>
                                                  </w:divBdr>
                                                  <w:divsChild>
                                                    <w:div w:id="328600370">
                                                      <w:marLeft w:val="0"/>
                                                      <w:marRight w:val="0"/>
                                                      <w:marTop w:val="0"/>
                                                      <w:marBottom w:val="0"/>
                                                      <w:divBdr>
                                                        <w:top w:val="none" w:sz="0" w:space="0" w:color="auto"/>
                                                        <w:left w:val="none" w:sz="0" w:space="0" w:color="auto"/>
                                                        <w:bottom w:val="none" w:sz="0" w:space="0" w:color="auto"/>
                                                        <w:right w:val="none" w:sz="0" w:space="0" w:color="auto"/>
                                                      </w:divBdr>
                                                      <w:divsChild>
                                                        <w:div w:id="729042082">
                                                          <w:marLeft w:val="0"/>
                                                          <w:marRight w:val="0"/>
                                                          <w:marTop w:val="0"/>
                                                          <w:marBottom w:val="390"/>
                                                          <w:divBdr>
                                                            <w:top w:val="none" w:sz="0" w:space="0" w:color="auto"/>
                                                            <w:left w:val="none" w:sz="0" w:space="0" w:color="auto"/>
                                                            <w:bottom w:val="none" w:sz="0" w:space="0" w:color="auto"/>
                                                            <w:right w:val="none" w:sz="0" w:space="0" w:color="auto"/>
                                                          </w:divBdr>
                                                          <w:divsChild>
                                                            <w:div w:id="10760597">
                                                              <w:marLeft w:val="0"/>
                                                              <w:marRight w:val="0"/>
                                                              <w:marTop w:val="0"/>
                                                              <w:marBottom w:val="0"/>
                                                              <w:divBdr>
                                                                <w:top w:val="none" w:sz="0" w:space="0" w:color="auto"/>
                                                                <w:left w:val="none" w:sz="0" w:space="0" w:color="auto"/>
                                                                <w:bottom w:val="none" w:sz="0" w:space="0" w:color="auto"/>
                                                                <w:right w:val="none" w:sz="0" w:space="0" w:color="auto"/>
                                                              </w:divBdr>
                                                              <w:divsChild>
                                                                <w:div w:id="624041052">
                                                                  <w:marLeft w:val="0"/>
                                                                  <w:marRight w:val="0"/>
                                                                  <w:marTop w:val="0"/>
                                                                  <w:marBottom w:val="0"/>
                                                                  <w:divBdr>
                                                                    <w:top w:val="none" w:sz="0" w:space="0" w:color="auto"/>
                                                                    <w:left w:val="none" w:sz="0" w:space="0" w:color="auto"/>
                                                                    <w:bottom w:val="none" w:sz="0" w:space="0" w:color="auto"/>
                                                                    <w:right w:val="none" w:sz="0" w:space="0" w:color="auto"/>
                                                                  </w:divBdr>
                                                                  <w:divsChild>
                                                                    <w:div w:id="1700737806">
                                                                      <w:marLeft w:val="0"/>
                                                                      <w:marRight w:val="0"/>
                                                                      <w:marTop w:val="0"/>
                                                                      <w:marBottom w:val="0"/>
                                                                      <w:divBdr>
                                                                        <w:top w:val="none" w:sz="0" w:space="0" w:color="auto"/>
                                                                        <w:left w:val="none" w:sz="0" w:space="0" w:color="auto"/>
                                                                        <w:bottom w:val="none" w:sz="0" w:space="0" w:color="auto"/>
                                                                        <w:right w:val="none" w:sz="0" w:space="0" w:color="auto"/>
                                                                      </w:divBdr>
                                                                      <w:divsChild>
                                                                        <w:div w:id="762723598">
                                                                          <w:marLeft w:val="0"/>
                                                                          <w:marRight w:val="0"/>
                                                                          <w:marTop w:val="0"/>
                                                                          <w:marBottom w:val="0"/>
                                                                          <w:divBdr>
                                                                            <w:top w:val="none" w:sz="0" w:space="0" w:color="auto"/>
                                                                            <w:left w:val="none" w:sz="0" w:space="0" w:color="auto"/>
                                                                            <w:bottom w:val="none" w:sz="0" w:space="0" w:color="auto"/>
                                                                            <w:right w:val="none" w:sz="0" w:space="0" w:color="auto"/>
                                                                          </w:divBdr>
                                                                          <w:divsChild>
                                                                            <w:div w:id="420300012">
                                                                              <w:marLeft w:val="0"/>
                                                                              <w:marRight w:val="0"/>
                                                                              <w:marTop w:val="0"/>
                                                                              <w:marBottom w:val="0"/>
                                                                              <w:divBdr>
                                                                                <w:top w:val="none" w:sz="0" w:space="0" w:color="auto"/>
                                                                                <w:left w:val="none" w:sz="0" w:space="0" w:color="auto"/>
                                                                                <w:bottom w:val="none" w:sz="0" w:space="0" w:color="auto"/>
                                                                                <w:right w:val="none" w:sz="0" w:space="0" w:color="auto"/>
                                                                              </w:divBdr>
                                                                              <w:divsChild>
                                                                                <w:div w:id="1588534134">
                                                                                  <w:marLeft w:val="0"/>
                                                                                  <w:marRight w:val="0"/>
                                                                                  <w:marTop w:val="0"/>
                                                                                  <w:marBottom w:val="0"/>
                                                                                  <w:divBdr>
                                                                                    <w:top w:val="none" w:sz="0" w:space="0" w:color="auto"/>
                                                                                    <w:left w:val="none" w:sz="0" w:space="0" w:color="auto"/>
                                                                                    <w:bottom w:val="none" w:sz="0" w:space="0" w:color="auto"/>
                                                                                    <w:right w:val="none" w:sz="0" w:space="0" w:color="auto"/>
                                                                                  </w:divBdr>
                                                                                  <w:divsChild>
                                                                                    <w:div w:id="1191458665">
                                                                                      <w:marLeft w:val="0"/>
                                                                                      <w:marRight w:val="0"/>
                                                                                      <w:marTop w:val="0"/>
                                                                                      <w:marBottom w:val="0"/>
                                                                                      <w:divBdr>
                                                                                        <w:top w:val="none" w:sz="0" w:space="0" w:color="auto"/>
                                                                                        <w:left w:val="none" w:sz="0" w:space="0" w:color="auto"/>
                                                                                        <w:bottom w:val="none" w:sz="0" w:space="0" w:color="auto"/>
                                                                                        <w:right w:val="none" w:sz="0" w:space="0" w:color="auto"/>
                                                                                      </w:divBdr>
                                                                                      <w:divsChild>
                                                                                        <w:div w:id="1220282027">
                                                                                          <w:marLeft w:val="0"/>
                                                                                          <w:marRight w:val="0"/>
                                                                                          <w:marTop w:val="0"/>
                                                                                          <w:marBottom w:val="0"/>
                                                                                          <w:divBdr>
                                                                                            <w:top w:val="none" w:sz="0" w:space="0" w:color="auto"/>
                                                                                            <w:left w:val="none" w:sz="0" w:space="0" w:color="auto"/>
                                                                                            <w:bottom w:val="none" w:sz="0" w:space="0" w:color="auto"/>
                                                                                            <w:right w:val="none" w:sz="0" w:space="0" w:color="auto"/>
                                                                                          </w:divBdr>
                                                                                          <w:divsChild>
                                                                                            <w:div w:id="216010314">
                                                                                              <w:marLeft w:val="0"/>
                                                                                              <w:marRight w:val="0"/>
                                                                                              <w:marTop w:val="0"/>
                                                                                              <w:marBottom w:val="0"/>
                                                                                              <w:divBdr>
                                                                                                <w:top w:val="none" w:sz="0" w:space="0" w:color="auto"/>
                                                                                                <w:left w:val="none" w:sz="0" w:space="0" w:color="auto"/>
                                                                                                <w:bottom w:val="none" w:sz="0" w:space="0" w:color="auto"/>
                                                                                                <w:right w:val="none" w:sz="0" w:space="0" w:color="auto"/>
                                                                                              </w:divBdr>
                                                                                              <w:divsChild>
                                                                                                <w:div w:id="671179680">
                                                                                                  <w:marLeft w:val="0"/>
                                                                                                  <w:marRight w:val="0"/>
                                                                                                  <w:marTop w:val="0"/>
                                                                                                  <w:marBottom w:val="0"/>
                                                                                                  <w:divBdr>
                                                                                                    <w:top w:val="none" w:sz="0" w:space="0" w:color="auto"/>
                                                                                                    <w:left w:val="none" w:sz="0" w:space="0" w:color="auto"/>
                                                                                                    <w:bottom w:val="none" w:sz="0" w:space="0" w:color="auto"/>
                                                                                                    <w:right w:val="none" w:sz="0" w:space="0" w:color="auto"/>
                                                                                                  </w:divBdr>
                                                                                                  <w:divsChild>
                                                                                                    <w:div w:id="5332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92976">
      <w:bodyDiv w:val="1"/>
      <w:marLeft w:val="0"/>
      <w:marRight w:val="0"/>
      <w:marTop w:val="0"/>
      <w:marBottom w:val="0"/>
      <w:divBdr>
        <w:top w:val="none" w:sz="0" w:space="0" w:color="auto"/>
        <w:left w:val="none" w:sz="0" w:space="0" w:color="auto"/>
        <w:bottom w:val="none" w:sz="0" w:space="0" w:color="auto"/>
        <w:right w:val="none" w:sz="0" w:space="0" w:color="auto"/>
      </w:divBdr>
    </w:div>
    <w:div w:id="226115680">
      <w:bodyDiv w:val="1"/>
      <w:marLeft w:val="0"/>
      <w:marRight w:val="0"/>
      <w:marTop w:val="0"/>
      <w:marBottom w:val="0"/>
      <w:divBdr>
        <w:top w:val="none" w:sz="0" w:space="0" w:color="auto"/>
        <w:left w:val="none" w:sz="0" w:space="0" w:color="auto"/>
        <w:bottom w:val="none" w:sz="0" w:space="0" w:color="auto"/>
        <w:right w:val="none" w:sz="0" w:space="0" w:color="auto"/>
      </w:divBdr>
      <w:divsChild>
        <w:div w:id="697313387">
          <w:marLeft w:val="274"/>
          <w:marRight w:val="0"/>
          <w:marTop w:val="0"/>
          <w:marBottom w:val="0"/>
          <w:divBdr>
            <w:top w:val="none" w:sz="0" w:space="0" w:color="auto"/>
            <w:left w:val="none" w:sz="0" w:space="0" w:color="auto"/>
            <w:bottom w:val="none" w:sz="0" w:space="0" w:color="auto"/>
            <w:right w:val="none" w:sz="0" w:space="0" w:color="auto"/>
          </w:divBdr>
        </w:div>
        <w:div w:id="652489036">
          <w:marLeft w:val="274"/>
          <w:marRight w:val="0"/>
          <w:marTop w:val="0"/>
          <w:marBottom w:val="0"/>
          <w:divBdr>
            <w:top w:val="none" w:sz="0" w:space="0" w:color="auto"/>
            <w:left w:val="none" w:sz="0" w:space="0" w:color="auto"/>
            <w:bottom w:val="none" w:sz="0" w:space="0" w:color="auto"/>
            <w:right w:val="none" w:sz="0" w:space="0" w:color="auto"/>
          </w:divBdr>
        </w:div>
        <w:div w:id="503714486">
          <w:marLeft w:val="274"/>
          <w:marRight w:val="0"/>
          <w:marTop w:val="0"/>
          <w:marBottom w:val="0"/>
          <w:divBdr>
            <w:top w:val="none" w:sz="0" w:space="0" w:color="auto"/>
            <w:left w:val="none" w:sz="0" w:space="0" w:color="auto"/>
            <w:bottom w:val="none" w:sz="0" w:space="0" w:color="auto"/>
            <w:right w:val="none" w:sz="0" w:space="0" w:color="auto"/>
          </w:divBdr>
        </w:div>
        <w:div w:id="573858540">
          <w:marLeft w:val="274"/>
          <w:marRight w:val="0"/>
          <w:marTop w:val="0"/>
          <w:marBottom w:val="0"/>
          <w:divBdr>
            <w:top w:val="none" w:sz="0" w:space="0" w:color="auto"/>
            <w:left w:val="none" w:sz="0" w:space="0" w:color="auto"/>
            <w:bottom w:val="none" w:sz="0" w:space="0" w:color="auto"/>
            <w:right w:val="none" w:sz="0" w:space="0" w:color="auto"/>
          </w:divBdr>
        </w:div>
      </w:divsChild>
    </w:div>
    <w:div w:id="262805488">
      <w:bodyDiv w:val="1"/>
      <w:marLeft w:val="0"/>
      <w:marRight w:val="0"/>
      <w:marTop w:val="0"/>
      <w:marBottom w:val="0"/>
      <w:divBdr>
        <w:top w:val="none" w:sz="0" w:space="0" w:color="auto"/>
        <w:left w:val="none" w:sz="0" w:space="0" w:color="auto"/>
        <w:bottom w:val="none" w:sz="0" w:space="0" w:color="auto"/>
        <w:right w:val="none" w:sz="0" w:space="0" w:color="auto"/>
      </w:divBdr>
    </w:div>
    <w:div w:id="302927923">
      <w:bodyDiv w:val="1"/>
      <w:marLeft w:val="0"/>
      <w:marRight w:val="0"/>
      <w:marTop w:val="0"/>
      <w:marBottom w:val="0"/>
      <w:divBdr>
        <w:top w:val="none" w:sz="0" w:space="0" w:color="auto"/>
        <w:left w:val="none" w:sz="0" w:space="0" w:color="auto"/>
        <w:bottom w:val="none" w:sz="0" w:space="0" w:color="auto"/>
        <w:right w:val="none" w:sz="0" w:space="0" w:color="auto"/>
      </w:divBdr>
      <w:divsChild>
        <w:div w:id="49689888">
          <w:marLeft w:val="0"/>
          <w:marRight w:val="0"/>
          <w:marTop w:val="0"/>
          <w:marBottom w:val="0"/>
          <w:divBdr>
            <w:top w:val="none" w:sz="0" w:space="0" w:color="auto"/>
            <w:left w:val="none" w:sz="0" w:space="0" w:color="auto"/>
            <w:bottom w:val="none" w:sz="0" w:space="0" w:color="auto"/>
            <w:right w:val="none" w:sz="0" w:space="0" w:color="auto"/>
          </w:divBdr>
          <w:divsChild>
            <w:div w:id="69161239">
              <w:marLeft w:val="0"/>
              <w:marRight w:val="0"/>
              <w:marTop w:val="0"/>
              <w:marBottom w:val="0"/>
              <w:divBdr>
                <w:top w:val="none" w:sz="0" w:space="0" w:color="auto"/>
                <w:left w:val="none" w:sz="0" w:space="0" w:color="auto"/>
                <w:bottom w:val="none" w:sz="0" w:space="0" w:color="auto"/>
                <w:right w:val="none" w:sz="0" w:space="0" w:color="auto"/>
              </w:divBdr>
              <w:divsChild>
                <w:div w:id="89861026">
                  <w:marLeft w:val="0"/>
                  <w:marRight w:val="0"/>
                  <w:marTop w:val="0"/>
                  <w:marBottom w:val="0"/>
                  <w:divBdr>
                    <w:top w:val="none" w:sz="0" w:space="0" w:color="auto"/>
                    <w:left w:val="none" w:sz="0" w:space="0" w:color="auto"/>
                    <w:bottom w:val="none" w:sz="0" w:space="0" w:color="auto"/>
                    <w:right w:val="none" w:sz="0" w:space="0" w:color="auto"/>
                  </w:divBdr>
                  <w:divsChild>
                    <w:div w:id="1753508468">
                      <w:marLeft w:val="0"/>
                      <w:marRight w:val="0"/>
                      <w:marTop w:val="0"/>
                      <w:marBottom w:val="0"/>
                      <w:divBdr>
                        <w:top w:val="none" w:sz="0" w:space="0" w:color="auto"/>
                        <w:left w:val="none" w:sz="0" w:space="0" w:color="auto"/>
                        <w:bottom w:val="none" w:sz="0" w:space="0" w:color="auto"/>
                        <w:right w:val="none" w:sz="0" w:space="0" w:color="auto"/>
                      </w:divBdr>
                      <w:divsChild>
                        <w:div w:id="1135754280">
                          <w:marLeft w:val="0"/>
                          <w:marRight w:val="0"/>
                          <w:marTop w:val="0"/>
                          <w:marBottom w:val="0"/>
                          <w:divBdr>
                            <w:top w:val="none" w:sz="0" w:space="0" w:color="auto"/>
                            <w:left w:val="none" w:sz="0" w:space="0" w:color="auto"/>
                            <w:bottom w:val="none" w:sz="0" w:space="0" w:color="auto"/>
                            <w:right w:val="none" w:sz="0" w:space="0" w:color="auto"/>
                          </w:divBdr>
                          <w:divsChild>
                            <w:div w:id="1340158971">
                              <w:marLeft w:val="0"/>
                              <w:marRight w:val="0"/>
                              <w:marTop w:val="0"/>
                              <w:marBottom w:val="0"/>
                              <w:divBdr>
                                <w:top w:val="none" w:sz="0" w:space="0" w:color="auto"/>
                                <w:left w:val="none" w:sz="0" w:space="0" w:color="auto"/>
                                <w:bottom w:val="none" w:sz="0" w:space="0" w:color="auto"/>
                                <w:right w:val="none" w:sz="0" w:space="0" w:color="auto"/>
                              </w:divBdr>
                              <w:divsChild>
                                <w:div w:id="1539857016">
                                  <w:marLeft w:val="0"/>
                                  <w:marRight w:val="0"/>
                                  <w:marTop w:val="0"/>
                                  <w:marBottom w:val="0"/>
                                  <w:divBdr>
                                    <w:top w:val="none" w:sz="0" w:space="0" w:color="auto"/>
                                    <w:left w:val="none" w:sz="0" w:space="0" w:color="auto"/>
                                    <w:bottom w:val="none" w:sz="0" w:space="0" w:color="auto"/>
                                    <w:right w:val="none" w:sz="0" w:space="0" w:color="auto"/>
                                  </w:divBdr>
                                  <w:divsChild>
                                    <w:div w:id="722631297">
                                      <w:marLeft w:val="0"/>
                                      <w:marRight w:val="0"/>
                                      <w:marTop w:val="0"/>
                                      <w:marBottom w:val="0"/>
                                      <w:divBdr>
                                        <w:top w:val="none" w:sz="0" w:space="0" w:color="auto"/>
                                        <w:left w:val="none" w:sz="0" w:space="0" w:color="auto"/>
                                        <w:bottom w:val="none" w:sz="0" w:space="0" w:color="auto"/>
                                        <w:right w:val="none" w:sz="0" w:space="0" w:color="auto"/>
                                      </w:divBdr>
                                      <w:divsChild>
                                        <w:div w:id="224076059">
                                          <w:marLeft w:val="0"/>
                                          <w:marRight w:val="0"/>
                                          <w:marTop w:val="0"/>
                                          <w:marBottom w:val="0"/>
                                          <w:divBdr>
                                            <w:top w:val="none" w:sz="0" w:space="0" w:color="auto"/>
                                            <w:left w:val="none" w:sz="0" w:space="0" w:color="auto"/>
                                            <w:bottom w:val="none" w:sz="0" w:space="0" w:color="auto"/>
                                            <w:right w:val="none" w:sz="0" w:space="0" w:color="auto"/>
                                          </w:divBdr>
                                          <w:divsChild>
                                            <w:div w:id="2022929176">
                                              <w:marLeft w:val="0"/>
                                              <w:marRight w:val="0"/>
                                              <w:marTop w:val="0"/>
                                              <w:marBottom w:val="0"/>
                                              <w:divBdr>
                                                <w:top w:val="none" w:sz="0" w:space="0" w:color="auto"/>
                                                <w:left w:val="none" w:sz="0" w:space="0" w:color="auto"/>
                                                <w:bottom w:val="none" w:sz="0" w:space="0" w:color="auto"/>
                                                <w:right w:val="none" w:sz="0" w:space="0" w:color="auto"/>
                                              </w:divBdr>
                                              <w:divsChild>
                                                <w:div w:id="17390985">
                                                  <w:marLeft w:val="0"/>
                                                  <w:marRight w:val="0"/>
                                                  <w:marTop w:val="0"/>
                                                  <w:marBottom w:val="0"/>
                                                  <w:divBdr>
                                                    <w:top w:val="none" w:sz="0" w:space="0" w:color="auto"/>
                                                    <w:left w:val="none" w:sz="0" w:space="0" w:color="auto"/>
                                                    <w:bottom w:val="none" w:sz="0" w:space="0" w:color="auto"/>
                                                    <w:right w:val="none" w:sz="0" w:space="0" w:color="auto"/>
                                                  </w:divBdr>
                                                  <w:divsChild>
                                                    <w:div w:id="1062094766">
                                                      <w:marLeft w:val="0"/>
                                                      <w:marRight w:val="0"/>
                                                      <w:marTop w:val="0"/>
                                                      <w:marBottom w:val="0"/>
                                                      <w:divBdr>
                                                        <w:top w:val="none" w:sz="0" w:space="0" w:color="auto"/>
                                                        <w:left w:val="none" w:sz="0" w:space="0" w:color="auto"/>
                                                        <w:bottom w:val="none" w:sz="0" w:space="0" w:color="auto"/>
                                                        <w:right w:val="none" w:sz="0" w:space="0" w:color="auto"/>
                                                      </w:divBdr>
                                                      <w:divsChild>
                                                        <w:div w:id="104160961">
                                                          <w:marLeft w:val="0"/>
                                                          <w:marRight w:val="0"/>
                                                          <w:marTop w:val="0"/>
                                                          <w:marBottom w:val="0"/>
                                                          <w:divBdr>
                                                            <w:top w:val="none" w:sz="0" w:space="0" w:color="auto"/>
                                                            <w:left w:val="none" w:sz="0" w:space="0" w:color="auto"/>
                                                            <w:bottom w:val="none" w:sz="0" w:space="0" w:color="auto"/>
                                                            <w:right w:val="none" w:sz="0" w:space="0" w:color="auto"/>
                                                          </w:divBdr>
                                                          <w:divsChild>
                                                            <w:div w:id="1399086497">
                                                              <w:marLeft w:val="0"/>
                                                              <w:marRight w:val="0"/>
                                                              <w:marTop w:val="0"/>
                                                              <w:marBottom w:val="0"/>
                                                              <w:divBdr>
                                                                <w:top w:val="none" w:sz="0" w:space="0" w:color="auto"/>
                                                                <w:left w:val="none" w:sz="0" w:space="0" w:color="auto"/>
                                                                <w:bottom w:val="none" w:sz="0" w:space="0" w:color="auto"/>
                                                                <w:right w:val="none" w:sz="0" w:space="0" w:color="auto"/>
                                                              </w:divBdr>
                                                              <w:divsChild>
                                                                <w:div w:id="1453012050">
                                                                  <w:marLeft w:val="0"/>
                                                                  <w:marRight w:val="0"/>
                                                                  <w:marTop w:val="0"/>
                                                                  <w:marBottom w:val="0"/>
                                                                  <w:divBdr>
                                                                    <w:top w:val="none" w:sz="0" w:space="0" w:color="auto"/>
                                                                    <w:left w:val="none" w:sz="0" w:space="0" w:color="auto"/>
                                                                    <w:bottom w:val="none" w:sz="0" w:space="0" w:color="auto"/>
                                                                    <w:right w:val="none" w:sz="0" w:space="0" w:color="auto"/>
                                                                  </w:divBdr>
                                                                  <w:divsChild>
                                                                    <w:div w:id="12547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259974">
      <w:bodyDiv w:val="1"/>
      <w:marLeft w:val="0"/>
      <w:marRight w:val="0"/>
      <w:marTop w:val="0"/>
      <w:marBottom w:val="0"/>
      <w:divBdr>
        <w:top w:val="none" w:sz="0" w:space="0" w:color="auto"/>
        <w:left w:val="none" w:sz="0" w:space="0" w:color="auto"/>
        <w:bottom w:val="none" w:sz="0" w:space="0" w:color="auto"/>
        <w:right w:val="none" w:sz="0" w:space="0" w:color="auto"/>
      </w:divBdr>
    </w:div>
    <w:div w:id="316108938">
      <w:bodyDiv w:val="1"/>
      <w:marLeft w:val="0"/>
      <w:marRight w:val="0"/>
      <w:marTop w:val="0"/>
      <w:marBottom w:val="0"/>
      <w:divBdr>
        <w:top w:val="none" w:sz="0" w:space="0" w:color="auto"/>
        <w:left w:val="none" w:sz="0" w:space="0" w:color="auto"/>
        <w:bottom w:val="none" w:sz="0" w:space="0" w:color="auto"/>
        <w:right w:val="none" w:sz="0" w:space="0" w:color="auto"/>
      </w:divBdr>
    </w:div>
    <w:div w:id="408233390">
      <w:bodyDiv w:val="1"/>
      <w:marLeft w:val="0"/>
      <w:marRight w:val="0"/>
      <w:marTop w:val="0"/>
      <w:marBottom w:val="0"/>
      <w:divBdr>
        <w:top w:val="none" w:sz="0" w:space="0" w:color="auto"/>
        <w:left w:val="none" w:sz="0" w:space="0" w:color="auto"/>
        <w:bottom w:val="none" w:sz="0" w:space="0" w:color="auto"/>
        <w:right w:val="none" w:sz="0" w:space="0" w:color="auto"/>
      </w:divBdr>
      <w:divsChild>
        <w:div w:id="1500347111">
          <w:marLeft w:val="274"/>
          <w:marRight w:val="0"/>
          <w:marTop w:val="0"/>
          <w:marBottom w:val="0"/>
          <w:divBdr>
            <w:top w:val="none" w:sz="0" w:space="0" w:color="auto"/>
            <w:left w:val="none" w:sz="0" w:space="0" w:color="auto"/>
            <w:bottom w:val="none" w:sz="0" w:space="0" w:color="auto"/>
            <w:right w:val="none" w:sz="0" w:space="0" w:color="auto"/>
          </w:divBdr>
        </w:div>
        <w:div w:id="353314386">
          <w:marLeft w:val="274"/>
          <w:marRight w:val="0"/>
          <w:marTop w:val="0"/>
          <w:marBottom w:val="0"/>
          <w:divBdr>
            <w:top w:val="none" w:sz="0" w:space="0" w:color="auto"/>
            <w:left w:val="none" w:sz="0" w:space="0" w:color="auto"/>
            <w:bottom w:val="none" w:sz="0" w:space="0" w:color="auto"/>
            <w:right w:val="none" w:sz="0" w:space="0" w:color="auto"/>
          </w:divBdr>
        </w:div>
        <w:div w:id="615407755">
          <w:marLeft w:val="274"/>
          <w:marRight w:val="0"/>
          <w:marTop w:val="0"/>
          <w:marBottom w:val="0"/>
          <w:divBdr>
            <w:top w:val="none" w:sz="0" w:space="0" w:color="auto"/>
            <w:left w:val="none" w:sz="0" w:space="0" w:color="auto"/>
            <w:bottom w:val="none" w:sz="0" w:space="0" w:color="auto"/>
            <w:right w:val="none" w:sz="0" w:space="0" w:color="auto"/>
          </w:divBdr>
        </w:div>
        <w:div w:id="2014602196">
          <w:marLeft w:val="274"/>
          <w:marRight w:val="0"/>
          <w:marTop w:val="0"/>
          <w:marBottom w:val="0"/>
          <w:divBdr>
            <w:top w:val="none" w:sz="0" w:space="0" w:color="auto"/>
            <w:left w:val="none" w:sz="0" w:space="0" w:color="auto"/>
            <w:bottom w:val="none" w:sz="0" w:space="0" w:color="auto"/>
            <w:right w:val="none" w:sz="0" w:space="0" w:color="auto"/>
          </w:divBdr>
        </w:div>
        <w:div w:id="1363245591">
          <w:marLeft w:val="274"/>
          <w:marRight w:val="0"/>
          <w:marTop w:val="0"/>
          <w:marBottom w:val="0"/>
          <w:divBdr>
            <w:top w:val="none" w:sz="0" w:space="0" w:color="auto"/>
            <w:left w:val="none" w:sz="0" w:space="0" w:color="auto"/>
            <w:bottom w:val="none" w:sz="0" w:space="0" w:color="auto"/>
            <w:right w:val="none" w:sz="0" w:space="0" w:color="auto"/>
          </w:divBdr>
        </w:div>
        <w:div w:id="1556433760">
          <w:marLeft w:val="274"/>
          <w:marRight w:val="0"/>
          <w:marTop w:val="0"/>
          <w:marBottom w:val="0"/>
          <w:divBdr>
            <w:top w:val="none" w:sz="0" w:space="0" w:color="auto"/>
            <w:left w:val="none" w:sz="0" w:space="0" w:color="auto"/>
            <w:bottom w:val="none" w:sz="0" w:space="0" w:color="auto"/>
            <w:right w:val="none" w:sz="0" w:space="0" w:color="auto"/>
          </w:divBdr>
        </w:div>
        <w:div w:id="1654143704">
          <w:marLeft w:val="274"/>
          <w:marRight w:val="0"/>
          <w:marTop w:val="0"/>
          <w:marBottom w:val="0"/>
          <w:divBdr>
            <w:top w:val="none" w:sz="0" w:space="0" w:color="auto"/>
            <w:left w:val="none" w:sz="0" w:space="0" w:color="auto"/>
            <w:bottom w:val="none" w:sz="0" w:space="0" w:color="auto"/>
            <w:right w:val="none" w:sz="0" w:space="0" w:color="auto"/>
          </w:divBdr>
        </w:div>
        <w:div w:id="269092893">
          <w:marLeft w:val="274"/>
          <w:marRight w:val="0"/>
          <w:marTop w:val="0"/>
          <w:marBottom w:val="0"/>
          <w:divBdr>
            <w:top w:val="none" w:sz="0" w:space="0" w:color="auto"/>
            <w:left w:val="none" w:sz="0" w:space="0" w:color="auto"/>
            <w:bottom w:val="none" w:sz="0" w:space="0" w:color="auto"/>
            <w:right w:val="none" w:sz="0" w:space="0" w:color="auto"/>
          </w:divBdr>
        </w:div>
      </w:divsChild>
    </w:div>
    <w:div w:id="416631893">
      <w:bodyDiv w:val="1"/>
      <w:marLeft w:val="0"/>
      <w:marRight w:val="0"/>
      <w:marTop w:val="0"/>
      <w:marBottom w:val="0"/>
      <w:divBdr>
        <w:top w:val="none" w:sz="0" w:space="0" w:color="auto"/>
        <w:left w:val="none" w:sz="0" w:space="0" w:color="auto"/>
        <w:bottom w:val="none" w:sz="0" w:space="0" w:color="auto"/>
        <w:right w:val="none" w:sz="0" w:space="0" w:color="auto"/>
      </w:divBdr>
      <w:divsChild>
        <w:div w:id="1681080664">
          <w:marLeft w:val="547"/>
          <w:marRight w:val="0"/>
          <w:marTop w:val="0"/>
          <w:marBottom w:val="0"/>
          <w:divBdr>
            <w:top w:val="none" w:sz="0" w:space="0" w:color="auto"/>
            <w:left w:val="none" w:sz="0" w:space="0" w:color="auto"/>
            <w:bottom w:val="none" w:sz="0" w:space="0" w:color="auto"/>
            <w:right w:val="none" w:sz="0" w:space="0" w:color="auto"/>
          </w:divBdr>
        </w:div>
        <w:div w:id="1143276444">
          <w:marLeft w:val="547"/>
          <w:marRight w:val="0"/>
          <w:marTop w:val="0"/>
          <w:marBottom w:val="0"/>
          <w:divBdr>
            <w:top w:val="none" w:sz="0" w:space="0" w:color="auto"/>
            <w:left w:val="none" w:sz="0" w:space="0" w:color="auto"/>
            <w:bottom w:val="none" w:sz="0" w:space="0" w:color="auto"/>
            <w:right w:val="none" w:sz="0" w:space="0" w:color="auto"/>
          </w:divBdr>
        </w:div>
        <w:div w:id="2032491943">
          <w:marLeft w:val="547"/>
          <w:marRight w:val="0"/>
          <w:marTop w:val="0"/>
          <w:marBottom w:val="0"/>
          <w:divBdr>
            <w:top w:val="none" w:sz="0" w:space="0" w:color="auto"/>
            <w:left w:val="none" w:sz="0" w:space="0" w:color="auto"/>
            <w:bottom w:val="none" w:sz="0" w:space="0" w:color="auto"/>
            <w:right w:val="none" w:sz="0" w:space="0" w:color="auto"/>
          </w:divBdr>
        </w:div>
        <w:div w:id="1908150484">
          <w:marLeft w:val="547"/>
          <w:marRight w:val="0"/>
          <w:marTop w:val="0"/>
          <w:marBottom w:val="0"/>
          <w:divBdr>
            <w:top w:val="none" w:sz="0" w:space="0" w:color="auto"/>
            <w:left w:val="none" w:sz="0" w:space="0" w:color="auto"/>
            <w:bottom w:val="none" w:sz="0" w:space="0" w:color="auto"/>
            <w:right w:val="none" w:sz="0" w:space="0" w:color="auto"/>
          </w:divBdr>
        </w:div>
        <w:div w:id="214052105">
          <w:marLeft w:val="547"/>
          <w:marRight w:val="0"/>
          <w:marTop w:val="0"/>
          <w:marBottom w:val="0"/>
          <w:divBdr>
            <w:top w:val="none" w:sz="0" w:space="0" w:color="auto"/>
            <w:left w:val="none" w:sz="0" w:space="0" w:color="auto"/>
            <w:bottom w:val="none" w:sz="0" w:space="0" w:color="auto"/>
            <w:right w:val="none" w:sz="0" w:space="0" w:color="auto"/>
          </w:divBdr>
        </w:div>
        <w:div w:id="2142339067">
          <w:marLeft w:val="547"/>
          <w:marRight w:val="0"/>
          <w:marTop w:val="0"/>
          <w:marBottom w:val="0"/>
          <w:divBdr>
            <w:top w:val="none" w:sz="0" w:space="0" w:color="auto"/>
            <w:left w:val="none" w:sz="0" w:space="0" w:color="auto"/>
            <w:bottom w:val="none" w:sz="0" w:space="0" w:color="auto"/>
            <w:right w:val="none" w:sz="0" w:space="0" w:color="auto"/>
          </w:divBdr>
        </w:div>
        <w:div w:id="1781758193">
          <w:marLeft w:val="547"/>
          <w:marRight w:val="0"/>
          <w:marTop w:val="0"/>
          <w:marBottom w:val="0"/>
          <w:divBdr>
            <w:top w:val="none" w:sz="0" w:space="0" w:color="auto"/>
            <w:left w:val="none" w:sz="0" w:space="0" w:color="auto"/>
            <w:bottom w:val="none" w:sz="0" w:space="0" w:color="auto"/>
            <w:right w:val="none" w:sz="0" w:space="0" w:color="auto"/>
          </w:divBdr>
        </w:div>
        <w:div w:id="1147626495">
          <w:marLeft w:val="547"/>
          <w:marRight w:val="0"/>
          <w:marTop w:val="0"/>
          <w:marBottom w:val="0"/>
          <w:divBdr>
            <w:top w:val="none" w:sz="0" w:space="0" w:color="auto"/>
            <w:left w:val="none" w:sz="0" w:space="0" w:color="auto"/>
            <w:bottom w:val="none" w:sz="0" w:space="0" w:color="auto"/>
            <w:right w:val="none" w:sz="0" w:space="0" w:color="auto"/>
          </w:divBdr>
        </w:div>
        <w:div w:id="82530195">
          <w:marLeft w:val="547"/>
          <w:marRight w:val="0"/>
          <w:marTop w:val="0"/>
          <w:marBottom w:val="0"/>
          <w:divBdr>
            <w:top w:val="none" w:sz="0" w:space="0" w:color="auto"/>
            <w:left w:val="none" w:sz="0" w:space="0" w:color="auto"/>
            <w:bottom w:val="none" w:sz="0" w:space="0" w:color="auto"/>
            <w:right w:val="none" w:sz="0" w:space="0" w:color="auto"/>
          </w:divBdr>
        </w:div>
        <w:div w:id="1657607398">
          <w:marLeft w:val="547"/>
          <w:marRight w:val="0"/>
          <w:marTop w:val="0"/>
          <w:marBottom w:val="0"/>
          <w:divBdr>
            <w:top w:val="none" w:sz="0" w:space="0" w:color="auto"/>
            <w:left w:val="none" w:sz="0" w:space="0" w:color="auto"/>
            <w:bottom w:val="none" w:sz="0" w:space="0" w:color="auto"/>
            <w:right w:val="none" w:sz="0" w:space="0" w:color="auto"/>
          </w:divBdr>
        </w:div>
        <w:div w:id="1431126049">
          <w:marLeft w:val="547"/>
          <w:marRight w:val="0"/>
          <w:marTop w:val="0"/>
          <w:marBottom w:val="0"/>
          <w:divBdr>
            <w:top w:val="none" w:sz="0" w:space="0" w:color="auto"/>
            <w:left w:val="none" w:sz="0" w:space="0" w:color="auto"/>
            <w:bottom w:val="none" w:sz="0" w:space="0" w:color="auto"/>
            <w:right w:val="none" w:sz="0" w:space="0" w:color="auto"/>
          </w:divBdr>
        </w:div>
        <w:div w:id="1556546740">
          <w:marLeft w:val="547"/>
          <w:marRight w:val="0"/>
          <w:marTop w:val="0"/>
          <w:marBottom w:val="0"/>
          <w:divBdr>
            <w:top w:val="none" w:sz="0" w:space="0" w:color="auto"/>
            <w:left w:val="none" w:sz="0" w:space="0" w:color="auto"/>
            <w:bottom w:val="none" w:sz="0" w:space="0" w:color="auto"/>
            <w:right w:val="none" w:sz="0" w:space="0" w:color="auto"/>
          </w:divBdr>
        </w:div>
        <w:div w:id="1487747513">
          <w:marLeft w:val="547"/>
          <w:marRight w:val="0"/>
          <w:marTop w:val="0"/>
          <w:marBottom w:val="0"/>
          <w:divBdr>
            <w:top w:val="none" w:sz="0" w:space="0" w:color="auto"/>
            <w:left w:val="none" w:sz="0" w:space="0" w:color="auto"/>
            <w:bottom w:val="none" w:sz="0" w:space="0" w:color="auto"/>
            <w:right w:val="none" w:sz="0" w:space="0" w:color="auto"/>
          </w:divBdr>
        </w:div>
        <w:div w:id="1430393253">
          <w:marLeft w:val="547"/>
          <w:marRight w:val="0"/>
          <w:marTop w:val="0"/>
          <w:marBottom w:val="0"/>
          <w:divBdr>
            <w:top w:val="none" w:sz="0" w:space="0" w:color="auto"/>
            <w:left w:val="none" w:sz="0" w:space="0" w:color="auto"/>
            <w:bottom w:val="none" w:sz="0" w:space="0" w:color="auto"/>
            <w:right w:val="none" w:sz="0" w:space="0" w:color="auto"/>
          </w:divBdr>
        </w:div>
        <w:div w:id="1729844911">
          <w:marLeft w:val="547"/>
          <w:marRight w:val="0"/>
          <w:marTop w:val="0"/>
          <w:marBottom w:val="0"/>
          <w:divBdr>
            <w:top w:val="none" w:sz="0" w:space="0" w:color="auto"/>
            <w:left w:val="none" w:sz="0" w:space="0" w:color="auto"/>
            <w:bottom w:val="none" w:sz="0" w:space="0" w:color="auto"/>
            <w:right w:val="none" w:sz="0" w:space="0" w:color="auto"/>
          </w:divBdr>
        </w:div>
        <w:div w:id="1908571629">
          <w:marLeft w:val="547"/>
          <w:marRight w:val="0"/>
          <w:marTop w:val="0"/>
          <w:marBottom w:val="0"/>
          <w:divBdr>
            <w:top w:val="none" w:sz="0" w:space="0" w:color="auto"/>
            <w:left w:val="none" w:sz="0" w:space="0" w:color="auto"/>
            <w:bottom w:val="none" w:sz="0" w:space="0" w:color="auto"/>
            <w:right w:val="none" w:sz="0" w:space="0" w:color="auto"/>
          </w:divBdr>
        </w:div>
      </w:divsChild>
    </w:div>
    <w:div w:id="440416416">
      <w:bodyDiv w:val="1"/>
      <w:marLeft w:val="0"/>
      <w:marRight w:val="0"/>
      <w:marTop w:val="0"/>
      <w:marBottom w:val="0"/>
      <w:divBdr>
        <w:top w:val="none" w:sz="0" w:space="0" w:color="auto"/>
        <w:left w:val="none" w:sz="0" w:space="0" w:color="auto"/>
        <w:bottom w:val="none" w:sz="0" w:space="0" w:color="auto"/>
        <w:right w:val="none" w:sz="0" w:space="0" w:color="auto"/>
      </w:divBdr>
      <w:divsChild>
        <w:div w:id="355272752">
          <w:marLeft w:val="547"/>
          <w:marRight w:val="0"/>
          <w:marTop w:val="0"/>
          <w:marBottom w:val="210"/>
          <w:divBdr>
            <w:top w:val="none" w:sz="0" w:space="0" w:color="auto"/>
            <w:left w:val="none" w:sz="0" w:space="0" w:color="auto"/>
            <w:bottom w:val="none" w:sz="0" w:space="0" w:color="auto"/>
            <w:right w:val="none" w:sz="0" w:space="0" w:color="auto"/>
          </w:divBdr>
        </w:div>
      </w:divsChild>
    </w:div>
    <w:div w:id="459298674">
      <w:bodyDiv w:val="1"/>
      <w:marLeft w:val="0"/>
      <w:marRight w:val="0"/>
      <w:marTop w:val="0"/>
      <w:marBottom w:val="0"/>
      <w:divBdr>
        <w:top w:val="none" w:sz="0" w:space="0" w:color="auto"/>
        <w:left w:val="none" w:sz="0" w:space="0" w:color="auto"/>
        <w:bottom w:val="none" w:sz="0" w:space="0" w:color="auto"/>
        <w:right w:val="none" w:sz="0" w:space="0" w:color="auto"/>
      </w:divBdr>
    </w:div>
    <w:div w:id="464203465">
      <w:bodyDiv w:val="1"/>
      <w:marLeft w:val="0"/>
      <w:marRight w:val="0"/>
      <w:marTop w:val="0"/>
      <w:marBottom w:val="0"/>
      <w:divBdr>
        <w:top w:val="none" w:sz="0" w:space="0" w:color="auto"/>
        <w:left w:val="none" w:sz="0" w:space="0" w:color="auto"/>
        <w:bottom w:val="none" w:sz="0" w:space="0" w:color="auto"/>
        <w:right w:val="none" w:sz="0" w:space="0" w:color="auto"/>
      </w:divBdr>
    </w:div>
    <w:div w:id="500240810">
      <w:bodyDiv w:val="1"/>
      <w:marLeft w:val="0"/>
      <w:marRight w:val="0"/>
      <w:marTop w:val="0"/>
      <w:marBottom w:val="0"/>
      <w:divBdr>
        <w:top w:val="none" w:sz="0" w:space="0" w:color="auto"/>
        <w:left w:val="none" w:sz="0" w:space="0" w:color="auto"/>
        <w:bottom w:val="none" w:sz="0" w:space="0" w:color="auto"/>
        <w:right w:val="none" w:sz="0" w:space="0" w:color="auto"/>
      </w:divBdr>
    </w:div>
    <w:div w:id="521551775">
      <w:bodyDiv w:val="1"/>
      <w:marLeft w:val="0"/>
      <w:marRight w:val="0"/>
      <w:marTop w:val="0"/>
      <w:marBottom w:val="0"/>
      <w:divBdr>
        <w:top w:val="none" w:sz="0" w:space="0" w:color="auto"/>
        <w:left w:val="none" w:sz="0" w:space="0" w:color="auto"/>
        <w:bottom w:val="none" w:sz="0" w:space="0" w:color="auto"/>
        <w:right w:val="none" w:sz="0" w:space="0" w:color="auto"/>
      </w:divBdr>
    </w:div>
    <w:div w:id="539048137">
      <w:bodyDiv w:val="1"/>
      <w:marLeft w:val="0"/>
      <w:marRight w:val="0"/>
      <w:marTop w:val="0"/>
      <w:marBottom w:val="0"/>
      <w:divBdr>
        <w:top w:val="none" w:sz="0" w:space="0" w:color="auto"/>
        <w:left w:val="none" w:sz="0" w:space="0" w:color="auto"/>
        <w:bottom w:val="none" w:sz="0" w:space="0" w:color="auto"/>
        <w:right w:val="none" w:sz="0" w:space="0" w:color="auto"/>
      </w:divBdr>
    </w:div>
    <w:div w:id="545023015">
      <w:bodyDiv w:val="1"/>
      <w:marLeft w:val="0"/>
      <w:marRight w:val="0"/>
      <w:marTop w:val="0"/>
      <w:marBottom w:val="0"/>
      <w:divBdr>
        <w:top w:val="none" w:sz="0" w:space="0" w:color="auto"/>
        <w:left w:val="none" w:sz="0" w:space="0" w:color="auto"/>
        <w:bottom w:val="none" w:sz="0" w:space="0" w:color="auto"/>
        <w:right w:val="none" w:sz="0" w:space="0" w:color="auto"/>
      </w:divBdr>
    </w:div>
    <w:div w:id="613248040">
      <w:bodyDiv w:val="1"/>
      <w:marLeft w:val="0"/>
      <w:marRight w:val="0"/>
      <w:marTop w:val="0"/>
      <w:marBottom w:val="0"/>
      <w:divBdr>
        <w:top w:val="none" w:sz="0" w:space="0" w:color="auto"/>
        <w:left w:val="none" w:sz="0" w:space="0" w:color="auto"/>
        <w:bottom w:val="none" w:sz="0" w:space="0" w:color="auto"/>
        <w:right w:val="none" w:sz="0" w:space="0" w:color="auto"/>
      </w:divBdr>
    </w:div>
    <w:div w:id="639843303">
      <w:bodyDiv w:val="1"/>
      <w:marLeft w:val="0"/>
      <w:marRight w:val="0"/>
      <w:marTop w:val="0"/>
      <w:marBottom w:val="0"/>
      <w:divBdr>
        <w:top w:val="none" w:sz="0" w:space="0" w:color="auto"/>
        <w:left w:val="none" w:sz="0" w:space="0" w:color="auto"/>
        <w:bottom w:val="none" w:sz="0" w:space="0" w:color="auto"/>
        <w:right w:val="none" w:sz="0" w:space="0" w:color="auto"/>
      </w:divBdr>
    </w:div>
    <w:div w:id="685328376">
      <w:bodyDiv w:val="1"/>
      <w:marLeft w:val="0"/>
      <w:marRight w:val="0"/>
      <w:marTop w:val="0"/>
      <w:marBottom w:val="0"/>
      <w:divBdr>
        <w:top w:val="none" w:sz="0" w:space="0" w:color="auto"/>
        <w:left w:val="none" w:sz="0" w:space="0" w:color="auto"/>
        <w:bottom w:val="none" w:sz="0" w:space="0" w:color="auto"/>
        <w:right w:val="none" w:sz="0" w:space="0" w:color="auto"/>
      </w:divBdr>
    </w:div>
    <w:div w:id="700210055">
      <w:bodyDiv w:val="1"/>
      <w:marLeft w:val="0"/>
      <w:marRight w:val="0"/>
      <w:marTop w:val="0"/>
      <w:marBottom w:val="0"/>
      <w:divBdr>
        <w:top w:val="none" w:sz="0" w:space="0" w:color="auto"/>
        <w:left w:val="none" w:sz="0" w:space="0" w:color="auto"/>
        <w:bottom w:val="none" w:sz="0" w:space="0" w:color="auto"/>
        <w:right w:val="none" w:sz="0" w:space="0" w:color="auto"/>
      </w:divBdr>
    </w:div>
    <w:div w:id="701438172">
      <w:bodyDiv w:val="1"/>
      <w:marLeft w:val="0"/>
      <w:marRight w:val="0"/>
      <w:marTop w:val="0"/>
      <w:marBottom w:val="0"/>
      <w:divBdr>
        <w:top w:val="none" w:sz="0" w:space="0" w:color="auto"/>
        <w:left w:val="none" w:sz="0" w:space="0" w:color="auto"/>
        <w:bottom w:val="none" w:sz="0" w:space="0" w:color="auto"/>
        <w:right w:val="none" w:sz="0" w:space="0" w:color="auto"/>
      </w:divBdr>
    </w:div>
    <w:div w:id="777412176">
      <w:bodyDiv w:val="1"/>
      <w:marLeft w:val="0"/>
      <w:marRight w:val="0"/>
      <w:marTop w:val="0"/>
      <w:marBottom w:val="0"/>
      <w:divBdr>
        <w:top w:val="none" w:sz="0" w:space="0" w:color="auto"/>
        <w:left w:val="none" w:sz="0" w:space="0" w:color="auto"/>
        <w:bottom w:val="none" w:sz="0" w:space="0" w:color="auto"/>
        <w:right w:val="none" w:sz="0" w:space="0" w:color="auto"/>
      </w:divBdr>
      <w:divsChild>
        <w:div w:id="321813864">
          <w:marLeft w:val="0"/>
          <w:marRight w:val="0"/>
          <w:marTop w:val="0"/>
          <w:marBottom w:val="0"/>
          <w:divBdr>
            <w:top w:val="none" w:sz="0" w:space="0" w:color="auto"/>
            <w:left w:val="none" w:sz="0" w:space="0" w:color="auto"/>
            <w:bottom w:val="none" w:sz="0" w:space="0" w:color="auto"/>
            <w:right w:val="none" w:sz="0" w:space="0" w:color="auto"/>
          </w:divBdr>
          <w:divsChild>
            <w:div w:id="995458064">
              <w:marLeft w:val="0"/>
              <w:marRight w:val="0"/>
              <w:marTop w:val="0"/>
              <w:marBottom w:val="0"/>
              <w:divBdr>
                <w:top w:val="none" w:sz="0" w:space="0" w:color="auto"/>
                <w:left w:val="none" w:sz="0" w:space="0" w:color="auto"/>
                <w:bottom w:val="none" w:sz="0" w:space="0" w:color="auto"/>
                <w:right w:val="none" w:sz="0" w:space="0" w:color="auto"/>
              </w:divBdr>
              <w:divsChild>
                <w:div w:id="873421885">
                  <w:marLeft w:val="0"/>
                  <w:marRight w:val="0"/>
                  <w:marTop w:val="0"/>
                  <w:marBottom w:val="0"/>
                  <w:divBdr>
                    <w:top w:val="none" w:sz="0" w:space="0" w:color="auto"/>
                    <w:left w:val="none" w:sz="0" w:space="0" w:color="auto"/>
                    <w:bottom w:val="none" w:sz="0" w:space="0" w:color="auto"/>
                    <w:right w:val="none" w:sz="0" w:space="0" w:color="auto"/>
                  </w:divBdr>
                  <w:divsChild>
                    <w:div w:id="1091051373">
                      <w:marLeft w:val="0"/>
                      <w:marRight w:val="0"/>
                      <w:marTop w:val="0"/>
                      <w:marBottom w:val="0"/>
                      <w:divBdr>
                        <w:top w:val="none" w:sz="0" w:space="0" w:color="auto"/>
                        <w:left w:val="none" w:sz="0" w:space="0" w:color="auto"/>
                        <w:bottom w:val="none" w:sz="0" w:space="0" w:color="auto"/>
                        <w:right w:val="none" w:sz="0" w:space="0" w:color="auto"/>
                      </w:divBdr>
                      <w:divsChild>
                        <w:div w:id="1480490144">
                          <w:marLeft w:val="0"/>
                          <w:marRight w:val="0"/>
                          <w:marTop w:val="0"/>
                          <w:marBottom w:val="0"/>
                          <w:divBdr>
                            <w:top w:val="none" w:sz="0" w:space="0" w:color="auto"/>
                            <w:left w:val="none" w:sz="0" w:space="0" w:color="auto"/>
                            <w:bottom w:val="none" w:sz="0" w:space="0" w:color="auto"/>
                            <w:right w:val="none" w:sz="0" w:space="0" w:color="auto"/>
                          </w:divBdr>
                          <w:divsChild>
                            <w:div w:id="1856114217">
                              <w:marLeft w:val="0"/>
                              <w:marRight w:val="0"/>
                              <w:marTop w:val="0"/>
                              <w:marBottom w:val="0"/>
                              <w:divBdr>
                                <w:top w:val="none" w:sz="0" w:space="0" w:color="auto"/>
                                <w:left w:val="none" w:sz="0" w:space="0" w:color="auto"/>
                                <w:bottom w:val="none" w:sz="0" w:space="0" w:color="auto"/>
                                <w:right w:val="none" w:sz="0" w:space="0" w:color="auto"/>
                              </w:divBdr>
                              <w:divsChild>
                                <w:div w:id="1142431859">
                                  <w:marLeft w:val="0"/>
                                  <w:marRight w:val="0"/>
                                  <w:marTop w:val="0"/>
                                  <w:marBottom w:val="0"/>
                                  <w:divBdr>
                                    <w:top w:val="none" w:sz="0" w:space="0" w:color="auto"/>
                                    <w:left w:val="none" w:sz="0" w:space="0" w:color="auto"/>
                                    <w:bottom w:val="none" w:sz="0" w:space="0" w:color="auto"/>
                                    <w:right w:val="none" w:sz="0" w:space="0" w:color="auto"/>
                                  </w:divBdr>
                                  <w:divsChild>
                                    <w:div w:id="558784167">
                                      <w:marLeft w:val="0"/>
                                      <w:marRight w:val="0"/>
                                      <w:marTop w:val="0"/>
                                      <w:marBottom w:val="0"/>
                                      <w:divBdr>
                                        <w:top w:val="none" w:sz="0" w:space="0" w:color="auto"/>
                                        <w:left w:val="none" w:sz="0" w:space="0" w:color="auto"/>
                                        <w:bottom w:val="none" w:sz="0" w:space="0" w:color="auto"/>
                                        <w:right w:val="none" w:sz="0" w:space="0" w:color="auto"/>
                                      </w:divBdr>
                                      <w:divsChild>
                                        <w:div w:id="250700761">
                                          <w:marLeft w:val="0"/>
                                          <w:marRight w:val="0"/>
                                          <w:marTop w:val="0"/>
                                          <w:marBottom w:val="0"/>
                                          <w:divBdr>
                                            <w:top w:val="none" w:sz="0" w:space="0" w:color="auto"/>
                                            <w:left w:val="none" w:sz="0" w:space="0" w:color="auto"/>
                                            <w:bottom w:val="none" w:sz="0" w:space="0" w:color="auto"/>
                                            <w:right w:val="none" w:sz="0" w:space="0" w:color="auto"/>
                                          </w:divBdr>
                                          <w:divsChild>
                                            <w:div w:id="21211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871907">
      <w:bodyDiv w:val="1"/>
      <w:marLeft w:val="0"/>
      <w:marRight w:val="0"/>
      <w:marTop w:val="0"/>
      <w:marBottom w:val="0"/>
      <w:divBdr>
        <w:top w:val="none" w:sz="0" w:space="0" w:color="auto"/>
        <w:left w:val="none" w:sz="0" w:space="0" w:color="auto"/>
        <w:bottom w:val="none" w:sz="0" w:space="0" w:color="auto"/>
        <w:right w:val="none" w:sz="0" w:space="0" w:color="auto"/>
      </w:divBdr>
      <w:divsChild>
        <w:div w:id="707070540">
          <w:marLeft w:val="547"/>
          <w:marRight w:val="0"/>
          <w:marTop w:val="0"/>
          <w:marBottom w:val="0"/>
          <w:divBdr>
            <w:top w:val="none" w:sz="0" w:space="0" w:color="auto"/>
            <w:left w:val="none" w:sz="0" w:space="0" w:color="auto"/>
            <w:bottom w:val="none" w:sz="0" w:space="0" w:color="auto"/>
            <w:right w:val="none" w:sz="0" w:space="0" w:color="auto"/>
          </w:divBdr>
        </w:div>
        <w:div w:id="1336883462">
          <w:marLeft w:val="547"/>
          <w:marRight w:val="0"/>
          <w:marTop w:val="0"/>
          <w:marBottom w:val="0"/>
          <w:divBdr>
            <w:top w:val="none" w:sz="0" w:space="0" w:color="auto"/>
            <w:left w:val="none" w:sz="0" w:space="0" w:color="auto"/>
            <w:bottom w:val="none" w:sz="0" w:space="0" w:color="auto"/>
            <w:right w:val="none" w:sz="0" w:space="0" w:color="auto"/>
          </w:divBdr>
        </w:div>
        <w:div w:id="902327503">
          <w:marLeft w:val="547"/>
          <w:marRight w:val="0"/>
          <w:marTop w:val="0"/>
          <w:marBottom w:val="0"/>
          <w:divBdr>
            <w:top w:val="none" w:sz="0" w:space="0" w:color="auto"/>
            <w:left w:val="none" w:sz="0" w:space="0" w:color="auto"/>
            <w:bottom w:val="none" w:sz="0" w:space="0" w:color="auto"/>
            <w:right w:val="none" w:sz="0" w:space="0" w:color="auto"/>
          </w:divBdr>
        </w:div>
        <w:div w:id="2031757151">
          <w:marLeft w:val="547"/>
          <w:marRight w:val="0"/>
          <w:marTop w:val="0"/>
          <w:marBottom w:val="0"/>
          <w:divBdr>
            <w:top w:val="none" w:sz="0" w:space="0" w:color="auto"/>
            <w:left w:val="none" w:sz="0" w:space="0" w:color="auto"/>
            <w:bottom w:val="none" w:sz="0" w:space="0" w:color="auto"/>
            <w:right w:val="none" w:sz="0" w:space="0" w:color="auto"/>
          </w:divBdr>
        </w:div>
        <w:div w:id="2038701612">
          <w:marLeft w:val="547"/>
          <w:marRight w:val="0"/>
          <w:marTop w:val="0"/>
          <w:marBottom w:val="0"/>
          <w:divBdr>
            <w:top w:val="none" w:sz="0" w:space="0" w:color="auto"/>
            <w:left w:val="none" w:sz="0" w:space="0" w:color="auto"/>
            <w:bottom w:val="none" w:sz="0" w:space="0" w:color="auto"/>
            <w:right w:val="none" w:sz="0" w:space="0" w:color="auto"/>
          </w:divBdr>
        </w:div>
        <w:div w:id="882912207">
          <w:marLeft w:val="547"/>
          <w:marRight w:val="0"/>
          <w:marTop w:val="0"/>
          <w:marBottom w:val="0"/>
          <w:divBdr>
            <w:top w:val="none" w:sz="0" w:space="0" w:color="auto"/>
            <w:left w:val="none" w:sz="0" w:space="0" w:color="auto"/>
            <w:bottom w:val="none" w:sz="0" w:space="0" w:color="auto"/>
            <w:right w:val="none" w:sz="0" w:space="0" w:color="auto"/>
          </w:divBdr>
        </w:div>
        <w:div w:id="1472752069">
          <w:marLeft w:val="547"/>
          <w:marRight w:val="0"/>
          <w:marTop w:val="0"/>
          <w:marBottom w:val="0"/>
          <w:divBdr>
            <w:top w:val="none" w:sz="0" w:space="0" w:color="auto"/>
            <w:left w:val="none" w:sz="0" w:space="0" w:color="auto"/>
            <w:bottom w:val="none" w:sz="0" w:space="0" w:color="auto"/>
            <w:right w:val="none" w:sz="0" w:space="0" w:color="auto"/>
          </w:divBdr>
        </w:div>
        <w:div w:id="103115920">
          <w:marLeft w:val="547"/>
          <w:marRight w:val="0"/>
          <w:marTop w:val="0"/>
          <w:marBottom w:val="0"/>
          <w:divBdr>
            <w:top w:val="none" w:sz="0" w:space="0" w:color="auto"/>
            <w:left w:val="none" w:sz="0" w:space="0" w:color="auto"/>
            <w:bottom w:val="none" w:sz="0" w:space="0" w:color="auto"/>
            <w:right w:val="none" w:sz="0" w:space="0" w:color="auto"/>
          </w:divBdr>
        </w:div>
        <w:div w:id="446392645">
          <w:marLeft w:val="547"/>
          <w:marRight w:val="0"/>
          <w:marTop w:val="0"/>
          <w:marBottom w:val="0"/>
          <w:divBdr>
            <w:top w:val="none" w:sz="0" w:space="0" w:color="auto"/>
            <w:left w:val="none" w:sz="0" w:space="0" w:color="auto"/>
            <w:bottom w:val="none" w:sz="0" w:space="0" w:color="auto"/>
            <w:right w:val="none" w:sz="0" w:space="0" w:color="auto"/>
          </w:divBdr>
        </w:div>
        <w:div w:id="1087925572">
          <w:marLeft w:val="547"/>
          <w:marRight w:val="0"/>
          <w:marTop w:val="0"/>
          <w:marBottom w:val="0"/>
          <w:divBdr>
            <w:top w:val="none" w:sz="0" w:space="0" w:color="auto"/>
            <w:left w:val="none" w:sz="0" w:space="0" w:color="auto"/>
            <w:bottom w:val="none" w:sz="0" w:space="0" w:color="auto"/>
            <w:right w:val="none" w:sz="0" w:space="0" w:color="auto"/>
          </w:divBdr>
        </w:div>
        <w:div w:id="1413507043">
          <w:marLeft w:val="547"/>
          <w:marRight w:val="0"/>
          <w:marTop w:val="0"/>
          <w:marBottom w:val="0"/>
          <w:divBdr>
            <w:top w:val="none" w:sz="0" w:space="0" w:color="auto"/>
            <w:left w:val="none" w:sz="0" w:space="0" w:color="auto"/>
            <w:bottom w:val="none" w:sz="0" w:space="0" w:color="auto"/>
            <w:right w:val="none" w:sz="0" w:space="0" w:color="auto"/>
          </w:divBdr>
        </w:div>
        <w:div w:id="1434131776">
          <w:marLeft w:val="547"/>
          <w:marRight w:val="0"/>
          <w:marTop w:val="0"/>
          <w:marBottom w:val="0"/>
          <w:divBdr>
            <w:top w:val="none" w:sz="0" w:space="0" w:color="auto"/>
            <w:left w:val="none" w:sz="0" w:space="0" w:color="auto"/>
            <w:bottom w:val="none" w:sz="0" w:space="0" w:color="auto"/>
            <w:right w:val="none" w:sz="0" w:space="0" w:color="auto"/>
          </w:divBdr>
        </w:div>
        <w:div w:id="208494923">
          <w:marLeft w:val="547"/>
          <w:marRight w:val="0"/>
          <w:marTop w:val="0"/>
          <w:marBottom w:val="0"/>
          <w:divBdr>
            <w:top w:val="none" w:sz="0" w:space="0" w:color="auto"/>
            <w:left w:val="none" w:sz="0" w:space="0" w:color="auto"/>
            <w:bottom w:val="none" w:sz="0" w:space="0" w:color="auto"/>
            <w:right w:val="none" w:sz="0" w:space="0" w:color="auto"/>
          </w:divBdr>
        </w:div>
        <w:div w:id="1046639911">
          <w:marLeft w:val="547"/>
          <w:marRight w:val="0"/>
          <w:marTop w:val="0"/>
          <w:marBottom w:val="0"/>
          <w:divBdr>
            <w:top w:val="none" w:sz="0" w:space="0" w:color="auto"/>
            <w:left w:val="none" w:sz="0" w:space="0" w:color="auto"/>
            <w:bottom w:val="none" w:sz="0" w:space="0" w:color="auto"/>
            <w:right w:val="none" w:sz="0" w:space="0" w:color="auto"/>
          </w:divBdr>
        </w:div>
        <w:div w:id="416563716">
          <w:marLeft w:val="547"/>
          <w:marRight w:val="0"/>
          <w:marTop w:val="0"/>
          <w:marBottom w:val="0"/>
          <w:divBdr>
            <w:top w:val="none" w:sz="0" w:space="0" w:color="auto"/>
            <w:left w:val="none" w:sz="0" w:space="0" w:color="auto"/>
            <w:bottom w:val="none" w:sz="0" w:space="0" w:color="auto"/>
            <w:right w:val="none" w:sz="0" w:space="0" w:color="auto"/>
          </w:divBdr>
        </w:div>
        <w:div w:id="1232035465">
          <w:marLeft w:val="547"/>
          <w:marRight w:val="0"/>
          <w:marTop w:val="0"/>
          <w:marBottom w:val="0"/>
          <w:divBdr>
            <w:top w:val="none" w:sz="0" w:space="0" w:color="auto"/>
            <w:left w:val="none" w:sz="0" w:space="0" w:color="auto"/>
            <w:bottom w:val="none" w:sz="0" w:space="0" w:color="auto"/>
            <w:right w:val="none" w:sz="0" w:space="0" w:color="auto"/>
          </w:divBdr>
        </w:div>
      </w:divsChild>
    </w:div>
    <w:div w:id="1050420854">
      <w:bodyDiv w:val="1"/>
      <w:marLeft w:val="0"/>
      <w:marRight w:val="0"/>
      <w:marTop w:val="0"/>
      <w:marBottom w:val="0"/>
      <w:divBdr>
        <w:top w:val="none" w:sz="0" w:space="0" w:color="auto"/>
        <w:left w:val="none" w:sz="0" w:space="0" w:color="auto"/>
        <w:bottom w:val="none" w:sz="0" w:space="0" w:color="auto"/>
        <w:right w:val="none" w:sz="0" w:space="0" w:color="auto"/>
      </w:divBdr>
      <w:divsChild>
        <w:div w:id="835732778">
          <w:marLeft w:val="1123"/>
          <w:marRight w:val="0"/>
          <w:marTop w:val="0"/>
          <w:marBottom w:val="0"/>
          <w:divBdr>
            <w:top w:val="none" w:sz="0" w:space="0" w:color="auto"/>
            <w:left w:val="none" w:sz="0" w:space="0" w:color="auto"/>
            <w:bottom w:val="none" w:sz="0" w:space="0" w:color="auto"/>
            <w:right w:val="none" w:sz="0" w:space="0" w:color="auto"/>
          </w:divBdr>
        </w:div>
        <w:div w:id="1034308295">
          <w:marLeft w:val="1123"/>
          <w:marRight w:val="0"/>
          <w:marTop w:val="0"/>
          <w:marBottom w:val="0"/>
          <w:divBdr>
            <w:top w:val="none" w:sz="0" w:space="0" w:color="auto"/>
            <w:left w:val="none" w:sz="0" w:space="0" w:color="auto"/>
            <w:bottom w:val="none" w:sz="0" w:space="0" w:color="auto"/>
            <w:right w:val="none" w:sz="0" w:space="0" w:color="auto"/>
          </w:divBdr>
        </w:div>
        <w:div w:id="591011353">
          <w:marLeft w:val="1123"/>
          <w:marRight w:val="0"/>
          <w:marTop w:val="0"/>
          <w:marBottom w:val="0"/>
          <w:divBdr>
            <w:top w:val="none" w:sz="0" w:space="0" w:color="auto"/>
            <w:left w:val="none" w:sz="0" w:space="0" w:color="auto"/>
            <w:bottom w:val="none" w:sz="0" w:space="0" w:color="auto"/>
            <w:right w:val="none" w:sz="0" w:space="0" w:color="auto"/>
          </w:divBdr>
        </w:div>
      </w:divsChild>
    </w:div>
    <w:div w:id="1065645566">
      <w:bodyDiv w:val="1"/>
      <w:marLeft w:val="0"/>
      <w:marRight w:val="0"/>
      <w:marTop w:val="0"/>
      <w:marBottom w:val="0"/>
      <w:divBdr>
        <w:top w:val="none" w:sz="0" w:space="0" w:color="auto"/>
        <w:left w:val="none" w:sz="0" w:space="0" w:color="auto"/>
        <w:bottom w:val="none" w:sz="0" w:space="0" w:color="auto"/>
        <w:right w:val="none" w:sz="0" w:space="0" w:color="auto"/>
      </w:divBdr>
      <w:divsChild>
        <w:div w:id="345254883">
          <w:marLeft w:val="547"/>
          <w:marRight w:val="0"/>
          <w:marTop w:val="0"/>
          <w:marBottom w:val="210"/>
          <w:divBdr>
            <w:top w:val="none" w:sz="0" w:space="0" w:color="auto"/>
            <w:left w:val="none" w:sz="0" w:space="0" w:color="auto"/>
            <w:bottom w:val="none" w:sz="0" w:space="0" w:color="auto"/>
            <w:right w:val="none" w:sz="0" w:space="0" w:color="auto"/>
          </w:divBdr>
        </w:div>
      </w:divsChild>
    </w:div>
    <w:div w:id="1111321787">
      <w:bodyDiv w:val="1"/>
      <w:marLeft w:val="0"/>
      <w:marRight w:val="0"/>
      <w:marTop w:val="0"/>
      <w:marBottom w:val="0"/>
      <w:divBdr>
        <w:top w:val="none" w:sz="0" w:space="0" w:color="auto"/>
        <w:left w:val="none" w:sz="0" w:space="0" w:color="auto"/>
        <w:bottom w:val="none" w:sz="0" w:space="0" w:color="auto"/>
        <w:right w:val="none" w:sz="0" w:space="0" w:color="auto"/>
      </w:divBdr>
    </w:div>
    <w:div w:id="1305232337">
      <w:bodyDiv w:val="1"/>
      <w:marLeft w:val="0"/>
      <w:marRight w:val="0"/>
      <w:marTop w:val="0"/>
      <w:marBottom w:val="0"/>
      <w:divBdr>
        <w:top w:val="none" w:sz="0" w:space="0" w:color="auto"/>
        <w:left w:val="none" w:sz="0" w:space="0" w:color="auto"/>
        <w:bottom w:val="none" w:sz="0" w:space="0" w:color="auto"/>
        <w:right w:val="none" w:sz="0" w:space="0" w:color="auto"/>
      </w:divBdr>
    </w:div>
    <w:div w:id="1389067922">
      <w:bodyDiv w:val="1"/>
      <w:marLeft w:val="0"/>
      <w:marRight w:val="0"/>
      <w:marTop w:val="0"/>
      <w:marBottom w:val="0"/>
      <w:divBdr>
        <w:top w:val="none" w:sz="0" w:space="0" w:color="auto"/>
        <w:left w:val="none" w:sz="0" w:space="0" w:color="auto"/>
        <w:bottom w:val="none" w:sz="0" w:space="0" w:color="auto"/>
        <w:right w:val="none" w:sz="0" w:space="0" w:color="auto"/>
      </w:divBdr>
    </w:div>
    <w:div w:id="1453548600">
      <w:bodyDiv w:val="1"/>
      <w:marLeft w:val="0"/>
      <w:marRight w:val="0"/>
      <w:marTop w:val="0"/>
      <w:marBottom w:val="0"/>
      <w:divBdr>
        <w:top w:val="none" w:sz="0" w:space="0" w:color="auto"/>
        <w:left w:val="none" w:sz="0" w:space="0" w:color="auto"/>
        <w:bottom w:val="none" w:sz="0" w:space="0" w:color="auto"/>
        <w:right w:val="none" w:sz="0" w:space="0" w:color="auto"/>
      </w:divBdr>
    </w:div>
    <w:div w:id="1703743918">
      <w:bodyDiv w:val="1"/>
      <w:marLeft w:val="0"/>
      <w:marRight w:val="0"/>
      <w:marTop w:val="0"/>
      <w:marBottom w:val="0"/>
      <w:divBdr>
        <w:top w:val="none" w:sz="0" w:space="0" w:color="auto"/>
        <w:left w:val="none" w:sz="0" w:space="0" w:color="auto"/>
        <w:bottom w:val="none" w:sz="0" w:space="0" w:color="auto"/>
        <w:right w:val="none" w:sz="0" w:space="0" w:color="auto"/>
      </w:divBdr>
    </w:div>
    <w:div w:id="1721828868">
      <w:bodyDiv w:val="1"/>
      <w:marLeft w:val="0"/>
      <w:marRight w:val="0"/>
      <w:marTop w:val="0"/>
      <w:marBottom w:val="0"/>
      <w:divBdr>
        <w:top w:val="none" w:sz="0" w:space="0" w:color="auto"/>
        <w:left w:val="none" w:sz="0" w:space="0" w:color="auto"/>
        <w:bottom w:val="none" w:sz="0" w:space="0" w:color="auto"/>
        <w:right w:val="none" w:sz="0" w:space="0" w:color="auto"/>
      </w:divBdr>
    </w:div>
    <w:div w:id="1740594485">
      <w:bodyDiv w:val="1"/>
      <w:marLeft w:val="0"/>
      <w:marRight w:val="0"/>
      <w:marTop w:val="0"/>
      <w:marBottom w:val="0"/>
      <w:divBdr>
        <w:top w:val="none" w:sz="0" w:space="0" w:color="auto"/>
        <w:left w:val="none" w:sz="0" w:space="0" w:color="auto"/>
        <w:bottom w:val="none" w:sz="0" w:space="0" w:color="auto"/>
        <w:right w:val="none" w:sz="0" w:space="0" w:color="auto"/>
      </w:divBdr>
    </w:div>
    <w:div w:id="1788039224">
      <w:bodyDiv w:val="1"/>
      <w:marLeft w:val="0"/>
      <w:marRight w:val="0"/>
      <w:marTop w:val="0"/>
      <w:marBottom w:val="0"/>
      <w:divBdr>
        <w:top w:val="none" w:sz="0" w:space="0" w:color="auto"/>
        <w:left w:val="none" w:sz="0" w:space="0" w:color="auto"/>
        <w:bottom w:val="none" w:sz="0" w:space="0" w:color="auto"/>
        <w:right w:val="none" w:sz="0" w:space="0" w:color="auto"/>
      </w:divBdr>
    </w:div>
    <w:div w:id="1792019968">
      <w:bodyDiv w:val="1"/>
      <w:marLeft w:val="0"/>
      <w:marRight w:val="0"/>
      <w:marTop w:val="0"/>
      <w:marBottom w:val="0"/>
      <w:divBdr>
        <w:top w:val="none" w:sz="0" w:space="0" w:color="auto"/>
        <w:left w:val="none" w:sz="0" w:space="0" w:color="auto"/>
        <w:bottom w:val="none" w:sz="0" w:space="0" w:color="auto"/>
        <w:right w:val="none" w:sz="0" w:space="0" w:color="auto"/>
      </w:divBdr>
    </w:div>
    <w:div w:id="1826704520">
      <w:bodyDiv w:val="1"/>
      <w:marLeft w:val="0"/>
      <w:marRight w:val="0"/>
      <w:marTop w:val="0"/>
      <w:marBottom w:val="0"/>
      <w:divBdr>
        <w:top w:val="none" w:sz="0" w:space="0" w:color="auto"/>
        <w:left w:val="none" w:sz="0" w:space="0" w:color="auto"/>
        <w:bottom w:val="none" w:sz="0" w:space="0" w:color="auto"/>
        <w:right w:val="none" w:sz="0" w:space="0" w:color="auto"/>
      </w:divBdr>
    </w:div>
    <w:div w:id="1860581128">
      <w:bodyDiv w:val="1"/>
      <w:marLeft w:val="0"/>
      <w:marRight w:val="0"/>
      <w:marTop w:val="0"/>
      <w:marBottom w:val="0"/>
      <w:divBdr>
        <w:top w:val="none" w:sz="0" w:space="0" w:color="auto"/>
        <w:left w:val="none" w:sz="0" w:space="0" w:color="auto"/>
        <w:bottom w:val="none" w:sz="0" w:space="0" w:color="auto"/>
        <w:right w:val="none" w:sz="0" w:space="0" w:color="auto"/>
      </w:divBdr>
    </w:div>
    <w:div w:id="1864904369">
      <w:bodyDiv w:val="1"/>
      <w:marLeft w:val="0"/>
      <w:marRight w:val="0"/>
      <w:marTop w:val="0"/>
      <w:marBottom w:val="0"/>
      <w:divBdr>
        <w:top w:val="none" w:sz="0" w:space="0" w:color="auto"/>
        <w:left w:val="none" w:sz="0" w:space="0" w:color="auto"/>
        <w:bottom w:val="none" w:sz="0" w:space="0" w:color="auto"/>
        <w:right w:val="none" w:sz="0" w:space="0" w:color="auto"/>
      </w:divBdr>
    </w:div>
    <w:div w:id="1901746577">
      <w:bodyDiv w:val="1"/>
      <w:marLeft w:val="0"/>
      <w:marRight w:val="0"/>
      <w:marTop w:val="0"/>
      <w:marBottom w:val="0"/>
      <w:divBdr>
        <w:top w:val="none" w:sz="0" w:space="0" w:color="auto"/>
        <w:left w:val="none" w:sz="0" w:space="0" w:color="auto"/>
        <w:bottom w:val="none" w:sz="0" w:space="0" w:color="auto"/>
        <w:right w:val="none" w:sz="0" w:space="0" w:color="auto"/>
      </w:divBdr>
    </w:div>
    <w:div w:id="1904025830">
      <w:bodyDiv w:val="1"/>
      <w:marLeft w:val="0"/>
      <w:marRight w:val="0"/>
      <w:marTop w:val="0"/>
      <w:marBottom w:val="0"/>
      <w:divBdr>
        <w:top w:val="none" w:sz="0" w:space="0" w:color="auto"/>
        <w:left w:val="none" w:sz="0" w:space="0" w:color="auto"/>
        <w:bottom w:val="none" w:sz="0" w:space="0" w:color="auto"/>
        <w:right w:val="none" w:sz="0" w:space="0" w:color="auto"/>
      </w:divBdr>
    </w:div>
    <w:div w:id="1940260055">
      <w:bodyDiv w:val="1"/>
      <w:marLeft w:val="0"/>
      <w:marRight w:val="0"/>
      <w:marTop w:val="0"/>
      <w:marBottom w:val="0"/>
      <w:divBdr>
        <w:top w:val="none" w:sz="0" w:space="0" w:color="auto"/>
        <w:left w:val="none" w:sz="0" w:space="0" w:color="auto"/>
        <w:bottom w:val="none" w:sz="0" w:space="0" w:color="auto"/>
        <w:right w:val="none" w:sz="0" w:space="0" w:color="auto"/>
      </w:divBdr>
    </w:div>
    <w:div w:id="1945384551">
      <w:bodyDiv w:val="1"/>
      <w:marLeft w:val="0"/>
      <w:marRight w:val="0"/>
      <w:marTop w:val="0"/>
      <w:marBottom w:val="0"/>
      <w:divBdr>
        <w:top w:val="none" w:sz="0" w:space="0" w:color="auto"/>
        <w:left w:val="none" w:sz="0" w:space="0" w:color="auto"/>
        <w:bottom w:val="none" w:sz="0" w:space="0" w:color="auto"/>
        <w:right w:val="none" w:sz="0" w:space="0" w:color="auto"/>
      </w:divBdr>
    </w:div>
    <w:div w:id="1999186049">
      <w:bodyDiv w:val="1"/>
      <w:marLeft w:val="0"/>
      <w:marRight w:val="0"/>
      <w:marTop w:val="0"/>
      <w:marBottom w:val="0"/>
      <w:divBdr>
        <w:top w:val="none" w:sz="0" w:space="0" w:color="auto"/>
        <w:left w:val="none" w:sz="0" w:space="0" w:color="auto"/>
        <w:bottom w:val="none" w:sz="0" w:space="0" w:color="auto"/>
        <w:right w:val="none" w:sz="0" w:space="0" w:color="auto"/>
      </w:divBdr>
    </w:div>
    <w:div w:id="2005351907">
      <w:bodyDiv w:val="1"/>
      <w:marLeft w:val="0"/>
      <w:marRight w:val="0"/>
      <w:marTop w:val="0"/>
      <w:marBottom w:val="0"/>
      <w:divBdr>
        <w:top w:val="none" w:sz="0" w:space="0" w:color="auto"/>
        <w:left w:val="none" w:sz="0" w:space="0" w:color="auto"/>
        <w:bottom w:val="none" w:sz="0" w:space="0" w:color="auto"/>
        <w:right w:val="none" w:sz="0" w:space="0" w:color="auto"/>
      </w:divBdr>
    </w:div>
    <w:div w:id="2077391962">
      <w:bodyDiv w:val="1"/>
      <w:marLeft w:val="0"/>
      <w:marRight w:val="0"/>
      <w:marTop w:val="0"/>
      <w:marBottom w:val="0"/>
      <w:divBdr>
        <w:top w:val="none" w:sz="0" w:space="0" w:color="auto"/>
        <w:left w:val="none" w:sz="0" w:space="0" w:color="auto"/>
        <w:bottom w:val="none" w:sz="0" w:space="0" w:color="auto"/>
        <w:right w:val="none" w:sz="0" w:space="0" w:color="auto"/>
      </w:divBdr>
    </w:div>
    <w:div w:id="2096658270">
      <w:bodyDiv w:val="1"/>
      <w:marLeft w:val="0"/>
      <w:marRight w:val="0"/>
      <w:marTop w:val="0"/>
      <w:marBottom w:val="0"/>
      <w:divBdr>
        <w:top w:val="none" w:sz="0" w:space="0" w:color="auto"/>
        <w:left w:val="none" w:sz="0" w:space="0" w:color="auto"/>
        <w:bottom w:val="none" w:sz="0" w:space="0" w:color="auto"/>
        <w:right w:val="none" w:sz="0" w:space="0" w:color="auto"/>
      </w:divBdr>
    </w:div>
    <w:div w:id="21283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9830-4182-473C-AC15-88CD9450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9911</Words>
  <Characters>56493</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Xolisile Mgxaji</dc:creator>
  <cp:lastModifiedBy>Asanda</cp:lastModifiedBy>
  <cp:revision>2</cp:revision>
  <cp:lastPrinted>2015-10-27T14:38:00Z</cp:lastPrinted>
  <dcterms:created xsi:type="dcterms:W3CDTF">2019-07-11T12:34:00Z</dcterms:created>
  <dcterms:modified xsi:type="dcterms:W3CDTF">2019-07-11T12:34:00Z</dcterms:modified>
</cp:coreProperties>
</file>