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F56F" w14:textId="26309505" w:rsidR="00031473" w:rsidRPr="00F70976" w:rsidRDefault="002477A6" w:rsidP="002477A6">
      <w:pPr>
        <w:ind w:left="547" w:hanging="547"/>
        <w:jc w:val="both"/>
        <w:rPr>
          <w:b/>
          <w:sz w:val="28"/>
          <w:szCs w:val="28"/>
        </w:rPr>
      </w:pPr>
      <w:bookmarkStart w:id="0" w:name="_GoBack"/>
      <w:bookmarkEnd w:id="0"/>
      <w:r>
        <w:rPr>
          <w:b/>
          <w:sz w:val="28"/>
          <w:szCs w:val="28"/>
        </w:rPr>
        <w:t>6.</w:t>
      </w:r>
      <w:r>
        <w:rPr>
          <w:b/>
          <w:sz w:val="28"/>
          <w:szCs w:val="28"/>
        </w:rPr>
        <w:tab/>
      </w:r>
      <w:r w:rsidR="001358C9" w:rsidRPr="00F70976">
        <w:rPr>
          <w:b/>
          <w:sz w:val="28"/>
          <w:szCs w:val="28"/>
        </w:rPr>
        <w:t>R</w:t>
      </w:r>
      <w:r w:rsidR="003A61B8" w:rsidRPr="00F70976">
        <w:rPr>
          <w:b/>
          <w:sz w:val="28"/>
          <w:szCs w:val="28"/>
        </w:rPr>
        <w:t xml:space="preserve">eport </w:t>
      </w:r>
      <w:r w:rsidR="00B90DA3" w:rsidRPr="00F70976">
        <w:rPr>
          <w:b/>
          <w:sz w:val="28"/>
          <w:szCs w:val="28"/>
        </w:rPr>
        <w:t xml:space="preserve">of the Portfolio Committee on </w:t>
      </w:r>
      <w:r w:rsidR="00482874" w:rsidRPr="00F70976">
        <w:rPr>
          <w:b/>
          <w:sz w:val="28"/>
          <w:szCs w:val="28"/>
        </w:rPr>
        <w:t xml:space="preserve">Agriculture, </w:t>
      </w:r>
      <w:r w:rsidR="008D5C0A" w:rsidRPr="00F70976">
        <w:rPr>
          <w:b/>
          <w:sz w:val="28"/>
          <w:szCs w:val="28"/>
        </w:rPr>
        <w:t xml:space="preserve">Land Reform </w:t>
      </w:r>
      <w:r w:rsidR="00482874" w:rsidRPr="00F70976">
        <w:rPr>
          <w:b/>
          <w:sz w:val="28"/>
          <w:szCs w:val="28"/>
        </w:rPr>
        <w:t xml:space="preserve">and </w:t>
      </w:r>
      <w:r w:rsidR="008D5C0A" w:rsidRPr="00F70976">
        <w:rPr>
          <w:b/>
          <w:sz w:val="28"/>
          <w:szCs w:val="28"/>
        </w:rPr>
        <w:t>Rural Development</w:t>
      </w:r>
      <w:r w:rsidR="00B90DA3" w:rsidRPr="00F70976">
        <w:rPr>
          <w:b/>
          <w:sz w:val="28"/>
          <w:szCs w:val="28"/>
        </w:rPr>
        <w:t xml:space="preserve"> on the </w:t>
      </w:r>
      <w:r w:rsidR="0099124E" w:rsidRPr="00F70976">
        <w:rPr>
          <w:b/>
          <w:sz w:val="28"/>
          <w:szCs w:val="28"/>
        </w:rPr>
        <w:t>201</w:t>
      </w:r>
      <w:r w:rsidR="008D5C0A" w:rsidRPr="00F70976">
        <w:rPr>
          <w:b/>
          <w:sz w:val="28"/>
          <w:szCs w:val="28"/>
        </w:rPr>
        <w:t>9</w:t>
      </w:r>
      <w:r w:rsidR="0099124E" w:rsidRPr="00F70976">
        <w:rPr>
          <w:b/>
          <w:sz w:val="28"/>
          <w:szCs w:val="28"/>
        </w:rPr>
        <w:t>/</w:t>
      </w:r>
      <w:r w:rsidR="008D5C0A" w:rsidRPr="00F70976">
        <w:rPr>
          <w:b/>
          <w:sz w:val="28"/>
          <w:szCs w:val="28"/>
        </w:rPr>
        <w:t>20</w:t>
      </w:r>
      <w:r w:rsidR="0099124E" w:rsidRPr="00F70976">
        <w:rPr>
          <w:b/>
          <w:sz w:val="28"/>
          <w:szCs w:val="28"/>
        </w:rPr>
        <w:t xml:space="preserve"> </w:t>
      </w:r>
      <w:r w:rsidR="00976072" w:rsidRPr="00F70976">
        <w:rPr>
          <w:b/>
          <w:sz w:val="28"/>
          <w:szCs w:val="28"/>
        </w:rPr>
        <w:t xml:space="preserve">Annual Performance Plan </w:t>
      </w:r>
      <w:r w:rsidR="00482874" w:rsidRPr="00F70976">
        <w:rPr>
          <w:b/>
          <w:sz w:val="28"/>
          <w:szCs w:val="28"/>
        </w:rPr>
        <w:t xml:space="preserve">and </w:t>
      </w:r>
      <w:r w:rsidR="00B54C3C" w:rsidRPr="00F70976">
        <w:rPr>
          <w:b/>
          <w:sz w:val="28"/>
          <w:szCs w:val="28"/>
        </w:rPr>
        <w:t xml:space="preserve">the </w:t>
      </w:r>
      <w:r w:rsidR="00482874" w:rsidRPr="00F70976">
        <w:rPr>
          <w:b/>
          <w:sz w:val="28"/>
          <w:szCs w:val="28"/>
        </w:rPr>
        <w:t xml:space="preserve">Budget </w:t>
      </w:r>
      <w:r w:rsidR="00B90DA3" w:rsidRPr="00F70976">
        <w:rPr>
          <w:b/>
          <w:sz w:val="28"/>
          <w:szCs w:val="28"/>
        </w:rPr>
        <w:t xml:space="preserve">of </w:t>
      </w:r>
      <w:r w:rsidR="00482874" w:rsidRPr="00F70976">
        <w:rPr>
          <w:b/>
          <w:sz w:val="28"/>
          <w:szCs w:val="28"/>
        </w:rPr>
        <w:t>the Department of Agriculture, Forestry and Fisheries</w:t>
      </w:r>
      <w:r w:rsidR="00395D68" w:rsidRPr="00F70976">
        <w:rPr>
          <w:b/>
          <w:sz w:val="28"/>
          <w:szCs w:val="28"/>
        </w:rPr>
        <w:t xml:space="preserve"> (Vote 2</w:t>
      </w:r>
      <w:r w:rsidR="0017478E" w:rsidRPr="00F70976">
        <w:rPr>
          <w:b/>
          <w:sz w:val="28"/>
          <w:szCs w:val="28"/>
        </w:rPr>
        <w:t>4</w:t>
      </w:r>
      <w:r w:rsidR="00395D68" w:rsidRPr="00F70976">
        <w:rPr>
          <w:b/>
          <w:sz w:val="28"/>
          <w:szCs w:val="28"/>
        </w:rPr>
        <w:t>)</w:t>
      </w:r>
      <w:r w:rsidR="00482874" w:rsidRPr="00F70976">
        <w:rPr>
          <w:b/>
          <w:sz w:val="28"/>
          <w:szCs w:val="28"/>
        </w:rPr>
        <w:t xml:space="preserve"> and its </w:t>
      </w:r>
      <w:r w:rsidR="00CE2415" w:rsidRPr="00F70976">
        <w:rPr>
          <w:b/>
          <w:sz w:val="28"/>
          <w:szCs w:val="28"/>
        </w:rPr>
        <w:t>Entities, dated</w:t>
      </w:r>
      <w:r w:rsidR="0099124E" w:rsidRPr="00F70976">
        <w:rPr>
          <w:b/>
          <w:sz w:val="28"/>
          <w:szCs w:val="28"/>
        </w:rPr>
        <w:t xml:space="preserve"> </w:t>
      </w:r>
      <w:r w:rsidR="008D5C0A" w:rsidRPr="00F70976">
        <w:rPr>
          <w:b/>
          <w:sz w:val="28"/>
          <w:szCs w:val="28"/>
        </w:rPr>
        <w:t>10</w:t>
      </w:r>
      <w:r w:rsidR="00A70CBE" w:rsidRPr="00F70976">
        <w:rPr>
          <w:b/>
          <w:sz w:val="28"/>
          <w:szCs w:val="28"/>
        </w:rPr>
        <w:t xml:space="preserve"> </w:t>
      </w:r>
      <w:r w:rsidR="008D5C0A" w:rsidRPr="00F70976">
        <w:rPr>
          <w:b/>
          <w:sz w:val="28"/>
          <w:szCs w:val="28"/>
        </w:rPr>
        <w:t>July</w:t>
      </w:r>
      <w:r w:rsidR="00A70CBE" w:rsidRPr="00F70976">
        <w:rPr>
          <w:b/>
          <w:sz w:val="28"/>
          <w:szCs w:val="28"/>
        </w:rPr>
        <w:t xml:space="preserve"> </w:t>
      </w:r>
      <w:r w:rsidR="00976072" w:rsidRPr="00F70976">
        <w:rPr>
          <w:b/>
          <w:sz w:val="28"/>
          <w:szCs w:val="28"/>
        </w:rPr>
        <w:t>201</w:t>
      </w:r>
      <w:r w:rsidR="008D5C0A" w:rsidRPr="00F70976">
        <w:rPr>
          <w:b/>
          <w:sz w:val="28"/>
          <w:szCs w:val="28"/>
        </w:rPr>
        <w:t>9</w:t>
      </w:r>
      <w:r w:rsidR="00F96E3D" w:rsidRPr="00F70976">
        <w:rPr>
          <w:b/>
          <w:sz w:val="28"/>
          <w:szCs w:val="28"/>
        </w:rPr>
        <w:t>.</w:t>
      </w:r>
    </w:p>
    <w:p w14:paraId="6402967D" w14:textId="77777777" w:rsidR="001241AA" w:rsidRPr="00D00A94" w:rsidRDefault="001241AA" w:rsidP="00D00A94">
      <w:pPr>
        <w:spacing w:line="360" w:lineRule="auto"/>
        <w:jc w:val="both"/>
        <w:rPr>
          <w:b/>
        </w:rPr>
      </w:pPr>
    </w:p>
    <w:p w14:paraId="52541A37" w14:textId="77777777" w:rsidR="003769BC" w:rsidRPr="00D00A94" w:rsidRDefault="001241AA" w:rsidP="00D00A94">
      <w:pPr>
        <w:spacing w:line="360" w:lineRule="auto"/>
        <w:jc w:val="both"/>
      </w:pPr>
      <w:r w:rsidRPr="00D00A94">
        <w:t xml:space="preserve">The Portfolio Committee on </w:t>
      </w:r>
      <w:r w:rsidR="00482874" w:rsidRPr="00D00A94">
        <w:t xml:space="preserve">Agriculture, </w:t>
      </w:r>
      <w:r w:rsidR="008D5C0A" w:rsidRPr="00D00A94">
        <w:t>Land Reform and Rural Development</w:t>
      </w:r>
      <w:r w:rsidR="00395D68" w:rsidRPr="00D00A94">
        <w:t xml:space="preserve"> </w:t>
      </w:r>
      <w:r w:rsidR="0042056D" w:rsidRPr="00D00A94">
        <w:t xml:space="preserve">(hereinafter referred to as the Committee) </w:t>
      </w:r>
      <w:r w:rsidR="00395D68" w:rsidRPr="00D00A94">
        <w:t>examined Budget Vote 2</w:t>
      </w:r>
      <w:r w:rsidR="0017478E" w:rsidRPr="00D00A94">
        <w:t>4</w:t>
      </w:r>
      <w:r w:rsidR="00395D68" w:rsidRPr="00D00A94">
        <w:t>: Agriculture, Forestry and Fisheries</w:t>
      </w:r>
      <w:r w:rsidR="00215864" w:rsidRPr="00D00A94">
        <w:t xml:space="preserve"> including </w:t>
      </w:r>
      <w:r w:rsidR="00395D68" w:rsidRPr="00D00A94">
        <w:t>the Annual Performance Plan of the Department of Agriculture, Forestry and Fisheries</w:t>
      </w:r>
      <w:r w:rsidR="0019764A" w:rsidRPr="00D00A94">
        <w:t xml:space="preserve"> (</w:t>
      </w:r>
      <w:r w:rsidR="00696701" w:rsidRPr="00D00A94">
        <w:t xml:space="preserve">hereinafter referred to as </w:t>
      </w:r>
      <w:r w:rsidR="0019764A" w:rsidRPr="00D00A94">
        <w:t>DAFF</w:t>
      </w:r>
      <w:r w:rsidR="00696701" w:rsidRPr="00D00A94">
        <w:t xml:space="preserve"> or the Department</w:t>
      </w:r>
      <w:r w:rsidR="0019764A" w:rsidRPr="00D00A94">
        <w:t>)</w:t>
      </w:r>
      <w:r w:rsidR="00395D68" w:rsidRPr="00D00A94">
        <w:t xml:space="preserve"> for the 201</w:t>
      </w:r>
      <w:r w:rsidR="008D5C0A" w:rsidRPr="00D00A94">
        <w:t>9</w:t>
      </w:r>
      <w:r w:rsidR="005D1C63" w:rsidRPr="00D00A94">
        <w:t>/</w:t>
      </w:r>
      <w:r w:rsidR="008D5C0A" w:rsidRPr="00D00A94">
        <w:t>20</w:t>
      </w:r>
      <w:r w:rsidR="00395D68" w:rsidRPr="00D00A94">
        <w:t xml:space="preserve"> financial year and budget projections for the </w:t>
      </w:r>
      <w:r w:rsidR="00D77A89" w:rsidRPr="00D00A94">
        <w:t>M</w:t>
      </w:r>
      <w:r w:rsidR="00395D68" w:rsidRPr="00D00A94">
        <w:t xml:space="preserve">edium </w:t>
      </w:r>
      <w:r w:rsidR="00D77A89" w:rsidRPr="00D00A94">
        <w:t>T</w:t>
      </w:r>
      <w:r w:rsidR="00395D68" w:rsidRPr="00D00A94">
        <w:t xml:space="preserve">erm </w:t>
      </w:r>
      <w:r w:rsidR="00D77A89" w:rsidRPr="00D00A94">
        <w:t>Expenditure F</w:t>
      </w:r>
      <w:r w:rsidR="00395D68" w:rsidRPr="00D00A94">
        <w:t xml:space="preserve">ramework (MTEF) </w:t>
      </w:r>
      <w:r w:rsidR="00CE2415" w:rsidRPr="00D00A94">
        <w:t>period ending</w:t>
      </w:r>
      <w:r w:rsidR="0099124E" w:rsidRPr="00D00A94">
        <w:t xml:space="preserve"> in </w:t>
      </w:r>
      <w:r w:rsidR="00245493" w:rsidRPr="00D00A94">
        <w:t>20</w:t>
      </w:r>
      <w:r w:rsidR="00E075C8" w:rsidRPr="00D00A94">
        <w:t>2</w:t>
      </w:r>
      <w:r w:rsidR="00384F46" w:rsidRPr="00D00A94">
        <w:t>1</w:t>
      </w:r>
      <w:r w:rsidR="00245493" w:rsidRPr="00D00A94">
        <w:t>/</w:t>
      </w:r>
      <w:r w:rsidR="008C226B" w:rsidRPr="00D00A94">
        <w:t>2</w:t>
      </w:r>
      <w:r w:rsidR="00384F46" w:rsidRPr="00D00A94">
        <w:t>2</w:t>
      </w:r>
      <w:r w:rsidR="00245493" w:rsidRPr="00D00A94">
        <w:t xml:space="preserve">. </w:t>
      </w:r>
    </w:p>
    <w:p w14:paraId="7F7EA3E4" w14:textId="77777777" w:rsidR="003769BC" w:rsidRPr="00D00A94" w:rsidRDefault="003769BC" w:rsidP="00D00A94">
      <w:pPr>
        <w:spacing w:line="360" w:lineRule="auto"/>
        <w:jc w:val="both"/>
      </w:pPr>
    </w:p>
    <w:p w14:paraId="386261F5" w14:textId="77777777" w:rsidR="00235394" w:rsidRPr="00D00A94" w:rsidRDefault="00395D68" w:rsidP="00D00A94">
      <w:pPr>
        <w:spacing w:line="360" w:lineRule="auto"/>
        <w:jc w:val="both"/>
      </w:pPr>
      <w:r w:rsidRPr="00D00A94">
        <w:t xml:space="preserve">During the process, the Portfolio Committee also examined </w:t>
      </w:r>
      <w:r w:rsidR="001241AA" w:rsidRPr="00D00A94">
        <w:t xml:space="preserve">the </w:t>
      </w:r>
      <w:r w:rsidR="005B5EED" w:rsidRPr="00D00A94">
        <w:t>201</w:t>
      </w:r>
      <w:r w:rsidR="00384F46" w:rsidRPr="00D00A94">
        <w:t>9</w:t>
      </w:r>
      <w:r w:rsidR="005B5EED" w:rsidRPr="00D00A94">
        <w:t>/</w:t>
      </w:r>
      <w:r w:rsidR="00384F46" w:rsidRPr="00D00A94">
        <w:t>20</w:t>
      </w:r>
      <w:r w:rsidR="005B5EED" w:rsidRPr="00D00A94">
        <w:t xml:space="preserve"> </w:t>
      </w:r>
      <w:r w:rsidR="00575152" w:rsidRPr="00D00A94">
        <w:t>Annual Performance Plans</w:t>
      </w:r>
      <w:r w:rsidR="00D77A89" w:rsidRPr="00D00A94">
        <w:t xml:space="preserve"> (APPs)</w:t>
      </w:r>
      <w:r w:rsidR="00235394" w:rsidRPr="00D00A94">
        <w:t xml:space="preserve"> and </w:t>
      </w:r>
      <w:r w:rsidR="00476FC4" w:rsidRPr="00D00A94">
        <w:t>B</w:t>
      </w:r>
      <w:r w:rsidR="00B54C3C" w:rsidRPr="00D00A94">
        <w:t xml:space="preserve">udgets </w:t>
      </w:r>
      <w:r w:rsidR="00235394" w:rsidRPr="00D00A94">
        <w:t>for the MTEF period</w:t>
      </w:r>
      <w:r w:rsidR="005B5EED" w:rsidRPr="00D00A94">
        <w:t>,</w:t>
      </w:r>
      <w:r w:rsidR="00235394" w:rsidRPr="00D00A94">
        <w:t xml:space="preserve"> </w:t>
      </w:r>
      <w:r w:rsidR="001241AA" w:rsidRPr="00D00A94">
        <w:t xml:space="preserve">of </w:t>
      </w:r>
      <w:r w:rsidR="00575152" w:rsidRPr="00D00A94">
        <w:t xml:space="preserve">the </w:t>
      </w:r>
      <w:r w:rsidR="00235394" w:rsidRPr="00D00A94">
        <w:t xml:space="preserve">following DAFF </w:t>
      </w:r>
      <w:r w:rsidR="00981C08" w:rsidRPr="00D00A94">
        <w:t xml:space="preserve">Public </w:t>
      </w:r>
      <w:r w:rsidR="00482874" w:rsidRPr="00D00A94">
        <w:t>Entities</w:t>
      </w:r>
      <w:r w:rsidR="00235394" w:rsidRPr="00D00A94">
        <w:t>:</w:t>
      </w:r>
    </w:p>
    <w:p w14:paraId="3154BEDC" w14:textId="77777777" w:rsidR="00235394" w:rsidRDefault="00235394" w:rsidP="001175D3">
      <w:pPr>
        <w:numPr>
          <w:ilvl w:val="0"/>
          <w:numId w:val="3"/>
        </w:numPr>
        <w:spacing w:line="360" w:lineRule="auto"/>
        <w:jc w:val="both"/>
      </w:pPr>
      <w:r w:rsidRPr="00D00A94">
        <w:t xml:space="preserve">Agricultural Research Council </w:t>
      </w:r>
      <w:r w:rsidR="00376609" w:rsidRPr="00D00A94">
        <w:t>(ARC)</w:t>
      </w:r>
    </w:p>
    <w:p w14:paraId="1B2AC302" w14:textId="77777777" w:rsidR="004710D2" w:rsidRPr="00D00A94" w:rsidRDefault="004710D2" w:rsidP="001175D3">
      <w:pPr>
        <w:numPr>
          <w:ilvl w:val="0"/>
          <w:numId w:val="3"/>
        </w:numPr>
        <w:spacing w:line="360" w:lineRule="auto"/>
        <w:jc w:val="both"/>
      </w:pPr>
      <w:r w:rsidRPr="00D00A94">
        <w:t>Onderstepoort Biological Products (OBP)</w:t>
      </w:r>
    </w:p>
    <w:p w14:paraId="5287E956" w14:textId="77777777" w:rsidR="008C226B" w:rsidRPr="00D00A94" w:rsidRDefault="008C226B" w:rsidP="001175D3">
      <w:pPr>
        <w:numPr>
          <w:ilvl w:val="0"/>
          <w:numId w:val="3"/>
        </w:numPr>
        <w:spacing w:line="360" w:lineRule="auto"/>
        <w:jc w:val="both"/>
      </w:pPr>
      <w:r w:rsidRPr="00D00A94">
        <w:t>National Agricultural Marketing Council (NAMC)</w:t>
      </w:r>
    </w:p>
    <w:p w14:paraId="430F5844" w14:textId="77777777" w:rsidR="00A70CBE" w:rsidRPr="00D00A94" w:rsidRDefault="00A70CBE" w:rsidP="00D00A94">
      <w:pPr>
        <w:spacing w:line="360" w:lineRule="auto"/>
        <w:jc w:val="both"/>
      </w:pPr>
    </w:p>
    <w:p w14:paraId="3EBA023E" w14:textId="77777777" w:rsidR="00B90DA3" w:rsidRPr="00D00A94" w:rsidRDefault="00395D68" w:rsidP="00D00A94">
      <w:pPr>
        <w:spacing w:line="360" w:lineRule="auto"/>
        <w:jc w:val="both"/>
      </w:pPr>
      <w:r w:rsidRPr="00D00A94">
        <w:t>Having considered</w:t>
      </w:r>
      <w:r w:rsidR="004801CC" w:rsidRPr="00D00A94">
        <w:t xml:space="preserve"> the APPs and </w:t>
      </w:r>
      <w:r w:rsidR="00476FC4" w:rsidRPr="00D00A94">
        <w:t>B</w:t>
      </w:r>
      <w:r w:rsidR="004801CC" w:rsidRPr="00D00A94">
        <w:t>udget</w:t>
      </w:r>
      <w:r w:rsidR="009B1F0A" w:rsidRPr="00D00A94">
        <w:t xml:space="preserve"> Vote 24</w:t>
      </w:r>
      <w:r w:rsidR="0099124E" w:rsidRPr="00D00A94">
        <w:t xml:space="preserve">, which </w:t>
      </w:r>
      <w:r w:rsidR="009B1F0A" w:rsidRPr="00D00A94">
        <w:t xml:space="preserve">includes </w:t>
      </w:r>
      <w:r w:rsidR="004801CC" w:rsidRPr="00D00A94">
        <w:t>the Department and</w:t>
      </w:r>
      <w:r w:rsidR="00384F46" w:rsidRPr="00D00A94">
        <w:t xml:space="preserve"> the above-mentioned </w:t>
      </w:r>
      <w:r w:rsidR="004801CC" w:rsidRPr="00D00A94">
        <w:t>entities</w:t>
      </w:r>
      <w:r w:rsidR="00F3334F">
        <w:t xml:space="preserve"> amongst others</w:t>
      </w:r>
      <w:r w:rsidR="004801CC" w:rsidRPr="00D00A94">
        <w:t>, the Committee</w:t>
      </w:r>
      <w:r w:rsidR="001241AA" w:rsidRPr="00D00A94">
        <w:t xml:space="preserve"> reports as follows:</w:t>
      </w:r>
      <w:r w:rsidR="0099124E" w:rsidRPr="00D00A94">
        <w:t xml:space="preserve"> </w:t>
      </w:r>
    </w:p>
    <w:p w14:paraId="00F4E0B0" w14:textId="77777777" w:rsidR="0099124E" w:rsidRPr="00D00A94" w:rsidRDefault="0099124E" w:rsidP="00D00A94">
      <w:pPr>
        <w:spacing w:line="360" w:lineRule="auto"/>
        <w:jc w:val="both"/>
      </w:pPr>
    </w:p>
    <w:p w14:paraId="4D5C8373" w14:textId="77777777" w:rsidR="00031473" w:rsidRPr="00D00A94" w:rsidRDefault="00031473" w:rsidP="00D00A94">
      <w:pPr>
        <w:spacing w:line="360" w:lineRule="auto"/>
        <w:rPr>
          <w:b/>
        </w:rPr>
      </w:pPr>
      <w:r w:rsidRPr="00D00A94">
        <w:rPr>
          <w:b/>
        </w:rPr>
        <w:t xml:space="preserve">1. </w:t>
      </w:r>
      <w:r w:rsidR="00575152" w:rsidRPr="00D00A94">
        <w:rPr>
          <w:b/>
        </w:rPr>
        <w:tab/>
      </w:r>
      <w:r w:rsidRPr="00D00A94">
        <w:rPr>
          <w:b/>
        </w:rPr>
        <w:t>Introduction</w:t>
      </w:r>
      <w:r w:rsidR="00F407E3">
        <w:rPr>
          <w:b/>
        </w:rPr>
        <w:t xml:space="preserve"> and Background</w:t>
      </w:r>
    </w:p>
    <w:p w14:paraId="712B9F81" w14:textId="77777777" w:rsidR="00031473" w:rsidRPr="00D00A94" w:rsidRDefault="00031473" w:rsidP="00D00A94">
      <w:pPr>
        <w:spacing w:line="360" w:lineRule="auto"/>
      </w:pPr>
    </w:p>
    <w:p w14:paraId="3192FD2B" w14:textId="77777777" w:rsidR="00E20329" w:rsidRDefault="001312A0" w:rsidP="00D00A94">
      <w:pPr>
        <w:spacing w:line="360" w:lineRule="auto"/>
        <w:jc w:val="both"/>
      </w:pPr>
      <w:r w:rsidRPr="00D00A94">
        <w:t xml:space="preserve">The </w:t>
      </w:r>
      <w:r w:rsidR="00F407E3">
        <w:t xml:space="preserve">Report provides an account of the engagements that were held by the Portfolio Committee on Agriculture, Land Reform and Rural Development (hereinafter referred to as the Committee) </w:t>
      </w:r>
      <w:r w:rsidR="00F3334F">
        <w:t>in considering Budget Vote 24 along with the Annual Performance Plans (APPs) of the Department of Agriculture, Forestry and Fisheries (DAFF)</w:t>
      </w:r>
      <w:r w:rsidR="00CE2EDB">
        <w:t xml:space="preserve"> and </w:t>
      </w:r>
      <w:r w:rsidR="0040061B">
        <w:t>abovementioned</w:t>
      </w:r>
      <w:r w:rsidR="00CE2EDB">
        <w:t xml:space="preserve"> public entities</w:t>
      </w:r>
      <w:r w:rsidR="00F3334F">
        <w:t xml:space="preserve">. The </w:t>
      </w:r>
      <w:r w:rsidR="0057037B" w:rsidRPr="00D00A94">
        <w:t>APPs</w:t>
      </w:r>
      <w:r w:rsidR="00575152" w:rsidRPr="00D00A94">
        <w:t xml:space="preserve"> and Budgets</w:t>
      </w:r>
      <w:r w:rsidRPr="00D00A94">
        <w:t xml:space="preserve"> of </w:t>
      </w:r>
      <w:r w:rsidR="00482874" w:rsidRPr="00D00A94">
        <w:t>DAFF</w:t>
      </w:r>
      <w:r w:rsidRPr="00D00A94">
        <w:t xml:space="preserve"> and its </w:t>
      </w:r>
      <w:r w:rsidR="00482874" w:rsidRPr="00D00A94">
        <w:t>E</w:t>
      </w:r>
      <w:r w:rsidRPr="00D00A94">
        <w:t xml:space="preserve">ntities were </w:t>
      </w:r>
      <w:r w:rsidR="00507156" w:rsidRPr="00D00A94">
        <w:t>tabled in Parliament</w:t>
      </w:r>
      <w:r w:rsidR="003769BC" w:rsidRPr="00D00A94">
        <w:t xml:space="preserve"> as required in terms of the Public Finance Management Act (PFMA), 1999 (Act No. 1 of 1999), </w:t>
      </w:r>
      <w:r w:rsidR="00056A5B" w:rsidRPr="00D00A94">
        <w:t xml:space="preserve">on </w:t>
      </w:r>
      <w:r w:rsidR="000F3912" w:rsidRPr="00D00A94">
        <w:t>0</w:t>
      </w:r>
      <w:r w:rsidR="00900FC6" w:rsidRPr="00D00A94">
        <w:t>1</w:t>
      </w:r>
      <w:r w:rsidR="000F3912" w:rsidRPr="00D00A94">
        <w:t xml:space="preserve"> July</w:t>
      </w:r>
      <w:r w:rsidR="00900FC6" w:rsidRPr="00D00A94">
        <w:t xml:space="preserve"> </w:t>
      </w:r>
      <w:r w:rsidR="0057037B" w:rsidRPr="00D00A94">
        <w:t>201</w:t>
      </w:r>
      <w:r w:rsidR="000F3912" w:rsidRPr="00D00A94">
        <w:t>9</w:t>
      </w:r>
      <w:r w:rsidR="0057037B" w:rsidRPr="00D00A94">
        <w:t>.</w:t>
      </w:r>
      <w:r w:rsidR="00486F76">
        <w:t xml:space="preserve"> The APPs are expected to outline the Department’s annual plans in line with </w:t>
      </w:r>
      <w:r w:rsidR="00CE2EDB">
        <w:t xml:space="preserve">its Strategic Plan and </w:t>
      </w:r>
      <w:r w:rsidR="00486F76">
        <w:t xml:space="preserve">the allocated budget that </w:t>
      </w:r>
      <w:r w:rsidR="00486F76">
        <w:lastRenderedPageBreak/>
        <w:t xml:space="preserve">has been tabled by the Minister of Finance </w:t>
      </w:r>
      <w:r w:rsidR="00CE2EDB">
        <w:t xml:space="preserve">in February. The budget of the Department is entailed in </w:t>
      </w:r>
      <w:r w:rsidR="00486F76">
        <w:t>Vote 24: Agriculture, Forestry and Fisheries of the 2019 Estimates of National Expenditure (ENE)</w:t>
      </w:r>
      <w:r w:rsidR="00CE2EDB">
        <w:t xml:space="preserve"> as tabled by the Minister of Finance. Vote 24 includes the following public entities of the Department, Agricultural Research Council (ARC), </w:t>
      </w:r>
      <w:r w:rsidR="00CE2EDB" w:rsidRPr="00D00A94">
        <w:t>Onderstepoort Biological Products (OBP)</w:t>
      </w:r>
      <w:r w:rsidR="00CE2EDB">
        <w:t xml:space="preserve">, National </w:t>
      </w:r>
      <w:r w:rsidR="00CE2EDB" w:rsidRPr="00D00A94">
        <w:t>Agricultural Marketing Council (NAMC)</w:t>
      </w:r>
      <w:r w:rsidR="00CE2EDB">
        <w:t xml:space="preserve">, Perishable Products Export Control Board (PPECB) and the Marine Living Resources Fund (MLRF). </w:t>
      </w:r>
    </w:p>
    <w:p w14:paraId="6F072446" w14:textId="77777777" w:rsidR="00E20329" w:rsidRDefault="00E20329" w:rsidP="00D00A94">
      <w:pPr>
        <w:spacing w:line="360" w:lineRule="auto"/>
        <w:jc w:val="both"/>
      </w:pPr>
    </w:p>
    <w:p w14:paraId="0007807A" w14:textId="77777777" w:rsidR="00EB3735" w:rsidRDefault="00E20329" w:rsidP="00E20329">
      <w:pPr>
        <w:autoSpaceDE w:val="0"/>
        <w:autoSpaceDN w:val="0"/>
        <w:adjustRightInd w:val="0"/>
        <w:spacing w:line="360" w:lineRule="auto"/>
        <w:jc w:val="both"/>
      </w:pPr>
      <w:r>
        <w:t xml:space="preserve">Through the reconfiguration of the National Executive that was announced by the President on 29 May 2019, the Forestry and Fisheries functions were transferred to the former Department of Environmental Affairs, which has been renamed, the Department of Environment, Forestry and Fisheries. </w:t>
      </w:r>
      <w:r w:rsidRPr="00D00A94">
        <w:t>The Department of Agriculture</w:t>
      </w:r>
      <w:r w:rsidR="0015462F">
        <w:t xml:space="preserve"> (excluding </w:t>
      </w:r>
      <w:r w:rsidRPr="00D00A94">
        <w:t xml:space="preserve">Forestry and Fisheries) </w:t>
      </w:r>
      <w:r>
        <w:t xml:space="preserve">will amalgamate with the former Department of Rural Development and Land Reform to form a new Department of Agriculture, Land Reform and Rural Development. </w:t>
      </w:r>
    </w:p>
    <w:p w14:paraId="3AD8834A" w14:textId="77777777" w:rsidR="00EB3735" w:rsidRDefault="00EB3735" w:rsidP="00E20329">
      <w:pPr>
        <w:autoSpaceDE w:val="0"/>
        <w:autoSpaceDN w:val="0"/>
        <w:adjustRightInd w:val="0"/>
        <w:spacing w:line="360" w:lineRule="auto"/>
        <w:jc w:val="both"/>
      </w:pPr>
    </w:p>
    <w:p w14:paraId="1F3185DA" w14:textId="77777777" w:rsidR="00E20329" w:rsidRPr="00D00A94" w:rsidRDefault="00E20329" w:rsidP="00E20329">
      <w:pPr>
        <w:autoSpaceDE w:val="0"/>
        <w:autoSpaceDN w:val="0"/>
        <w:adjustRightInd w:val="0"/>
        <w:spacing w:line="360" w:lineRule="auto"/>
        <w:jc w:val="both"/>
      </w:pPr>
      <w:r>
        <w:t xml:space="preserve">The </w:t>
      </w:r>
      <w:r w:rsidRPr="00D00A94">
        <w:t>APP of the Marine Living Resources Fund (MLRF)</w:t>
      </w:r>
      <w:r w:rsidR="00EB3735">
        <w:t xml:space="preserve"> is considered with that of the Department as part of Programme 6. The MLRF is a sub-programme of Programme 6 (Fisheries Management) and </w:t>
      </w:r>
      <w:r>
        <w:t xml:space="preserve">essentially outlines annual targets for </w:t>
      </w:r>
      <w:r w:rsidR="00EB3735">
        <w:t>Programme 6</w:t>
      </w:r>
      <w:r w:rsidR="00796151">
        <w:t>;</w:t>
      </w:r>
      <w:r w:rsidR="00EB3735">
        <w:t xml:space="preserve"> and i</w:t>
      </w:r>
      <w:r w:rsidRPr="00D00A94">
        <w:t xml:space="preserve">s responsible for funding operational activities of </w:t>
      </w:r>
      <w:r w:rsidR="00EB3735">
        <w:t xml:space="preserve">the </w:t>
      </w:r>
      <w:r w:rsidRPr="00D00A94">
        <w:t>Programme</w:t>
      </w:r>
      <w:r>
        <w:t xml:space="preserve">. However, as the function is going to be transferred along with Forestry, to Environmental Affairs, the Committee did not discuss Programme 6 but noted the allocation through the Vote including the planned activities </w:t>
      </w:r>
      <w:r w:rsidR="00796151">
        <w:t xml:space="preserve">including </w:t>
      </w:r>
      <w:r>
        <w:t>response</w:t>
      </w:r>
      <w:r w:rsidR="00796151">
        <w:t>s</w:t>
      </w:r>
      <w:r>
        <w:t xml:space="preserve"> to pronouncements</w:t>
      </w:r>
      <w:r w:rsidR="001C3364">
        <w:t xml:space="preserve"> from the 2019 State of the Nation Addresses</w:t>
      </w:r>
      <w:r>
        <w:t xml:space="preserve">. </w:t>
      </w:r>
    </w:p>
    <w:p w14:paraId="49E8C6C0" w14:textId="77777777" w:rsidR="00E20329" w:rsidRDefault="00E20329" w:rsidP="00D00A94">
      <w:pPr>
        <w:spacing w:line="360" w:lineRule="auto"/>
        <w:jc w:val="both"/>
      </w:pPr>
    </w:p>
    <w:p w14:paraId="021D8354" w14:textId="77777777" w:rsidR="001E7B3F" w:rsidRPr="00477E37" w:rsidRDefault="003A756C" w:rsidP="00620A92">
      <w:pPr>
        <w:spacing w:line="360" w:lineRule="auto"/>
        <w:jc w:val="both"/>
        <w:rPr>
          <w:lang w:val="en-ZA"/>
        </w:rPr>
      </w:pPr>
      <w:r w:rsidRPr="00D00A94">
        <w:t>In performing its constitutional mandate, the Committee</w:t>
      </w:r>
      <w:r w:rsidR="00623239" w:rsidRPr="00D00A94">
        <w:t xml:space="preserve"> held briefings with DAFF and </w:t>
      </w:r>
      <w:r w:rsidR="00FB35EC">
        <w:t xml:space="preserve">three of </w:t>
      </w:r>
      <w:r w:rsidR="00623239" w:rsidRPr="00D00A94">
        <w:t>its entities</w:t>
      </w:r>
      <w:r w:rsidR="00FB35EC">
        <w:t xml:space="preserve"> (ARC, OBP and NAMC)</w:t>
      </w:r>
      <w:r w:rsidR="00623239" w:rsidRPr="00D00A94">
        <w:t xml:space="preserve"> to </w:t>
      </w:r>
      <w:r w:rsidR="001358C9" w:rsidRPr="00D00A94">
        <w:t xml:space="preserve">consider </w:t>
      </w:r>
      <w:r w:rsidR="001312A0" w:rsidRPr="00D00A94">
        <w:t>the</w:t>
      </w:r>
      <w:r w:rsidR="001358C9" w:rsidRPr="00D00A94">
        <w:t xml:space="preserve"> </w:t>
      </w:r>
      <w:r w:rsidR="00472797" w:rsidRPr="00D00A94">
        <w:t>201</w:t>
      </w:r>
      <w:r w:rsidR="000F3912" w:rsidRPr="00D00A94">
        <w:t>9</w:t>
      </w:r>
      <w:r w:rsidR="00472797" w:rsidRPr="00D00A94">
        <w:t>/</w:t>
      </w:r>
      <w:r w:rsidR="000F3912" w:rsidRPr="00D00A94">
        <w:t>20</w:t>
      </w:r>
      <w:r w:rsidR="00472797" w:rsidRPr="00D00A94">
        <w:t xml:space="preserve"> </w:t>
      </w:r>
      <w:r w:rsidR="0057037B" w:rsidRPr="00D00A94">
        <w:t>APPs</w:t>
      </w:r>
      <w:r w:rsidR="000A04C4" w:rsidRPr="00D00A94">
        <w:t xml:space="preserve"> </w:t>
      </w:r>
      <w:r w:rsidR="006B25DF" w:rsidRPr="00D00A94">
        <w:t xml:space="preserve">on </w:t>
      </w:r>
      <w:r w:rsidR="000F3912" w:rsidRPr="00D00A94">
        <w:t xml:space="preserve">03 July </w:t>
      </w:r>
      <w:r w:rsidR="006B25DF" w:rsidRPr="00D00A94">
        <w:t>201</w:t>
      </w:r>
      <w:r w:rsidR="000F3912" w:rsidRPr="00D00A94">
        <w:t>9</w:t>
      </w:r>
      <w:r w:rsidR="003769BC" w:rsidRPr="00D00A94">
        <w:t>,</w:t>
      </w:r>
      <w:r w:rsidR="0099124E" w:rsidRPr="00D00A94">
        <w:t xml:space="preserve"> </w:t>
      </w:r>
      <w:r w:rsidR="00363120" w:rsidRPr="00D00A94">
        <w:t xml:space="preserve">taking into </w:t>
      </w:r>
      <w:r w:rsidR="009A3E11" w:rsidRPr="00D00A94">
        <w:t xml:space="preserve">account </w:t>
      </w:r>
      <w:r w:rsidR="000F3912" w:rsidRPr="00D00A94">
        <w:t>the alignment of the APPs</w:t>
      </w:r>
      <w:r w:rsidR="00CD4036">
        <w:t xml:space="preserve"> with </w:t>
      </w:r>
      <w:r w:rsidR="000F3912" w:rsidRPr="00D00A94">
        <w:t>the 2019 State-of-the-Nation Address</w:t>
      </w:r>
      <w:r w:rsidR="004710D2">
        <w:t>es</w:t>
      </w:r>
      <w:r w:rsidR="000F3912" w:rsidRPr="00D00A94">
        <w:t xml:space="preserve"> (SONAs) (February &amp; June),</w:t>
      </w:r>
      <w:r w:rsidR="00CD4036">
        <w:t xml:space="preserve"> the objectives of</w:t>
      </w:r>
      <w:r w:rsidR="000F3912" w:rsidRPr="00D00A94">
        <w:t xml:space="preserve"> the National Development Plan</w:t>
      </w:r>
      <w:r w:rsidR="00CD4036">
        <w:t xml:space="preserve"> (NDP)</w:t>
      </w:r>
      <w:r w:rsidR="00E95F9A">
        <w:t xml:space="preserve">, </w:t>
      </w:r>
      <w:r w:rsidR="00E95F9A" w:rsidRPr="00477E37">
        <w:t xml:space="preserve">the </w:t>
      </w:r>
      <w:r w:rsidR="00F84A03" w:rsidRPr="00477E37">
        <w:rPr>
          <w:lang w:val="en-GB" w:eastAsia="en-GB"/>
        </w:rPr>
        <w:t>Medium Term Strategic Framework (</w:t>
      </w:r>
      <w:r w:rsidR="00F84A03" w:rsidRPr="00E949C0">
        <w:rPr>
          <w:lang w:val="en-GB" w:eastAsia="en-GB"/>
        </w:rPr>
        <w:t>MTSF</w:t>
      </w:r>
      <w:r w:rsidR="00F84A03" w:rsidRPr="008D6894">
        <w:rPr>
          <w:lang w:val="en-GB" w:eastAsia="en-GB"/>
        </w:rPr>
        <w:t>)</w:t>
      </w:r>
      <w:r w:rsidR="004710D2" w:rsidRPr="00653F8A">
        <w:t xml:space="preserve"> and</w:t>
      </w:r>
      <w:r w:rsidR="00FB35EC" w:rsidRPr="00565D83">
        <w:t xml:space="preserve"> </w:t>
      </w:r>
      <w:r w:rsidR="00FB35EC" w:rsidRPr="003D7388">
        <w:t>other key</w:t>
      </w:r>
      <w:r w:rsidR="00FB35EC" w:rsidRPr="002D4AC0">
        <w:t xml:space="preserve"> policy priorities as well as resource allocation</w:t>
      </w:r>
      <w:r w:rsidR="00FB35EC" w:rsidRPr="00910D41">
        <w:t xml:space="preserve"> (budget) for the planned targets</w:t>
      </w:r>
      <w:r w:rsidR="00FB35EC" w:rsidRPr="0087418C">
        <w:t xml:space="preserve">. </w:t>
      </w:r>
      <w:r w:rsidR="0015462F" w:rsidRPr="007434FB">
        <w:t>T</w:t>
      </w:r>
      <w:r w:rsidR="00FB35EC" w:rsidRPr="00AF5734">
        <w:t xml:space="preserve">he Committee </w:t>
      </w:r>
      <w:r w:rsidR="0015462F" w:rsidRPr="00BD26BC">
        <w:t xml:space="preserve">considered </w:t>
      </w:r>
      <w:r w:rsidR="0015462F" w:rsidRPr="00477E37">
        <w:lastRenderedPageBreak/>
        <w:t xml:space="preserve">the Department and its Entities’ 2019/20 APPs and Budget Vote by further </w:t>
      </w:r>
      <w:r w:rsidR="00FB35EC" w:rsidRPr="00477E37">
        <w:t>assess</w:t>
      </w:r>
      <w:r w:rsidR="0015462F" w:rsidRPr="00477E37">
        <w:t xml:space="preserve">ing </w:t>
      </w:r>
      <w:r w:rsidR="001312A0" w:rsidRPr="00477E37">
        <w:t xml:space="preserve">whether the funds </w:t>
      </w:r>
      <w:r w:rsidR="00E8130F" w:rsidRPr="00477E37">
        <w:t xml:space="preserve">that are </w:t>
      </w:r>
      <w:r w:rsidR="001E7B3F" w:rsidRPr="00477E37">
        <w:t>allocated</w:t>
      </w:r>
      <w:r w:rsidR="00E8130F" w:rsidRPr="00477E37">
        <w:t xml:space="preserve"> to the Department and its </w:t>
      </w:r>
      <w:r w:rsidR="00FB35EC" w:rsidRPr="00477E37">
        <w:t>E</w:t>
      </w:r>
      <w:r w:rsidR="00006F14" w:rsidRPr="00477E37">
        <w:t>ntities through different programmes</w:t>
      </w:r>
      <w:r w:rsidR="00FB35EC" w:rsidRPr="00477E37">
        <w:t>, will</w:t>
      </w:r>
      <w:r w:rsidR="00006F14" w:rsidRPr="00477E37">
        <w:t xml:space="preserve"> translate </w:t>
      </w:r>
      <w:r w:rsidR="001E7B3F" w:rsidRPr="00477E37">
        <w:t>to actual service delivery</w:t>
      </w:r>
      <w:r w:rsidR="00215864" w:rsidRPr="00477E37">
        <w:t xml:space="preserve">, </w:t>
      </w:r>
      <w:r w:rsidR="00855972" w:rsidRPr="00477E37">
        <w:t xml:space="preserve">particularly </w:t>
      </w:r>
      <w:r w:rsidR="007A1C3D" w:rsidRPr="00477E37">
        <w:t>in rural and underserviced areas</w:t>
      </w:r>
      <w:r w:rsidR="00855972" w:rsidRPr="00477E37">
        <w:t>.</w:t>
      </w:r>
      <w:r w:rsidR="007A1C3D" w:rsidRPr="00477E37">
        <w:t xml:space="preserve"> </w:t>
      </w:r>
      <w:r w:rsidR="00006F14" w:rsidRPr="00477E37">
        <w:t>In this regard, t</w:t>
      </w:r>
      <w:r w:rsidR="00AB39E0" w:rsidRPr="00477E37">
        <w:rPr>
          <w:lang w:val="en-ZA"/>
        </w:rPr>
        <w:t xml:space="preserve">he Money Bills Amendment Procedure and Related Matters Act, </w:t>
      </w:r>
      <w:r w:rsidR="00E8130F" w:rsidRPr="00477E37">
        <w:rPr>
          <w:lang w:val="en-ZA"/>
        </w:rPr>
        <w:t xml:space="preserve">2009 (Act </w:t>
      </w:r>
      <w:r w:rsidR="00AB39E0" w:rsidRPr="00477E37">
        <w:rPr>
          <w:lang w:val="en-ZA"/>
        </w:rPr>
        <w:t>No. 9 of 2009</w:t>
      </w:r>
      <w:r w:rsidR="00E8130F" w:rsidRPr="00477E37">
        <w:rPr>
          <w:lang w:val="en-ZA"/>
        </w:rPr>
        <w:t>)</w:t>
      </w:r>
      <w:r w:rsidR="00AB39E0" w:rsidRPr="00477E37">
        <w:rPr>
          <w:lang w:val="en-ZA"/>
        </w:rPr>
        <w:t>, grants Parliament the power to reject</w:t>
      </w:r>
      <w:r w:rsidR="00855972" w:rsidRPr="00477E37">
        <w:rPr>
          <w:lang w:val="en-ZA"/>
        </w:rPr>
        <w:t xml:space="preserve">, </w:t>
      </w:r>
      <w:r w:rsidR="00AB39E0" w:rsidRPr="00477E37">
        <w:rPr>
          <w:lang w:val="en-ZA"/>
        </w:rPr>
        <w:t>recommend</w:t>
      </w:r>
      <w:r w:rsidR="00855972" w:rsidRPr="00477E37">
        <w:rPr>
          <w:lang w:val="en-ZA"/>
        </w:rPr>
        <w:t xml:space="preserve"> or amend </w:t>
      </w:r>
      <w:r w:rsidR="00AB39E0" w:rsidRPr="00477E37">
        <w:rPr>
          <w:lang w:val="en-ZA"/>
        </w:rPr>
        <w:t>budgets of departments</w:t>
      </w:r>
      <w:r w:rsidR="00006F14" w:rsidRPr="00477E37">
        <w:rPr>
          <w:lang w:val="en-ZA"/>
        </w:rPr>
        <w:t xml:space="preserve"> and entities</w:t>
      </w:r>
      <w:r w:rsidR="00AB39E0" w:rsidRPr="00477E37">
        <w:rPr>
          <w:lang w:val="en-ZA"/>
        </w:rPr>
        <w:t>.</w:t>
      </w:r>
      <w:r w:rsidR="00575152" w:rsidRPr="00477E37">
        <w:rPr>
          <w:lang w:val="en-ZA"/>
        </w:rPr>
        <w:t xml:space="preserve"> </w:t>
      </w:r>
    </w:p>
    <w:p w14:paraId="4143DD3F" w14:textId="77777777" w:rsidR="00345919" w:rsidRPr="00477E37" w:rsidRDefault="00345919" w:rsidP="00620A92">
      <w:pPr>
        <w:autoSpaceDE w:val="0"/>
        <w:autoSpaceDN w:val="0"/>
        <w:adjustRightInd w:val="0"/>
        <w:spacing w:line="360" w:lineRule="auto"/>
        <w:jc w:val="both"/>
        <w:rPr>
          <w:lang w:val="en-GB" w:eastAsia="en-GB"/>
        </w:rPr>
      </w:pPr>
    </w:p>
    <w:p w14:paraId="638B8869" w14:textId="77777777" w:rsidR="009B3E67" w:rsidRPr="008B6F35" w:rsidRDefault="0077460D" w:rsidP="008B6F35">
      <w:pPr>
        <w:spacing w:line="360" w:lineRule="auto"/>
        <w:jc w:val="both"/>
        <w:rPr>
          <w:b/>
        </w:rPr>
      </w:pPr>
      <w:r w:rsidRPr="00477E37">
        <w:rPr>
          <w:b/>
          <w:lang w:val="en-GB" w:eastAsia="en-GB"/>
        </w:rPr>
        <w:t>2</w:t>
      </w:r>
      <w:r w:rsidR="00D759F5" w:rsidRPr="00477E37">
        <w:rPr>
          <w:b/>
        </w:rPr>
        <w:t xml:space="preserve">. </w:t>
      </w:r>
      <w:r w:rsidR="009B1F0A" w:rsidRPr="00477E37">
        <w:rPr>
          <w:b/>
        </w:rPr>
        <w:tab/>
      </w:r>
      <w:r w:rsidR="009B3E67" w:rsidRPr="008B6F35">
        <w:rPr>
          <w:b/>
        </w:rPr>
        <w:t>The National Policy Mandates</w:t>
      </w:r>
    </w:p>
    <w:p w14:paraId="7AFD22C5" w14:textId="77777777" w:rsidR="009B3E67" w:rsidRPr="008B6F35" w:rsidRDefault="009B3E67" w:rsidP="008B6F35">
      <w:pPr>
        <w:spacing w:line="360" w:lineRule="auto"/>
        <w:jc w:val="both"/>
        <w:rPr>
          <w:b/>
        </w:rPr>
      </w:pPr>
    </w:p>
    <w:p w14:paraId="5C2BDEB8" w14:textId="77777777" w:rsidR="009B3E67" w:rsidRPr="008B6F35" w:rsidRDefault="009B3E67" w:rsidP="008B6F35">
      <w:pPr>
        <w:spacing w:line="360" w:lineRule="auto"/>
        <w:jc w:val="both"/>
      </w:pPr>
      <w:r w:rsidRPr="008B6F35">
        <w:t xml:space="preserve">DAFF’s strategic goals and associated objectives </w:t>
      </w:r>
      <w:r w:rsidRPr="00477E37">
        <w:t xml:space="preserve">were </w:t>
      </w:r>
      <w:r w:rsidRPr="008B6F35">
        <w:t xml:space="preserve">revised in the </w:t>
      </w:r>
      <w:r w:rsidR="005C13E0" w:rsidRPr="00477E37">
        <w:t xml:space="preserve">previous </w:t>
      </w:r>
      <w:r w:rsidRPr="008B6F35">
        <w:t>medium term in response to the objectives and targets of the National Development Plan, the New Growth Path and the Medium Term Strategic Framework (MTSF) 2014-2019; and are also informed by the Department’s own Agriculture, Forestry and Fisheries Strategic Framework and the Agricultural Policy Action Plan (APAP)</w:t>
      </w:r>
      <w:r w:rsidRPr="00477E37">
        <w:t>/Revitalisation</w:t>
      </w:r>
      <w:r w:rsidRPr="00E949C0">
        <w:t xml:space="preserve"> of the Agricultural and Agroprocessing Value Chain (RAAVC)</w:t>
      </w:r>
      <w:r w:rsidRPr="008B6F35">
        <w:t>.</w:t>
      </w:r>
    </w:p>
    <w:p w14:paraId="1A0C1C20" w14:textId="77777777" w:rsidR="009B3E67" w:rsidRPr="008B6F35" w:rsidRDefault="009B3E67" w:rsidP="008B6F35">
      <w:pPr>
        <w:spacing w:line="360" w:lineRule="auto"/>
        <w:jc w:val="both"/>
        <w:rPr>
          <w:b/>
        </w:rPr>
      </w:pPr>
    </w:p>
    <w:p w14:paraId="5D9FC4F3" w14:textId="77777777" w:rsidR="009B3E67" w:rsidRPr="008B6F35" w:rsidRDefault="009B3E67" w:rsidP="008B6F35">
      <w:pPr>
        <w:spacing w:line="360" w:lineRule="auto"/>
        <w:jc w:val="both"/>
        <w:rPr>
          <w:b/>
        </w:rPr>
      </w:pPr>
      <w:r w:rsidRPr="008B6F35">
        <w:rPr>
          <w:b/>
        </w:rPr>
        <w:t>2.1 The National Development Plan (NDP)</w:t>
      </w:r>
    </w:p>
    <w:p w14:paraId="55538980" w14:textId="77777777" w:rsidR="007D70DD" w:rsidRPr="00477E37" w:rsidRDefault="007D70DD" w:rsidP="00620A92">
      <w:pPr>
        <w:tabs>
          <w:tab w:val="left" w:pos="360"/>
        </w:tabs>
        <w:autoSpaceDE w:val="0"/>
        <w:autoSpaceDN w:val="0"/>
        <w:adjustRightInd w:val="0"/>
        <w:spacing w:line="360" w:lineRule="auto"/>
        <w:ind w:left="720" w:hanging="720"/>
        <w:jc w:val="both"/>
        <w:rPr>
          <w:b/>
        </w:rPr>
      </w:pPr>
    </w:p>
    <w:p w14:paraId="00CECA92" w14:textId="77777777" w:rsidR="007D70DD" w:rsidRPr="008B6F35" w:rsidRDefault="007D70DD" w:rsidP="008B6F35">
      <w:pPr>
        <w:autoSpaceDE w:val="0"/>
        <w:autoSpaceDN w:val="0"/>
        <w:adjustRightInd w:val="0"/>
        <w:spacing w:line="360" w:lineRule="auto"/>
        <w:jc w:val="both"/>
        <w:rPr>
          <w:lang w:val="en-GB" w:eastAsia="en-GB"/>
        </w:rPr>
      </w:pPr>
      <w:r w:rsidRPr="008B6F35">
        <w:rPr>
          <w:lang w:val="en-ZA"/>
        </w:rPr>
        <w:t xml:space="preserve">The NDP’s overarching aim is to </w:t>
      </w:r>
      <w:r w:rsidRPr="008B6F35">
        <w:rPr>
          <w:rFonts w:eastAsia="Calibri"/>
          <w:lang w:val="en-ZA" w:eastAsia="en-ZA"/>
        </w:rPr>
        <w:t xml:space="preserve">eliminate poverty and reduce inequality by 2030. The Plan recognises that South Africa needs an inclusive economy that is more dynamic and in which the fruits of growth are shared equitably amongst its citizens. </w:t>
      </w:r>
      <w:r w:rsidRPr="008B6F35">
        <w:rPr>
          <w:lang w:val="en-ZA"/>
        </w:rPr>
        <w:t xml:space="preserve">Agriculture is identified in the NDP as one of the key sectors through which increased employment and poverty alleviation can be achieved. In this regard, approximately 1 million new jobs and a trade surplus are expected to be created from agriculture, agroprocessing and related sectors by 2030. </w:t>
      </w:r>
      <w:r w:rsidRPr="008B6F35">
        <w:t xml:space="preserve">The NDP’s focus is on smallholder farmers and it is expected that the 1 million new jobs target can be achieved by expanding irrigated agriculture. The Makhathini Flats and Umzimvubu River Basin have been specifically identified for the development of irrigation infrastructure. </w:t>
      </w:r>
      <w:r w:rsidRPr="008B6F35">
        <w:rPr>
          <w:lang w:val="en-GB" w:eastAsia="en-GB"/>
        </w:rPr>
        <w:t>The NDP further expects that a third (33%) of the food surplus should be produced by small</w:t>
      </w:r>
      <w:r w:rsidR="005C13E0" w:rsidRPr="00477E37">
        <w:rPr>
          <w:lang w:val="en-GB" w:eastAsia="en-GB"/>
        </w:rPr>
        <w:t xml:space="preserve">holder </w:t>
      </w:r>
      <w:r w:rsidRPr="008B6F35">
        <w:rPr>
          <w:lang w:val="en-GB" w:eastAsia="en-GB"/>
        </w:rPr>
        <w:t xml:space="preserve">farmers by 2030. </w:t>
      </w:r>
    </w:p>
    <w:p w14:paraId="183DF911" w14:textId="77777777" w:rsidR="007D70DD" w:rsidRPr="008B6F35" w:rsidRDefault="007D70DD" w:rsidP="008B6F35">
      <w:pPr>
        <w:autoSpaceDE w:val="0"/>
        <w:autoSpaceDN w:val="0"/>
        <w:adjustRightInd w:val="0"/>
        <w:spacing w:line="360" w:lineRule="auto"/>
        <w:jc w:val="both"/>
        <w:rPr>
          <w:lang w:val="en-GB" w:eastAsia="en-GB"/>
        </w:rPr>
      </w:pPr>
    </w:p>
    <w:p w14:paraId="1C88B33B" w14:textId="77777777" w:rsidR="007D70DD" w:rsidRPr="008B6F35" w:rsidRDefault="007D70DD" w:rsidP="008B6F35">
      <w:pPr>
        <w:autoSpaceDE w:val="0"/>
        <w:autoSpaceDN w:val="0"/>
        <w:adjustRightInd w:val="0"/>
        <w:spacing w:line="360" w:lineRule="auto"/>
        <w:jc w:val="both"/>
        <w:rPr>
          <w:b/>
        </w:rPr>
      </w:pPr>
      <w:r w:rsidRPr="008B6F35">
        <w:rPr>
          <w:b/>
        </w:rPr>
        <w:t xml:space="preserve">2.2 Medium Term Strategic Framework 2014 – 2019 (MTSF) </w:t>
      </w:r>
    </w:p>
    <w:p w14:paraId="4350AA4C" w14:textId="77777777" w:rsidR="007D70DD" w:rsidRPr="008B6F35" w:rsidRDefault="007D70DD" w:rsidP="008B6F35">
      <w:pPr>
        <w:autoSpaceDE w:val="0"/>
        <w:autoSpaceDN w:val="0"/>
        <w:adjustRightInd w:val="0"/>
        <w:spacing w:line="360" w:lineRule="auto"/>
        <w:jc w:val="both"/>
        <w:rPr>
          <w:b/>
        </w:rPr>
      </w:pPr>
    </w:p>
    <w:p w14:paraId="08A20F39" w14:textId="77777777" w:rsidR="00B27B51" w:rsidRDefault="00167E7C" w:rsidP="008B6F35">
      <w:pPr>
        <w:autoSpaceDE w:val="0"/>
        <w:autoSpaceDN w:val="0"/>
        <w:adjustRightInd w:val="0"/>
        <w:spacing w:line="360" w:lineRule="auto"/>
        <w:jc w:val="both"/>
        <w:rPr>
          <w:bCs/>
        </w:rPr>
      </w:pPr>
      <w:r w:rsidRPr="00477E37">
        <w:rPr>
          <w:bCs/>
        </w:rPr>
        <w:t>The MTSF is the Government’s strategic plan for the 201</w:t>
      </w:r>
      <w:r w:rsidRPr="00E949C0">
        <w:rPr>
          <w:bCs/>
        </w:rPr>
        <w:t>4</w:t>
      </w:r>
      <w:r w:rsidRPr="008D6894">
        <w:rPr>
          <w:bCs/>
        </w:rPr>
        <w:t xml:space="preserve"> to 2019 period. It is a five-year implementation phase of the NDP that is outcomes-based, and also takes </w:t>
      </w:r>
      <w:r w:rsidRPr="00653F8A">
        <w:rPr>
          <w:bCs/>
        </w:rPr>
        <w:t xml:space="preserve">into account the New Growth Path (NGP), the Industrial Policy Action Plan (IPAP) and other Government policy foci. The two over-arching strategic themes of the MTSF are </w:t>
      </w:r>
      <w:r w:rsidRPr="00565D83">
        <w:rPr>
          <w:b/>
          <w:bCs/>
        </w:rPr>
        <w:t>radical economic transformation</w:t>
      </w:r>
      <w:r w:rsidRPr="003D7388">
        <w:rPr>
          <w:bCs/>
        </w:rPr>
        <w:t xml:space="preserve"> and </w:t>
      </w:r>
      <w:r w:rsidRPr="002D4AC0">
        <w:rPr>
          <w:b/>
          <w:bCs/>
        </w:rPr>
        <w:t>improving service delivery</w:t>
      </w:r>
      <w:r w:rsidRPr="00910D41">
        <w:rPr>
          <w:bCs/>
        </w:rPr>
        <w:t xml:space="preserve">. </w:t>
      </w:r>
    </w:p>
    <w:p w14:paraId="4C2EC530" w14:textId="77777777" w:rsidR="00B27B51" w:rsidRDefault="00B27B51" w:rsidP="008B6F35">
      <w:pPr>
        <w:autoSpaceDE w:val="0"/>
        <w:autoSpaceDN w:val="0"/>
        <w:adjustRightInd w:val="0"/>
        <w:spacing w:line="360" w:lineRule="auto"/>
        <w:jc w:val="both"/>
        <w:rPr>
          <w:bCs/>
        </w:rPr>
      </w:pPr>
    </w:p>
    <w:p w14:paraId="394FA737" w14:textId="77777777" w:rsidR="007D70DD" w:rsidRPr="008B6F35" w:rsidRDefault="00167E7C" w:rsidP="008B6F35">
      <w:pPr>
        <w:autoSpaceDE w:val="0"/>
        <w:autoSpaceDN w:val="0"/>
        <w:adjustRightInd w:val="0"/>
        <w:spacing w:line="360" w:lineRule="auto"/>
        <w:jc w:val="both"/>
      </w:pPr>
      <w:r w:rsidRPr="00910D41">
        <w:rPr>
          <w:bCs/>
        </w:rPr>
        <w:t>The MTSF’s aim is to en</w:t>
      </w:r>
      <w:r w:rsidRPr="0087418C">
        <w:rPr>
          <w:bCs/>
        </w:rPr>
        <w:t xml:space="preserve">sure policy coherence, alignment and coordination across Government Plans, as well as alignment with budgeting processes. </w:t>
      </w:r>
      <w:r w:rsidR="007D70DD" w:rsidRPr="008B6F35">
        <w:t xml:space="preserve">For each Government </w:t>
      </w:r>
      <w:r w:rsidRPr="00477E37">
        <w:t>P</w:t>
      </w:r>
      <w:r w:rsidR="007D70DD" w:rsidRPr="008B6F35">
        <w:t xml:space="preserve">riority </w:t>
      </w:r>
      <w:r w:rsidRPr="00477E37">
        <w:t>O</w:t>
      </w:r>
      <w:r w:rsidR="007D70DD" w:rsidRPr="008B6F35">
        <w:t>utcome, the MTSF set out specific targets for various sectors and government Ministries that should be achieved by 2019. The MTSF set out the following service delivery targets inter alia, which are linked to the Ministry of Agriculture, Forestry and Fisheries:</w:t>
      </w:r>
    </w:p>
    <w:p w14:paraId="3FCECE95" w14:textId="77777777" w:rsidR="007D70DD" w:rsidRPr="008B6F35" w:rsidRDefault="007D70DD" w:rsidP="008B6F35">
      <w:pPr>
        <w:autoSpaceDE w:val="0"/>
        <w:autoSpaceDN w:val="0"/>
        <w:adjustRightInd w:val="0"/>
        <w:spacing w:line="360" w:lineRule="auto"/>
        <w:jc w:val="both"/>
      </w:pPr>
    </w:p>
    <w:p w14:paraId="7BD80FA7" w14:textId="77777777" w:rsidR="007D70DD" w:rsidRPr="008B6F35" w:rsidRDefault="007D70DD" w:rsidP="008B6F35">
      <w:pPr>
        <w:autoSpaceDE w:val="0"/>
        <w:autoSpaceDN w:val="0"/>
        <w:adjustRightInd w:val="0"/>
        <w:spacing w:line="360" w:lineRule="auto"/>
        <w:jc w:val="both"/>
        <w:rPr>
          <w:b/>
        </w:rPr>
      </w:pPr>
      <w:r w:rsidRPr="008B6F35">
        <w:rPr>
          <w:b/>
        </w:rPr>
        <w:t xml:space="preserve">Outcome 4: </w:t>
      </w:r>
      <w:r w:rsidR="00167E7C" w:rsidRPr="00477E37">
        <w:rPr>
          <w:b/>
        </w:rPr>
        <w:t xml:space="preserve">Decent </w:t>
      </w:r>
      <w:r w:rsidR="00167E7C" w:rsidRPr="008B6F35">
        <w:rPr>
          <w:b/>
          <w:bCs/>
        </w:rPr>
        <w:t xml:space="preserve">employment through inclusive </w:t>
      </w:r>
      <w:r w:rsidR="00167E7C" w:rsidRPr="00477E37">
        <w:rPr>
          <w:b/>
        </w:rPr>
        <w:t>economic growth</w:t>
      </w:r>
    </w:p>
    <w:p w14:paraId="2ADD7E98" w14:textId="77777777" w:rsidR="007D70DD" w:rsidRPr="008B6F35" w:rsidRDefault="007D70DD" w:rsidP="001175D3">
      <w:pPr>
        <w:numPr>
          <w:ilvl w:val="0"/>
          <w:numId w:val="6"/>
        </w:numPr>
        <w:autoSpaceDE w:val="0"/>
        <w:autoSpaceDN w:val="0"/>
        <w:adjustRightInd w:val="0"/>
        <w:spacing w:line="360" w:lineRule="auto"/>
        <w:jc w:val="both"/>
      </w:pPr>
      <w:r w:rsidRPr="008B6F35">
        <w:t xml:space="preserve">All APAP sector and crosscutting interventions to be implemented by 2019. </w:t>
      </w:r>
      <w:r w:rsidRPr="008B6F35">
        <w:tab/>
        <w:t xml:space="preserve">        Department to report annually on implementation including review and extension of plans.</w:t>
      </w:r>
    </w:p>
    <w:p w14:paraId="0E4E49B0" w14:textId="77777777" w:rsidR="007D70DD" w:rsidRPr="008B6F35" w:rsidRDefault="007D70DD" w:rsidP="001175D3">
      <w:pPr>
        <w:numPr>
          <w:ilvl w:val="0"/>
          <w:numId w:val="6"/>
        </w:numPr>
        <w:autoSpaceDE w:val="0"/>
        <w:autoSpaceDN w:val="0"/>
        <w:adjustRightInd w:val="0"/>
        <w:spacing w:line="360" w:lineRule="auto"/>
        <w:jc w:val="both"/>
      </w:pPr>
      <w:r w:rsidRPr="008B6F35">
        <w:t xml:space="preserve">95% implementation of an Agricultural, Forestry and Fisheries Trade and Marketing Strategy by 2019. Annually, the Department needs to report on the implementation of the Strategy. </w:t>
      </w:r>
    </w:p>
    <w:p w14:paraId="6C6DAED0" w14:textId="77777777" w:rsidR="007D70DD" w:rsidRPr="008B6F35" w:rsidRDefault="007D70DD" w:rsidP="001175D3">
      <w:pPr>
        <w:numPr>
          <w:ilvl w:val="0"/>
          <w:numId w:val="6"/>
        </w:numPr>
        <w:autoSpaceDE w:val="0"/>
        <w:autoSpaceDN w:val="0"/>
        <w:adjustRightInd w:val="0"/>
        <w:spacing w:line="360" w:lineRule="auto"/>
        <w:jc w:val="both"/>
      </w:pPr>
      <w:r w:rsidRPr="008B6F35">
        <w:t xml:space="preserve">95% implementation of the Comprehensive Africa Agriculture Development Programme (CAADP) by 2019. Annually, the Department needs to report on the implementation of the investment plans. </w:t>
      </w:r>
    </w:p>
    <w:p w14:paraId="46D86583" w14:textId="77777777" w:rsidR="007D70DD" w:rsidRPr="008B6F35" w:rsidRDefault="007D70DD" w:rsidP="001175D3">
      <w:pPr>
        <w:numPr>
          <w:ilvl w:val="0"/>
          <w:numId w:val="6"/>
        </w:numPr>
        <w:autoSpaceDE w:val="0"/>
        <w:autoSpaceDN w:val="0"/>
        <w:adjustRightInd w:val="0"/>
        <w:spacing w:line="360" w:lineRule="auto"/>
        <w:jc w:val="both"/>
      </w:pPr>
      <w:r w:rsidRPr="008B6F35">
        <w:t xml:space="preserve">300 000 smallholder producers producing for markets by 2019. </w:t>
      </w:r>
    </w:p>
    <w:p w14:paraId="76BB277B" w14:textId="77777777" w:rsidR="007D70DD" w:rsidRPr="008B6F35" w:rsidRDefault="007D70DD" w:rsidP="008B6F35">
      <w:pPr>
        <w:autoSpaceDE w:val="0"/>
        <w:autoSpaceDN w:val="0"/>
        <w:adjustRightInd w:val="0"/>
        <w:spacing w:line="360" w:lineRule="auto"/>
        <w:jc w:val="both"/>
      </w:pPr>
    </w:p>
    <w:p w14:paraId="04E6922C" w14:textId="77777777" w:rsidR="007D70DD" w:rsidRPr="008B6F35" w:rsidRDefault="007D70DD" w:rsidP="008B6F35">
      <w:pPr>
        <w:autoSpaceDE w:val="0"/>
        <w:autoSpaceDN w:val="0"/>
        <w:adjustRightInd w:val="0"/>
        <w:spacing w:line="360" w:lineRule="auto"/>
        <w:jc w:val="both"/>
        <w:rPr>
          <w:b/>
        </w:rPr>
      </w:pPr>
      <w:r w:rsidRPr="008B6F35">
        <w:rPr>
          <w:b/>
        </w:rPr>
        <w:t>Outcome 7:</w:t>
      </w:r>
      <w:r w:rsidR="00167E7C" w:rsidRPr="00477E37">
        <w:rPr>
          <w:b/>
        </w:rPr>
        <w:t xml:space="preserve"> </w:t>
      </w:r>
      <w:r w:rsidR="00167E7C" w:rsidRPr="008B6F35">
        <w:rPr>
          <w:b/>
          <w:bCs/>
        </w:rPr>
        <w:t>Vibrant, equitable and sustainable rural communities contributing towards food security for all</w:t>
      </w:r>
      <w:r w:rsidR="00167E7C" w:rsidRPr="008B6F35">
        <w:rPr>
          <w:bCs/>
        </w:rPr>
        <w:t xml:space="preserve">. </w:t>
      </w:r>
      <w:r w:rsidRPr="008B6F35">
        <w:rPr>
          <w:b/>
        </w:rPr>
        <w:t xml:space="preserve"> </w:t>
      </w:r>
    </w:p>
    <w:p w14:paraId="1C825876" w14:textId="77777777" w:rsidR="007D70DD" w:rsidRPr="008B6F35" w:rsidRDefault="007D70DD" w:rsidP="001175D3">
      <w:pPr>
        <w:numPr>
          <w:ilvl w:val="1"/>
          <w:numId w:val="4"/>
        </w:numPr>
        <w:autoSpaceDE w:val="0"/>
        <w:autoSpaceDN w:val="0"/>
        <w:adjustRightInd w:val="0"/>
        <w:spacing w:line="360" w:lineRule="auto"/>
        <w:jc w:val="both"/>
      </w:pPr>
      <w:r w:rsidRPr="008B6F35">
        <w:t xml:space="preserve">1.6 million households benefitting from Food and Nutrition Security initiatives by March 2019, i.e. 4.3 million people of the 13.8 million that were food insecure in 2014. </w:t>
      </w:r>
    </w:p>
    <w:p w14:paraId="4F885C5E" w14:textId="77777777" w:rsidR="007D70DD" w:rsidRPr="008B6F35" w:rsidRDefault="007D70DD" w:rsidP="001175D3">
      <w:pPr>
        <w:numPr>
          <w:ilvl w:val="0"/>
          <w:numId w:val="4"/>
        </w:numPr>
        <w:autoSpaceDE w:val="0"/>
        <w:autoSpaceDN w:val="0"/>
        <w:adjustRightInd w:val="0"/>
        <w:spacing w:line="360" w:lineRule="auto"/>
        <w:jc w:val="both"/>
      </w:pPr>
      <w:r w:rsidRPr="008B6F35">
        <w:lastRenderedPageBreak/>
        <w:t xml:space="preserve">1 million hectares of underutilised land in communal areas developed and under production by March 2019. </w:t>
      </w:r>
    </w:p>
    <w:p w14:paraId="3D4C5026" w14:textId="77777777" w:rsidR="007D70DD" w:rsidRPr="008B6F35" w:rsidRDefault="007D70DD" w:rsidP="001175D3">
      <w:pPr>
        <w:numPr>
          <w:ilvl w:val="0"/>
          <w:numId w:val="4"/>
        </w:numPr>
        <w:autoSpaceDE w:val="0"/>
        <w:autoSpaceDN w:val="0"/>
        <w:adjustRightInd w:val="0"/>
        <w:spacing w:line="360" w:lineRule="auto"/>
        <w:jc w:val="both"/>
      </w:pPr>
      <w:r w:rsidRPr="008B6F35">
        <w:t xml:space="preserve">Policies promoting the development and support of smallholder producers         implemented by March 2019. </w:t>
      </w:r>
    </w:p>
    <w:p w14:paraId="33AB9F04" w14:textId="77777777" w:rsidR="007D70DD" w:rsidRPr="008B6F35" w:rsidRDefault="007D70DD" w:rsidP="001175D3">
      <w:pPr>
        <w:numPr>
          <w:ilvl w:val="0"/>
          <w:numId w:val="4"/>
        </w:numPr>
        <w:autoSpaceDE w:val="0"/>
        <w:autoSpaceDN w:val="0"/>
        <w:adjustRightInd w:val="0"/>
        <w:spacing w:line="360" w:lineRule="auto"/>
        <w:jc w:val="both"/>
      </w:pPr>
      <w:r w:rsidRPr="008B6F35">
        <w:t xml:space="preserve">An additional 1 250 hectares of land under irrigation for smallholder production by March 2019. </w:t>
      </w:r>
    </w:p>
    <w:p w14:paraId="5A0034CB" w14:textId="77777777" w:rsidR="007D70DD" w:rsidRPr="008B6F35" w:rsidRDefault="007D70DD" w:rsidP="001175D3">
      <w:pPr>
        <w:numPr>
          <w:ilvl w:val="0"/>
          <w:numId w:val="4"/>
        </w:numPr>
        <w:autoSpaceDE w:val="0"/>
        <w:autoSpaceDN w:val="0"/>
        <w:adjustRightInd w:val="0"/>
        <w:spacing w:line="360" w:lineRule="auto"/>
        <w:jc w:val="both"/>
      </w:pPr>
      <w:r w:rsidRPr="008B6F35">
        <w:t xml:space="preserve">An additional </w:t>
      </w:r>
      <w:r w:rsidRPr="00477E37">
        <w:t>8</w:t>
      </w:r>
      <w:r w:rsidRPr="008B6F35">
        <w:t xml:space="preserve">0 000 smallholder producers receiving support for production         efficiencies by March 2019. </w:t>
      </w:r>
    </w:p>
    <w:p w14:paraId="54F62F81" w14:textId="77777777" w:rsidR="007D70DD" w:rsidRPr="008B6F35" w:rsidRDefault="007D70DD" w:rsidP="001175D3">
      <w:pPr>
        <w:numPr>
          <w:ilvl w:val="0"/>
          <w:numId w:val="4"/>
        </w:numPr>
        <w:autoSpaceDE w:val="0"/>
        <w:autoSpaceDN w:val="0"/>
        <w:adjustRightInd w:val="0"/>
        <w:spacing w:line="360" w:lineRule="auto"/>
        <w:jc w:val="both"/>
      </w:pPr>
      <w:r w:rsidRPr="008B6F35">
        <w:t>By March 2013, 4 million hectares of transferred land (4 860 farms) was underutilised, therefore, approximately 3 million hectares of land transferred through land reform should be utilised by March 2019.</w:t>
      </w:r>
    </w:p>
    <w:p w14:paraId="038946F4" w14:textId="77777777" w:rsidR="007D70DD" w:rsidRPr="008B6F35" w:rsidRDefault="007D70DD" w:rsidP="001175D3">
      <w:pPr>
        <w:numPr>
          <w:ilvl w:val="0"/>
          <w:numId w:val="4"/>
        </w:numPr>
        <w:autoSpaceDE w:val="0"/>
        <w:autoSpaceDN w:val="0"/>
        <w:adjustRightInd w:val="0"/>
        <w:spacing w:line="360" w:lineRule="auto"/>
        <w:jc w:val="both"/>
      </w:pPr>
      <w:r w:rsidRPr="008B6F35">
        <w:t>Hundred per cent development and implementation of the Agricultural Policy Action Plan (APAP) by March 2019.</w:t>
      </w:r>
    </w:p>
    <w:p w14:paraId="44739F02" w14:textId="77777777" w:rsidR="007D70DD" w:rsidRPr="008B6F35" w:rsidRDefault="007D70DD" w:rsidP="001175D3">
      <w:pPr>
        <w:numPr>
          <w:ilvl w:val="0"/>
          <w:numId w:val="4"/>
        </w:numPr>
        <w:autoSpaceDE w:val="0"/>
        <w:autoSpaceDN w:val="0"/>
        <w:adjustRightInd w:val="0"/>
        <w:spacing w:line="360" w:lineRule="auto"/>
        <w:jc w:val="both"/>
      </w:pPr>
      <w:r w:rsidRPr="008B6F35">
        <w:t>Develop, resource and implement Agricultural Value Chain interventions (SIP 11) by 2019.</w:t>
      </w:r>
    </w:p>
    <w:p w14:paraId="22A7FB8D" w14:textId="77777777" w:rsidR="007D70DD" w:rsidRPr="008B6F35" w:rsidRDefault="007D70DD" w:rsidP="008B6F35">
      <w:pPr>
        <w:autoSpaceDE w:val="0"/>
        <w:autoSpaceDN w:val="0"/>
        <w:adjustRightInd w:val="0"/>
        <w:spacing w:line="360" w:lineRule="auto"/>
        <w:jc w:val="both"/>
      </w:pPr>
    </w:p>
    <w:p w14:paraId="216A1250" w14:textId="77777777" w:rsidR="007D70DD" w:rsidRPr="008B6F35" w:rsidRDefault="007D70DD" w:rsidP="008B6F35">
      <w:pPr>
        <w:autoSpaceDE w:val="0"/>
        <w:autoSpaceDN w:val="0"/>
        <w:adjustRightInd w:val="0"/>
        <w:spacing w:line="360" w:lineRule="auto"/>
        <w:jc w:val="both"/>
        <w:rPr>
          <w:b/>
        </w:rPr>
      </w:pPr>
      <w:r w:rsidRPr="008B6F35">
        <w:rPr>
          <w:b/>
        </w:rPr>
        <w:t xml:space="preserve">Outcome 10: </w:t>
      </w:r>
      <w:r w:rsidR="002C2B65" w:rsidRPr="008B6F35">
        <w:rPr>
          <w:b/>
          <w:bCs/>
        </w:rPr>
        <w:t xml:space="preserve">Protect and enhance </w:t>
      </w:r>
      <w:r w:rsidR="002C2B65" w:rsidRPr="008B6F35">
        <w:rPr>
          <w:b/>
        </w:rPr>
        <w:t>environmental assets and natural resources.</w:t>
      </w:r>
    </w:p>
    <w:p w14:paraId="7D4D427A" w14:textId="77777777" w:rsidR="007D70DD" w:rsidRPr="008B6F35" w:rsidRDefault="007D70DD" w:rsidP="001175D3">
      <w:pPr>
        <w:numPr>
          <w:ilvl w:val="0"/>
          <w:numId w:val="5"/>
        </w:numPr>
        <w:autoSpaceDE w:val="0"/>
        <w:autoSpaceDN w:val="0"/>
        <w:adjustRightInd w:val="0"/>
        <w:spacing w:line="360" w:lineRule="auto"/>
        <w:jc w:val="both"/>
      </w:pPr>
      <w:r w:rsidRPr="008B6F35">
        <w:t xml:space="preserve">152 500 hectares of forestry areas should be under rehabilitation and/or           restoration by March 2019. </w:t>
      </w:r>
    </w:p>
    <w:p w14:paraId="17FC4419" w14:textId="77777777" w:rsidR="007D70DD" w:rsidRPr="008B6F35" w:rsidRDefault="007D70DD" w:rsidP="001175D3">
      <w:pPr>
        <w:numPr>
          <w:ilvl w:val="0"/>
          <w:numId w:val="5"/>
        </w:numPr>
        <w:autoSpaceDE w:val="0"/>
        <w:autoSpaceDN w:val="0"/>
        <w:adjustRightInd w:val="0"/>
        <w:spacing w:line="360" w:lineRule="auto"/>
        <w:jc w:val="both"/>
      </w:pPr>
      <w:r w:rsidRPr="008B6F35">
        <w:t xml:space="preserve">Status reports on resource status for abalone (31% above pre-fished stock by 2019), West Coast rock lobster (26% above the 2006 level by 2019) and deep-water hake (30% of pre-fished biomass by 2019). </w:t>
      </w:r>
    </w:p>
    <w:p w14:paraId="43CD3DA3" w14:textId="77777777" w:rsidR="007D70DD" w:rsidRPr="008B6F35" w:rsidRDefault="007D70DD" w:rsidP="001175D3">
      <w:pPr>
        <w:numPr>
          <w:ilvl w:val="0"/>
          <w:numId w:val="5"/>
        </w:numPr>
        <w:autoSpaceDE w:val="0"/>
        <w:autoSpaceDN w:val="0"/>
        <w:adjustRightInd w:val="0"/>
        <w:spacing w:line="360" w:lineRule="auto"/>
        <w:jc w:val="both"/>
      </w:pPr>
      <w:r w:rsidRPr="008B6F35">
        <w:t xml:space="preserve">Climate change adaptation plans for the 5 sectors developed by 2019. </w:t>
      </w:r>
    </w:p>
    <w:p w14:paraId="33C265CA" w14:textId="77777777" w:rsidR="007D70DD" w:rsidRPr="008B6F35" w:rsidRDefault="007D70DD" w:rsidP="001175D3">
      <w:pPr>
        <w:numPr>
          <w:ilvl w:val="0"/>
          <w:numId w:val="5"/>
        </w:numPr>
        <w:autoSpaceDE w:val="0"/>
        <w:autoSpaceDN w:val="0"/>
        <w:adjustRightInd w:val="0"/>
        <w:spacing w:line="360" w:lineRule="auto"/>
        <w:jc w:val="both"/>
      </w:pPr>
      <w:r w:rsidRPr="008B6F35">
        <w:t xml:space="preserve">Climate change response to reduce risks and vulnerability in the 3 sectors </w:t>
      </w:r>
      <w:r w:rsidR="00BC1043" w:rsidRPr="00477E37">
        <w:t>b</w:t>
      </w:r>
      <w:r w:rsidRPr="008B6F35">
        <w:t>y 2019.</w:t>
      </w:r>
      <w:r w:rsidRPr="008B6F35">
        <w:tab/>
      </w:r>
    </w:p>
    <w:p w14:paraId="43C7CC7A" w14:textId="77777777" w:rsidR="00B27B51" w:rsidRDefault="0087418C" w:rsidP="008B6F35">
      <w:pPr>
        <w:autoSpaceDE w:val="0"/>
        <w:autoSpaceDN w:val="0"/>
        <w:adjustRightInd w:val="0"/>
        <w:spacing w:line="360" w:lineRule="auto"/>
        <w:jc w:val="both"/>
      </w:pPr>
      <w:r>
        <w:t>The Department</w:t>
      </w:r>
      <w:r w:rsidR="00620A92">
        <w:t xml:space="preserve"> presented a summary of </w:t>
      </w:r>
      <w:r>
        <w:t xml:space="preserve">achievements for the </w:t>
      </w:r>
      <w:r w:rsidR="00620A92">
        <w:t xml:space="preserve">2014-19 </w:t>
      </w:r>
      <w:r>
        <w:t>MTSF</w:t>
      </w:r>
      <w:r w:rsidR="00620A92">
        <w:t xml:space="preserve">. The report did </w:t>
      </w:r>
      <w:r>
        <w:t>not include some of the targets that are specific to DAFF e.g</w:t>
      </w:r>
      <w:r w:rsidR="00620A92">
        <w:t>.</w:t>
      </w:r>
      <w:r>
        <w:t xml:space="preserve"> breakdown of smallholder support according to market access (Outcome 4) and production efficiencies (Outcome 7), APAP interventions, 3 million hectares of land transferred through land reform should be utilised</w:t>
      </w:r>
      <w:r w:rsidR="00620A92">
        <w:t xml:space="preserve">. It should be noted that the latter target </w:t>
      </w:r>
      <w:r>
        <w:t>is over and above the 1 million hectares lying fallow in communal areas</w:t>
      </w:r>
      <w:r w:rsidR="00620A92">
        <w:t xml:space="preserve"> that was put into productive use. </w:t>
      </w:r>
      <w:r>
        <w:t xml:space="preserve">In </w:t>
      </w:r>
      <w:r>
        <w:lastRenderedPageBreak/>
        <w:t xml:space="preserve">addition, the Department did not report on the targets that it has not achieved, </w:t>
      </w:r>
      <w:r w:rsidR="00620A92">
        <w:t xml:space="preserve">however, </w:t>
      </w:r>
      <w:r>
        <w:t xml:space="preserve">some of </w:t>
      </w:r>
      <w:r w:rsidR="00620A92">
        <w:t xml:space="preserve">these </w:t>
      </w:r>
      <w:r>
        <w:t>form part of the APP</w:t>
      </w:r>
      <w:r w:rsidR="00620A92">
        <w:t xml:space="preserve"> e.g. the PDAL Bill</w:t>
      </w:r>
      <w:r>
        <w:t xml:space="preserve">. </w:t>
      </w:r>
      <w:r w:rsidR="00620A92">
        <w:t>Furthermore, t</w:t>
      </w:r>
      <w:r w:rsidR="007434FB">
        <w:t xml:space="preserve">he Department did not report on MTSF targets relating to </w:t>
      </w:r>
      <w:r w:rsidR="007434FB" w:rsidRPr="00A8471B">
        <w:t>the Comprehensive Africa Agriculture Development Programme (CAADP)</w:t>
      </w:r>
      <w:r w:rsidR="007434FB">
        <w:t xml:space="preserve">, which is </w:t>
      </w:r>
      <w:r w:rsidR="00620A92">
        <w:t xml:space="preserve">also </w:t>
      </w:r>
      <w:r w:rsidR="007434FB">
        <w:t>an MTSF target</w:t>
      </w:r>
      <w:r w:rsidR="007434FB" w:rsidRPr="00A8471B">
        <w:t xml:space="preserve">. </w:t>
      </w:r>
    </w:p>
    <w:p w14:paraId="62FC32D8" w14:textId="77777777" w:rsidR="00B27B51" w:rsidRDefault="00B27B51" w:rsidP="008B6F35">
      <w:pPr>
        <w:autoSpaceDE w:val="0"/>
        <w:autoSpaceDN w:val="0"/>
        <w:adjustRightInd w:val="0"/>
        <w:spacing w:line="360" w:lineRule="auto"/>
        <w:jc w:val="both"/>
      </w:pPr>
    </w:p>
    <w:p w14:paraId="00377019" w14:textId="77777777" w:rsidR="007D70DD" w:rsidRDefault="007434FB" w:rsidP="008B6F35">
      <w:pPr>
        <w:autoSpaceDE w:val="0"/>
        <w:autoSpaceDN w:val="0"/>
        <w:adjustRightInd w:val="0"/>
        <w:spacing w:line="360" w:lineRule="auto"/>
        <w:jc w:val="both"/>
        <w:rPr>
          <w:lang w:val="en-GB" w:eastAsia="en-GB"/>
        </w:rPr>
      </w:pPr>
      <w:r w:rsidRPr="00A8471B">
        <w:t>CAADP</w:t>
      </w:r>
      <w:r>
        <w:t xml:space="preserve"> is </w:t>
      </w:r>
      <w:r w:rsidRPr="00FE641E">
        <w:t>a Pan-African F</w:t>
      </w:r>
      <w:r w:rsidRPr="00D12004">
        <w:t xml:space="preserve">ramework for accelerating long term agricultural development and growth among African countries and </w:t>
      </w:r>
      <w:r w:rsidRPr="00FE641E">
        <w:t>focuses on improving food security, nutrition and increasing incomes in Africa's largely farming based economies.</w:t>
      </w:r>
      <w:r w:rsidR="00AF5734">
        <w:t xml:space="preserve"> </w:t>
      </w:r>
      <w:r w:rsidR="00AF5734" w:rsidRPr="00FE641E">
        <w:t xml:space="preserve">The </w:t>
      </w:r>
      <w:r w:rsidR="00AF5734" w:rsidRPr="00DF2DD2">
        <w:t>Department has been unable to implement</w:t>
      </w:r>
      <w:r w:rsidR="00620A92">
        <w:t xml:space="preserve"> targets relating to </w:t>
      </w:r>
      <w:r w:rsidR="00AF5734">
        <w:t>CAADP</w:t>
      </w:r>
      <w:r w:rsidR="00AF5734" w:rsidRPr="00DF2DD2">
        <w:t xml:space="preserve"> </w:t>
      </w:r>
      <w:r w:rsidR="00620A92">
        <w:t>citing</w:t>
      </w:r>
      <w:r w:rsidR="00AF5734" w:rsidRPr="00DF2DD2">
        <w:t xml:space="preserve"> budgetary constraints.</w:t>
      </w:r>
      <w:r w:rsidR="00AF5734">
        <w:t xml:space="preserve"> </w:t>
      </w:r>
      <w:r w:rsidR="0087418C">
        <w:t xml:space="preserve">Despite the reported MTSF achievements, support to smallholder producers, job losses in the </w:t>
      </w:r>
      <w:r w:rsidR="00620A92">
        <w:t xml:space="preserve">agricultural </w:t>
      </w:r>
      <w:r w:rsidR="0087418C">
        <w:t xml:space="preserve">sector and food insecurity </w:t>
      </w:r>
      <w:r w:rsidR="00620A92">
        <w:t xml:space="preserve">as indicated </w:t>
      </w:r>
      <w:r w:rsidR="0087418C">
        <w:t>by Statistics SA</w:t>
      </w:r>
      <w:r w:rsidR="00620A92">
        <w:t xml:space="preserve"> through its General Household </w:t>
      </w:r>
      <w:r w:rsidR="0087418C">
        <w:t>Surveys</w:t>
      </w:r>
      <w:r w:rsidR="00620A92">
        <w:t>,</w:t>
      </w:r>
      <w:r w:rsidR="0087418C">
        <w:t xml:space="preserve"> remain </w:t>
      </w:r>
      <w:r w:rsidR="00620A92">
        <w:t xml:space="preserve">major </w:t>
      </w:r>
      <w:r w:rsidR="0087418C">
        <w:t xml:space="preserve">challenges.  </w:t>
      </w:r>
    </w:p>
    <w:p w14:paraId="69D42A93" w14:textId="77777777" w:rsidR="0087418C" w:rsidRPr="008B6F35" w:rsidRDefault="0087418C" w:rsidP="008B6F35">
      <w:pPr>
        <w:autoSpaceDE w:val="0"/>
        <w:autoSpaceDN w:val="0"/>
        <w:adjustRightInd w:val="0"/>
        <w:spacing w:line="360" w:lineRule="auto"/>
        <w:jc w:val="both"/>
        <w:rPr>
          <w:lang w:val="en-GB" w:eastAsia="en-GB"/>
        </w:rPr>
      </w:pPr>
    </w:p>
    <w:p w14:paraId="0B722BCA" w14:textId="77777777" w:rsidR="007D70DD" w:rsidRPr="008B6F35" w:rsidRDefault="007D70DD" w:rsidP="008B6F35">
      <w:pPr>
        <w:autoSpaceDE w:val="0"/>
        <w:autoSpaceDN w:val="0"/>
        <w:adjustRightInd w:val="0"/>
        <w:spacing w:line="360" w:lineRule="auto"/>
        <w:rPr>
          <w:b/>
        </w:rPr>
      </w:pPr>
      <w:r w:rsidRPr="008B6F35">
        <w:rPr>
          <w:b/>
        </w:rPr>
        <w:t>2.3 The New Growth Path (NGP) and the Industrial Policy Action Plan (IPAP)</w:t>
      </w:r>
    </w:p>
    <w:p w14:paraId="360692D7" w14:textId="77777777" w:rsidR="007D70DD" w:rsidRPr="008B6F35" w:rsidRDefault="007D70DD" w:rsidP="008B6F35">
      <w:pPr>
        <w:autoSpaceDE w:val="0"/>
        <w:autoSpaceDN w:val="0"/>
        <w:adjustRightInd w:val="0"/>
        <w:spacing w:line="360" w:lineRule="auto"/>
        <w:rPr>
          <w:b/>
        </w:rPr>
      </w:pPr>
    </w:p>
    <w:p w14:paraId="353C0D42" w14:textId="77777777" w:rsidR="007D70DD" w:rsidRPr="008B6F35" w:rsidRDefault="007D70DD" w:rsidP="008B6F35">
      <w:pPr>
        <w:autoSpaceDE w:val="0"/>
        <w:autoSpaceDN w:val="0"/>
        <w:adjustRightInd w:val="0"/>
        <w:spacing w:line="360" w:lineRule="auto"/>
        <w:jc w:val="both"/>
        <w:rPr>
          <w:lang w:val="en-GB" w:eastAsia="en-GB"/>
        </w:rPr>
      </w:pPr>
      <w:r w:rsidRPr="008B6F35">
        <w:rPr>
          <w:lang w:val="en-GB" w:eastAsia="en-GB"/>
        </w:rPr>
        <w:t xml:space="preserve">The NGP is a national framework for economic policy and the driver of the country’s job strategy. Its </w:t>
      </w:r>
      <w:r w:rsidRPr="008B6F35">
        <w:rPr>
          <w:lang w:val="en-ZA"/>
        </w:rPr>
        <w:t>aim is to</w:t>
      </w:r>
      <w:r w:rsidRPr="008B6F35">
        <w:t xml:space="preserve"> target the country’s limited capital and capacity at activities that maximise the creation of decent work opportunities through macro and micro economic policies in order to create a favourable overall environment and to support more labour-absorbing activities. The main indicators of success will be jobs (the number and quality of jobs created), growth (the rate, labour intensity and composition of economic growth), equity (lower income inequality and poverty) and environmental outcomes. </w:t>
      </w:r>
    </w:p>
    <w:p w14:paraId="5BD57DEF" w14:textId="77777777" w:rsidR="007D70DD" w:rsidRPr="008B6F35" w:rsidRDefault="007D70DD" w:rsidP="008B6F35">
      <w:pPr>
        <w:autoSpaceDE w:val="0"/>
        <w:autoSpaceDN w:val="0"/>
        <w:adjustRightInd w:val="0"/>
        <w:spacing w:line="360" w:lineRule="auto"/>
        <w:ind w:left="720"/>
        <w:jc w:val="both"/>
        <w:rPr>
          <w:lang w:val="en-GB" w:eastAsia="en-GB"/>
        </w:rPr>
      </w:pPr>
    </w:p>
    <w:p w14:paraId="284D1550" w14:textId="77777777" w:rsidR="007D70DD" w:rsidRPr="008B6F35" w:rsidRDefault="007D70DD" w:rsidP="008B6F35">
      <w:pPr>
        <w:autoSpaceDE w:val="0"/>
        <w:autoSpaceDN w:val="0"/>
        <w:adjustRightInd w:val="0"/>
        <w:spacing w:line="360" w:lineRule="auto"/>
        <w:jc w:val="both"/>
        <w:rPr>
          <w:lang w:val="en-GB" w:eastAsia="en-GB"/>
        </w:rPr>
      </w:pPr>
      <w:r w:rsidRPr="008B6F35">
        <w:rPr>
          <w:lang w:val="en-GB" w:eastAsia="en-GB"/>
        </w:rPr>
        <w:t xml:space="preserve">The NGP identified agriculture as one of the key job drivers with the potential to create 145 000 jobs in agroprocessing and to place 300 000 households in agricultural smallholder schemes by 2020. Jobs are expected through smallholder schemes in industrial products and forestry; fruit and wine exports; and extension services for the smallholder sector. The NGP also recognises that the sector has the potential to improve the living conditions of the approximately 660 000 farm workers through upgrading of employment in commercial farms by 2020.   </w:t>
      </w:r>
    </w:p>
    <w:p w14:paraId="30376F96" w14:textId="77777777" w:rsidR="007D70DD" w:rsidRPr="008B6F35" w:rsidRDefault="007D70DD" w:rsidP="008B6F35">
      <w:pPr>
        <w:autoSpaceDE w:val="0"/>
        <w:autoSpaceDN w:val="0"/>
        <w:adjustRightInd w:val="0"/>
        <w:spacing w:line="360" w:lineRule="auto"/>
        <w:jc w:val="both"/>
        <w:rPr>
          <w:lang w:val="en-GB" w:eastAsia="en-GB"/>
        </w:rPr>
      </w:pPr>
    </w:p>
    <w:p w14:paraId="59C098F2" w14:textId="77777777" w:rsidR="007D70DD" w:rsidRPr="008B6F35" w:rsidRDefault="007D70DD" w:rsidP="008B6F35">
      <w:pPr>
        <w:pStyle w:val="Default"/>
        <w:spacing w:line="360" w:lineRule="auto"/>
        <w:jc w:val="both"/>
        <w:rPr>
          <w:rFonts w:ascii="Times New Roman" w:hAnsi="Times New Roman" w:cs="Times New Roman"/>
          <w:lang w:val="en-US"/>
        </w:rPr>
      </w:pPr>
      <w:r w:rsidRPr="008B6F35">
        <w:rPr>
          <w:rFonts w:ascii="Times New Roman" w:hAnsi="Times New Roman" w:cs="Times New Roman"/>
          <w:lang w:val="en-GB" w:eastAsia="en-GB"/>
        </w:rPr>
        <w:lastRenderedPageBreak/>
        <w:t xml:space="preserve">The </w:t>
      </w:r>
      <w:r w:rsidRPr="008B6F35">
        <w:rPr>
          <w:rFonts w:ascii="Times New Roman" w:hAnsi="Times New Roman" w:cs="Times New Roman"/>
        </w:rPr>
        <w:t xml:space="preserve">IPAP is informed by the NDP’s country vision and is framed by and constitutes a key pillar of the NGP. The overriding goal of the IPAP is to prevent industrial decline and support the growth and diversification of South Africa’s manufacturing sector. The IPAP emphasises the development and expansion of agroprocessing for the entire value chain in all three sectors (i.e. agriculture, forestry and fisheries). The focus for agriculture is food processing; for forestry it is </w:t>
      </w:r>
      <w:r w:rsidRPr="008B6F35">
        <w:rPr>
          <w:rFonts w:ascii="Times New Roman" w:eastAsia="Times New Roman" w:hAnsi="Times New Roman" w:cs="Times New Roman"/>
          <w:iCs/>
        </w:rPr>
        <w:t xml:space="preserve">paper, </w:t>
      </w:r>
      <w:r w:rsidRPr="008B6F35">
        <w:rPr>
          <w:rFonts w:ascii="Times New Roman" w:hAnsi="Times New Roman" w:cs="Times New Roman"/>
          <w:iCs/>
        </w:rPr>
        <w:t xml:space="preserve">sawmills, </w:t>
      </w:r>
      <w:r w:rsidRPr="008B6F35">
        <w:rPr>
          <w:rFonts w:ascii="Times New Roman" w:eastAsia="Times New Roman" w:hAnsi="Times New Roman" w:cs="Times New Roman"/>
          <w:iCs/>
        </w:rPr>
        <w:t>timber</w:t>
      </w:r>
      <w:r w:rsidRPr="008B6F35">
        <w:rPr>
          <w:rFonts w:ascii="Times New Roman" w:hAnsi="Times New Roman" w:cs="Times New Roman"/>
          <w:iCs/>
        </w:rPr>
        <w:t xml:space="preserve"> and furniture making; and for fisheries it is aquaculture development and processing. </w:t>
      </w:r>
    </w:p>
    <w:p w14:paraId="4CB85262" w14:textId="77777777" w:rsidR="007D70DD" w:rsidRPr="008B6F35" w:rsidRDefault="007D70DD" w:rsidP="008B6F35">
      <w:pPr>
        <w:autoSpaceDE w:val="0"/>
        <w:autoSpaceDN w:val="0"/>
        <w:adjustRightInd w:val="0"/>
        <w:spacing w:line="360" w:lineRule="auto"/>
        <w:jc w:val="both"/>
        <w:rPr>
          <w:lang w:val="en-GB" w:eastAsia="en-GB"/>
        </w:rPr>
      </w:pPr>
    </w:p>
    <w:p w14:paraId="563D449B" w14:textId="77777777" w:rsidR="007D70DD" w:rsidRPr="008B6F35" w:rsidRDefault="007D70DD" w:rsidP="008B6F35">
      <w:pPr>
        <w:autoSpaceDE w:val="0"/>
        <w:autoSpaceDN w:val="0"/>
        <w:adjustRightInd w:val="0"/>
        <w:spacing w:line="360" w:lineRule="auto"/>
        <w:jc w:val="both"/>
        <w:rPr>
          <w:b/>
        </w:rPr>
      </w:pPr>
      <w:r w:rsidRPr="008B6F35">
        <w:rPr>
          <w:b/>
        </w:rPr>
        <w:t>2.4 The Agriculture, Forestry and Fisheries Strategic Framework and the Agricultural Policy Action Plan (APAP)</w:t>
      </w:r>
    </w:p>
    <w:p w14:paraId="077DC155" w14:textId="77777777" w:rsidR="007D70DD" w:rsidRPr="008B6F35" w:rsidRDefault="007D70DD" w:rsidP="008B6F35">
      <w:pPr>
        <w:autoSpaceDE w:val="0"/>
        <w:autoSpaceDN w:val="0"/>
        <w:adjustRightInd w:val="0"/>
        <w:spacing w:line="360" w:lineRule="auto"/>
        <w:jc w:val="both"/>
        <w:rPr>
          <w:b/>
        </w:rPr>
      </w:pPr>
    </w:p>
    <w:p w14:paraId="7E6E973E" w14:textId="77777777" w:rsidR="007D70DD" w:rsidRPr="008B6F35" w:rsidRDefault="007D70DD" w:rsidP="008B6F35">
      <w:pPr>
        <w:autoSpaceDE w:val="0"/>
        <w:autoSpaceDN w:val="0"/>
        <w:adjustRightInd w:val="0"/>
        <w:spacing w:line="360" w:lineRule="auto"/>
        <w:jc w:val="both"/>
      </w:pPr>
      <w:r w:rsidRPr="008B6F35">
        <w:t xml:space="preserve">The Agriculture, Forestry and Fisheries Strategic (AFFS) Framework, formerly called the Integrated Growth and Development Plan (IGDP) was developed in response to the Government Priority Outcomes that relate to job creation, rural development and food security, to which DAFF contributes. Its primary purpose is to achieve the transformation and restructuring of the agriculture, forestry and fisheries sectors that are currently dominated by a small number of large companies, and to ensure that constraints experienced in the areas of input supply, production and marketing are addressed cost-effectively and in a timely manner. </w:t>
      </w:r>
    </w:p>
    <w:p w14:paraId="73AD1CA8" w14:textId="77777777" w:rsidR="007D70DD" w:rsidRPr="008B6F35" w:rsidRDefault="007D70DD" w:rsidP="008B6F35">
      <w:pPr>
        <w:autoSpaceDE w:val="0"/>
        <w:autoSpaceDN w:val="0"/>
        <w:adjustRightInd w:val="0"/>
        <w:spacing w:line="360" w:lineRule="auto"/>
        <w:jc w:val="both"/>
      </w:pPr>
    </w:p>
    <w:p w14:paraId="5331520A" w14:textId="77777777" w:rsidR="007D70DD" w:rsidRPr="008D6894" w:rsidRDefault="007D70DD" w:rsidP="00620A92">
      <w:pPr>
        <w:spacing w:line="360" w:lineRule="auto"/>
        <w:jc w:val="both"/>
      </w:pPr>
      <w:r w:rsidRPr="008B6F35">
        <w:t>The Agricultural Policy Action Plan (APAP) was developed in 2013 and finalised in 2014 to serve as an implementation arm of the AFFS Framework. The APAP is planned over a five-year period and will be updated on an annual basis. Its encompassing objectives are to promote labour absorption and broaden market participation; implement strategic interventions that are aimed at increasing value-chain efficiencies and competitiveness focusing on selected subsectors and/or value chains.</w:t>
      </w:r>
      <w:r w:rsidRPr="00477E37">
        <w:t xml:space="preserve"> Following the President’s pronouncement during the 2015 State of the Nation Address (SONA) on the Revitalisation of the Agricultural and Agroprocessing Value Chain (RAAVC) as part of the Nine-Point Plan, the Department reported that the APAP now forms an integral part of RAAVC.  </w:t>
      </w:r>
      <w:r w:rsidRPr="008D6894">
        <w:t xml:space="preserve">APAP interventions are one of the MTSF targets that were not achieved as </w:t>
      </w:r>
      <w:r w:rsidRPr="008D6894">
        <w:lastRenderedPageBreak/>
        <w:t xml:space="preserve">the Department has been unable to report on the implementation of APAP sector and crosscutting interventions. </w:t>
      </w:r>
    </w:p>
    <w:p w14:paraId="262530F6" w14:textId="77777777" w:rsidR="00FE641E" w:rsidRPr="00653F8A" w:rsidRDefault="00FE641E" w:rsidP="00620A92">
      <w:pPr>
        <w:tabs>
          <w:tab w:val="left" w:pos="360"/>
        </w:tabs>
        <w:autoSpaceDE w:val="0"/>
        <w:autoSpaceDN w:val="0"/>
        <w:adjustRightInd w:val="0"/>
        <w:spacing w:line="360" w:lineRule="auto"/>
        <w:ind w:left="720" w:hanging="720"/>
        <w:jc w:val="both"/>
        <w:rPr>
          <w:b/>
        </w:rPr>
      </w:pPr>
    </w:p>
    <w:p w14:paraId="7BD41359" w14:textId="77777777" w:rsidR="00D759F5" w:rsidRPr="00477E37" w:rsidRDefault="00FE641E" w:rsidP="00D762E6">
      <w:pPr>
        <w:tabs>
          <w:tab w:val="left" w:pos="360"/>
        </w:tabs>
        <w:autoSpaceDE w:val="0"/>
        <w:autoSpaceDN w:val="0"/>
        <w:adjustRightInd w:val="0"/>
        <w:spacing w:line="360" w:lineRule="auto"/>
        <w:ind w:left="720" w:hanging="720"/>
        <w:jc w:val="both"/>
        <w:rPr>
          <w:b/>
        </w:rPr>
      </w:pPr>
      <w:r w:rsidRPr="003D7388">
        <w:rPr>
          <w:b/>
        </w:rPr>
        <w:t xml:space="preserve">3. </w:t>
      </w:r>
      <w:r w:rsidRPr="003D7388">
        <w:rPr>
          <w:b/>
        </w:rPr>
        <w:tab/>
      </w:r>
      <w:r w:rsidRPr="003D7388">
        <w:rPr>
          <w:b/>
        </w:rPr>
        <w:tab/>
      </w:r>
      <w:r w:rsidR="00D759F5" w:rsidRPr="002D4AC0">
        <w:rPr>
          <w:b/>
        </w:rPr>
        <w:t xml:space="preserve">Consideration of the </w:t>
      </w:r>
      <w:r w:rsidR="00164CD8" w:rsidRPr="00910D41">
        <w:rPr>
          <w:b/>
        </w:rPr>
        <w:t>201</w:t>
      </w:r>
      <w:r w:rsidR="000A04C4" w:rsidRPr="00910D41">
        <w:rPr>
          <w:b/>
        </w:rPr>
        <w:t>9</w:t>
      </w:r>
      <w:r w:rsidR="00164CD8" w:rsidRPr="0087418C">
        <w:rPr>
          <w:b/>
        </w:rPr>
        <w:t>/</w:t>
      </w:r>
      <w:r w:rsidR="000A04C4" w:rsidRPr="0087418C">
        <w:rPr>
          <w:b/>
        </w:rPr>
        <w:t>20</w:t>
      </w:r>
      <w:r w:rsidR="00164CD8" w:rsidRPr="0087418C">
        <w:rPr>
          <w:b/>
        </w:rPr>
        <w:t xml:space="preserve"> </w:t>
      </w:r>
      <w:r w:rsidR="0058649C" w:rsidRPr="0087418C">
        <w:rPr>
          <w:b/>
        </w:rPr>
        <w:t>Annual Performance Plans (APP</w:t>
      </w:r>
      <w:r w:rsidR="0058649C" w:rsidRPr="007434FB">
        <w:rPr>
          <w:b/>
        </w:rPr>
        <w:t xml:space="preserve">) and Budget of the Department of Agriculture, Forestry and Fisheries </w:t>
      </w:r>
    </w:p>
    <w:p w14:paraId="11F73033" w14:textId="77777777" w:rsidR="00D759F5" w:rsidRPr="00477E37" w:rsidRDefault="00D759F5" w:rsidP="006A6BE1">
      <w:pPr>
        <w:autoSpaceDE w:val="0"/>
        <w:autoSpaceDN w:val="0"/>
        <w:adjustRightInd w:val="0"/>
        <w:spacing w:line="360" w:lineRule="auto"/>
        <w:jc w:val="both"/>
        <w:rPr>
          <w:b/>
        </w:rPr>
      </w:pPr>
    </w:p>
    <w:p w14:paraId="5300D989" w14:textId="77777777" w:rsidR="005C206E" w:rsidRPr="00477E37" w:rsidRDefault="00FE641E" w:rsidP="006A6BE1">
      <w:pPr>
        <w:autoSpaceDE w:val="0"/>
        <w:autoSpaceDN w:val="0"/>
        <w:adjustRightInd w:val="0"/>
        <w:spacing w:line="360" w:lineRule="auto"/>
        <w:jc w:val="both"/>
        <w:rPr>
          <w:b/>
        </w:rPr>
      </w:pPr>
      <w:r w:rsidRPr="00477E37">
        <w:rPr>
          <w:b/>
        </w:rPr>
        <w:t>3</w:t>
      </w:r>
      <w:r w:rsidR="005C206E" w:rsidRPr="00477E37">
        <w:rPr>
          <w:b/>
        </w:rPr>
        <w:t>.1 The Department of Agriculture, Forestry and Fisheries (DAFF)</w:t>
      </w:r>
      <w:r w:rsidR="006031B1" w:rsidRPr="00477E37">
        <w:rPr>
          <w:b/>
        </w:rPr>
        <w:t xml:space="preserve"> and its Core Functions</w:t>
      </w:r>
    </w:p>
    <w:p w14:paraId="62A641C5" w14:textId="77777777" w:rsidR="005C206E" w:rsidRPr="00477E37" w:rsidRDefault="005C206E" w:rsidP="006A6BE1">
      <w:pPr>
        <w:autoSpaceDE w:val="0"/>
        <w:autoSpaceDN w:val="0"/>
        <w:adjustRightInd w:val="0"/>
        <w:spacing w:line="360" w:lineRule="auto"/>
        <w:jc w:val="both"/>
        <w:rPr>
          <w:b/>
        </w:rPr>
      </w:pPr>
    </w:p>
    <w:p w14:paraId="1F361D14" w14:textId="77777777" w:rsidR="006031B1" w:rsidRPr="00477E37" w:rsidRDefault="006031B1" w:rsidP="006A6BE1">
      <w:pPr>
        <w:spacing w:line="360" w:lineRule="auto"/>
        <w:jc w:val="both"/>
      </w:pPr>
      <w:r w:rsidRPr="00477E37">
        <w:t xml:space="preserve">The aim of the Department of Agriculture, Forestry and Fisheries (hereinafter referred to as DAFF or the Department) is to </w:t>
      </w:r>
      <w:r w:rsidRPr="00477E37">
        <w:rPr>
          <w:iCs/>
        </w:rPr>
        <w:t xml:space="preserve">lead, support and promote agricultural, forestry and fisheries resources growth and management through policies, strategies and programmes that contribute to and embrace economic growth and development; job creation; sustainable use of natural resources; food security and rural development. The Department’s legislative mandate is derived from Section 27(1)(b), as well as Section 24(b)(iii) of the Constitution of the Republic of South Africa. </w:t>
      </w:r>
      <w:r w:rsidRPr="00477E37">
        <w:t xml:space="preserve">The Department also contributes directly to three of the national Government priority outcomes as outlined in the 2014-19 Medium Term Strategic Framework (MTSF), namely, Outcome 4 (job creation), Outcome 7 (rural development and food security) and Outcome 10 (natural resources management). </w:t>
      </w:r>
    </w:p>
    <w:p w14:paraId="7A063B10" w14:textId="77777777" w:rsidR="006031B1" w:rsidRPr="00477E37" w:rsidRDefault="006031B1" w:rsidP="006031B1">
      <w:pPr>
        <w:spacing w:line="360" w:lineRule="auto"/>
        <w:jc w:val="both"/>
      </w:pPr>
    </w:p>
    <w:p w14:paraId="5C14DADC" w14:textId="77777777" w:rsidR="006031B1" w:rsidRDefault="006031B1" w:rsidP="006031B1">
      <w:pPr>
        <w:spacing w:line="360" w:lineRule="auto"/>
        <w:jc w:val="both"/>
      </w:pPr>
      <w:r w:rsidRPr="00477E37">
        <w:rPr>
          <w:iCs/>
        </w:rPr>
        <w:t>The Department’s a</w:t>
      </w:r>
      <w:r w:rsidRPr="00477E37">
        <w:t xml:space="preserve">ctivities are guided by the following four strategic goals and associated objectives to address priorities that are identified in the National Development Plan (NDP): Vison 2030: </w:t>
      </w:r>
    </w:p>
    <w:p w14:paraId="271D021D" w14:textId="77777777" w:rsidR="00B27B51" w:rsidRDefault="00B27B51" w:rsidP="006031B1">
      <w:pPr>
        <w:spacing w:line="360" w:lineRule="auto"/>
        <w:jc w:val="both"/>
      </w:pPr>
    </w:p>
    <w:p w14:paraId="1EE6E45C" w14:textId="77777777" w:rsidR="00B27B51" w:rsidRPr="00477E37" w:rsidRDefault="00B27B51" w:rsidP="006031B1">
      <w:pPr>
        <w:spacing w:line="360" w:lineRule="auto"/>
        <w:jc w:val="both"/>
      </w:pPr>
    </w:p>
    <w:tbl>
      <w:tblPr>
        <w:tblStyle w:val="TableGrid"/>
        <w:tblW w:w="0" w:type="auto"/>
        <w:tblLook w:val="04A0" w:firstRow="1" w:lastRow="0" w:firstColumn="1" w:lastColumn="0" w:noHBand="0" w:noVBand="1"/>
      </w:tblPr>
      <w:tblGrid>
        <w:gridCol w:w="4310"/>
        <w:gridCol w:w="4320"/>
      </w:tblGrid>
      <w:tr w:rsidR="006031B1" w:rsidRPr="00D12004" w14:paraId="4B9553C7" w14:textId="77777777" w:rsidTr="008B6F35">
        <w:tc>
          <w:tcPr>
            <w:tcW w:w="4310" w:type="dxa"/>
            <w:shd w:val="clear" w:color="auto" w:fill="D9D9D9" w:themeFill="background1" w:themeFillShade="D9"/>
          </w:tcPr>
          <w:p w14:paraId="1AD35E63" w14:textId="77777777" w:rsidR="006031B1" w:rsidRPr="008B6F35" w:rsidRDefault="006031B1" w:rsidP="00726612">
            <w:pPr>
              <w:spacing w:line="280" w:lineRule="exact"/>
              <w:jc w:val="both"/>
              <w:rPr>
                <w:b/>
                <w:sz w:val="22"/>
                <w:szCs w:val="22"/>
              </w:rPr>
            </w:pPr>
            <w:r w:rsidRPr="008B6F35">
              <w:rPr>
                <w:b/>
                <w:sz w:val="22"/>
                <w:szCs w:val="22"/>
              </w:rPr>
              <w:t>Strategic Goal</w:t>
            </w:r>
            <w:r w:rsidR="00BC1043">
              <w:rPr>
                <w:b/>
                <w:sz w:val="22"/>
                <w:szCs w:val="22"/>
              </w:rPr>
              <w:t xml:space="preserve"> </w:t>
            </w:r>
          </w:p>
        </w:tc>
        <w:tc>
          <w:tcPr>
            <w:tcW w:w="4320" w:type="dxa"/>
            <w:shd w:val="clear" w:color="auto" w:fill="D9D9D9" w:themeFill="background1" w:themeFillShade="D9"/>
          </w:tcPr>
          <w:p w14:paraId="39D8C1F3" w14:textId="77777777" w:rsidR="006031B1" w:rsidRPr="008B6F35" w:rsidRDefault="006031B1" w:rsidP="00BC1043">
            <w:pPr>
              <w:spacing w:line="280" w:lineRule="exact"/>
              <w:jc w:val="both"/>
              <w:rPr>
                <w:b/>
                <w:sz w:val="22"/>
                <w:szCs w:val="22"/>
              </w:rPr>
            </w:pPr>
            <w:r w:rsidRPr="008B6F35">
              <w:rPr>
                <w:b/>
                <w:sz w:val="22"/>
                <w:szCs w:val="22"/>
              </w:rPr>
              <w:t>Strategic Objectives</w:t>
            </w:r>
            <w:r w:rsidR="00BC1043">
              <w:rPr>
                <w:b/>
                <w:sz w:val="22"/>
                <w:szCs w:val="22"/>
              </w:rPr>
              <w:t xml:space="preserve"> </w:t>
            </w:r>
          </w:p>
        </w:tc>
      </w:tr>
      <w:tr w:rsidR="006031B1" w:rsidRPr="00D12004" w14:paraId="347A48AF" w14:textId="77777777" w:rsidTr="008B6F35">
        <w:tc>
          <w:tcPr>
            <w:tcW w:w="4310" w:type="dxa"/>
          </w:tcPr>
          <w:p w14:paraId="3ABBE497" w14:textId="77777777" w:rsidR="006031B1" w:rsidRPr="008B6F35" w:rsidRDefault="006031B1" w:rsidP="0070684B">
            <w:pPr>
              <w:spacing w:line="280" w:lineRule="exact"/>
              <w:jc w:val="both"/>
              <w:rPr>
                <w:sz w:val="22"/>
                <w:szCs w:val="22"/>
              </w:rPr>
            </w:pPr>
            <w:r w:rsidRPr="008B6F35">
              <w:rPr>
                <w:b/>
                <w:sz w:val="22"/>
                <w:szCs w:val="22"/>
              </w:rPr>
              <w:t>1:</w:t>
            </w:r>
            <w:r w:rsidRPr="008B6F35">
              <w:rPr>
                <w:sz w:val="22"/>
                <w:szCs w:val="22"/>
              </w:rPr>
              <w:t xml:space="preserve"> Effective and efficient strategic leadership,</w:t>
            </w:r>
            <w:r w:rsidR="0070684B" w:rsidRPr="008B6F35">
              <w:rPr>
                <w:sz w:val="22"/>
                <w:szCs w:val="22"/>
              </w:rPr>
              <w:t xml:space="preserve"> </w:t>
            </w:r>
            <w:r w:rsidRPr="008B6F35">
              <w:rPr>
                <w:sz w:val="22"/>
                <w:szCs w:val="22"/>
              </w:rPr>
              <w:t>governance and administration</w:t>
            </w:r>
            <w:r w:rsidRPr="008B6F35">
              <w:rPr>
                <w:sz w:val="22"/>
                <w:szCs w:val="22"/>
              </w:rPr>
              <w:tab/>
            </w:r>
          </w:p>
        </w:tc>
        <w:tc>
          <w:tcPr>
            <w:tcW w:w="4320" w:type="dxa"/>
          </w:tcPr>
          <w:p w14:paraId="553D52E4" w14:textId="77777777" w:rsidR="006031B1" w:rsidRPr="008B6F35" w:rsidRDefault="006031B1" w:rsidP="00726612">
            <w:pPr>
              <w:spacing w:line="280" w:lineRule="exact"/>
              <w:jc w:val="both"/>
              <w:rPr>
                <w:sz w:val="22"/>
                <w:szCs w:val="22"/>
              </w:rPr>
            </w:pPr>
            <w:r w:rsidRPr="008B6F35">
              <w:rPr>
                <w:b/>
                <w:sz w:val="22"/>
                <w:szCs w:val="22"/>
              </w:rPr>
              <w:t>1.1</w:t>
            </w:r>
            <w:r w:rsidRPr="008B6F35">
              <w:rPr>
                <w:sz w:val="22"/>
                <w:szCs w:val="22"/>
              </w:rPr>
              <w:t xml:space="preserve"> </w:t>
            </w:r>
            <w:r w:rsidR="0070684B" w:rsidRPr="008B6F35">
              <w:rPr>
                <w:sz w:val="22"/>
                <w:szCs w:val="22"/>
              </w:rPr>
              <w:t xml:space="preserve">Ensure compliance with </w:t>
            </w:r>
            <w:r w:rsidRPr="008B6F35">
              <w:rPr>
                <w:sz w:val="22"/>
                <w:szCs w:val="22"/>
              </w:rPr>
              <w:t>statutory requirements and good governance practice.</w:t>
            </w:r>
          </w:p>
          <w:p w14:paraId="2CA1CD18" w14:textId="77777777" w:rsidR="006031B1" w:rsidRPr="008B6F35" w:rsidRDefault="006031B1" w:rsidP="00726612">
            <w:pPr>
              <w:spacing w:line="280" w:lineRule="exact"/>
              <w:jc w:val="both"/>
              <w:rPr>
                <w:sz w:val="22"/>
                <w:szCs w:val="22"/>
              </w:rPr>
            </w:pPr>
            <w:r w:rsidRPr="008B6F35">
              <w:rPr>
                <w:b/>
                <w:sz w:val="22"/>
                <w:szCs w:val="22"/>
              </w:rPr>
              <w:t>1.2</w:t>
            </w:r>
            <w:r w:rsidRPr="008B6F35">
              <w:rPr>
                <w:sz w:val="22"/>
                <w:szCs w:val="22"/>
              </w:rPr>
              <w:t xml:space="preserve"> Strengthen support, guidance and interaction with stakeholders in the sector</w:t>
            </w:r>
            <w:r w:rsidR="0070684B" w:rsidRPr="008B6F35">
              <w:rPr>
                <w:sz w:val="22"/>
                <w:szCs w:val="22"/>
              </w:rPr>
              <w:t>.</w:t>
            </w:r>
          </w:p>
          <w:p w14:paraId="5645EA82" w14:textId="77777777" w:rsidR="006031B1" w:rsidRPr="008B6F35" w:rsidRDefault="006031B1" w:rsidP="00726612">
            <w:pPr>
              <w:spacing w:line="280" w:lineRule="exact"/>
              <w:jc w:val="both"/>
              <w:rPr>
                <w:sz w:val="22"/>
                <w:szCs w:val="22"/>
              </w:rPr>
            </w:pPr>
            <w:r w:rsidRPr="008B6F35">
              <w:rPr>
                <w:b/>
                <w:sz w:val="22"/>
                <w:szCs w:val="22"/>
              </w:rPr>
              <w:t>1.3</w:t>
            </w:r>
            <w:r w:rsidRPr="008B6F35">
              <w:rPr>
                <w:sz w:val="22"/>
                <w:szCs w:val="22"/>
              </w:rPr>
              <w:t xml:space="preserve"> Strengthen institutional mechanisms for integrated policy</w:t>
            </w:r>
            <w:r w:rsidR="0070684B" w:rsidRPr="008B6F35">
              <w:rPr>
                <w:sz w:val="22"/>
                <w:szCs w:val="22"/>
              </w:rPr>
              <w:t xml:space="preserve">, </w:t>
            </w:r>
            <w:r w:rsidRPr="008B6F35">
              <w:rPr>
                <w:sz w:val="22"/>
                <w:szCs w:val="22"/>
              </w:rPr>
              <w:t>planning</w:t>
            </w:r>
            <w:r w:rsidR="0070684B" w:rsidRPr="008B6F35">
              <w:rPr>
                <w:sz w:val="22"/>
                <w:szCs w:val="22"/>
              </w:rPr>
              <w:t xml:space="preserve">, monitoring and </w:t>
            </w:r>
            <w:r w:rsidR="0070684B" w:rsidRPr="008B6F35">
              <w:rPr>
                <w:sz w:val="22"/>
                <w:szCs w:val="22"/>
              </w:rPr>
              <w:lastRenderedPageBreak/>
              <w:t>evaluation</w:t>
            </w:r>
            <w:r w:rsidRPr="008B6F35">
              <w:rPr>
                <w:sz w:val="22"/>
                <w:szCs w:val="22"/>
              </w:rPr>
              <w:t xml:space="preserve"> in the sector</w:t>
            </w:r>
            <w:r w:rsidR="0070684B" w:rsidRPr="008B6F35">
              <w:rPr>
                <w:sz w:val="22"/>
                <w:szCs w:val="22"/>
              </w:rPr>
              <w:t>.</w:t>
            </w:r>
          </w:p>
          <w:p w14:paraId="5342606E" w14:textId="77777777" w:rsidR="006031B1" w:rsidRPr="008B6F35" w:rsidRDefault="006031B1" w:rsidP="00726612">
            <w:pPr>
              <w:spacing w:line="280" w:lineRule="exact"/>
              <w:jc w:val="both"/>
              <w:rPr>
                <w:sz w:val="22"/>
                <w:szCs w:val="22"/>
              </w:rPr>
            </w:pPr>
          </w:p>
        </w:tc>
      </w:tr>
      <w:tr w:rsidR="006031B1" w:rsidRPr="00D12004" w14:paraId="12753FB4" w14:textId="77777777" w:rsidTr="008B6F35">
        <w:tc>
          <w:tcPr>
            <w:tcW w:w="4310" w:type="dxa"/>
          </w:tcPr>
          <w:p w14:paraId="52432A8E" w14:textId="77777777" w:rsidR="006031B1" w:rsidRPr="008B6F35" w:rsidRDefault="006031B1" w:rsidP="00726612">
            <w:pPr>
              <w:spacing w:line="280" w:lineRule="exact"/>
              <w:jc w:val="both"/>
              <w:rPr>
                <w:sz w:val="22"/>
                <w:szCs w:val="22"/>
              </w:rPr>
            </w:pPr>
            <w:r w:rsidRPr="008B6F35">
              <w:rPr>
                <w:b/>
                <w:sz w:val="22"/>
                <w:szCs w:val="22"/>
              </w:rPr>
              <w:lastRenderedPageBreak/>
              <w:t>2:</w:t>
            </w:r>
            <w:r w:rsidRPr="008B6F35">
              <w:rPr>
                <w:sz w:val="22"/>
                <w:szCs w:val="22"/>
              </w:rPr>
              <w:t xml:space="preserve"> Enhanced production, employment and economic growth in the sector</w:t>
            </w:r>
          </w:p>
          <w:p w14:paraId="75C46046" w14:textId="77777777" w:rsidR="006031B1" w:rsidRPr="008B6F35" w:rsidRDefault="006031B1" w:rsidP="00726612">
            <w:pPr>
              <w:spacing w:line="280" w:lineRule="exact"/>
              <w:jc w:val="both"/>
              <w:rPr>
                <w:sz w:val="22"/>
                <w:szCs w:val="22"/>
              </w:rPr>
            </w:pPr>
          </w:p>
          <w:p w14:paraId="09AE63B4" w14:textId="77777777" w:rsidR="006031B1" w:rsidRPr="008B6F35" w:rsidRDefault="006031B1" w:rsidP="00726612">
            <w:pPr>
              <w:spacing w:line="280" w:lineRule="exact"/>
              <w:jc w:val="both"/>
              <w:rPr>
                <w:sz w:val="22"/>
                <w:szCs w:val="22"/>
              </w:rPr>
            </w:pPr>
          </w:p>
        </w:tc>
        <w:tc>
          <w:tcPr>
            <w:tcW w:w="4320" w:type="dxa"/>
          </w:tcPr>
          <w:p w14:paraId="0233B70D" w14:textId="77777777" w:rsidR="006031B1" w:rsidRPr="008B6F35" w:rsidRDefault="006031B1" w:rsidP="00726612">
            <w:pPr>
              <w:spacing w:line="280" w:lineRule="exact"/>
              <w:jc w:val="both"/>
              <w:rPr>
                <w:sz w:val="22"/>
                <w:szCs w:val="22"/>
              </w:rPr>
            </w:pPr>
            <w:r w:rsidRPr="008B6F35">
              <w:rPr>
                <w:b/>
                <w:sz w:val="22"/>
                <w:szCs w:val="22"/>
              </w:rPr>
              <w:t>2.1</w:t>
            </w:r>
            <w:r w:rsidRPr="008B6F35">
              <w:rPr>
                <w:sz w:val="22"/>
                <w:szCs w:val="22"/>
              </w:rPr>
              <w:t xml:space="preserve"> </w:t>
            </w:r>
            <w:r w:rsidR="0070684B" w:rsidRPr="008B6F35">
              <w:rPr>
                <w:sz w:val="22"/>
                <w:szCs w:val="22"/>
              </w:rPr>
              <w:t xml:space="preserve">Ensure increased production and productivity </w:t>
            </w:r>
            <w:r w:rsidRPr="008B6F35">
              <w:rPr>
                <w:sz w:val="22"/>
                <w:szCs w:val="22"/>
              </w:rPr>
              <w:t xml:space="preserve">in prioritised </w:t>
            </w:r>
            <w:r w:rsidR="0070684B" w:rsidRPr="008B6F35">
              <w:rPr>
                <w:sz w:val="22"/>
                <w:szCs w:val="22"/>
              </w:rPr>
              <w:t xml:space="preserve">areas as well as </w:t>
            </w:r>
            <w:r w:rsidRPr="008B6F35">
              <w:rPr>
                <w:sz w:val="22"/>
                <w:szCs w:val="22"/>
              </w:rPr>
              <w:t>value chains</w:t>
            </w:r>
            <w:r w:rsidR="0070684B" w:rsidRPr="008B6F35">
              <w:rPr>
                <w:sz w:val="22"/>
                <w:szCs w:val="22"/>
              </w:rPr>
              <w:t>.</w:t>
            </w:r>
          </w:p>
          <w:p w14:paraId="15022C37" w14:textId="77777777" w:rsidR="006031B1" w:rsidRPr="008B6F35" w:rsidRDefault="006031B1" w:rsidP="00726612">
            <w:pPr>
              <w:spacing w:line="280" w:lineRule="exact"/>
              <w:jc w:val="both"/>
              <w:rPr>
                <w:sz w:val="22"/>
                <w:szCs w:val="22"/>
              </w:rPr>
            </w:pPr>
            <w:r w:rsidRPr="008B6F35">
              <w:rPr>
                <w:b/>
                <w:sz w:val="22"/>
                <w:szCs w:val="22"/>
              </w:rPr>
              <w:t>2.2</w:t>
            </w:r>
            <w:r w:rsidRPr="008B6F35">
              <w:rPr>
                <w:sz w:val="22"/>
                <w:szCs w:val="22"/>
              </w:rPr>
              <w:t xml:space="preserve"> Effective management of biosecurity and sector related risks</w:t>
            </w:r>
            <w:r w:rsidR="0070684B" w:rsidRPr="008B6F35">
              <w:rPr>
                <w:sz w:val="22"/>
                <w:szCs w:val="22"/>
              </w:rPr>
              <w:t>.</w:t>
            </w:r>
          </w:p>
          <w:p w14:paraId="0F670032" w14:textId="77777777" w:rsidR="006031B1" w:rsidRPr="008B6F35" w:rsidRDefault="006031B1" w:rsidP="00726612">
            <w:pPr>
              <w:spacing w:line="280" w:lineRule="exact"/>
              <w:jc w:val="both"/>
              <w:rPr>
                <w:sz w:val="22"/>
                <w:szCs w:val="22"/>
              </w:rPr>
            </w:pPr>
            <w:r w:rsidRPr="008B6F35">
              <w:rPr>
                <w:b/>
                <w:sz w:val="22"/>
                <w:szCs w:val="22"/>
              </w:rPr>
              <w:t>2.3</w:t>
            </w:r>
            <w:r w:rsidRPr="008B6F35">
              <w:rPr>
                <w:sz w:val="22"/>
                <w:szCs w:val="22"/>
              </w:rPr>
              <w:t xml:space="preserve"> Ensure support for market access and processing of agriculture, forestry and fisheries products</w:t>
            </w:r>
            <w:r w:rsidR="0070684B" w:rsidRPr="008B6F35">
              <w:rPr>
                <w:sz w:val="22"/>
                <w:szCs w:val="22"/>
              </w:rPr>
              <w:t>.</w:t>
            </w:r>
          </w:p>
          <w:p w14:paraId="7D7F29D8" w14:textId="77777777" w:rsidR="006031B1" w:rsidRPr="008B6F35" w:rsidRDefault="006031B1" w:rsidP="00726612">
            <w:pPr>
              <w:spacing w:line="280" w:lineRule="exact"/>
              <w:jc w:val="both"/>
              <w:rPr>
                <w:sz w:val="22"/>
                <w:szCs w:val="22"/>
              </w:rPr>
            </w:pPr>
          </w:p>
        </w:tc>
      </w:tr>
      <w:tr w:rsidR="006031B1" w:rsidRPr="00D12004" w14:paraId="673411AD" w14:textId="77777777" w:rsidTr="008B6F35">
        <w:tc>
          <w:tcPr>
            <w:tcW w:w="4310" w:type="dxa"/>
          </w:tcPr>
          <w:p w14:paraId="37199629" w14:textId="77777777" w:rsidR="006031B1" w:rsidRPr="008B6F35" w:rsidRDefault="006031B1" w:rsidP="00726612">
            <w:pPr>
              <w:spacing w:line="280" w:lineRule="exact"/>
              <w:jc w:val="both"/>
              <w:rPr>
                <w:sz w:val="22"/>
                <w:szCs w:val="22"/>
              </w:rPr>
            </w:pPr>
            <w:r w:rsidRPr="008B6F35">
              <w:rPr>
                <w:b/>
                <w:sz w:val="22"/>
                <w:szCs w:val="22"/>
              </w:rPr>
              <w:t>3:</w:t>
            </w:r>
            <w:r w:rsidRPr="008B6F35">
              <w:rPr>
                <w:sz w:val="22"/>
                <w:szCs w:val="22"/>
              </w:rPr>
              <w:t xml:space="preserve"> Enabling environment for food security and sector transformation</w:t>
            </w:r>
          </w:p>
          <w:p w14:paraId="6BA27E74" w14:textId="77777777" w:rsidR="006031B1" w:rsidRPr="008B6F35" w:rsidRDefault="006031B1" w:rsidP="00726612">
            <w:pPr>
              <w:spacing w:line="280" w:lineRule="exact"/>
              <w:jc w:val="both"/>
              <w:rPr>
                <w:sz w:val="22"/>
                <w:szCs w:val="22"/>
              </w:rPr>
            </w:pPr>
          </w:p>
          <w:p w14:paraId="53DA26FE" w14:textId="77777777" w:rsidR="006031B1" w:rsidRPr="008B6F35" w:rsidRDefault="006031B1" w:rsidP="00726612">
            <w:pPr>
              <w:spacing w:line="280" w:lineRule="exact"/>
              <w:jc w:val="both"/>
              <w:rPr>
                <w:sz w:val="22"/>
                <w:szCs w:val="22"/>
              </w:rPr>
            </w:pPr>
          </w:p>
        </w:tc>
        <w:tc>
          <w:tcPr>
            <w:tcW w:w="4320" w:type="dxa"/>
          </w:tcPr>
          <w:p w14:paraId="7316CC0A" w14:textId="77777777" w:rsidR="006031B1" w:rsidRPr="008B6F35" w:rsidRDefault="006031B1" w:rsidP="00726612">
            <w:pPr>
              <w:spacing w:line="280" w:lineRule="exact"/>
              <w:jc w:val="both"/>
              <w:rPr>
                <w:sz w:val="22"/>
                <w:szCs w:val="22"/>
              </w:rPr>
            </w:pPr>
            <w:r w:rsidRPr="008B6F35">
              <w:rPr>
                <w:b/>
                <w:sz w:val="22"/>
                <w:szCs w:val="22"/>
              </w:rPr>
              <w:t>3.1</w:t>
            </w:r>
            <w:r w:rsidRPr="008B6F35">
              <w:rPr>
                <w:sz w:val="22"/>
                <w:szCs w:val="22"/>
              </w:rPr>
              <w:t xml:space="preserve"> Lead and coordinate government food security initiatives</w:t>
            </w:r>
          </w:p>
          <w:p w14:paraId="4C9E9FCE" w14:textId="77777777" w:rsidR="006031B1" w:rsidRPr="008B6F35" w:rsidRDefault="006031B1" w:rsidP="00726612">
            <w:pPr>
              <w:spacing w:line="280" w:lineRule="exact"/>
              <w:jc w:val="both"/>
              <w:rPr>
                <w:sz w:val="22"/>
                <w:szCs w:val="22"/>
              </w:rPr>
            </w:pPr>
            <w:r w:rsidRPr="008B6F35">
              <w:rPr>
                <w:b/>
                <w:sz w:val="22"/>
                <w:szCs w:val="22"/>
              </w:rPr>
              <w:t>3.2</w:t>
            </w:r>
            <w:r w:rsidRPr="008B6F35">
              <w:rPr>
                <w:sz w:val="22"/>
                <w:szCs w:val="22"/>
              </w:rPr>
              <w:t xml:space="preserve"> Enhance capacity for efficient delivery in the sector</w:t>
            </w:r>
          </w:p>
          <w:p w14:paraId="7C658B8E" w14:textId="77777777" w:rsidR="006031B1" w:rsidRPr="008B6F35" w:rsidRDefault="006031B1" w:rsidP="00726612">
            <w:pPr>
              <w:spacing w:line="280" w:lineRule="exact"/>
              <w:jc w:val="both"/>
              <w:rPr>
                <w:sz w:val="22"/>
                <w:szCs w:val="22"/>
              </w:rPr>
            </w:pPr>
            <w:r w:rsidRPr="008B6F35">
              <w:rPr>
                <w:b/>
                <w:sz w:val="22"/>
                <w:szCs w:val="22"/>
              </w:rPr>
              <w:t>3.3</w:t>
            </w:r>
            <w:r w:rsidRPr="008B6F35">
              <w:rPr>
                <w:sz w:val="22"/>
                <w:szCs w:val="22"/>
              </w:rPr>
              <w:t xml:space="preserve"> Strengthen planning, implementation</w:t>
            </w:r>
            <w:r w:rsidR="00BB5756" w:rsidRPr="008B6F35">
              <w:rPr>
                <w:sz w:val="22"/>
                <w:szCs w:val="22"/>
              </w:rPr>
              <w:t xml:space="preserve">, </w:t>
            </w:r>
            <w:r w:rsidRPr="008B6F35">
              <w:rPr>
                <w:sz w:val="22"/>
                <w:szCs w:val="22"/>
              </w:rPr>
              <w:t>monitoring</w:t>
            </w:r>
            <w:r w:rsidR="00BB5756" w:rsidRPr="008B6F35">
              <w:rPr>
                <w:sz w:val="22"/>
                <w:szCs w:val="22"/>
              </w:rPr>
              <w:t xml:space="preserve"> and oversight</w:t>
            </w:r>
            <w:r w:rsidRPr="008B6F35">
              <w:rPr>
                <w:sz w:val="22"/>
                <w:szCs w:val="22"/>
              </w:rPr>
              <w:t xml:space="preserve"> of comprehensive support programmes</w:t>
            </w:r>
            <w:r w:rsidR="00BB5756" w:rsidRPr="008B6F35">
              <w:rPr>
                <w:sz w:val="22"/>
                <w:szCs w:val="22"/>
              </w:rPr>
              <w:t>.</w:t>
            </w:r>
          </w:p>
          <w:p w14:paraId="5EA7D21A" w14:textId="77777777" w:rsidR="006031B1" w:rsidRPr="008B6F35" w:rsidRDefault="006031B1" w:rsidP="00726612">
            <w:pPr>
              <w:spacing w:line="280" w:lineRule="exact"/>
              <w:jc w:val="both"/>
              <w:rPr>
                <w:sz w:val="22"/>
                <w:szCs w:val="22"/>
              </w:rPr>
            </w:pPr>
          </w:p>
        </w:tc>
      </w:tr>
      <w:tr w:rsidR="006031B1" w:rsidRPr="00D12004" w14:paraId="0C6E1EC9" w14:textId="77777777" w:rsidTr="008B6F35">
        <w:tc>
          <w:tcPr>
            <w:tcW w:w="4310" w:type="dxa"/>
          </w:tcPr>
          <w:p w14:paraId="5396F8B5" w14:textId="77777777" w:rsidR="006031B1" w:rsidRPr="008B6F35" w:rsidRDefault="006031B1" w:rsidP="00726612">
            <w:pPr>
              <w:spacing w:line="280" w:lineRule="exact"/>
              <w:jc w:val="both"/>
              <w:rPr>
                <w:sz w:val="22"/>
                <w:szCs w:val="22"/>
              </w:rPr>
            </w:pPr>
            <w:r w:rsidRPr="008B6F35">
              <w:rPr>
                <w:b/>
                <w:sz w:val="22"/>
                <w:szCs w:val="22"/>
              </w:rPr>
              <w:t>4:</w:t>
            </w:r>
            <w:r w:rsidRPr="008B6F35">
              <w:rPr>
                <w:sz w:val="22"/>
                <w:szCs w:val="22"/>
              </w:rPr>
              <w:t xml:space="preserve"> Sustainable use of natural resources in the sector</w:t>
            </w:r>
          </w:p>
          <w:p w14:paraId="61D00FF1" w14:textId="77777777" w:rsidR="006031B1" w:rsidRPr="008B6F35" w:rsidRDefault="006031B1" w:rsidP="00726612">
            <w:pPr>
              <w:spacing w:line="280" w:lineRule="exact"/>
              <w:jc w:val="both"/>
              <w:rPr>
                <w:sz w:val="22"/>
                <w:szCs w:val="22"/>
              </w:rPr>
            </w:pPr>
          </w:p>
          <w:p w14:paraId="060088BD" w14:textId="77777777" w:rsidR="006031B1" w:rsidRPr="008B6F35" w:rsidRDefault="006031B1" w:rsidP="00726612">
            <w:pPr>
              <w:spacing w:line="280" w:lineRule="exact"/>
              <w:jc w:val="both"/>
              <w:rPr>
                <w:sz w:val="22"/>
                <w:szCs w:val="22"/>
              </w:rPr>
            </w:pPr>
          </w:p>
        </w:tc>
        <w:tc>
          <w:tcPr>
            <w:tcW w:w="4320" w:type="dxa"/>
          </w:tcPr>
          <w:p w14:paraId="5D8A7B9F" w14:textId="77777777" w:rsidR="006031B1" w:rsidRPr="008B6F35" w:rsidRDefault="006031B1" w:rsidP="00726612">
            <w:pPr>
              <w:spacing w:line="280" w:lineRule="exact"/>
              <w:jc w:val="both"/>
              <w:rPr>
                <w:sz w:val="22"/>
                <w:szCs w:val="22"/>
              </w:rPr>
            </w:pPr>
            <w:r w:rsidRPr="008B6F35">
              <w:rPr>
                <w:b/>
                <w:sz w:val="22"/>
                <w:szCs w:val="22"/>
              </w:rPr>
              <w:t>4.1</w:t>
            </w:r>
            <w:r w:rsidRPr="008B6F35">
              <w:rPr>
                <w:sz w:val="22"/>
                <w:szCs w:val="22"/>
              </w:rPr>
              <w:t xml:space="preserve"> Ensure the conservation, protection, rehabilitation and recovery of depleted and degraded natural resources</w:t>
            </w:r>
            <w:r w:rsidR="00A4237D" w:rsidRPr="008B6F35">
              <w:rPr>
                <w:sz w:val="22"/>
                <w:szCs w:val="22"/>
              </w:rPr>
              <w:t>.</w:t>
            </w:r>
          </w:p>
          <w:p w14:paraId="24B56F1C" w14:textId="77777777" w:rsidR="006031B1" w:rsidRPr="008B6F35" w:rsidRDefault="006031B1" w:rsidP="00726612">
            <w:pPr>
              <w:spacing w:line="280" w:lineRule="exact"/>
              <w:jc w:val="both"/>
              <w:rPr>
                <w:sz w:val="22"/>
                <w:szCs w:val="22"/>
              </w:rPr>
            </w:pPr>
            <w:r w:rsidRPr="008B6F35">
              <w:rPr>
                <w:b/>
                <w:sz w:val="22"/>
                <w:szCs w:val="22"/>
              </w:rPr>
              <w:t>4.2</w:t>
            </w:r>
            <w:r w:rsidRPr="008B6F35">
              <w:rPr>
                <w:sz w:val="22"/>
                <w:szCs w:val="22"/>
              </w:rPr>
              <w:t xml:space="preserve"> Ensure a</w:t>
            </w:r>
            <w:r w:rsidR="00A4237D" w:rsidRPr="008B6F35">
              <w:rPr>
                <w:sz w:val="22"/>
                <w:szCs w:val="22"/>
              </w:rPr>
              <w:t xml:space="preserve">daptation and mitigation </w:t>
            </w:r>
            <w:r w:rsidRPr="008B6F35">
              <w:rPr>
                <w:sz w:val="22"/>
                <w:szCs w:val="22"/>
              </w:rPr>
              <w:t>to climate change through the implementation of effective prescribed frameworks</w:t>
            </w:r>
          </w:p>
          <w:p w14:paraId="5F7451AC" w14:textId="77777777" w:rsidR="006031B1" w:rsidRPr="008B6F35" w:rsidRDefault="006031B1" w:rsidP="00726612">
            <w:pPr>
              <w:spacing w:line="280" w:lineRule="exact"/>
              <w:jc w:val="both"/>
              <w:rPr>
                <w:sz w:val="22"/>
                <w:szCs w:val="22"/>
              </w:rPr>
            </w:pPr>
          </w:p>
        </w:tc>
      </w:tr>
    </w:tbl>
    <w:p w14:paraId="779FBCB0" w14:textId="77777777" w:rsidR="006031B1" w:rsidRPr="00D12004" w:rsidRDefault="006031B1" w:rsidP="006031B1">
      <w:pPr>
        <w:spacing w:line="280" w:lineRule="exact"/>
        <w:jc w:val="both"/>
      </w:pPr>
    </w:p>
    <w:p w14:paraId="4616AA91" w14:textId="77777777" w:rsidR="008B6F35" w:rsidRDefault="008B6F35" w:rsidP="006031B1">
      <w:pPr>
        <w:spacing w:line="360" w:lineRule="auto"/>
        <w:jc w:val="both"/>
      </w:pPr>
    </w:p>
    <w:p w14:paraId="6E9A559D" w14:textId="77777777" w:rsidR="00E95F9A" w:rsidRDefault="006031B1" w:rsidP="006031B1">
      <w:pPr>
        <w:spacing w:line="360" w:lineRule="auto"/>
        <w:jc w:val="both"/>
      </w:pPr>
      <w:r w:rsidRPr="00D5695A">
        <w:t xml:space="preserve">The Department carries out its mandate through </w:t>
      </w:r>
      <w:r>
        <w:t>six programmes, namely</w:t>
      </w:r>
      <w:r w:rsidR="00E95F9A">
        <w:t>:</w:t>
      </w:r>
    </w:p>
    <w:p w14:paraId="31D3592E" w14:textId="77777777" w:rsidR="00E95F9A" w:rsidRDefault="002B17E2" w:rsidP="001175D3">
      <w:pPr>
        <w:pStyle w:val="ListParagraph"/>
        <w:numPr>
          <w:ilvl w:val="0"/>
          <w:numId w:val="7"/>
        </w:numPr>
        <w:spacing w:line="360" w:lineRule="auto"/>
        <w:jc w:val="both"/>
      </w:pPr>
      <w:r>
        <w:t xml:space="preserve">Programme 1: </w:t>
      </w:r>
      <w:r w:rsidR="006031B1" w:rsidRPr="00D5695A">
        <w:t>Administration</w:t>
      </w:r>
      <w:r w:rsidR="006031B1">
        <w:t xml:space="preserve">; </w:t>
      </w:r>
    </w:p>
    <w:p w14:paraId="1410F7FB" w14:textId="77777777" w:rsidR="00E95F9A" w:rsidRDefault="002B17E2" w:rsidP="001175D3">
      <w:pPr>
        <w:pStyle w:val="ListParagraph"/>
        <w:numPr>
          <w:ilvl w:val="0"/>
          <w:numId w:val="7"/>
        </w:numPr>
        <w:spacing w:line="360" w:lineRule="auto"/>
        <w:jc w:val="both"/>
      </w:pPr>
      <w:r>
        <w:t xml:space="preserve">Programme 2: </w:t>
      </w:r>
      <w:r w:rsidR="006031B1" w:rsidRPr="00D5695A">
        <w:t>Agricultural Production, Health and Food Safety</w:t>
      </w:r>
      <w:r w:rsidR="006031B1">
        <w:t xml:space="preserve">; </w:t>
      </w:r>
    </w:p>
    <w:p w14:paraId="6A06097C" w14:textId="77777777" w:rsidR="00E95F9A" w:rsidRDefault="002B17E2" w:rsidP="001175D3">
      <w:pPr>
        <w:pStyle w:val="ListParagraph"/>
        <w:numPr>
          <w:ilvl w:val="0"/>
          <w:numId w:val="7"/>
        </w:numPr>
        <w:spacing w:line="360" w:lineRule="auto"/>
        <w:jc w:val="both"/>
      </w:pPr>
      <w:r>
        <w:t xml:space="preserve">Programme 3: </w:t>
      </w:r>
      <w:r w:rsidR="006031B1" w:rsidRPr="00D5695A">
        <w:t>Food Security and Agrarian Reform</w:t>
      </w:r>
      <w:r w:rsidR="006031B1">
        <w:t xml:space="preserve">; </w:t>
      </w:r>
    </w:p>
    <w:p w14:paraId="04A6C7D2" w14:textId="77777777" w:rsidR="00E95F9A" w:rsidRDefault="002B17E2" w:rsidP="001175D3">
      <w:pPr>
        <w:pStyle w:val="ListParagraph"/>
        <w:numPr>
          <w:ilvl w:val="0"/>
          <w:numId w:val="7"/>
        </w:numPr>
        <w:spacing w:line="360" w:lineRule="auto"/>
        <w:jc w:val="both"/>
      </w:pPr>
      <w:r>
        <w:t xml:space="preserve">Programme 4: </w:t>
      </w:r>
      <w:r w:rsidR="006031B1" w:rsidRPr="00D5695A">
        <w:t>Trade</w:t>
      </w:r>
      <w:r w:rsidR="00E95F9A">
        <w:t xml:space="preserve"> Promotion</w:t>
      </w:r>
      <w:r w:rsidR="006031B1" w:rsidRPr="00D5695A">
        <w:t xml:space="preserve"> and Market</w:t>
      </w:r>
      <w:r w:rsidR="00E95F9A">
        <w:t xml:space="preserve"> Access</w:t>
      </w:r>
      <w:r w:rsidR="006031B1">
        <w:t xml:space="preserve">; </w:t>
      </w:r>
    </w:p>
    <w:p w14:paraId="0D4C7ABD" w14:textId="77777777" w:rsidR="00E95F9A" w:rsidRDefault="002B17E2" w:rsidP="001175D3">
      <w:pPr>
        <w:pStyle w:val="ListParagraph"/>
        <w:numPr>
          <w:ilvl w:val="0"/>
          <w:numId w:val="7"/>
        </w:numPr>
        <w:spacing w:line="360" w:lineRule="auto"/>
        <w:jc w:val="both"/>
      </w:pPr>
      <w:r>
        <w:t xml:space="preserve">Programme 5: </w:t>
      </w:r>
      <w:r w:rsidR="006031B1" w:rsidRPr="00D5695A">
        <w:t>Forestry and Natural Resources Management</w:t>
      </w:r>
      <w:r w:rsidR="00E95F9A">
        <w:t>; and</w:t>
      </w:r>
    </w:p>
    <w:p w14:paraId="4A0D6805" w14:textId="77777777" w:rsidR="006031B1" w:rsidRPr="00D5695A" w:rsidRDefault="002B17E2" w:rsidP="001175D3">
      <w:pPr>
        <w:pStyle w:val="ListParagraph"/>
        <w:numPr>
          <w:ilvl w:val="0"/>
          <w:numId w:val="7"/>
        </w:numPr>
        <w:spacing w:line="360" w:lineRule="auto"/>
        <w:jc w:val="both"/>
      </w:pPr>
      <w:r>
        <w:t xml:space="preserve">Programme 6: </w:t>
      </w:r>
      <w:r w:rsidR="006031B1" w:rsidRPr="00D5695A">
        <w:t>Fisheries Management</w:t>
      </w:r>
      <w:r w:rsidR="006031B1">
        <w:t>.</w:t>
      </w:r>
    </w:p>
    <w:p w14:paraId="7F5C6CF7" w14:textId="77777777" w:rsidR="006031B1" w:rsidRDefault="006031B1" w:rsidP="00D00A94">
      <w:pPr>
        <w:autoSpaceDE w:val="0"/>
        <w:autoSpaceDN w:val="0"/>
        <w:adjustRightInd w:val="0"/>
        <w:spacing w:line="360" w:lineRule="auto"/>
        <w:jc w:val="both"/>
        <w:rPr>
          <w:b/>
        </w:rPr>
      </w:pPr>
    </w:p>
    <w:p w14:paraId="17CD482D" w14:textId="77777777" w:rsidR="003A4C8F" w:rsidRPr="00D00A94" w:rsidRDefault="00903ACE" w:rsidP="003A4C8F">
      <w:pPr>
        <w:autoSpaceDE w:val="0"/>
        <w:autoSpaceDN w:val="0"/>
        <w:adjustRightInd w:val="0"/>
        <w:spacing w:line="360" w:lineRule="auto"/>
        <w:jc w:val="both"/>
        <w:rPr>
          <w:lang w:val="en-GB" w:eastAsia="en-GB"/>
        </w:rPr>
      </w:pPr>
      <w:r>
        <w:rPr>
          <w:lang w:val="en-GB" w:eastAsia="en-GB"/>
        </w:rPr>
        <w:t xml:space="preserve">To </w:t>
      </w:r>
      <w:r w:rsidRPr="00D00A94">
        <w:rPr>
          <w:lang w:val="en-GB" w:eastAsia="en-GB"/>
        </w:rPr>
        <w:t>contribute</w:t>
      </w:r>
      <w:r w:rsidR="008F6672" w:rsidRPr="00D00A94">
        <w:rPr>
          <w:lang w:val="en-GB" w:eastAsia="en-GB"/>
        </w:rPr>
        <w:t xml:space="preserve"> to the realisation of the goal of the</w:t>
      </w:r>
      <w:r>
        <w:rPr>
          <w:lang w:val="en-GB" w:eastAsia="en-GB"/>
        </w:rPr>
        <w:t xml:space="preserve"> NDP of </w:t>
      </w:r>
      <w:r w:rsidR="008F6672" w:rsidRPr="00D00A94">
        <w:rPr>
          <w:lang w:val="en-GB" w:eastAsia="en-GB"/>
        </w:rPr>
        <w:t>eliminat</w:t>
      </w:r>
      <w:r>
        <w:rPr>
          <w:lang w:val="en-GB" w:eastAsia="en-GB"/>
        </w:rPr>
        <w:t>ing</w:t>
      </w:r>
      <w:r w:rsidR="008F6672" w:rsidRPr="00D00A94">
        <w:rPr>
          <w:lang w:val="en-GB" w:eastAsia="en-GB"/>
        </w:rPr>
        <w:t xml:space="preserve"> poverty and reduce inequality by 2030</w:t>
      </w:r>
      <w:r>
        <w:rPr>
          <w:lang w:val="en-GB" w:eastAsia="en-GB"/>
        </w:rPr>
        <w:t xml:space="preserve">, DAFF </w:t>
      </w:r>
      <w:r w:rsidRPr="00720E24">
        <w:rPr>
          <w:lang w:val="en-GB" w:eastAsia="en-GB"/>
        </w:rPr>
        <w:t xml:space="preserve">identified priority areas and developed short to medium and long term </w:t>
      </w:r>
      <w:r w:rsidR="00AF2CEE">
        <w:rPr>
          <w:lang w:val="en-GB" w:eastAsia="en-GB"/>
        </w:rPr>
        <w:t xml:space="preserve">policies and </w:t>
      </w:r>
      <w:r w:rsidRPr="00720E24">
        <w:rPr>
          <w:lang w:val="en-GB" w:eastAsia="en-GB"/>
        </w:rPr>
        <w:t>strategies</w:t>
      </w:r>
      <w:r w:rsidR="00AF2CEE">
        <w:rPr>
          <w:lang w:val="en-GB" w:eastAsia="en-GB"/>
        </w:rPr>
        <w:t xml:space="preserve">. These include the Agricultural Policy Action Plan (APAP) that encompasses </w:t>
      </w:r>
      <w:r w:rsidR="003A4450" w:rsidRPr="00D00A94">
        <w:rPr>
          <w:lang w:val="en-GB" w:eastAsia="en-GB"/>
        </w:rPr>
        <w:t xml:space="preserve">the Nine Point Plan’s </w:t>
      </w:r>
      <w:r w:rsidR="004E6FE6" w:rsidRPr="00D00A94">
        <w:rPr>
          <w:lang w:val="en-GB" w:eastAsia="en-GB"/>
        </w:rPr>
        <w:t>Revitali</w:t>
      </w:r>
      <w:r w:rsidR="0099124E" w:rsidRPr="00D00A94">
        <w:rPr>
          <w:lang w:val="en-GB" w:eastAsia="en-GB"/>
        </w:rPr>
        <w:t>s</w:t>
      </w:r>
      <w:r w:rsidR="004E6FE6" w:rsidRPr="00D00A94">
        <w:rPr>
          <w:lang w:val="en-GB" w:eastAsia="en-GB"/>
        </w:rPr>
        <w:t xml:space="preserve">ation of Agriculture and </w:t>
      </w:r>
      <w:r w:rsidR="004E6FE6" w:rsidRPr="00D00A94">
        <w:rPr>
          <w:lang w:val="en-GB" w:eastAsia="en-GB"/>
        </w:rPr>
        <w:lastRenderedPageBreak/>
        <w:t>Agroprocessing Value Chain (</w:t>
      </w:r>
      <w:r w:rsidR="008F6672" w:rsidRPr="00D00A94">
        <w:rPr>
          <w:lang w:val="en-GB" w:eastAsia="en-GB"/>
        </w:rPr>
        <w:t>RAAVC</w:t>
      </w:r>
      <w:r w:rsidR="004E6FE6" w:rsidRPr="00D00A94">
        <w:rPr>
          <w:lang w:val="en-GB" w:eastAsia="en-GB"/>
        </w:rPr>
        <w:t>)</w:t>
      </w:r>
      <w:r w:rsidR="00B92312">
        <w:rPr>
          <w:lang w:val="en-GB" w:eastAsia="en-GB"/>
        </w:rPr>
        <w:t xml:space="preserve">; </w:t>
      </w:r>
      <w:r w:rsidR="00AA3748" w:rsidRPr="00D00A94">
        <w:rPr>
          <w:lang w:val="en-GB" w:eastAsia="en-GB"/>
        </w:rPr>
        <w:t>the Operation</w:t>
      </w:r>
      <w:r w:rsidR="008F6672" w:rsidRPr="00D00A94">
        <w:rPr>
          <w:lang w:val="en-GB" w:eastAsia="en-GB"/>
        </w:rPr>
        <w:t xml:space="preserve"> Phakisa for Agriculture, Land Reform and Rural Development</w:t>
      </w:r>
      <w:r w:rsidR="00B92312">
        <w:rPr>
          <w:lang w:val="en-GB" w:eastAsia="en-GB"/>
        </w:rPr>
        <w:t xml:space="preserve"> and finalisation and implementation of key policies</w:t>
      </w:r>
      <w:r w:rsidR="00726612">
        <w:rPr>
          <w:lang w:val="en-GB" w:eastAsia="en-GB"/>
        </w:rPr>
        <w:t xml:space="preserve"> and programmes</w:t>
      </w:r>
      <w:r w:rsidR="00B92312">
        <w:rPr>
          <w:lang w:val="en-GB" w:eastAsia="en-GB"/>
        </w:rPr>
        <w:t xml:space="preserve"> for smallholder development</w:t>
      </w:r>
      <w:r w:rsidR="00AF2CEE">
        <w:rPr>
          <w:lang w:val="en-GB" w:eastAsia="en-GB"/>
        </w:rPr>
        <w:t xml:space="preserve">. </w:t>
      </w:r>
      <w:r w:rsidR="003A4C8F" w:rsidRPr="00D00A94">
        <w:rPr>
          <w:lang w:eastAsia="en-GB"/>
        </w:rPr>
        <w:t xml:space="preserve">The 2019/20 APP of DAFF outlined actions, indicators and targets that will be pursued over the medium term to accelerate service delivery within </w:t>
      </w:r>
      <w:r w:rsidR="003A4C8F">
        <w:rPr>
          <w:lang w:eastAsia="en-GB"/>
        </w:rPr>
        <w:t xml:space="preserve">the </w:t>
      </w:r>
      <w:r w:rsidR="003A4C8F" w:rsidRPr="00D00A94">
        <w:rPr>
          <w:lang w:eastAsia="en-GB"/>
        </w:rPr>
        <w:t>agricultural sector</w:t>
      </w:r>
      <w:r w:rsidR="003A4C8F">
        <w:rPr>
          <w:lang w:val="en-GB" w:eastAsia="en-GB"/>
        </w:rPr>
        <w:t xml:space="preserve"> to ensure </w:t>
      </w:r>
      <w:r w:rsidR="003A4C8F" w:rsidRPr="00D00A94">
        <w:rPr>
          <w:lang w:val="en-GB" w:eastAsia="en-GB"/>
        </w:rPr>
        <w:t>creati</w:t>
      </w:r>
      <w:r w:rsidR="003A4C8F">
        <w:rPr>
          <w:lang w:val="en-GB" w:eastAsia="en-GB"/>
        </w:rPr>
        <w:t xml:space="preserve">on of </w:t>
      </w:r>
      <w:r w:rsidR="003A4C8F" w:rsidRPr="00D00A94">
        <w:rPr>
          <w:lang w:val="en-GB" w:eastAsia="en-GB"/>
        </w:rPr>
        <w:t>decent jobs, sustainable growth of the country’s economy and contribution to the Gross Domestic Product (GDP).</w:t>
      </w:r>
    </w:p>
    <w:p w14:paraId="3956B759" w14:textId="77777777" w:rsidR="00B77780" w:rsidRDefault="00B77780" w:rsidP="00D00A94">
      <w:pPr>
        <w:autoSpaceDE w:val="0"/>
        <w:autoSpaceDN w:val="0"/>
        <w:adjustRightInd w:val="0"/>
        <w:spacing w:line="360" w:lineRule="auto"/>
        <w:jc w:val="both"/>
        <w:rPr>
          <w:lang w:val="en-GB" w:eastAsia="en-GB"/>
        </w:rPr>
      </w:pPr>
    </w:p>
    <w:p w14:paraId="4EC4925F" w14:textId="77777777" w:rsidR="00726612" w:rsidRDefault="00726612" w:rsidP="00D00A94">
      <w:pPr>
        <w:autoSpaceDE w:val="0"/>
        <w:autoSpaceDN w:val="0"/>
        <w:adjustRightInd w:val="0"/>
        <w:spacing w:line="360" w:lineRule="auto"/>
        <w:jc w:val="both"/>
        <w:rPr>
          <w:lang w:val="en-GB" w:eastAsia="en-GB"/>
        </w:rPr>
      </w:pPr>
      <w:r>
        <w:rPr>
          <w:lang w:val="en-GB" w:eastAsia="en-GB"/>
        </w:rPr>
        <w:t xml:space="preserve">The key legislation, policies and other interventions that form part of the Department’s </w:t>
      </w:r>
      <w:r w:rsidR="007E46F1">
        <w:rPr>
          <w:lang w:val="en-GB" w:eastAsia="en-GB"/>
        </w:rPr>
        <w:t xml:space="preserve">implementation activities for the </w:t>
      </w:r>
      <w:r>
        <w:rPr>
          <w:lang w:val="en-GB" w:eastAsia="en-GB"/>
        </w:rPr>
        <w:t xml:space="preserve">2019/20 APP, to which the Committee </w:t>
      </w:r>
      <w:r w:rsidR="00F40A4B">
        <w:rPr>
          <w:lang w:val="en-GB" w:eastAsia="en-GB"/>
        </w:rPr>
        <w:t xml:space="preserve">will </w:t>
      </w:r>
      <w:r>
        <w:rPr>
          <w:lang w:val="en-GB" w:eastAsia="en-GB"/>
        </w:rPr>
        <w:t>focus its oversight activities include</w:t>
      </w:r>
      <w:r w:rsidR="00F40A4B">
        <w:rPr>
          <w:lang w:val="en-GB" w:eastAsia="en-GB"/>
        </w:rPr>
        <w:t xml:space="preserve"> inter alia</w:t>
      </w:r>
      <w:r>
        <w:rPr>
          <w:lang w:val="en-GB" w:eastAsia="en-GB"/>
        </w:rPr>
        <w:t>:</w:t>
      </w:r>
    </w:p>
    <w:p w14:paraId="66301376" w14:textId="77777777" w:rsidR="00726612" w:rsidRPr="008B6F35" w:rsidRDefault="00726612" w:rsidP="001175D3">
      <w:pPr>
        <w:pStyle w:val="ListParagraph"/>
        <w:numPr>
          <w:ilvl w:val="0"/>
          <w:numId w:val="8"/>
        </w:numPr>
        <w:autoSpaceDE w:val="0"/>
        <w:autoSpaceDN w:val="0"/>
        <w:adjustRightInd w:val="0"/>
        <w:spacing w:line="360" w:lineRule="auto"/>
        <w:jc w:val="both"/>
        <w:rPr>
          <w:lang w:val="en-GB" w:eastAsia="en-GB"/>
        </w:rPr>
      </w:pPr>
      <w:r w:rsidRPr="008B6F35">
        <w:rPr>
          <w:lang w:val="en-GB" w:eastAsia="en-GB"/>
        </w:rPr>
        <w:t xml:space="preserve">The </w:t>
      </w:r>
      <w:r w:rsidRPr="008B6F35">
        <w:rPr>
          <w:i/>
          <w:lang w:val="en-GB" w:eastAsia="en-GB"/>
        </w:rPr>
        <w:t>Preservation and Development of Agricultural Land (PDAL) Bill</w:t>
      </w:r>
      <w:r w:rsidRPr="008B6F35">
        <w:rPr>
          <w:lang w:val="en-GB" w:eastAsia="en-GB"/>
        </w:rPr>
        <w:t xml:space="preserve"> – </w:t>
      </w:r>
      <w:r w:rsidR="00D36345">
        <w:rPr>
          <w:lang w:val="en-GB" w:eastAsia="en-GB"/>
        </w:rPr>
        <w:t xml:space="preserve">it is </w:t>
      </w:r>
      <w:r w:rsidR="000B6FA8">
        <w:rPr>
          <w:lang w:val="en-GB" w:eastAsia="en-GB"/>
        </w:rPr>
        <w:t xml:space="preserve">one of the targets of the 2014-19 MTSF and was supposed to have been implemented as an Act by March 2019. </w:t>
      </w:r>
      <w:r w:rsidR="00E23AEE">
        <w:rPr>
          <w:lang w:val="en-GB" w:eastAsia="en-GB"/>
        </w:rPr>
        <w:t>Its</w:t>
      </w:r>
      <w:r w:rsidRPr="008B6F35">
        <w:rPr>
          <w:lang w:val="en-GB" w:eastAsia="en-GB"/>
        </w:rPr>
        <w:t xml:space="preserve"> finalisation is very crucial to protect and preserve agricultural land in light of the </w:t>
      </w:r>
      <w:r w:rsidR="000B6FA8">
        <w:rPr>
          <w:lang w:val="en-GB" w:eastAsia="en-GB"/>
        </w:rPr>
        <w:t xml:space="preserve">continuing </w:t>
      </w:r>
      <w:r w:rsidRPr="008B6F35">
        <w:rPr>
          <w:lang w:val="en-GB" w:eastAsia="en-GB"/>
        </w:rPr>
        <w:t xml:space="preserve">loss of agricultural land to mining and urban </w:t>
      </w:r>
      <w:r w:rsidR="006B0CFA">
        <w:rPr>
          <w:lang w:val="en-GB" w:eastAsia="en-GB"/>
        </w:rPr>
        <w:t>sprawl</w:t>
      </w:r>
      <w:r w:rsidRPr="008B6F35">
        <w:rPr>
          <w:lang w:val="en-GB" w:eastAsia="en-GB"/>
        </w:rPr>
        <w:t>.</w:t>
      </w:r>
      <w:r w:rsidR="00E23AEE">
        <w:rPr>
          <w:lang w:val="en-GB" w:eastAsia="en-GB"/>
        </w:rPr>
        <w:t xml:space="preserve">  </w:t>
      </w:r>
    </w:p>
    <w:p w14:paraId="5D67849C" w14:textId="77777777" w:rsidR="007E46F1" w:rsidRDefault="007E46F1" w:rsidP="001175D3">
      <w:pPr>
        <w:pStyle w:val="ListParagraph"/>
        <w:numPr>
          <w:ilvl w:val="0"/>
          <w:numId w:val="8"/>
        </w:numPr>
        <w:autoSpaceDE w:val="0"/>
        <w:autoSpaceDN w:val="0"/>
        <w:adjustRightInd w:val="0"/>
        <w:spacing w:line="360" w:lineRule="auto"/>
        <w:jc w:val="both"/>
        <w:rPr>
          <w:lang w:val="en-GB" w:eastAsia="en-GB"/>
        </w:rPr>
      </w:pPr>
      <w:r w:rsidRPr="008B6F35">
        <w:rPr>
          <w:i/>
          <w:lang w:val="en-GB" w:eastAsia="en-GB"/>
        </w:rPr>
        <w:t>National Policy on Extension and Advisory Services</w:t>
      </w:r>
      <w:r>
        <w:rPr>
          <w:lang w:val="en-GB" w:eastAsia="en-GB"/>
        </w:rPr>
        <w:t xml:space="preserve"> – </w:t>
      </w:r>
      <w:r w:rsidR="00711F99">
        <w:rPr>
          <w:lang w:val="en-GB" w:eastAsia="en-GB"/>
        </w:rPr>
        <w:t xml:space="preserve">the policy was developed to address challenges with provision of extension services support to farmers </w:t>
      </w:r>
      <w:r w:rsidR="000B6FA8">
        <w:rPr>
          <w:lang w:val="en-GB" w:eastAsia="en-GB"/>
        </w:rPr>
        <w:t>and land reform beneficiaries. However, despite its implementation, t</w:t>
      </w:r>
      <w:r>
        <w:rPr>
          <w:lang w:val="en-GB" w:eastAsia="en-GB"/>
        </w:rPr>
        <w:t>echnical support and capacity building of farmers</w:t>
      </w:r>
      <w:r w:rsidR="00711F99">
        <w:rPr>
          <w:lang w:val="en-GB" w:eastAsia="en-GB"/>
        </w:rPr>
        <w:t xml:space="preserve"> and land reform beneficiaries remain</w:t>
      </w:r>
      <w:r>
        <w:rPr>
          <w:lang w:val="en-GB" w:eastAsia="en-GB"/>
        </w:rPr>
        <w:t xml:space="preserve"> a </w:t>
      </w:r>
      <w:r w:rsidR="000B6FA8">
        <w:rPr>
          <w:lang w:val="en-GB" w:eastAsia="en-GB"/>
        </w:rPr>
        <w:t xml:space="preserve">major </w:t>
      </w:r>
      <w:r>
        <w:rPr>
          <w:lang w:val="en-GB" w:eastAsia="en-GB"/>
        </w:rPr>
        <w:t>challenge.</w:t>
      </w:r>
      <w:r w:rsidR="004733FA">
        <w:rPr>
          <w:lang w:val="en-GB" w:eastAsia="en-GB"/>
        </w:rPr>
        <w:t xml:space="preserve"> </w:t>
      </w:r>
    </w:p>
    <w:p w14:paraId="67574057" w14:textId="77777777" w:rsidR="004733FA" w:rsidRDefault="004733FA" w:rsidP="001175D3">
      <w:pPr>
        <w:pStyle w:val="ListParagraph"/>
        <w:numPr>
          <w:ilvl w:val="0"/>
          <w:numId w:val="8"/>
        </w:numPr>
        <w:autoSpaceDE w:val="0"/>
        <w:autoSpaceDN w:val="0"/>
        <w:adjustRightInd w:val="0"/>
        <w:spacing w:line="360" w:lineRule="auto"/>
        <w:jc w:val="both"/>
        <w:rPr>
          <w:lang w:val="en-GB" w:eastAsia="en-GB"/>
        </w:rPr>
      </w:pPr>
      <w:r w:rsidRPr="008B6F35">
        <w:rPr>
          <w:lang w:val="en-GB" w:eastAsia="en-GB"/>
        </w:rPr>
        <w:t>Finalisation for implementation of the</w:t>
      </w:r>
      <w:r>
        <w:rPr>
          <w:i/>
          <w:lang w:val="en-GB" w:eastAsia="en-GB"/>
        </w:rPr>
        <w:t xml:space="preserve"> National Policy on Comprehensive Producer Development Support</w:t>
      </w:r>
      <w:r w:rsidR="00E23AEE">
        <w:rPr>
          <w:i/>
          <w:lang w:val="en-GB" w:eastAsia="en-GB"/>
        </w:rPr>
        <w:t xml:space="preserve"> – </w:t>
      </w:r>
      <w:r w:rsidR="00E23AEE" w:rsidRPr="008B6F35">
        <w:rPr>
          <w:lang w:val="en-GB" w:eastAsia="en-GB"/>
        </w:rPr>
        <w:t xml:space="preserve">the policy </w:t>
      </w:r>
      <w:r w:rsidR="00E50E4D">
        <w:rPr>
          <w:lang w:val="en-GB" w:eastAsia="en-GB"/>
        </w:rPr>
        <w:t>i</w:t>
      </w:r>
      <w:r w:rsidRPr="008B6F35">
        <w:rPr>
          <w:lang w:val="en-GB" w:eastAsia="en-GB"/>
        </w:rPr>
        <w:t xml:space="preserve">s meant to </w:t>
      </w:r>
      <w:r w:rsidR="000B6FA8">
        <w:rPr>
          <w:lang w:val="en-GB" w:eastAsia="en-GB"/>
        </w:rPr>
        <w:t xml:space="preserve">coordinate support and </w:t>
      </w:r>
      <w:r>
        <w:rPr>
          <w:lang w:val="en-GB" w:eastAsia="en-GB"/>
        </w:rPr>
        <w:t xml:space="preserve">comprehensively </w:t>
      </w:r>
      <w:r w:rsidRPr="008B6F35">
        <w:rPr>
          <w:lang w:val="en-GB" w:eastAsia="en-GB"/>
        </w:rPr>
        <w:t xml:space="preserve">address challenges associated with </w:t>
      </w:r>
      <w:r>
        <w:rPr>
          <w:lang w:val="en-GB" w:eastAsia="en-GB"/>
        </w:rPr>
        <w:t xml:space="preserve">provision of appropriate </w:t>
      </w:r>
      <w:r w:rsidRPr="008B6F35">
        <w:rPr>
          <w:lang w:val="en-GB" w:eastAsia="en-GB"/>
        </w:rPr>
        <w:t xml:space="preserve">support to </w:t>
      </w:r>
      <w:r w:rsidR="000B6FA8">
        <w:rPr>
          <w:lang w:val="en-GB" w:eastAsia="en-GB"/>
        </w:rPr>
        <w:t>producer</w:t>
      </w:r>
      <w:r w:rsidRPr="008B6F35">
        <w:rPr>
          <w:lang w:val="en-GB" w:eastAsia="en-GB"/>
        </w:rPr>
        <w:t xml:space="preserve">s and land reform beneficiaries. </w:t>
      </w:r>
    </w:p>
    <w:p w14:paraId="194C4A7C" w14:textId="77777777" w:rsidR="003A4C8F" w:rsidRPr="004733FA" w:rsidRDefault="003A4C8F" w:rsidP="001175D3">
      <w:pPr>
        <w:pStyle w:val="ListParagraph"/>
        <w:numPr>
          <w:ilvl w:val="0"/>
          <w:numId w:val="8"/>
        </w:numPr>
        <w:autoSpaceDE w:val="0"/>
        <w:autoSpaceDN w:val="0"/>
        <w:adjustRightInd w:val="0"/>
        <w:spacing w:line="360" w:lineRule="auto"/>
        <w:jc w:val="both"/>
        <w:rPr>
          <w:lang w:val="en-GB" w:eastAsia="en-GB"/>
        </w:rPr>
      </w:pPr>
      <w:r>
        <w:rPr>
          <w:lang w:val="en-GB" w:eastAsia="en-GB"/>
        </w:rPr>
        <w:t xml:space="preserve">Deployment of veterinarians </w:t>
      </w:r>
      <w:r w:rsidR="00AB1813">
        <w:rPr>
          <w:lang w:val="en-GB" w:eastAsia="en-GB"/>
        </w:rPr>
        <w:t xml:space="preserve">in rural areas </w:t>
      </w:r>
      <w:r>
        <w:rPr>
          <w:lang w:val="en-GB" w:eastAsia="en-GB"/>
        </w:rPr>
        <w:t xml:space="preserve">through the </w:t>
      </w:r>
      <w:r w:rsidRPr="008B6F35">
        <w:rPr>
          <w:i/>
          <w:lang w:val="en-GB" w:eastAsia="en-GB"/>
        </w:rPr>
        <w:t>Compulsory Community Service (CCS)</w:t>
      </w:r>
      <w:r>
        <w:rPr>
          <w:lang w:val="en-GB" w:eastAsia="en-GB"/>
        </w:rPr>
        <w:t xml:space="preserve"> programme for veterinarians.  </w:t>
      </w:r>
    </w:p>
    <w:p w14:paraId="1ED23AB6" w14:textId="77777777" w:rsidR="00BA6884" w:rsidRPr="00AB1813" w:rsidRDefault="00BA6884" w:rsidP="001175D3">
      <w:pPr>
        <w:pStyle w:val="ListParagraph"/>
        <w:numPr>
          <w:ilvl w:val="0"/>
          <w:numId w:val="8"/>
        </w:numPr>
        <w:autoSpaceDE w:val="0"/>
        <w:autoSpaceDN w:val="0"/>
        <w:adjustRightInd w:val="0"/>
        <w:spacing w:line="360" w:lineRule="auto"/>
        <w:jc w:val="both"/>
        <w:rPr>
          <w:lang w:val="en-GB" w:eastAsia="en-GB"/>
        </w:rPr>
      </w:pPr>
      <w:r>
        <w:rPr>
          <w:i/>
          <w:lang w:val="en-GB" w:eastAsia="en-GB"/>
        </w:rPr>
        <w:t xml:space="preserve">Commercialisation of Black Producers </w:t>
      </w:r>
      <w:r w:rsidR="000B6FA8">
        <w:rPr>
          <w:i/>
          <w:lang w:val="en-GB" w:eastAsia="en-GB"/>
        </w:rPr>
        <w:t xml:space="preserve">Programme </w:t>
      </w:r>
      <w:r w:rsidRPr="008B6F35">
        <w:rPr>
          <w:lang w:val="en-GB" w:eastAsia="en-GB"/>
        </w:rPr>
        <w:t>and the utilisation of the</w:t>
      </w:r>
      <w:r>
        <w:rPr>
          <w:i/>
          <w:lang w:val="en-GB" w:eastAsia="en-GB"/>
        </w:rPr>
        <w:t xml:space="preserve"> Blended Finance Model</w:t>
      </w:r>
      <w:r w:rsidR="00AB1813">
        <w:rPr>
          <w:i/>
          <w:lang w:val="en-GB" w:eastAsia="en-GB"/>
        </w:rPr>
        <w:t xml:space="preserve"> </w:t>
      </w:r>
      <w:r w:rsidR="00AB1813" w:rsidRPr="008B6F35">
        <w:rPr>
          <w:lang w:val="en-GB" w:eastAsia="en-GB"/>
        </w:rPr>
        <w:t xml:space="preserve">that will be used a </w:t>
      </w:r>
      <w:r w:rsidR="00AB1813" w:rsidRPr="00AB1813">
        <w:rPr>
          <w:lang w:val="en-GB" w:eastAsia="en-GB"/>
        </w:rPr>
        <w:t>funding</w:t>
      </w:r>
      <w:r w:rsidR="00AB1813" w:rsidRPr="008B6F35">
        <w:rPr>
          <w:lang w:val="en-GB" w:eastAsia="en-GB"/>
        </w:rPr>
        <w:t xml:space="preserve"> instrument for </w:t>
      </w:r>
      <w:r w:rsidR="00AB1813">
        <w:rPr>
          <w:lang w:val="en-GB" w:eastAsia="en-GB"/>
        </w:rPr>
        <w:t>farmers s</w:t>
      </w:r>
      <w:r w:rsidR="00AB1813" w:rsidRPr="008B6F35">
        <w:rPr>
          <w:lang w:val="en-GB" w:eastAsia="en-GB"/>
        </w:rPr>
        <w:t>e</w:t>
      </w:r>
      <w:r w:rsidR="00AB1813">
        <w:rPr>
          <w:lang w:val="en-GB" w:eastAsia="en-GB"/>
        </w:rPr>
        <w:t>le</w:t>
      </w:r>
      <w:r w:rsidR="00AB1813" w:rsidRPr="008B6F35">
        <w:rPr>
          <w:lang w:val="en-GB" w:eastAsia="en-GB"/>
        </w:rPr>
        <w:t>cted</w:t>
      </w:r>
      <w:r w:rsidR="00AB1813">
        <w:rPr>
          <w:lang w:val="en-GB" w:eastAsia="en-GB"/>
        </w:rPr>
        <w:t xml:space="preserve"> for commercialisation</w:t>
      </w:r>
      <w:r w:rsidRPr="008B6F35">
        <w:rPr>
          <w:lang w:val="en-GB" w:eastAsia="en-GB"/>
        </w:rPr>
        <w:t>.</w:t>
      </w:r>
      <w:r w:rsidR="00AB1813">
        <w:rPr>
          <w:lang w:val="en-GB" w:eastAsia="en-GB"/>
        </w:rPr>
        <w:t xml:space="preserve"> The Department reported that the programme was temporarily suspended in the past financial year on the realisation that it was </w:t>
      </w:r>
      <w:r w:rsidR="00AB1813">
        <w:rPr>
          <w:lang w:val="en-GB" w:eastAsia="en-GB"/>
        </w:rPr>
        <w:lastRenderedPageBreak/>
        <w:t xml:space="preserve">benefiting officials responsible for its implementation or people linked to them. The Committee should get a further briefing on this. </w:t>
      </w:r>
    </w:p>
    <w:p w14:paraId="02230C6C" w14:textId="77777777" w:rsidR="00726612" w:rsidRPr="008B6F35" w:rsidRDefault="00726612" w:rsidP="001175D3">
      <w:pPr>
        <w:pStyle w:val="ListParagraph"/>
        <w:numPr>
          <w:ilvl w:val="0"/>
          <w:numId w:val="8"/>
        </w:numPr>
        <w:autoSpaceDE w:val="0"/>
        <w:autoSpaceDN w:val="0"/>
        <w:adjustRightInd w:val="0"/>
        <w:spacing w:line="360" w:lineRule="auto"/>
        <w:jc w:val="both"/>
        <w:rPr>
          <w:lang w:val="en-GB" w:eastAsia="en-GB"/>
        </w:rPr>
      </w:pPr>
      <w:r w:rsidRPr="008B6F35">
        <w:rPr>
          <w:i/>
          <w:lang w:val="en-GB" w:eastAsia="en-GB"/>
        </w:rPr>
        <w:t>Climate Change Adaptation and Mitigation Plan</w:t>
      </w:r>
      <w:r w:rsidRPr="008B6F35">
        <w:rPr>
          <w:lang w:val="en-GB" w:eastAsia="en-GB"/>
        </w:rPr>
        <w:t xml:space="preserve"> for the sector </w:t>
      </w:r>
      <w:r w:rsidR="000B6FA8">
        <w:rPr>
          <w:lang w:val="en-GB" w:eastAsia="en-GB"/>
        </w:rPr>
        <w:t xml:space="preserve">and the </w:t>
      </w:r>
      <w:r w:rsidR="000B6FA8" w:rsidRPr="00381C05">
        <w:rPr>
          <w:i/>
          <w:lang w:val="en-GB" w:eastAsia="en-GB"/>
        </w:rPr>
        <w:t>Climate Smart Agriculture (CSA) Strategic Framework</w:t>
      </w:r>
      <w:r w:rsidR="000B6FA8">
        <w:rPr>
          <w:lang w:val="en-GB" w:eastAsia="en-GB"/>
        </w:rPr>
        <w:t xml:space="preserve"> </w:t>
      </w:r>
      <w:r w:rsidRPr="008B6F35">
        <w:rPr>
          <w:lang w:val="en-GB" w:eastAsia="en-GB"/>
        </w:rPr>
        <w:t>– focus on the quarterly activities</w:t>
      </w:r>
      <w:r w:rsidR="00555B20">
        <w:rPr>
          <w:lang w:val="en-GB" w:eastAsia="en-GB"/>
        </w:rPr>
        <w:t xml:space="preserve"> or action plans</w:t>
      </w:r>
      <w:r w:rsidRPr="008B6F35">
        <w:rPr>
          <w:lang w:val="en-GB" w:eastAsia="en-GB"/>
        </w:rPr>
        <w:t xml:space="preserve"> that will give effect to the implementation of the Plan as climate change has an adverse impact on the development and growth of the agricultural sector.</w:t>
      </w:r>
      <w:r w:rsidR="005E2CE4" w:rsidRPr="008B6F35">
        <w:rPr>
          <w:lang w:val="en-GB" w:eastAsia="en-GB"/>
        </w:rPr>
        <w:t xml:space="preserve"> </w:t>
      </w:r>
    </w:p>
    <w:p w14:paraId="15A03679" w14:textId="77777777" w:rsidR="00BC4C6E" w:rsidRDefault="007E46F1" w:rsidP="001175D3">
      <w:pPr>
        <w:pStyle w:val="ListParagraph"/>
        <w:numPr>
          <w:ilvl w:val="0"/>
          <w:numId w:val="8"/>
        </w:numPr>
        <w:autoSpaceDE w:val="0"/>
        <w:autoSpaceDN w:val="0"/>
        <w:adjustRightInd w:val="0"/>
        <w:spacing w:line="360" w:lineRule="auto"/>
        <w:jc w:val="both"/>
        <w:rPr>
          <w:lang w:val="en-GB" w:eastAsia="en-GB"/>
        </w:rPr>
      </w:pPr>
      <w:r>
        <w:rPr>
          <w:lang w:val="en-GB" w:eastAsia="en-GB"/>
        </w:rPr>
        <w:t xml:space="preserve">The </w:t>
      </w:r>
      <w:r w:rsidR="00BC4C6E" w:rsidRPr="008B6F35">
        <w:rPr>
          <w:i/>
          <w:lang w:val="en-GB" w:eastAsia="en-GB"/>
        </w:rPr>
        <w:t>AgriBEE Sector Code</w:t>
      </w:r>
      <w:r w:rsidR="00BC4C6E">
        <w:rPr>
          <w:lang w:val="en-GB" w:eastAsia="en-GB"/>
        </w:rPr>
        <w:t xml:space="preserve"> government undertakings</w:t>
      </w:r>
      <w:r w:rsidR="003A4C8F">
        <w:rPr>
          <w:lang w:val="en-GB" w:eastAsia="en-GB"/>
        </w:rPr>
        <w:t xml:space="preserve"> to enforce transformation in the agricultural sector</w:t>
      </w:r>
      <w:r w:rsidR="00BC4C6E">
        <w:rPr>
          <w:lang w:val="en-GB" w:eastAsia="en-GB"/>
        </w:rPr>
        <w:t>.</w:t>
      </w:r>
      <w:r w:rsidR="00AB1813">
        <w:rPr>
          <w:lang w:val="en-GB" w:eastAsia="en-GB"/>
        </w:rPr>
        <w:t xml:space="preserve"> Progress in this regard has been viewed as slow. </w:t>
      </w:r>
    </w:p>
    <w:p w14:paraId="3E566C05" w14:textId="77777777" w:rsidR="008E3BB6" w:rsidRDefault="008E3BB6" w:rsidP="008E3BB6">
      <w:pPr>
        <w:autoSpaceDE w:val="0"/>
        <w:autoSpaceDN w:val="0"/>
        <w:adjustRightInd w:val="0"/>
        <w:spacing w:line="360" w:lineRule="auto"/>
        <w:jc w:val="both"/>
        <w:rPr>
          <w:lang w:val="en-GB" w:eastAsia="en-GB"/>
        </w:rPr>
      </w:pPr>
    </w:p>
    <w:p w14:paraId="147ABECE" w14:textId="77777777" w:rsidR="002F2906" w:rsidRDefault="008E3BB6" w:rsidP="008E3BB6">
      <w:pPr>
        <w:autoSpaceDE w:val="0"/>
        <w:autoSpaceDN w:val="0"/>
        <w:adjustRightInd w:val="0"/>
        <w:spacing w:line="360" w:lineRule="auto"/>
        <w:jc w:val="both"/>
        <w:rPr>
          <w:lang w:val="en-GB" w:eastAsia="en-GB"/>
        </w:rPr>
      </w:pPr>
      <w:r>
        <w:rPr>
          <w:lang w:val="en-GB" w:eastAsia="en-GB"/>
        </w:rPr>
        <w:t>The Committee raised a concern with</w:t>
      </w:r>
      <w:r w:rsidR="00FB2864">
        <w:rPr>
          <w:lang w:val="en-GB" w:eastAsia="en-GB"/>
        </w:rPr>
        <w:t xml:space="preserve"> the protracted period it takes the Department to </w:t>
      </w:r>
      <w:r>
        <w:rPr>
          <w:lang w:val="en-GB" w:eastAsia="en-GB"/>
        </w:rPr>
        <w:t>develop</w:t>
      </w:r>
      <w:r w:rsidR="00FB2864">
        <w:rPr>
          <w:lang w:val="en-GB" w:eastAsia="en-GB"/>
        </w:rPr>
        <w:t xml:space="preserve"> and eventually </w:t>
      </w:r>
      <w:r>
        <w:rPr>
          <w:lang w:val="en-GB" w:eastAsia="en-GB"/>
        </w:rPr>
        <w:t>implement policies</w:t>
      </w:r>
      <w:r w:rsidR="00E50E4D">
        <w:rPr>
          <w:lang w:val="en-GB" w:eastAsia="en-GB"/>
        </w:rPr>
        <w:t xml:space="preserve"> and legislation</w:t>
      </w:r>
      <w:r>
        <w:rPr>
          <w:lang w:val="en-GB" w:eastAsia="en-GB"/>
        </w:rPr>
        <w:t xml:space="preserve"> that are crucial for addressing sectoral challenges</w:t>
      </w:r>
      <w:r w:rsidR="00C232C6">
        <w:rPr>
          <w:lang w:val="en-GB" w:eastAsia="en-GB"/>
        </w:rPr>
        <w:t xml:space="preserve"> </w:t>
      </w:r>
      <w:r>
        <w:rPr>
          <w:lang w:val="en-GB" w:eastAsia="en-GB"/>
        </w:rPr>
        <w:t>while promoting sector growth. The</w:t>
      </w:r>
      <w:r w:rsidR="00891286">
        <w:rPr>
          <w:lang w:val="en-GB" w:eastAsia="en-GB"/>
        </w:rPr>
        <w:t xml:space="preserve">re is uncertainty about the </w:t>
      </w:r>
      <w:r>
        <w:rPr>
          <w:lang w:val="en-GB" w:eastAsia="en-GB"/>
        </w:rPr>
        <w:t xml:space="preserve">Department’s capacity and commitment </w:t>
      </w:r>
      <w:r w:rsidR="00891286">
        <w:rPr>
          <w:lang w:val="en-GB" w:eastAsia="en-GB"/>
        </w:rPr>
        <w:t xml:space="preserve">to legislation and policy development. </w:t>
      </w:r>
      <w:r w:rsidR="00FB2864">
        <w:rPr>
          <w:lang w:val="en-GB" w:eastAsia="en-GB"/>
        </w:rPr>
        <w:t xml:space="preserve">The </w:t>
      </w:r>
      <w:r w:rsidR="00FB2864" w:rsidRPr="004454C8">
        <w:rPr>
          <w:i/>
          <w:lang w:val="en-GB" w:eastAsia="en-GB"/>
        </w:rPr>
        <w:t>National Policy on Extension and Advisory Services</w:t>
      </w:r>
      <w:r w:rsidR="00E23AEE" w:rsidRPr="008E3BB6">
        <w:rPr>
          <w:lang w:val="en-GB" w:eastAsia="en-GB"/>
        </w:rPr>
        <w:t xml:space="preserve"> </w:t>
      </w:r>
      <w:r w:rsidR="00FB2864">
        <w:rPr>
          <w:lang w:val="en-GB" w:eastAsia="en-GB"/>
        </w:rPr>
        <w:t>has been under development since 201</w:t>
      </w:r>
      <w:r w:rsidR="00E50E4D">
        <w:rPr>
          <w:lang w:val="en-GB" w:eastAsia="en-GB"/>
        </w:rPr>
        <w:t>2</w:t>
      </w:r>
      <w:r w:rsidR="00FB2864">
        <w:rPr>
          <w:lang w:val="en-GB" w:eastAsia="en-GB"/>
        </w:rPr>
        <w:t xml:space="preserve"> but was only approved by Cabinet in October 2016 and eventually implemented in 2017. The </w:t>
      </w:r>
      <w:r w:rsidR="00E50E4D">
        <w:rPr>
          <w:lang w:val="en-GB" w:eastAsia="en-GB"/>
        </w:rPr>
        <w:t xml:space="preserve">Draft </w:t>
      </w:r>
      <w:r w:rsidR="00FB2864">
        <w:rPr>
          <w:i/>
          <w:lang w:val="en-GB" w:eastAsia="en-GB"/>
        </w:rPr>
        <w:t>National Policy on Comprehensive Producer Development Support</w:t>
      </w:r>
      <w:r w:rsidR="00FB2864">
        <w:rPr>
          <w:lang w:val="en-GB" w:eastAsia="en-GB"/>
        </w:rPr>
        <w:t xml:space="preserve"> </w:t>
      </w:r>
      <w:r w:rsidR="00E50E4D">
        <w:rPr>
          <w:lang w:val="en-GB" w:eastAsia="en-GB"/>
        </w:rPr>
        <w:t xml:space="preserve">has been under development since 2015 and was supposed to be tabled in Cabinet in 2018/19, a target that has since been rolled over to 2019/20. </w:t>
      </w:r>
    </w:p>
    <w:p w14:paraId="43F6A726" w14:textId="77777777" w:rsidR="008B6F35" w:rsidRDefault="008B6F35" w:rsidP="008E3BB6">
      <w:pPr>
        <w:autoSpaceDE w:val="0"/>
        <w:autoSpaceDN w:val="0"/>
        <w:adjustRightInd w:val="0"/>
        <w:spacing w:line="360" w:lineRule="auto"/>
        <w:jc w:val="both"/>
        <w:rPr>
          <w:lang w:val="en-GB" w:eastAsia="en-GB"/>
        </w:rPr>
      </w:pPr>
    </w:p>
    <w:p w14:paraId="68772D20" w14:textId="77777777" w:rsidR="00E23AEE" w:rsidRDefault="00C73E4A" w:rsidP="008E3BB6">
      <w:pPr>
        <w:autoSpaceDE w:val="0"/>
        <w:autoSpaceDN w:val="0"/>
        <w:adjustRightInd w:val="0"/>
        <w:spacing w:line="360" w:lineRule="auto"/>
        <w:jc w:val="both"/>
        <w:rPr>
          <w:lang w:val="en-GB" w:eastAsia="en-GB"/>
        </w:rPr>
      </w:pPr>
      <w:r>
        <w:rPr>
          <w:lang w:val="en-GB" w:eastAsia="en-GB"/>
        </w:rPr>
        <w:t>In 2015, the Department invited public inputs on a draft P</w:t>
      </w:r>
      <w:r w:rsidR="00E50E4D">
        <w:rPr>
          <w:lang w:val="en-GB" w:eastAsia="en-GB"/>
        </w:rPr>
        <w:t>DAL Bill</w:t>
      </w:r>
      <w:r>
        <w:rPr>
          <w:lang w:val="en-GB" w:eastAsia="en-GB"/>
        </w:rPr>
        <w:t xml:space="preserve">, which was then called PDALF Bill as per the MTSF, and since then its submission has been a moving target. </w:t>
      </w:r>
      <w:r w:rsidR="00AA27CD">
        <w:rPr>
          <w:lang w:val="en-GB" w:eastAsia="en-GB"/>
        </w:rPr>
        <w:t xml:space="preserve">After three years, </w:t>
      </w:r>
      <w:r>
        <w:rPr>
          <w:lang w:val="en-GB" w:eastAsia="en-GB"/>
        </w:rPr>
        <w:t xml:space="preserve">in </w:t>
      </w:r>
      <w:r w:rsidR="00D36345">
        <w:rPr>
          <w:lang w:val="en-GB" w:eastAsia="en-GB"/>
        </w:rPr>
        <w:t xml:space="preserve">2018, the </w:t>
      </w:r>
      <w:r>
        <w:rPr>
          <w:lang w:val="en-GB" w:eastAsia="en-GB"/>
        </w:rPr>
        <w:t>Department reported that</w:t>
      </w:r>
      <w:r w:rsidR="00AA27CD">
        <w:rPr>
          <w:lang w:val="en-GB" w:eastAsia="en-GB"/>
        </w:rPr>
        <w:t xml:space="preserve"> it had appointed a private consultant (legal firm) to re</w:t>
      </w:r>
      <w:r w:rsidR="00D36345">
        <w:rPr>
          <w:lang w:val="en-GB" w:eastAsia="en-GB"/>
        </w:rPr>
        <w:t>draf</w:t>
      </w:r>
      <w:r w:rsidR="00AA27CD">
        <w:rPr>
          <w:lang w:val="en-GB" w:eastAsia="en-GB"/>
        </w:rPr>
        <w:t xml:space="preserve">t </w:t>
      </w:r>
      <w:r w:rsidR="00D36345">
        <w:rPr>
          <w:lang w:val="en-GB" w:eastAsia="en-GB"/>
        </w:rPr>
        <w:t>the Bill</w:t>
      </w:r>
      <w:r w:rsidR="00AA27CD">
        <w:rPr>
          <w:lang w:val="en-GB" w:eastAsia="en-GB"/>
        </w:rPr>
        <w:t>. The PDAL Bill</w:t>
      </w:r>
      <w:r w:rsidR="00D36345">
        <w:rPr>
          <w:lang w:val="en-GB" w:eastAsia="en-GB"/>
        </w:rPr>
        <w:t xml:space="preserve"> </w:t>
      </w:r>
      <w:r w:rsidR="00AA27CD">
        <w:rPr>
          <w:lang w:val="en-GB" w:eastAsia="en-GB"/>
        </w:rPr>
        <w:t xml:space="preserve">is now expected </w:t>
      </w:r>
      <w:r w:rsidR="00D36345">
        <w:rPr>
          <w:lang w:val="en-GB" w:eastAsia="en-GB"/>
        </w:rPr>
        <w:t xml:space="preserve">to be submitted to </w:t>
      </w:r>
      <w:r w:rsidR="000845D4">
        <w:rPr>
          <w:lang w:val="en-GB" w:eastAsia="en-GB"/>
        </w:rPr>
        <w:t xml:space="preserve">Cabinet during </w:t>
      </w:r>
      <w:r w:rsidR="00D36345">
        <w:rPr>
          <w:lang w:val="en-GB" w:eastAsia="en-GB"/>
        </w:rPr>
        <w:t xml:space="preserve">2019/20. </w:t>
      </w:r>
      <w:r w:rsidR="000845D4">
        <w:rPr>
          <w:lang w:val="en-GB" w:eastAsia="en-GB"/>
        </w:rPr>
        <w:t>The processing of the Bill within the Department was previously a target under Programme 5: Forestry and Natural Resources Management but for the year under review, it is under Programme 1: Administration.</w:t>
      </w:r>
      <w:r w:rsidR="008B6F35">
        <w:rPr>
          <w:lang w:val="en-GB" w:eastAsia="en-GB"/>
        </w:rPr>
        <w:t xml:space="preserve"> </w:t>
      </w:r>
    </w:p>
    <w:p w14:paraId="3F0B1A0A" w14:textId="77777777" w:rsidR="008B6F35" w:rsidRDefault="008B6F35" w:rsidP="008E3BB6">
      <w:pPr>
        <w:autoSpaceDE w:val="0"/>
        <w:autoSpaceDN w:val="0"/>
        <w:adjustRightInd w:val="0"/>
        <w:spacing w:line="360" w:lineRule="auto"/>
        <w:jc w:val="both"/>
        <w:rPr>
          <w:lang w:val="en-GB" w:eastAsia="en-GB"/>
        </w:rPr>
      </w:pPr>
    </w:p>
    <w:p w14:paraId="27F2BD50" w14:textId="77777777" w:rsidR="004E1C7B" w:rsidRDefault="00FE641E" w:rsidP="00D2666D">
      <w:pPr>
        <w:tabs>
          <w:tab w:val="left" w:pos="567"/>
          <w:tab w:val="left" w:pos="2012"/>
        </w:tabs>
        <w:autoSpaceDE w:val="0"/>
        <w:autoSpaceDN w:val="0"/>
        <w:adjustRightInd w:val="0"/>
        <w:spacing w:line="360" w:lineRule="auto"/>
        <w:ind w:left="567" w:hanging="567"/>
        <w:jc w:val="both"/>
        <w:rPr>
          <w:b/>
        </w:rPr>
      </w:pPr>
      <w:r>
        <w:rPr>
          <w:b/>
        </w:rPr>
        <w:t>4</w:t>
      </w:r>
      <w:r w:rsidR="004710D2">
        <w:rPr>
          <w:b/>
        </w:rPr>
        <w:t xml:space="preserve">. </w:t>
      </w:r>
      <w:r w:rsidR="004710D2">
        <w:rPr>
          <w:b/>
        </w:rPr>
        <w:tab/>
      </w:r>
      <w:r w:rsidR="004E1C7B">
        <w:rPr>
          <w:b/>
        </w:rPr>
        <w:t xml:space="preserve">Overview of </w:t>
      </w:r>
      <w:r w:rsidR="00057339">
        <w:rPr>
          <w:b/>
        </w:rPr>
        <w:t>the 2019/20 Budget Allocation and the Medium Term Expenditure Framework (MTEF) Estimates</w:t>
      </w:r>
      <w:r w:rsidR="00CB46DB">
        <w:rPr>
          <w:b/>
        </w:rPr>
        <w:t xml:space="preserve"> of the Department</w:t>
      </w:r>
    </w:p>
    <w:p w14:paraId="26556B13" w14:textId="77777777" w:rsidR="004E1C7B" w:rsidRDefault="004E1C7B" w:rsidP="00D2666D">
      <w:pPr>
        <w:tabs>
          <w:tab w:val="left" w:pos="567"/>
          <w:tab w:val="left" w:pos="2012"/>
        </w:tabs>
        <w:autoSpaceDE w:val="0"/>
        <w:autoSpaceDN w:val="0"/>
        <w:adjustRightInd w:val="0"/>
        <w:spacing w:line="360" w:lineRule="auto"/>
        <w:ind w:left="567" w:hanging="567"/>
        <w:jc w:val="both"/>
        <w:rPr>
          <w:b/>
        </w:rPr>
      </w:pPr>
    </w:p>
    <w:p w14:paraId="35F9768B" w14:textId="77777777" w:rsidR="00B27B51" w:rsidRDefault="00057339" w:rsidP="00057339">
      <w:pPr>
        <w:spacing w:line="360" w:lineRule="auto"/>
        <w:jc w:val="both"/>
      </w:pPr>
      <w:r w:rsidRPr="00D00A94">
        <w:lastRenderedPageBreak/>
        <w:t xml:space="preserve">The budget allocation of the Department (Budget Vote 24) for the 2019/20 financial year is R7.665 billion, </w:t>
      </w:r>
      <w:r>
        <w:t>a slight</w:t>
      </w:r>
      <w:r w:rsidR="00186DA3">
        <w:t xml:space="preserve"> decrease from the 2018/19 financial year’s revised budget estimate of </w:t>
      </w:r>
      <w:r>
        <w:t>R7.</w:t>
      </w:r>
      <w:r w:rsidR="00186DA3">
        <w:t>732</w:t>
      </w:r>
      <w:r w:rsidR="008E0312">
        <w:t xml:space="preserve"> (Table 1)</w:t>
      </w:r>
      <w:r w:rsidR="00186DA3">
        <w:t xml:space="preserve">. </w:t>
      </w:r>
      <w:r w:rsidR="00D64C2A">
        <w:t>The budget allocation in Table 1 is in nominal terms</w:t>
      </w:r>
      <w:r w:rsidR="007F6054">
        <w:t xml:space="preserve"> (not adjusted for inflation)</w:t>
      </w:r>
      <w:r w:rsidR="00D64C2A">
        <w:t xml:space="preserve"> as it is presented in the National Treasury’</w:t>
      </w:r>
      <w:r w:rsidR="007F6054">
        <w:t>s Estimates of National E</w:t>
      </w:r>
      <w:r w:rsidR="00D64C2A">
        <w:t>xpenditure (ENE), hence it is showing a slight exponential increase</w:t>
      </w:r>
      <w:r w:rsidR="002C1DD9">
        <w:t xml:space="preserve"> over the medium term expenditure framework (MTEF) period</w:t>
      </w:r>
      <w:r w:rsidR="00D64C2A">
        <w:t>. However, when the budget for the medium term</w:t>
      </w:r>
      <w:r w:rsidR="007F6054">
        <w:t xml:space="preserve"> (2019/20 – 2021/22) </w:t>
      </w:r>
      <w:r w:rsidR="00D64C2A">
        <w:t xml:space="preserve">is adjusted for </w:t>
      </w:r>
      <w:r w:rsidR="00D64C2A" w:rsidRPr="008B6F35">
        <w:rPr>
          <w:i/>
        </w:rPr>
        <w:t>inflation</w:t>
      </w:r>
      <w:r w:rsidR="007F6054">
        <w:t xml:space="preserve"> (i.e. an increase in the overall price level of goods and services in an economy over a specific period of time)</w:t>
      </w:r>
      <w:r w:rsidR="00D64C2A">
        <w:t xml:space="preserve">, it is decreasing in real terms </w:t>
      </w:r>
      <w:r w:rsidR="007F6054">
        <w:t xml:space="preserve">as </w:t>
      </w:r>
      <w:r w:rsidR="00D64C2A">
        <w:t xml:space="preserve">compared to the rest of the economy. </w:t>
      </w:r>
    </w:p>
    <w:p w14:paraId="3E4586A4" w14:textId="77777777" w:rsidR="00B27B51" w:rsidRDefault="00B27B51" w:rsidP="00057339">
      <w:pPr>
        <w:spacing w:line="360" w:lineRule="auto"/>
        <w:jc w:val="both"/>
      </w:pPr>
    </w:p>
    <w:p w14:paraId="0C4B1ABF" w14:textId="77777777" w:rsidR="00057339" w:rsidRPr="00D00A94" w:rsidRDefault="007F6054" w:rsidP="00057339">
      <w:pPr>
        <w:spacing w:line="360" w:lineRule="auto"/>
        <w:jc w:val="both"/>
      </w:pPr>
      <w:r>
        <w:t xml:space="preserve">In real terms, the Department’s budget allocation has been stagnant since 2015/16 with a slight increase during 2018/19. </w:t>
      </w:r>
      <w:r w:rsidR="00D64C2A">
        <w:t xml:space="preserve">This is a concern when considering the role that agriculture has to play in job creation and ensuring that the country is food secure. </w:t>
      </w:r>
      <w:r w:rsidR="00057339" w:rsidRPr="00D00A94">
        <w:t>The budget has been allocated according to the six programmes of the Department</w:t>
      </w:r>
      <w:r w:rsidR="006B2622">
        <w:t xml:space="preserve"> as outlined in subsection </w:t>
      </w:r>
      <w:r w:rsidR="00477E37">
        <w:t>3</w:t>
      </w:r>
      <w:r w:rsidR="006B2622">
        <w:t>.1</w:t>
      </w:r>
      <w:r w:rsidR="00477E37">
        <w:t xml:space="preserve">. For </w:t>
      </w:r>
      <w:r w:rsidR="00057339" w:rsidRPr="00D00A94">
        <w:t>Programme 6: Fisheries Management</w:t>
      </w:r>
      <w:r w:rsidR="00477E37">
        <w:t>,</w:t>
      </w:r>
      <w:r w:rsidR="00057339">
        <w:t xml:space="preserve"> </w:t>
      </w:r>
      <w:r w:rsidR="00477E37">
        <w:t xml:space="preserve">operational activities are funded </w:t>
      </w:r>
      <w:r w:rsidR="00057339">
        <w:t>through the M</w:t>
      </w:r>
      <w:r w:rsidR="00BC0DFE">
        <w:t xml:space="preserve">arine </w:t>
      </w:r>
      <w:r w:rsidR="00057339">
        <w:t>L</w:t>
      </w:r>
      <w:r w:rsidR="00BC0DFE">
        <w:t xml:space="preserve">iving </w:t>
      </w:r>
      <w:r w:rsidR="00057339">
        <w:t>R</w:t>
      </w:r>
      <w:r w:rsidR="00BC0DFE">
        <w:t xml:space="preserve">esources </w:t>
      </w:r>
      <w:r w:rsidR="00057339">
        <w:t>F</w:t>
      </w:r>
      <w:r w:rsidR="00BC0DFE">
        <w:t>und</w:t>
      </w:r>
      <w:r w:rsidR="00057339" w:rsidRPr="00D00A94">
        <w:t xml:space="preserve">. </w:t>
      </w:r>
    </w:p>
    <w:p w14:paraId="384DCAB5" w14:textId="77777777" w:rsidR="00057339" w:rsidRPr="00D00A94" w:rsidRDefault="00057339" w:rsidP="00057339">
      <w:pPr>
        <w:spacing w:line="360" w:lineRule="auto"/>
        <w:jc w:val="both"/>
      </w:pPr>
    </w:p>
    <w:p w14:paraId="1B6659DF" w14:textId="77777777" w:rsidR="00057339" w:rsidRDefault="004B76D0" w:rsidP="00057339">
      <w:pPr>
        <w:spacing w:line="360" w:lineRule="auto"/>
        <w:jc w:val="both"/>
      </w:pPr>
      <w:r>
        <w:t xml:space="preserve">In </w:t>
      </w:r>
      <w:r w:rsidR="00E7198B">
        <w:t>alignment</w:t>
      </w:r>
      <w:r>
        <w:t xml:space="preserve"> with its </w:t>
      </w:r>
      <w:r w:rsidR="00057339" w:rsidRPr="00D00A94">
        <w:t xml:space="preserve">stated priority foci for the MTEF period, which are, </w:t>
      </w:r>
      <w:r w:rsidR="00057339" w:rsidRPr="00D00A94">
        <w:rPr>
          <w:lang w:val="en-ZA"/>
        </w:rPr>
        <w:t xml:space="preserve">increasing food security, </w:t>
      </w:r>
      <w:r w:rsidR="00DD42F4">
        <w:rPr>
          <w:lang w:val="en-ZA"/>
        </w:rPr>
        <w:t xml:space="preserve">developing and supporting smallholder farmers, </w:t>
      </w:r>
      <w:r w:rsidR="00057339" w:rsidRPr="00D00A94">
        <w:rPr>
          <w:lang w:val="en-ZA"/>
        </w:rPr>
        <w:t>creating jobs</w:t>
      </w:r>
      <w:r w:rsidR="00E7198B">
        <w:rPr>
          <w:lang w:val="en-ZA"/>
        </w:rPr>
        <w:t>, sustainable resource management</w:t>
      </w:r>
      <w:r w:rsidR="00057339" w:rsidRPr="00D00A94">
        <w:rPr>
          <w:lang w:val="en-ZA"/>
        </w:rPr>
        <w:t xml:space="preserve"> and improving the contribution of agriculture to the GDP</w:t>
      </w:r>
      <w:r w:rsidR="00E7198B">
        <w:rPr>
          <w:lang w:val="en-ZA"/>
        </w:rPr>
        <w:t>, a</w:t>
      </w:r>
      <w:r>
        <w:rPr>
          <w:lang w:val="en-ZA"/>
        </w:rPr>
        <w:t>p</w:t>
      </w:r>
      <w:r w:rsidR="00E7198B">
        <w:rPr>
          <w:lang w:val="en-ZA"/>
        </w:rPr>
        <w:t>p</w:t>
      </w:r>
      <w:r>
        <w:rPr>
          <w:lang w:val="en-ZA"/>
        </w:rPr>
        <w:t xml:space="preserve">roximately 77 per cent of </w:t>
      </w:r>
      <w:r w:rsidR="00E7198B">
        <w:rPr>
          <w:lang w:val="en-ZA"/>
        </w:rPr>
        <w:t xml:space="preserve">the </w:t>
      </w:r>
      <w:r w:rsidR="00E7198B" w:rsidRPr="00D00A94">
        <w:t xml:space="preserve">Department’s budget </w:t>
      </w:r>
      <w:r w:rsidR="00E7198B">
        <w:t>is allocated to three core Programmes, namely, Programmes 2, 3 and 5 (see Table 1 below)</w:t>
      </w:r>
      <w:r w:rsidR="00871679">
        <w:t>, where Programme 2 accounts for approximately 34% of the total vote expenditure</w:t>
      </w:r>
      <w:r w:rsidR="00E7198B">
        <w:t xml:space="preserve">. </w:t>
      </w:r>
    </w:p>
    <w:p w14:paraId="40928ADE" w14:textId="77777777" w:rsidR="00E7198B" w:rsidRDefault="00E7198B" w:rsidP="00057339">
      <w:pPr>
        <w:spacing w:line="360" w:lineRule="auto"/>
        <w:jc w:val="both"/>
        <w:rPr>
          <w:lang w:val="en-ZA"/>
        </w:rPr>
      </w:pPr>
    </w:p>
    <w:p w14:paraId="50E62BBB" w14:textId="77777777" w:rsidR="00B27B51" w:rsidRDefault="00B27B51" w:rsidP="00057339">
      <w:pPr>
        <w:spacing w:line="360" w:lineRule="auto"/>
        <w:jc w:val="both"/>
        <w:rPr>
          <w:lang w:val="en-ZA"/>
        </w:rPr>
      </w:pPr>
    </w:p>
    <w:p w14:paraId="292890E8" w14:textId="77777777" w:rsidR="00B27B51" w:rsidRDefault="00B27B51" w:rsidP="00057339">
      <w:pPr>
        <w:spacing w:line="360" w:lineRule="auto"/>
        <w:jc w:val="both"/>
        <w:rPr>
          <w:lang w:val="en-ZA"/>
        </w:rPr>
      </w:pPr>
    </w:p>
    <w:p w14:paraId="144BE44F" w14:textId="77777777" w:rsidR="00B27B51" w:rsidRPr="00D00A94" w:rsidRDefault="00B27B51" w:rsidP="00057339">
      <w:pPr>
        <w:spacing w:line="360" w:lineRule="auto"/>
        <w:jc w:val="both"/>
        <w:rPr>
          <w:lang w:val="en-ZA"/>
        </w:rPr>
      </w:pPr>
    </w:p>
    <w:p w14:paraId="3E825DE0" w14:textId="77777777" w:rsidR="00057339" w:rsidRPr="00D00A94" w:rsidRDefault="00057339" w:rsidP="008B6F35">
      <w:pPr>
        <w:jc w:val="both"/>
        <w:rPr>
          <w:b/>
          <w:lang w:val="en-ZA"/>
        </w:rPr>
      </w:pPr>
      <w:r w:rsidRPr="00D00A94">
        <w:rPr>
          <w:b/>
          <w:lang w:val="en-ZA"/>
        </w:rPr>
        <w:t xml:space="preserve">  Table 1. Budget Allocation per Programme for the MTEF Period (2019/20 – 202</w:t>
      </w:r>
      <w:r w:rsidR="004F3833">
        <w:rPr>
          <w:b/>
          <w:lang w:val="en-ZA"/>
        </w:rPr>
        <w:t>1</w:t>
      </w:r>
      <w:r w:rsidRPr="00D00A94">
        <w:rPr>
          <w:b/>
          <w:lang w:val="en-ZA"/>
        </w:rPr>
        <w:t>/22)</w:t>
      </w:r>
    </w:p>
    <w:p w14:paraId="2A58368A" w14:textId="77777777" w:rsidR="00057339" w:rsidRPr="00D00A94" w:rsidRDefault="00057339" w:rsidP="008B6F35">
      <w:pPr>
        <w:jc w:val="both"/>
        <w:rPr>
          <w:lang w:val="en-Z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276"/>
        <w:gridCol w:w="1134"/>
        <w:gridCol w:w="1276"/>
        <w:gridCol w:w="1276"/>
        <w:gridCol w:w="1559"/>
      </w:tblGrid>
      <w:tr w:rsidR="00ED7123" w:rsidRPr="006B0CFA" w14:paraId="0CAF5F8A" w14:textId="77777777" w:rsidTr="008B6F35">
        <w:trPr>
          <w:trHeight w:val="468"/>
        </w:trPr>
        <w:tc>
          <w:tcPr>
            <w:tcW w:w="2155" w:type="dxa"/>
            <w:vMerge w:val="restart"/>
          </w:tcPr>
          <w:p w14:paraId="15310FA5" w14:textId="77777777" w:rsidR="00ED7123" w:rsidRPr="00BC1043" w:rsidRDefault="00ED7123" w:rsidP="00726612">
            <w:pPr>
              <w:spacing w:line="360" w:lineRule="auto"/>
              <w:jc w:val="both"/>
              <w:rPr>
                <w:b/>
                <w:sz w:val="22"/>
                <w:szCs w:val="22"/>
                <w:lang w:val="en-ZA"/>
              </w:rPr>
            </w:pPr>
          </w:p>
          <w:p w14:paraId="1631F9AC" w14:textId="77777777" w:rsidR="00ED7123" w:rsidRPr="00BC1043" w:rsidRDefault="00ED7123" w:rsidP="00726612">
            <w:pPr>
              <w:spacing w:line="360" w:lineRule="auto"/>
              <w:jc w:val="both"/>
              <w:rPr>
                <w:b/>
                <w:sz w:val="22"/>
                <w:szCs w:val="22"/>
                <w:lang w:val="en-ZA"/>
              </w:rPr>
            </w:pPr>
            <w:r w:rsidRPr="00BC1043">
              <w:rPr>
                <w:b/>
                <w:sz w:val="22"/>
                <w:szCs w:val="22"/>
                <w:lang w:val="en-ZA"/>
              </w:rPr>
              <w:t>Programme</w:t>
            </w:r>
          </w:p>
        </w:tc>
        <w:tc>
          <w:tcPr>
            <w:tcW w:w="1276" w:type="dxa"/>
            <w:vMerge w:val="restart"/>
            <w:shd w:val="clear" w:color="auto" w:fill="BFBFBF" w:themeFill="background1" w:themeFillShade="BF"/>
          </w:tcPr>
          <w:p w14:paraId="1643EEF7" w14:textId="77777777" w:rsidR="00ED7123" w:rsidRPr="004B0F3E" w:rsidRDefault="00ED7123" w:rsidP="00726612">
            <w:pPr>
              <w:spacing w:line="360" w:lineRule="auto"/>
              <w:jc w:val="both"/>
              <w:rPr>
                <w:b/>
                <w:sz w:val="22"/>
                <w:szCs w:val="22"/>
                <w:lang w:val="en-ZA"/>
              </w:rPr>
            </w:pPr>
            <w:r w:rsidRPr="004B0F3E">
              <w:rPr>
                <w:b/>
                <w:sz w:val="22"/>
                <w:szCs w:val="22"/>
                <w:lang w:val="en-ZA"/>
              </w:rPr>
              <w:t xml:space="preserve">2018/19 </w:t>
            </w:r>
          </w:p>
          <w:p w14:paraId="4733250A" w14:textId="77777777" w:rsidR="00ED7123" w:rsidRPr="00BC1043" w:rsidRDefault="006B13D0" w:rsidP="00726612">
            <w:pPr>
              <w:spacing w:line="360" w:lineRule="auto"/>
              <w:jc w:val="both"/>
              <w:rPr>
                <w:b/>
                <w:sz w:val="22"/>
                <w:szCs w:val="22"/>
                <w:lang w:val="en-ZA"/>
              </w:rPr>
            </w:pPr>
            <w:r w:rsidRPr="0016567F">
              <w:rPr>
                <w:b/>
                <w:sz w:val="22"/>
                <w:szCs w:val="22"/>
                <w:lang w:val="en-ZA"/>
              </w:rPr>
              <w:t>Revised Estimate</w:t>
            </w:r>
            <w:r w:rsidR="00BC1043">
              <w:rPr>
                <w:b/>
                <w:sz w:val="22"/>
                <w:szCs w:val="22"/>
                <w:lang w:val="en-ZA"/>
              </w:rPr>
              <w:t xml:space="preserve"> </w:t>
            </w:r>
          </w:p>
        </w:tc>
        <w:tc>
          <w:tcPr>
            <w:tcW w:w="3686" w:type="dxa"/>
            <w:gridSpan w:val="3"/>
            <w:shd w:val="clear" w:color="auto" w:fill="BFBFBF" w:themeFill="background1" w:themeFillShade="BF"/>
          </w:tcPr>
          <w:p w14:paraId="1020CA07" w14:textId="77777777" w:rsidR="00ED7123" w:rsidRPr="00BC1043" w:rsidRDefault="00ED7123" w:rsidP="000908E2">
            <w:pPr>
              <w:spacing w:line="360" w:lineRule="auto"/>
              <w:jc w:val="both"/>
              <w:rPr>
                <w:b/>
                <w:sz w:val="22"/>
                <w:szCs w:val="22"/>
                <w:lang w:val="en-ZA"/>
              </w:rPr>
            </w:pPr>
            <w:r w:rsidRPr="00BC1043">
              <w:rPr>
                <w:b/>
                <w:sz w:val="22"/>
                <w:szCs w:val="22"/>
                <w:lang w:val="en-ZA"/>
              </w:rPr>
              <w:t xml:space="preserve"> </w:t>
            </w:r>
            <w:r w:rsidRPr="006B0CFA">
              <w:rPr>
                <w:b/>
                <w:sz w:val="22"/>
                <w:szCs w:val="22"/>
                <w:lang w:val="en-ZA"/>
              </w:rPr>
              <w:t xml:space="preserve">MTEF </w:t>
            </w:r>
            <w:r w:rsidR="004F3833" w:rsidRPr="006B0CFA">
              <w:rPr>
                <w:b/>
                <w:sz w:val="22"/>
                <w:szCs w:val="22"/>
                <w:lang w:val="en-ZA"/>
              </w:rPr>
              <w:t xml:space="preserve">Period </w:t>
            </w:r>
            <w:r w:rsidR="000908E2" w:rsidRPr="006B0CFA">
              <w:rPr>
                <w:b/>
                <w:sz w:val="22"/>
                <w:szCs w:val="22"/>
                <w:lang w:val="en-ZA"/>
              </w:rPr>
              <w:t>Estimate</w:t>
            </w:r>
            <w:r w:rsidRPr="006B0CFA">
              <w:rPr>
                <w:b/>
                <w:sz w:val="22"/>
                <w:szCs w:val="22"/>
                <w:lang w:val="en-ZA"/>
              </w:rPr>
              <w:t xml:space="preserve">s </w:t>
            </w:r>
          </w:p>
        </w:tc>
        <w:tc>
          <w:tcPr>
            <w:tcW w:w="1559" w:type="dxa"/>
            <w:vMerge w:val="restart"/>
            <w:shd w:val="clear" w:color="auto" w:fill="BFBFBF" w:themeFill="background1" w:themeFillShade="BF"/>
          </w:tcPr>
          <w:p w14:paraId="54F31667" w14:textId="77777777" w:rsidR="00ED7123" w:rsidRPr="00BC1043" w:rsidRDefault="00ED7123" w:rsidP="00BC1043">
            <w:pPr>
              <w:spacing w:line="360" w:lineRule="auto"/>
              <w:jc w:val="both"/>
              <w:rPr>
                <w:b/>
                <w:sz w:val="22"/>
                <w:szCs w:val="22"/>
                <w:lang w:val="en-ZA"/>
              </w:rPr>
            </w:pPr>
            <w:r w:rsidRPr="00BC1043">
              <w:rPr>
                <w:b/>
                <w:sz w:val="22"/>
                <w:szCs w:val="22"/>
                <w:lang w:val="en-ZA"/>
              </w:rPr>
              <w:t xml:space="preserve">Proportion of </w:t>
            </w:r>
            <w:r w:rsidR="00BC1043">
              <w:rPr>
                <w:b/>
                <w:sz w:val="22"/>
                <w:szCs w:val="22"/>
                <w:lang w:val="en-ZA"/>
              </w:rPr>
              <w:t>T</w:t>
            </w:r>
            <w:r w:rsidRPr="00BC1043">
              <w:rPr>
                <w:b/>
                <w:sz w:val="22"/>
                <w:szCs w:val="22"/>
                <w:lang w:val="en-ZA"/>
              </w:rPr>
              <w:t>otal Vote for 2019/20</w:t>
            </w:r>
            <w:r w:rsidR="00BC1043">
              <w:rPr>
                <w:b/>
                <w:sz w:val="22"/>
                <w:szCs w:val="22"/>
                <w:lang w:val="en-ZA"/>
              </w:rPr>
              <w:t xml:space="preserve"> </w:t>
            </w:r>
          </w:p>
        </w:tc>
      </w:tr>
      <w:tr w:rsidR="00CB46DB" w:rsidRPr="006B0CFA" w14:paraId="2E253EE8" w14:textId="77777777" w:rsidTr="008B6F35">
        <w:trPr>
          <w:trHeight w:val="702"/>
        </w:trPr>
        <w:tc>
          <w:tcPr>
            <w:tcW w:w="2155" w:type="dxa"/>
            <w:vMerge/>
          </w:tcPr>
          <w:p w14:paraId="3EF0D6BF" w14:textId="77777777" w:rsidR="00CB46DB" w:rsidRPr="006B0CFA" w:rsidRDefault="00CB46DB" w:rsidP="00CB46DB">
            <w:pPr>
              <w:spacing w:line="360" w:lineRule="auto"/>
              <w:jc w:val="both"/>
              <w:rPr>
                <w:b/>
                <w:sz w:val="22"/>
                <w:szCs w:val="22"/>
                <w:lang w:val="en-ZA"/>
              </w:rPr>
            </w:pPr>
          </w:p>
        </w:tc>
        <w:tc>
          <w:tcPr>
            <w:tcW w:w="1276" w:type="dxa"/>
            <w:vMerge/>
            <w:shd w:val="clear" w:color="auto" w:fill="D9D9D9" w:themeFill="background1" w:themeFillShade="D9"/>
          </w:tcPr>
          <w:p w14:paraId="386B3E45" w14:textId="77777777" w:rsidR="00CB46DB" w:rsidRPr="006B0CFA" w:rsidRDefault="00CB46DB" w:rsidP="00CB46DB">
            <w:pPr>
              <w:spacing w:line="360" w:lineRule="auto"/>
              <w:jc w:val="both"/>
              <w:rPr>
                <w:b/>
                <w:sz w:val="22"/>
                <w:szCs w:val="22"/>
                <w:lang w:val="en-ZA"/>
              </w:rPr>
            </w:pPr>
          </w:p>
        </w:tc>
        <w:tc>
          <w:tcPr>
            <w:tcW w:w="1134" w:type="dxa"/>
            <w:shd w:val="clear" w:color="auto" w:fill="BFBFBF" w:themeFill="background1" w:themeFillShade="BF"/>
          </w:tcPr>
          <w:p w14:paraId="0540B197" w14:textId="77777777" w:rsidR="00CB46DB" w:rsidRPr="006B0CFA" w:rsidRDefault="00CB46DB" w:rsidP="00CB46DB">
            <w:pPr>
              <w:spacing w:line="360" w:lineRule="auto"/>
              <w:jc w:val="both"/>
              <w:rPr>
                <w:b/>
                <w:sz w:val="22"/>
                <w:szCs w:val="22"/>
                <w:lang w:val="en-ZA"/>
              </w:rPr>
            </w:pPr>
            <w:r w:rsidRPr="006B0CFA">
              <w:rPr>
                <w:b/>
                <w:sz w:val="22"/>
                <w:szCs w:val="22"/>
                <w:lang w:val="en-ZA"/>
              </w:rPr>
              <w:t xml:space="preserve">2019/20 </w:t>
            </w:r>
          </w:p>
        </w:tc>
        <w:tc>
          <w:tcPr>
            <w:tcW w:w="1276" w:type="dxa"/>
            <w:shd w:val="clear" w:color="auto" w:fill="BFBFBF" w:themeFill="background1" w:themeFillShade="BF"/>
          </w:tcPr>
          <w:p w14:paraId="1DE99D23" w14:textId="77777777" w:rsidR="00CB46DB" w:rsidRPr="006B0CFA" w:rsidRDefault="00CB46DB" w:rsidP="00CB46DB">
            <w:pPr>
              <w:spacing w:line="360" w:lineRule="auto"/>
              <w:jc w:val="both"/>
              <w:rPr>
                <w:b/>
                <w:sz w:val="22"/>
                <w:szCs w:val="22"/>
                <w:lang w:val="en-ZA"/>
              </w:rPr>
            </w:pPr>
            <w:r w:rsidRPr="006B0CFA">
              <w:rPr>
                <w:b/>
                <w:sz w:val="22"/>
                <w:szCs w:val="22"/>
                <w:lang w:val="en-ZA"/>
              </w:rPr>
              <w:t xml:space="preserve">2020/21 </w:t>
            </w:r>
          </w:p>
        </w:tc>
        <w:tc>
          <w:tcPr>
            <w:tcW w:w="1276" w:type="dxa"/>
            <w:shd w:val="clear" w:color="auto" w:fill="BFBFBF" w:themeFill="background1" w:themeFillShade="BF"/>
          </w:tcPr>
          <w:p w14:paraId="263E12CB" w14:textId="77777777" w:rsidR="00CB46DB" w:rsidRPr="006B0CFA" w:rsidRDefault="00CB46DB" w:rsidP="00CB46DB">
            <w:pPr>
              <w:spacing w:line="360" w:lineRule="auto"/>
              <w:jc w:val="both"/>
              <w:rPr>
                <w:b/>
                <w:sz w:val="22"/>
                <w:szCs w:val="22"/>
                <w:lang w:val="en-ZA"/>
              </w:rPr>
            </w:pPr>
            <w:r w:rsidRPr="006B0CFA">
              <w:rPr>
                <w:b/>
                <w:sz w:val="22"/>
                <w:szCs w:val="22"/>
                <w:lang w:val="en-ZA"/>
              </w:rPr>
              <w:t>2021/22</w:t>
            </w:r>
            <w:r w:rsidR="00BC1043">
              <w:rPr>
                <w:b/>
                <w:sz w:val="22"/>
                <w:szCs w:val="22"/>
                <w:lang w:val="en-ZA"/>
              </w:rPr>
              <w:t xml:space="preserve"> </w:t>
            </w:r>
          </w:p>
        </w:tc>
        <w:tc>
          <w:tcPr>
            <w:tcW w:w="1559" w:type="dxa"/>
            <w:vMerge/>
            <w:shd w:val="clear" w:color="auto" w:fill="BFBFBF" w:themeFill="background1" w:themeFillShade="BF"/>
          </w:tcPr>
          <w:p w14:paraId="3663CFBC" w14:textId="77777777" w:rsidR="00CB46DB" w:rsidRPr="006B0CFA" w:rsidRDefault="00CB46DB" w:rsidP="00CB46DB">
            <w:pPr>
              <w:spacing w:line="360" w:lineRule="auto"/>
              <w:jc w:val="both"/>
              <w:rPr>
                <w:b/>
                <w:sz w:val="22"/>
                <w:szCs w:val="22"/>
                <w:lang w:val="en-ZA"/>
              </w:rPr>
            </w:pPr>
          </w:p>
        </w:tc>
      </w:tr>
      <w:tr w:rsidR="00CB46DB" w:rsidRPr="006B0CFA" w14:paraId="5FD6AD81" w14:textId="77777777" w:rsidTr="008B6F35">
        <w:tc>
          <w:tcPr>
            <w:tcW w:w="2155" w:type="dxa"/>
          </w:tcPr>
          <w:p w14:paraId="65EB1B6D" w14:textId="77777777" w:rsidR="00CB46DB" w:rsidRPr="008B6F35" w:rsidRDefault="00CB46DB" w:rsidP="00726612">
            <w:pPr>
              <w:spacing w:line="360" w:lineRule="auto"/>
              <w:jc w:val="both"/>
              <w:rPr>
                <w:b/>
                <w:sz w:val="22"/>
                <w:szCs w:val="22"/>
                <w:lang w:val="en-ZA"/>
              </w:rPr>
            </w:pPr>
            <w:r w:rsidRPr="008B6F35">
              <w:rPr>
                <w:b/>
                <w:sz w:val="22"/>
                <w:szCs w:val="22"/>
                <w:lang w:val="en-ZA"/>
              </w:rPr>
              <w:t>R Million</w:t>
            </w:r>
          </w:p>
        </w:tc>
        <w:tc>
          <w:tcPr>
            <w:tcW w:w="1276" w:type="dxa"/>
            <w:shd w:val="clear" w:color="auto" w:fill="F2F2F2" w:themeFill="background1" w:themeFillShade="F2"/>
          </w:tcPr>
          <w:p w14:paraId="078819F0" w14:textId="77777777" w:rsidR="00CB46DB" w:rsidRPr="008B6F35" w:rsidRDefault="00CB46DB" w:rsidP="00726612">
            <w:pPr>
              <w:spacing w:line="360" w:lineRule="auto"/>
              <w:jc w:val="both"/>
              <w:rPr>
                <w:sz w:val="22"/>
                <w:szCs w:val="22"/>
                <w:lang w:val="en-ZA"/>
              </w:rPr>
            </w:pPr>
          </w:p>
        </w:tc>
        <w:tc>
          <w:tcPr>
            <w:tcW w:w="1134" w:type="dxa"/>
            <w:shd w:val="clear" w:color="auto" w:fill="D9D9D9" w:themeFill="background1" w:themeFillShade="D9"/>
          </w:tcPr>
          <w:p w14:paraId="0B57D0E6" w14:textId="77777777" w:rsidR="00CB46DB" w:rsidRPr="008B6F35" w:rsidRDefault="00CB46DB" w:rsidP="00726612">
            <w:pPr>
              <w:spacing w:line="360" w:lineRule="auto"/>
              <w:jc w:val="both"/>
              <w:rPr>
                <w:sz w:val="22"/>
                <w:szCs w:val="22"/>
                <w:lang w:val="en-ZA"/>
              </w:rPr>
            </w:pPr>
          </w:p>
        </w:tc>
        <w:tc>
          <w:tcPr>
            <w:tcW w:w="1276" w:type="dxa"/>
          </w:tcPr>
          <w:p w14:paraId="42F5D0AF" w14:textId="77777777" w:rsidR="00CB46DB" w:rsidRPr="008B6F35" w:rsidRDefault="00CB46DB" w:rsidP="00726612">
            <w:pPr>
              <w:spacing w:line="360" w:lineRule="auto"/>
              <w:jc w:val="both"/>
              <w:rPr>
                <w:sz w:val="22"/>
                <w:szCs w:val="22"/>
                <w:lang w:val="en-ZA"/>
              </w:rPr>
            </w:pPr>
          </w:p>
        </w:tc>
        <w:tc>
          <w:tcPr>
            <w:tcW w:w="1276" w:type="dxa"/>
            <w:shd w:val="clear" w:color="auto" w:fill="auto"/>
          </w:tcPr>
          <w:p w14:paraId="6B53AE33" w14:textId="77777777" w:rsidR="00CB46DB" w:rsidRPr="008B6F35" w:rsidRDefault="00CB46DB" w:rsidP="00726612">
            <w:pPr>
              <w:spacing w:line="360" w:lineRule="auto"/>
              <w:jc w:val="both"/>
              <w:rPr>
                <w:sz w:val="22"/>
                <w:szCs w:val="22"/>
                <w:lang w:val="en-ZA"/>
              </w:rPr>
            </w:pPr>
          </w:p>
        </w:tc>
        <w:tc>
          <w:tcPr>
            <w:tcW w:w="1559" w:type="dxa"/>
          </w:tcPr>
          <w:p w14:paraId="044ED890" w14:textId="77777777" w:rsidR="00CB46DB" w:rsidRPr="008B6F35" w:rsidRDefault="00CB46DB" w:rsidP="00726612">
            <w:pPr>
              <w:spacing w:line="360" w:lineRule="auto"/>
              <w:jc w:val="both"/>
              <w:rPr>
                <w:sz w:val="22"/>
                <w:szCs w:val="22"/>
                <w:lang w:val="en-ZA"/>
              </w:rPr>
            </w:pPr>
          </w:p>
        </w:tc>
      </w:tr>
      <w:tr w:rsidR="00CB46DB" w:rsidRPr="006B0CFA" w14:paraId="2FCC6DD1" w14:textId="77777777" w:rsidTr="008B6F35">
        <w:tc>
          <w:tcPr>
            <w:tcW w:w="2155" w:type="dxa"/>
          </w:tcPr>
          <w:p w14:paraId="49CB199C" w14:textId="77777777" w:rsidR="00CB46DB" w:rsidRPr="008B6F35" w:rsidRDefault="00CB46DB" w:rsidP="00726612">
            <w:pPr>
              <w:spacing w:line="360" w:lineRule="auto"/>
              <w:rPr>
                <w:sz w:val="22"/>
                <w:szCs w:val="22"/>
                <w:lang w:val="en-ZA"/>
              </w:rPr>
            </w:pPr>
            <w:r w:rsidRPr="008B6F35">
              <w:rPr>
                <w:b/>
                <w:sz w:val="22"/>
                <w:szCs w:val="22"/>
                <w:lang w:val="en-ZA"/>
              </w:rPr>
              <w:t>1.</w:t>
            </w:r>
            <w:r w:rsidRPr="008B6F35">
              <w:rPr>
                <w:sz w:val="22"/>
                <w:szCs w:val="22"/>
                <w:lang w:val="en-ZA"/>
              </w:rPr>
              <w:t xml:space="preserve">  Administration </w:t>
            </w:r>
          </w:p>
        </w:tc>
        <w:tc>
          <w:tcPr>
            <w:tcW w:w="1276" w:type="dxa"/>
            <w:shd w:val="clear" w:color="auto" w:fill="F2F2F2" w:themeFill="background1" w:themeFillShade="F2"/>
          </w:tcPr>
          <w:p w14:paraId="0FA25728" w14:textId="77777777" w:rsidR="00CB46DB" w:rsidRPr="008B6F35" w:rsidRDefault="008E0312" w:rsidP="00726612">
            <w:pPr>
              <w:spacing w:line="360" w:lineRule="auto"/>
              <w:jc w:val="both"/>
              <w:rPr>
                <w:sz w:val="22"/>
                <w:szCs w:val="22"/>
                <w:lang w:val="en-ZA"/>
              </w:rPr>
            </w:pPr>
            <w:r w:rsidRPr="006B0CFA">
              <w:rPr>
                <w:sz w:val="22"/>
                <w:szCs w:val="22"/>
                <w:lang w:val="en-ZA"/>
              </w:rPr>
              <w:t>R  951.7</w:t>
            </w:r>
          </w:p>
        </w:tc>
        <w:tc>
          <w:tcPr>
            <w:tcW w:w="1134" w:type="dxa"/>
            <w:shd w:val="clear" w:color="auto" w:fill="D9D9D9" w:themeFill="background1" w:themeFillShade="D9"/>
          </w:tcPr>
          <w:p w14:paraId="61F65912" w14:textId="77777777" w:rsidR="00CB46DB" w:rsidRPr="008B6F35" w:rsidRDefault="00CB46DB" w:rsidP="00726612">
            <w:pPr>
              <w:spacing w:line="360" w:lineRule="auto"/>
              <w:jc w:val="both"/>
              <w:rPr>
                <w:sz w:val="22"/>
                <w:szCs w:val="22"/>
                <w:lang w:val="en-ZA"/>
              </w:rPr>
            </w:pPr>
            <w:r w:rsidRPr="008B6F35">
              <w:rPr>
                <w:sz w:val="22"/>
                <w:szCs w:val="22"/>
                <w:lang w:val="en-ZA"/>
              </w:rPr>
              <w:t>R   935.7</w:t>
            </w:r>
          </w:p>
        </w:tc>
        <w:tc>
          <w:tcPr>
            <w:tcW w:w="1276" w:type="dxa"/>
          </w:tcPr>
          <w:p w14:paraId="42C3E294" w14:textId="77777777" w:rsidR="00CB46DB" w:rsidRPr="008B6F35" w:rsidRDefault="00CB46DB" w:rsidP="00726612">
            <w:pPr>
              <w:spacing w:line="360" w:lineRule="auto"/>
              <w:jc w:val="both"/>
              <w:rPr>
                <w:sz w:val="22"/>
                <w:szCs w:val="22"/>
                <w:lang w:val="en-ZA"/>
              </w:rPr>
            </w:pPr>
            <w:r w:rsidRPr="008B6F35">
              <w:rPr>
                <w:sz w:val="22"/>
                <w:szCs w:val="22"/>
                <w:lang w:val="en-ZA"/>
              </w:rPr>
              <w:t>R   942.4</w:t>
            </w:r>
          </w:p>
        </w:tc>
        <w:tc>
          <w:tcPr>
            <w:tcW w:w="1276" w:type="dxa"/>
            <w:shd w:val="clear" w:color="auto" w:fill="auto"/>
          </w:tcPr>
          <w:p w14:paraId="6FD815D7" w14:textId="77777777" w:rsidR="00CB46DB" w:rsidRPr="008B6F35" w:rsidRDefault="00CB46DB" w:rsidP="00726612">
            <w:pPr>
              <w:spacing w:line="360" w:lineRule="auto"/>
              <w:jc w:val="both"/>
              <w:rPr>
                <w:sz w:val="22"/>
                <w:szCs w:val="22"/>
                <w:lang w:val="en-ZA"/>
              </w:rPr>
            </w:pPr>
            <w:r w:rsidRPr="008B6F35">
              <w:rPr>
                <w:sz w:val="22"/>
                <w:szCs w:val="22"/>
                <w:lang w:val="en-ZA"/>
              </w:rPr>
              <w:t>R1 001.1</w:t>
            </w:r>
          </w:p>
        </w:tc>
        <w:tc>
          <w:tcPr>
            <w:tcW w:w="1559" w:type="dxa"/>
          </w:tcPr>
          <w:p w14:paraId="4FCABD49" w14:textId="77777777" w:rsidR="00CB46DB" w:rsidRPr="008B6F35" w:rsidRDefault="00CB46DB" w:rsidP="00726612">
            <w:pPr>
              <w:spacing w:line="360" w:lineRule="auto"/>
              <w:jc w:val="both"/>
              <w:rPr>
                <w:sz w:val="22"/>
                <w:szCs w:val="22"/>
                <w:lang w:val="en-ZA"/>
              </w:rPr>
            </w:pPr>
            <w:r w:rsidRPr="008B6F35">
              <w:rPr>
                <w:sz w:val="22"/>
                <w:szCs w:val="22"/>
                <w:lang w:val="en-ZA"/>
              </w:rPr>
              <w:t>12.1 %</w:t>
            </w:r>
          </w:p>
        </w:tc>
      </w:tr>
      <w:tr w:rsidR="00CB46DB" w:rsidRPr="006B0CFA" w14:paraId="6B6E0FC0" w14:textId="77777777" w:rsidTr="008B6F35">
        <w:tc>
          <w:tcPr>
            <w:tcW w:w="2155" w:type="dxa"/>
          </w:tcPr>
          <w:p w14:paraId="509DABAA" w14:textId="77777777" w:rsidR="00CB46DB" w:rsidRPr="008B6F35" w:rsidRDefault="00CB46DB" w:rsidP="00726612">
            <w:pPr>
              <w:spacing w:line="360" w:lineRule="auto"/>
              <w:rPr>
                <w:sz w:val="22"/>
                <w:szCs w:val="22"/>
                <w:lang w:val="en-ZA"/>
              </w:rPr>
            </w:pPr>
            <w:r w:rsidRPr="008B6F35">
              <w:rPr>
                <w:b/>
                <w:sz w:val="22"/>
                <w:szCs w:val="22"/>
                <w:lang w:val="en-ZA"/>
              </w:rPr>
              <w:t>2.</w:t>
            </w:r>
            <w:r w:rsidRPr="008B6F35">
              <w:rPr>
                <w:sz w:val="22"/>
                <w:szCs w:val="22"/>
                <w:lang w:val="en-ZA"/>
              </w:rPr>
              <w:t xml:space="preserve"> Agricultural Production, Health &amp;  Food Safety</w:t>
            </w:r>
          </w:p>
        </w:tc>
        <w:tc>
          <w:tcPr>
            <w:tcW w:w="1276" w:type="dxa"/>
            <w:shd w:val="clear" w:color="auto" w:fill="F2F2F2" w:themeFill="background1" w:themeFillShade="F2"/>
          </w:tcPr>
          <w:p w14:paraId="4BCF7033" w14:textId="77777777" w:rsidR="00CB46DB" w:rsidRPr="006B0CFA" w:rsidRDefault="00CB46DB" w:rsidP="00726612">
            <w:pPr>
              <w:spacing w:line="360" w:lineRule="auto"/>
              <w:jc w:val="both"/>
              <w:rPr>
                <w:sz w:val="22"/>
                <w:szCs w:val="22"/>
                <w:lang w:val="en-ZA"/>
              </w:rPr>
            </w:pPr>
          </w:p>
          <w:p w14:paraId="70102D64" w14:textId="77777777" w:rsidR="008E0312" w:rsidRPr="008B6F35" w:rsidRDefault="008E0312" w:rsidP="00726612">
            <w:pPr>
              <w:spacing w:line="360" w:lineRule="auto"/>
              <w:jc w:val="both"/>
              <w:rPr>
                <w:sz w:val="22"/>
                <w:szCs w:val="22"/>
                <w:lang w:val="en-ZA"/>
              </w:rPr>
            </w:pPr>
            <w:r w:rsidRPr="006B0CFA">
              <w:rPr>
                <w:sz w:val="22"/>
                <w:szCs w:val="22"/>
                <w:lang w:val="en-ZA"/>
              </w:rPr>
              <w:t>R2 364.5</w:t>
            </w:r>
          </w:p>
        </w:tc>
        <w:tc>
          <w:tcPr>
            <w:tcW w:w="1134" w:type="dxa"/>
            <w:shd w:val="clear" w:color="auto" w:fill="D9D9D9" w:themeFill="background1" w:themeFillShade="D9"/>
          </w:tcPr>
          <w:p w14:paraId="37AA3F81" w14:textId="77777777" w:rsidR="00CB46DB" w:rsidRPr="008B6F35" w:rsidRDefault="00CB46DB" w:rsidP="00726612">
            <w:pPr>
              <w:spacing w:line="360" w:lineRule="auto"/>
              <w:jc w:val="both"/>
              <w:rPr>
                <w:sz w:val="22"/>
                <w:szCs w:val="22"/>
                <w:lang w:val="en-ZA"/>
              </w:rPr>
            </w:pPr>
          </w:p>
          <w:p w14:paraId="1952FA2D" w14:textId="77777777" w:rsidR="00CB46DB" w:rsidRPr="008B6F35" w:rsidRDefault="00CB46DB" w:rsidP="00726612">
            <w:pPr>
              <w:spacing w:line="360" w:lineRule="auto"/>
              <w:jc w:val="both"/>
              <w:rPr>
                <w:sz w:val="22"/>
                <w:szCs w:val="22"/>
                <w:lang w:val="en-ZA"/>
              </w:rPr>
            </w:pPr>
            <w:r w:rsidRPr="008B6F35">
              <w:rPr>
                <w:sz w:val="22"/>
                <w:szCs w:val="22"/>
                <w:lang w:val="en-ZA"/>
              </w:rPr>
              <w:t>R2 642.5</w:t>
            </w:r>
          </w:p>
        </w:tc>
        <w:tc>
          <w:tcPr>
            <w:tcW w:w="1276" w:type="dxa"/>
          </w:tcPr>
          <w:p w14:paraId="1F5460AC" w14:textId="77777777" w:rsidR="00CB46DB" w:rsidRPr="008B6F35" w:rsidRDefault="00CB46DB" w:rsidP="00726612">
            <w:pPr>
              <w:spacing w:line="360" w:lineRule="auto"/>
              <w:jc w:val="both"/>
              <w:rPr>
                <w:sz w:val="22"/>
                <w:szCs w:val="22"/>
                <w:lang w:val="en-ZA"/>
              </w:rPr>
            </w:pPr>
          </w:p>
          <w:p w14:paraId="030D758A" w14:textId="77777777" w:rsidR="00CB46DB" w:rsidRPr="008B6F35" w:rsidRDefault="00CB46DB" w:rsidP="00726612">
            <w:pPr>
              <w:spacing w:line="360" w:lineRule="auto"/>
              <w:jc w:val="both"/>
              <w:rPr>
                <w:sz w:val="22"/>
                <w:szCs w:val="22"/>
                <w:lang w:val="en-ZA"/>
              </w:rPr>
            </w:pPr>
            <w:r w:rsidRPr="008B6F35">
              <w:rPr>
                <w:sz w:val="22"/>
                <w:szCs w:val="22"/>
                <w:lang w:val="en-ZA"/>
              </w:rPr>
              <w:t>R2 741.2</w:t>
            </w:r>
          </w:p>
        </w:tc>
        <w:tc>
          <w:tcPr>
            <w:tcW w:w="1276" w:type="dxa"/>
            <w:shd w:val="clear" w:color="auto" w:fill="auto"/>
          </w:tcPr>
          <w:p w14:paraId="3662D473" w14:textId="77777777" w:rsidR="00CB46DB" w:rsidRPr="008B6F35" w:rsidRDefault="00CB46DB" w:rsidP="00726612">
            <w:pPr>
              <w:spacing w:line="360" w:lineRule="auto"/>
              <w:jc w:val="both"/>
              <w:rPr>
                <w:sz w:val="22"/>
                <w:szCs w:val="22"/>
                <w:lang w:val="en-ZA"/>
              </w:rPr>
            </w:pPr>
          </w:p>
          <w:p w14:paraId="087D04CB" w14:textId="77777777" w:rsidR="00CB46DB" w:rsidRPr="008B6F35" w:rsidRDefault="00CB46DB" w:rsidP="00726612">
            <w:pPr>
              <w:spacing w:line="360" w:lineRule="auto"/>
              <w:jc w:val="both"/>
              <w:rPr>
                <w:sz w:val="22"/>
                <w:szCs w:val="22"/>
                <w:lang w:val="en-ZA"/>
              </w:rPr>
            </w:pPr>
            <w:r w:rsidRPr="008B6F35">
              <w:rPr>
                <w:sz w:val="22"/>
                <w:szCs w:val="22"/>
                <w:lang w:val="en-ZA"/>
              </w:rPr>
              <w:t>R2 885.2</w:t>
            </w:r>
          </w:p>
        </w:tc>
        <w:tc>
          <w:tcPr>
            <w:tcW w:w="1559" w:type="dxa"/>
          </w:tcPr>
          <w:p w14:paraId="3F2D8F07" w14:textId="77777777" w:rsidR="00CB46DB" w:rsidRPr="008B6F35" w:rsidRDefault="00CB46DB" w:rsidP="00726612">
            <w:pPr>
              <w:spacing w:line="360" w:lineRule="auto"/>
              <w:jc w:val="both"/>
              <w:rPr>
                <w:sz w:val="22"/>
                <w:szCs w:val="22"/>
                <w:lang w:val="en-ZA"/>
              </w:rPr>
            </w:pPr>
          </w:p>
          <w:p w14:paraId="51D4CA9F" w14:textId="77777777" w:rsidR="00CB46DB" w:rsidRPr="008B6F35" w:rsidRDefault="00CB46DB" w:rsidP="00726612">
            <w:pPr>
              <w:spacing w:line="360" w:lineRule="auto"/>
              <w:jc w:val="both"/>
              <w:rPr>
                <w:sz w:val="22"/>
                <w:szCs w:val="22"/>
                <w:lang w:val="en-ZA"/>
              </w:rPr>
            </w:pPr>
            <w:r w:rsidRPr="008B6F35">
              <w:rPr>
                <w:sz w:val="22"/>
                <w:szCs w:val="22"/>
                <w:lang w:val="en-ZA"/>
              </w:rPr>
              <w:t>33.5%</w:t>
            </w:r>
          </w:p>
        </w:tc>
      </w:tr>
      <w:tr w:rsidR="00CB46DB" w:rsidRPr="006B0CFA" w14:paraId="20D883A9" w14:textId="77777777" w:rsidTr="008B6F35">
        <w:trPr>
          <w:trHeight w:val="453"/>
        </w:trPr>
        <w:tc>
          <w:tcPr>
            <w:tcW w:w="2155" w:type="dxa"/>
          </w:tcPr>
          <w:p w14:paraId="785F185B" w14:textId="77777777" w:rsidR="00CB46DB" w:rsidRPr="008B6F35" w:rsidRDefault="00CB46DB" w:rsidP="00726612">
            <w:pPr>
              <w:spacing w:line="360" w:lineRule="auto"/>
              <w:rPr>
                <w:sz w:val="22"/>
                <w:szCs w:val="22"/>
                <w:lang w:val="en-ZA"/>
              </w:rPr>
            </w:pPr>
            <w:r w:rsidRPr="008B6F35">
              <w:rPr>
                <w:b/>
                <w:sz w:val="22"/>
                <w:szCs w:val="22"/>
                <w:lang w:val="en-ZA"/>
              </w:rPr>
              <w:t>3.</w:t>
            </w:r>
            <w:r w:rsidRPr="008B6F35">
              <w:rPr>
                <w:sz w:val="22"/>
                <w:szCs w:val="22"/>
                <w:lang w:val="en-ZA"/>
              </w:rPr>
              <w:t xml:space="preserve"> Food Security &amp; Agrarian Reform</w:t>
            </w:r>
          </w:p>
        </w:tc>
        <w:tc>
          <w:tcPr>
            <w:tcW w:w="1276" w:type="dxa"/>
            <w:shd w:val="clear" w:color="auto" w:fill="F2F2F2" w:themeFill="background1" w:themeFillShade="F2"/>
          </w:tcPr>
          <w:p w14:paraId="73365291" w14:textId="77777777" w:rsidR="00CB46DB" w:rsidRPr="006B0CFA" w:rsidRDefault="00CB46DB" w:rsidP="00726612">
            <w:pPr>
              <w:spacing w:line="360" w:lineRule="auto"/>
              <w:jc w:val="both"/>
              <w:rPr>
                <w:sz w:val="22"/>
                <w:szCs w:val="22"/>
                <w:lang w:val="en-ZA"/>
              </w:rPr>
            </w:pPr>
          </w:p>
          <w:p w14:paraId="060A7A18" w14:textId="77777777" w:rsidR="008E0312" w:rsidRPr="008B6F35" w:rsidRDefault="008E0312" w:rsidP="00726612">
            <w:pPr>
              <w:spacing w:line="360" w:lineRule="auto"/>
              <w:jc w:val="both"/>
              <w:rPr>
                <w:sz w:val="22"/>
                <w:szCs w:val="22"/>
                <w:lang w:val="en-ZA"/>
              </w:rPr>
            </w:pPr>
            <w:r w:rsidRPr="006B0CFA">
              <w:rPr>
                <w:sz w:val="22"/>
                <w:szCs w:val="22"/>
                <w:lang w:val="en-ZA"/>
              </w:rPr>
              <w:t>R2 037.8</w:t>
            </w:r>
          </w:p>
        </w:tc>
        <w:tc>
          <w:tcPr>
            <w:tcW w:w="1134" w:type="dxa"/>
            <w:shd w:val="clear" w:color="auto" w:fill="D9D9D9" w:themeFill="background1" w:themeFillShade="D9"/>
          </w:tcPr>
          <w:p w14:paraId="5AFA901B" w14:textId="77777777" w:rsidR="00CB46DB" w:rsidRPr="008B6F35" w:rsidRDefault="00CB46DB" w:rsidP="00726612">
            <w:pPr>
              <w:spacing w:line="360" w:lineRule="auto"/>
              <w:jc w:val="both"/>
              <w:rPr>
                <w:sz w:val="22"/>
                <w:szCs w:val="22"/>
                <w:lang w:val="en-ZA"/>
              </w:rPr>
            </w:pPr>
          </w:p>
          <w:p w14:paraId="59774E26" w14:textId="77777777" w:rsidR="00CB46DB" w:rsidRPr="008B6F35" w:rsidRDefault="00CB46DB" w:rsidP="00726612">
            <w:pPr>
              <w:spacing w:line="360" w:lineRule="auto"/>
              <w:jc w:val="both"/>
              <w:rPr>
                <w:sz w:val="22"/>
                <w:szCs w:val="22"/>
                <w:lang w:val="en-ZA"/>
              </w:rPr>
            </w:pPr>
            <w:r w:rsidRPr="008B6F35">
              <w:rPr>
                <w:sz w:val="22"/>
                <w:szCs w:val="22"/>
                <w:lang w:val="en-ZA"/>
              </w:rPr>
              <w:t>R2 237.0</w:t>
            </w:r>
          </w:p>
        </w:tc>
        <w:tc>
          <w:tcPr>
            <w:tcW w:w="1276" w:type="dxa"/>
          </w:tcPr>
          <w:p w14:paraId="50FDE8B0" w14:textId="77777777" w:rsidR="00CB46DB" w:rsidRPr="008B6F35" w:rsidRDefault="00CB46DB" w:rsidP="00726612">
            <w:pPr>
              <w:spacing w:line="360" w:lineRule="auto"/>
              <w:jc w:val="both"/>
              <w:rPr>
                <w:sz w:val="22"/>
                <w:szCs w:val="22"/>
                <w:lang w:val="en-ZA"/>
              </w:rPr>
            </w:pPr>
          </w:p>
          <w:p w14:paraId="37D47C75" w14:textId="77777777" w:rsidR="00CB46DB" w:rsidRPr="008B6F35" w:rsidRDefault="00CB46DB" w:rsidP="00726612">
            <w:pPr>
              <w:spacing w:line="360" w:lineRule="auto"/>
              <w:jc w:val="both"/>
              <w:rPr>
                <w:sz w:val="22"/>
                <w:szCs w:val="22"/>
                <w:lang w:val="en-ZA"/>
              </w:rPr>
            </w:pPr>
            <w:r w:rsidRPr="008B6F35">
              <w:rPr>
                <w:sz w:val="22"/>
                <w:szCs w:val="22"/>
                <w:lang w:val="en-ZA"/>
              </w:rPr>
              <w:t>R2 331.7</w:t>
            </w:r>
          </w:p>
        </w:tc>
        <w:tc>
          <w:tcPr>
            <w:tcW w:w="1276" w:type="dxa"/>
            <w:shd w:val="clear" w:color="auto" w:fill="auto"/>
          </w:tcPr>
          <w:p w14:paraId="6DB76A25" w14:textId="77777777" w:rsidR="00CB46DB" w:rsidRPr="008B6F35" w:rsidRDefault="00CB46DB" w:rsidP="00726612">
            <w:pPr>
              <w:spacing w:line="360" w:lineRule="auto"/>
              <w:jc w:val="both"/>
              <w:rPr>
                <w:sz w:val="22"/>
                <w:szCs w:val="22"/>
                <w:lang w:val="en-ZA"/>
              </w:rPr>
            </w:pPr>
          </w:p>
          <w:p w14:paraId="306FFEE2" w14:textId="77777777" w:rsidR="00CB46DB" w:rsidRPr="008B6F35" w:rsidRDefault="00CB46DB" w:rsidP="00726612">
            <w:pPr>
              <w:spacing w:line="360" w:lineRule="auto"/>
              <w:jc w:val="both"/>
              <w:rPr>
                <w:sz w:val="22"/>
                <w:szCs w:val="22"/>
                <w:lang w:val="en-ZA"/>
              </w:rPr>
            </w:pPr>
            <w:r w:rsidRPr="008B6F35">
              <w:rPr>
                <w:sz w:val="22"/>
                <w:szCs w:val="22"/>
                <w:lang w:val="en-ZA"/>
              </w:rPr>
              <w:t>R2 515.7</w:t>
            </w:r>
          </w:p>
        </w:tc>
        <w:tc>
          <w:tcPr>
            <w:tcW w:w="1559" w:type="dxa"/>
          </w:tcPr>
          <w:p w14:paraId="5391FE3D" w14:textId="77777777" w:rsidR="00CB46DB" w:rsidRPr="008B6F35" w:rsidRDefault="00CB46DB" w:rsidP="00726612">
            <w:pPr>
              <w:spacing w:line="360" w:lineRule="auto"/>
              <w:jc w:val="both"/>
              <w:rPr>
                <w:sz w:val="22"/>
                <w:szCs w:val="22"/>
                <w:lang w:val="en-ZA"/>
              </w:rPr>
            </w:pPr>
          </w:p>
          <w:p w14:paraId="22D357B5" w14:textId="77777777" w:rsidR="00CB46DB" w:rsidRPr="008B6F35" w:rsidRDefault="00CB46DB" w:rsidP="00726612">
            <w:pPr>
              <w:spacing w:line="360" w:lineRule="auto"/>
              <w:jc w:val="both"/>
              <w:rPr>
                <w:sz w:val="22"/>
                <w:szCs w:val="22"/>
                <w:lang w:val="en-ZA"/>
              </w:rPr>
            </w:pPr>
            <w:r w:rsidRPr="008B6F35">
              <w:rPr>
                <w:sz w:val="22"/>
                <w:szCs w:val="22"/>
                <w:lang w:val="en-ZA"/>
              </w:rPr>
              <w:t>28.7%</w:t>
            </w:r>
          </w:p>
        </w:tc>
      </w:tr>
      <w:tr w:rsidR="00CB46DB" w:rsidRPr="006B0CFA" w14:paraId="5D6BDA60" w14:textId="77777777" w:rsidTr="008B6F35">
        <w:tc>
          <w:tcPr>
            <w:tcW w:w="2155" w:type="dxa"/>
          </w:tcPr>
          <w:p w14:paraId="2D3FBA1F" w14:textId="77777777" w:rsidR="00CB46DB" w:rsidRPr="008B6F35" w:rsidRDefault="00CB46DB" w:rsidP="00726612">
            <w:pPr>
              <w:spacing w:line="360" w:lineRule="auto"/>
              <w:rPr>
                <w:sz w:val="22"/>
                <w:szCs w:val="22"/>
                <w:lang w:val="en-ZA"/>
              </w:rPr>
            </w:pPr>
            <w:r w:rsidRPr="008B6F35">
              <w:rPr>
                <w:b/>
                <w:sz w:val="22"/>
                <w:szCs w:val="22"/>
                <w:lang w:val="en-ZA"/>
              </w:rPr>
              <w:t>4.</w:t>
            </w:r>
            <w:r w:rsidRPr="008B6F35">
              <w:rPr>
                <w:sz w:val="22"/>
                <w:szCs w:val="22"/>
                <w:lang w:val="en-ZA"/>
              </w:rPr>
              <w:t xml:space="preserve"> Trade Promotion &amp; Market Access</w:t>
            </w:r>
          </w:p>
        </w:tc>
        <w:tc>
          <w:tcPr>
            <w:tcW w:w="1276" w:type="dxa"/>
            <w:shd w:val="clear" w:color="auto" w:fill="F2F2F2" w:themeFill="background1" w:themeFillShade="F2"/>
          </w:tcPr>
          <w:p w14:paraId="00D3F4EF" w14:textId="77777777" w:rsidR="00CB46DB" w:rsidRPr="006B0CFA" w:rsidRDefault="00CB46DB" w:rsidP="00726612">
            <w:pPr>
              <w:spacing w:line="360" w:lineRule="auto"/>
              <w:jc w:val="both"/>
              <w:rPr>
                <w:sz w:val="22"/>
                <w:szCs w:val="22"/>
                <w:lang w:val="en-ZA"/>
              </w:rPr>
            </w:pPr>
          </w:p>
          <w:p w14:paraId="5E6814BE" w14:textId="77777777" w:rsidR="008E0312" w:rsidRPr="008B6F35" w:rsidRDefault="008E0312" w:rsidP="00726612">
            <w:pPr>
              <w:spacing w:line="360" w:lineRule="auto"/>
              <w:jc w:val="both"/>
              <w:rPr>
                <w:sz w:val="22"/>
                <w:szCs w:val="22"/>
                <w:lang w:val="en-ZA"/>
              </w:rPr>
            </w:pPr>
            <w:r w:rsidRPr="006B0CFA">
              <w:rPr>
                <w:sz w:val="22"/>
                <w:szCs w:val="22"/>
                <w:lang w:val="en-ZA"/>
              </w:rPr>
              <w:t>R  273.9</w:t>
            </w:r>
          </w:p>
        </w:tc>
        <w:tc>
          <w:tcPr>
            <w:tcW w:w="1134" w:type="dxa"/>
            <w:shd w:val="clear" w:color="auto" w:fill="D9D9D9" w:themeFill="background1" w:themeFillShade="D9"/>
          </w:tcPr>
          <w:p w14:paraId="59F0A566" w14:textId="77777777" w:rsidR="00CB46DB" w:rsidRPr="008B6F35" w:rsidRDefault="00CB46DB" w:rsidP="00726612">
            <w:pPr>
              <w:spacing w:line="360" w:lineRule="auto"/>
              <w:jc w:val="both"/>
              <w:rPr>
                <w:sz w:val="22"/>
                <w:szCs w:val="22"/>
                <w:lang w:val="en-ZA"/>
              </w:rPr>
            </w:pPr>
          </w:p>
          <w:p w14:paraId="00062056" w14:textId="77777777" w:rsidR="00CB46DB" w:rsidRPr="008B6F35" w:rsidRDefault="00CB46DB" w:rsidP="00726612">
            <w:pPr>
              <w:spacing w:line="360" w:lineRule="auto"/>
              <w:jc w:val="both"/>
              <w:rPr>
                <w:sz w:val="22"/>
                <w:szCs w:val="22"/>
                <w:lang w:val="en-ZA"/>
              </w:rPr>
            </w:pPr>
            <w:r w:rsidRPr="008B6F35">
              <w:rPr>
                <w:sz w:val="22"/>
                <w:szCs w:val="22"/>
                <w:lang w:val="en-ZA"/>
              </w:rPr>
              <w:t>R   290.9</w:t>
            </w:r>
          </w:p>
        </w:tc>
        <w:tc>
          <w:tcPr>
            <w:tcW w:w="1276" w:type="dxa"/>
          </w:tcPr>
          <w:p w14:paraId="06133466" w14:textId="77777777" w:rsidR="00CB46DB" w:rsidRPr="008B6F35" w:rsidRDefault="00CB46DB" w:rsidP="00726612">
            <w:pPr>
              <w:spacing w:line="360" w:lineRule="auto"/>
              <w:jc w:val="both"/>
              <w:rPr>
                <w:sz w:val="22"/>
                <w:szCs w:val="22"/>
                <w:lang w:val="en-ZA"/>
              </w:rPr>
            </w:pPr>
          </w:p>
          <w:p w14:paraId="29CDE687" w14:textId="77777777" w:rsidR="00CB46DB" w:rsidRPr="008B6F35" w:rsidRDefault="00CB46DB" w:rsidP="00726612">
            <w:pPr>
              <w:spacing w:line="360" w:lineRule="auto"/>
              <w:jc w:val="both"/>
              <w:rPr>
                <w:sz w:val="22"/>
                <w:szCs w:val="22"/>
                <w:lang w:val="en-ZA"/>
              </w:rPr>
            </w:pPr>
            <w:r w:rsidRPr="008B6F35">
              <w:rPr>
                <w:sz w:val="22"/>
                <w:szCs w:val="22"/>
                <w:lang w:val="en-ZA"/>
              </w:rPr>
              <w:t>R   309.1</w:t>
            </w:r>
          </w:p>
        </w:tc>
        <w:tc>
          <w:tcPr>
            <w:tcW w:w="1276" w:type="dxa"/>
            <w:shd w:val="clear" w:color="auto" w:fill="auto"/>
          </w:tcPr>
          <w:p w14:paraId="5B119663" w14:textId="77777777" w:rsidR="00CB46DB" w:rsidRPr="008B6F35" w:rsidRDefault="00CB46DB" w:rsidP="00726612">
            <w:pPr>
              <w:spacing w:line="360" w:lineRule="auto"/>
              <w:jc w:val="both"/>
              <w:rPr>
                <w:sz w:val="22"/>
                <w:szCs w:val="22"/>
                <w:lang w:val="en-ZA"/>
              </w:rPr>
            </w:pPr>
          </w:p>
          <w:p w14:paraId="4CC33752" w14:textId="77777777" w:rsidR="00CB46DB" w:rsidRPr="008B6F35" w:rsidRDefault="00CB46DB" w:rsidP="00726612">
            <w:pPr>
              <w:spacing w:line="360" w:lineRule="auto"/>
              <w:jc w:val="both"/>
              <w:rPr>
                <w:sz w:val="22"/>
                <w:szCs w:val="22"/>
                <w:lang w:val="en-ZA"/>
              </w:rPr>
            </w:pPr>
            <w:r w:rsidRPr="008B6F35">
              <w:rPr>
                <w:sz w:val="22"/>
                <w:szCs w:val="22"/>
                <w:lang w:val="en-ZA"/>
              </w:rPr>
              <w:t>R   327.4</w:t>
            </w:r>
          </w:p>
        </w:tc>
        <w:tc>
          <w:tcPr>
            <w:tcW w:w="1559" w:type="dxa"/>
          </w:tcPr>
          <w:p w14:paraId="782E1915" w14:textId="77777777" w:rsidR="00CB46DB" w:rsidRPr="008B6F35" w:rsidRDefault="00CB46DB" w:rsidP="00726612">
            <w:pPr>
              <w:spacing w:line="360" w:lineRule="auto"/>
              <w:jc w:val="both"/>
              <w:rPr>
                <w:sz w:val="22"/>
                <w:szCs w:val="22"/>
                <w:lang w:val="en-ZA"/>
              </w:rPr>
            </w:pPr>
          </w:p>
          <w:p w14:paraId="1B8521BC" w14:textId="77777777" w:rsidR="00CB46DB" w:rsidRPr="008B6F35" w:rsidRDefault="00CB46DB" w:rsidP="00726612">
            <w:pPr>
              <w:spacing w:line="360" w:lineRule="auto"/>
              <w:jc w:val="both"/>
              <w:rPr>
                <w:sz w:val="22"/>
                <w:szCs w:val="22"/>
                <w:lang w:val="en-ZA"/>
              </w:rPr>
            </w:pPr>
            <w:r w:rsidRPr="008B6F35">
              <w:rPr>
                <w:sz w:val="22"/>
                <w:szCs w:val="22"/>
                <w:lang w:val="en-ZA"/>
              </w:rPr>
              <w:t>3.8%</w:t>
            </w:r>
          </w:p>
        </w:tc>
      </w:tr>
      <w:tr w:rsidR="00CB46DB" w:rsidRPr="006B0CFA" w14:paraId="694FD3F3" w14:textId="77777777" w:rsidTr="008B6F35">
        <w:tc>
          <w:tcPr>
            <w:tcW w:w="2155" w:type="dxa"/>
          </w:tcPr>
          <w:p w14:paraId="0DA56DBE" w14:textId="77777777" w:rsidR="00CB46DB" w:rsidRPr="008B6F35" w:rsidRDefault="00CB46DB" w:rsidP="00726612">
            <w:pPr>
              <w:spacing w:line="360" w:lineRule="auto"/>
              <w:rPr>
                <w:sz w:val="22"/>
                <w:szCs w:val="22"/>
                <w:lang w:val="en-ZA"/>
              </w:rPr>
            </w:pPr>
            <w:r w:rsidRPr="008B6F35">
              <w:rPr>
                <w:b/>
                <w:sz w:val="22"/>
                <w:szCs w:val="22"/>
                <w:lang w:val="en-ZA"/>
              </w:rPr>
              <w:t>5.</w:t>
            </w:r>
            <w:r w:rsidRPr="008B6F35">
              <w:rPr>
                <w:sz w:val="22"/>
                <w:szCs w:val="22"/>
                <w:lang w:val="en-ZA"/>
              </w:rPr>
              <w:t xml:space="preserve"> Forestry &amp; Natural Resources Management </w:t>
            </w:r>
          </w:p>
        </w:tc>
        <w:tc>
          <w:tcPr>
            <w:tcW w:w="1276" w:type="dxa"/>
            <w:shd w:val="clear" w:color="auto" w:fill="F2F2F2" w:themeFill="background1" w:themeFillShade="F2"/>
          </w:tcPr>
          <w:p w14:paraId="1E6FD5D6" w14:textId="77777777" w:rsidR="00CB46DB" w:rsidRPr="006B0CFA" w:rsidRDefault="00CB46DB" w:rsidP="00726612">
            <w:pPr>
              <w:spacing w:line="360" w:lineRule="auto"/>
              <w:jc w:val="both"/>
              <w:rPr>
                <w:sz w:val="22"/>
                <w:szCs w:val="22"/>
                <w:lang w:val="en-ZA"/>
              </w:rPr>
            </w:pPr>
          </w:p>
          <w:p w14:paraId="436B34FB" w14:textId="77777777" w:rsidR="008E0312" w:rsidRPr="008B6F35" w:rsidRDefault="008E0312" w:rsidP="00726612">
            <w:pPr>
              <w:spacing w:line="360" w:lineRule="auto"/>
              <w:jc w:val="both"/>
              <w:rPr>
                <w:sz w:val="22"/>
                <w:szCs w:val="22"/>
                <w:lang w:val="en-ZA"/>
              </w:rPr>
            </w:pPr>
            <w:r w:rsidRPr="006B0CFA">
              <w:rPr>
                <w:sz w:val="22"/>
                <w:szCs w:val="22"/>
                <w:lang w:val="en-ZA"/>
              </w:rPr>
              <w:t>R1 617.1</w:t>
            </w:r>
          </w:p>
        </w:tc>
        <w:tc>
          <w:tcPr>
            <w:tcW w:w="1134" w:type="dxa"/>
            <w:shd w:val="clear" w:color="auto" w:fill="D9D9D9" w:themeFill="background1" w:themeFillShade="D9"/>
          </w:tcPr>
          <w:p w14:paraId="02DC4A8B" w14:textId="77777777" w:rsidR="00CB46DB" w:rsidRPr="008B6F35" w:rsidRDefault="00CB46DB" w:rsidP="00726612">
            <w:pPr>
              <w:spacing w:line="360" w:lineRule="auto"/>
              <w:jc w:val="both"/>
              <w:rPr>
                <w:sz w:val="22"/>
                <w:szCs w:val="22"/>
                <w:lang w:val="en-ZA"/>
              </w:rPr>
            </w:pPr>
          </w:p>
          <w:p w14:paraId="5824634D" w14:textId="77777777" w:rsidR="00CB46DB" w:rsidRPr="008B6F35" w:rsidRDefault="00CB46DB" w:rsidP="00726612">
            <w:pPr>
              <w:spacing w:line="360" w:lineRule="auto"/>
              <w:jc w:val="both"/>
              <w:rPr>
                <w:sz w:val="22"/>
                <w:szCs w:val="22"/>
                <w:lang w:val="en-ZA"/>
              </w:rPr>
            </w:pPr>
            <w:r w:rsidRPr="008B6F35">
              <w:rPr>
                <w:sz w:val="22"/>
                <w:szCs w:val="22"/>
                <w:lang w:val="en-ZA"/>
              </w:rPr>
              <w:t>R1 039.1</w:t>
            </w:r>
          </w:p>
        </w:tc>
        <w:tc>
          <w:tcPr>
            <w:tcW w:w="1276" w:type="dxa"/>
          </w:tcPr>
          <w:p w14:paraId="070272A5" w14:textId="77777777" w:rsidR="00CB46DB" w:rsidRPr="008B6F35" w:rsidRDefault="00CB46DB" w:rsidP="00726612">
            <w:pPr>
              <w:spacing w:line="360" w:lineRule="auto"/>
              <w:jc w:val="both"/>
              <w:rPr>
                <w:sz w:val="22"/>
                <w:szCs w:val="22"/>
                <w:lang w:val="en-ZA"/>
              </w:rPr>
            </w:pPr>
          </w:p>
          <w:p w14:paraId="03F4DD1E" w14:textId="77777777" w:rsidR="00CB46DB" w:rsidRPr="008B6F35" w:rsidRDefault="00CB46DB" w:rsidP="00726612">
            <w:pPr>
              <w:spacing w:line="360" w:lineRule="auto"/>
              <w:jc w:val="both"/>
              <w:rPr>
                <w:sz w:val="22"/>
                <w:szCs w:val="22"/>
                <w:lang w:val="en-ZA"/>
              </w:rPr>
            </w:pPr>
            <w:r w:rsidRPr="008B6F35">
              <w:rPr>
                <w:sz w:val="22"/>
                <w:szCs w:val="22"/>
                <w:lang w:val="en-ZA"/>
              </w:rPr>
              <w:t>R1 045.6</w:t>
            </w:r>
          </w:p>
        </w:tc>
        <w:tc>
          <w:tcPr>
            <w:tcW w:w="1276" w:type="dxa"/>
            <w:shd w:val="clear" w:color="auto" w:fill="auto"/>
          </w:tcPr>
          <w:p w14:paraId="63D36BB6" w14:textId="77777777" w:rsidR="00CB46DB" w:rsidRPr="008B6F35" w:rsidRDefault="00CB46DB" w:rsidP="00726612">
            <w:pPr>
              <w:spacing w:line="360" w:lineRule="auto"/>
              <w:jc w:val="both"/>
              <w:rPr>
                <w:sz w:val="22"/>
                <w:szCs w:val="22"/>
                <w:lang w:val="en-ZA"/>
              </w:rPr>
            </w:pPr>
          </w:p>
          <w:p w14:paraId="40D81E94" w14:textId="77777777" w:rsidR="00CB46DB" w:rsidRPr="008B6F35" w:rsidRDefault="00CB46DB" w:rsidP="00726612">
            <w:pPr>
              <w:spacing w:line="360" w:lineRule="auto"/>
              <w:jc w:val="both"/>
              <w:rPr>
                <w:sz w:val="22"/>
                <w:szCs w:val="22"/>
                <w:lang w:val="en-ZA"/>
              </w:rPr>
            </w:pPr>
            <w:r w:rsidRPr="008B6F35">
              <w:rPr>
                <w:sz w:val="22"/>
                <w:szCs w:val="22"/>
                <w:lang w:val="en-ZA"/>
              </w:rPr>
              <w:t>R1 109.9</w:t>
            </w:r>
          </w:p>
        </w:tc>
        <w:tc>
          <w:tcPr>
            <w:tcW w:w="1559" w:type="dxa"/>
          </w:tcPr>
          <w:p w14:paraId="3E19D81A" w14:textId="77777777" w:rsidR="00CB46DB" w:rsidRPr="008B6F35" w:rsidRDefault="00CB46DB" w:rsidP="00726612">
            <w:pPr>
              <w:spacing w:line="360" w:lineRule="auto"/>
              <w:jc w:val="both"/>
              <w:rPr>
                <w:sz w:val="22"/>
                <w:szCs w:val="22"/>
                <w:lang w:val="en-ZA"/>
              </w:rPr>
            </w:pPr>
          </w:p>
          <w:p w14:paraId="00842A1A" w14:textId="77777777" w:rsidR="00CB46DB" w:rsidRPr="008B6F35" w:rsidRDefault="00CB46DB" w:rsidP="00726612">
            <w:pPr>
              <w:spacing w:line="360" w:lineRule="auto"/>
              <w:jc w:val="both"/>
              <w:rPr>
                <w:sz w:val="22"/>
                <w:szCs w:val="22"/>
                <w:lang w:val="en-ZA"/>
              </w:rPr>
            </w:pPr>
            <w:r w:rsidRPr="008B6F35">
              <w:rPr>
                <w:sz w:val="22"/>
                <w:szCs w:val="22"/>
                <w:lang w:val="en-ZA"/>
              </w:rPr>
              <w:t>15.2%</w:t>
            </w:r>
          </w:p>
        </w:tc>
      </w:tr>
      <w:tr w:rsidR="00CB46DB" w:rsidRPr="006B0CFA" w14:paraId="46AA0996" w14:textId="77777777" w:rsidTr="008B6F35">
        <w:tc>
          <w:tcPr>
            <w:tcW w:w="2155" w:type="dxa"/>
          </w:tcPr>
          <w:p w14:paraId="36830D70" w14:textId="77777777" w:rsidR="00CB46DB" w:rsidRPr="008B6F35" w:rsidRDefault="00CB46DB" w:rsidP="00726612">
            <w:pPr>
              <w:spacing w:line="360" w:lineRule="auto"/>
              <w:rPr>
                <w:sz w:val="22"/>
                <w:szCs w:val="22"/>
                <w:lang w:val="en-ZA"/>
              </w:rPr>
            </w:pPr>
            <w:r w:rsidRPr="008B6F35">
              <w:rPr>
                <w:b/>
                <w:sz w:val="22"/>
                <w:szCs w:val="22"/>
                <w:lang w:val="en-ZA"/>
              </w:rPr>
              <w:t>6.</w:t>
            </w:r>
            <w:r w:rsidRPr="008B6F35">
              <w:rPr>
                <w:sz w:val="22"/>
                <w:szCs w:val="22"/>
                <w:lang w:val="en-ZA"/>
              </w:rPr>
              <w:t xml:space="preserve"> Fisheries Management</w:t>
            </w:r>
          </w:p>
        </w:tc>
        <w:tc>
          <w:tcPr>
            <w:tcW w:w="1276" w:type="dxa"/>
            <w:shd w:val="clear" w:color="auto" w:fill="F2F2F2" w:themeFill="background1" w:themeFillShade="F2"/>
          </w:tcPr>
          <w:p w14:paraId="5CA73FCD" w14:textId="77777777" w:rsidR="00CB46DB" w:rsidRPr="006B0CFA" w:rsidRDefault="00CB46DB" w:rsidP="00726612">
            <w:pPr>
              <w:spacing w:line="360" w:lineRule="auto"/>
              <w:jc w:val="both"/>
              <w:rPr>
                <w:sz w:val="22"/>
                <w:szCs w:val="22"/>
                <w:lang w:val="en-ZA"/>
              </w:rPr>
            </w:pPr>
          </w:p>
          <w:p w14:paraId="17478B91" w14:textId="77777777" w:rsidR="008E0312" w:rsidRPr="008B6F35" w:rsidRDefault="008E0312" w:rsidP="00726612">
            <w:pPr>
              <w:spacing w:line="360" w:lineRule="auto"/>
              <w:jc w:val="both"/>
              <w:rPr>
                <w:sz w:val="22"/>
                <w:szCs w:val="22"/>
                <w:lang w:val="en-ZA"/>
              </w:rPr>
            </w:pPr>
            <w:r w:rsidRPr="006B0CFA">
              <w:rPr>
                <w:sz w:val="22"/>
                <w:szCs w:val="22"/>
                <w:lang w:val="en-ZA"/>
              </w:rPr>
              <w:t>R  487.8</w:t>
            </w:r>
          </w:p>
        </w:tc>
        <w:tc>
          <w:tcPr>
            <w:tcW w:w="1134" w:type="dxa"/>
            <w:shd w:val="clear" w:color="auto" w:fill="D9D9D9" w:themeFill="background1" w:themeFillShade="D9"/>
          </w:tcPr>
          <w:p w14:paraId="2EC20953" w14:textId="77777777" w:rsidR="00CB46DB" w:rsidRPr="008B6F35" w:rsidRDefault="00CB46DB" w:rsidP="00726612">
            <w:pPr>
              <w:spacing w:line="360" w:lineRule="auto"/>
              <w:jc w:val="both"/>
              <w:rPr>
                <w:sz w:val="22"/>
                <w:szCs w:val="22"/>
                <w:lang w:val="en-ZA"/>
              </w:rPr>
            </w:pPr>
          </w:p>
          <w:p w14:paraId="64EC9236" w14:textId="77777777" w:rsidR="00CB46DB" w:rsidRPr="008B6F35" w:rsidRDefault="00CB46DB" w:rsidP="00726612">
            <w:pPr>
              <w:spacing w:line="360" w:lineRule="auto"/>
              <w:jc w:val="both"/>
              <w:rPr>
                <w:sz w:val="22"/>
                <w:szCs w:val="22"/>
                <w:lang w:val="en-ZA"/>
              </w:rPr>
            </w:pPr>
            <w:r w:rsidRPr="008B6F35">
              <w:rPr>
                <w:sz w:val="22"/>
                <w:szCs w:val="22"/>
                <w:lang w:val="en-ZA"/>
              </w:rPr>
              <w:t xml:space="preserve">R   519.7 </w:t>
            </w:r>
          </w:p>
        </w:tc>
        <w:tc>
          <w:tcPr>
            <w:tcW w:w="1276" w:type="dxa"/>
          </w:tcPr>
          <w:p w14:paraId="62B21262" w14:textId="77777777" w:rsidR="00CB46DB" w:rsidRPr="008B6F35" w:rsidRDefault="00CB46DB" w:rsidP="00726612">
            <w:pPr>
              <w:spacing w:line="360" w:lineRule="auto"/>
              <w:jc w:val="both"/>
              <w:rPr>
                <w:sz w:val="22"/>
                <w:szCs w:val="22"/>
                <w:lang w:val="en-ZA"/>
              </w:rPr>
            </w:pPr>
          </w:p>
          <w:p w14:paraId="6478219A" w14:textId="77777777" w:rsidR="00CB46DB" w:rsidRPr="008B6F35" w:rsidRDefault="00CB46DB" w:rsidP="00726612">
            <w:pPr>
              <w:spacing w:line="360" w:lineRule="auto"/>
              <w:jc w:val="both"/>
              <w:rPr>
                <w:sz w:val="22"/>
                <w:szCs w:val="22"/>
                <w:lang w:val="en-ZA"/>
              </w:rPr>
            </w:pPr>
            <w:r w:rsidRPr="008B6F35">
              <w:rPr>
                <w:sz w:val="22"/>
                <w:szCs w:val="22"/>
                <w:lang w:val="en-ZA"/>
              </w:rPr>
              <w:t>R   553.2</w:t>
            </w:r>
          </w:p>
        </w:tc>
        <w:tc>
          <w:tcPr>
            <w:tcW w:w="1276" w:type="dxa"/>
            <w:shd w:val="clear" w:color="auto" w:fill="auto"/>
          </w:tcPr>
          <w:p w14:paraId="6FADEF47" w14:textId="77777777" w:rsidR="00CB46DB" w:rsidRPr="008B6F35" w:rsidRDefault="00CB46DB" w:rsidP="00726612">
            <w:pPr>
              <w:spacing w:line="360" w:lineRule="auto"/>
              <w:jc w:val="both"/>
              <w:rPr>
                <w:sz w:val="22"/>
                <w:szCs w:val="22"/>
                <w:lang w:val="en-ZA"/>
              </w:rPr>
            </w:pPr>
          </w:p>
          <w:p w14:paraId="7EC16AEE" w14:textId="77777777" w:rsidR="00CB46DB" w:rsidRPr="008B6F35" w:rsidRDefault="00CB46DB" w:rsidP="00726612">
            <w:pPr>
              <w:spacing w:line="360" w:lineRule="auto"/>
              <w:jc w:val="both"/>
              <w:rPr>
                <w:sz w:val="22"/>
                <w:szCs w:val="22"/>
                <w:lang w:val="en-ZA"/>
              </w:rPr>
            </w:pPr>
            <w:r w:rsidRPr="008B6F35">
              <w:rPr>
                <w:sz w:val="22"/>
                <w:szCs w:val="22"/>
                <w:lang w:val="en-ZA"/>
              </w:rPr>
              <w:t>R  586.3</w:t>
            </w:r>
          </w:p>
        </w:tc>
        <w:tc>
          <w:tcPr>
            <w:tcW w:w="1559" w:type="dxa"/>
          </w:tcPr>
          <w:p w14:paraId="5D301B47" w14:textId="77777777" w:rsidR="00CB46DB" w:rsidRPr="008B6F35" w:rsidRDefault="00CB46DB" w:rsidP="00726612">
            <w:pPr>
              <w:spacing w:line="360" w:lineRule="auto"/>
              <w:jc w:val="both"/>
              <w:rPr>
                <w:sz w:val="22"/>
                <w:szCs w:val="22"/>
                <w:lang w:val="en-ZA"/>
              </w:rPr>
            </w:pPr>
          </w:p>
          <w:p w14:paraId="19936583" w14:textId="77777777" w:rsidR="00CB46DB" w:rsidRPr="008B6F35" w:rsidRDefault="00CB46DB" w:rsidP="00726612">
            <w:pPr>
              <w:spacing w:line="360" w:lineRule="auto"/>
              <w:jc w:val="both"/>
              <w:rPr>
                <w:sz w:val="22"/>
                <w:szCs w:val="22"/>
                <w:lang w:val="en-ZA"/>
              </w:rPr>
            </w:pPr>
            <w:r w:rsidRPr="008B6F35">
              <w:rPr>
                <w:sz w:val="22"/>
                <w:szCs w:val="22"/>
                <w:lang w:val="en-ZA"/>
              </w:rPr>
              <w:t>6.8%</w:t>
            </w:r>
          </w:p>
        </w:tc>
      </w:tr>
      <w:tr w:rsidR="00CB46DB" w:rsidRPr="006B0CFA" w14:paraId="24550329" w14:textId="77777777" w:rsidTr="008B6F35">
        <w:tc>
          <w:tcPr>
            <w:tcW w:w="2155" w:type="dxa"/>
          </w:tcPr>
          <w:p w14:paraId="043EA5C6" w14:textId="77777777" w:rsidR="00CB46DB" w:rsidRPr="008B6F35" w:rsidRDefault="00CB46DB" w:rsidP="00726612">
            <w:pPr>
              <w:spacing w:line="360" w:lineRule="auto"/>
              <w:jc w:val="both"/>
              <w:rPr>
                <w:b/>
                <w:sz w:val="22"/>
                <w:szCs w:val="22"/>
                <w:lang w:val="en-ZA"/>
              </w:rPr>
            </w:pPr>
          </w:p>
          <w:p w14:paraId="726A4E14" w14:textId="77777777" w:rsidR="00CB46DB" w:rsidRPr="008B6F35" w:rsidRDefault="00CB46DB" w:rsidP="00726612">
            <w:pPr>
              <w:spacing w:line="360" w:lineRule="auto"/>
              <w:jc w:val="both"/>
              <w:rPr>
                <w:b/>
                <w:sz w:val="22"/>
                <w:szCs w:val="22"/>
                <w:lang w:val="en-ZA"/>
              </w:rPr>
            </w:pPr>
            <w:r w:rsidRPr="008B6F35">
              <w:rPr>
                <w:b/>
                <w:sz w:val="22"/>
                <w:szCs w:val="22"/>
                <w:lang w:val="en-ZA"/>
              </w:rPr>
              <w:t xml:space="preserve">Total </w:t>
            </w:r>
          </w:p>
        </w:tc>
        <w:tc>
          <w:tcPr>
            <w:tcW w:w="1276" w:type="dxa"/>
            <w:shd w:val="clear" w:color="auto" w:fill="BFBFBF" w:themeFill="background1" w:themeFillShade="BF"/>
          </w:tcPr>
          <w:p w14:paraId="73425B76" w14:textId="77777777" w:rsidR="00CB46DB" w:rsidRPr="006B0CFA" w:rsidRDefault="00CB46DB" w:rsidP="00726612">
            <w:pPr>
              <w:spacing w:line="360" w:lineRule="auto"/>
              <w:jc w:val="both"/>
              <w:rPr>
                <w:b/>
                <w:sz w:val="22"/>
                <w:szCs w:val="22"/>
                <w:lang w:val="en-ZA"/>
              </w:rPr>
            </w:pPr>
          </w:p>
          <w:p w14:paraId="53BBA3FE" w14:textId="77777777" w:rsidR="008E0312" w:rsidRPr="008B6F35" w:rsidRDefault="008E0312" w:rsidP="00726612">
            <w:pPr>
              <w:spacing w:line="360" w:lineRule="auto"/>
              <w:jc w:val="both"/>
              <w:rPr>
                <w:b/>
                <w:sz w:val="22"/>
                <w:szCs w:val="22"/>
                <w:lang w:val="en-ZA"/>
              </w:rPr>
            </w:pPr>
            <w:r w:rsidRPr="006B0CFA">
              <w:rPr>
                <w:b/>
                <w:sz w:val="22"/>
                <w:szCs w:val="22"/>
                <w:lang w:val="en-ZA"/>
              </w:rPr>
              <w:t>R7 732.8</w:t>
            </w:r>
          </w:p>
        </w:tc>
        <w:tc>
          <w:tcPr>
            <w:tcW w:w="1134" w:type="dxa"/>
            <w:shd w:val="clear" w:color="auto" w:fill="BFBFBF" w:themeFill="background1" w:themeFillShade="BF"/>
          </w:tcPr>
          <w:p w14:paraId="608F374A" w14:textId="77777777" w:rsidR="00CB46DB" w:rsidRPr="008B6F35" w:rsidRDefault="00CB46DB" w:rsidP="00726612">
            <w:pPr>
              <w:spacing w:line="360" w:lineRule="auto"/>
              <w:jc w:val="both"/>
              <w:rPr>
                <w:b/>
                <w:sz w:val="22"/>
                <w:szCs w:val="22"/>
                <w:lang w:val="en-ZA"/>
              </w:rPr>
            </w:pPr>
          </w:p>
          <w:p w14:paraId="714900ED" w14:textId="77777777" w:rsidR="00CB46DB" w:rsidRPr="008B6F35" w:rsidRDefault="00CB46DB" w:rsidP="00726612">
            <w:pPr>
              <w:spacing w:line="360" w:lineRule="auto"/>
              <w:jc w:val="both"/>
              <w:rPr>
                <w:b/>
                <w:sz w:val="22"/>
                <w:szCs w:val="22"/>
                <w:lang w:val="en-ZA"/>
              </w:rPr>
            </w:pPr>
            <w:r w:rsidRPr="008B6F35">
              <w:rPr>
                <w:b/>
                <w:sz w:val="22"/>
                <w:szCs w:val="22"/>
                <w:lang w:val="en-ZA"/>
              </w:rPr>
              <w:t>R7 664.8</w:t>
            </w:r>
          </w:p>
        </w:tc>
        <w:tc>
          <w:tcPr>
            <w:tcW w:w="1276" w:type="dxa"/>
            <w:shd w:val="clear" w:color="auto" w:fill="BFBFBF" w:themeFill="background1" w:themeFillShade="BF"/>
          </w:tcPr>
          <w:p w14:paraId="18B56548" w14:textId="77777777" w:rsidR="00CB46DB" w:rsidRPr="008B6F35" w:rsidRDefault="00CB46DB" w:rsidP="00726612">
            <w:pPr>
              <w:spacing w:line="360" w:lineRule="auto"/>
              <w:jc w:val="both"/>
              <w:rPr>
                <w:b/>
                <w:sz w:val="22"/>
                <w:szCs w:val="22"/>
                <w:lang w:val="en-ZA"/>
              </w:rPr>
            </w:pPr>
          </w:p>
          <w:p w14:paraId="01FB4544" w14:textId="77777777" w:rsidR="00CB46DB" w:rsidRPr="008B6F35" w:rsidRDefault="00CB46DB" w:rsidP="00726612">
            <w:pPr>
              <w:spacing w:line="360" w:lineRule="auto"/>
              <w:jc w:val="both"/>
              <w:rPr>
                <w:b/>
                <w:sz w:val="22"/>
                <w:szCs w:val="22"/>
                <w:lang w:val="en-ZA"/>
              </w:rPr>
            </w:pPr>
            <w:r w:rsidRPr="008B6F35">
              <w:rPr>
                <w:b/>
                <w:sz w:val="22"/>
                <w:szCs w:val="22"/>
                <w:lang w:val="en-ZA"/>
              </w:rPr>
              <w:t>R7 923.2</w:t>
            </w:r>
          </w:p>
        </w:tc>
        <w:tc>
          <w:tcPr>
            <w:tcW w:w="1276" w:type="dxa"/>
            <w:shd w:val="clear" w:color="auto" w:fill="BFBFBF" w:themeFill="background1" w:themeFillShade="BF"/>
          </w:tcPr>
          <w:p w14:paraId="1F9CE778" w14:textId="77777777" w:rsidR="00CB46DB" w:rsidRPr="008B6F35" w:rsidRDefault="00CB46DB" w:rsidP="00726612">
            <w:pPr>
              <w:spacing w:line="360" w:lineRule="auto"/>
              <w:jc w:val="both"/>
              <w:rPr>
                <w:b/>
                <w:sz w:val="22"/>
                <w:szCs w:val="22"/>
                <w:lang w:val="en-ZA"/>
              </w:rPr>
            </w:pPr>
          </w:p>
          <w:p w14:paraId="6168AF0D" w14:textId="77777777" w:rsidR="00CB46DB" w:rsidRPr="008B6F35" w:rsidRDefault="00CB46DB" w:rsidP="00726612">
            <w:pPr>
              <w:spacing w:line="360" w:lineRule="auto"/>
              <w:jc w:val="both"/>
              <w:rPr>
                <w:b/>
                <w:sz w:val="22"/>
                <w:szCs w:val="22"/>
                <w:lang w:val="en-ZA"/>
              </w:rPr>
            </w:pPr>
            <w:r w:rsidRPr="008B6F35">
              <w:rPr>
                <w:b/>
                <w:sz w:val="22"/>
                <w:szCs w:val="22"/>
                <w:lang w:val="en-ZA"/>
              </w:rPr>
              <w:t>R8 425.6</w:t>
            </w:r>
          </w:p>
        </w:tc>
        <w:tc>
          <w:tcPr>
            <w:tcW w:w="1559" w:type="dxa"/>
            <w:shd w:val="clear" w:color="auto" w:fill="BFBFBF" w:themeFill="background1" w:themeFillShade="BF"/>
          </w:tcPr>
          <w:p w14:paraId="08106902" w14:textId="77777777" w:rsidR="00CB46DB" w:rsidRPr="008B6F35" w:rsidRDefault="00CB46DB" w:rsidP="00726612">
            <w:pPr>
              <w:spacing w:line="360" w:lineRule="auto"/>
              <w:jc w:val="both"/>
              <w:rPr>
                <w:b/>
                <w:sz w:val="22"/>
                <w:szCs w:val="22"/>
                <w:lang w:val="en-ZA"/>
              </w:rPr>
            </w:pPr>
          </w:p>
          <w:p w14:paraId="789918B0" w14:textId="77777777" w:rsidR="00CB46DB" w:rsidRPr="008B6F35" w:rsidRDefault="00CB46DB" w:rsidP="00726612">
            <w:pPr>
              <w:spacing w:line="360" w:lineRule="auto"/>
              <w:jc w:val="both"/>
              <w:rPr>
                <w:b/>
                <w:sz w:val="22"/>
                <w:szCs w:val="22"/>
                <w:lang w:val="en-ZA"/>
              </w:rPr>
            </w:pPr>
            <w:r w:rsidRPr="008B6F35">
              <w:rPr>
                <w:b/>
                <w:sz w:val="22"/>
                <w:szCs w:val="22"/>
                <w:lang w:val="en-ZA"/>
              </w:rPr>
              <w:t>100%</w:t>
            </w:r>
          </w:p>
        </w:tc>
      </w:tr>
    </w:tbl>
    <w:p w14:paraId="6C671309" w14:textId="77777777" w:rsidR="00057339" w:rsidRPr="008B6F35" w:rsidRDefault="00057339" w:rsidP="00057339">
      <w:pPr>
        <w:spacing w:line="360" w:lineRule="auto"/>
        <w:jc w:val="both"/>
        <w:rPr>
          <w:sz w:val="22"/>
          <w:szCs w:val="22"/>
          <w:lang w:val="en-ZA"/>
        </w:rPr>
      </w:pPr>
      <w:r w:rsidRPr="008B6F35">
        <w:rPr>
          <w:sz w:val="22"/>
          <w:szCs w:val="22"/>
          <w:lang w:val="en-ZA"/>
        </w:rPr>
        <w:t xml:space="preserve">   Adapted from National Treasury (Estimates of National Expenditure, 2019)</w:t>
      </w:r>
    </w:p>
    <w:p w14:paraId="495223A0" w14:textId="77777777" w:rsidR="00057339" w:rsidRPr="00D00A94" w:rsidRDefault="00057339" w:rsidP="00057339">
      <w:pPr>
        <w:tabs>
          <w:tab w:val="left" w:pos="567"/>
          <w:tab w:val="left" w:pos="2012"/>
        </w:tabs>
        <w:autoSpaceDE w:val="0"/>
        <w:autoSpaceDN w:val="0"/>
        <w:adjustRightInd w:val="0"/>
        <w:spacing w:line="360" w:lineRule="auto"/>
        <w:jc w:val="both"/>
      </w:pPr>
    </w:p>
    <w:p w14:paraId="6F2D8591" w14:textId="77777777" w:rsidR="00A247DB" w:rsidRDefault="00057339" w:rsidP="00057339">
      <w:pPr>
        <w:tabs>
          <w:tab w:val="left" w:pos="567"/>
          <w:tab w:val="left" w:pos="2012"/>
        </w:tabs>
        <w:autoSpaceDE w:val="0"/>
        <w:autoSpaceDN w:val="0"/>
        <w:adjustRightInd w:val="0"/>
        <w:spacing w:line="360" w:lineRule="auto"/>
        <w:jc w:val="both"/>
      </w:pPr>
      <w:r w:rsidRPr="00D00A94">
        <w:t>Of the total</w:t>
      </w:r>
      <w:r w:rsidR="00EA6098">
        <w:t xml:space="preserve"> budget </w:t>
      </w:r>
      <w:r w:rsidR="006D761D">
        <w:t xml:space="preserve">of R7.66 billion </w:t>
      </w:r>
      <w:r w:rsidR="00EA6098">
        <w:t>that has been appropriated to the Vote for th</w:t>
      </w:r>
      <w:r w:rsidR="006D761D">
        <w:t>e year under review (2019/20),</w:t>
      </w:r>
      <w:r w:rsidR="00A247DB">
        <w:t xml:space="preserve"> budget allocation is as follows:</w:t>
      </w:r>
    </w:p>
    <w:p w14:paraId="406A00B7" w14:textId="77777777" w:rsidR="00A247DB" w:rsidRDefault="00A247DB" w:rsidP="001175D3">
      <w:pPr>
        <w:pStyle w:val="ListParagraph"/>
        <w:numPr>
          <w:ilvl w:val="0"/>
          <w:numId w:val="9"/>
        </w:numPr>
        <w:tabs>
          <w:tab w:val="left" w:pos="567"/>
          <w:tab w:val="left" w:pos="2012"/>
        </w:tabs>
        <w:autoSpaceDE w:val="0"/>
        <w:autoSpaceDN w:val="0"/>
        <w:adjustRightInd w:val="0"/>
        <w:spacing w:line="360" w:lineRule="auto"/>
        <w:jc w:val="both"/>
      </w:pPr>
      <w:r w:rsidRPr="008B6F35">
        <w:rPr>
          <w:i/>
        </w:rPr>
        <w:t>Current payments</w:t>
      </w:r>
      <w:r>
        <w:t xml:space="preserve"> is </w:t>
      </w:r>
      <w:r w:rsidR="006D761D">
        <w:t>R3.2</w:t>
      </w:r>
      <w:r w:rsidR="00AE2DE5">
        <w:t>5</w:t>
      </w:r>
      <w:r w:rsidR="006D761D">
        <w:t xml:space="preserve"> billion</w:t>
      </w:r>
      <w:r w:rsidR="00EA6098">
        <w:t xml:space="preserve"> (42% of the total vote)</w:t>
      </w:r>
      <w:r w:rsidR="006D761D">
        <w:t xml:space="preserve"> </w:t>
      </w:r>
      <w:r>
        <w:t>– R2.35 billion</w:t>
      </w:r>
      <w:r w:rsidR="00923B53">
        <w:t xml:space="preserve">, which is </w:t>
      </w:r>
      <w:r>
        <w:t>72%</w:t>
      </w:r>
      <w:r w:rsidR="00923B53">
        <w:t xml:space="preserve"> of current payments (and 31% of the total vote</w:t>
      </w:r>
      <w:r>
        <w:t xml:space="preserve">) will be spent </w:t>
      </w:r>
      <w:r w:rsidRPr="00D00A94">
        <w:t xml:space="preserve">on </w:t>
      </w:r>
      <w:r>
        <w:t>c</w:t>
      </w:r>
      <w:r w:rsidRPr="00D00A94">
        <w:t>ompensation of employees</w:t>
      </w:r>
      <w:r w:rsidR="00923B53">
        <w:t>. This is</w:t>
      </w:r>
      <w:r>
        <w:t xml:space="preserve"> a 3% increase from the previous year</w:t>
      </w:r>
      <w:r w:rsidR="00923B53">
        <w:t xml:space="preserve">, where </w:t>
      </w:r>
      <w:r>
        <w:t>compensation of employees</w:t>
      </w:r>
      <w:r w:rsidR="00923B53">
        <w:t xml:space="preserve"> accounted for 69% of current payments (and 29% of the total vote)</w:t>
      </w:r>
      <w:r>
        <w:t>.</w:t>
      </w:r>
      <w:r w:rsidR="00CB2F18">
        <w:t xml:space="preserve"> Goods and services are appropriated an </w:t>
      </w:r>
      <w:r w:rsidR="00A01911">
        <w:t>amount of R898 million (</w:t>
      </w:r>
      <w:r w:rsidR="00CB2F18">
        <w:t>12% of current payments</w:t>
      </w:r>
      <w:r w:rsidR="00A01911">
        <w:t>)</w:t>
      </w:r>
      <w:r w:rsidR="00CB2F18">
        <w:t xml:space="preserve"> for 2019/20</w:t>
      </w:r>
      <w:r w:rsidR="00A01911">
        <w:t>; and R205 million (24%) of this amount is for property payments and R107 million (10%) is for agencies and outsourced services.</w:t>
      </w:r>
    </w:p>
    <w:p w14:paraId="3DAA3BD4" w14:textId="77777777" w:rsidR="00A247DB" w:rsidRDefault="00A247DB" w:rsidP="001175D3">
      <w:pPr>
        <w:pStyle w:val="ListParagraph"/>
        <w:numPr>
          <w:ilvl w:val="0"/>
          <w:numId w:val="9"/>
        </w:numPr>
        <w:tabs>
          <w:tab w:val="left" w:pos="567"/>
          <w:tab w:val="left" w:pos="2012"/>
        </w:tabs>
        <w:autoSpaceDE w:val="0"/>
        <w:autoSpaceDN w:val="0"/>
        <w:adjustRightInd w:val="0"/>
        <w:spacing w:line="360" w:lineRule="auto"/>
        <w:jc w:val="both"/>
      </w:pPr>
      <w:r w:rsidRPr="008B6F35">
        <w:rPr>
          <w:i/>
        </w:rPr>
        <w:t>Transfers and subsidies</w:t>
      </w:r>
      <w:r>
        <w:t xml:space="preserve"> is </w:t>
      </w:r>
      <w:r w:rsidR="006D761D">
        <w:t>R4.2</w:t>
      </w:r>
      <w:r w:rsidR="00AE2DE5">
        <w:t>8</w:t>
      </w:r>
      <w:r w:rsidR="006D761D">
        <w:t xml:space="preserve"> billion </w:t>
      </w:r>
      <w:r w:rsidR="00AE2DE5">
        <w:t xml:space="preserve">(56% of the total vote) </w:t>
      </w:r>
      <w:r>
        <w:t>– a</w:t>
      </w:r>
      <w:r w:rsidRPr="00D00A94">
        <w:t xml:space="preserve">lmost R2.2 billion (51%) will be spent mainly on the conditional grants to provinces (i.e. Comprehensive </w:t>
      </w:r>
      <w:r>
        <w:t>A</w:t>
      </w:r>
      <w:r w:rsidRPr="00D00A94">
        <w:t>gricultur</w:t>
      </w:r>
      <w:r>
        <w:t>e</w:t>
      </w:r>
      <w:r w:rsidRPr="00D00A94">
        <w:t xml:space="preserve"> </w:t>
      </w:r>
      <w:r>
        <w:t>Support P</w:t>
      </w:r>
      <w:r w:rsidRPr="00D00A94">
        <w:t>rogramme (CASP)</w:t>
      </w:r>
      <w:r w:rsidR="00F25287">
        <w:t xml:space="preserve">, </w:t>
      </w:r>
      <w:r w:rsidRPr="00D00A94">
        <w:t>Ilima</w:t>
      </w:r>
      <w:r>
        <w:t>/</w:t>
      </w:r>
      <w:r w:rsidRPr="00D00A94">
        <w:t>Letsema</w:t>
      </w:r>
      <w:r w:rsidR="00F25287">
        <w:t xml:space="preserve"> and LandCare</w:t>
      </w:r>
      <w:r w:rsidRPr="00D00A94">
        <w:t>)</w:t>
      </w:r>
      <w:r w:rsidR="004B486A">
        <w:t xml:space="preserve">. </w:t>
      </w:r>
      <w:r w:rsidR="00F25287">
        <w:t xml:space="preserve"> CASP alone accounts for 67% of the conditional grants and 34.5% of the total transfers and subsidies.</w:t>
      </w:r>
      <w:r w:rsidR="00AF45CB">
        <w:t xml:space="preserve"> </w:t>
      </w:r>
      <w:r w:rsidR="00AF45CB" w:rsidRPr="00D00A94">
        <w:t xml:space="preserve">A further allocation </w:t>
      </w:r>
      <w:r w:rsidR="00AF45CB">
        <w:t xml:space="preserve">of </w:t>
      </w:r>
      <w:r w:rsidR="00AF45CB" w:rsidRPr="00D00A94">
        <w:t xml:space="preserve">R1.55 billion (36%) </w:t>
      </w:r>
      <w:r w:rsidR="00AF45CB">
        <w:t>w</w:t>
      </w:r>
      <w:r w:rsidR="00AF45CB" w:rsidRPr="00D00A94">
        <w:t xml:space="preserve">ill be spent mainly on the transfers to departmental </w:t>
      </w:r>
      <w:r w:rsidR="00AF45CB">
        <w:t>entities</w:t>
      </w:r>
      <w:r w:rsidR="00AF45CB" w:rsidRPr="00D00A94">
        <w:t xml:space="preserve"> (i.e. Agricultural Research Council (ARC), National Agricultural Marketing Council (NAMC) and Marine Living Resources Fund (MLRF).</w:t>
      </w:r>
      <w:r w:rsidR="00FA664C">
        <w:t xml:space="preserve"> Other transfers include R21.6 million to the National Student Financial Aid Scheme (NSFAS) for bursaries</w:t>
      </w:r>
      <w:r w:rsidR="00823318">
        <w:t xml:space="preserve"> through Programme 3</w:t>
      </w:r>
      <w:r w:rsidR="00FA664C">
        <w:t xml:space="preserve"> and R1.3 million to the Primary Agriculture Sector Education and Training (AgriSETA) for training.</w:t>
      </w:r>
    </w:p>
    <w:p w14:paraId="46C61B91" w14:textId="77777777" w:rsidR="000652AF" w:rsidRDefault="00A247DB" w:rsidP="001175D3">
      <w:pPr>
        <w:pStyle w:val="ListParagraph"/>
        <w:numPr>
          <w:ilvl w:val="0"/>
          <w:numId w:val="9"/>
        </w:numPr>
        <w:tabs>
          <w:tab w:val="left" w:pos="567"/>
          <w:tab w:val="left" w:pos="2012"/>
        </w:tabs>
        <w:autoSpaceDE w:val="0"/>
        <w:autoSpaceDN w:val="0"/>
        <w:adjustRightInd w:val="0"/>
        <w:spacing w:line="360" w:lineRule="auto"/>
        <w:jc w:val="both"/>
      </w:pPr>
      <w:r w:rsidRPr="008B6F35">
        <w:rPr>
          <w:i/>
        </w:rPr>
        <w:t>Payments for capital assets</w:t>
      </w:r>
      <w:r>
        <w:t xml:space="preserve"> </w:t>
      </w:r>
      <w:r w:rsidR="004B486A">
        <w:t xml:space="preserve">is </w:t>
      </w:r>
      <w:r w:rsidR="006D761D">
        <w:t>R130.6 million</w:t>
      </w:r>
      <w:r w:rsidR="00070EDE">
        <w:t xml:space="preserve"> (</w:t>
      </w:r>
      <w:r w:rsidR="00923B53">
        <w:t>2</w:t>
      </w:r>
      <w:r w:rsidR="00070EDE">
        <w:t>%</w:t>
      </w:r>
      <w:r w:rsidR="00923B53">
        <w:t xml:space="preserve"> of the total vote)</w:t>
      </w:r>
      <w:r w:rsidR="004B486A">
        <w:t xml:space="preserve"> – mainly for buildings and other fixed structures as well as equipment and machinery.  </w:t>
      </w:r>
      <w:r w:rsidR="00057339" w:rsidRPr="00D00A94">
        <w:t xml:space="preserve"> </w:t>
      </w:r>
    </w:p>
    <w:p w14:paraId="391C6491" w14:textId="77777777" w:rsidR="004E1C7B" w:rsidRDefault="004E1C7B" w:rsidP="008B6F35">
      <w:pPr>
        <w:tabs>
          <w:tab w:val="left" w:pos="567"/>
          <w:tab w:val="left" w:pos="2012"/>
        </w:tabs>
        <w:autoSpaceDE w:val="0"/>
        <w:autoSpaceDN w:val="0"/>
        <w:adjustRightInd w:val="0"/>
        <w:spacing w:line="360" w:lineRule="auto"/>
        <w:ind w:left="567" w:hanging="567"/>
        <w:jc w:val="both"/>
        <w:rPr>
          <w:b/>
        </w:rPr>
      </w:pPr>
    </w:p>
    <w:p w14:paraId="114ACED1" w14:textId="77777777" w:rsidR="00FA655C" w:rsidRPr="00DF32E4" w:rsidRDefault="00FE641E" w:rsidP="008B6F35">
      <w:pPr>
        <w:tabs>
          <w:tab w:val="left" w:pos="567"/>
          <w:tab w:val="left" w:pos="2012"/>
        </w:tabs>
        <w:autoSpaceDE w:val="0"/>
        <w:autoSpaceDN w:val="0"/>
        <w:adjustRightInd w:val="0"/>
        <w:spacing w:line="360" w:lineRule="auto"/>
        <w:ind w:left="567" w:hanging="567"/>
        <w:jc w:val="both"/>
        <w:rPr>
          <w:b/>
        </w:rPr>
      </w:pPr>
      <w:r>
        <w:rPr>
          <w:b/>
        </w:rPr>
        <w:t>4</w:t>
      </w:r>
      <w:r w:rsidR="00FA655C">
        <w:rPr>
          <w:b/>
        </w:rPr>
        <w:t xml:space="preserve">.1 </w:t>
      </w:r>
      <w:r w:rsidR="000652AF">
        <w:rPr>
          <w:b/>
        </w:rPr>
        <w:t xml:space="preserve">An Overview of </w:t>
      </w:r>
      <w:r w:rsidR="002D2E78">
        <w:rPr>
          <w:b/>
        </w:rPr>
        <w:t xml:space="preserve">the 2019/20 </w:t>
      </w:r>
      <w:r w:rsidR="00FA655C">
        <w:rPr>
          <w:b/>
        </w:rPr>
        <w:t>B</w:t>
      </w:r>
      <w:r w:rsidR="00CB46DB">
        <w:rPr>
          <w:b/>
        </w:rPr>
        <w:t>udget A</w:t>
      </w:r>
      <w:r w:rsidR="00FA655C">
        <w:rPr>
          <w:b/>
        </w:rPr>
        <w:t>llocations</w:t>
      </w:r>
      <w:r w:rsidR="00CB46DB">
        <w:rPr>
          <w:b/>
        </w:rPr>
        <w:t xml:space="preserve"> and Performance Plans</w:t>
      </w:r>
      <w:r w:rsidR="000652AF">
        <w:rPr>
          <w:b/>
        </w:rPr>
        <w:t xml:space="preserve"> for the Department’s </w:t>
      </w:r>
      <w:r w:rsidR="000652AF" w:rsidRPr="00DF32E4">
        <w:rPr>
          <w:b/>
        </w:rPr>
        <w:t>Programmes</w:t>
      </w:r>
    </w:p>
    <w:p w14:paraId="7DECEDFB" w14:textId="77777777" w:rsidR="00FA655C" w:rsidRPr="00DF32E4" w:rsidRDefault="00FA655C" w:rsidP="008B6F35">
      <w:pPr>
        <w:tabs>
          <w:tab w:val="left" w:pos="567"/>
          <w:tab w:val="left" w:pos="2012"/>
        </w:tabs>
        <w:autoSpaceDE w:val="0"/>
        <w:autoSpaceDN w:val="0"/>
        <w:adjustRightInd w:val="0"/>
        <w:spacing w:line="360" w:lineRule="auto"/>
        <w:ind w:left="567" w:hanging="567"/>
        <w:jc w:val="both"/>
        <w:rPr>
          <w:b/>
        </w:rPr>
      </w:pPr>
    </w:p>
    <w:p w14:paraId="0572B005" w14:textId="77777777" w:rsidR="000652AF" w:rsidRPr="00DF32E4" w:rsidRDefault="000652AF" w:rsidP="008B6F35">
      <w:pPr>
        <w:tabs>
          <w:tab w:val="left" w:pos="567"/>
          <w:tab w:val="left" w:pos="2012"/>
        </w:tabs>
        <w:autoSpaceDE w:val="0"/>
        <w:autoSpaceDN w:val="0"/>
        <w:adjustRightInd w:val="0"/>
        <w:spacing w:line="360" w:lineRule="auto"/>
        <w:ind w:left="567" w:hanging="567"/>
        <w:jc w:val="both"/>
        <w:rPr>
          <w:b/>
        </w:rPr>
      </w:pPr>
      <w:r w:rsidRPr="00DF32E4">
        <w:rPr>
          <w:b/>
        </w:rPr>
        <w:t>Programme 1: Administration</w:t>
      </w:r>
    </w:p>
    <w:p w14:paraId="1BD770C8" w14:textId="77777777" w:rsidR="00DF32E4" w:rsidRPr="008B6F35" w:rsidRDefault="00DF32E4" w:rsidP="008B6F35">
      <w:pPr>
        <w:tabs>
          <w:tab w:val="left" w:pos="567"/>
          <w:tab w:val="left" w:pos="2012"/>
        </w:tabs>
        <w:autoSpaceDE w:val="0"/>
        <w:autoSpaceDN w:val="0"/>
        <w:adjustRightInd w:val="0"/>
        <w:spacing w:line="360" w:lineRule="auto"/>
        <w:ind w:left="567" w:hanging="567"/>
        <w:jc w:val="both"/>
        <w:rPr>
          <w:rFonts w:cs="Arial"/>
        </w:rPr>
      </w:pPr>
      <w:r w:rsidRPr="008B6F35">
        <w:t xml:space="preserve">The Programme’s purpose is to provide </w:t>
      </w:r>
      <w:r w:rsidRPr="008B6F35">
        <w:rPr>
          <w:rFonts w:cs="Arial"/>
        </w:rPr>
        <w:t>strategic leadership, management and support</w:t>
      </w:r>
      <w:r w:rsidR="00E9277C">
        <w:rPr>
          <w:rFonts w:cs="Arial"/>
        </w:rPr>
        <w:t xml:space="preserve"> </w:t>
      </w:r>
    </w:p>
    <w:p w14:paraId="330E6EA4" w14:textId="77777777" w:rsidR="00DF32E4" w:rsidRDefault="00DF32E4" w:rsidP="008B6F35">
      <w:pPr>
        <w:tabs>
          <w:tab w:val="left" w:pos="2012"/>
        </w:tabs>
        <w:autoSpaceDE w:val="0"/>
        <w:autoSpaceDN w:val="0"/>
        <w:adjustRightInd w:val="0"/>
        <w:spacing w:line="360" w:lineRule="auto"/>
        <w:jc w:val="both"/>
        <w:rPr>
          <w:rFonts w:cs="Arial"/>
        </w:rPr>
      </w:pPr>
      <w:r w:rsidRPr="008B6F35">
        <w:rPr>
          <w:rFonts w:cs="Arial"/>
        </w:rPr>
        <w:t xml:space="preserve">services to the </w:t>
      </w:r>
      <w:r>
        <w:rPr>
          <w:rFonts w:cs="Arial"/>
        </w:rPr>
        <w:t>D</w:t>
      </w:r>
      <w:r w:rsidRPr="008B6F35">
        <w:rPr>
          <w:rFonts w:cs="Arial"/>
        </w:rPr>
        <w:t xml:space="preserve">epartment. It comprises of the </w:t>
      </w:r>
      <w:r>
        <w:rPr>
          <w:rFonts w:cs="Arial"/>
        </w:rPr>
        <w:t xml:space="preserve">following sub-programmes: </w:t>
      </w:r>
      <w:r w:rsidRPr="008B6F35">
        <w:rPr>
          <w:rFonts w:cs="Arial"/>
        </w:rPr>
        <w:t xml:space="preserve">Ministry, </w:t>
      </w:r>
      <w:r w:rsidRPr="003077E3">
        <w:rPr>
          <w:rFonts w:cs="Arial"/>
        </w:rPr>
        <w:t xml:space="preserve">Department Management, </w:t>
      </w:r>
      <w:r w:rsidRPr="00BE4B7C">
        <w:rPr>
          <w:rFonts w:cs="Arial"/>
        </w:rPr>
        <w:t xml:space="preserve">Financial </w:t>
      </w:r>
      <w:r w:rsidRPr="008B6F35">
        <w:rPr>
          <w:rFonts w:cs="Arial"/>
        </w:rPr>
        <w:t>Administration, Internal Audit, Corporate Services, Stakeholder Relations, Communications and Legal Services, and Policy, Planning and Monitoring and Evaluation.</w:t>
      </w:r>
      <w:r w:rsidR="00E9277C">
        <w:rPr>
          <w:rFonts w:cs="Arial"/>
        </w:rPr>
        <w:t xml:space="preserve"> </w:t>
      </w:r>
    </w:p>
    <w:p w14:paraId="4BB75614" w14:textId="77777777" w:rsidR="00E9277C" w:rsidRDefault="00E9277C" w:rsidP="008B6F35">
      <w:pPr>
        <w:tabs>
          <w:tab w:val="left" w:pos="2012"/>
        </w:tabs>
        <w:autoSpaceDE w:val="0"/>
        <w:autoSpaceDN w:val="0"/>
        <w:adjustRightInd w:val="0"/>
        <w:spacing w:line="360" w:lineRule="auto"/>
        <w:jc w:val="both"/>
        <w:rPr>
          <w:b/>
        </w:rPr>
      </w:pPr>
    </w:p>
    <w:p w14:paraId="536E2890" w14:textId="77777777" w:rsidR="00813547" w:rsidRDefault="00B355DD" w:rsidP="008B6F35">
      <w:pPr>
        <w:tabs>
          <w:tab w:val="left" w:pos="2012"/>
        </w:tabs>
        <w:autoSpaceDE w:val="0"/>
        <w:autoSpaceDN w:val="0"/>
        <w:adjustRightInd w:val="0"/>
        <w:spacing w:line="360" w:lineRule="auto"/>
        <w:jc w:val="both"/>
      </w:pPr>
      <w:r>
        <w:t>T</w:t>
      </w:r>
      <w:r w:rsidR="00963EEB" w:rsidRPr="008B6F35">
        <w:t xml:space="preserve">he </w:t>
      </w:r>
      <w:r w:rsidR="00963EEB" w:rsidRPr="00963EEB">
        <w:t>Financial</w:t>
      </w:r>
      <w:r w:rsidR="00963EEB" w:rsidRPr="008B6F35">
        <w:t xml:space="preserve"> Administration sub-programme</w:t>
      </w:r>
      <w:r>
        <w:t xml:space="preserve"> accounts for approximately </w:t>
      </w:r>
      <w:r w:rsidRPr="00381C05">
        <w:t xml:space="preserve">24% </w:t>
      </w:r>
      <w:r>
        <w:t xml:space="preserve">(R221.8 million) </w:t>
      </w:r>
      <w:r w:rsidRPr="00381C05">
        <w:t xml:space="preserve">of the total appropriation to </w:t>
      </w:r>
      <w:r w:rsidR="00CD1CF0">
        <w:t>Administration</w:t>
      </w:r>
      <w:r>
        <w:t xml:space="preserve">, followed by Corporate Services and Office Accommodation sub-programmes (each allocated R202 million, which is 22% of the Programme’s planned expenditure). </w:t>
      </w:r>
      <w:r w:rsidR="00CD1CF0">
        <w:t xml:space="preserve">Compensation of employees accounts for 54% of the Programme’s total budget for 2019/20. </w:t>
      </w:r>
      <w:r>
        <w:t xml:space="preserve">The key planned targets under Programme 1 </w:t>
      </w:r>
      <w:r w:rsidR="0009745A">
        <w:t xml:space="preserve">include the submission of 2 pieces of legislation to the Minister, namely, the Marketing of Agricultural Products Amendment Bill and the Preservation and Development of Agricultural Land Bill; 80% of invoices paid within 30 days; implementation of the Risk Management Strategy and report on Sector Economic and Statistical Outlook. </w:t>
      </w:r>
      <w:r w:rsidR="005361E8">
        <w:t xml:space="preserve"> </w:t>
      </w:r>
    </w:p>
    <w:p w14:paraId="4416FA59" w14:textId="77777777" w:rsidR="00813547" w:rsidRDefault="00813547" w:rsidP="008B6F35">
      <w:pPr>
        <w:tabs>
          <w:tab w:val="left" w:pos="2012"/>
        </w:tabs>
        <w:autoSpaceDE w:val="0"/>
        <w:autoSpaceDN w:val="0"/>
        <w:adjustRightInd w:val="0"/>
        <w:spacing w:line="360" w:lineRule="auto"/>
        <w:jc w:val="both"/>
      </w:pPr>
    </w:p>
    <w:p w14:paraId="408F0099" w14:textId="77777777" w:rsidR="00963EEB" w:rsidRDefault="00813547" w:rsidP="008B6F35">
      <w:pPr>
        <w:tabs>
          <w:tab w:val="left" w:pos="2012"/>
        </w:tabs>
        <w:autoSpaceDE w:val="0"/>
        <w:autoSpaceDN w:val="0"/>
        <w:adjustRightInd w:val="0"/>
        <w:spacing w:line="360" w:lineRule="auto"/>
        <w:jc w:val="both"/>
      </w:pPr>
      <w:r>
        <w:t>As previously indicated, t</w:t>
      </w:r>
      <w:r w:rsidR="00D45B7A">
        <w:t>he Department is viewed as having a challenge with the review of old and outdated legislation</w:t>
      </w:r>
      <w:r>
        <w:t xml:space="preserve"> including development of new legislation</w:t>
      </w:r>
      <w:r w:rsidR="00D45B7A">
        <w:t xml:space="preserve">, for example, the review of the Marketing of Agricultural Products Amendment Bill has been in the pipeline for most of the entire Fifth Parliament. The same is true for the Perishable </w:t>
      </w:r>
      <w:r>
        <w:t xml:space="preserve">Products </w:t>
      </w:r>
      <w:r w:rsidR="00D45B7A">
        <w:t>Export Control Amendment Bill</w:t>
      </w:r>
      <w:r>
        <w:t xml:space="preserve"> and </w:t>
      </w:r>
      <w:r w:rsidR="00D45B7A">
        <w:t>the Agricultural Products Standard Amendment Bill</w:t>
      </w:r>
      <w:r>
        <w:t xml:space="preserve"> that both mandates and guide the activities of the Perishable Products Export Control Board (PPECB). The two Bills, including the </w:t>
      </w:r>
      <w:r w:rsidR="00D45B7A">
        <w:t>Agricultural Produce Agents Amendment Bill, the Fertilisers Bill and the Feeds and Pet Food Bill</w:t>
      </w:r>
      <w:r>
        <w:t xml:space="preserve"> have been in the Department’s past Strategic Plans for submission to Minister and have eventually disappeared from the Department’s Annual Plans without introduction in Parliament.</w:t>
      </w:r>
      <w:r w:rsidR="00B70FF9">
        <w:t xml:space="preserve"> </w:t>
      </w:r>
    </w:p>
    <w:p w14:paraId="4916C65F" w14:textId="77777777" w:rsidR="00B70FF9" w:rsidRDefault="00B70FF9" w:rsidP="008B6F35">
      <w:pPr>
        <w:tabs>
          <w:tab w:val="left" w:pos="2012"/>
        </w:tabs>
        <w:autoSpaceDE w:val="0"/>
        <w:autoSpaceDN w:val="0"/>
        <w:adjustRightInd w:val="0"/>
        <w:spacing w:line="360" w:lineRule="auto"/>
        <w:jc w:val="both"/>
      </w:pPr>
    </w:p>
    <w:p w14:paraId="09C50DB8" w14:textId="77777777" w:rsidR="00B70FF9" w:rsidRDefault="00B70FF9" w:rsidP="008B6F35">
      <w:pPr>
        <w:tabs>
          <w:tab w:val="left" w:pos="2012"/>
        </w:tabs>
        <w:autoSpaceDE w:val="0"/>
        <w:autoSpaceDN w:val="0"/>
        <w:adjustRightInd w:val="0"/>
        <w:spacing w:line="360" w:lineRule="auto"/>
        <w:jc w:val="both"/>
      </w:pPr>
      <w:r>
        <w:t>In April 2018, DAFF signed a memorandum of understanding with Statistics South Africa (StatsSA) to conduct an Agricultural Census, which was last done in 2007</w:t>
      </w:r>
      <w:r w:rsidR="00CD1775">
        <w:t>;</w:t>
      </w:r>
      <w:r>
        <w:t xml:space="preserve"> and to develop a Farmer Register to create a valid database of smallholder and subsistence farmers. An amount of R241 million was allocated for the Census (R90 million in 2018/19; R100 million in 2019/20 and R51 million in 2020/21) and DAFF was to oversee the implementation process. This is not included in the Department’s APP although 2019/20 is the second </w:t>
      </w:r>
      <w:r w:rsidR="004C2FAA">
        <w:t xml:space="preserve">implementation </w:t>
      </w:r>
      <w:r>
        <w:t xml:space="preserve">year of the Census. </w:t>
      </w:r>
    </w:p>
    <w:p w14:paraId="67AC1233" w14:textId="77777777" w:rsidR="00B70FF9" w:rsidRPr="008B6F35" w:rsidRDefault="00B70FF9" w:rsidP="008B6F35">
      <w:pPr>
        <w:tabs>
          <w:tab w:val="left" w:pos="2012"/>
        </w:tabs>
        <w:autoSpaceDE w:val="0"/>
        <w:autoSpaceDN w:val="0"/>
        <w:adjustRightInd w:val="0"/>
        <w:spacing w:line="360" w:lineRule="auto"/>
        <w:jc w:val="both"/>
      </w:pPr>
    </w:p>
    <w:p w14:paraId="4F431DDF" w14:textId="77777777" w:rsidR="00CB506C" w:rsidRPr="003077E3" w:rsidRDefault="00CB506C" w:rsidP="008B6F35">
      <w:pPr>
        <w:spacing w:line="360" w:lineRule="auto"/>
        <w:jc w:val="both"/>
      </w:pPr>
      <w:r w:rsidRPr="003077E3">
        <w:rPr>
          <w:b/>
        </w:rPr>
        <w:t xml:space="preserve">Programme </w:t>
      </w:r>
      <w:r w:rsidRPr="00BE4B7C">
        <w:rPr>
          <w:b/>
        </w:rPr>
        <w:t xml:space="preserve">2: </w:t>
      </w:r>
      <w:r w:rsidRPr="008B6F35">
        <w:rPr>
          <w:b/>
        </w:rPr>
        <w:t>Agricultural Production, Health and Food Safety</w:t>
      </w:r>
      <w:r w:rsidRPr="003077E3">
        <w:t xml:space="preserve"> </w:t>
      </w:r>
    </w:p>
    <w:p w14:paraId="5CDDCAB4" w14:textId="77777777" w:rsidR="00CB506C" w:rsidRDefault="003077E3" w:rsidP="008B6F35">
      <w:pPr>
        <w:spacing w:line="360" w:lineRule="auto"/>
        <w:jc w:val="both"/>
        <w:rPr>
          <w:rFonts w:cs="Arial"/>
        </w:rPr>
      </w:pPr>
      <w:r w:rsidRPr="003077E3">
        <w:t xml:space="preserve">The purpose of the Programme is to </w:t>
      </w:r>
      <w:r w:rsidRPr="008B6F35">
        <w:rPr>
          <w:rFonts w:cs="Arial"/>
          <w:bCs/>
          <w:lang w:eastAsia="en-ZA"/>
        </w:rPr>
        <w:t>p</w:t>
      </w:r>
      <w:r w:rsidRPr="008B6F35">
        <w:rPr>
          <w:rFonts w:cs="Arial"/>
        </w:rPr>
        <w:t xml:space="preserve">romote agricultural production through the management of risks associated with animal diseases, plant pests, genetically modified organisms (GMOs) and registration of products used in agriculture. Its aim is to promote food safety and create an enabling environment for increased and sustainable agricultural production. </w:t>
      </w:r>
      <w:r w:rsidR="00BE4B7C" w:rsidRPr="00BE4B7C">
        <w:rPr>
          <w:rFonts w:cs="Arial"/>
        </w:rPr>
        <w:t xml:space="preserve">It </w:t>
      </w:r>
      <w:r w:rsidRPr="008B6F35">
        <w:rPr>
          <w:rFonts w:cs="Arial"/>
        </w:rPr>
        <w:t xml:space="preserve">comprises </w:t>
      </w:r>
      <w:r w:rsidR="00BE4B7C" w:rsidRPr="00BE4B7C">
        <w:rPr>
          <w:rFonts w:cs="Arial"/>
        </w:rPr>
        <w:t>four</w:t>
      </w:r>
      <w:r w:rsidRPr="008B6F35">
        <w:rPr>
          <w:rFonts w:cs="Arial"/>
        </w:rPr>
        <w:t xml:space="preserve"> sub</w:t>
      </w:r>
      <w:r w:rsidR="00BE4B7C" w:rsidRPr="00BE4B7C">
        <w:rPr>
          <w:rFonts w:cs="Arial"/>
        </w:rPr>
        <w:t>-</w:t>
      </w:r>
      <w:r w:rsidRPr="008B6F35">
        <w:rPr>
          <w:rFonts w:cs="Arial"/>
        </w:rPr>
        <w:t xml:space="preserve">programmes, namely, </w:t>
      </w:r>
      <w:r w:rsidR="00BE4B7C" w:rsidRPr="00BE4B7C">
        <w:rPr>
          <w:rFonts w:cs="Arial"/>
        </w:rPr>
        <w:t xml:space="preserve">Management, </w:t>
      </w:r>
      <w:r w:rsidRPr="008B6F35">
        <w:rPr>
          <w:rFonts w:cs="Arial"/>
        </w:rPr>
        <w:t>Plant Production and Health, Animal Production and Health a</w:t>
      </w:r>
      <w:r w:rsidR="00DC4FC6">
        <w:rPr>
          <w:rFonts w:cs="Arial"/>
        </w:rPr>
        <w:t xml:space="preserve">s well as </w:t>
      </w:r>
      <w:r w:rsidRPr="008B6F35">
        <w:rPr>
          <w:rFonts w:cs="Arial"/>
        </w:rPr>
        <w:t>Inspection a</w:t>
      </w:r>
      <w:r w:rsidR="00DC4FC6">
        <w:rPr>
          <w:rFonts w:cs="Arial"/>
        </w:rPr>
        <w:t xml:space="preserve">nd </w:t>
      </w:r>
      <w:r w:rsidRPr="008B6F35">
        <w:rPr>
          <w:rFonts w:cs="Arial"/>
        </w:rPr>
        <w:t>Quarantine</w:t>
      </w:r>
      <w:r w:rsidR="00BE4B7C" w:rsidRPr="00BE4B7C">
        <w:rPr>
          <w:rFonts w:cs="Arial"/>
        </w:rPr>
        <w:t xml:space="preserve">/Laboratory </w:t>
      </w:r>
      <w:r w:rsidRPr="008B6F35">
        <w:rPr>
          <w:rFonts w:cs="Arial"/>
        </w:rPr>
        <w:t>Services.</w:t>
      </w:r>
      <w:r w:rsidR="00DC4FC6">
        <w:rPr>
          <w:rFonts w:cs="Arial"/>
        </w:rPr>
        <w:t xml:space="preserve"> </w:t>
      </w:r>
    </w:p>
    <w:p w14:paraId="43B63B4D" w14:textId="77777777" w:rsidR="005361E8" w:rsidRDefault="00DC4FC6" w:rsidP="008B6F35">
      <w:pPr>
        <w:spacing w:line="360" w:lineRule="auto"/>
        <w:jc w:val="both"/>
        <w:rPr>
          <w:rFonts w:cs="Arial"/>
        </w:rPr>
      </w:pPr>
      <w:r>
        <w:rPr>
          <w:rFonts w:cs="Arial"/>
        </w:rPr>
        <w:t xml:space="preserve">Programme 2 receives the highest budget allocation from the </w:t>
      </w:r>
      <w:r w:rsidR="00375C5E">
        <w:rPr>
          <w:rFonts w:cs="Arial"/>
        </w:rPr>
        <w:t xml:space="preserve">total </w:t>
      </w:r>
      <w:r>
        <w:rPr>
          <w:rFonts w:cs="Arial"/>
        </w:rPr>
        <w:t>Vote (33.5%)</w:t>
      </w:r>
      <w:r w:rsidR="00375C5E">
        <w:rPr>
          <w:rFonts w:cs="Arial"/>
        </w:rPr>
        <w:t xml:space="preserve">. Approximately 68% of the Programme’s budget is for transfers and subsidies, which mainly constitutes transfers to the Agricultural Research Council (ARC) and Ilima/Letsema grant for household food production. </w:t>
      </w:r>
    </w:p>
    <w:p w14:paraId="410DBFA1" w14:textId="77777777" w:rsidR="005361E8" w:rsidRDefault="005361E8" w:rsidP="008B6F35">
      <w:pPr>
        <w:spacing w:line="360" w:lineRule="auto"/>
        <w:jc w:val="both"/>
        <w:rPr>
          <w:rFonts w:cs="Arial"/>
        </w:rPr>
      </w:pPr>
    </w:p>
    <w:p w14:paraId="477D6857" w14:textId="77777777" w:rsidR="00DC4FC6" w:rsidRPr="00BE4B7C" w:rsidRDefault="00375C5E" w:rsidP="008B6F35">
      <w:pPr>
        <w:spacing w:line="360" w:lineRule="auto"/>
        <w:jc w:val="both"/>
      </w:pPr>
      <w:r>
        <w:rPr>
          <w:rFonts w:cs="Arial"/>
        </w:rPr>
        <w:t xml:space="preserve">The transfer of R1.2 billion to the ARC accounts for 46% of the Programme’s budget for 2019/20. </w:t>
      </w:r>
      <w:r w:rsidR="00F71DB5">
        <w:rPr>
          <w:rFonts w:cs="Arial"/>
        </w:rPr>
        <w:t xml:space="preserve">Approximately 26% of the total budget of the Programme will go to compensation of employees. The key annual targets for Programme 2 include </w:t>
      </w:r>
      <w:r w:rsidR="005361E8">
        <w:rPr>
          <w:rFonts w:cs="Arial"/>
        </w:rPr>
        <w:t xml:space="preserve">inter alia </w:t>
      </w:r>
      <w:r w:rsidR="00F71DB5">
        <w:rPr>
          <w:rFonts w:cs="Arial"/>
        </w:rPr>
        <w:t xml:space="preserve">the implementation of the Kaonafatso ya Dikgomo (red meat value chain) and the poultry schemes (poultry value chain); </w:t>
      </w:r>
      <w:r w:rsidR="0054490C">
        <w:rPr>
          <w:rFonts w:cs="Arial"/>
        </w:rPr>
        <w:t>risk surveillance for foot-and-mouth disease (FMD)</w:t>
      </w:r>
      <w:r w:rsidR="00F71DB5">
        <w:rPr>
          <w:rFonts w:cs="Arial"/>
        </w:rPr>
        <w:t xml:space="preserve"> </w:t>
      </w:r>
      <w:r w:rsidR="0054490C">
        <w:rPr>
          <w:rFonts w:cs="Arial"/>
        </w:rPr>
        <w:t xml:space="preserve">and </w:t>
      </w:r>
      <w:r w:rsidR="0054490C" w:rsidRPr="008B6F35">
        <w:rPr>
          <w:rFonts w:cs="Arial"/>
          <w:i/>
        </w:rPr>
        <w:t>Peste des Petits Ruminants</w:t>
      </w:r>
      <w:r w:rsidR="00591E35">
        <w:rPr>
          <w:rFonts w:cs="Arial"/>
        </w:rPr>
        <w:t xml:space="preserve"> (PPR – highly contagious sheep and goat plague)</w:t>
      </w:r>
      <w:r w:rsidR="0054490C">
        <w:rPr>
          <w:rFonts w:cs="Arial"/>
        </w:rPr>
        <w:t>; exotic fruit fly surveillance; deployment of 189 veterinary graduates through the Compulsory Community Service (CCS) programme</w:t>
      </w:r>
      <w:r w:rsidR="005361E8">
        <w:rPr>
          <w:rFonts w:cs="Arial"/>
        </w:rPr>
        <w:t xml:space="preserve"> and</w:t>
      </w:r>
      <w:r w:rsidR="00936021">
        <w:rPr>
          <w:rFonts w:cs="Arial"/>
        </w:rPr>
        <w:t xml:space="preserve"> implementation of 27 export protocols for phytosanitary requirements</w:t>
      </w:r>
      <w:r w:rsidR="005361E8">
        <w:rPr>
          <w:rFonts w:cs="Arial"/>
        </w:rPr>
        <w:t xml:space="preserve">. The Committee appreciated the deployment of veterinarians through the CCS programme but lamented lack of access to veterinary services by most </w:t>
      </w:r>
      <w:r w:rsidR="009442F2">
        <w:rPr>
          <w:rFonts w:cs="Arial"/>
        </w:rPr>
        <w:t xml:space="preserve">rural </w:t>
      </w:r>
      <w:r w:rsidR="005361E8">
        <w:rPr>
          <w:rFonts w:cs="Arial"/>
        </w:rPr>
        <w:t xml:space="preserve">communities and smallholder farmers including shortage of veterinarians in most districts. </w:t>
      </w:r>
    </w:p>
    <w:p w14:paraId="3118BE2E" w14:textId="77777777" w:rsidR="003077E3" w:rsidRPr="00BA48FD" w:rsidRDefault="003077E3" w:rsidP="008B6F35">
      <w:pPr>
        <w:spacing w:line="360" w:lineRule="auto"/>
        <w:jc w:val="both"/>
      </w:pPr>
    </w:p>
    <w:p w14:paraId="1D44A5C2" w14:textId="77777777" w:rsidR="00CB506C" w:rsidRPr="008B6F35" w:rsidRDefault="00CB506C" w:rsidP="008B6F35">
      <w:pPr>
        <w:spacing w:line="360" w:lineRule="auto"/>
        <w:jc w:val="both"/>
        <w:rPr>
          <w:b/>
        </w:rPr>
      </w:pPr>
      <w:r w:rsidRPr="008B6F35">
        <w:rPr>
          <w:b/>
        </w:rPr>
        <w:t xml:space="preserve">Programme 3: Food Security and Agrarian Reform </w:t>
      </w:r>
    </w:p>
    <w:p w14:paraId="6D97BC0C" w14:textId="77777777" w:rsidR="00CB506C" w:rsidRPr="00BE4B7C" w:rsidRDefault="00BE4B7C" w:rsidP="008B6F35">
      <w:pPr>
        <w:spacing w:line="360" w:lineRule="auto"/>
        <w:jc w:val="both"/>
      </w:pPr>
      <w:r w:rsidRPr="00BE4B7C">
        <w:t xml:space="preserve">Its purpose is to </w:t>
      </w:r>
      <w:r w:rsidRPr="008B6F35">
        <w:rPr>
          <w:rFonts w:cs="Arial"/>
        </w:rPr>
        <w:t xml:space="preserve">facilitate and promote food security and agrarian reform programmes. It comprises of Management, Food Security, Sector Capacity Development and National </w:t>
      </w:r>
      <w:r>
        <w:rPr>
          <w:rFonts w:cs="Arial"/>
        </w:rPr>
        <w:t>E</w:t>
      </w:r>
      <w:r w:rsidRPr="008B6F35">
        <w:rPr>
          <w:rFonts w:cs="Arial"/>
        </w:rPr>
        <w:t>xtension Support Services.</w:t>
      </w:r>
    </w:p>
    <w:p w14:paraId="7115F784" w14:textId="77777777" w:rsidR="00A47C72" w:rsidRDefault="00A930F9" w:rsidP="008B6F35">
      <w:pPr>
        <w:spacing w:line="360" w:lineRule="auto"/>
        <w:jc w:val="both"/>
      </w:pPr>
      <w:r>
        <w:t>As provinces and other agencies are responsible for implementation of most activities under this Programme, transfers and subsidies account for 86% of its total budget</w:t>
      </w:r>
      <w:r w:rsidR="008F0C71">
        <w:t>, which is spread out across its 3 core sub-programmes (except Management)</w:t>
      </w:r>
      <w:r>
        <w:t>. This necessitates strengthened monitoring and evaluation</w:t>
      </w:r>
      <w:r w:rsidR="00882EB9">
        <w:t xml:space="preserve"> systems</w:t>
      </w:r>
      <w:r>
        <w:t xml:space="preserve"> within the Programme to ensure efficient utilisation and management of such funds including policy implementation. </w:t>
      </w:r>
    </w:p>
    <w:p w14:paraId="72C5772A" w14:textId="77777777" w:rsidR="00A47C72" w:rsidRDefault="00A47C72" w:rsidP="008B6F35">
      <w:pPr>
        <w:spacing w:line="360" w:lineRule="auto"/>
        <w:jc w:val="both"/>
      </w:pPr>
    </w:p>
    <w:p w14:paraId="1C797BF9" w14:textId="77777777" w:rsidR="00FE2C95" w:rsidRDefault="00190019" w:rsidP="008B6F35">
      <w:pPr>
        <w:spacing w:line="360" w:lineRule="auto"/>
        <w:jc w:val="both"/>
      </w:pPr>
      <w:r>
        <w:t xml:space="preserve">Approximately 8% of the Programme’s budget is for compensation of employees. </w:t>
      </w:r>
      <w:r w:rsidR="00A930F9">
        <w:t>Of the R1.9 billion for transfers and subsidies under Programme 3, approximately R1.5 billion goes to CASP (</w:t>
      </w:r>
      <w:r w:rsidR="005946FC">
        <w:t xml:space="preserve">i.e. </w:t>
      </w:r>
      <w:r w:rsidR="00A930F9">
        <w:t>77% of transfers and subsidies under Programme 3).  The rest (R417.7 million</w:t>
      </w:r>
      <w:r w:rsidR="005C181C">
        <w:t xml:space="preserve"> for R2019/20 and R1 billion for the MTEF period)</w:t>
      </w:r>
      <w:r w:rsidR="00A930F9">
        <w:t xml:space="preserve"> is transferred </w:t>
      </w:r>
      <w:r w:rsidR="00FE2C95" w:rsidRPr="00BA48FD">
        <w:t>to the Land and Agricultural Development Bank of South Africa (Land Bank)</w:t>
      </w:r>
      <w:r w:rsidR="005C181C">
        <w:t xml:space="preserve"> for the commercialisation of black producers</w:t>
      </w:r>
      <w:r w:rsidR="00882EB9">
        <w:t>. CASP transfers, which constitute 66% of the total budget of Programme 3 are mainly for infrastructure</w:t>
      </w:r>
      <w:r w:rsidR="005E0F82">
        <w:t xml:space="preserve"> development</w:t>
      </w:r>
      <w:r w:rsidR="005C181C">
        <w:t xml:space="preserve"> </w:t>
      </w:r>
      <w:r w:rsidR="00882EB9">
        <w:t>(R1 billion),</w:t>
      </w:r>
      <w:r w:rsidR="005A63DC">
        <w:t xml:space="preserve"> E</w:t>
      </w:r>
      <w:r w:rsidR="00882EB9">
        <w:t xml:space="preserve">xtension Recovery Programme (ERP – R368.6 million) and upgrading of Provincial Agricultural Colleges (R76.6 million). </w:t>
      </w:r>
      <w:r w:rsidR="005946FC">
        <w:t xml:space="preserve"> </w:t>
      </w:r>
      <w:r w:rsidR="00751440">
        <w:t xml:space="preserve">In line with the NDP mandate to develop infrastructure, </w:t>
      </w:r>
      <w:r w:rsidR="005A63DC">
        <w:t xml:space="preserve">71% of the CASP grant </w:t>
      </w:r>
      <w:r w:rsidR="00751440">
        <w:t>allocation under Programme 3 is for infrastructure development. T</w:t>
      </w:r>
      <w:r w:rsidR="005946FC">
        <w:t xml:space="preserve">he </w:t>
      </w:r>
      <w:r w:rsidR="005C181C">
        <w:t xml:space="preserve">R21.6 million that DAFF transfers to NSFAS is also transferred through Programme 3. </w:t>
      </w:r>
    </w:p>
    <w:p w14:paraId="7B95C0B7" w14:textId="77777777" w:rsidR="005C181C" w:rsidRDefault="005C181C" w:rsidP="008B6F35">
      <w:pPr>
        <w:spacing w:line="360" w:lineRule="auto"/>
        <w:jc w:val="both"/>
      </w:pPr>
    </w:p>
    <w:p w14:paraId="3B0F34B3" w14:textId="77777777" w:rsidR="00C7698A" w:rsidRPr="00E949C0" w:rsidRDefault="00C7698A" w:rsidP="008B6F35">
      <w:pPr>
        <w:spacing w:line="360" w:lineRule="auto"/>
        <w:jc w:val="both"/>
      </w:pPr>
      <w:r>
        <w:t xml:space="preserve">For the 2019/20 financial year, the Department plans to finalise and table to Cabinet, the National Policy on Comprehensive Producer Development Support; develop quarterly reports on food and nutrition security interventions; annual report on the deployment of Extension Practitioners to commodity organisations for skills development (20 practitioners per year); </w:t>
      </w:r>
      <w:r w:rsidR="006077DE">
        <w:t>monitoring the placement of unemployed graduates for capacity building (1 000 bi-annually); number of hectares planted (target</w:t>
      </w:r>
      <w:r w:rsidR="00A47C72">
        <w:t xml:space="preserve">: </w:t>
      </w:r>
      <w:r w:rsidR="006077DE">
        <w:t>109 534 ha for 2019/20) and number of households (target</w:t>
      </w:r>
      <w:r w:rsidR="00A47C72">
        <w:t>;</w:t>
      </w:r>
      <w:r w:rsidR="006077DE">
        <w:t xml:space="preserve"> 86 256 HHs for 2019/20) supported by provinces for food production initiatives; number of smallholder producers (target</w:t>
      </w:r>
      <w:r w:rsidR="00A47C72">
        <w:t>:</w:t>
      </w:r>
      <w:r w:rsidR="006077DE">
        <w:t xml:space="preserve"> 26 200 for 2019/20) supported and an annual progress report on the commercialisation of black producers</w:t>
      </w:r>
      <w:r w:rsidR="00FD7C75">
        <w:t xml:space="preserve"> (100 farmers per year for 2019/20)</w:t>
      </w:r>
      <w:r w:rsidR="006077DE">
        <w:t xml:space="preserve">. </w:t>
      </w:r>
      <w:r w:rsidR="00F7499D">
        <w:t xml:space="preserve">The Committee </w:t>
      </w:r>
      <w:r w:rsidR="00A64BFD" w:rsidRPr="00E949C0">
        <w:t xml:space="preserve">questioned the </w:t>
      </w:r>
      <w:r w:rsidR="00E949C0" w:rsidRPr="00E949C0">
        <w:t>basis for th</w:t>
      </w:r>
      <w:r w:rsidR="00A64BFD" w:rsidRPr="00E949C0">
        <w:t xml:space="preserve">e placement of only 20 extension practitioners for skills development </w:t>
      </w:r>
      <w:r w:rsidR="00A64BFD" w:rsidRPr="008D6894">
        <w:t>given the extent of the challenges associated with provision of quality technical support to producers</w:t>
      </w:r>
      <w:r w:rsidR="00A64BFD" w:rsidRPr="00653F8A">
        <w:t xml:space="preserve"> and lack of it thereof.</w:t>
      </w:r>
      <w:r w:rsidR="00A64BFD" w:rsidRPr="00565D83">
        <w:t xml:space="preserve"> The Committee further</w:t>
      </w:r>
      <w:r w:rsidR="00A64BFD" w:rsidRPr="003D7388">
        <w:t xml:space="preserve"> </w:t>
      </w:r>
      <w:r w:rsidR="00F7499D" w:rsidRPr="003D7388">
        <w:t>raised a concern with</w:t>
      </w:r>
      <w:r w:rsidR="00A64BFD" w:rsidRPr="002D4AC0">
        <w:t xml:space="preserve"> the </w:t>
      </w:r>
      <w:r w:rsidR="00A64BFD" w:rsidRPr="00910D41">
        <w:t>use of</w:t>
      </w:r>
      <w:r w:rsidR="00F7499D" w:rsidRPr="0087418C">
        <w:t xml:space="preserve"> reports as targets and absence of a monitoring and evaluation framework given that </w:t>
      </w:r>
      <w:r w:rsidR="00F7499D" w:rsidRPr="00BD26BC">
        <w:t xml:space="preserve">86% of the Programme’s budget is transferred to provinces and/or other entities. </w:t>
      </w:r>
      <w:r w:rsidR="00E949C0" w:rsidRPr="00BD26BC">
        <w:t xml:space="preserve">In 2015, </w:t>
      </w:r>
      <w:r w:rsidR="00E949C0" w:rsidRPr="008B6F35">
        <w:rPr>
          <w:rFonts w:cs="Arial"/>
          <w:lang w:val="en-ZA"/>
        </w:rPr>
        <w:t>the Department retain</w:t>
      </w:r>
      <w:r w:rsidR="00E949C0">
        <w:rPr>
          <w:rFonts w:cs="Arial"/>
          <w:lang w:val="en-ZA"/>
        </w:rPr>
        <w:t xml:space="preserve">ed </w:t>
      </w:r>
      <w:r w:rsidR="00E949C0" w:rsidRPr="008B6F35">
        <w:rPr>
          <w:rFonts w:cs="Arial"/>
          <w:lang w:val="en-ZA"/>
        </w:rPr>
        <w:t>R60 million</w:t>
      </w:r>
      <w:r w:rsidR="00E8379F">
        <w:rPr>
          <w:rFonts w:cs="Arial"/>
          <w:lang w:val="en-ZA"/>
        </w:rPr>
        <w:t xml:space="preserve"> </w:t>
      </w:r>
      <w:r w:rsidR="00E949C0" w:rsidRPr="008B6F35">
        <w:rPr>
          <w:rFonts w:cs="Arial"/>
          <w:lang w:val="en-ZA"/>
        </w:rPr>
        <w:t>of CASP fund at national level</w:t>
      </w:r>
      <w:r w:rsidR="005865CF">
        <w:rPr>
          <w:rFonts w:cs="Arial"/>
          <w:lang w:val="en-ZA"/>
        </w:rPr>
        <w:t xml:space="preserve"> for the 3-year term starting from 2015/16 – 2017/18</w:t>
      </w:r>
      <w:r w:rsidR="00E8379F">
        <w:rPr>
          <w:rFonts w:cs="Arial"/>
          <w:lang w:val="en-ZA"/>
        </w:rPr>
        <w:t xml:space="preserve"> </w:t>
      </w:r>
      <w:r w:rsidR="00E8379F">
        <w:t>t</w:t>
      </w:r>
      <w:r w:rsidR="00E8379F" w:rsidRPr="004B1AE2">
        <w:rPr>
          <w:rFonts w:cs="Arial"/>
          <w:lang w:val="en-ZA"/>
        </w:rPr>
        <w:t>o strengthen the monitoring and evaluation of the utilisation and spending of CASP funds</w:t>
      </w:r>
      <w:r w:rsidR="00E949C0" w:rsidRPr="008B6F35">
        <w:rPr>
          <w:rFonts w:cs="Arial"/>
          <w:lang w:val="en-ZA"/>
        </w:rPr>
        <w:t>.</w:t>
      </w:r>
      <w:r w:rsidR="005865CF">
        <w:rPr>
          <w:rFonts w:cs="Arial"/>
          <w:lang w:val="en-ZA"/>
        </w:rPr>
        <w:t xml:space="preserve"> </w:t>
      </w:r>
      <w:r w:rsidR="00E8379F">
        <w:rPr>
          <w:rFonts w:cs="Arial"/>
          <w:lang w:val="en-ZA"/>
        </w:rPr>
        <w:t xml:space="preserve">Instead of monitoring CASP, the Department utilised the ring-fenced budget for other matters such as training. </w:t>
      </w:r>
    </w:p>
    <w:p w14:paraId="5165998F" w14:textId="77777777" w:rsidR="00FE2C95" w:rsidRDefault="005865CF" w:rsidP="008B6F35">
      <w:pPr>
        <w:spacing w:line="360" w:lineRule="auto"/>
        <w:jc w:val="both"/>
      </w:pPr>
      <w:r>
        <w:t xml:space="preserve"> </w:t>
      </w:r>
    </w:p>
    <w:p w14:paraId="41C0D752" w14:textId="77777777" w:rsidR="00C1563D" w:rsidRDefault="00C1563D" w:rsidP="008B6F35">
      <w:pPr>
        <w:spacing w:line="360" w:lineRule="auto"/>
        <w:jc w:val="both"/>
      </w:pPr>
    </w:p>
    <w:p w14:paraId="1E112C7F" w14:textId="77777777" w:rsidR="00C1563D" w:rsidRPr="005865CF" w:rsidRDefault="00C1563D" w:rsidP="008B6F35">
      <w:pPr>
        <w:spacing w:line="360" w:lineRule="auto"/>
        <w:jc w:val="both"/>
      </w:pPr>
    </w:p>
    <w:p w14:paraId="13E4D776" w14:textId="77777777" w:rsidR="00CB506C" w:rsidRPr="008B6F35" w:rsidRDefault="00CB506C" w:rsidP="008B6F35">
      <w:pPr>
        <w:spacing w:line="360" w:lineRule="auto"/>
        <w:jc w:val="both"/>
        <w:rPr>
          <w:b/>
        </w:rPr>
      </w:pPr>
      <w:r w:rsidRPr="008B6F35">
        <w:rPr>
          <w:b/>
        </w:rPr>
        <w:t xml:space="preserve">Programme 4: Trade Promotion and Market Access </w:t>
      </w:r>
    </w:p>
    <w:p w14:paraId="4D2A7CBE" w14:textId="77777777" w:rsidR="00CB506C" w:rsidRDefault="00BA48FD" w:rsidP="008B6F35">
      <w:pPr>
        <w:spacing w:line="360" w:lineRule="auto"/>
        <w:jc w:val="both"/>
        <w:rPr>
          <w:rFonts w:cs="Arial"/>
        </w:rPr>
      </w:pPr>
      <w:r w:rsidRPr="00BA48FD">
        <w:t xml:space="preserve">The Programme’s purpose is to </w:t>
      </w:r>
      <w:r w:rsidRPr="008B6F35">
        <w:rPr>
          <w:rFonts w:cs="Arial"/>
        </w:rPr>
        <w:t xml:space="preserve">promote economic development, trade and market access for agriculture, forestry and fisheries products and to foster international relations for the sector. The </w:t>
      </w:r>
      <w:r w:rsidRPr="00120C20">
        <w:rPr>
          <w:rFonts w:cs="Arial"/>
        </w:rPr>
        <w:t>P</w:t>
      </w:r>
      <w:r w:rsidRPr="008B6F35">
        <w:rPr>
          <w:rFonts w:cs="Arial"/>
        </w:rPr>
        <w:t xml:space="preserve">rogramme comprises of </w:t>
      </w:r>
      <w:r w:rsidRPr="00120C20">
        <w:rPr>
          <w:rFonts w:cs="Arial"/>
        </w:rPr>
        <w:t xml:space="preserve">four </w:t>
      </w:r>
      <w:r w:rsidRPr="008B6F35">
        <w:rPr>
          <w:rFonts w:cs="Arial"/>
        </w:rPr>
        <w:t>sub</w:t>
      </w:r>
      <w:r w:rsidRPr="00120C20">
        <w:rPr>
          <w:rFonts w:cs="Arial"/>
        </w:rPr>
        <w:t>-</w:t>
      </w:r>
      <w:r w:rsidRPr="008B6F35">
        <w:rPr>
          <w:rFonts w:cs="Arial"/>
        </w:rPr>
        <w:t xml:space="preserve">programmes, namely, </w:t>
      </w:r>
      <w:r w:rsidRPr="00120C20">
        <w:rPr>
          <w:rFonts w:cs="Arial"/>
        </w:rPr>
        <w:t xml:space="preserve">Management, </w:t>
      </w:r>
      <w:r w:rsidRPr="008B6F35">
        <w:rPr>
          <w:rFonts w:cs="Arial"/>
        </w:rPr>
        <w:t>International Relations and Trade, Agroprocessing and Marketing a</w:t>
      </w:r>
      <w:r w:rsidRPr="00120C20">
        <w:rPr>
          <w:rFonts w:cs="Arial"/>
        </w:rPr>
        <w:t xml:space="preserve">s well as </w:t>
      </w:r>
      <w:r w:rsidRPr="008B6F35">
        <w:rPr>
          <w:rFonts w:cs="Arial"/>
        </w:rPr>
        <w:t>Cooperatives and</w:t>
      </w:r>
      <w:r w:rsidRPr="00120C20">
        <w:rPr>
          <w:rFonts w:cs="Arial"/>
        </w:rPr>
        <w:t xml:space="preserve"> Rural Enterprise Development.</w:t>
      </w:r>
      <w:r w:rsidR="00E70CD4">
        <w:rPr>
          <w:rFonts w:cs="Arial"/>
        </w:rPr>
        <w:t xml:space="preserve"> </w:t>
      </w:r>
    </w:p>
    <w:p w14:paraId="72006BAC" w14:textId="77777777" w:rsidR="008561C3" w:rsidRDefault="008561C3" w:rsidP="008561C3">
      <w:pPr>
        <w:spacing w:line="360" w:lineRule="auto"/>
        <w:jc w:val="both"/>
        <w:rPr>
          <w:rFonts w:cs="Arial"/>
        </w:rPr>
      </w:pPr>
      <w:r>
        <w:rPr>
          <w:rFonts w:cs="Arial"/>
        </w:rPr>
        <w:t>Approximately 47% of Programme 4’s budget is allocated to the International Relations and Trade sub-programme. Through this sub-programme, the Department facilitates and coordinates trade negotiations and also makes transfers to foreign governments</w:t>
      </w:r>
      <w:r w:rsidR="00BA5680">
        <w:rPr>
          <w:rFonts w:cs="Arial"/>
        </w:rPr>
        <w:t xml:space="preserve"> (diplomatic missions)</w:t>
      </w:r>
      <w:r>
        <w:rPr>
          <w:rFonts w:cs="Arial"/>
        </w:rPr>
        <w:t xml:space="preserve"> and international organisations</w:t>
      </w:r>
      <w:r w:rsidR="00BA5680">
        <w:rPr>
          <w:rFonts w:cs="Arial"/>
        </w:rPr>
        <w:t xml:space="preserve">, the most significant being a R25.5 million to the Food and Agriculture Organisation of the United Nations (FAO) for 2019/20. </w:t>
      </w:r>
      <w:r w:rsidR="00345C3E">
        <w:t xml:space="preserve">The transfer to the National Agricultural Marketing Council is done through </w:t>
      </w:r>
      <w:r w:rsidR="00BA5680">
        <w:t>P</w:t>
      </w:r>
      <w:r w:rsidR="00345C3E">
        <w:t xml:space="preserve">rogramme </w:t>
      </w:r>
      <w:r w:rsidR="00BA5680">
        <w:t xml:space="preserve">4 </w:t>
      </w:r>
      <w:r w:rsidR="00345C3E">
        <w:t>and t</w:t>
      </w:r>
      <w:r w:rsidR="00E70CD4">
        <w:t>he</w:t>
      </w:r>
      <w:r w:rsidR="00E70CD4" w:rsidRPr="00BA48FD">
        <w:t xml:space="preserve"> Department </w:t>
      </w:r>
      <w:r w:rsidR="00345C3E">
        <w:t xml:space="preserve">also makes transfers to the </w:t>
      </w:r>
      <w:r w:rsidR="00E70CD4" w:rsidRPr="00BA48FD">
        <w:t xml:space="preserve">Land </w:t>
      </w:r>
      <w:r w:rsidR="00E70CD4">
        <w:t>Bank</w:t>
      </w:r>
      <w:r w:rsidR="00345C3E">
        <w:t xml:space="preserve"> (</w:t>
      </w:r>
      <w:r w:rsidR="00345C3E" w:rsidRPr="00BA48FD">
        <w:t>R</w:t>
      </w:r>
      <w:r w:rsidR="00345C3E">
        <w:t xml:space="preserve">43.8 </w:t>
      </w:r>
      <w:r w:rsidR="00345C3E" w:rsidRPr="00BA48FD">
        <w:t xml:space="preserve">million </w:t>
      </w:r>
      <w:r w:rsidR="00345C3E">
        <w:t>in 2019/20)</w:t>
      </w:r>
      <w:r w:rsidR="00E70CD4">
        <w:t xml:space="preserve"> to </w:t>
      </w:r>
      <w:r w:rsidR="00E70CD4" w:rsidRPr="00EB3735">
        <w:t>support smallholder farmers</w:t>
      </w:r>
      <w:r w:rsidR="00345C3E">
        <w:t xml:space="preserve"> through Programme 4</w:t>
      </w:r>
      <w:r w:rsidR="00E70CD4" w:rsidRPr="00EB3735">
        <w:t>.</w:t>
      </w:r>
      <w:r>
        <w:t xml:space="preserve"> </w:t>
      </w:r>
      <w:r>
        <w:rPr>
          <w:rFonts w:cs="Arial"/>
        </w:rPr>
        <w:t>Compensation of employees accounts for approximately 41% of Programme 4’s total budget.</w:t>
      </w:r>
      <w:r w:rsidR="00BA5680">
        <w:rPr>
          <w:rFonts w:cs="Arial"/>
        </w:rPr>
        <w:t xml:space="preserve"> </w:t>
      </w:r>
    </w:p>
    <w:p w14:paraId="152F9FD8" w14:textId="77777777" w:rsidR="00BA5680" w:rsidRDefault="00BA5680" w:rsidP="008561C3">
      <w:pPr>
        <w:spacing w:line="360" w:lineRule="auto"/>
        <w:jc w:val="both"/>
        <w:rPr>
          <w:rFonts w:cs="Arial"/>
        </w:rPr>
      </w:pPr>
    </w:p>
    <w:p w14:paraId="5F13ECC5" w14:textId="77777777" w:rsidR="00BA5680" w:rsidRDefault="00BA5680" w:rsidP="008561C3">
      <w:pPr>
        <w:spacing w:line="360" w:lineRule="auto"/>
        <w:jc w:val="both"/>
        <w:rPr>
          <w:rFonts w:cs="Arial"/>
        </w:rPr>
      </w:pPr>
      <w:r>
        <w:rPr>
          <w:rFonts w:cs="Arial"/>
        </w:rPr>
        <w:t>For 2019/20, the Department plans to implement the following annu</w:t>
      </w:r>
      <w:r w:rsidR="00FD3363">
        <w:rPr>
          <w:rFonts w:cs="Arial"/>
        </w:rPr>
        <w:t xml:space="preserve">al targets through Programme 4, annual report on the implementation of South Africa-Good Agricultural Practice (SA-GAP) Certification Programme for producers of fresh produce for markets; training of 60 agroprocessing entrepreneurs on norms and standards; reports on the implementation of AgriBEE Enforcement Guidelines and Sector Code government undertakings; 144 cooperatives supported with training; status report on compliance to the African Union (AU) and South African Development Community (SADC) obligations and report on facilitating the implementation of BRICS (Brazil, Russia, India, China, South Africa).  </w:t>
      </w:r>
      <w:r w:rsidR="00A47C72">
        <w:rPr>
          <w:rFonts w:cs="Arial"/>
        </w:rPr>
        <w:t xml:space="preserve">The Committee raised a concern with the Department’s targets that constitute </w:t>
      </w:r>
      <w:r w:rsidR="00460D32">
        <w:rPr>
          <w:rFonts w:cs="Arial"/>
        </w:rPr>
        <w:t xml:space="preserve">mainly of </w:t>
      </w:r>
      <w:r w:rsidR="00A47C72">
        <w:rPr>
          <w:rFonts w:cs="Arial"/>
        </w:rPr>
        <w:t>reports and training activities without specific details and measurable impact</w:t>
      </w:r>
      <w:r w:rsidR="00460D32">
        <w:rPr>
          <w:rFonts w:cs="Arial"/>
        </w:rPr>
        <w:t xml:space="preserve">. </w:t>
      </w:r>
      <w:r w:rsidR="00A47C72">
        <w:rPr>
          <w:rFonts w:cs="Arial"/>
        </w:rPr>
        <w:t>As an example, how will training of agroprocess</w:t>
      </w:r>
      <w:r w:rsidR="008D6894">
        <w:rPr>
          <w:rFonts w:cs="Arial"/>
        </w:rPr>
        <w:t xml:space="preserve">ing entrepreneurs </w:t>
      </w:r>
      <w:r w:rsidR="00460D32">
        <w:rPr>
          <w:rFonts w:cs="Arial"/>
        </w:rPr>
        <w:t xml:space="preserve">contribute </w:t>
      </w:r>
      <w:r w:rsidR="008D6894">
        <w:rPr>
          <w:rFonts w:cs="Arial"/>
        </w:rPr>
        <w:t>to</w:t>
      </w:r>
      <w:r w:rsidR="00460D32">
        <w:rPr>
          <w:rFonts w:cs="Arial"/>
        </w:rPr>
        <w:t xml:space="preserve"> the creation of </w:t>
      </w:r>
      <w:r w:rsidR="00A47C72">
        <w:rPr>
          <w:rFonts w:cs="Arial"/>
        </w:rPr>
        <w:t xml:space="preserve">145 000 or 1 million jobs that that are expected from the sector through agroprocessing by the NGP and the NDP, respectively.  </w:t>
      </w:r>
      <w:r w:rsidR="00996C1F">
        <w:rPr>
          <w:rFonts w:cs="Arial"/>
        </w:rPr>
        <w:t xml:space="preserve">In addition, no mention is made of the specific AU and SADC obligations that the country has to comply to. </w:t>
      </w:r>
    </w:p>
    <w:p w14:paraId="1A6F3077" w14:textId="77777777" w:rsidR="00E70CD4" w:rsidRPr="00E70CD4" w:rsidRDefault="00E70CD4" w:rsidP="00E70CD4">
      <w:pPr>
        <w:spacing w:line="360" w:lineRule="auto"/>
        <w:jc w:val="both"/>
      </w:pPr>
    </w:p>
    <w:p w14:paraId="36A2F21D" w14:textId="77777777" w:rsidR="00CB506C" w:rsidRPr="00120C20" w:rsidRDefault="00CB506C" w:rsidP="008B6F35">
      <w:pPr>
        <w:spacing w:line="360" w:lineRule="auto"/>
        <w:jc w:val="both"/>
        <w:rPr>
          <w:b/>
        </w:rPr>
      </w:pPr>
      <w:r w:rsidRPr="008B6F35">
        <w:rPr>
          <w:b/>
        </w:rPr>
        <w:t>Programme 5: Forestry and Natural Resources Management</w:t>
      </w:r>
      <w:r w:rsidR="00F17FD5" w:rsidRPr="00120C20">
        <w:rPr>
          <w:b/>
        </w:rPr>
        <w:t xml:space="preserve"> </w:t>
      </w:r>
    </w:p>
    <w:p w14:paraId="242F14CF" w14:textId="77777777" w:rsidR="00F17FD5" w:rsidRPr="00120C20" w:rsidRDefault="00F17FD5" w:rsidP="008B6F35">
      <w:pPr>
        <w:spacing w:line="360" w:lineRule="auto"/>
        <w:jc w:val="both"/>
      </w:pPr>
      <w:r w:rsidRPr="008B6F35">
        <w:t xml:space="preserve">This Programme’s purpose is to </w:t>
      </w:r>
      <w:r w:rsidR="00120C20" w:rsidRPr="008B6F35">
        <w:rPr>
          <w:rFonts w:cs="Arial"/>
        </w:rPr>
        <w:t xml:space="preserve">develop and facilitate the implementation of policies and targeted programmes to ensure proper management of forests and the sustainable use and protection of land and water and to manage agricultural risks and disasters. </w:t>
      </w:r>
      <w:r w:rsidR="00120C20">
        <w:rPr>
          <w:rFonts w:cs="Arial"/>
        </w:rPr>
        <w:t xml:space="preserve">It </w:t>
      </w:r>
      <w:r w:rsidR="00120C20" w:rsidRPr="008B6F35">
        <w:rPr>
          <w:rFonts w:cs="Arial"/>
        </w:rPr>
        <w:t xml:space="preserve">comprises of </w:t>
      </w:r>
      <w:r w:rsidR="00120C20">
        <w:rPr>
          <w:rFonts w:cs="Arial"/>
        </w:rPr>
        <w:t>Management,</w:t>
      </w:r>
      <w:r w:rsidR="00120C20" w:rsidRPr="008B6F35">
        <w:rPr>
          <w:rFonts w:cs="Arial"/>
        </w:rPr>
        <w:t xml:space="preserve"> Forestry Operations, Forestry Oversight and Regulation a</w:t>
      </w:r>
      <w:r w:rsidR="00120C20">
        <w:rPr>
          <w:rFonts w:cs="Arial"/>
        </w:rPr>
        <w:t xml:space="preserve">s well as </w:t>
      </w:r>
      <w:r w:rsidR="00120C20" w:rsidRPr="008B6F35">
        <w:rPr>
          <w:rFonts w:cs="Arial"/>
        </w:rPr>
        <w:t>Natural Resources Management.</w:t>
      </w:r>
      <w:r w:rsidR="0076743D">
        <w:rPr>
          <w:rFonts w:cs="Arial"/>
        </w:rPr>
        <w:t xml:space="preserve"> </w:t>
      </w:r>
    </w:p>
    <w:p w14:paraId="3D3E0D9C" w14:textId="77777777" w:rsidR="007576FF" w:rsidRDefault="007B04C3" w:rsidP="008B6F35">
      <w:pPr>
        <w:spacing w:line="360" w:lineRule="auto"/>
        <w:jc w:val="both"/>
      </w:pPr>
      <w:r>
        <w:t xml:space="preserve">Approximately 60% of the Forestry and Natural Resources Management Programme is allocated to compensation of employees for 2019/20, which is the highest personnel expenditure per Programme. </w:t>
      </w:r>
      <w:r w:rsidR="005C704A">
        <w:t xml:space="preserve">The Forestry Operations and the Natural Resources Management sub-programmes </w:t>
      </w:r>
      <w:r>
        <w:t xml:space="preserve">respectively, </w:t>
      </w:r>
      <w:r w:rsidR="005C704A">
        <w:t xml:space="preserve">accounted for 52% (R536.5 million) and 41% (R429.8 million) of the Programme’s budget for 2019/20. The Forestry Operations sub-programme is responsible for management of state forests and nurseries while the Natural Resources Management sub-programme is responsible for among others, infrastructure development (e.g. irrigation schemes), rehabilitation of degraded areas, sustainable resource use, climate change mitigation and adaptation, climate risk and disaster management. </w:t>
      </w:r>
      <w:r w:rsidR="00635C85" w:rsidRPr="00120C20">
        <w:t>Transfers</w:t>
      </w:r>
      <w:r w:rsidR="003F72E4">
        <w:t xml:space="preserve"> to provinces</w:t>
      </w:r>
      <w:r w:rsidR="00635C85" w:rsidRPr="00120C20">
        <w:t xml:space="preserve"> through this Programme</w:t>
      </w:r>
      <w:r w:rsidR="00F165DF">
        <w:t xml:space="preserve"> for 2019/20</w:t>
      </w:r>
      <w:r w:rsidR="00635C85" w:rsidRPr="00120C20">
        <w:t xml:space="preserve"> include </w:t>
      </w:r>
      <w:r w:rsidR="00CB72E7" w:rsidRPr="00120C20">
        <w:t xml:space="preserve">an amount of R82.2 million </w:t>
      </w:r>
      <w:r w:rsidR="00FE2C95" w:rsidRPr="00120C20">
        <w:t xml:space="preserve">for </w:t>
      </w:r>
      <w:r w:rsidR="00CB72E7" w:rsidRPr="00120C20">
        <w:t xml:space="preserve">the LandCare </w:t>
      </w:r>
      <w:r w:rsidR="005B59E6">
        <w:t xml:space="preserve">Poverty Relief </w:t>
      </w:r>
      <w:r w:rsidR="00CB72E7" w:rsidRPr="00120C20">
        <w:t>Programme</w:t>
      </w:r>
      <w:r>
        <w:t xml:space="preserve"> (Expanded Public Works </w:t>
      </w:r>
      <w:r w:rsidR="005B59E6">
        <w:t>P</w:t>
      </w:r>
      <w:r>
        <w:t>rogramme)</w:t>
      </w:r>
      <w:r w:rsidR="00635C85" w:rsidRPr="00120C20">
        <w:t xml:space="preserve"> </w:t>
      </w:r>
      <w:r w:rsidR="00FE2C95" w:rsidRPr="00120C20">
        <w:t xml:space="preserve">and a further </w:t>
      </w:r>
      <w:r w:rsidR="00635C85" w:rsidRPr="00120C20">
        <w:t>R60.3 million from</w:t>
      </w:r>
      <w:r w:rsidR="00635C85" w:rsidRPr="003077E3">
        <w:t xml:space="preserve"> CASP for</w:t>
      </w:r>
      <w:r w:rsidR="00FE2C95" w:rsidRPr="003077E3">
        <w:t xml:space="preserve"> flood-dam</w:t>
      </w:r>
      <w:r w:rsidR="00FE2C95">
        <w:t>aged infrastructure</w:t>
      </w:r>
      <w:r w:rsidR="00CB72E7" w:rsidRPr="00D00A94">
        <w:t>.</w:t>
      </w:r>
      <w:r w:rsidR="00E04902">
        <w:t xml:space="preserve"> </w:t>
      </w:r>
      <w:r>
        <w:t xml:space="preserve">Both these transfers are administered through the Natural Resources Management sub-programme.  </w:t>
      </w:r>
    </w:p>
    <w:p w14:paraId="109CED4C" w14:textId="77777777" w:rsidR="007B04C3" w:rsidRDefault="007B04C3" w:rsidP="008B6F35">
      <w:pPr>
        <w:spacing w:line="360" w:lineRule="auto"/>
        <w:jc w:val="both"/>
      </w:pPr>
    </w:p>
    <w:p w14:paraId="6F4824FE" w14:textId="77777777" w:rsidR="005C704A" w:rsidRPr="00D00A94" w:rsidRDefault="005C704A" w:rsidP="008B6F35">
      <w:pPr>
        <w:spacing w:line="360" w:lineRule="auto"/>
        <w:jc w:val="both"/>
      </w:pPr>
      <w:r>
        <w:t xml:space="preserve">Some of the </w:t>
      </w:r>
      <w:r w:rsidR="005B59E6">
        <w:t>p</w:t>
      </w:r>
      <w:r>
        <w:t xml:space="preserve">lanned </w:t>
      </w:r>
      <w:r w:rsidR="005B59E6">
        <w:t>t</w:t>
      </w:r>
      <w:r>
        <w:t>argets for 2019/20 under Programme</w:t>
      </w:r>
      <w:r w:rsidR="005B59E6">
        <w:t xml:space="preserve"> 5</w:t>
      </w:r>
      <w:r>
        <w:t xml:space="preserve"> include </w:t>
      </w:r>
      <w:r w:rsidR="005A6617">
        <w:t xml:space="preserve">rehabilitation of 27 957 hectares (ha) of agricultural land and 300 ha of indigenous forests; implementation of the Agroforestry Strategic Framework by piloting project plans in two provinces; annual reports on the implementation of the Climate Change Adaptation and Mitigation Plan for Agriculture, Forestry and Fisheries and the Climate Smart Agriculture (CSA) Strategic Framework; and planting of 945 ha in temporary unplanted areas (TUPs). </w:t>
      </w:r>
      <w:r w:rsidR="007576FF">
        <w:t xml:space="preserve">The Committee highlighted the importance of baselines </w:t>
      </w:r>
      <w:r w:rsidR="004E1BBD">
        <w:t xml:space="preserve">against which the Department </w:t>
      </w:r>
      <w:r w:rsidR="00DA614D">
        <w:t>derives</w:t>
      </w:r>
      <w:r w:rsidR="004E1BBD">
        <w:t xml:space="preserve"> the number of hectares for example, that will be planted or rehabilitated per year and/or over the MTEF period. </w:t>
      </w:r>
      <w:r w:rsidR="005B59E6">
        <w:t>Additionally, in terms of contribution to job creation, the Department needs</w:t>
      </w:r>
      <w:r w:rsidR="00382300">
        <w:t xml:space="preserve"> to </w:t>
      </w:r>
      <w:r w:rsidR="005B59E6">
        <w:t>differentiate between actual jobs and full-time equivalents (FTEs). The FTEs are used for most of the poverty relief projects that are implemented by the Department (e.g. LandCare)</w:t>
      </w:r>
      <w:r w:rsidR="00382300">
        <w:t xml:space="preserve"> and such jobs are not permanent and in some cases, do not pay the minimum wage</w:t>
      </w:r>
      <w:r w:rsidR="005B59E6">
        <w:t xml:space="preserve">. </w:t>
      </w:r>
    </w:p>
    <w:p w14:paraId="3DC020CE" w14:textId="77777777" w:rsidR="00CB72E7" w:rsidRPr="00526C4D" w:rsidRDefault="00CB72E7" w:rsidP="008B6F35">
      <w:pPr>
        <w:spacing w:line="360" w:lineRule="auto"/>
        <w:jc w:val="both"/>
      </w:pPr>
    </w:p>
    <w:p w14:paraId="0EB7547B" w14:textId="77777777" w:rsidR="00CB506C" w:rsidRPr="008B6F35" w:rsidRDefault="00CB506C" w:rsidP="008B6F35">
      <w:pPr>
        <w:spacing w:line="360" w:lineRule="auto"/>
        <w:jc w:val="both"/>
        <w:rPr>
          <w:b/>
        </w:rPr>
      </w:pPr>
      <w:r w:rsidRPr="008B6F35">
        <w:rPr>
          <w:b/>
        </w:rPr>
        <w:t>Programme 6: Fisheries Management</w:t>
      </w:r>
    </w:p>
    <w:p w14:paraId="2A30BDC3" w14:textId="77777777" w:rsidR="00CB506C" w:rsidRDefault="0047357A" w:rsidP="008B6F35">
      <w:pPr>
        <w:spacing w:line="360" w:lineRule="auto"/>
        <w:jc w:val="both"/>
        <w:rPr>
          <w:rFonts w:cs="Arial"/>
        </w:rPr>
      </w:pPr>
      <w:r w:rsidRPr="0047357A">
        <w:t xml:space="preserve">The purpose of this Programme is to promote the </w:t>
      </w:r>
      <w:r w:rsidRPr="008B6F35">
        <w:rPr>
          <w:rFonts w:cs="Arial"/>
        </w:rPr>
        <w:t xml:space="preserve">development, management, and monitoring and sustainable use of marine living resources and development of the fisheries sector. The </w:t>
      </w:r>
      <w:r>
        <w:rPr>
          <w:rFonts w:cs="Arial"/>
        </w:rPr>
        <w:t>P</w:t>
      </w:r>
      <w:r w:rsidRPr="008B6F35">
        <w:rPr>
          <w:rFonts w:cs="Arial"/>
        </w:rPr>
        <w:t xml:space="preserve">rogramme comprises of </w:t>
      </w:r>
      <w:r w:rsidR="00EB3735">
        <w:rPr>
          <w:rFonts w:cs="Arial"/>
        </w:rPr>
        <w:t>six</w:t>
      </w:r>
      <w:r w:rsidRPr="008B6F35">
        <w:rPr>
          <w:rFonts w:cs="Arial"/>
        </w:rPr>
        <w:t xml:space="preserve"> sub</w:t>
      </w:r>
      <w:r w:rsidR="00EB3735">
        <w:rPr>
          <w:rFonts w:cs="Arial"/>
        </w:rPr>
        <w:t>-</w:t>
      </w:r>
      <w:r w:rsidRPr="008B6F35">
        <w:rPr>
          <w:rFonts w:cs="Arial"/>
        </w:rPr>
        <w:t xml:space="preserve">programmes, namely, </w:t>
      </w:r>
      <w:r w:rsidR="00EB3735">
        <w:rPr>
          <w:rFonts w:cs="Arial"/>
        </w:rPr>
        <w:t xml:space="preserve">Management, </w:t>
      </w:r>
      <w:r w:rsidRPr="008B6F35">
        <w:rPr>
          <w:rFonts w:cs="Arial"/>
        </w:rPr>
        <w:t>Aquaculture</w:t>
      </w:r>
      <w:r w:rsidR="00EB3735">
        <w:rPr>
          <w:rFonts w:cs="Arial"/>
        </w:rPr>
        <w:t xml:space="preserve">, </w:t>
      </w:r>
      <w:r w:rsidRPr="008B6F35">
        <w:rPr>
          <w:rFonts w:cs="Arial"/>
        </w:rPr>
        <w:t xml:space="preserve">Fisheries Research and Development, Marine Resources Management, Monitoring, Control and Surveillance and </w:t>
      </w:r>
      <w:r w:rsidR="00EB3735">
        <w:rPr>
          <w:rFonts w:cs="Arial"/>
        </w:rPr>
        <w:t xml:space="preserve">the </w:t>
      </w:r>
      <w:r w:rsidRPr="008B6F35">
        <w:rPr>
          <w:rFonts w:cs="Arial"/>
        </w:rPr>
        <w:t>Marine Living Resources Fund</w:t>
      </w:r>
      <w:r w:rsidR="00EB3735">
        <w:rPr>
          <w:rFonts w:cs="Arial"/>
        </w:rPr>
        <w:t xml:space="preserve"> (MLRF)</w:t>
      </w:r>
      <w:r w:rsidRPr="008B6F35">
        <w:rPr>
          <w:rFonts w:cs="Arial"/>
        </w:rPr>
        <w:t>.</w:t>
      </w:r>
      <w:r w:rsidR="0076743D">
        <w:rPr>
          <w:rFonts w:cs="Arial"/>
        </w:rPr>
        <w:t xml:space="preserve"> Budgetary allocations </w:t>
      </w:r>
      <w:r w:rsidR="000775BC">
        <w:rPr>
          <w:rFonts w:cs="Arial"/>
        </w:rPr>
        <w:t>in this Programme are in respect of personnel costs and allocations to the Marine Living Resources Fund (MLRF), which is responsible for the operational activities of the Fisheries Management Programme. For 2019/10, the MLRF accounted for 53% (R274.3 million) of the Programme’s budget</w:t>
      </w:r>
      <w:r w:rsidR="00B625F0">
        <w:rPr>
          <w:rFonts w:cs="Arial"/>
        </w:rPr>
        <w:t xml:space="preserve"> and compensation of employees accounted for 47%</w:t>
      </w:r>
      <w:r w:rsidR="000775BC">
        <w:rPr>
          <w:rFonts w:cs="Arial"/>
        </w:rPr>
        <w:t xml:space="preserve">. </w:t>
      </w:r>
      <w:r w:rsidR="00B625F0">
        <w:rPr>
          <w:rFonts w:cs="Arial"/>
        </w:rPr>
        <w:t>The allocation to the MLRF supplements revenue that the MLRF generates from levies</w:t>
      </w:r>
      <w:r w:rsidR="000775BC">
        <w:rPr>
          <w:rFonts w:cs="Arial"/>
        </w:rPr>
        <w:t xml:space="preserve"> </w:t>
      </w:r>
      <w:r w:rsidR="00B625F0">
        <w:rPr>
          <w:rFonts w:cs="Arial"/>
        </w:rPr>
        <w:t xml:space="preserve">on fish and fish products, permits, licences and application fees as well as proceeds from sale of confiscated fish and fish products. </w:t>
      </w:r>
    </w:p>
    <w:p w14:paraId="2AECBBD5" w14:textId="77777777" w:rsidR="00B625F0" w:rsidRDefault="00B625F0" w:rsidP="008B6F35">
      <w:pPr>
        <w:spacing w:line="360" w:lineRule="auto"/>
        <w:jc w:val="both"/>
        <w:rPr>
          <w:rFonts w:cs="Arial"/>
        </w:rPr>
      </w:pPr>
    </w:p>
    <w:p w14:paraId="56EE93A0" w14:textId="77777777" w:rsidR="008B6F35" w:rsidRDefault="00B625F0" w:rsidP="008B6F35">
      <w:pPr>
        <w:spacing w:line="360" w:lineRule="auto"/>
        <w:jc w:val="both"/>
        <w:rPr>
          <w:rFonts w:cs="Arial"/>
        </w:rPr>
      </w:pPr>
      <w:r>
        <w:rPr>
          <w:rFonts w:cs="Arial"/>
        </w:rPr>
        <w:t>The Department’s medium term focus under this Programme is aquaculture development through Operation Phakisa: Oceans Economy</w:t>
      </w:r>
      <w:r w:rsidR="007F5A16">
        <w:rPr>
          <w:rFonts w:cs="Arial"/>
        </w:rPr>
        <w:t xml:space="preserve"> activities</w:t>
      </w:r>
      <w:r>
        <w:rPr>
          <w:rFonts w:cs="Arial"/>
        </w:rPr>
        <w:t>. For the 2019/20 financial year, the Department planned</w:t>
      </w:r>
      <w:r w:rsidR="00530931">
        <w:rPr>
          <w:rFonts w:cs="Arial"/>
        </w:rPr>
        <w:t xml:space="preserve"> amongst others,</w:t>
      </w:r>
      <w:r>
        <w:rPr>
          <w:rFonts w:cs="Arial"/>
        </w:rPr>
        <w:t xml:space="preserve"> to support four Operation Phakisa aquaculture projects; </w:t>
      </w:r>
      <w:r w:rsidR="009D3DC3">
        <w:rPr>
          <w:rFonts w:cs="Arial"/>
        </w:rPr>
        <w:t>revise policies and application forms for 12 commercial fishing sectors whose rights expire in 2020; conduct 5 500 inspections (compliance and enforcement) in six prioritised fisheries sectors (hake, abalone, rock lobster, line fish, squid and pelagic)</w:t>
      </w:r>
      <w:r w:rsidR="005C1DB0">
        <w:rPr>
          <w:rFonts w:cs="Arial"/>
        </w:rPr>
        <w:t>; allocate rights to smallscale fisheries cooperatives in Eastern Cape, KwaZulu-Natal and Western Cape;</w:t>
      </w:r>
      <w:r w:rsidR="009D3DC3">
        <w:rPr>
          <w:rFonts w:cs="Arial"/>
        </w:rPr>
        <w:t xml:space="preserve"> and </w:t>
      </w:r>
      <w:r w:rsidR="00530931">
        <w:rPr>
          <w:rFonts w:cs="Arial"/>
        </w:rPr>
        <w:t xml:space="preserve">to </w:t>
      </w:r>
      <w:r w:rsidR="009D3DC3">
        <w:rPr>
          <w:rFonts w:cs="Arial"/>
        </w:rPr>
        <w:t>d</w:t>
      </w:r>
      <w:r>
        <w:rPr>
          <w:rFonts w:cs="Arial"/>
        </w:rPr>
        <w:t>evelop an Implementation Plan for the Aquaculture Development Act</w:t>
      </w:r>
      <w:r w:rsidR="009D3DC3">
        <w:rPr>
          <w:rFonts w:cs="Arial"/>
        </w:rPr>
        <w:t xml:space="preserve">. </w:t>
      </w:r>
    </w:p>
    <w:p w14:paraId="19A23246" w14:textId="77777777" w:rsidR="008B6F35" w:rsidRDefault="008B6F35" w:rsidP="008B6F35">
      <w:pPr>
        <w:spacing w:line="360" w:lineRule="auto"/>
        <w:jc w:val="both"/>
        <w:rPr>
          <w:rFonts w:cs="Arial"/>
        </w:rPr>
      </w:pPr>
    </w:p>
    <w:p w14:paraId="7E6F7667" w14:textId="77777777" w:rsidR="00B625F0" w:rsidRPr="0047357A" w:rsidRDefault="002C3BB5" w:rsidP="008B6F35">
      <w:pPr>
        <w:spacing w:line="360" w:lineRule="auto"/>
        <w:jc w:val="both"/>
      </w:pPr>
      <w:r>
        <w:rPr>
          <w:rFonts w:cs="Arial"/>
        </w:rPr>
        <w:t>The Department’s annual planning is found wanting in this regard as t</w:t>
      </w:r>
      <w:r w:rsidR="000E75C3">
        <w:rPr>
          <w:rFonts w:cs="Arial"/>
        </w:rPr>
        <w:t xml:space="preserve">here is no Aquaculture Development Act yet </w:t>
      </w:r>
      <w:r w:rsidR="009D3DC3">
        <w:rPr>
          <w:rFonts w:cs="Arial"/>
        </w:rPr>
        <w:t>as the Aquaculture Development Bill</w:t>
      </w:r>
      <w:r w:rsidR="000E75C3">
        <w:rPr>
          <w:rFonts w:cs="Arial"/>
        </w:rPr>
        <w:t xml:space="preserve"> </w:t>
      </w:r>
      <w:r w:rsidR="009D3DC3">
        <w:rPr>
          <w:rFonts w:cs="Arial"/>
        </w:rPr>
        <w:t>was introduced in Parliament towards the end of the Fifth Parliament and could not be processed</w:t>
      </w:r>
      <w:r w:rsidR="009B66D9">
        <w:rPr>
          <w:rFonts w:cs="Arial"/>
        </w:rPr>
        <w:t>. The Bill w</w:t>
      </w:r>
      <w:r w:rsidR="009D3DC3">
        <w:rPr>
          <w:rFonts w:cs="Arial"/>
        </w:rPr>
        <w:t xml:space="preserve">ill have to be re-introduced in Parliament by the new Minister for Fisheries. There is no certainty on when will that be and how long it will take Parliament to process and finalise it before it is signed into law by the President. </w:t>
      </w:r>
      <w:r w:rsidR="00D000DD">
        <w:rPr>
          <w:rFonts w:cs="Arial"/>
        </w:rPr>
        <w:t>An acceptable target in this regard, and in light of the transfer of the Fisheries function to Environment, should have been the introduction of the Aquaculture Development Bill in Parliament.</w:t>
      </w:r>
      <w:r w:rsidR="00B625F0">
        <w:rPr>
          <w:rFonts w:cs="Arial"/>
        </w:rPr>
        <w:t xml:space="preserve"> </w:t>
      </w:r>
    </w:p>
    <w:p w14:paraId="151E387E" w14:textId="77777777" w:rsidR="00CB506C" w:rsidRDefault="00CB506C" w:rsidP="008B6F35">
      <w:pPr>
        <w:tabs>
          <w:tab w:val="left" w:pos="567"/>
          <w:tab w:val="left" w:pos="2012"/>
        </w:tabs>
        <w:autoSpaceDE w:val="0"/>
        <w:autoSpaceDN w:val="0"/>
        <w:adjustRightInd w:val="0"/>
        <w:spacing w:line="360" w:lineRule="auto"/>
        <w:ind w:left="567" w:hanging="567"/>
        <w:jc w:val="both"/>
        <w:rPr>
          <w:b/>
        </w:rPr>
      </w:pPr>
    </w:p>
    <w:p w14:paraId="436A02FA" w14:textId="77777777" w:rsidR="004710D2" w:rsidRDefault="00FE641E" w:rsidP="008B6F35">
      <w:pPr>
        <w:tabs>
          <w:tab w:val="left" w:pos="567"/>
          <w:tab w:val="left" w:pos="2012"/>
        </w:tabs>
        <w:autoSpaceDE w:val="0"/>
        <w:autoSpaceDN w:val="0"/>
        <w:adjustRightInd w:val="0"/>
        <w:spacing w:line="360" w:lineRule="auto"/>
        <w:ind w:left="567" w:hanging="567"/>
        <w:jc w:val="both"/>
        <w:rPr>
          <w:b/>
        </w:rPr>
      </w:pPr>
      <w:r>
        <w:rPr>
          <w:b/>
        </w:rPr>
        <w:t>5</w:t>
      </w:r>
      <w:r w:rsidR="004E1C7B">
        <w:rPr>
          <w:b/>
        </w:rPr>
        <w:t xml:space="preserve">. </w:t>
      </w:r>
      <w:r w:rsidR="004E1C7B">
        <w:rPr>
          <w:b/>
        </w:rPr>
        <w:tab/>
      </w:r>
      <w:r w:rsidR="004710D2" w:rsidRPr="00D00A94">
        <w:rPr>
          <w:b/>
        </w:rPr>
        <w:t xml:space="preserve">Consideration of the 2019/20 Annual Performance Plans (APPs) of the </w:t>
      </w:r>
      <w:r w:rsidR="004710D2">
        <w:rPr>
          <w:b/>
        </w:rPr>
        <w:t xml:space="preserve">Entities of the </w:t>
      </w:r>
      <w:r w:rsidR="004710D2" w:rsidRPr="00D00A94">
        <w:rPr>
          <w:b/>
        </w:rPr>
        <w:t>Department of Agriculture, Forestry and Fisheries</w:t>
      </w:r>
    </w:p>
    <w:p w14:paraId="55011C6B" w14:textId="77777777" w:rsidR="008B6F35" w:rsidRPr="00D00A94" w:rsidRDefault="008B6F35" w:rsidP="00D00A94">
      <w:pPr>
        <w:tabs>
          <w:tab w:val="left" w:pos="567"/>
          <w:tab w:val="left" w:pos="2012"/>
        </w:tabs>
        <w:autoSpaceDE w:val="0"/>
        <w:autoSpaceDN w:val="0"/>
        <w:adjustRightInd w:val="0"/>
        <w:spacing w:line="360" w:lineRule="auto"/>
        <w:jc w:val="both"/>
      </w:pPr>
    </w:p>
    <w:p w14:paraId="26AC086B" w14:textId="77777777" w:rsidR="002B3FB3" w:rsidRPr="008B6F35" w:rsidRDefault="009163A4" w:rsidP="00D00A94">
      <w:pPr>
        <w:tabs>
          <w:tab w:val="left" w:pos="567"/>
          <w:tab w:val="left" w:pos="2012"/>
        </w:tabs>
        <w:autoSpaceDE w:val="0"/>
        <w:autoSpaceDN w:val="0"/>
        <w:adjustRightInd w:val="0"/>
        <w:spacing w:line="360" w:lineRule="auto"/>
        <w:jc w:val="both"/>
        <w:rPr>
          <w:b/>
          <w:sz w:val="22"/>
          <w:szCs w:val="22"/>
        </w:rPr>
      </w:pPr>
      <w:r w:rsidRPr="00D00A94">
        <w:rPr>
          <w:b/>
        </w:rPr>
        <w:t xml:space="preserve"> </w:t>
      </w:r>
      <w:r w:rsidR="002B3FB3" w:rsidRPr="008B6F35">
        <w:rPr>
          <w:b/>
          <w:sz w:val="22"/>
          <w:szCs w:val="22"/>
        </w:rPr>
        <w:t xml:space="preserve">Table 2. Budget Allocation to Entities for the MTEF Period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743"/>
        <w:gridCol w:w="1493"/>
        <w:gridCol w:w="1559"/>
        <w:gridCol w:w="1418"/>
      </w:tblGrid>
      <w:tr w:rsidR="009B66D9" w:rsidRPr="006B0CFA" w14:paraId="08534B0D" w14:textId="77777777" w:rsidTr="008B6F35">
        <w:trPr>
          <w:trHeight w:val="617"/>
        </w:trPr>
        <w:tc>
          <w:tcPr>
            <w:tcW w:w="3030" w:type="dxa"/>
            <w:vMerge w:val="restart"/>
            <w:shd w:val="clear" w:color="auto" w:fill="D9D9D9"/>
          </w:tcPr>
          <w:p w14:paraId="30CBB8A7" w14:textId="77777777" w:rsidR="00F31E6A" w:rsidRPr="008B6F35" w:rsidRDefault="00F31E6A" w:rsidP="00D00A94">
            <w:pPr>
              <w:spacing w:line="360" w:lineRule="auto"/>
              <w:jc w:val="both"/>
              <w:rPr>
                <w:b/>
                <w:sz w:val="22"/>
                <w:szCs w:val="22"/>
                <w:lang w:val="en-ZA"/>
              </w:rPr>
            </w:pPr>
          </w:p>
          <w:p w14:paraId="1277B8F6" w14:textId="77777777" w:rsidR="00F31E6A" w:rsidRPr="008B6F35" w:rsidRDefault="00F31E6A" w:rsidP="00D00A94">
            <w:pPr>
              <w:spacing w:line="360" w:lineRule="auto"/>
              <w:jc w:val="both"/>
              <w:rPr>
                <w:b/>
                <w:sz w:val="22"/>
                <w:szCs w:val="22"/>
                <w:lang w:val="en-ZA"/>
              </w:rPr>
            </w:pPr>
            <w:r w:rsidRPr="008B6F35">
              <w:rPr>
                <w:b/>
                <w:sz w:val="22"/>
                <w:szCs w:val="22"/>
                <w:lang w:val="en-ZA"/>
              </w:rPr>
              <w:t>Entity</w:t>
            </w:r>
          </w:p>
        </w:tc>
        <w:tc>
          <w:tcPr>
            <w:tcW w:w="1743" w:type="dxa"/>
            <w:vMerge w:val="restart"/>
            <w:shd w:val="clear" w:color="auto" w:fill="D9D9D9"/>
          </w:tcPr>
          <w:p w14:paraId="15FF6420" w14:textId="77777777" w:rsidR="00F31E6A" w:rsidRPr="008B6F35" w:rsidRDefault="00F31E6A" w:rsidP="00D00A94">
            <w:pPr>
              <w:spacing w:line="360" w:lineRule="auto"/>
              <w:jc w:val="both"/>
              <w:rPr>
                <w:b/>
                <w:sz w:val="22"/>
                <w:szCs w:val="22"/>
                <w:lang w:val="en-ZA"/>
              </w:rPr>
            </w:pPr>
            <w:r w:rsidRPr="008B6F35">
              <w:rPr>
                <w:b/>
                <w:sz w:val="22"/>
                <w:szCs w:val="22"/>
                <w:lang w:val="en-ZA"/>
              </w:rPr>
              <w:t>2018/19</w:t>
            </w:r>
            <w:r w:rsidR="006D1C04" w:rsidRPr="008B6F35">
              <w:rPr>
                <w:b/>
                <w:sz w:val="22"/>
                <w:szCs w:val="22"/>
                <w:lang w:val="en-ZA"/>
              </w:rPr>
              <w:t xml:space="preserve"> </w:t>
            </w:r>
          </w:p>
          <w:p w14:paraId="01B0E04B" w14:textId="77777777" w:rsidR="006D1C04" w:rsidRPr="008B6F35" w:rsidRDefault="000908E2" w:rsidP="000908E2">
            <w:pPr>
              <w:spacing w:line="360" w:lineRule="auto"/>
              <w:jc w:val="both"/>
              <w:rPr>
                <w:b/>
                <w:sz w:val="22"/>
                <w:szCs w:val="22"/>
                <w:lang w:val="en-ZA"/>
              </w:rPr>
            </w:pPr>
            <w:r w:rsidRPr="008B6F35">
              <w:rPr>
                <w:b/>
                <w:sz w:val="22"/>
                <w:szCs w:val="22"/>
                <w:lang w:val="en-ZA"/>
              </w:rPr>
              <w:t>Appropriation</w:t>
            </w:r>
            <w:r w:rsidR="006B0CFA">
              <w:rPr>
                <w:b/>
                <w:sz w:val="22"/>
                <w:szCs w:val="22"/>
                <w:lang w:val="en-ZA"/>
              </w:rPr>
              <w:t xml:space="preserve"> </w:t>
            </w:r>
          </w:p>
        </w:tc>
        <w:tc>
          <w:tcPr>
            <w:tcW w:w="4470" w:type="dxa"/>
            <w:gridSpan w:val="3"/>
            <w:shd w:val="clear" w:color="auto" w:fill="D9D9D9"/>
          </w:tcPr>
          <w:p w14:paraId="7999475A" w14:textId="77777777" w:rsidR="001A0A0F" w:rsidRPr="008B6F35" w:rsidRDefault="001A0A0F" w:rsidP="000908E2">
            <w:pPr>
              <w:spacing w:line="360" w:lineRule="auto"/>
              <w:jc w:val="both"/>
              <w:rPr>
                <w:b/>
                <w:sz w:val="22"/>
                <w:szCs w:val="22"/>
                <w:lang w:val="en-ZA"/>
              </w:rPr>
            </w:pPr>
            <w:r w:rsidRPr="008B6F35">
              <w:rPr>
                <w:b/>
                <w:sz w:val="22"/>
                <w:szCs w:val="22"/>
                <w:lang w:val="en-ZA"/>
              </w:rPr>
              <w:t xml:space="preserve">MTEF Period </w:t>
            </w:r>
            <w:r w:rsidR="000908E2" w:rsidRPr="008B6F35">
              <w:rPr>
                <w:b/>
                <w:sz w:val="22"/>
                <w:szCs w:val="22"/>
                <w:lang w:val="en-ZA"/>
              </w:rPr>
              <w:t>Estimates</w:t>
            </w:r>
            <w:r w:rsidRPr="008B6F35">
              <w:rPr>
                <w:b/>
                <w:sz w:val="22"/>
                <w:szCs w:val="22"/>
                <w:lang w:val="en-ZA"/>
              </w:rPr>
              <w:t xml:space="preserve"> </w:t>
            </w:r>
            <w:r w:rsidR="006816B1">
              <w:rPr>
                <w:b/>
                <w:sz w:val="22"/>
                <w:szCs w:val="22"/>
                <w:lang w:val="en-ZA"/>
              </w:rPr>
              <w:t xml:space="preserve"> </w:t>
            </w:r>
          </w:p>
        </w:tc>
      </w:tr>
      <w:tr w:rsidR="000908E2" w:rsidRPr="006B0CFA" w14:paraId="538050F3" w14:textId="77777777" w:rsidTr="008B6F35">
        <w:trPr>
          <w:trHeight w:val="413"/>
        </w:trPr>
        <w:tc>
          <w:tcPr>
            <w:tcW w:w="3030" w:type="dxa"/>
            <w:vMerge/>
            <w:shd w:val="clear" w:color="auto" w:fill="D9D9D9"/>
          </w:tcPr>
          <w:p w14:paraId="7E72E5CB" w14:textId="77777777" w:rsidR="00F31E6A" w:rsidRPr="008B6F35" w:rsidRDefault="00F31E6A" w:rsidP="00D00A94">
            <w:pPr>
              <w:spacing w:line="360" w:lineRule="auto"/>
              <w:jc w:val="both"/>
              <w:rPr>
                <w:b/>
                <w:sz w:val="22"/>
                <w:szCs w:val="22"/>
                <w:lang w:val="en-ZA"/>
              </w:rPr>
            </w:pPr>
          </w:p>
        </w:tc>
        <w:tc>
          <w:tcPr>
            <w:tcW w:w="1743" w:type="dxa"/>
            <w:vMerge/>
            <w:shd w:val="clear" w:color="auto" w:fill="D9D9D9"/>
          </w:tcPr>
          <w:p w14:paraId="18E6A62B" w14:textId="77777777" w:rsidR="00F31E6A" w:rsidRPr="008B6F35" w:rsidRDefault="00F31E6A" w:rsidP="00D00A94">
            <w:pPr>
              <w:spacing w:line="360" w:lineRule="auto"/>
              <w:jc w:val="both"/>
              <w:rPr>
                <w:b/>
                <w:sz w:val="22"/>
                <w:szCs w:val="22"/>
                <w:lang w:val="en-ZA"/>
              </w:rPr>
            </w:pPr>
          </w:p>
        </w:tc>
        <w:tc>
          <w:tcPr>
            <w:tcW w:w="1493" w:type="dxa"/>
            <w:shd w:val="clear" w:color="auto" w:fill="D9D9D9"/>
          </w:tcPr>
          <w:p w14:paraId="63817831" w14:textId="77777777" w:rsidR="00F31E6A" w:rsidRPr="008B6F35" w:rsidRDefault="00F31E6A" w:rsidP="001A0A0F">
            <w:pPr>
              <w:spacing w:line="360" w:lineRule="auto"/>
              <w:jc w:val="both"/>
              <w:rPr>
                <w:b/>
                <w:sz w:val="22"/>
                <w:szCs w:val="22"/>
                <w:lang w:val="en-ZA"/>
              </w:rPr>
            </w:pPr>
            <w:r w:rsidRPr="008B6F35">
              <w:rPr>
                <w:b/>
                <w:sz w:val="22"/>
                <w:szCs w:val="22"/>
                <w:lang w:val="en-ZA"/>
              </w:rPr>
              <w:t xml:space="preserve">2019/20 </w:t>
            </w:r>
          </w:p>
        </w:tc>
        <w:tc>
          <w:tcPr>
            <w:tcW w:w="1559" w:type="dxa"/>
            <w:shd w:val="clear" w:color="auto" w:fill="D9D9D9"/>
          </w:tcPr>
          <w:p w14:paraId="78ECCEF5" w14:textId="77777777" w:rsidR="00F31E6A" w:rsidRPr="008B6F35" w:rsidRDefault="00F31E6A" w:rsidP="001A0A0F">
            <w:pPr>
              <w:spacing w:line="360" w:lineRule="auto"/>
              <w:jc w:val="both"/>
              <w:rPr>
                <w:b/>
                <w:sz w:val="22"/>
                <w:szCs w:val="22"/>
                <w:lang w:val="en-ZA"/>
              </w:rPr>
            </w:pPr>
            <w:r w:rsidRPr="008B6F35">
              <w:rPr>
                <w:b/>
                <w:sz w:val="22"/>
                <w:szCs w:val="22"/>
                <w:lang w:val="en-ZA"/>
              </w:rPr>
              <w:t xml:space="preserve">2020/21 </w:t>
            </w:r>
          </w:p>
        </w:tc>
        <w:tc>
          <w:tcPr>
            <w:tcW w:w="1418" w:type="dxa"/>
            <w:shd w:val="clear" w:color="auto" w:fill="D9D9D9"/>
          </w:tcPr>
          <w:p w14:paraId="2FCC8112" w14:textId="77777777" w:rsidR="00F31E6A" w:rsidRPr="008B6F35" w:rsidRDefault="00F31E6A" w:rsidP="001A0A0F">
            <w:pPr>
              <w:spacing w:line="360" w:lineRule="auto"/>
              <w:jc w:val="both"/>
              <w:rPr>
                <w:b/>
                <w:sz w:val="22"/>
                <w:szCs w:val="22"/>
                <w:lang w:val="en-ZA"/>
              </w:rPr>
            </w:pPr>
            <w:r w:rsidRPr="008B6F35">
              <w:rPr>
                <w:b/>
                <w:sz w:val="22"/>
                <w:szCs w:val="22"/>
                <w:lang w:val="en-ZA"/>
              </w:rPr>
              <w:t>2021/22</w:t>
            </w:r>
            <w:r w:rsidR="006D1C04" w:rsidRPr="008B6F35">
              <w:rPr>
                <w:b/>
                <w:sz w:val="22"/>
                <w:szCs w:val="22"/>
                <w:lang w:val="en-ZA"/>
              </w:rPr>
              <w:t xml:space="preserve"> </w:t>
            </w:r>
          </w:p>
        </w:tc>
      </w:tr>
      <w:tr w:rsidR="000908E2" w:rsidRPr="006B0CFA" w14:paraId="7B468062" w14:textId="77777777" w:rsidTr="008B6F35">
        <w:tc>
          <w:tcPr>
            <w:tcW w:w="3030" w:type="dxa"/>
          </w:tcPr>
          <w:p w14:paraId="7CAE6A11" w14:textId="77777777" w:rsidR="00F31E6A" w:rsidRPr="008B6F35" w:rsidRDefault="00F31E6A" w:rsidP="00D00A94">
            <w:pPr>
              <w:spacing w:line="360" w:lineRule="auto"/>
              <w:jc w:val="both"/>
              <w:rPr>
                <w:b/>
                <w:sz w:val="22"/>
                <w:szCs w:val="22"/>
                <w:lang w:val="en-ZA"/>
              </w:rPr>
            </w:pPr>
            <w:r w:rsidRPr="008B6F35">
              <w:rPr>
                <w:b/>
                <w:sz w:val="22"/>
                <w:szCs w:val="22"/>
                <w:lang w:val="en-ZA"/>
              </w:rPr>
              <w:t>R Million</w:t>
            </w:r>
          </w:p>
        </w:tc>
        <w:tc>
          <w:tcPr>
            <w:tcW w:w="1743" w:type="dxa"/>
            <w:shd w:val="clear" w:color="auto" w:fill="FFFFFF" w:themeFill="background1"/>
          </w:tcPr>
          <w:p w14:paraId="4A280EAD" w14:textId="77777777" w:rsidR="00F31E6A" w:rsidRPr="008B6F35" w:rsidRDefault="00F31E6A" w:rsidP="00D00A94">
            <w:pPr>
              <w:spacing w:line="360" w:lineRule="auto"/>
              <w:jc w:val="both"/>
              <w:rPr>
                <w:sz w:val="22"/>
                <w:szCs w:val="22"/>
                <w:lang w:val="en-ZA"/>
              </w:rPr>
            </w:pPr>
          </w:p>
        </w:tc>
        <w:tc>
          <w:tcPr>
            <w:tcW w:w="1493" w:type="dxa"/>
            <w:shd w:val="clear" w:color="auto" w:fill="D9D9D9"/>
          </w:tcPr>
          <w:p w14:paraId="7DC7F077" w14:textId="77777777" w:rsidR="00F31E6A" w:rsidRPr="008B6F35" w:rsidRDefault="00F31E6A" w:rsidP="00D00A94">
            <w:pPr>
              <w:spacing w:line="360" w:lineRule="auto"/>
              <w:jc w:val="both"/>
              <w:rPr>
                <w:sz w:val="22"/>
                <w:szCs w:val="22"/>
                <w:lang w:val="en-ZA"/>
              </w:rPr>
            </w:pPr>
          </w:p>
        </w:tc>
        <w:tc>
          <w:tcPr>
            <w:tcW w:w="1559" w:type="dxa"/>
          </w:tcPr>
          <w:p w14:paraId="7A60FB77" w14:textId="77777777" w:rsidR="00F31E6A" w:rsidRPr="008B6F35" w:rsidRDefault="00F31E6A" w:rsidP="00D00A94">
            <w:pPr>
              <w:spacing w:line="360" w:lineRule="auto"/>
              <w:jc w:val="both"/>
              <w:rPr>
                <w:sz w:val="22"/>
                <w:szCs w:val="22"/>
                <w:lang w:val="en-ZA"/>
              </w:rPr>
            </w:pPr>
          </w:p>
        </w:tc>
        <w:tc>
          <w:tcPr>
            <w:tcW w:w="1418" w:type="dxa"/>
            <w:shd w:val="clear" w:color="auto" w:fill="auto"/>
          </w:tcPr>
          <w:p w14:paraId="759BF658" w14:textId="77777777" w:rsidR="00F31E6A" w:rsidRPr="008B6F35" w:rsidRDefault="00F31E6A" w:rsidP="00D00A94">
            <w:pPr>
              <w:spacing w:line="360" w:lineRule="auto"/>
              <w:jc w:val="both"/>
              <w:rPr>
                <w:sz w:val="22"/>
                <w:szCs w:val="22"/>
                <w:lang w:val="en-ZA"/>
              </w:rPr>
            </w:pPr>
          </w:p>
        </w:tc>
      </w:tr>
      <w:tr w:rsidR="000908E2" w:rsidRPr="006B0CFA" w14:paraId="4E33A866" w14:textId="77777777" w:rsidTr="008B6F35">
        <w:tc>
          <w:tcPr>
            <w:tcW w:w="3030" w:type="dxa"/>
          </w:tcPr>
          <w:p w14:paraId="5AB81787" w14:textId="77777777" w:rsidR="00F31E6A" w:rsidRPr="008B6F35" w:rsidRDefault="00F31E6A" w:rsidP="00D00A94">
            <w:pPr>
              <w:spacing w:line="360" w:lineRule="auto"/>
              <w:rPr>
                <w:sz w:val="22"/>
                <w:szCs w:val="22"/>
                <w:lang w:val="en-ZA"/>
              </w:rPr>
            </w:pPr>
            <w:r w:rsidRPr="008B6F35">
              <w:rPr>
                <w:b/>
                <w:sz w:val="22"/>
                <w:szCs w:val="22"/>
                <w:lang w:val="en-ZA"/>
              </w:rPr>
              <w:t>1.</w:t>
            </w:r>
            <w:r w:rsidRPr="008B6F35">
              <w:rPr>
                <w:sz w:val="22"/>
                <w:szCs w:val="22"/>
                <w:lang w:val="en-ZA"/>
              </w:rPr>
              <w:t xml:space="preserve">  Agricultural Research Council </w:t>
            </w:r>
          </w:p>
        </w:tc>
        <w:tc>
          <w:tcPr>
            <w:tcW w:w="1743" w:type="dxa"/>
            <w:shd w:val="clear" w:color="auto" w:fill="FFFFFF" w:themeFill="background1"/>
          </w:tcPr>
          <w:p w14:paraId="636B6D7C" w14:textId="77777777" w:rsidR="00F31E6A" w:rsidRPr="008B6F35" w:rsidRDefault="00FA2C8B" w:rsidP="00D00A94">
            <w:pPr>
              <w:spacing w:line="360" w:lineRule="auto"/>
              <w:jc w:val="both"/>
              <w:rPr>
                <w:sz w:val="22"/>
                <w:szCs w:val="22"/>
                <w:lang w:val="en-ZA"/>
              </w:rPr>
            </w:pPr>
            <w:r w:rsidRPr="008B6F35">
              <w:rPr>
                <w:sz w:val="22"/>
                <w:szCs w:val="22"/>
                <w:lang w:val="en-ZA"/>
              </w:rPr>
              <w:t>R1 031.1</w:t>
            </w:r>
          </w:p>
        </w:tc>
        <w:tc>
          <w:tcPr>
            <w:tcW w:w="1493" w:type="dxa"/>
            <w:shd w:val="clear" w:color="auto" w:fill="D9D9D9"/>
          </w:tcPr>
          <w:p w14:paraId="2B5406EA" w14:textId="77777777" w:rsidR="00F31E6A" w:rsidRPr="008B6F35" w:rsidRDefault="00F31E6A" w:rsidP="00BB27B0">
            <w:pPr>
              <w:spacing w:line="360" w:lineRule="auto"/>
              <w:jc w:val="both"/>
              <w:rPr>
                <w:sz w:val="22"/>
                <w:szCs w:val="22"/>
                <w:lang w:val="en-ZA"/>
              </w:rPr>
            </w:pPr>
            <w:r w:rsidRPr="008B6F35">
              <w:rPr>
                <w:sz w:val="22"/>
                <w:szCs w:val="22"/>
                <w:lang w:val="en-ZA"/>
              </w:rPr>
              <w:t>R1</w:t>
            </w:r>
            <w:r w:rsidR="00F56AAA" w:rsidRPr="008B6F35">
              <w:rPr>
                <w:sz w:val="22"/>
                <w:szCs w:val="22"/>
                <w:lang w:val="en-ZA"/>
              </w:rPr>
              <w:t> </w:t>
            </w:r>
            <w:r w:rsidRPr="008B6F35">
              <w:rPr>
                <w:sz w:val="22"/>
                <w:szCs w:val="22"/>
                <w:lang w:val="en-ZA"/>
              </w:rPr>
              <w:t>223</w:t>
            </w:r>
            <w:r w:rsidR="00F56AAA" w:rsidRPr="008B6F35">
              <w:rPr>
                <w:sz w:val="22"/>
                <w:szCs w:val="22"/>
                <w:lang w:val="en-ZA"/>
              </w:rPr>
              <w:t>.</w:t>
            </w:r>
            <w:r w:rsidRPr="008B6F35">
              <w:rPr>
                <w:sz w:val="22"/>
                <w:szCs w:val="22"/>
                <w:lang w:val="en-ZA"/>
              </w:rPr>
              <w:t xml:space="preserve">8 </w:t>
            </w:r>
          </w:p>
        </w:tc>
        <w:tc>
          <w:tcPr>
            <w:tcW w:w="1559" w:type="dxa"/>
          </w:tcPr>
          <w:p w14:paraId="519A02D1" w14:textId="77777777" w:rsidR="00F31E6A" w:rsidRPr="008B6F35" w:rsidRDefault="00F31E6A" w:rsidP="00BB27B0">
            <w:pPr>
              <w:spacing w:line="360" w:lineRule="auto"/>
              <w:jc w:val="both"/>
              <w:rPr>
                <w:sz w:val="22"/>
                <w:szCs w:val="22"/>
                <w:lang w:val="en-ZA"/>
              </w:rPr>
            </w:pPr>
            <w:r w:rsidRPr="008B6F35">
              <w:rPr>
                <w:sz w:val="22"/>
                <w:szCs w:val="22"/>
                <w:lang w:val="en-ZA"/>
              </w:rPr>
              <w:t>R1</w:t>
            </w:r>
            <w:r w:rsidR="00F56AAA" w:rsidRPr="008B6F35">
              <w:rPr>
                <w:sz w:val="22"/>
                <w:szCs w:val="22"/>
                <w:lang w:val="en-ZA"/>
              </w:rPr>
              <w:t> </w:t>
            </w:r>
            <w:r w:rsidRPr="008B6F35">
              <w:rPr>
                <w:sz w:val="22"/>
                <w:szCs w:val="22"/>
                <w:lang w:val="en-ZA"/>
              </w:rPr>
              <w:t>293</w:t>
            </w:r>
            <w:r w:rsidR="00F56AAA" w:rsidRPr="008B6F35">
              <w:rPr>
                <w:sz w:val="22"/>
                <w:szCs w:val="22"/>
                <w:lang w:val="en-ZA"/>
              </w:rPr>
              <w:t>.</w:t>
            </w:r>
            <w:r w:rsidR="00BB27B0" w:rsidRPr="008B6F35">
              <w:rPr>
                <w:sz w:val="22"/>
                <w:szCs w:val="22"/>
                <w:lang w:val="en-ZA"/>
              </w:rPr>
              <w:t>9</w:t>
            </w:r>
          </w:p>
        </w:tc>
        <w:tc>
          <w:tcPr>
            <w:tcW w:w="1418" w:type="dxa"/>
            <w:shd w:val="clear" w:color="auto" w:fill="auto"/>
          </w:tcPr>
          <w:p w14:paraId="1C6AF487" w14:textId="77777777" w:rsidR="00F31E6A" w:rsidRPr="008B6F35" w:rsidRDefault="00F31E6A" w:rsidP="00BB27B0">
            <w:pPr>
              <w:spacing w:line="360" w:lineRule="auto"/>
              <w:jc w:val="both"/>
              <w:rPr>
                <w:sz w:val="22"/>
                <w:szCs w:val="22"/>
                <w:lang w:val="en-ZA"/>
              </w:rPr>
            </w:pPr>
            <w:r w:rsidRPr="008B6F35">
              <w:rPr>
                <w:sz w:val="22"/>
                <w:szCs w:val="22"/>
                <w:lang w:val="en-ZA"/>
              </w:rPr>
              <w:t>R1</w:t>
            </w:r>
            <w:r w:rsidR="00F56AAA" w:rsidRPr="008B6F35">
              <w:rPr>
                <w:sz w:val="22"/>
                <w:szCs w:val="22"/>
                <w:lang w:val="en-ZA"/>
              </w:rPr>
              <w:t> </w:t>
            </w:r>
            <w:r w:rsidRPr="008B6F35">
              <w:rPr>
                <w:sz w:val="22"/>
                <w:szCs w:val="22"/>
                <w:lang w:val="en-ZA"/>
              </w:rPr>
              <w:t>347</w:t>
            </w:r>
            <w:r w:rsidR="00F56AAA" w:rsidRPr="008B6F35">
              <w:rPr>
                <w:sz w:val="22"/>
                <w:szCs w:val="22"/>
                <w:lang w:val="en-ZA"/>
              </w:rPr>
              <w:t>.</w:t>
            </w:r>
            <w:r w:rsidR="00BB27B0" w:rsidRPr="008B6F35">
              <w:rPr>
                <w:sz w:val="22"/>
                <w:szCs w:val="22"/>
                <w:lang w:val="en-ZA"/>
              </w:rPr>
              <w:t>6</w:t>
            </w:r>
            <w:r w:rsidRPr="008B6F35">
              <w:rPr>
                <w:sz w:val="22"/>
                <w:szCs w:val="22"/>
                <w:lang w:val="en-ZA"/>
              </w:rPr>
              <w:t xml:space="preserve"> </w:t>
            </w:r>
          </w:p>
        </w:tc>
      </w:tr>
      <w:tr w:rsidR="000908E2" w:rsidRPr="006B0CFA" w14:paraId="381F0CA2" w14:textId="77777777" w:rsidTr="008B6F35">
        <w:tc>
          <w:tcPr>
            <w:tcW w:w="3030" w:type="dxa"/>
          </w:tcPr>
          <w:p w14:paraId="2ED0243A" w14:textId="77777777" w:rsidR="00F31E6A" w:rsidRPr="008B6F35" w:rsidRDefault="00F31E6A" w:rsidP="00D00A94">
            <w:pPr>
              <w:spacing w:line="360" w:lineRule="auto"/>
              <w:rPr>
                <w:sz w:val="22"/>
                <w:szCs w:val="22"/>
                <w:lang w:val="en-ZA"/>
              </w:rPr>
            </w:pPr>
            <w:r w:rsidRPr="008B6F35">
              <w:rPr>
                <w:b/>
                <w:sz w:val="22"/>
                <w:szCs w:val="22"/>
                <w:lang w:val="en-ZA"/>
              </w:rPr>
              <w:t>2.</w:t>
            </w:r>
            <w:r w:rsidRPr="008B6F35">
              <w:rPr>
                <w:sz w:val="22"/>
                <w:szCs w:val="22"/>
                <w:lang w:val="en-ZA"/>
              </w:rPr>
              <w:t xml:space="preserve"> Onderstepoort Biological Products</w:t>
            </w:r>
          </w:p>
        </w:tc>
        <w:tc>
          <w:tcPr>
            <w:tcW w:w="1743" w:type="dxa"/>
            <w:shd w:val="clear" w:color="auto" w:fill="FFFFFF" w:themeFill="background1"/>
          </w:tcPr>
          <w:p w14:paraId="020A9061" w14:textId="77777777" w:rsidR="00F31E6A" w:rsidRPr="008B6F35" w:rsidRDefault="00FA2C8B" w:rsidP="00D00A94">
            <w:pPr>
              <w:spacing w:line="360" w:lineRule="auto"/>
              <w:jc w:val="both"/>
              <w:rPr>
                <w:sz w:val="22"/>
                <w:szCs w:val="22"/>
                <w:lang w:val="en-ZA"/>
              </w:rPr>
            </w:pPr>
            <w:r w:rsidRPr="008B6F35">
              <w:rPr>
                <w:sz w:val="22"/>
                <w:szCs w:val="22"/>
                <w:lang w:val="en-ZA"/>
              </w:rPr>
              <w:t>-</w:t>
            </w:r>
          </w:p>
        </w:tc>
        <w:tc>
          <w:tcPr>
            <w:tcW w:w="1493" w:type="dxa"/>
            <w:shd w:val="clear" w:color="auto" w:fill="D9D9D9"/>
          </w:tcPr>
          <w:p w14:paraId="6A517B67" w14:textId="77777777" w:rsidR="00F31E6A" w:rsidRPr="008B6F35" w:rsidRDefault="00F31E6A" w:rsidP="00D00A94">
            <w:pPr>
              <w:spacing w:line="360" w:lineRule="auto"/>
              <w:jc w:val="both"/>
              <w:rPr>
                <w:sz w:val="22"/>
                <w:szCs w:val="22"/>
                <w:lang w:val="en-ZA"/>
              </w:rPr>
            </w:pPr>
            <w:r w:rsidRPr="008B6F35">
              <w:rPr>
                <w:sz w:val="22"/>
                <w:szCs w:val="22"/>
                <w:lang w:val="en-ZA"/>
              </w:rPr>
              <w:t>-</w:t>
            </w:r>
          </w:p>
        </w:tc>
        <w:tc>
          <w:tcPr>
            <w:tcW w:w="1559" w:type="dxa"/>
          </w:tcPr>
          <w:p w14:paraId="52F81807" w14:textId="77777777" w:rsidR="00F31E6A" w:rsidRPr="008B6F35" w:rsidRDefault="00F31E6A" w:rsidP="00D00A94">
            <w:pPr>
              <w:spacing w:line="360" w:lineRule="auto"/>
              <w:jc w:val="both"/>
              <w:rPr>
                <w:sz w:val="22"/>
                <w:szCs w:val="22"/>
                <w:lang w:val="en-ZA"/>
              </w:rPr>
            </w:pPr>
            <w:r w:rsidRPr="008B6F35">
              <w:rPr>
                <w:sz w:val="22"/>
                <w:szCs w:val="22"/>
                <w:lang w:val="en-ZA"/>
              </w:rPr>
              <w:t>-</w:t>
            </w:r>
          </w:p>
        </w:tc>
        <w:tc>
          <w:tcPr>
            <w:tcW w:w="1418" w:type="dxa"/>
            <w:shd w:val="clear" w:color="auto" w:fill="auto"/>
          </w:tcPr>
          <w:p w14:paraId="12BEADD2" w14:textId="77777777" w:rsidR="00F31E6A" w:rsidRPr="008B6F35" w:rsidRDefault="00F31E6A" w:rsidP="00D00A94">
            <w:pPr>
              <w:spacing w:line="360" w:lineRule="auto"/>
              <w:jc w:val="both"/>
              <w:rPr>
                <w:sz w:val="22"/>
                <w:szCs w:val="22"/>
                <w:lang w:val="en-ZA"/>
              </w:rPr>
            </w:pPr>
            <w:r w:rsidRPr="008B6F35">
              <w:rPr>
                <w:sz w:val="22"/>
                <w:szCs w:val="22"/>
                <w:lang w:val="en-ZA"/>
              </w:rPr>
              <w:t>-</w:t>
            </w:r>
          </w:p>
        </w:tc>
      </w:tr>
      <w:tr w:rsidR="000908E2" w:rsidRPr="006B0CFA" w14:paraId="00108FAF" w14:textId="77777777" w:rsidTr="008B6F35">
        <w:trPr>
          <w:trHeight w:val="453"/>
        </w:trPr>
        <w:tc>
          <w:tcPr>
            <w:tcW w:w="3030" w:type="dxa"/>
          </w:tcPr>
          <w:p w14:paraId="1A34774C" w14:textId="77777777" w:rsidR="00F31E6A" w:rsidRPr="008B6F35" w:rsidRDefault="00F31E6A" w:rsidP="00D00A94">
            <w:pPr>
              <w:spacing w:line="360" w:lineRule="auto"/>
              <w:rPr>
                <w:sz w:val="22"/>
                <w:szCs w:val="22"/>
                <w:lang w:val="en-ZA"/>
              </w:rPr>
            </w:pPr>
            <w:r w:rsidRPr="008B6F35">
              <w:rPr>
                <w:b/>
                <w:sz w:val="22"/>
                <w:szCs w:val="22"/>
                <w:lang w:val="en-ZA"/>
              </w:rPr>
              <w:t>3.</w:t>
            </w:r>
            <w:r w:rsidRPr="008B6F35">
              <w:rPr>
                <w:sz w:val="22"/>
                <w:szCs w:val="22"/>
                <w:lang w:val="en-ZA"/>
              </w:rPr>
              <w:t xml:space="preserve"> Marine Living Resources Fund</w:t>
            </w:r>
          </w:p>
        </w:tc>
        <w:tc>
          <w:tcPr>
            <w:tcW w:w="1743" w:type="dxa"/>
            <w:shd w:val="clear" w:color="auto" w:fill="FFFFFF" w:themeFill="background1"/>
          </w:tcPr>
          <w:p w14:paraId="69D16D48" w14:textId="77777777" w:rsidR="00F31E6A" w:rsidRPr="008B6F35" w:rsidRDefault="00BB27B0" w:rsidP="00D00A94">
            <w:pPr>
              <w:spacing w:line="360" w:lineRule="auto"/>
              <w:jc w:val="both"/>
              <w:rPr>
                <w:sz w:val="22"/>
                <w:szCs w:val="22"/>
                <w:lang w:val="en-ZA"/>
              </w:rPr>
            </w:pPr>
            <w:r w:rsidRPr="008B6F35">
              <w:rPr>
                <w:sz w:val="22"/>
                <w:szCs w:val="22"/>
                <w:lang w:val="en-ZA"/>
              </w:rPr>
              <w:t>R259.7</w:t>
            </w:r>
          </w:p>
        </w:tc>
        <w:tc>
          <w:tcPr>
            <w:tcW w:w="1493" w:type="dxa"/>
            <w:shd w:val="clear" w:color="auto" w:fill="D9D9D9"/>
          </w:tcPr>
          <w:p w14:paraId="225A58B9" w14:textId="77777777" w:rsidR="00F31E6A" w:rsidRPr="008B6F35" w:rsidRDefault="00F31E6A" w:rsidP="00BB27B0">
            <w:pPr>
              <w:spacing w:line="360" w:lineRule="auto"/>
              <w:jc w:val="both"/>
              <w:rPr>
                <w:sz w:val="22"/>
                <w:szCs w:val="22"/>
                <w:lang w:val="en-ZA"/>
              </w:rPr>
            </w:pPr>
            <w:r w:rsidRPr="008B6F35">
              <w:rPr>
                <w:sz w:val="22"/>
                <w:szCs w:val="22"/>
                <w:lang w:val="en-ZA"/>
              </w:rPr>
              <w:t xml:space="preserve"> R274</w:t>
            </w:r>
            <w:r w:rsidR="00F56AAA" w:rsidRPr="008B6F35">
              <w:rPr>
                <w:sz w:val="22"/>
                <w:szCs w:val="22"/>
                <w:lang w:val="en-ZA"/>
              </w:rPr>
              <w:t>.</w:t>
            </w:r>
            <w:r w:rsidR="00BB27B0" w:rsidRPr="008B6F35">
              <w:rPr>
                <w:sz w:val="22"/>
                <w:szCs w:val="22"/>
                <w:lang w:val="en-ZA"/>
              </w:rPr>
              <w:t>3</w:t>
            </w:r>
          </w:p>
        </w:tc>
        <w:tc>
          <w:tcPr>
            <w:tcW w:w="1559" w:type="dxa"/>
          </w:tcPr>
          <w:p w14:paraId="7F0A6474" w14:textId="77777777" w:rsidR="00F31E6A" w:rsidRPr="008B6F35" w:rsidRDefault="00F31E6A" w:rsidP="00BB27B0">
            <w:pPr>
              <w:spacing w:line="360" w:lineRule="auto"/>
              <w:jc w:val="both"/>
              <w:rPr>
                <w:sz w:val="22"/>
                <w:szCs w:val="22"/>
                <w:lang w:val="en-ZA"/>
              </w:rPr>
            </w:pPr>
            <w:r w:rsidRPr="008B6F35">
              <w:rPr>
                <w:sz w:val="22"/>
                <w:szCs w:val="22"/>
                <w:lang w:val="en-ZA"/>
              </w:rPr>
              <w:t>R289</w:t>
            </w:r>
            <w:r w:rsidR="00F56AAA" w:rsidRPr="008B6F35">
              <w:rPr>
                <w:sz w:val="22"/>
                <w:szCs w:val="22"/>
                <w:lang w:val="en-ZA"/>
              </w:rPr>
              <w:t>.</w:t>
            </w:r>
            <w:r w:rsidRPr="008B6F35">
              <w:rPr>
                <w:sz w:val="22"/>
                <w:szCs w:val="22"/>
                <w:lang w:val="en-ZA"/>
              </w:rPr>
              <w:t>3</w:t>
            </w:r>
          </w:p>
        </w:tc>
        <w:tc>
          <w:tcPr>
            <w:tcW w:w="1418" w:type="dxa"/>
            <w:shd w:val="clear" w:color="auto" w:fill="auto"/>
          </w:tcPr>
          <w:p w14:paraId="4CBCBFA2" w14:textId="77777777" w:rsidR="00F31E6A" w:rsidRPr="008B6F35" w:rsidRDefault="00F31E6A" w:rsidP="00BB27B0">
            <w:pPr>
              <w:spacing w:line="360" w:lineRule="auto"/>
              <w:jc w:val="both"/>
              <w:rPr>
                <w:sz w:val="22"/>
                <w:szCs w:val="22"/>
                <w:lang w:val="en-ZA"/>
              </w:rPr>
            </w:pPr>
            <w:r w:rsidRPr="008B6F35">
              <w:rPr>
                <w:sz w:val="22"/>
                <w:szCs w:val="22"/>
                <w:lang w:val="en-ZA"/>
              </w:rPr>
              <w:t>R305</w:t>
            </w:r>
            <w:r w:rsidR="00F56AAA" w:rsidRPr="008B6F35">
              <w:rPr>
                <w:sz w:val="22"/>
                <w:szCs w:val="22"/>
                <w:lang w:val="en-ZA"/>
              </w:rPr>
              <w:t>.</w:t>
            </w:r>
            <w:r w:rsidRPr="008B6F35">
              <w:rPr>
                <w:sz w:val="22"/>
                <w:szCs w:val="22"/>
                <w:lang w:val="en-ZA"/>
              </w:rPr>
              <w:t xml:space="preserve"> </w:t>
            </w:r>
            <w:r w:rsidR="00BB27B0" w:rsidRPr="008B6F35">
              <w:rPr>
                <w:sz w:val="22"/>
                <w:szCs w:val="22"/>
                <w:lang w:val="en-ZA"/>
              </w:rPr>
              <w:t>3</w:t>
            </w:r>
          </w:p>
        </w:tc>
      </w:tr>
      <w:tr w:rsidR="000908E2" w:rsidRPr="006B0CFA" w14:paraId="59DF4BB9" w14:textId="77777777" w:rsidTr="008B6F35">
        <w:tc>
          <w:tcPr>
            <w:tcW w:w="3030" w:type="dxa"/>
          </w:tcPr>
          <w:p w14:paraId="1664DA49" w14:textId="77777777" w:rsidR="00F31E6A" w:rsidRPr="008B6F35" w:rsidRDefault="00F31E6A" w:rsidP="00D00A94">
            <w:pPr>
              <w:spacing w:line="360" w:lineRule="auto"/>
              <w:rPr>
                <w:sz w:val="22"/>
                <w:szCs w:val="22"/>
                <w:lang w:val="en-ZA"/>
              </w:rPr>
            </w:pPr>
            <w:r w:rsidRPr="008B6F35">
              <w:rPr>
                <w:b/>
                <w:sz w:val="22"/>
                <w:szCs w:val="22"/>
                <w:lang w:val="en-ZA"/>
              </w:rPr>
              <w:t>4.</w:t>
            </w:r>
            <w:r w:rsidRPr="008B6F35">
              <w:rPr>
                <w:sz w:val="22"/>
                <w:szCs w:val="22"/>
                <w:lang w:val="en-ZA"/>
              </w:rPr>
              <w:t xml:space="preserve"> National Agricultural Marketing Council</w:t>
            </w:r>
          </w:p>
        </w:tc>
        <w:tc>
          <w:tcPr>
            <w:tcW w:w="1743" w:type="dxa"/>
            <w:shd w:val="clear" w:color="auto" w:fill="FFFFFF" w:themeFill="background1"/>
          </w:tcPr>
          <w:p w14:paraId="3616CE5B" w14:textId="77777777" w:rsidR="00F31E6A" w:rsidRPr="008B6F35" w:rsidRDefault="00FA2C8B" w:rsidP="00D00A94">
            <w:pPr>
              <w:spacing w:line="360" w:lineRule="auto"/>
              <w:jc w:val="both"/>
              <w:rPr>
                <w:sz w:val="22"/>
                <w:szCs w:val="22"/>
                <w:lang w:val="en-ZA"/>
              </w:rPr>
            </w:pPr>
            <w:r w:rsidRPr="008B6F35">
              <w:rPr>
                <w:sz w:val="22"/>
                <w:szCs w:val="22"/>
                <w:lang w:val="en-ZA"/>
              </w:rPr>
              <w:t>R43.2</w:t>
            </w:r>
          </w:p>
        </w:tc>
        <w:tc>
          <w:tcPr>
            <w:tcW w:w="1493" w:type="dxa"/>
            <w:shd w:val="clear" w:color="auto" w:fill="D9D9D9"/>
          </w:tcPr>
          <w:p w14:paraId="23F74428" w14:textId="77777777" w:rsidR="00F31E6A" w:rsidRPr="008B6F35" w:rsidRDefault="00F31E6A" w:rsidP="00BB27B0">
            <w:pPr>
              <w:spacing w:line="360" w:lineRule="auto"/>
              <w:jc w:val="both"/>
              <w:rPr>
                <w:sz w:val="22"/>
                <w:szCs w:val="22"/>
                <w:lang w:val="en-ZA"/>
              </w:rPr>
            </w:pPr>
            <w:r w:rsidRPr="008B6F35">
              <w:rPr>
                <w:sz w:val="22"/>
                <w:szCs w:val="22"/>
                <w:lang w:val="en-ZA"/>
              </w:rPr>
              <w:t xml:space="preserve"> R45</w:t>
            </w:r>
            <w:r w:rsidR="00F56AAA" w:rsidRPr="008B6F35">
              <w:rPr>
                <w:sz w:val="22"/>
                <w:szCs w:val="22"/>
                <w:lang w:val="en-ZA"/>
              </w:rPr>
              <w:t>.</w:t>
            </w:r>
            <w:r w:rsidRPr="008B6F35">
              <w:rPr>
                <w:sz w:val="22"/>
                <w:szCs w:val="22"/>
                <w:lang w:val="en-ZA"/>
              </w:rPr>
              <w:t>2</w:t>
            </w:r>
          </w:p>
        </w:tc>
        <w:tc>
          <w:tcPr>
            <w:tcW w:w="1559" w:type="dxa"/>
          </w:tcPr>
          <w:p w14:paraId="5FFE84A7" w14:textId="77777777" w:rsidR="00F31E6A" w:rsidRPr="008B6F35" w:rsidRDefault="00F31E6A" w:rsidP="00BB27B0">
            <w:pPr>
              <w:spacing w:line="360" w:lineRule="auto"/>
              <w:jc w:val="both"/>
              <w:rPr>
                <w:sz w:val="22"/>
                <w:szCs w:val="22"/>
                <w:lang w:val="en-ZA"/>
              </w:rPr>
            </w:pPr>
            <w:r w:rsidRPr="008B6F35">
              <w:rPr>
                <w:sz w:val="22"/>
                <w:szCs w:val="22"/>
                <w:lang w:val="en-ZA"/>
              </w:rPr>
              <w:t>R47</w:t>
            </w:r>
            <w:r w:rsidR="00F56AAA" w:rsidRPr="008B6F35">
              <w:rPr>
                <w:sz w:val="22"/>
                <w:szCs w:val="22"/>
                <w:lang w:val="en-ZA"/>
              </w:rPr>
              <w:t>.</w:t>
            </w:r>
            <w:r w:rsidRPr="008B6F35">
              <w:rPr>
                <w:sz w:val="22"/>
                <w:szCs w:val="22"/>
                <w:lang w:val="en-ZA"/>
              </w:rPr>
              <w:t>7</w:t>
            </w:r>
          </w:p>
        </w:tc>
        <w:tc>
          <w:tcPr>
            <w:tcW w:w="1418" w:type="dxa"/>
            <w:shd w:val="clear" w:color="auto" w:fill="auto"/>
          </w:tcPr>
          <w:p w14:paraId="4233D781" w14:textId="77777777" w:rsidR="00F31E6A" w:rsidRPr="008B6F35" w:rsidRDefault="00F31E6A" w:rsidP="00BB27B0">
            <w:pPr>
              <w:spacing w:line="360" w:lineRule="auto"/>
              <w:jc w:val="both"/>
              <w:rPr>
                <w:sz w:val="22"/>
                <w:szCs w:val="22"/>
                <w:lang w:val="en-ZA"/>
              </w:rPr>
            </w:pPr>
            <w:r w:rsidRPr="008B6F35">
              <w:rPr>
                <w:sz w:val="22"/>
                <w:szCs w:val="22"/>
                <w:lang w:val="en-ZA"/>
              </w:rPr>
              <w:t>R50</w:t>
            </w:r>
            <w:r w:rsidR="00F56AAA" w:rsidRPr="008B6F35">
              <w:rPr>
                <w:sz w:val="22"/>
                <w:szCs w:val="22"/>
                <w:lang w:val="en-ZA"/>
              </w:rPr>
              <w:t>.</w:t>
            </w:r>
            <w:r w:rsidRPr="008B6F35">
              <w:rPr>
                <w:sz w:val="22"/>
                <w:szCs w:val="22"/>
                <w:lang w:val="en-ZA"/>
              </w:rPr>
              <w:t>3</w:t>
            </w:r>
          </w:p>
        </w:tc>
      </w:tr>
      <w:tr w:rsidR="000908E2" w:rsidRPr="006B0CFA" w14:paraId="1437BF12" w14:textId="77777777" w:rsidTr="008B6F35">
        <w:tc>
          <w:tcPr>
            <w:tcW w:w="3030" w:type="dxa"/>
          </w:tcPr>
          <w:p w14:paraId="6668EC92" w14:textId="77777777" w:rsidR="00F31E6A" w:rsidRPr="008B6F35" w:rsidRDefault="00F31E6A" w:rsidP="00D00A94">
            <w:pPr>
              <w:spacing w:line="360" w:lineRule="auto"/>
              <w:rPr>
                <w:sz w:val="22"/>
                <w:szCs w:val="22"/>
                <w:lang w:val="en-ZA"/>
              </w:rPr>
            </w:pPr>
            <w:r w:rsidRPr="008B6F35">
              <w:rPr>
                <w:b/>
                <w:sz w:val="22"/>
                <w:szCs w:val="22"/>
                <w:lang w:val="en-ZA"/>
              </w:rPr>
              <w:t>5.</w:t>
            </w:r>
            <w:r w:rsidRPr="008B6F35">
              <w:rPr>
                <w:sz w:val="22"/>
                <w:szCs w:val="22"/>
                <w:lang w:val="en-ZA"/>
              </w:rPr>
              <w:t xml:space="preserve"> Perishable Products Export Control Board  </w:t>
            </w:r>
          </w:p>
        </w:tc>
        <w:tc>
          <w:tcPr>
            <w:tcW w:w="1743" w:type="dxa"/>
            <w:shd w:val="clear" w:color="auto" w:fill="FFFFFF" w:themeFill="background1"/>
          </w:tcPr>
          <w:p w14:paraId="62487A40" w14:textId="77777777" w:rsidR="00F31E6A" w:rsidRPr="008B6F35" w:rsidRDefault="005B5C93" w:rsidP="004E1C7B">
            <w:pPr>
              <w:spacing w:line="360" w:lineRule="auto"/>
              <w:jc w:val="both"/>
              <w:rPr>
                <w:sz w:val="22"/>
                <w:szCs w:val="22"/>
                <w:lang w:val="en-ZA"/>
              </w:rPr>
            </w:pPr>
            <w:r w:rsidRPr="008B6F35">
              <w:rPr>
                <w:sz w:val="22"/>
                <w:szCs w:val="22"/>
                <w:lang w:val="en-ZA"/>
              </w:rPr>
              <w:t>R0.6</w:t>
            </w:r>
          </w:p>
        </w:tc>
        <w:tc>
          <w:tcPr>
            <w:tcW w:w="1493" w:type="dxa"/>
            <w:shd w:val="clear" w:color="auto" w:fill="D9D9D9"/>
          </w:tcPr>
          <w:p w14:paraId="1186C198" w14:textId="77777777" w:rsidR="00F31E6A" w:rsidRPr="008B6F35" w:rsidRDefault="00F31E6A" w:rsidP="00BB27B0">
            <w:pPr>
              <w:spacing w:line="360" w:lineRule="auto"/>
              <w:jc w:val="both"/>
              <w:rPr>
                <w:sz w:val="22"/>
                <w:szCs w:val="22"/>
                <w:lang w:val="en-ZA"/>
              </w:rPr>
            </w:pPr>
            <w:r w:rsidRPr="008B6F35">
              <w:rPr>
                <w:sz w:val="22"/>
                <w:szCs w:val="22"/>
                <w:lang w:val="en-ZA"/>
              </w:rPr>
              <w:t>R0.585</w:t>
            </w:r>
          </w:p>
        </w:tc>
        <w:tc>
          <w:tcPr>
            <w:tcW w:w="1559" w:type="dxa"/>
          </w:tcPr>
          <w:p w14:paraId="79BD9D9C" w14:textId="77777777" w:rsidR="00F31E6A" w:rsidRPr="008B6F35" w:rsidRDefault="00F31E6A" w:rsidP="00BB27B0">
            <w:pPr>
              <w:spacing w:line="360" w:lineRule="auto"/>
              <w:jc w:val="both"/>
              <w:rPr>
                <w:sz w:val="22"/>
                <w:szCs w:val="22"/>
                <w:lang w:val="en-ZA"/>
              </w:rPr>
            </w:pPr>
            <w:r w:rsidRPr="008B6F35">
              <w:rPr>
                <w:sz w:val="22"/>
                <w:szCs w:val="22"/>
                <w:lang w:val="en-ZA"/>
              </w:rPr>
              <w:t>R0.584</w:t>
            </w:r>
          </w:p>
        </w:tc>
        <w:tc>
          <w:tcPr>
            <w:tcW w:w="1418" w:type="dxa"/>
            <w:shd w:val="clear" w:color="auto" w:fill="auto"/>
          </w:tcPr>
          <w:p w14:paraId="7A546F1E" w14:textId="77777777" w:rsidR="00F31E6A" w:rsidRPr="008B6F35" w:rsidRDefault="00F31E6A" w:rsidP="00BB27B0">
            <w:pPr>
              <w:spacing w:line="360" w:lineRule="auto"/>
              <w:jc w:val="both"/>
              <w:rPr>
                <w:sz w:val="22"/>
                <w:szCs w:val="22"/>
                <w:lang w:val="en-ZA"/>
              </w:rPr>
            </w:pPr>
            <w:r w:rsidRPr="008B6F35">
              <w:rPr>
                <w:sz w:val="22"/>
                <w:szCs w:val="22"/>
                <w:lang w:val="en-ZA"/>
              </w:rPr>
              <w:t>R0.6</w:t>
            </w:r>
          </w:p>
        </w:tc>
      </w:tr>
      <w:tr w:rsidR="000908E2" w:rsidRPr="006B0CFA" w14:paraId="094D4876" w14:textId="77777777" w:rsidTr="008B6F35">
        <w:tc>
          <w:tcPr>
            <w:tcW w:w="3030" w:type="dxa"/>
            <w:shd w:val="clear" w:color="auto" w:fill="D9D9D9"/>
          </w:tcPr>
          <w:p w14:paraId="39A9E20B" w14:textId="77777777" w:rsidR="00F31E6A" w:rsidRPr="008B6F35" w:rsidRDefault="00F31E6A" w:rsidP="00D00A94">
            <w:pPr>
              <w:spacing w:line="360" w:lineRule="auto"/>
              <w:jc w:val="both"/>
              <w:rPr>
                <w:b/>
                <w:sz w:val="22"/>
                <w:szCs w:val="22"/>
                <w:lang w:val="en-ZA"/>
              </w:rPr>
            </w:pPr>
            <w:r w:rsidRPr="008B6F35">
              <w:rPr>
                <w:b/>
                <w:sz w:val="22"/>
                <w:szCs w:val="22"/>
                <w:lang w:val="en-ZA"/>
              </w:rPr>
              <w:t xml:space="preserve">Total </w:t>
            </w:r>
          </w:p>
        </w:tc>
        <w:tc>
          <w:tcPr>
            <w:tcW w:w="1743" w:type="dxa"/>
            <w:shd w:val="clear" w:color="auto" w:fill="D9D9D9"/>
          </w:tcPr>
          <w:p w14:paraId="455184EE" w14:textId="77777777" w:rsidR="00F31E6A" w:rsidRPr="008B6F35" w:rsidRDefault="00DD45B6" w:rsidP="00D00A94">
            <w:pPr>
              <w:spacing w:line="360" w:lineRule="auto"/>
              <w:jc w:val="both"/>
              <w:rPr>
                <w:b/>
                <w:sz w:val="22"/>
                <w:szCs w:val="22"/>
                <w:lang w:val="en-ZA"/>
              </w:rPr>
            </w:pPr>
            <w:r w:rsidRPr="008B6F35">
              <w:rPr>
                <w:b/>
                <w:sz w:val="22"/>
                <w:szCs w:val="22"/>
                <w:lang w:val="en-ZA"/>
              </w:rPr>
              <w:t>R1 334.6</w:t>
            </w:r>
          </w:p>
        </w:tc>
        <w:tc>
          <w:tcPr>
            <w:tcW w:w="1493" w:type="dxa"/>
            <w:shd w:val="clear" w:color="auto" w:fill="D9D9D9"/>
          </w:tcPr>
          <w:p w14:paraId="63657C7E" w14:textId="77777777" w:rsidR="00F31E6A" w:rsidRPr="008B6F35" w:rsidRDefault="00F31E6A" w:rsidP="00D00A94">
            <w:pPr>
              <w:spacing w:line="360" w:lineRule="auto"/>
              <w:jc w:val="both"/>
              <w:rPr>
                <w:b/>
                <w:sz w:val="22"/>
                <w:szCs w:val="22"/>
                <w:lang w:val="en-ZA"/>
              </w:rPr>
            </w:pPr>
            <w:r w:rsidRPr="008B6F35">
              <w:rPr>
                <w:b/>
                <w:sz w:val="22"/>
                <w:szCs w:val="22"/>
                <w:lang w:val="en-ZA"/>
              </w:rPr>
              <w:t xml:space="preserve">R1 543.9 </w:t>
            </w:r>
          </w:p>
        </w:tc>
        <w:tc>
          <w:tcPr>
            <w:tcW w:w="1559" w:type="dxa"/>
            <w:shd w:val="clear" w:color="auto" w:fill="D9D9D9"/>
          </w:tcPr>
          <w:p w14:paraId="4765EC67" w14:textId="77777777" w:rsidR="00F31E6A" w:rsidRPr="008B6F35" w:rsidRDefault="00F31E6A" w:rsidP="00D00A94">
            <w:pPr>
              <w:spacing w:line="360" w:lineRule="auto"/>
              <w:jc w:val="both"/>
              <w:rPr>
                <w:b/>
                <w:sz w:val="22"/>
                <w:szCs w:val="22"/>
                <w:lang w:val="en-ZA"/>
              </w:rPr>
            </w:pPr>
            <w:r w:rsidRPr="008B6F35">
              <w:rPr>
                <w:b/>
                <w:sz w:val="22"/>
                <w:szCs w:val="22"/>
                <w:lang w:val="en-ZA"/>
              </w:rPr>
              <w:t>R1 631.5</w:t>
            </w:r>
          </w:p>
        </w:tc>
        <w:tc>
          <w:tcPr>
            <w:tcW w:w="1418" w:type="dxa"/>
            <w:shd w:val="clear" w:color="auto" w:fill="D9D9D9"/>
          </w:tcPr>
          <w:p w14:paraId="2C2B0436" w14:textId="77777777" w:rsidR="00F31E6A" w:rsidRPr="008B6F35" w:rsidRDefault="00F31E6A" w:rsidP="00D00A94">
            <w:pPr>
              <w:spacing w:line="360" w:lineRule="auto"/>
              <w:jc w:val="both"/>
              <w:rPr>
                <w:b/>
                <w:sz w:val="22"/>
                <w:szCs w:val="22"/>
                <w:lang w:val="en-ZA"/>
              </w:rPr>
            </w:pPr>
            <w:r w:rsidRPr="008B6F35">
              <w:rPr>
                <w:b/>
                <w:sz w:val="22"/>
                <w:szCs w:val="22"/>
                <w:lang w:val="en-ZA"/>
              </w:rPr>
              <w:t>R1 703.8</w:t>
            </w:r>
          </w:p>
        </w:tc>
      </w:tr>
    </w:tbl>
    <w:p w14:paraId="74E19D39" w14:textId="77777777" w:rsidR="0005361A" w:rsidRPr="008B6F35" w:rsidRDefault="009163A4" w:rsidP="00D00A94">
      <w:pPr>
        <w:spacing w:line="360" w:lineRule="auto"/>
        <w:jc w:val="both"/>
        <w:rPr>
          <w:sz w:val="22"/>
          <w:szCs w:val="22"/>
          <w:lang w:val="en-ZA"/>
        </w:rPr>
      </w:pPr>
      <w:r w:rsidRPr="008B6F35">
        <w:rPr>
          <w:sz w:val="22"/>
          <w:szCs w:val="22"/>
          <w:lang w:val="en-ZA"/>
        </w:rPr>
        <w:t xml:space="preserve">   </w:t>
      </w:r>
      <w:r w:rsidR="0005361A" w:rsidRPr="008B6F35">
        <w:rPr>
          <w:sz w:val="22"/>
          <w:szCs w:val="22"/>
          <w:lang w:val="en-ZA"/>
        </w:rPr>
        <w:t>Adapted from National Treasury (Estimates of National Expenditure, 201</w:t>
      </w:r>
      <w:r w:rsidR="00C507D8" w:rsidRPr="008B6F35">
        <w:rPr>
          <w:sz w:val="22"/>
          <w:szCs w:val="22"/>
          <w:lang w:val="en-ZA"/>
        </w:rPr>
        <w:t>9</w:t>
      </w:r>
      <w:r w:rsidR="0005361A" w:rsidRPr="008B6F35">
        <w:rPr>
          <w:sz w:val="22"/>
          <w:szCs w:val="22"/>
          <w:lang w:val="en-ZA"/>
        </w:rPr>
        <w:t>)</w:t>
      </w:r>
    </w:p>
    <w:p w14:paraId="0E59830E" w14:textId="77777777" w:rsidR="00F26C91" w:rsidRPr="00D00A94" w:rsidRDefault="00F26C91" w:rsidP="00D00A94">
      <w:pPr>
        <w:tabs>
          <w:tab w:val="left" w:pos="567"/>
          <w:tab w:val="left" w:pos="2012"/>
        </w:tabs>
        <w:autoSpaceDE w:val="0"/>
        <w:autoSpaceDN w:val="0"/>
        <w:adjustRightInd w:val="0"/>
        <w:spacing w:line="360" w:lineRule="auto"/>
        <w:jc w:val="both"/>
      </w:pPr>
    </w:p>
    <w:p w14:paraId="1B056091" w14:textId="77777777" w:rsidR="005630CC" w:rsidRPr="008B6F35" w:rsidRDefault="00FE641E" w:rsidP="00D00A94">
      <w:pPr>
        <w:tabs>
          <w:tab w:val="left" w:pos="567"/>
          <w:tab w:val="left" w:pos="2012"/>
        </w:tabs>
        <w:autoSpaceDE w:val="0"/>
        <w:autoSpaceDN w:val="0"/>
        <w:adjustRightInd w:val="0"/>
        <w:spacing w:line="360" w:lineRule="auto"/>
        <w:jc w:val="both"/>
        <w:rPr>
          <w:b/>
        </w:rPr>
      </w:pPr>
      <w:r>
        <w:rPr>
          <w:b/>
        </w:rPr>
        <w:t>5</w:t>
      </w:r>
      <w:r w:rsidR="00925AFE">
        <w:rPr>
          <w:b/>
        </w:rPr>
        <w:t xml:space="preserve">.1 </w:t>
      </w:r>
      <w:r w:rsidR="005630CC" w:rsidRPr="008B6F35">
        <w:rPr>
          <w:b/>
        </w:rPr>
        <w:t>The Agricultural Research Council (ARC)</w:t>
      </w:r>
    </w:p>
    <w:p w14:paraId="38566228" w14:textId="77777777" w:rsidR="00B24472" w:rsidRDefault="00B24472" w:rsidP="00D00A94">
      <w:pPr>
        <w:tabs>
          <w:tab w:val="left" w:pos="567"/>
          <w:tab w:val="left" w:pos="2012"/>
        </w:tabs>
        <w:autoSpaceDE w:val="0"/>
        <w:autoSpaceDN w:val="0"/>
        <w:adjustRightInd w:val="0"/>
        <w:spacing w:line="360" w:lineRule="auto"/>
        <w:jc w:val="both"/>
      </w:pPr>
    </w:p>
    <w:p w14:paraId="65007D4F" w14:textId="77777777" w:rsidR="001C3929" w:rsidRPr="008B6F35" w:rsidRDefault="005630CC" w:rsidP="008B6F35">
      <w:pPr>
        <w:spacing w:line="360" w:lineRule="auto"/>
        <w:jc w:val="both"/>
        <w:rPr>
          <w:lang w:val="en-ZA"/>
        </w:rPr>
      </w:pPr>
      <w:r w:rsidRPr="001C3929">
        <w:t xml:space="preserve">The ARC </w:t>
      </w:r>
      <w:r w:rsidR="00B24472" w:rsidRPr="008B6F35">
        <w:rPr>
          <w:rFonts w:cs="Arial"/>
        </w:rPr>
        <w:t xml:space="preserve">was established in terms of Section 2 of the Agricultural Research Act, 1990 (Act No. 86 of 1990) and is listed under Schedule 3A (national public entity) of the Public Finance Management Act (PFMA). </w:t>
      </w:r>
      <w:r w:rsidR="00B24472" w:rsidRPr="008B6F35">
        <w:rPr>
          <w:rFonts w:cs="Arial"/>
          <w:bCs/>
        </w:rPr>
        <w:t xml:space="preserve">The ARC is the principal agricultural research institution in the county. It provides agricultural research and development, technology transfer and support to the agricultural community. </w:t>
      </w:r>
      <w:r w:rsidR="00B24472" w:rsidRPr="008B6F35">
        <w:rPr>
          <w:bCs/>
        </w:rPr>
        <w:t xml:space="preserve">In addition, the ARC is the custodian of the country's national collections of insects.  </w:t>
      </w:r>
      <w:r w:rsidR="001C3929" w:rsidRPr="008B6F35">
        <w:rPr>
          <w:lang w:val="en-ZA"/>
        </w:rPr>
        <w:t>The ARC’s</w:t>
      </w:r>
      <w:r w:rsidR="00AE61ED">
        <w:rPr>
          <w:lang w:val="en-ZA"/>
        </w:rPr>
        <w:t xml:space="preserve"> outcome-oriented</w:t>
      </w:r>
      <w:r w:rsidR="001C3929" w:rsidRPr="008B6F35">
        <w:rPr>
          <w:lang w:val="en-ZA"/>
        </w:rPr>
        <w:t xml:space="preserve"> </w:t>
      </w:r>
      <w:r w:rsidR="00B548BE">
        <w:rPr>
          <w:lang w:val="en-ZA"/>
        </w:rPr>
        <w:t>S</w:t>
      </w:r>
      <w:r w:rsidR="001C3929" w:rsidRPr="008B6F35">
        <w:rPr>
          <w:lang w:val="en-ZA"/>
        </w:rPr>
        <w:t xml:space="preserve">trategic </w:t>
      </w:r>
      <w:r w:rsidR="00B548BE">
        <w:rPr>
          <w:lang w:val="en-ZA"/>
        </w:rPr>
        <w:t>G</w:t>
      </w:r>
      <w:r w:rsidR="001C3929" w:rsidRPr="008B6F35">
        <w:rPr>
          <w:lang w:val="en-ZA"/>
        </w:rPr>
        <w:t>oals over the medium term are to:</w:t>
      </w:r>
    </w:p>
    <w:p w14:paraId="5ED4254D" w14:textId="77777777" w:rsidR="001C3929" w:rsidRPr="008B6F35" w:rsidRDefault="00106329" w:rsidP="001175D3">
      <w:pPr>
        <w:numPr>
          <w:ilvl w:val="0"/>
          <w:numId w:val="2"/>
        </w:numPr>
        <w:spacing w:line="360" w:lineRule="auto"/>
        <w:jc w:val="both"/>
        <w:rPr>
          <w:lang w:val="en-ZA"/>
        </w:rPr>
      </w:pPr>
      <w:r>
        <w:rPr>
          <w:lang w:val="en-ZA"/>
        </w:rPr>
        <w:t xml:space="preserve">Generate knowledge and technologies that will enhance the efficiencies in crop-based agriculture. </w:t>
      </w:r>
    </w:p>
    <w:p w14:paraId="0BA7E081" w14:textId="77777777" w:rsidR="00106329" w:rsidRDefault="00106329" w:rsidP="001175D3">
      <w:pPr>
        <w:numPr>
          <w:ilvl w:val="0"/>
          <w:numId w:val="2"/>
        </w:numPr>
        <w:spacing w:line="360" w:lineRule="auto"/>
        <w:jc w:val="both"/>
        <w:rPr>
          <w:lang w:val="en-ZA"/>
        </w:rPr>
      </w:pPr>
      <w:r>
        <w:rPr>
          <w:lang w:val="en-ZA"/>
        </w:rPr>
        <w:t>Generate knowledge and technologies that will enhance the efficiencies in livestock, wildlife and aquaculture-based agriculture.</w:t>
      </w:r>
    </w:p>
    <w:p w14:paraId="425C6D0F" w14:textId="77777777" w:rsidR="00106329" w:rsidRDefault="00106329" w:rsidP="001175D3">
      <w:pPr>
        <w:numPr>
          <w:ilvl w:val="0"/>
          <w:numId w:val="2"/>
        </w:numPr>
        <w:spacing w:line="360" w:lineRule="auto"/>
        <w:jc w:val="both"/>
        <w:rPr>
          <w:lang w:val="en-ZA"/>
        </w:rPr>
      </w:pPr>
      <w:r>
        <w:rPr>
          <w:lang w:val="en-ZA"/>
        </w:rPr>
        <w:t>Generate knowledge and technologies for the conservation and utilisation of natural resources.</w:t>
      </w:r>
    </w:p>
    <w:p w14:paraId="6ED0BB21" w14:textId="77777777" w:rsidR="00106329" w:rsidRDefault="00106329" w:rsidP="001175D3">
      <w:pPr>
        <w:numPr>
          <w:ilvl w:val="0"/>
          <w:numId w:val="2"/>
        </w:numPr>
        <w:spacing w:line="360" w:lineRule="auto"/>
        <w:jc w:val="both"/>
        <w:rPr>
          <w:lang w:val="en-ZA"/>
        </w:rPr>
      </w:pPr>
      <w:r>
        <w:rPr>
          <w:lang w:val="en-ZA"/>
        </w:rPr>
        <w:t>Generate knowledge, solutions and technologies for food safety, quality and improved efficiencies in the agriculture value chain.</w:t>
      </w:r>
    </w:p>
    <w:p w14:paraId="58A7C34B" w14:textId="77777777" w:rsidR="00106329" w:rsidRDefault="00106329" w:rsidP="001175D3">
      <w:pPr>
        <w:numPr>
          <w:ilvl w:val="0"/>
          <w:numId w:val="2"/>
        </w:numPr>
        <w:spacing w:line="360" w:lineRule="auto"/>
        <w:jc w:val="both"/>
        <w:rPr>
          <w:lang w:val="en-ZA"/>
        </w:rPr>
      </w:pPr>
      <w:r>
        <w:rPr>
          <w:lang w:val="en-ZA"/>
        </w:rPr>
        <w:t>Generate and disseminate knowledge and technologies for decision making and transformation of the agricultural sector.</w:t>
      </w:r>
    </w:p>
    <w:p w14:paraId="36FBFA13" w14:textId="77777777" w:rsidR="00106329" w:rsidRDefault="00106329" w:rsidP="001175D3">
      <w:pPr>
        <w:numPr>
          <w:ilvl w:val="0"/>
          <w:numId w:val="2"/>
        </w:numPr>
        <w:spacing w:line="360" w:lineRule="auto"/>
        <w:jc w:val="both"/>
        <w:rPr>
          <w:lang w:val="en-ZA"/>
        </w:rPr>
      </w:pPr>
      <w:r>
        <w:rPr>
          <w:lang w:val="en-ZA"/>
        </w:rPr>
        <w:t xml:space="preserve">Apply best resource management practices, towards a high performing and visible organisation. </w:t>
      </w:r>
    </w:p>
    <w:p w14:paraId="7BB57EF8" w14:textId="77777777" w:rsidR="005630CC" w:rsidRPr="001C3929" w:rsidRDefault="005630CC" w:rsidP="001C3929">
      <w:pPr>
        <w:tabs>
          <w:tab w:val="left" w:pos="567"/>
          <w:tab w:val="left" w:pos="2012"/>
        </w:tabs>
        <w:autoSpaceDE w:val="0"/>
        <w:autoSpaceDN w:val="0"/>
        <w:adjustRightInd w:val="0"/>
        <w:spacing w:line="360" w:lineRule="auto"/>
        <w:jc w:val="both"/>
        <w:rPr>
          <w:bCs/>
        </w:rPr>
      </w:pPr>
    </w:p>
    <w:p w14:paraId="7CD4E8A6" w14:textId="77777777" w:rsidR="0084739F" w:rsidRPr="006A6BE1" w:rsidRDefault="00771B7E" w:rsidP="001C3929">
      <w:pPr>
        <w:tabs>
          <w:tab w:val="left" w:pos="567"/>
          <w:tab w:val="left" w:pos="2012"/>
        </w:tabs>
        <w:autoSpaceDE w:val="0"/>
        <w:autoSpaceDN w:val="0"/>
        <w:adjustRightInd w:val="0"/>
        <w:spacing w:line="360" w:lineRule="auto"/>
        <w:jc w:val="both"/>
        <w:rPr>
          <w:bCs/>
        </w:rPr>
      </w:pPr>
      <w:r w:rsidRPr="00D10326">
        <w:rPr>
          <w:bCs/>
        </w:rPr>
        <w:t xml:space="preserve">The ARC is </w:t>
      </w:r>
      <w:r w:rsidRPr="00106329">
        <w:rPr>
          <w:bCs/>
        </w:rPr>
        <w:t xml:space="preserve">appropriated an amount of R1.2 billion through the Department’s Programme 2 </w:t>
      </w:r>
      <w:r w:rsidR="0084739F" w:rsidRPr="00AB1813">
        <w:rPr>
          <w:bCs/>
        </w:rPr>
        <w:t xml:space="preserve">(Parliamentary Grant) </w:t>
      </w:r>
      <w:r w:rsidRPr="00AB1813">
        <w:rPr>
          <w:bCs/>
        </w:rPr>
        <w:t>for the 2019/20 financial year.</w:t>
      </w:r>
      <w:r w:rsidR="0020688B" w:rsidRPr="00AB1813">
        <w:rPr>
          <w:bCs/>
        </w:rPr>
        <w:t xml:space="preserve"> The transfer constitutes </w:t>
      </w:r>
      <w:r w:rsidR="00DD1639" w:rsidRPr="00AB1813">
        <w:rPr>
          <w:bCs/>
        </w:rPr>
        <w:t>baseline allocation</w:t>
      </w:r>
      <w:r w:rsidR="00DD1639" w:rsidRPr="00382300">
        <w:rPr>
          <w:bCs/>
        </w:rPr>
        <w:t xml:space="preserve"> for operational and capital expenditure</w:t>
      </w:r>
      <w:r w:rsidR="007A28D7" w:rsidRPr="00382300">
        <w:rPr>
          <w:bCs/>
        </w:rPr>
        <w:t>;</w:t>
      </w:r>
      <w:r w:rsidR="00DD1639" w:rsidRPr="00382300">
        <w:rPr>
          <w:bCs/>
        </w:rPr>
        <w:t xml:space="preserve"> </w:t>
      </w:r>
      <w:r w:rsidR="0084739F" w:rsidRPr="00382300">
        <w:rPr>
          <w:bCs/>
        </w:rPr>
        <w:t xml:space="preserve">and </w:t>
      </w:r>
      <w:r w:rsidR="00DD1639" w:rsidRPr="006F7FB6">
        <w:rPr>
          <w:bCs/>
        </w:rPr>
        <w:t xml:space="preserve">additional allocations for provision of national services such </w:t>
      </w:r>
      <w:r w:rsidR="00DD1639" w:rsidRPr="00813547">
        <w:rPr>
          <w:bCs/>
        </w:rPr>
        <w:t xml:space="preserve">as </w:t>
      </w:r>
      <w:r w:rsidR="0084739F" w:rsidRPr="00813547">
        <w:rPr>
          <w:bCs/>
        </w:rPr>
        <w:t>climate monitoring, crop forecasting, INTERGIS</w:t>
      </w:r>
      <w:r w:rsidR="00F613F0" w:rsidRPr="00813547">
        <w:rPr>
          <w:bCs/>
        </w:rPr>
        <w:t xml:space="preserve"> (a national </w:t>
      </w:r>
      <w:r w:rsidR="00F613F0" w:rsidRPr="00ED3342">
        <w:rPr>
          <w:bCs/>
        </w:rPr>
        <w:t xml:space="preserve">electronic </w:t>
      </w:r>
      <w:r w:rsidR="005E713A" w:rsidRPr="00ED3342">
        <w:rPr>
          <w:bCs/>
        </w:rPr>
        <w:t>data handling</w:t>
      </w:r>
      <w:r w:rsidR="005E713A" w:rsidRPr="00734E06">
        <w:rPr>
          <w:bCs/>
        </w:rPr>
        <w:t xml:space="preserve"> </w:t>
      </w:r>
      <w:r w:rsidR="00F613F0" w:rsidRPr="00734E06">
        <w:rPr>
          <w:bCs/>
        </w:rPr>
        <w:t xml:space="preserve">system </w:t>
      </w:r>
      <w:r w:rsidR="005E713A" w:rsidRPr="007E38E3">
        <w:rPr>
          <w:bCs/>
        </w:rPr>
        <w:t xml:space="preserve">for </w:t>
      </w:r>
      <w:r w:rsidR="00F613F0" w:rsidRPr="007E38E3">
        <w:rPr>
          <w:bCs/>
        </w:rPr>
        <w:t>beef and dairy cattle</w:t>
      </w:r>
      <w:r w:rsidR="005E713A" w:rsidRPr="00D44371">
        <w:rPr>
          <w:bCs/>
        </w:rPr>
        <w:t>)</w:t>
      </w:r>
      <w:r w:rsidR="0084739F" w:rsidRPr="00664EDC">
        <w:rPr>
          <w:bCs/>
        </w:rPr>
        <w:t>, diagnostic services, management of Ncera</w:t>
      </w:r>
      <w:r w:rsidR="00C83223" w:rsidRPr="00AD181E">
        <w:rPr>
          <w:bCs/>
        </w:rPr>
        <w:t xml:space="preserve"> Service Centre as well as</w:t>
      </w:r>
      <w:r w:rsidR="0084739F" w:rsidRPr="00AD181E">
        <w:rPr>
          <w:bCs/>
        </w:rPr>
        <w:t xml:space="preserve"> </w:t>
      </w:r>
      <w:r w:rsidR="00C014E5" w:rsidRPr="00991B64">
        <w:rPr>
          <w:bCs/>
        </w:rPr>
        <w:t xml:space="preserve">the </w:t>
      </w:r>
      <w:r w:rsidR="00DD1639" w:rsidRPr="00B464DC">
        <w:rPr>
          <w:bCs/>
        </w:rPr>
        <w:t>Foot-and-Mouth Disease (FMD) Facility</w:t>
      </w:r>
      <w:r w:rsidR="00F613F0" w:rsidRPr="0081360E">
        <w:rPr>
          <w:bCs/>
        </w:rPr>
        <w:t xml:space="preserve">. For the </w:t>
      </w:r>
      <w:r w:rsidR="00F613F0" w:rsidRPr="00D0664A">
        <w:rPr>
          <w:bCs/>
        </w:rPr>
        <w:t>construction and establishment of the FMD</w:t>
      </w:r>
      <w:r w:rsidR="00F613F0" w:rsidRPr="00FE641E">
        <w:rPr>
          <w:bCs/>
        </w:rPr>
        <w:t xml:space="preserve"> Facility</w:t>
      </w:r>
      <w:r w:rsidR="007A28D7" w:rsidRPr="009B3E67">
        <w:rPr>
          <w:bCs/>
        </w:rPr>
        <w:t xml:space="preserve">, </w:t>
      </w:r>
      <w:r w:rsidR="0084739F" w:rsidRPr="007D70DD">
        <w:rPr>
          <w:bCs/>
        </w:rPr>
        <w:t xml:space="preserve">the ARC was allocated </w:t>
      </w:r>
      <w:r w:rsidR="00DD1639" w:rsidRPr="007D70DD">
        <w:rPr>
          <w:bCs/>
        </w:rPr>
        <w:t>R400 million</w:t>
      </w:r>
      <w:r w:rsidR="007A28D7" w:rsidRPr="007D70DD">
        <w:rPr>
          <w:bCs/>
        </w:rPr>
        <w:t xml:space="preserve"> </w:t>
      </w:r>
      <w:r w:rsidR="00DD1639" w:rsidRPr="00BC1043">
        <w:rPr>
          <w:bCs/>
        </w:rPr>
        <w:t>for the medium term period</w:t>
      </w:r>
      <w:r w:rsidR="0084739F" w:rsidRPr="00BC1043">
        <w:rPr>
          <w:bCs/>
        </w:rPr>
        <w:t xml:space="preserve"> </w:t>
      </w:r>
      <w:r w:rsidR="00BF06F2" w:rsidRPr="00BC1043">
        <w:rPr>
          <w:bCs/>
        </w:rPr>
        <w:t>(R1</w:t>
      </w:r>
      <w:r w:rsidR="00E53688">
        <w:rPr>
          <w:bCs/>
        </w:rPr>
        <w:t>3</w:t>
      </w:r>
      <w:r w:rsidR="00BF06F2" w:rsidRPr="00BC1043">
        <w:rPr>
          <w:bCs/>
        </w:rPr>
        <w:t xml:space="preserve">0 million for </w:t>
      </w:r>
      <w:r w:rsidR="00F613F0" w:rsidRPr="00BC1043">
        <w:rPr>
          <w:bCs/>
        </w:rPr>
        <w:t xml:space="preserve">the </w:t>
      </w:r>
      <w:r w:rsidR="00BF06F2" w:rsidRPr="00BC1043">
        <w:rPr>
          <w:bCs/>
        </w:rPr>
        <w:t>2019/20</w:t>
      </w:r>
      <w:r w:rsidR="00F613F0" w:rsidRPr="00BC1043">
        <w:rPr>
          <w:bCs/>
        </w:rPr>
        <w:t xml:space="preserve"> financial year)</w:t>
      </w:r>
      <w:r w:rsidR="0084739F" w:rsidRPr="00BC1043">
        <w:rPr>
          <w:bCs/>
        </w:rPr>
        <w:t>. The ARC also receive</w:t>
      </w:r>
      <w:r w:rsidR="00BF06F2" w:rsidRPr="008D6894">
        <w:rPr>
          <w:bCs/>
        </w:rPr>
        <w:t>s</w:t>
      </w:r>
      <w:r w:rsidR="0084739F" w:rsidRPr="008D6894">
        <w:rPr>
          <w:bCs/>
        </w:rPr>
        <w:t xml:space="preserve"> funding for the </w:t>
      </w:r>
      <w:r w:rsidR="007A28D7" w:rsidRPr="009B6A8C">
        <w:rPr>
          <w:bCs/>
        </w:rPr>
        <w:t>maintenance of national assets</w:t>
      </w:r>
      <w:r w:rsidR="0084739F" w:rsidRPr="00653F8A">
        <w:rPr>
          <w:bCs/>
        </w:rPr>
        <w:t xml:space="preserve"> from </w:t>
      </w:r>
      <w:r w:rsidR="007A28D7" w:rsidRPr="00653F8A">
        <w:rPr>
          <w:bCs/>
        </w:rPr>
        <w:t>DAFF and the Department of Sc</w:t>
      </w:r>
      <w:r w:rsidR="007A28D7" w:rsidRPr="003D7388">
        <w:rPr>
          <w:bCs/>
        </w:rPr>
        <w:t>ience and Technology</w:t>
      </w:r>
      <w:r w:rsidR="0084739F" w:rsidRPr="003D7388">
        <w:rPr>
          <w:bCs/>
        </w:rPr>
        <w:t xml:space="preserve"> (gene banks, databanks, inventories, national collections, surveys and information systems</w:t>
      </w:r>
      <w:r w:rsidR="00F613F0" w:rsidRPr="002D4AC0">
        <w:rPr>
          <w:bCs/>
        </w:rPr>
        <w:t>)</w:t>
      </w:r>
      <w:r w:rsidR="007A28D7" w:rsidRPr="002D4AC0">
        <w:rPr>
          <w:bCs/>
        </w:rPr>
        <w:t xml:space="preserve">. </w:t>
      </w:r>
      <w:r w:rsidR="0084739F" w:rsidRPr="00910D41">
        <w:rPr>
          <w:bCs/>
        </w:rPr>
        <w:t xml:space="preserve">The </w:t>
      </w:r>
      <w:r w:rsidR="0084739F" w:rsidRPr="0087418C">
        <w:rPr>
          <w:bCs/>
        </w:rPr>
        <w:t>baseline allocation (Parliamentary Grant) accounts for 70% of the ARC’s total income</w:t>
      </w:r>
      <w:r w:rsidR="0084739F" w:rsidRPr="00BD26BC">
        <w:rPr>
          <w:bCs/>
        </w:rPr>
        <w:t xml:space="preserve">, while 25% of its </w:t>
      </w:r>
      <w:r w:rsidR="0084739F" w:rsidRPr="002E0B08">
        <w:rPr>
          <w:bCs/>
        </w:rPr>
        <w:t>income is from external sources</w:t>
      </w:r>
      <w:r w:rsidR="00F613F0" w:rsidRPr="002E0B08">
        <w:rPr>
          <w:bCs/>
        </w:rPr>
        <w:t xml:space="preserve"> and</w:t>
      </w:r>
      <w:r w:rsidR="0084739F" w:rsidRPr="002E0B08">
        <w:rPr>
          <w:bCs/>
        </w:rPr>
        <w:t xml:space="preserve"> 5% from other sources</w:t>
      </w:r>
      <w:r w:rsidR="00F613F0" w:rsidRPr="00D2666D">
        <w:rPr>
          <w:bCs/>
        </w:rPr>
        <w:t xml:space="preserve"> such as </w:t>
      </w:r>
      <w:r w:rsidR="0084739F" w:rsidRPr="00D2666D">
        <w:rPr>
          <w:bCs/>
        </w:rPr>
        <w:t xml:space="preserve">provision </w:t>
      </w:r>
      <w:r w:rsidR="00C83223" w:rsidRPr="00FB3431">
        <w:rPr>
          <w:bCs/>
        </w:rPr>
        <w:t xml:space="preserve">of </w:t>
      </w:r>
      <w:r w:rsidR="0084739F" w:rsidRPr="00FB3431">
        <w:rPr>
          <w:bCs/>
        </w:rPr>
        <w:t xml:space="preserve">national services and maintenance of national </w:t>
      </w:r>
      <w:r w:rsidR="0084739F" w:rsidRPr="0040061B">
        <w:rPr>
          <w:bCs/>
        </w:rPr>
        <w:t xml:space="preserve">assets.  </w:t>
      </w:r>
      <w:r w:rsidR="005649C6" w:rsidRPr="00D762E6">
        <w:rPr>
          <w:bCs/>
        </w:rPr>
        <w:t>The ARC acknowledged that it is in an adverse financial</w:t>
      </w:r>
      <w:r w:rsidR="005649C6" w:rsidRPr="00BA0D7F">
        <w:rPr>
          <w:bCs/>
        </w:rPr>
        <w:t xml:space="preserve"> </w:t>
      </w:r>
      <w:r w:rsidR="005649C6" w:rsidRPr="006A6BE1">
        <w:rPr>
          <w:bCs/>
        </w:rPr>
        <w:t>position as it does not have sufficient current assets to absorb current liabilities. The entity is facing liquidity and going concern challenges.</w:t>
      </w:r>
    </w:p>
    <w:p w14:paraId="0EEE328D" w14:textId="77777777" w:rsidR="00884712" w:rsidRPr="00A9070C" w:rsidRDefault="00884712" w:rsidP="00D00A94">
      <w:pPr>
        <w:tabs>
          <w:tab w:val="left" w:pos="567"/>
          <w:tab w:val="left" w:pos="2012"/>
        </w:tabs>
        <w:autoSpaceDE w:val="0"/>
        <w:autoSpaceDN w:val="0"/>
        <w:adjustRightInd w:val="0"/>
        <w:spacing w:line="360" w:lineRule="auto"/>
        <w:jc w:val="both"/>
        <w:rPr>
          <w:bCs/>
        </w:rPr>
      </w:pPr>
    </w:p>
    <w:p w14:paraId="631603A4" w14:textId="77777777" w:rsidR="00884712" w:rsidRPr="008B6F35" w:rsidRDefault="00884712" w:rsidP="008B6F35">
      <w:pPr>
        <w:pStyle w:val="ListParagraph"/>
        <w:spacing w:line="360" w:lineRule="auto"/>
        <w:ind w:left="0"/>
        <w:jc w:val="both"/>
      </w:pPr>
      <w:r w:rsidRPr="00A9070C">
        <w:rPr>
          <w:bCs/>
        </w:rPr>
        <w:t>The ARC highlighted, among</w:t>
      </w:r>
      <w:r w:rsidRPr="008B6F35">
        <w:rPr>
          <w:bCs/>
        </w:rPr>
        <w:t xml:space="preserve"> its other challenges, the declining Parliamentary Grant (PG), which impact’s </w:t>
      </w:r>
      <w:r w:rsidRPr="008B6F35">
        <w:t>the entity’s ability to generate external funding due to co-funding arrangements.  With commodity industries for which they do most research, for example, they have 50:50 arrangements in terms of research funding allocation. As a research institution, personnel</w:t>
      </w:r>
      <w:r w:rsidR="00BF06F2" w:rsidRPr="008B6F35">
        <w:t xml:space="preserve"> costs constitute 60% of its total income and consume more than </w:t>
      </w:r>
      <w:r w:rsidRPr="008B6F35">
        <w:t>90% of the PG</w:t>
      </w:r>
      <w:r w:rsidR="00BF06F2" w:rsidRPr="008B6F35">
        <w:t xml:space="preserve">. </w:t>
      </w:r>
      <w:r w:rsidRPr="008B6F35">
        <w:t xml:space="preserve"> </w:t>
      </w:r>
      <w:r w:rsidR="00BF06F2" w:rsidRPr="008B6F35">
        <w:t xml:space="preserve">The </w:t>
      </w:r>
      <w:r w:rsidRPr="008B6F35">
        <w:t>budget cuts</w:t>
      </w:r>
      <w:r w:rsidR="00BF06F2" w:rsidRPr="008B6F35">
        <w:t xml:space="preserve"> also</w:t>
      </w:r>
      <w:r w:rsidRPr="008B6F35">
        <w:t xml:space="preserve"> impact the ARC’s ability to fill core</w:t>
      </w:r>
      <w:r w:rsidR="007868D8" w:rsidRPr="008B6F35">
        <w:t xml:space="preserve"> (research)</w:t>
      </w:r>
      <w:r w:rsidRPr="008B6F35">
        <w:t xml:space="preserve"> vacancies</w:t>
      </w:r>
      <w:r w:rsidR="007868D8" w:rsidRPr="008B6F35">
        <w:t xml:space="preserve">. </w:t>
      </w:r>
      <w:r w:rsidR="00BF06F2" w:rsidRPr="008B6F35">
        <w:t xml:space="preserve">The entity’s financial plan for the medium term shows a deficit but the ARC </w:t>
      </w:r>
      <w:r w:rsidR="00A52970" w:rsidRPr="008B6F35">
        <w:t xml:space="preserve">reported that with the implementation of cost-cutting initiatives and the Financial Turnaround Plan it is confident of an improved financial status during the 2020/21 financial year. </w:t>
      </w:r>
      <w:r w:rsidR="00BF06F2" w:rsidRPr="008B6F35">
        <w:t xml:space="preserve">One of </w:t>
      </w:r>
      <w:r w:rsidR="00A52970" w:rsidRPr="008B6F35">
        <w:t xml:space="preserve">its cost-cutting measures </w:t>
      </w:r>
      <w:r w:rsidR="00BF06F2" w:rsidRPr="008B6F35">
        <w:t xml:space="preserve">is to reduce personnel costs </w:t>
      </w:r>
      <w:r w:rsidR="00A52970" w:rsidRPr="008B6F35">
        <w:t xml:space="preserve">annually </w:t>
      </w:r>
      <w:r w:rsidR="00BF06F2" w:rsidRPr="008B6F35">
        <w:t xml:space="preserve">by R325 million to </w:t>
      </w:r>
      <w:r w:rsidR="007868D8" w:rsidRPr="008B6F35">
        <w:t xml:space="preserve">60% of the PG instead of more than </w:t>
      </w:r>
      <w:r w:rsidR="00BF06F2" w:rsidRPr="008B6F35">
        <w:t>90%</w:t>
      </w:r>
      <w:r w:rsidR="00A52970" w:rsidRPr="008B6F35">
        <w:t xml:space="preserve"> over the medium term</w:t>
      </w:r>
      <w:r w:rsidR="007868D8" w:rsidRPr="008B6F35">
        <w:t xml:space="preserve">. </w:t>
      </w:r>
      <w:r w:rsidR="00BF06F2" w:rsidRPr="008B6F35">
        <w:t xml:space="preserve"> </w:t>
      </w:r>
      <w:r w:rsidRPr="008B6F35">
        <w:t xml:space="preserve"> </w:t>
      </w:r>
    </w:p>
    <w:p w14:paraId="5E96A22A" w14:textId="77777777" w:rsidR="005621AF" w:rsidRPr="008B6F35" w:rsidRDefault="005621AF" w:rsidP="008B6F35">
      <w:pPr>
        <w:pStyle w:val="ListParagraph"/>
        <w:spacing w:line="360" w:lineRule="auto"/>
        <w:ind w:left="0"/>
        <w:jc w:val="both"/>
      </w:pPr>
    </w:p>
    <w:p w14:paraId="53D7FB33" w14:textId="77777777" w:rsidR="005621AF" w:rsidRPr="006F7FB6" w:rsidRDefault="005621AF" w:rsidP="008B6F35">
      <w:pPr>
        <w:pStyle w:val="ListParagraph"/>
        <w:spacing w:line="360" w:lineRule="auto"/>
        <w:ind w:left="0"/>
        <w:jc w:val="both"/>
        <w:rPr>
          <w:rFonts w:cs="Arial"/>
          <w:bCs/>
        </w:rPr>
      </w:pPr>
      <w:r w:rsidRPr="008B6F35">
        <w:t xml:space="preserve">The Committee was gravely concerned about the ARC’s financial status including its inability to effectively address repeat findings by the Auditor-General of South Africa on its annual financial statements, which resulted in the entity receiving qualified audit opinions on its financial statements for two consecutive financial years (i.e. 2016/17 and 2017/18). </w:t>
      </w:r>
      <w:r w:rsidR="00F613F0" w:rsidRPr="008B6F35">
        <w:t xml:space="preserve">In this regard, whilst the Committee was uncertain about the ARC’s ability to turn around its financial status, it was equally concerned about the impact </w:t>
      </w:r>
      <w:r w:rsidR="006F7FB6">
        <w:t xml:space="preserve">of declining funding </w:t>
      </w:r>
      <w:r w:rsidR="00F613F0" w:rsidRPr="006F7FB6">
        <w:t xml:space="preserve">on agricultural research and innovation, which are essential in addressing </w:t>
      </w:r>
      <w:r w:rsidR="00EE3674" w:rsidRPr="006F7FB6">
        <w:t>emerging</w:t>
      </w:r>
      <w:r w:rsidR="00F613F0" w:rsidRPr="006F7FB6">
        <w:t xml:space="preserve"> challenges and ensuring that the sector remains competitive. </w:t>
      </w:r>
      <w:r w:rsidR="00BA0D7F">
        <w:t xml:space="preserve">As National Treasury highlighted Government’s limitations regarding provision of additional funding due to the constrained fiscal outlook, the ARC was encouraged to find innovative ways to attract external funding through competitive research and innovation, which understandably, requires funding.    </w:t>
      </w:r>
    </w:p>
    <w:p w14:paraId="1FCCBA7B" w14:textId="77777777" w:rsidR="0084739F" w:rsidRPr="001C3929" w:rsidRDefault="0084739F" w:rsidP="00D00A94">
      <w:pPr>
        <w:tabs>
          <w:tab w:val="left" w:pos="567"/>
          <w:tab w:val="left" w:pos="2012"/>
        </w:tabs>
        <w:autoSpaceDE w:val="0"/>
        <w:autoSpaceDN w:val="0"/>
        <w:adjustRightInd w:val="0"/>
        <w:spacing w:line="360" w:lineRule="auto"/>
        <w:jc w:val="both"/>
        <w:rPr>
          <w:rFonts w:cs="Arial"/>
          <w:bCs/>
        </w:rPr>
      </w:pPr>
    </w:p>
    <w:p w14:paraId="0C1ACA31" w14:textId="77777777" w:rsidR="005630CC" w:rsidRPr="001C3929" w:rsidRDefault="00FE641E" w:rsidP="00D00A94">
      <w:pPr>
        <w:tabs>
          <w:tab w:val="left" w:pos="567"/>
          <w:tab w:val="left" w:pos="2012"/>
        </w:tabs>
        <w:autoSpaceDE w:val="0"/>
        <w:autoSpaceDN w:val="0"/>
        <w:adjustRightInd w:val="0"/>
        <w:spacing w:line="360" w:lineRule="auto"/>
        <w:jc w:val="both"/>
        <w:rPr>
          <w:b/>
        </w:rPr>
      </w:pPr>
      <w:r>
        <w:rPr>
          <w:b/>
        </w:rPr>
        <w:t>5</w:t>
      </w:r>
      <w:r w:rsidR="00925AFE">
        <w:rPr>
          <w:b/>
        </w:rPr>
        <w:t xml:space="preserve">.2 </w:t>
      </w:r>
      <w:r w:rsidR="000B0222" w:rsidRPr="008B6F35">
        <w:rPr>
          <w:b/>
        </w:rPr>
        <w:t>The Onderste</w:t>
      </w:r>
      <w:r w:rsidR="00C3469A" w:rsidRPr="008B6F35">
        <w:rPr>
          <w:b/>
        </w:rPr>
        <w:t>poort Biological Products</w:t>
      </w:r>
      <w:r w:rsidR="005630CC" w:rsidRPr="008B6F35">
        <w:rPr>
          <w:b/>
        </w:rPr>
        <w:t xml:space="preserve"> (OBP) </w:t>
      </w:r>
    </w:p>
    <w:p w14:paraId="7ACB748B" w14:textId="77777777" w:rsidR="00F722D0" w:rsidRPr="008B6F35" w:rsidRDefault="00F722D0" w:rsidP="00D00A94">
      <w:pPr>
        <w:tabs>
          <w:tab w:val="left" w:pos="567"/>
          <w:tab w:val="left" w:pos="2012"/>
        </w:tabs>
        <w:autoSpaceDE w:val="0"/>
        <w:autoSpaceDN w:val="0"/>
        <w:adjustRightInd w:val="0"/>
        <w:spacing w:line="360" w:lineRule="auto"/>
        <w:jc w:val="both"/>
        <w:rPr>
          <w:b/>
        </w:rPr>
      </w:pPr>
    </w:p>
    <w:p w14:paraId="6A42E1EB" w14:textId="77777777" w:rsidR="00D861CE" w:rsidRPr="00106329" w:rsidRDefault="005630CC" w:rsidP="00D00A94">
      <w:pPr>
        <w:tabs>
          <w:tab w:val="left" w:pos="567"/>
          <w:tab w:val="left" w:pos="2012"/>
        </w:tabs>
        <w:autoSpaceDE w:val="0"/>
        <w:autoSpaceDN w:val="0"/>
        <w:adjustRightInd w:val="0"/>
        <w:spacing w:line="360" w:lineRule="auto"/>
        <w:jc w:val="both"/>
      </w:pPr>
      <w:r w:rsidRPr="001C3929">
        <w:t>The OBP</w:t>
      </w:r>
      <w:r w:rsidR="00C3469A" w:rsidRPr="001C3929">
        <w:t xml:space="preserve"> </w:t>
      </w:r>
      <w:r w:rsidR="00F722D0" w:rsidRPr="001C3929">
        <w:t xml:space="preserve">was established </w:t>
      </w:r>
      <w:r w:rsidR="00F722D0" w:rsidRPr="008B6F35">
        <w:rPr>
          <w:rFonts w:cs="Arial"/>
        </w:rPr>
        <w:t>in terms of the Onderstepoort Biological Products Incorporation Act, 1999 (Act No.19 of 1999)</w:t>
      </w:r>
      <w:r w:rsidR="00F722D0" w:rsidRPr="001C3929">
        <w:rPr>
          <w:rFonts w:cs="Arial"/>
        </w:rPr>
        <w:t xml:space="preserve">. It </w:t>
      </w:r>
      <w:r w:rsidR="00F722D0" w:rsidRPr="008B6F35">
        <w:rPr>
          <w:rFonts w:cs="Arial"/>
        </w:rPr>
        <w:t xml:space="preserve">is </w:t>
      </w:r>
      <w:r w:rsidR="00F722D0" w:rsidRPr="008B6F35">
        <w:rPr>
          <w:rFonts w:cs="Arial"/>
          <w:bCs/>
        </w:rPr>
        <w:t>listed under Schedule 3B of the PFMA</w:t>
      </w:r>
      <w:r w:rsidR="00F722D0" w:rsidRPr="001C3929">
        <w:rPr>
          <w:rFonts w:cs="Arial"/>
          <w:bCs/>
        </w:rPr>
        <w:t xml:space="preserve">, i.e. </w:t>
      </w:r>
      <w:r w:rsidR="00F722D0" w:rsidRPr="008B6F35">
        <w:rPr>
          <w:rFonts w:cs="Arial"/>
          <w:bCs/>
        </w:rPr>
        <w:t xml:space="preserve">national Government business enterprise. </w:t>
      </w:r>
      <w:r w:rsidR="00F722D0" w:rsidRPr="008B6F35">
        <w:rPr>
          <w:rFonts w:cs="Arial"/>
        </w:rPr>
        <w:t>It</w:t>
      </w:r>
      <w:r w:rsidR="00F722D0" w:rsidRPr="008B6F35">
        <w:rPr>
          <w:rFonts w:cs="Arial"/>
          <w:bCs/>
        </w:rPr>
        <w:t xml:space="preserve"> is a state-owned bio-technical company that manufactures livestock vaccines and </w:t>
      </w:r>
      <w:r w:rsidR="00F722D0" w:rsidRPr="008B6F35">
        <w:rPr>
          <w:bCs/>
        </w:rPr>
        <w:t xml:space="preserve">related products for the global animal health care industry.  </w:t>
      </w:r>
      <w:r w:rsidR="00717E12" w:rsidRPr="001C3929">
        <w:rPr>
          <w:bCs/>
        </w:rPr>
        <w:t xml:space="preserve">The OBP </w:t>
      </w:r>
      <w:r w:rsidR="00C3469A" w:rsidRPr="001C3929">
        <w:t>does not get</w:t>
      </w:r>
      <w:r w:rsidR="00762075" w:rsidRPr="001C3929">
        <w:t xml:space="preserve"> </w:t>
      </w:r>
      <w:r w:rsidR="00762075" w:rsidRPr="00D10326">
        <w:t xml:space="preserve">a financial </w:t>
      </w:r>
      <w:r w:rsidR="00C3469A" w:rsidRPr="00106329">
        <w:t>transfer from the Department</w:t>
      </w:r>
      <w:r w:rsidR="00E94E19" w:rsidRPr="00106329">
        <w:t xml:space="preserve"> </w:t>
      </w:r>
      <w:r w:rsidR="00E94E19" w:rsidRPr="008B6F35">
        <w:rPr>
          <w:rFonts w:eastAsia="Calibri"/>
        </w:rPr>
        <w:t xml:space="preserve">but funds all its operations from </w:t>
      </w:r>
      <w:r w:rsidR="00E94E19" w:rsidRPr="008B6F35">
        <w:t>i</w:t>
      </w:r>
      <w:r w:rsidR="00E94E19" w:rsidRPr="008B6F35">
        <w:rPr>
          <w:rFonts w:eastAsia="Calibri"/>
        </w:rPr>
        <w:t>ts self-generated revenue (mostly from sale of vaccines)</w:t>
      </w:r>
      <w:r w:rsidR="004D7A44" w:rsidRPr="001C3929">
        <w:t>.</w:t>
      </w:r>
      <w:r w:rsidR="00717E12" w:rsidRPr="001C3929">
        <w:t xml:space="preserve"> </w:t>
      </w:r>
      <w:r w:rsidR="004D7A44" w:rsidRPr="001C3929">
        <w:t xml:space="preserve"> </w:t>
      </w:r>
      <w:r w:rsidR="003B2438" w:rsidRPr="00D10326">
        <w:t>The OBP</w:t>
      </w:r>
      <w:r w:rsidR="003B2438" w:rsidRPr="00106329">
        <w:t>’s performance indicators and annual targets are informed by four Strategic Goals</w:t>
      </w:r>
      <w:r w:rsidR="00D861CE" w:rsidRPr="00106329">
        <w:t>:</w:t>
      </w:r>
    </w:p>
    <w:p w14:paraId="22E1E417" w14:textId="77777777" w:rsidR="00D861CE" w:rsidRPr="007B04C3" w:rsidRDefault="00D861CE" w:rsidP="001175D3">
      <w:pPr>
        <w:pStyle w:val="ListParagraph"/>
        <w:numPr>
          <w:ilvl w:val="0"/>
          <w:numId w:val="10"/>
        </w:numPr>
        <w:tabs>
          <w:tab w:val="left" w:pos="567"/>
          <w:tab w:val="left" w:pos="2012"/>
        </w:tabs>
        <w:autoSpaceDE w:val="0"/>
        <w:autoSpaceDN w:val="0"/>
        <w:adjustRightInd w:val="0"/>
        <w:spacing w:line="360" w:lineRule="auto"/>
        <w:jc w:val="both"/>
      </w:pPr>
      <w:r w:rsidRPr="00106329">
        <w:t>To ensure f</w:t>
      </w:r>
      <w:r w:rsidR="003B2438" w:rsidRPr="007B04C3">
        <w:t xml:space="preserve">inancial </w:t>
      </w:r>
      <w:r w:rsidRPr="007B04C3">
        <w:t>sustainability.</w:t>
      </w:r>
    </w:p>
    <w:p w14:paraId="4EF81986" w14:textId="77777777" w:rsidR="00D861CE" w:rsidRPr="006F7FB6" w:rsidRDefault="00D861CE" w:rsidP="001175D3">
      <w:pPr>
        <w:pStyle w:val="ListParagraph"/>
        <w:numPr>
          <w:ilvl w:val="0"/>
          <w:numId w:val="10"/>
        </w:numPr>
        <w:tabs>
          <w:tab w:val="left" w:pos="567"/>
          <w:tab w:val="left" w:pos="2012"/>
        </w:tabs>
        <w:autoSpaceDE w:val="0"/>
        <w:autoSpaceDN w:val="0"/>
        <w:adjustRightInd w:val="0"/>
        <w:spacing w:line="360" w:lineRule="auto"/>
        <w:jc w:val="both"/>
      </w:pPr>
      <w:r w:rsidRPr="00AB1813">
        <w:t>To ensure a g</w:t>
      </w:r>
      <w:r w:rsidR="003B2438" w:rsidRPr="00AB1813">
        <w:t>lobal</w:t>
      </w:r>
      <w:r w:rsidRPr="00AB1813">
        <w:t>ly</w:t>
      </w:r>
      <w:r w:rsidR="003B2438" w:rsidRPr="00AB1813">
        <w:t xml:space="preserve"> </w:t>
      </w:r>
      <w:r w:rsidRPr="00382300">
        <w:t>c</w:t>
      </w:r>
      <w:r w:rsidR="003B2438" w:rsidRPr="00382300">
        <w:t xml:space="preserve">ompetitive </w:t>
      </w:r>
      <w:r w:rsidRPr="00382300">
        <w:t>p</w:t>
      </w:r>
      <w:r w:rsidR="003B2438" w:rsidRPr="00382300">
        <w:t xml:space="preserve">roduct </w:t>
      </w:r>
      <w:r w:rsidRPr="00382300">
        <w:t>and s</w:t>
      </w:r>
      <w:r w:rsidR="003B2438" w:rsidRPr="00382300">
        <w:t>ervice</w:t>
      </w:r>
      <w:r w:rsidR="003B2438" w:rsidRPr="006F7FB6">
        <w:t xml:space="preserve"> </w:t>
      </w:r>
      <w:r w:rsidRPr="006F7FB6">
        <w:t>p</w:t>
      </w:r>
      <w:r w:rsidR="003B2438" w:rsidRPr="006F7FB6">
        <w:t>ortfolio</w:t>
      </w:r>
      <w:r w:rsidRPr="006F7FB6">
        <w:t xml:space="preserve">. </w:t>
      </w:r>
    </w:p>
    <w:p w14:paraId="1EF81B59" w14:textId="77777777" w:rsidR="00D861CE" w:rsidRPr="00813547" w:rsidRDefault="00D861CE" w:rsidP="001175D3">
      <w:pPr>
        <w:pStyle w:val="ListParagraph"/>
        <w:numPr>
          <w:ilvl w:val="0"/>
          <w:numId w:val="10"/>
        </w:numPr>
        <w:tabs>
          <w:tab w:val="left" w:pos="567"/>
          <w:tab w:val="left" w:pos="2012"/>
        </w:tabs>
        <w:autoSpaceDE w:val="0"/>
        <w:autoSpaceDN w:val="0"/>
        <w:adjustRightInd w:val="0"/>
        <w:spacing w:line="360" w:lineRule="auto"/>
        <w:jc w:val="both"/>
      </w:pPr>
      <w:r w:rsidRPr="00813547">
        <w:t>To ensure business e</w:t>
      </w:r>
      <w:r w:rsidR="003B2438" w:rsidRPr="00813547">
        <w:t>xcellence</w:t>
      </w:r>
      <w:r w:rsidRPr="00813547">
        <w:t xml:space="preserve"> within the organisation.</w:t>
      </w:r>
    </w:p>
    <w:p w14:paraId="2F3DEDDD" w14:textId="77777777" w:rsidR="00D861CE" w:rsidRPr="00ED3342" w:rsidRDefault="00D861CE" w:rsidP="001175D3">
      <w:pPr>
        <w:pStyle w:val="ListParagraph"/>
        <w:numPr>
          <w:ilvl w:val="0"/>
          <w:numId w:val="10"/>
        </w:numPr>
        <w:tabs>
          <w:tab w:val="left" w:pos="567"/>
          <w:tab w:val="left" w:pos="2012"/>
        </w:tabs>
        <w:autoSpaceDE w:val="0"/>
        <w:autoSpaceDN w:val="0"/>
        <w:adjustRightInd w:val="0"/>
        <w:spacing w:line="360" w:lineRule="auto"/>
        <w:jc w:val="both"/>
      </w:pPr>
      <w:r w:rsidRPr="00ED3342">
        <w:t xml:space="preserve">To contribute to socio-economic development as per government priorities. </w:t>
      </w:r>
    </w:p>
    <w:p w14:paraId="75DB0A87" w14:textId="77777777" w:rsidR="00D861CE" w:rsidRPr="001C3929" w:rsidRDefault="00D861CE" w:rsidP="00D00A94">
      <w:pPr>
        <w:tabs>
          <w:tab w:val="left" w:pos="567"/>
          <w:tab w:val="left" w:pos="2012"/>
        </w:tabs>
        <w:autoSpaceDE w:val="0"/>
        <w:autoSpaceDN w:val="0"/>
        <w:adjustRightInd w:val="0"/>
        <w:spacing w:line="360" w:lineRule="auto"/>
        <w:jc w:val="both"/>
      </w:pPr>
    </w:p>
    <w:p w14:paraId="6F2FD5AD" w14:textId="77777777" w:rsidR="00DA0CF3" w:rsidRPr="001C3929" w:rsidRDefault="003B2438" w:rsidP="00D00A94">
      <w:pPr>
        <w:tabs>
          <w:tab w:val="left" w:pos="567"/>
          <w:tab w:val="left" w:pos="2012"/>
        </w:tabs>
        <w:autoSpaceDE w:val="0"/>
        <w:autoSpaceDN w:val="0"/>
        <w:adjustRightInd w:val="0"/>
        <w:spacing w:line="360" w:lineRule="auto"/>
        <w:jc w:val="both"/>
      </w:pPr>
      <w:r w:rsidRPr="001C3929">
        <w:t xml:space="preserve">To give effect to the </w:t>
      </w:r>
      <w:r w:rsidR="009A3E5F" w:rsidRPr="001C3929">
        <w:t>socio-economic development goal</w:t>
      </w:r>
      <w:r w:rsidRPr="001C3929">
        <w:t xml:space="preserve">, the OBP plans to increase the number of new distribution points for its products in rural areas. </w:t>
      </w:r>
      <w:r w:rsidR="00762075" w:rsidRPr="001C3929">
        <w:t xml:space="preserve">The Committee raised a concern about the </w:t>
      </w:r>
      <w:r w:rsidR="00F04B2E">
        <w:t xml:space="preserve">effectiveness of the </w:t>
      </w:r>
      <w:r w:rsidR="00762075" w:rsidRPr="001C3929">
        <w:t>OBP’s marketing strategy</w:t>
      </w:r>
      <w:r w:rsidR="003D4444">
        <w:t xml:space="preserve"> </w:t>
      </w:r>
      <w:r w:rsidR="00F04B2E">
        <w:t xml:space="preserve">and highlighted that it should </w:t>
      </w:r>
      <w:r w:rsidR="00762075" w:rsidRPr="001C3929">
        <w:t>ensure that provinces and other government institutions source vaccines from the OBP.</w:t>
      </w:r>
      <w:r w:rsidR="00F04B2E">
        <w:t xml:space="preserve"> The President in the June 2019 SONA also highlighted the importance of, and advocated for buying local products, an issue which should be promoted. </w:t>
      </w:r>
      <w:r w:rsidR="00762075" w:rsidRPr="001C3929">
        <w:t xml:space="preserve"> </w:t>
      </w:r>
    </w:p>
    <w:p w14:paraId="192538C6" w14:textId="77777777" w:rsidR="005630CC" w:rsidRPr="001C3929" w:rsidRDefault="005630CC" w:rsidP="00D00A94">
      <w:pPr>
        <w:tabs>
          <w:tab w:val="left" w:pos="567"/>
          <w:tab w:val="left" w:pos="2012"/>
        </w:tabs>
        <w:autoSpaceDE w:val="0"/>
        <w:autoSpaceDN w:val="0"/>
        <w:adjustRightInd w:val="0"/>
        <w:spacing w:line="360" w:lineRule="auto"/>
        <w:jc w:val="both"/>
      </w:pPr>
    </w:p>
    <w:p w14:paraId="43FFBF33" w14:textId="77777777" w:rsidR="005630CC" w:rsidRPr="008B6F35" w:rsidRDefault="00FE641E" w:rsidP="005630CC">
      <w:pPr>
        <w:tabs>
          <w:tab w:val="left" w:pos="567"/>
          <w:tab w:val="left" w:pos="2012"/>
        </w:tabs>
        <w:autoSpaceDE w:val="0"/>
        <w:autoSpaceDN w:val="0"/>
        <w:adjustRightInd w:val="0"/>
        <w:spacing w:line="360" w:lineRule="auto"/>
        <w:jc w:val="both"/>
        <w:rPr>
          <w:b/>
        </w:rPr>
      </w:pPr>
      <w:r>
        <w:rPr>
          <w:b/>
        </w:rPr>
        <w:t>5</w:t>
      </w:r>
      <w:r w:rsidR="00925AFE">
        <w:rPr>
          <w:b/>
        </w:rPr>
        <w:t xml:space="preserve">.3 </w:t>
      </w:r>
      <w:r w:rsidR="005630CC" w:rsidRPr="008B6F35">
        <w:rPr>
          <w:b/>
        </w:rPr>
        <w:t xml:space="preserve">The National Agricultural Marketing Council (NAMC) </w:t>
      </w:r>
    </w:p>
    <w:p w14:paraId="4556D501" w14:textId="77777777" w:rsidR="003262F9" w:rsidRPr="001C3929" w:rsidRDefault="003262F9" w:rsidP="003262F9">
      <w:pPr>
        <w:spacing w:line="280" w:lineRule="atLeast"/>
        <w:jc w:val="both"/>
      </w:pPr>
    </w:p>
    <w:p w14:paraId="2F365A29" w14:textId="77777777" w:rsidR="00A26DAB" w:rsidRPr="001C3929" w:rsidRDefault="005630CC" w:rsidP="008B6F35">
      <w:pPr>
        <w:spacing w:line="360" w:lineRule="auto"/>
        <w:jc w:val="both"/>
        <w:rPr>
          <w:color w:val="000000"/>
        </w:rPr>
      </w:pPr>
      <w:r w:rsidRPr="001C3929">
        <w:t>The NAMC</w:t>
      </w:r>
      <w:r w:rsidR="00F722D0" w:rsidRPr="001C3929">
        <w:t xml:space="preserve"> was established in terms of</w:t>
      </w:r>
      <w:r w:rsidR="003262F9" w:rsidRPr="00D10326">
        <w:t xml:space="preserve"> </w:t>
      </w:r>
      <w:r w:rsidR="003262F9" w:rsidRPr="008B6F35">
        <w:rPr>
          <w:rFonts w:cs="Arial"/>
        </w:rPr>
        <w:t>Section 3 and 4 of the Marketing of Agricultural Products</w:t>
      </w:r>
      <w:r w:rsidR="00A37F71" w:rsidRPr="001C3929">
        <w:rPr>
          <w:rFonts w:cs="Arial"/>
        </w:rPr>
        <w:t xml:space="preserve"> (MAP)</w:t>
      </w:r>
      <w:r w:rsidR="003262F9" w:rsidRPr="008B6F35">
        <w:rPr>
          <w:rFonts w:cs="Arial"/>
        </w:rPr>
        <w:t xml:space="preserve"> Act, 1996 (Act No. 47 of 1996) as amended by Act No. 52 of 2001. It is listed under Schedule 3A of the PFMA. </w:t>
      </w:r>
      <w:r w:rsidR="003262F9" w:rsidRPr="008B6F35">
        <w:rPr>
          <w:rFonts w:cs="Arial"/>
          <w:bCs/>
        </w:rPr>
        <w:t xml:space="preserve">The core mandate of the NAMC is to investigate and advise the Minister of Agriculture, Forestry and Fisheries on agricultural marketing policies and their application, and to coordinate agricultural marketing policy in relation to national </w:t>
      </w:r>
      <w:r w:rsidR="003262F9" w:rsidRPr="008B6F35">
        <w:rPr>
          <w:bCs/>
        </w:rPr>
        <w:t xml:space="preserve">economic, social and development policies and international trends and developments. </w:t>
      </w:r>
      <w:r w:rsidR="00A26DAB" w:rsidRPr="001C3929">
        <w:rPr>
          <w:color w:val="000000"/>
        </w:rPr>
        <w:t xml:space="preserve">The NAMC’s </w:t>
      </w:r>
      <w:r w:rsidR="00D861CE" w:rsidRPr="001C3929">
        <w:rPr>
          <w:color w:val="000000"/>
        </w:rPr>
        <w:t>S</w:t>
      </w:r>
      <w:r w:rsidR="00A26DAB" w:rsidRPr="00D10326">
        <w:rPr>
          <w:color w:val="000000"/>
        </w:rPr>
        <w:t xml:space="preserve">trategic </w:t>
      </w:r>
      <w:r w:rsidR="00D861CE" w:rsidRPr="00D10326">
        <w:rPr>
          <w:color w:val="000000"/>
        </w:rPr>
        <w:t>G</w:t>
      </w:r>
      <w:r w:rsidR="00A26DAB" w:rsidRPr="00D10326">
        <w:rPr>
          <w:color w:val="000000"/>
        </w:rPr>
        <w:t>oals over the medium term</w:t>
      </w:r>
      <w:r w:rsidR="005722F2" w:rsidRPr="00D10326">
        <w:rPr>
          <w:color w:val="000000"/>
        </w:rPr>
        <w:t>, which are aligned to the MAP Act</w:t>
      </w:r>
      <w:r w:rsidR="00A26DAB" w:rsidRPr="001C3929">
        <w:rPr>
          <w:color w:val="000000"/>
        </w:rPr>
        <w:t xml:space="preserve"> are to:</w:t>
      </w:r>
    </w:p>
    <w:p w14:paraId="532DA5B8" w14:textId="77777777" w:rsidR="00A26DAB" w:rsidRPr="001C3929" w:rsidRDefault="00A26DAB" w:rsidP="001175D3">
      <w:pPr>
        <w:numPr>
          <w:ilvl w:val="0"/>
          <w:numId w:val="1"/>
        </w:numPr>
        <w:spacing w:line="360" w:lineRule="auto"/>
        <w:jc w:val="both"/>
        <w:rPr>
          <w:color w:val="000000"/>
        </w:rPr>
      </w:pPr>
      <w:r w:rsidRPr="001C3929">
        <w:rPr>
          <w:color w:val="000000"/>
        </w:rPr>
        <w:t>Ensure increased market access for all market participants.</w:t>
      </w:r>
    </w:p>
    <w:p w14:paraId="193B60FB" w14:textId="77777777" w:rsidR="00A26DAB" w:rsidRPr="00A26DAB" w:rsidRDefault="00A26DAB" w:rsidP="001175D3">
      <w:pPr>
        <w:numPr>
          <w:ilvl w:val="0"/>
          <w:numId w:val="1"/>
        </w:numPr>
        <w:spacing w:line="360" w:lineRule="auto"/>
        <w:jc w:val="both"/>
        <w:rPr>
          <w:color w:val="000000"/>
        </w:rPr>
      </w:pPr>
      <w:r w:rsidRPr="001C3929">
        <w:rPr>
          <w:color w:val="000000"/>
        </w:rPr>
        <w:t>Promote efficiency in the marketing of agricultural p</w:t>
      </w:r>
      <w:r w:rsidRPr="00A26DAB">
        <w:rPr>
          <w:color w:val="000000"/>
        </w:rPr>
        <w:t>roducts.</w:t>
      </w:r>
    </w:p>
    <w:p w14:paraId="16044E8F" w14:textId="77777777" w:rsidR="00A26DAB" w:rsidRPr="00A26DAB" w:rsidRDefault="00A26DAB" w:rsidP="001175D3">
      <w:pPr>
        <w:numPr>
          <w:ilvl w:val="0"/>
          <w:numId w:val="1"/>
        </w:numPr>
        <w:spacing w:line="360" w:lineRule="auto"/>
        <w:jc w:val="both"/>
        <w:rPr>
          <w:color w:val="000000"/>
        </w:rPr>
      </w:pPr>
      <w:r>
        <w:rPr>
          <w:color w:val="000000"/>
        </w:rPr>
        <w:t>O</w:t>
      </w:r>
      <w:r w:rsidRPr="00A26DAB">
        <w:rPr>
          <w:color w:val="000000"/>
        </w:rPr>
        <w:t>ptimise export earnings from agricultural products.</w:t>
      </w:r>
    </w:p>
    <w:p w14:paraId="3E468177" w14:textId="77777777" w:rsidR="00A26DAB" w:rsidRPr="00A26DAB" w:rsidRDefault="00A26DAB" w:rsidP="001175D3">
      <w:pPr>
        <w:numPr>
          <w:ilvl w:val="0"/>
          <w:numId w:val="1"/>
        </w:numPr>
        <w:spacing w:line="360" w:lineRule="auto"/>
        <w:jc w:val="both"/>
        <w:rPr>
          <w:color w:val="000000"/>
        </w:rPr>
      </w:pPr>
      <w:r>
        <w:rPr>
          <w:color w:val="000000"/>
        </w:rPr>
        <w:t>E</w:t>
      </w:r>
      <w:r w:rsidRPr="00A26DAB">
        <w:rPr>
          <w:color w:val="000000"/>
        </w:rPr>
        <w:t>nhance the viability of the agricultural sector.</w:t>
      </w:r>
    </w:p>
    <w:p w14:paraId="31E190F1" w14:textId="77777777" w:rsidR="008B6F35" w:rsidRDefault="008B6F35" w:rsidP="00D10326">
      <w:pPr>
        <w:pStyle w:val="ListParagraph"/>
        <w:spacing w:line="360" w:lineRule="auto"/>
        <w:ind w:left="0"/>
        <w:jc w:val="both"/>
      </w:pPr>
    </w:p>
    <w:p w14:paraId="358237CE" w14:textId="77777777" w:rsidR="00974656" w:rsidRDefault="00762075" w:rsidP="00D10326">
      <w:pPr>
        <w:pStyle w:val="ListParagraph"/>
        <w:spacing w:line="360" w:lineRule="auto"/>
        <w:ind w:left="0"/>
        <w:jc w:val="both"/>
      </w:pPr>
      <w:r w:rsidRPr="00A26DAB">
        <w:t>The NAMC receives a Parliamentary Grant through the Department’s Programme 4</w:t>
      </w:r>
      <w:r w:rsidR="00F0390A" w:rsidRPr="00A26DAB">
        <w:t>;</w:t>
      </w:r>
      <w:r w:rsidRPr="00A26DAB">
        <w:t xml:space="preserve"> and for the 2019/20 financial year, an </w:t>
      </w:r>
      <w:r w:rsidRPr="001C3929">
        <w:t xml:space="preserve">amount of R45.2 million is appropriated to the NAMC. </w:t>
      </w:r>
      <w:r w:rsidR="00537748" w:rsidRPr="00D10326">
        <w:t>Approximately 71% of the entity’s total allocation goes to compensation</w:t>
      </w:r>
      <w:r w:rsidR="00537748">
        <w:t xml:space="preserve"> of employees. </w:t>
      </w:r>
      <w:r w:rsidR="005722F2">
        <w:rPr>
          <w:bCs/>
        </w:rPr>
        <w:t xml:space="preserve">The NAMC’s activities and interventions are centred on realising the four strategic goals. Its spending focus over the medium term will be on </w:t>
      </w:r>
      <w:r w:rsidR="005C30F7">
        <w:t xml:space="preserve">Market Access (targeting smallholder farmers) </w:t>
      </w:r>
      <w:r w:rsidR="005722F2">
        <w:t>through continued implementation of</w:t>
      </w:r>
      <w:r w:rsidR="005C30F7">
        <w:t xml:space="preserve"> the National Red Meat Development Programme (NRMDP) that is funded by the Department of Rural Development and Land Reform (DRDLR) in partnership with relevant provincial departments and municipalities. </w:t>
      </w:r>
      <w:r w:rsidR="005722F2">
        <w:t xml:space="preserve">The programme </w:t>
      </w:r>
      <w:r w:rsidR="005C30F7">
        <w:t>has been implemented in the Eastern Cape, KwaZulu-Natal</w:t>
      </w:r>
      <w:r w:rsidR="004B0F3E">
        <w:t xml:space="preserve">, </w:t>
      </w:r>
      <w:r w:rsidR="005C30F7">
        <w:t>North West</w:t>
      </w:r>
      <w:r w:rsidR="004B0F3E">
        <w:t xml:space="preserve"> </w:t>
      </w:r>
      <w:r w:rsidR="004B0F3E" w:rsidRPr="00D92DF5">
        <w:t>and Northern Cap</w:t>
      </w:r>
      <w:r w:rsidR="004B0F3E">
        <w:t>e; and the entity is c</w:t>
      </w:r>
      <w:r w:rsidR="004B0F3E" w:rsidRPr="00D92DF5">
        <w:t xml:space="preserve">urrently targeting Limpopo. </w:t>
      </w:r>
      <w:r w:rsidR="00974656">
        <w:t xml:space="preserve">The programme </w:t>
      </w:r>
      <w:r w:rsidR="00D24EA5">
        <w:t xml:space="preserve">has great potential to </w:t>
      </w:r>
      <w:r w:rsidR="00974656">
        <w:t>contribute to sector</w:t>
      </w:r>
      <w:r w:rsidR="00D24EA5">
        <w:t xml:space="preserve"> transformation and has made an impact on job creation. However, t</w:t>
      </w:r>
      <w:r w:rsidR="00D24EA5" w:rsidRPr="00D92DF5">
        <w:t>he reality is that the provinces with the highest number of livestock do not have the infrastructure and processing facilities for farmers to be able to realise great returns from their animal</w:t>
      </w:r>
      <w:r w:rsidR="00D24EA5">
        <w:t>s</w:t>
      </w:r>
      <w:r w:rsidR="00D24EA5" w:rsidRPr="00D92DF5">
        <w:t xml:space="preserve">. </w:t>
      </w:r>
      <w:r w:rsidR="00974656">
        <w:t xml:space="preserve"> </w:t>
      </w:r>
    </w:p>
    <w:p w14:paraId="5FA3B3E6" w14:textId="77777777" w:rsidR="00974656" w:rsidRDefault="00974656" w:rsidP="004B0F3E">
      <w:pPr>
        <w:pStyle w:val="ListParagraph"/>
        <w:spacing w:line="360" w:lineRule="auto"/>
        <w:ind w:left="0"/>
        <w:jc w:val="both"/>
      </w:pPr>
    </w:p>
    <w:p w14:paraId="26396522" w14:textId="77777777" w:rsidR="00D056D0" w:rsidRDefault="00C5489A" w:rsidP="00D24EA5">
      <w:pPr>
        <w:pStyle w:val="ListParagraph"/>
        <w:spacing w:line="360" w:lineRule="auto"/>
        <w:ind w:left="0"/>
        <w:jc w:val="both"/>
      </w:pPr>
      <w:r>
        <w:t xml:space="preserve">The NAMC will </w:t>
      </w:r>
      <w:r w:rsidR="00974656">
        <w:t>promot</w:t>
      </w:r>
      <w:r>
        <w:t>e</w:t>
      </w:r>
      <w:r w:rsidR="00974656">
        <w:t xml:space="preserve"> Market Efficiency</w:t>
      </w:r>
      <w:r>
        <w:t xml:space="preserve"> by u</w:t>
      </w:r>
      <w:r w:rsidR="00974656">
        <w:t>ndertak</w:t>
      </w:r>
      <w:r>
        <w:t>ing</w:t>
      </w:r>
      <w:r w:rsidR="00974656">
        <w:t xml:space="preserve"> research on agro-food chains; provide agribusiness training with other industry partners including the AgriSETA; and coordinate implementation of statutory measures</w:t>
      </w:r>
      <w:r w:rsidR="00956DF5">
        <w:t xml:space="preserve"> as outlined in the MAP Act (i.e. levies, records and returns, registration and control of export products)</w:t>
      </w:r>
      <w:r w:rsidR="00974656">
        <w:t xml:space="preserve"> for 22 agricultural industries. To ensure optimisation of Export Earnings, the NAMC </w:t>
      </w:r>
      <w:r w:rsidR="00956DF5">
        <w:t xml:space="preserve">undertakes trade research to identify export opportunities for South African agricultural products; allocate funding through statutory levies for quality control and to promote exports; and also facilitates technical support and certification for smallholder farmers for them to produce exportable products and access local and international markets. </w:t>
      </w:r>
      <w:r w:rsidR="00974656">
        <w:t xml:space="preserve"> </w:t>
      </w:r>
    </w:p>
    <w:p w14:paraId="02E99662" w14:textId="77777777" w:rsidR="00D056D0" w:rsidRDefault="00D056D0" w:rsidP="00D24EA5">
      <w:pPr>
        <w:pStyle w:val="ListParagraph"/>
        <w:spacing w:line="360" w:lineRule="auto"/>
        <w:ind w:left="0"/>
        <w:jc w:val="both"/>
      </w:pPr>
    </w:p>
    <w:p w14:paraId="563AD696" w14:textId="77777777" w:rsidR="00864BE4" w:rsidRDefault="00956DF5" w:rsidP="00D24EA5">
      <w:pPr>
        <w:pStyle w:val="ListParagraph"/>
        <w:spacing w:line="360" w:lineRule="auto"/>
        <w:ind w:left="0"/>
        <w:jc w:val="both"/>
      </w:pPr>
      <w:r>
        <w:t xml:space="preserve">To enhance Sector Viability, the NAMC </w:t>
      </w:r>
      <w:r w:rsidR="00C5489A">
        <w:t xml:space="preserve">will continue </w:t>
      </w:r>
      <w:r>
        <w:t>monitor</w:t>
      </w:r>
      <w:r w:rsidR="00C5489A">
        <w:t>ing</w:t>
      </w:r>
      <w:r>
        <w:t xml:space="preserve"> the spending of Agricultural Industry Trusts for transformation activities</w:t>
      </w:r>
      <w:r w:rsidR="0016567F">
        <w:t xml:space="preserve"> and in this regard, the entity has established an independent Transformation Review Committee; it developed an Agriculture Branding Initiative to promote a single unified brand for South African Agriculture; and it </w:t>
      </w:r>
      <w:r>
        <w:t xml:space="preserve">coordinates the </w:t>
      </w:r>
      <w:r w:rsidR="00D056D0">
        <w:t>Presi</w:t>
      </w:r>
      <w:r w:rsidR="00A7086A">
        <w:t xml:space="preserve">dential </w:t>
      </w:r>
      <w:r w:rsidR="00D056D0">
        <w:t xml:space="preserve">Infrastructure Coordinating Committee (PICC)’s </w:t>
      </w:r>
      <w:r>
        <w:t>Strategic Integrated Projects (SIP 11</w:t>
      </w:r>
      <w:r w:rsidR="0016567F">
        <w:t xml:space="preserve"> – focus on </w:t>
      </w:r>
      <w:r>
        <w:t>agricultur</w:t>
      </w:r>
      <w:r w:rsidR="0016567F">
        <w:t>al log</w:t>
      </w:r>
      <w:r w:rsidR="00C81FDA">
        <w:t>ist</w:t>
      </w:r>
      <w:r w:rsidR="0016567F">
        <w:t xml:space="preserve">ics and rural infrastructure) </w:t>
      </w:r>
      <w:r w:rsidR="00864BE4">
        <w:t xml:space="preserve">on behalf of DAFF </w:t>
      </w:r>
      <w:r>
        <w:t>to support increased investment in infrastructure</w:t>
      </w:r>
      <w:r w:rsidR="002733F2">
        <w:t xml:space="preserve"> as </w:t>
      </w:r>
      <w:r w:rsidR="00864BE4">
        <w:t xml:space="preserve">mandated </w:t>
      </w:r>
      <w:r w:rsidR="002733F2">
        <w:t>in the NDP</w:t>
      </w:r>
      <w:r>
        <w:t xml:space="preserve">. </w:t>
      </w:r>
      <w:r w:rsidR="00864BE4">
        <w:t xml:space="preserve">The NAMC highlighted that </w:t>
      </w:r>
      <w:r w:rsidR="00D24EA5">
        <w:t xml:space="preserve">funding for infrastructure remains a challenge </w:t>
      </w:r>
      <w:r w:rsidR="00864BE4">
        <w:t xml:space="preserve">as </w:t>
      </w:r>
      <w:r w:rsidR="00C81FDA">
        <w:t xml:space="preserve">SIP </w:t>
      </w:r>
      <w:r w:rsidR="00864BE4">
        <w:t xml:space="preserve">11 was never funded, </w:t>
      </w:r>
      <w:r w:rsidR="00D24EA5" w:rsidRPr="00D92DF5">
        <w:t xml:space="preserve">but some work has been done with limited funding. </w:t>
      </w:r>
      <w:r w:rsidR="00D056D0">
        <w:t xml:space="preserve">These include inter alia storage facilities, irrigation schemes, fencing and expansion of agricultural colleges. </w:t>
      </w:r>
    </w:p>
    <w:p w14:paraId="2A47200C" w14:textId="77777777" w:rsidR="00762075" w:rsidRDefault="00762075" w:rsidP="00D00A94">
      <w:pPr>
        <w:tabs>
          <w:tab w:val="left" w:pos="567"/>
          <w:tab w:val="left" w:pos="2012"/>
        </w:tabs>
        <w:autoSpaceDE w:val="0"/>
        <w:autoSpaceDN w:val="0"/>
        <w:adjustRightInd w:val="0"/>
        <w:spacing w:line="360" w:lineRule="auto"/>
        <w:jc w:val="both"/>
      </w:pPr>
    </w:p>
    <w:p w14:paraId="05A537E4" w14:textId="77777777" w:rsidR="00217268" w:rsidRPr="00D00A94" w:rsidRDefault="00FE641E" w:rsidP="00D00A94">
      <w:pPr>
        <w:tabs>
          <w:tab w:val="left" w:pos="270"/>
          <w:tab w:val="left" w:pos="540"/>
        </w:tabs>
        <w:autoSpaceDE w:val="0"/>
        <w:autoSpaceDN w:val="0"/>
        <w:adjustRightInd w:val="0"/>
        <w:spacing w:line="360" w:lineRule="auto"/>
        <w:ind w:left="540" w:hanging="540"/>
        <w:rPr>
          <w:b/>
          <w:color w:val="000000"/>
        </w:rPr>
      </w:pPr>
      <w:r>
        <w:rPr>
          <w:b/>
          <w:color w:val="000000"/>
        </w:rPr>
        <w:t>6</w:t>
      </w:r>
      <w:r w:rsidR="00985C54" w:rsidRPr="00D00A94">
        <w:rPr>
          <w:b/>
          <w:color w:val="000000"/>
        </w:rPr>
        <w:t>.</w:t>
      </w:r>
      <w:r w:rsidR="00BB42F4" w:rsidRPr="00D00A94">
        <w:rPr>
          <w:b/>
          <w:color w:val="000000"/>
        </w:rPr>
        <w:t xml:space="preserve">  </w:t>
      </w:r>
      <w:r w:rsidR="00BB42F4" w:rsidRPr="00D00A94">
        <w:rPr>
          <w:b/>
          <w:color w:val="000000"/>
        </w:rPr>
        <w:tab/>
      </w:r>
      <w:r w:rsidR="009F2A2E">
        <w:rPr>
          <w:b/>
          <w:color w:val="000000"/>
        </w:rPr>
        <w:t xml:space="preserve">Summary of Key Conclusions drawn from the </w:t>
      </w:r>
      <w:r w:rsidR="00191183" w:rsidRPr="00D00A94">
        <w:rPr>
          <w:b/>
          <w:color w:val="000000"/>
        </w:rPr>
        <w:t xml:space="preserve">Committee </w:t>
      </w:r>
      <w:r w:rsidR="00217268" w:rsidRPr="00D00A94">
        <w:rPr>
          <w:b/>
          <w:color w:val="000000"/>
        </w:rPr>
        <w:t xml:space="preserve">Deliberations </w:t>
      </w:r>
      <w:r w:rsidR="00191183" w:rsidRPr="00D00A94">
        <w:rPr>
          <w:b/>
          <w:color w:val="000000"/>
        </w:rPr>
        <w:t xml:space="preserve">on </w:t>
      </w:r>
      <w:r w:rsidR="00FF43D9" w:rsidRPr="00D00A94">
        <w:rPr>
          <w:b/>
          <w:color w:val="000000"/>
        </w:rPr>
        <w:t xml:space="preserve">the </w:t>
      </w:r>
      <w:r w:rsidR="006638D0" w:rsidRPr="00D00A94">
        <w:rPr>
          <w:b/>
          <w:color w:val="000000"/>
        </w:rPr>
        <w:t>201</w:t>
      </w:r>
      <w:r w:rsidR="00385FD6" w:rsidRPr="00D00A94">
        <w:rPr>
          <w:b/>
          <w:color w:val="000000"/>
        </w:rPr>
        <w:t>9</w:t>
      </w:r>
      <w:r w:rsidR="006638D0" w:rsidRPr="00D00A94">
        <w:rPr>
          <w:b/>
          <w:color w:val="000000"/>
        </w:rPr>
        <w:t>/</w:t>
      </w:r>
      <w:r w:rsidR="00385FD6" w:rsidRPr="00D00A94">
        <w:rPr>
          <w:b/>
          <w:color w:val="000000"/>
        </w:rPr>
        <w:t>20</w:t>
      </w:r>
      <w:r w:rsidR="006638D0" w:rsidRPr="00D00A94">
        <w:rPr>
          <w:b/>
          <w:color w:val="000000"/>
        </w:rPr>
        <w:t xml:space="preserve"> </w:t>
      </w:r>
      <w:r w:rsidR="00FF43D9" w:rsidRPr="00D00A94">
        <w:rPr>
          <w:b/>
          <w:color w:val="000000"/>
        </w:rPr>
        <w:t>APP</w:t>
      </w:r>
      <w:r w:rsidR="00C825AC">
        <w:rPr>
          <w:b/>
          <w:color w:val="000000"/>
        </w:rPr>
        <w:t>s</w:t>
      </w:r>
      <w:r w:rsidR="00FF43D9" w:rsidRPr="00D00A94">
        <w:rPr>
          <w:b/>
          <w:color w:val="000000"/>
        </w:rPr>
        <w:t xml:space="preserve"> a</w:t>
      </w:r>
      <w:r w:rsidR="00FA433E" w:rsidRPr="00D00A94">
        <w:rPr>
          <w:b/>
          <w:color w:val="000000"/>
        </w:rPr>
        <w:t xml:space="preserve">nd </w:t>
      </w:r>
      <w:r w:rsidR="006638D0" w:rsidRPr="00D00A94">
        <w:rPr>
          <w:b/>
          <w:color w:val="000000"/>
        </w:rPr>
        <w:t xml:space="preserve">MTEF </w:t>
      </w:r>
      <w:r w:rsidR="00FA433E" w:rsidRPr="00D00A94">
        <w:rPr>
          <w:b/>
          <w:color w:val="000000"/>
        </w:rPr>
        <w:t xml:space="preserve">Budget of </w:t>
      </w:r>
      <w:r w:rsidR="004167AB">
        <w:rPr>
          <w:b/>
          <w:color w:val="000000"/>
        </w:rPr>
        <w:t>the Department (</w:t>
      </w:r>
      <w:r w:rsidR="00FA433E" w:rsidRPr="00D00A94">
        <w:rPr>
          <w:b/>
          <w:color w:val="000000"/>
        </w:rPr>
        <w:t>DAFF</w:t>
      </w:r>
      <w:r w:rsidR="004167AB">
        <w:rPr>
          <w:b/>
          <w:color w:val="000000"/>
        </w:rPr>
        <w:t>)</w:t>
      </w:r>
      <w:r w:rsidR="00664EDC">
        <w:rPr>
          <w:b/>
          <w:color w:val="000000"/>
        </w:rPr>
        <w:t xml:space="preserve"> </w:t>
      </w:r>
      <w:r w:rsidR="00C825AC">
        <w:rPr>
          <w:b/>
          <w:color w:val="000000"/>
        </w:rPr>
        <w:t>and its Entities</w:t>
      </w:r>
    </w:p>
    <w:p w14:paraId="2E5DDCE7" w14:textId="77777777" w:rsidR="00191183" w:rsidRPr="00D00A94" w:rsidRDefault="00191183" w:rsidP="00D00A94">
      <w:pPr>
        <w:autoSpaceDE w:val="0"/>
        <w:autoSpaceDN w:val="0"/>
        <w:adjustRightInd w:val="0"/>
        <w:spacing w:line="360" w:lineRule="auto"/>
        <w:ind w:firstLine="720"/>
        <w:rPr>
          <w:lang w:val="en-ZA"/>
        </w:rPr>
      </w:pPr>
    </w:p>
    <w:p w14:paraId="61F050CC" w14:textId="77777777" w:rsidR="00191183" w:rsidRPr="00D00A94" w:rsidRDefault="000762CA" w:rsidP="00D00A94">
      <w:pPr>
        <w:spacing w:line="360" w:lineRule="auto"/>
        <w:jc w:val="both"/>
        <w:rPr>
          <w:color w:val="000000"/>
        </w:rPr>
      </w:pPr>
      <w:r w:rsidRPr="00D00A94">
        <w:rPr>
          <w:lang w:val="en-ZA"/>
        </w:rPr>
        <w:t xml:space="preserve">The Committee </w:t>
      </w:r>
      <w:r w:rsidR="004167AB">
        <w:rPr>
          <w:lang w:val="en-ZA"/>
        </w:rPr>
        <w:t xml:space="preserve">took note of the implications of the Cabinet reconfiguration and </w:t>
      </w:r>
      <w:r w:rsidR="002B2BE1">
        <w:rPr>
          <w:lang w:val="en-ZA"/>
        </w:rPr>
        <w:t xml:space="preserve">welcomed </w:t>
      </w:r>
      <w:r w:rsidR="004167AB">
        <w:rPr>
          <w:lang w:val="en-ZA"/>
        </w:rPr>
        <w:t xml:space="preserve">the </w:t>
      </w:r>
      <w:r w:rsidR="002B2BE1">
        <w:rPr>
          <w:lang w:val="en-ZA"/>
        </w:rPr>
        <w:t xml:space="preserve">amalgamation </w:t>
      </w:r>
      <w:r w:rsidR="004167AB">
        <w:rPr>
          <w:lang w:val="en-ZA"/>
        </w:rPr>
        <w:t xml:space="preserve">of the Department with the Department of Rural Development and Land Reform including their restructuring as </w:t>
      </w:r>
      <w:r w:rsidR="0019232A">
        <w:rPr>
          <w:lang w:val="en-ZA"/>
        </w:rPr>
        <w:t xml:space="preserve">it was </w:t>
      </w:r>
      <w:r w:rsidR="004167AB">
        <w:rPr>
          <w:lang w:val="en-ZA"/>
        </w:rPr>
        <w:t xml:space="preserve">highlighted by the Minister. </w:t>
      </w:r>
      <w:r w:rsidR="002B2BE1">
        <w:rPr>
          <w:lang w:val="en-ZA"/>
        </w:rPr>
        <w:t xml:space="preserve">It was of the view that </w:t>
      </w:r>
      <w:r w:rsidR="00514452" w:rsidRPr="00D00A94">
        <w:rPr>
          <w:lang w:val="en-ZA"/>
        </w:rPr>
        <w:t xml:space="preserve">the </w:t>
      </w:r>
      <w:r w:rsidR="00CB40E3" w:rsidRPr="00D00A94">
        <w:rPr>
          <w:lang w:val="en-ZA"/>
        </w:rPr>
        <w:t>amalgamation</w:t>
      </w:r>
      <w:r w:rsidR="00385FD6" w:rsidRPr="00D00A94">
        <w:rPr>
          <w:lang w:val="en-ZA"/>
        </w:rPr>
        <w:t xml:space="preserve"> of the two Department</w:t>
      </w:r>
      <w:r w:rsidR="006D1C04">
        <w:rPr>
          <w:lang w:val="en-ZA"/>
        </w:rPr>
        <w:t>s</w:t>
      </w:r>
      <w:r w:rsidR="002B2BE1">
        <w:rPr>
          <w:lang w:val="en-ZA"/>
        </w:rPr>
        <w:t xml:space="preserve"> is </w:t>
      </w:r>
      <w:r w:rsidR="0019232A">
        <w:rPr>
          <w:lang w:val="en-ZA"/>
        </w:rPr>
        <w:t xml:space="preserve">necessary for better coordination and improved efficiencies </w:t>
      </w:r>
      <w:r w:rsidR="002B2BE1">
        <w:rPr>
          <w:lang w:val="en-ZA"/>
        </w:rPr>
        <w:t>regarding p</w:t>
      </w:r>
      <w:r w:rsidR="0019232A">
        <w:rPr>
          <w:lang w:val="en-ZA"/>
        </w:rPr>
        <w:t>olicy and programme implementation</w:t>
      </w:r>
      <w:r w:rsidR="00263D27">
        <w:rPr>
          <w:lang w:val="en-ZA"/>
        </w:rPr>
        <w:t xml:space="preserve"> </w:t>
      </w:r>
      <w:r w:rsidR="0019232A">
        <w:rPr>
          <w:lang w:val="en-ZA"/>
        </w:rPr>
        <w:t>and resource</w:t>
      </w:r>
      <w:r w:rsidR="002B2BE1">
        <w:rPr>
          <w:lang w:val="en-ZA"/>
        </w:rPr>
        <w:t xml:space="preserve"> utilisation. H</w:t>
      </w:r>
      <w:r w:rsidR="00F67C57" w:rsidRPr="00B5535C">
        <w:t>aving</w:t>
      </w:r>
      <w:r w:rsidR="004167AB" w:rsidRPr="00B5535C">
        <w:t xml:space="preserve"> deliberated the findings and observations on </w:t>
      </w:r>
      <w:r w:rsidR="004167AB">
        <w:t xml:space="preserve">the </w:t>
      </w:r>
      <w:r w:rsidR="004167AB" w:rsidRPr="00B5535C">
        <w:t>APP</w:t>
      </w:r>
      <w:r w:rsidR="00C825AC">
        <w:t>s</w:t>
      </w:r>
      <w:r w:rsidR="004167AB">
        <w:t xml:space="preserve"> and budget allocation</w:t>
      </w:r>
      <w:r w:rsidR="00C825AC">
        <w:t>s</w:t>
      </w:r>
      <w:r w:rsidR="004167AB">
        <w:t xml:space="preserve"> </w:t>
      </w:r>
      <w:r w:rsidR="004167AB" w:rsidRPr="00B5535C">
        <w:t>of the Department</w:t>
      </w:r>
      <w:r w:rsidR="00C825AC">
        <w:t xml:space="preserve"> and Entities</w:t>
      </w:r>
      <w:r w:rsidR="004167AB" w:rsidRPr="00B5535C">
        <w:t>, the Committee drew the following conclusions</w:t>
      </w:r>
      <w:r w:rsidR="004167AB">
        <w:t xml:space="preserve">: </w:t>
      </w:r>
      <w:r w:rsidR="00385FD6" w:rsidRPr="00D00A94">
        <w:rPr>
          <w:lang w:val="en-ZA"/>
        </w:rPr>
        <w:t xml:space="preserve"> </w:t>
      </w:r>
    </w:p>
    <w:p w14:paraId="5B589BDE" w14:textId="77777777" w:rsidR="00191183" w:rsidRDefault="00191183" w:rsidP="00D00A94">
      <w:pPr>
        <w:spacing w:line="360" w:lineRule="auto"/>
        <w:jc w:val="both"/>
        <w:rPr>
          <w:lang w:val="en-ZA"/>
        </w:rPr>
      </w:pPr>
    </w:p>
    <w:p w14:paraId="716073DB" w14:textId="77777777" w:rsidR="00C825AC" w:rsidRPr="008B6F35" w:rsidRDefault="00C825AC" w:rsidP="00D00A94">
      <w:pPr>
        <w:spacing w:line="360" w:lineRule="auto"/>
        <w:jc w:val="both"/>
        <w:rPr>
          <w:b/>
          <w:lang w:val="en-ZA"/>
        </w:rPr>
      </w:pPr>
      <w:r w:rsidRPr="008B6F35">
        <w:rPr>
          <w:b/>
          <w:lang w:val="en-ZA"/>
        </w:rPr>
        <w:t>The Department of Agriculture, Forestry and Fisheries</w:t>
      </w:r>
    </w:p>
    <w:p w14:paraId="1C497B18" w14:textId="77777777" w:rsidR="0019232A" w:rsidRDefault="0019232A" w:rsidP="001175D3">
      <w:pPr>
        <w:pStyle w:val="ListParagraph"/>
        <w:numPr>
          <w:ilvl w:val="1"/>
          <w:numId w:val="12"/>
        </w:numPr>
        <w:spacing w:line="360" w:lineRule="auto"/>
        <w:jc w:val="both"/>
      </w:pPr>
      <w:r>
        <w:t xml:space="preserve">The Department </w:t>
      </w:r>
      <w:r w:rsidR="00D44371">
        <w:t xml:space="preserve">did not make enough </w:t>
      </w:r>
      <w:r>
        <w:t xml:space="preserve">effort </w:t>
      </w:r>
      <w:r w:rsidR="00D44371">
        <w:t xml:space="preserve">in </w:t>
      </w:r>
      <w:r>
        <w:t xml:space="preserve">setting </w:t>
      </w:r>
      <w:r w:rsidR="00104D0B">
        <w:t xml:space="preserve">specific, </w:t>
      </w:r>
      <w:r>
        <w:t xml:space="preserve">measurable and reliable targets that are aligned with service delivery and financial resources. </w:t>
      </w:r>
      <w:r w:rsidR="002B2BE1">
        <w:t>Some performance indicators remain vague</w:t>
      </w:r>
      <w:r w:rsidR="00D44371">
        <w:t xml:space="preserve"> e.g.</w:t>
      </w:r>
      <w:r w:rsidR="00357E48">
        <w:t xml:space="preserve"> Programme 1: </w:t>
      </w:r>
      <w:r w:rsidR="00357E48" w:rsidRPr="00E112DD">
        <w:rPr>
          <w:i/>
        </w:rPr>
        <w:t>Sector Research Agenda monitored</w:t>
      </w:r>
      <w:r w:rsidR="00357E48">
        <w:t xml:space="preserve">, which is both an indicator and an annual target throughout the medium term; </w:t>
      </w:r>
      <w:r w:rsidR="00D741ED">
        <w:t xml:space="preserve">Programme 4: </w:t>
      </w:r>
      <w:r w:rsidR="00FD41B0">
        <w:t>International Relations Strategy implemented</w:t>
      </w:r>
      <w:r w:rsidR="00D741ED">
        <w:t xml:space="preserve"> where annual target is </w:t>
      </w:r>
      <w:r w:rsidR="00D741ED" w:rsidRPr="00E112DD">
        <w:rPr>
          <w:i/>
        </w:rPr>
        <w:t>status report on compliance to AU and SADC obligations</w:t>
      </w:r>
      <w:r w:rsidR="002B2BE1">
        <w:t xml:space="preserve">. Resource allocation was not linked to performance targets </w:t>
      </w:r>
      <w:r w:rsidR="00D741ED">
        <w:t xml:space="preserve">in the APP (but to Programmes and sub-programmes) </w:t>
      </w:r>
      <w:r w:rsidR="002B2BE1">
        <w:t xml:space="preserve">so that </w:t>
      </w:r>
      <w:r w:rsidR="002E7187">
        <w:t>when a number of targets are not achieved during the previous financial year and are deferred to the following year, the Department should be able to account for the budget that has been allocated for those targets</w:t>
      </w:r>
      <w:r w:rsidR="002B2BE1">
        <w:t xml:space="preserve"> during that year</w:t>
      </w:r>
      <w:r w:rsidR="002E7187">
        <w:t xml:space="preserve">, e.g. development and implementation of </w:t>
      </w:r>
      <w:r w:rsidR="00350D47">
        <w:t xml:space="preserve">specific </w:t>
      </w:r>
      <w:r w:rsidR="002E7187">
        <w:t>policies and legislation</w:t>
      </w:r>
      <w:r w:rsidR="002B2BE1">
        <w:t xml:space="preserve">. </w:t>
      </w:r>
      <w:r w:rsidR="002E7187">
        <w:t xml:space="preserve"> </w:t>
      </w:r>
      <w:r w:rsidR="00104D0B">
        <w:t xml:space="preserve"> </w:t>
      </w:r>
      <w:r>
        <w:t xml:space="preserve"> </w:t>
      </w:r>
    </w:p>
    <w:p w14:paraId="4A03F5CD" w14:textId="77777777" w:rsidR="0019232A" w:rsidRDefault="0019232A" w:rsidP="0019232A">
      <w:pPr>
        <w:spacing w:line="360" w:lineRule="auto"/>
        <w:jc w:val="both"/>
      </w:pPr>
    </w:p>
    <w:p w14:paraId="14F98826" w14:textId="77777777" w:rsidR="0019232A" w:rsidRDefault="00AD181E" w:rsidP="001175D3">
      <w:pPr>
        <w:pStyle w:val="ListParagraph"/>
        <w:numPr>
          <w:ilvl w:val="1"/>
          <w:numId w:val="12"/>
        </w:numPr>
        <w:spacing w:line="360" w:lineRule="auto"/>
        <w:jc w:val="both"/>
      </w:pPr>
      <w:r>
        <w:t xml:space="preserve">Uncertainty regarding the Department’s capacity </w:t>
      </w:r>
      <w:r w:rsidRPr="00337E02">
        <w:t xml:space="preserve">to develop essential legislation and policies to address sectoral challenges </w:t>
      </w:r>
      <w:r>
        <w:t>i</w:t>
      </w:r>
      <w:r w:rsidR="006410D8">
        <w:t>n light of the prolonged period</w:t>
      </w:r>
      <w:r>
        <w:t xml:space="preserve"> it took to finalise and/or implement policies and legislation, e.g. National Policy on Extension and Advisory Services, Draft National Policy on Comprehensive Producer Development Support</w:t>
      </w:r>
      <w:r w:rsidRPr="00337E02">
        <w:t>,</w:t>
      </w:r>
      <w:r>
        <w:t xml:space="preserve"> Preservation and Development of Agricultural Land (PDAL) B</w:t>
      </w:r>
      <w:r w:rsidRPr="00337E02">
        <w:t>ill</w:t>
      </w:r>
      <w:r>
        <w:t xml:space="preserve"> and the Marketing of Agricultural Products Amendment Bill. </w:t>
      </w:r>
    </w:p>
    <w:p w14:paraId="43E8E901" w14:textId="77777777" w:rsidR="00AD181E" w:rsidRDefault="00AD181E" w:rsidP="00AD181E">
      <w:pPr>
        <w:spacing w:line="360" w:lineRule="auto"/>
        <w:jc w:val="both"/>
      </w:pPr>
    </w:p>
    <w:p w14:paraId="593FA4FA" w14:textId="77777777" w:rsidR="00BB5115" w:rsidRPr="00222A05" w:rsidRDefault="00BB5115" w:rsidP="001175D3">
      <w:pPr>
        <w:pStyle w:val="ListParagraph"/>
        <w:numPr>
          <w:ilvl w:val="1"/>
          <w:numId w:val="12"/>
        </w:numPr>
        <w:spacing w:line="360" w:lineRule="auto"/>
        <w:jc w:val="both"/>
      </w:pPr>
      <w:r>
        <w:t xml:space="preserve">Conditional </w:t>
      </w:r>
      <w:r w:rsidRPr="00222A05">
        <w:t xml:space="preserve">grants are narrowly focused on certain </w:t>
      </w:r>
      <w:r>
        <w:t xml:space="preserve">primary </w:t>
      </w:r>
      <w:r w:rsidRPr="00222A05">
        <w:t>agricultural activities while more employment opportunities may be generated in complementary sectors that are outside the grant requirements such as agroprocessing</w:t>
      </w:r>
      <w:r w:rsidR="0087418C">
        <w:t>, which is identified as a key job driver</w:t>
      </w:r>
      <w:r w:rsidR="00BD5552">
        <w:t xml:space="preserve">; and </w:t>
      </w:r>
      <w:r w:rsidR="00BD5552" w:rsidRPr="00222A05">
        <w:t>agri</w:t>
      </w:r>
      <w:r w:rsidR="00BD5552">
        <w:t>-</w:t>
      </w:r>
      <w:r w:rsidR="00BD5552" w:rsidRPr="00222A05">
        <w:t>tourism</w:t>
      </w:r>
      <w:r w:rsidRPr="00222A05">
        <w:t xml:space="preserve">. </w:t>
      </w:r>
      <w:r w:rsidR="008D6894">
        <w:t>This is notwithstanding traini</w:t>
      </w:r>
      <w:r>
        <w:t>ng</w:t>
      </w:r>
      <w:r w:rsidR="008D6894">
        <w:t xml:space="preserve"> for agroproces</w:t>
      </w:r>
      <w:r w:rsidR="009B6A8C">
        <w:t>sing entrepreneurs that will be provided through Programme 4</w:t>
      </w:r>
      <w:r>
        <w:t xml:space="preserve">. </w:t>
      </w:r>
    </w:p>
    <w:p w14:paraId="79A8EDF2" w14:textId="77777777" w:rsidR="00BB5115" w:rsidRDefault="00BB5115" w:rsidP="00AD181E">
      <w:pPr>
        <w:spacing w:line="360" w:lineRule="auto"/>
        <w:jc w:val="both"/>
      </w:pPr>
    </w:p>
    <w:p w14:paraId="60BD6907" w14:textId="77777777" w:rsidR="00836078" w:rsidRDefault="005674F9" w:rsidP="001175D3">
      <w:pPr>
        <w:pStyle w:val="ListParagraph"/>
        <w:numPr>
          <w:ilvl w:val="1"/>
          <w:numId w:val="12"/>
        </w:numPr>
        <w:spacing w:line="360" w:lineRule="auto"/>
        <w:jc w:val="both"/>
      </w:pPr>
      <w:r>
        <w:t>Absence of a monitoring and evaluation</w:t>
      </w:r>
      <w:r w:rsidR="00BE1FB7">
        <w:t xml:space="preserve"> (M &amp; E)</w:t>
      </w:r>
      <w:r>
        <w:t xml:space="preserve"> framework as part of the Department’s annual plans may impact accountability on performance and service delivery considering that 56% of the total Vote allocation goes to transfers and subsidies. Transfers and subsidies mainly constitute transfers to Departmental and other entities, as well as conditional grants, which are transferred to provinces for implementation of Departmental interventions and service delivery programmes. </w:t>
      </w:r>
      <w:r w:rsidR="00BE1FB7">
        <w:t xml:space="preserve">In the absence of effective M &amp; E, provinces </w:t>
      </w:r>
      <w:r w:rsidR="008E1207">
        <w:t xml:space="preserve">may </w:t>
      </w:r>
      <w:r w:rsidR="00BE1FB7">
        <w:t xml:space="preserve">sometimes redirect the funds to other activities. </w:t>
      </w:r>
      <w:r w:rsidR="00094F9E">
        <w:t>This is especially true of CASP, which accounts for 67% of the conditional grants and about 35% of the total transfers and subsidies</w:t>
      </w:r>
      <w:r w:rsidR="00350D47">
        <w:t>;</w:t>
      </w:r>
      <w:r w:rsidR="00094F9E">
        <w:t xml:space="preserve"> and seems to be a funding instrument for everything and anything that is not funded in the Department. </w:t>
      </w:r>
    </w:p>
    <w:p w14:paraId="5D732528" w14:textId="77777777" w:rsidR="00836078" w:rsidRDefault="00836078" w:rsidP="00AD181E">
      <w:pPr>
        <w:spacing w:line="360" w:lineRule="auto"/>
        <w:jc w:val="both"/>
      </w:pPr>
    </w:p>
    <w:p w14:paraId="256553CA" w14:textId="77777777" w:rsidR="00AD181E" w:rsidRDefault="008E1207" w:rsidP="001175D3">
      <w:pPr>
        <w:pStyle w:val="ListParagraph"/>
        <w:numPr>
          <w:ilvl w:val="1"/>
          <w:numId w:val="12"/>
        </w:numPr>
        <w:spacing w:line="360" w:lineRule="auto"/>
        <w:jc w:val="both"/>
      </w:pPr>
      <w:r>
        <w:t xml:space="preserve">There is a need for further engagements on the Commercialisation of Black Producers and the Blended Finance Model, as well as the utilisation of the AgriBEE Fund and Mafisa, which are administered by the Land Bank. During the current financial year (2019/20), the Land Bank will be allocated R461.5 million through Programmes 3 and 4 for the </w:t>
      </w:r>
      <w:r w:rsidR="00C70393">
        <w:t>C</w:t>
      </w:r>
      <w:r>
        <w:t>ommercialisation</w:t>
      </w:r>
      <w:r w:rsidR="00C70393">
        <w:t xml:space="preserve"> of Black Producers</w:t>
      </w:r>
      <w:r>
        <w:t xml:space="preserve"> </w:t>
      </w:r>
      <w:r w:rsidR="00C70393">
        <w:t>P</w:t>
      </w:r>
      <w:r>
        <w:t xml:space="preserve">rogramme and smallholder farmer support. </w:t>
      </w:r>
    </w:p>
    <w:p w14:paraId="3B4C2135" w14:textId="77777777" w:rsidR="00CF7F00" w:rsidRDefault="00CF7F00" w:rsidP="00AD181E">
      <w:pPr>
        <w:spacing w:line="360" w:lineRule="auto"/>
        <w:jc w:val="both"/>
      </w:pPr>
    </w:p>
    <w:p w14:paraId="72A2CA43" w14:textId="77777777" w:rsidR="0021644E" w:rsidRDefault="003A3F46" w:rsidP="001175D3">
      <w:pPr>
        <w:pStyle w:val="ListParagraph"/>
        <w:numPr>
          <w:ilvl w:val="1"/>
          <w:numId w:val="12"/>
        </w:numPr>
        <w:spacing w:line="360" w:lineRule="auto"/>
        <w:jc w:val="both"/>
      </w:pPr>
      <w:r>
        <w:t xml:space="preserve">Lack of </w:t>
      </w:r>
      <w:r w:rsidRPr="005379FF">
        <w:t xml:space="preserve">intergovernmental collaboration and </w:t>
      </w:r>
      <w:r>
        <w:t xml:space="preserve">clear </w:t>
      </w:r>
      <w:r w:rsidRPr="005379FF">
        <w:t xml:space="preserve">alignment of activities between the Department and its </w:t>
      </w:r>
      <w:r w:rsidRPr="009210E9">
        <w:t>Entities</w:t>
      </w:r>
      <w:r>
        <w:t>, as well as between DAFF and DRDLR</w:t>
      </w:r>
      <w:r w:rsidRPr="009210E9">
        <w:t xml:space="preserve"> remains a concern that impacts optimal </w:t>
      </w:r>
      <w:r w:rsidR="00565D83">
        <w:t xml:space="preserve">use of limited financial resources and </w:t>
      </w:r>
      <w:r w:rsidRPr="009210E9">
        <w:t>delivery of services</w:t>
      </w:r>
      <w:r>
        <w:t xml:space="preserve">, e.g. training programmes for market access through the Department’s Programme 4 and the NAMC; involvement of the Department and the ARC in the NAMC’s National Red Meat Development Programme </w:t>
      </w:r>
      <w:r w:rsidR="00565D83">
        <w:t>that is funded by DRDLR</w:t>
      </w:r>
      <w:r w:rsidRPr="009210E9">
        <w:t xml:space="preserve">. </w:t>
      </w:r>
      <w:r w:rsidR="00761F97">
        <w:t xml:space="preserve">The </w:t>
      </w:r>
      <w:r w:rsidRPr="005379FF">
        <w:t xml:space="preserve">Committee </w:t>
      </w:r>
      <w:r w:rsidR="00761F97">
        <w:t xml:space="preserve">hope that </w:t>
      </w:r>
      <w:r w:rsidR="001C0BEE">
        <w:t xml:space="preserve">this will be addressed by the merger of the two Departments including the </w:t>
      </w:r>
      <w:r w:rsidRPr="005379FF">
        <w:t xml:space="preserve">Operation Phakisa for Agriculture, Land Reform and Rural Development in which the </w:t>
      </w:r>
      <w:r w:rsidR="00B854E5">
        <w:t xml:space="preserve">two </w:t>
      </w:r>
      <w:r w:rsidRPr="005379FF">
        <w:t>Department</w:t>
      </w:r>
      <w:r w:rsidR="00761F97">
        <w:t>s</w:t>
      </w:r>
      <w:r w:rsidRPr="005379FF">
        <w:t xml:space="preserve"> and Entities are participating</w:t>
      </w:r>
      <w:r w:rsidR="00B854E5">
        <w:t xml:space="preserve">. Operation Phakisa </w:t>
      </w:r>
      <w:r w:rsidR="001C0BEE">
        <w:t xml:space="preserve">was developed to </w:t>
      </w:r>
      <w:r>
        <w:t>address</w:t>
      </w:r>
      <w:r w:rsidR="0021644E">
        <w:t xml:space="preserve"> inter alia</w:t>
      </w:r>
      <w:r>
        <w:t xml:space="preserve"> some of the challenges associated with </w:t>
      </w:r>
      <w:r w:rsidR="001C0BEE">
        <w:t xml:space="preserve">poor coordination and </w:t>
      </w:r>
      <w:r>
        <w:t>collaboration</w:t>
      </w:r>
      <w:r w:rsidR="001C0BEE">
        <w:t>.</w:t>
      </w:r>
      <w:r w:rsidRPr="005379FF">
        <w:t xml:space="preserve">  </w:t>
      </w:r>
    </w:p>
    <w:p w14:paraId="6A366EA3" w14:textId="77777777" w:rsidR="0021644E" w:rsidRDefault="0021644E" w:rsidP="008B6F35">
      <w:pPr>
        <w:spacing w:line="360" w:lineRule="auto"/>
        <w:jc w:val="both"/>
      </w:pPr>
    </w:p>
    <w:p w14:paraId="453F5E9F" w14:textId="77777777" w:rsidR="0021644E" w:rsidRPr="00BD26BC" w:rsidRDefault="0021644E" w:rsidP="0021644E">
      <w:pPr>
        <w:autoSpaceDE w:val="0"/>
        <w:autoSpaceDN w:val="0"/>
        <w:adjustRightInd w:val="0"/>
        <w:spacing w:line="360" w:lineRule="auto"/>
        <w:jc w:val="both"/>
        <w:rPr>
          <w:b/>
          <w:lang w:val="en-ZA"/>
        </w:rPr>
      </w:pPr>
      <w:r w:rsidRPr="00BD26BC">
        <w:rPr>
          <w:b/>
          <w:lang w:val="en-ZA"/>
        </w:rPr>
        <w:t xml:space="preserve">Agricultural Research Council (ARC) </w:t>
      </w:r>
    </w:p>
    <w:p w14:paraId="2B1DD9D2" w14:textId="77777777" w:rsidR="0021644E" w:rsidRPr="00BD26BC" w:rsidRDefault="0021644E" w:rsidP="008B6F35">
      <w:pPr>
        <w:spacing w:line="360" w:lineRule="auto"/>
      </w:pPr>
    </w:p>
    <w:p w14:paraId="333A21E2" w14:textId="77777777" w:rsidR="0021644E" w:rsidRDefault="0021644E" w:rsidP="001175D3">
      <w:pPr>
        <w:pStyle w:val="ListParagraph"/>
        <w:numPr>
          <w:ilvl w:val="1"/>
          <w:numId w:val="12"/>
        </w:numPr>
        <w:spacing w:line="360" w:lineRule="auto"/>
        <w:jc w:val="both"/>
      </w:pPr>
      <w:r>
        <w:t xml:space="preserve">The additional allocation of R400 million to the ARC in the medium term, for the construction and establishment of the FMD Facility is welcome. The completion of the Facility is expected to enhance the country’s vaccine research capacity and ensure there is a secure local supply of the FMD vaccine, which the country currently imports from Botswana. </w:t>
      </w:r>
    </w:p>
    <w:p w14:paraId="5832B7B6" w14:textId="77777777" w:rsidR="008E7400" w:rsidRDefault="008E7400" w:rsidP="0021644E">
      <w:pPr>
        <w:spacing w:line="360" w:lineRule="auto"/>
        <w:jc w:val="both"/>
      </w:pPr>
    </w:p>
    <w:p w14:paraId="2CBEAE70" w14:textId="77777777" w:rsidR="0021644E" w:rsidRDefault="0021644E" w:rsidP="001175D3">
      <w:pPr>
        <w:pStyle w:val="ListParagraph"/>
        <w:numPr>
          <w:ilvl w:val="1"/>
          <w:numId w:val="12"/>
        </w:numPr>
        <w:spacing w:line="360" w:lineRule="auto"/>
        <w:jc w:val="both"/>
      </w:pPr>
      <w:r>
        <w:t xml:space="preserve">The ARC’s </w:t>
      </w:r>
      <w:r w:rsidR="008E7400">
        <w:t xml:space="preserve">deteriorating </w:t>
      </w:r>
      <w:r>
        <w:t>financial status and history of poor audit findings put the sustainability of the entity at risk and threatens agricultural research capacity and innovation</w:t>
      </w:r>
      <w:r w:rsidR="00D762E6">
        <w:t xml:space="preserve">. </w:t>
      </w:r>
      <w:r w:rsidR="00C71044">
        <w:t xml:space="preserve"> </w:t>
      </w:r>
    </w:p>
    <w:p w14:paraId="2A36D90D" w14:textId="77777777" w:rsidR="004E0E96" w:rsidRPr="00BD26BC" w:rsidRDefault="004E0E96" w:rsidP="00BD26BC">
      <w:pPr>
        <w:spacing w:line="360" w:lineRule="auto"/>
        <w:jc w:val="both"/>
        <w:rPr>
          <w:lang w:val="en-ZA"/>
        </w:rPr>
      </w:pPr>
    </w:p>
    <w:p w14:paraId="1531A3D0" w14:textId="77777777" w:rsidR="00B65955" w:rsidRPr="00BD26BC" w:rsidRDefault="00B65955" w:rsidP="00D00A94">
      <w:pPr>
        <w:autoSpaceDE w:val="0"/>
        <w:autoSpaceDN w:val="0"/>
        <w:adjustRightInd w:val="0"/>
        <w:spacing w:line="360" w:lineRule="auto"/>
        <w:jc w:val="both"/>
        <w:rPr>
          <w:b/>
          <w:lang w:val="en-ZA"/>
        </w:rPr>
      </w:pPr>
      <w:r w:rsidRPr="00BD26BC">
        <w:rPr>
          <w:b/>
          <w:lang w:val="en-ZA"/>
        </w:rPr>
        <w:t>Onderstepoort Biological Products (OBP)</w:t>
      </w:r>
    </w:p>
    <w:p w14:paraId="2C661F1B" w14:textId="77777777" w:rsidR="00FD5CE7" w:rsidRPr="00D624B9" w:rsidRDefault="00FD6A0E" w:rsidP="001175D3">
      <w:pPr>
        <w:pStyle w:val="ListParagraph"/>
        <w:numPr>
          <w:ilvl w:val="1"/>
          <w:numId w:val="12"/>
        </w:numPr>
        <w:spacing w:line="360" w:lineRule="auto"/>
        <w:jc w:val="both"/>
        <w:rPr>
          <w:b/>
        </w:rPr>
      </w:pPr>
      <w:r w:rsidRPr="00D624B9">
        <w:t xml:space="preserve">The need for the OBP to improve its marketing plan/strategy </w:t>
      </w:r>
      <w:r w:rsidR="00C71044" w:rsidRPr="00D624B9">
        <w:t xml:space="preserve">to promote visibility in provinces </w:t>
      </w:r>
      <w:r w:rsidRPr="00D624B9">
        <w:t xml:space="preserve">as its products are not widely available or utilised in provinces. </w:t>
      </w:r>
      <w:r w:rsidR="0038183B" w:rsidRPr="00D624B9">
        <w:t xml:space="preserve"> </w:t>
      </w:r>
    </w:p>
    <w:p w14:paraId="64C41FA8" w14:textId="77777777" w:rsidR="00B65955" w:rsidRDefault="00B65955" w:rsidP="008B6F35">
      <w:pPr>
        <w:spacing w:line="360" w:lineRule="auto"/>
        <w:jc w:val="both"/>
        <w:rPr>
          <w:b/>
          <w:lang w:val="en-ZA"/>
        </w:rPr>
      </w:pPr>
    </w:p>
    <w:p w14:paraId="52FF497F" w14:textId="77777777" w:rsidR="00F70976" w:rsidRDefault="00F70976" w:rsidP="008B6F35">
      <w:pPr>
        <w:spacing w:line="360" w:lineRule="auto"/>
        <w:jc w:val="both"/>
        <w:rPr>
          <w:b/>
          <w:lang w:val="en-ZA"/>
        </w:rPr>
      </w:pPr>
    </w:p>
    <w:p w14:paraId="26B36255" w14:textId="77777777" w:rsidR="00F70976" w:rsidRDefault="00F70976" w:rsidP="008B6F35">
      <w:pPr>
        <w:spacing w:line="360" w:lineRule="auto"/>
        <w:jc w:val="both"/>
        <w:rPr>
          <w:b/>
          <w:lang w:val="en-ZA"/>
        </w:rPr>
      </w:pPr>
    </w:p>
    <w:p w14:paraId="4AD01E83" w14:textId="77777777" w:rsidR="00F70976" w:rsidRPr="00BD26BC" w:rsidRDefault="00F70976" w:rsidP="008B6F35">
      <w:pPr>
        <w:spacing w:line="360" w:lineRule="auto"/>
        <w:jc w:val="both"/>
        <w:rPr>
          <w:b/>
          <w:lang w:val="en-ZA"/>
        </w:rPr>
      </w:pPr>
    </w:p>
    <w:p w14:paraId="2D2F53F1" w14:textId="77777777" w:rsidR="00F70976" w:rsidRDefault="00B65955" w:rsidP="008B6F35">
      <w:pPr>
        <w:spacing w:line="360" w:lineRule="auto"/>
        <w:jc w:val="both"/>
        <w:rPr>
          <w:b/>
          <w:lang w:val="en-ZA"/>
        </w:rPr>
      </w:pPr>
      <w:r w:rsidRPr="00BD26BC">
        <w:rPr>
          <w:b/>
          <w:lang w:val="en-ZA"/>
        </w:rPr>
        <w:t>National Agricultural Marketing Council (NAMC)</w:t>
      </w:r>
      <w:r w:rsidR="0026511C" w:rsidRPr="00BD26BC">
        <w:rPr>
          <w:b/>
          <w:lang w:val="en-ZA"/>
        </w:rPr>
        <w:t xml:space="preserve"> </w:t>
      </w:r>
    </w:p>
    <w:p w14:paraId="0BB421EA" w14:textId="77777777" w:rsidR="008B6F35" w:rsidRDefault="00C1563D" w:rsidP="008B6F35">
      <w:pPr>
        <w:spacing w:line="360" w:lineRule="auto"/>
        <w:jc w:val="both"/>
        <w:rPr>
          <w:b/>
          <w:lang w:val="en-ZA"/>
        </w:rPr>
      </w:pPr>
      <w:r>
        <w:rPr>
          <w:b/>
          <w:lang w:val="en-ZA"/>
        </w:rPr>
        <w:t xml:space="preserve"> </w:t>
      </w:r>
    </w:p>
    <w:p w14:paraId="1885CDED" w14:textId="77777777" w:rsidR="00FD6A0E" w:rsidRPr="00D624B9" w:rsidRDefault="00FD6A0E" w:rsidP="001175D3">
      <w:pPr>
        <w:pStyle w:val="ListParagraph"/>
        <w:numPr>
          <w:ilvl w:val="1"/>
          <w:numId w:val="12"/>
        </w:numPr>
        <w:spacing w:line="360" w:lineRule="auto"/>
        <w:jc w:val="both"/>
      </w:pPr>
      <w:r w:rsidRPr="00D624B9">
        <w:t xml:space="preserve">The NAMC’s National Red Meat Development Programme was not sufficiently marketed in provinces as it can play a crucial role in securing market access for smallholder livestock owners.  </w:t>
      </w:r>
    </w:p>
    <w:p w14:paraId="6039AE40" w14:textId="77777777" w:rsidR="00FD6A0E" w:rsidRDefault="00FD6A0E" w:rsidP="008B6F35">
      <w:pPr>
        <w:spacing w:line="360" w:lineRule="auto"/>
        <w:jc w:val="both"/>
        <w:rPr>
          <w:lang w:val="en-ZA"/>
        </w:rPr>
      </w:pPr>
    </w:p>
    <w:p w14:paraId="1FDEAD16" w14:textId="77777777" w:rsidR="0058573C" w:rsidRDefault="00FD6A0E" w:rsidP="001175D3">
      <w:pPr>
        <w:pStyle w:val="ListParagraph"/>
        <w:numPr>
          <w:ilvl w:val="1"/>
          <w:numId w:val="12"/>
        </w:numPr>
        <w:spacing w:line="360" w:lineRule="auto"/>
        <w:jc w:val="both"/>
      </w:pPr>
      <w:r>
        <w:t xml:space="preserve">Lack of alignment of activities between the NAMC and the Department with respect to farmer training for market access and market efficiencies. There is a need for better coordination to avoid duplication of activities. </w:t>
      </w:r>
    </w:p>
    <w:p w14:paraId="3CA2E4AF" w14:textId="77777777" w:rsidR="00FD6A0E" w:rsidRDefault="00FD6A0E" w:rsidP="00FD6A0E">
      <w:pPr>
        <w:pStyle w:val="ListParagraph"/>
        <w:spacing w:line="360" w:lineRule="auto"/>
        <w:ind w:left="0"/>
        <w:jc w:val="both"/>
        <w:rPr>
          <w:lang w:eastAsia="en-US"/>
        </w:rPr>
      </w:pPr>
    </w:p>
    <w:p w14:paraId="502BD02F" w14:textId="77777777" w:rsidR="00C21B5F" w:rsidRPr="00BD26BC" w:rsidRDefault="00E2776F" w:rsidP="00D00A94">
      <w:pPr>
        <w:spacing w:line="360" w:lineRule="auto"/>
        <w:jc w:val="both"/>
        <w:rPr>
          <w:b/>
          <w:lang w:val="en-ZA"/>
        </w:rPr>
      </w:pPr>
      <w:r>
        <w:rPr>
          <w:b/>
          <w:lang w:val="en-ZA"/>
        </w:rPr>
        <w:t>7</w:t>
      </w:r>
      <w:r w:rsidR="00C21B5F" w:rsidRPr="00BD26BC">
        <w:rPr>
          <w:b/>
          <w:lang w:val="en-ZA"/>
        </w:rPr>
        <w:t xml:space="preserve">.   </w:t>
      </w:r>
      <w:r w:rsidR="00D1678D" w:rsidRPr="00BD26BC">
        <w:rPr>
          <w:b/>
          <w:lang w:val="en-ZA"/>
        </w:rPr>
        <w:t xml:space="preserve"> </w:t>
      </w:r>
      <w:r w:rsidR="00D1678D" w:rsidRPr="00BD26BC">
        <w:rPr>
          <w:b/>
          <w:lang w:val="en-ZA"/>
        </w:rPr>
        <w:tab/>
      </w:r>
      <w:r w:rsidR="00C21B5F" w:rsidRPr="00BD26BC">
        <w:rPr>
          <w:b/>
          <w:lang w:val="en-ZA"/>
        </w:rPr>
        <w:t>Committee Recommendations</w:t>
      </w:r>
    </w:p>
    <w:p w14:paraId="3BDE8745" w14:textId="77777777" w:rsidR="00C21B5F" w:rsidRPr="00BD26BC" w:rsidRDefault="00C21B5F" w:rsidP="00D00A94">
      <w:pPr>
        <w:spacing w:line="360" w:lineRule="auto"/>
        <w:rPr>
          <w:lang w:val="en-ZA"/>
        </w:rPr>
      </w:pPr>
    </w:p>
    <w:p w14:paraId="62F846FE" w14:textId="77777777" w:rsidR="00E00361" w:rsidRPr="00A9070C" w:rsidRDefault="0042545D" w:rsidP="000A01E1">
      <w:pPr>
        <w:spacing w:line="360" w:lineRule="auto"/>
        <w:jc w:val="both"/>
      </w:pPr>
      <w:r w:rsidRPr="00BD26BC">
        <w:rPr>
          <w:lang w:val="en-ZA"/>
        </w:rPr>
        <w:t xml:space="preserve">After </w:t>
      </w:r>
      <w:r w:rsidRPr="000A01E1">
        <w:rPr>
          <w:lang w:val="en-ZA"/>
        </w:rPr>
        <w:t xml:space="preserve">discussions and deliberations on the Department and the Entities’ </w:t>
      </w:r>
      <w:r w:rsidR="00C822F0" w:rsidRPr="000A01E1">
        <w:rPr>
          <w:lang w:val="en-ZA"/>
        </w:rPr>
        <w:t>201</w:t>
      </w:r>
      <w:r w:rsidR="00696DC0" w:rsidRPr="000A01E1">
        <w:rPr>
          <w:lang w:val="en-ZA"/>
        </w:rPr>
        <w:t>9</w:t>
      </w:r>
      <w:r w:rsidR="00C822F0" w:rsidRPr="000A01E1">
        <w:rPr>
          <w:lang w:val="en-ZA"/>
        </w:rPr>
        <w:t>/</w:t>
      </w:r>
      <w:r w:rsidR="00696DC0" w:rsidRPr="000A01E1">
        <w:rPr>
          <w:lang w:val="en-ZA"/>
        </w:rPr>
        <w:t>20</w:t>
      </w:r>
      <w:r w:rsidR="00C822F0" w:rsidRPr="000A01E1">
        <w:rPr>
          <w:lang w:val="en-ZA"/>
        </w:rPr>
        <w:t xml:space="preserve"> </w:t>
      </w:r>
      <w:r w:rsidRPr="000A01E1">
        <w:rPr>
          <w:lang w:val="en-ZA"/>
        </w:rPr>
        <w:t xml:space="preserve">Annual Performance Plans (APPs) and Budget Vote 24, the </w:t>
      </w:r>
      <w:r w:rsidR="00864183" w:rsidRPr="00BC287E">
        <w:rPr>
          <w:lang w:val="en-ZA"/>
        </w:rPr>
        <w:t xml:space="preserve">Portfolio </w:t>
      </w:r>
      <w:r w:rsidR="00235D69" w:rsidRPr="00BC287E">
        <w:rPr>
          <w:lang w:val="en-ZA"/>
        </w:rPr>
        <w:t>C</w:t>
      </w:r>
      <w:r w:rsidR="00864183" w:rsidRPr="00BC287E">
        <w:rPr>
          <w:lang w:val="en-ZA"/>
        </w:rPr>
        <w:t xml:space="preserve">ommittee on Agriculture, </w:t>
      </w:r>
      <w:r w:rsidR="00696DC0" w:rsidRPr="00AB5EB9">
        <w:rPr>
          <w:lang w:val="en-ZA"/>
        </w:rPr>
        <w:t xml:space="preserve">Land Reform </w:t>
      </w:r>
      <w:r w:rsidR="00864183" w:rsidRPr="00AB5EB9">
        <w:rPr>
          <w:lang w:val="en-ZA"/>
        </w:rPr>
        <w:t xml:space="preserve">and </w:t>
      </w:r>
      <w:r w:rsidR="00696DC0" w:rsidRPr="00AB5EB9">
        <w:rPr>
          <w:lang w:val="en-ZA"/>
        </w:rPr>
        <w:t>Rural Development</w:t>
      </w:r>
      <w:r w:rsidR="00671005" w:rsidRPr="00AB5EB9">
        <w:rPr>
          <w:lang w:val="en-ZA"/>
        </w:rPr>
        <w:t xml:space="preserve"> </w:t>
      </w:r>
      <w:r w:rsidR="00EB4B61" w:rsidRPr="00AB5EB9">
        <w:rPr>
          <w:lang w:val="en-ZA"/>
        </w:rPr>
        <w:t>makes</w:t>
      </w:r>
      <w:r w:rsidR="00425139" w:rsidRPr="00AB5EB9">
        <w:rPr>
          <w:lang w:val="en-ZA"/>
        </w:rPr>
        <w:t xml:space="preserve"> the following</w:t>
      </w:r>
      <w:r w:rsidR="00E00361" w:rsidRPr="00AB5EB9">
        <w:rPr>
          <w:lang w:val="en-ZA"/>
        </w:rPr>
        <w:t xml:space="preserve"> </w:t>
      </w:r>
      <w:r w:rsidR="00671005" w:rsidRPr="00AB5EB9">
        <w:rPr>
          <w:lang w:val="en-ZA"/>
        </w:rPr>
        <w:t>recommend</w:t>
      </w:r>
      <w:r w:rsidR="00425139" w:rsidRPr="00AB5EB9">
        <w:rPr>
          <w:lang w:val="en-ZA"/>
        </w:rPr>
        <w:t xml:space="preserve">ations to </w:t>
      </w:r>
      <w:r w:rsidR="00E00361" w:rsidRPr="00AB5EB9">
        <w:rPr>
          <w:lang w:val="en-ZA"/>
        </w:rPr>
        <w:t xml:space="preserve">the </w:t>
      </w:r>
      <w:r w:rsidR="00E0313C" w:rsidRPr="00C86EF1">
        <w:rPr>
          <w:lang w:val="en-ZA"/>
        </w:rPr>
        <w:t xml:space="preserve">National Assembly (NA) for the attention of the </w:t>
      </w:r>
      <w:r w:rsidR="00E00361" w:rsidRPr="00C86EF1">
        <w:rPr>
          <w:lang w:val="en-ZA"/>
        </w:rPr>
        <w:t>Minist</w:t>
      </w:r>
      <w:r w:rsidR="009B1F0A" w:rsidRPr="00C86EF1">
        <w:rPr>
          <w:lang w:val="en-ZA"/>
        </w:rPr>
        <w:t>er</w:t>
      </w:r>
      <w:r w:rsidR="00EA4A21" w:rsidRPr="00C86EF1">
        <w:rPr>
          <w:lang w:val="en-ZA"/>
        </w:rPr>
        <w:t xml:space="preserve"> </w:t>
      </w:r>
      <w:r w:rsidR="00E00361" w:rsidRPr="00A9070C">
        <w:rPr>
          <w:lang w:val="en-ZA"/>
        </w:rPr>
        <w:t xml:space="preserve">of Agriculture, </w:t>
      </w:r>
      <w:r w:rsidR="00696DC0" w:rsidRPr="00A9070C">
        <w:rPr>
          <w:lang w:val="en-ZA"/>
        </w:rPr>
        <w:t>Land Reform and Rural Development</w:t>
      </w:r>
      <w:r w:rsidR="00AC1D89" w:rsidRPr="00A9070C">
        <w:rPr>
          <w:lang w:val="en-ZA"/>
        </w:rPr>
        <w:t xml:space="preserve"> regarding </w:t>
      </w:r>
      <w:r w:rsidR="00864183" w:rsidRPr="00A9070C">
        <w:rPr>
          <w:lang w:val="en-ZA"/>
        </w:rPr>
        <w:t xml:space="preserve">Budget </w:t>
      </w:r>
      <w:r w:rsidR="00AC1D89" w:rsidRPr="00A9070C">
        <w:rPr>
          <w:lang w:val="en-ZA"/>
        </w:rPr>
        <w:t>Vote 24</w:t>
      </w:r>
      <w:r w:rsidR="00425139" w:rsidRPr="00A9070C">
        <w:rPr>
          <w:lang w:val="en-ZA"/>
        </w:rPr>
        <w:t xml:space="preserve">: </w:t>
      </w:r>
    </w:p>
    <w:p w14:paraId="69C871D0" w14:textId="77777777" w:rsidR="00DB0D38" w:rsidRPr="00A9070C" w:rsidRDefault="00DB0D38" w:rsidP="00BC287E">
      <w:pPr>
        <w:spacing w:line="360" w:lineRule="auto"/>
        <w:jc w:val="both"/>
        <w:rPr>
          <w:lang w:val="en-ZA"/>
        </w:rPr>
      </w:pPr>
    </w:p>
    <w:p w14:paraId="49C315D9" w14:textId="77777777" w:rsidR="001B26D0" w:rsidRDefault="00484E75" w:rsidP="001175D3">
      <w:pPr>
        <w:pStyle w:val="ListParagraph"/>
        <w:numPr>
          <w:ilvl w:val="1"/>
          <w:numId w:val="13"/>
        </w:numPr>
        <w:spacing w:line="360" w:lineRule="auto"/>
        <w:jc w:val="both"/>
      </w:pPr>
      <w:r>
        <w:t>Notwithstanding the re</w:t>
      </w:r>
      <w:r w:rsidR="00CF2CF0">
        <w:t>configuration</w:t>
      </w:r>
      <w:r>
        <w:t xml:space="preserve"> that is in process to amalgamate the two Departments, ensure that vacancies at senior management service (SMS) level of the Department are filled</w:t>
      </w:r>
      <w:r w:rsidR="00E92664">
        <w:t>;</w:t>
      </w:r>
      <w:r>
        <w:t xml:space="preserve"> and with people with the requisite skills required to carry out the Department’s mandate. </w:t>
      </w:r>
      <w:r w:rsidR="001B26D0">
        <w:t>In this regard, p</w:t>
      </w:r>
      <w:r>
        <w:t xml:space="preserve">articular attention should be given to the </w:t>
      </w:r>
      <w:r w:rsidR="001B26D0">
        <w:t xml:space="preserve">policy, planning, monitoring and evaluation; legal services; as well as financial administration functions of the </w:t>
      </w:r>
      <w:r>
        <w:t>Department</w:t>
      </w:r>
      <w:r w:rsidR="001B26D0">
        <w:t xml:space="preserve"> to </w:t>
      </w:r>
      <w:r w:rsidR="00641C5E">
        <w:t xml:space="preserve">address weaknesses in </w:t>
      </w:r>
      <w:r w:rsidR="001B26D0">
        <w:t>draft</w:t>
      </w:r>
      <w:r w:rsidR="00641C5E">
        <w:t>ing</w:t>
      </w:r>
      <w:r w:rsidR="001B26D0">
        <w:t xml:space="preserve"> APPs, policies and legislation; a</w:t>
      </w:r>
      <w:r w:rsidR="00EC7FD9">
        <w:t xml:space="preserve">nd </w:t>
      </w:r>
      <w:r w:rsidR="001B26D0">
        <w:t>to effectively address repeat audit findings</w:t>
      </w:r>
      <w:r w:rsidR="00F41593">
        <w:t xml:space="preserve"> on financial statements</w:t>
      </w:r>
      <w:r w:rsidR="001B26D0">
        <w:t xml:space="preserve">. </w:t>
      </w:r>
    </w:p>
    <w:p w14:paraId="5C2A0524" w14:textId="77777777" w:rsidR="001B26D0" w:rsidRDefault="001B26D0" w:rsidP="00484E75">
      <w:pPr>
        <w:spacing w:line="360" w:lineRule="auto"/>
        <w:ind w:left="360"/>
        <w:jc w:val="both"/>
      </w:pPr>
    </w:p>
    <w:p w14:paraId="531411B7" w14:textId="77777777" w:rsidR="00641C5E" w:rsidRDefault="00641C5E" w:rsidP="001175D3">
      <w:pPr>
        <w:pStyle w:val="ListParagraph"/>
        <w:numPr>
          <w:ilvl w:val="1"/>
          <w:numId w:val="13"/>
        </w:numPr>
        <w:spacing w:line="360" w:lineRule="auto"/>
        <w:jc w:val="both"/>
      </w:pPr>
      <w:r>
        <w:t>Through the re</w:t>
      </w:r>
      <w:r w:rsidR="00CF2CF0">
        <w:t xml:space="preserve">configuration </w:t>
      </w:r>
      <w:r>
        <w:t xml:space="preserve">process, </w:t>
      </w:r>
      <w:r w:rsidR="0065774B">
        <w:t xml:space="preserve">fast track the finalisation of the National Policy on Comprehensive Producer Development Support; and further </w:t>
      </w:r>
      <w:r>
        <w:t>con</w:t>
      </w:r>
      <w:r w:rsidRPr="00222A05">
        <w:t xml:space="preserve">sider </w:t>
      </w:r>
      <w:r w:rsidR="00F41593">
        <w:t xml:space="preserve">redefining the mandate </w:t>
      </w:r>
      <w:r w:rsidRPr="00222A05">
        <w:t xml:space="preserve">of </w:t>
      </w:r>
      <w:r>
        <w:t>the D</w:t>
      </w:r>
      <w:r w:rsidRPr="00222A05">
        <w:t>epartments</w:t>
      </w:r>
      <w:r>
        <w:t>’</w:t>
      </w:r>
      <w:r w:rsidRPr="00222A05">
        <w:t xml:space="preserve"> conditional grants</w:t>
      </w:r>
      <w:r>
        <w:t xml:space="preserve"> and other funding instruments</w:t>
      </w:r>
      <w:r w:rsidR="00F41593">
        <w:t xml:space="preserve">; and consolidate them into </w:t>
      </w:r>
      <w:r w:rsidRPr="00222A05">
        <w:t xml:space="preserve">one </w:t>
      </w:r>
      <w:r w:rsidR="004672DE">
        <w:t>‘</w:t>
      </w:r>
      <w:r w:rsidR="004672DE" w:rsidRPr="00222A05">
        <w:t xml:space="preserve">Comprehensive </w:t>
      </w:r>
      <w:r w:rsidR="004672DE">
        <w:t xml:space="preserve">Producer Support </w:t>
      </w:r>
      <w:r w:rsidR="004672DE" w:rsidRPr="00222A05">
        <w:t>Fund</w:t>
      </w:r>
      <w:r w:rsidR="004672DE">
        <w:t>’</w:t>
      </w:r>
      <w:r w:rsidR="004672DE" w:rsidRPr="00222A05">
        <w:t xml:space="preserve"> </w:t>
      </w:r>
      <w:r w:rsidRPr="00222A05">
        <w:t xml:space="preserve">that will be administered by </w:t>
      </w:r>
      <w:r>
        <w:t xml:space="preserve">the </w:t>
      </w:r>
      <w:r w:rsidRPr="00222A05">
        <w:t>Department</w:t>
      </w:r>
      <w:r w:rsidR="00F41593">
        <w:t xml:space="preserve"> or suitable entity</w:t>
      </w:r>
      <w:r w:rsidRPr="00222A05">
        <w:t xml:space="preserve"> to minimise administrative costs, to </w:t>
      </w:r>
      <w:r>
        <w:t>improve</w:t>
      </w:r>
      <w:r w:rsidRPr="00222A05">
        <w:t xml:space="preserve"> spending efficiency</w:t>
      </w:r>
      <w:r>
        <w:t>, gain</w:t>
      </w:r>
      <w:r w:rsidRPr="00222A05">
        <w:t xml:space="preserve"> maximum value for money and better management and accountability for the funds. </w:t>
      </w:r>
      <w:r>
        <w:t xml:space="preserve">These include </w:t>
      </w:r>
      <w:r w:rsidR="00A35F8B">
        <w:t xml:space="preserve">but not limited to </w:t>
      </w:r>
      <w:r>
        <w:t>CASP, Mafisa, Blended Finance Model, AgriBEE Fund, Recapitalisation and Development Programme (RECAP). T</w:t>
      </w:r>
      <w:r w:rsidR="004672DE">
        <w:t xml:space="preserve">he </w:t>
      </w:r>
      <w:r w:rsidR="0065774B">
        <w:t xml:space="preserve">process </w:t>
      </w:r>
      <w:r w:rsidR="004672DE">
        <w:t>should also be accompanied by a</w:t>
      </w:r>
      <w:r w:rsidR="0065774B">
        <w:t xml:space="preserve"> Policy Implementation Plan and a</w:t>
      </w:r>
      <w:r w:rsidR="004672DE">
        <w:t xml:space="preserve"> Monitoring and Evaluation (M&amp;E) Plan to ensure efficient utilisation of the funds</w:t>
      </w:r>
      <w:r w:rsidR="0065774B">
        <w:t xml:space="preserve">.  </w:t>
      </w:r>
      <w:r w:rsidR="00825687">
        <w:t xml:space="preserve"> </w:t>
      </w:r>
    </w:p>
    <w:p w14:paraId="43F878F0" w14:textId="77777777" w:rsidR="00825687" w:rsidRDefault="00825687" w:rsidP="00641C5E">
      <w:pPr>
        <w:spacing w:line="360" w:lineRule="auto"/>
        <w:jc w:val="both"/>
      </w:pPr>
    </w:p>
    <w:p w14:paraId="2E4478C3" w14:textId="77777777" w:rsidR="00F142B3" w:rsidRPr="008B6F35" w:rsidRDefault="00484E75" w:rsidP="001175D3">
      <w:pPr>
        <w:pStyle w:val="ListParagraph"/>
        <w:numPr>
          <w:ilvl w:val="1"/>
          <w:numId w:val="11"/>
        </w:numPr>
        <w:spacing w:line="360" w:lineRule="auto"/>
        <w:jc w:val="both"/>
      </w:pPr>
      <w:r>
        <w:t>En</w:t>
      </w:r>
      <w:r w:rsidR="00BC287E">
        <w:t xml:space="preserve">gage with the </w:t>
      </w:r>
      <w:r w:rsidR="00F142B3" w:rsidRPr="008B6F35">
        <w:t>Minister of Finance</w:t>
      </w:r>
      <w:r w:rsidR="00BC287E">
        <w:t xml:space="preserve"> to discuss the Department’s </w:t>
      </w:r>
      <w:r w:rsidR="00F142B3" w:rsidRPr="008B6F35">
        <w:t xml:space="preserve">funding needs </w:t>
      </w:r>
      <w:r w:rsidR="0065774B">
        <w:t xml:space="preserve">and reprioritisation of funding </w:t>
      </w:r>
      <w:r w:rsidR="00BC287E">
        <w:t xml:space="preserve">particularly for unfunded mandates such as </w:t>
      </w:r>
      <w:r w:rsidR="008B58E9">
        <w:t>Strategic Integrated Projects (</w:t>
      </w:r>
      <w:r w:rsidR="00BC287E" w:rsidRPr="00464AEB">
        <w:t>SIP 11</w:t>
      </w:r>
      <w:r w:rsidR="008B58E9">
        <w:t>)</w:t>
      </w:r>
      <w:r w:rsidR="00BC287E" w:rsidRPr="00464AEB">
        <w:t xml:space="preserve"> </w:t>
      </w:r>
      <w:r w:rsidR="00BC287E">
        <w:t xml:space="preserve">as </w:t>
      </w:r>
      <w:r w:rsidR="00BC287E" w:rsidRPr="00464AEB">
        <w:t>infrastructure development is essential for the implementation of the APAP</w:t>
      </w:r>
      <w:r w:rsidR="00BC287E">
        <w:t xml:space="preserve"> and revitalisation of the agricultural and agroprocessing value chains (RAAVC).  </w:t>
      </w:r>
    </w:p>
    <w:p w14:paraId="13D9A80F" w14:textId="77777777" w:rsidR="00F142B3" w:rsidRPr="008B6F35" w:rsidRDefault="00F142B3" w:rsidP="008B6F35">
      <w:pPr>
        <w:spacing w:line="360" w:lineRule="auto"/>
        <w:ind w:left="715" w:hanging="360"/>
        <w:jc w:val="both"/>
      </w:pPr>
    </w:p>
    <w:p w14:paraId="20110B69" w14:textId="77777777" w:rsidR="0054479B" w:rsidRDefault="00F142B3" w:rsidP="001175D3">
      <w:pPr>
        <w:pStyle w:val="ListParagraph"/>
        <w:numPr>
          <w:ilvl w:val="1"/>
          <w:numId w:val="11"/>
        </w:numPr>
        <w:spacing w:line="360" w:lineRule="auto"/>
        <w:jc w:val="both"/>
      </w:pPr>
      <w:r w:rsidRPr="008B6F35">
        <w:t xml:space="preserve">Fast-track the establishment of baseline information and </w:t>
      </w:r>
      <w:r w:rsidR="00AB5EB9">
        <w:t xml:space="preserve">databases </w:t>
      </w:r>
      <w:r w:rsidRPr="008B6F35">
        <w:t xml:space="preserve">for the smallholder sector including the facilitation of a full Agricultural Census and an import and export system. The databases are essential in order to effectively guide and manage interventions for the development and transformation of the sector; and to measure impact of Government interventions. </w:t>
      </w:r>
      <w:r w:rsidR="00AB5EB9" w:rsidRPr="00A9070C">
        <w:t xml:space="preserve">In this regard, a progress report on the Agricultural Census including the development of the national Farmer Register for which R241 million was </w:t>
      </w:r>
      <w:r w:rsidR="00AB5EB9" w:rsidRPr="00DF1DE8">
        <w:t xml:space="preserve">budgeted for a 3-year period from 2018, should be submitted in Parliament. </w:t>
      </w:r>
      <w:r w:rsidR="00A9070C" w:rsidRPr="00DF1DE8">
        <w:t xml:space="preserve"> </w:t>
      </w:r>
    </w:p>
    <w:p w14:paraId="48EF8B51" w14:textId="77777777" w:rsidR="008B6F35" w:rsidRPr="00A9070C" w:rsidRDefault="008B6F35" w:rsidP="008B6F35">
      <w:pPr>
        <w:pStyle w:val="ListParagraph"/>
        <w:spacing w:line="360" w:lineRule="auto"/>
        <w:ind w:left="360"/>
        <w:jc w:val="both"/>
      </w:pPr>
    </w:p>
    <w:p w14:paraId="28C089E7" w14:textId="77777777" w:rsidR="00D068D6" w:rsidRDefault="00C86EF1" w:rsidP="001175D3">
      <w:pPr>
        <w:pStyle w:val="ListParagraph"/>
        <w:numPr>
          <w:ilvl w:val="1"/>
          <w:numId w:val="11"/>
        </w:numPr>
        <w:spacing w:line="360" w:lineRule="auto"/>
        <w:jc w:val="both"/>
      </w:pPr>
      <w:r w:rsidRPr="00A9070C">
        <w:t xml:space="preserve">Facilitate and strengthen intergovernmental relations </w:t>
      </w:r>
      <w:r w:rsidR="00180FA2">
        <w:t xml:space="preserve">through the alignment of services </w:t>
      </w:r>
      <w:r w:rsidR="00464BD7" w:rsidRPr="00A9070C">
        <w:t xml:space="preserve">between </w:t>
      </w:r>
      <w:r w:rsidRPr="00A9070C">
        <w:t xml:space="preserve">the Department, </w:t>
      </w:r>
      <w:r w:rsidR="00180FA2">
        <w:t xml:space="preserve">entities, </w:t>
      </w:r>
      <w:r w:rsidR="00464BD7" w:rsidRPr="00A9070C">
        <w:t xml:space="preserve">provinces and other departments such as the </w:t>
      </w:r>
      <w:r w:rsidR="00464BD7" w:rsidRPr="00180FA2">
        <w:t>Department</w:t>
      </w:r>
      <w:r w:rsidR="00180FA2">
        <w:t>s</w:t>
      </w:r>
      <w:r w:rsidR="00464BD7" w:rsidRPr="00180FA2">
        <w:t xml:space="preserve"> of Trade and Industry (the dti), Small Business Development (DSBD) and the Water and Sanitation (DWS) </w:t>
      </w:r>
      <w:r w:rsidR="00180FA2">
        <w:t xml:space="preserve">as this can assist the Department with cost </w:t>
      </w:r>
      <w:r w:rsidR="00464BD7" w:rsidRPr="00180FA2">
        <w:t xml:space="preserve">containment </w:t>
      </w:r>
      <w:r w:rsidR="00180FA2">
        <w:t xml:space="preserve">measures in light of budget cuts, </w:t>
      </w:r>
      <w:r w:rsidR="00464BD7" w:rsidRPr="00180FA2">
        <w:t>avoid</w:t>
      </w:r>
      <w:r w:rsidR="00180FA2">
        <w:t>ing</w:t>
      </w:r>
      <w:r w:rsidR="00464BD7" w:rsidRPr="00180FA2">
        <w:t xml:space="preserve"> duplication of activities</w:t>
      </w:r>
      <w:r w:rsidR="00396C57">
        <w:t xml:space="preserve">, </w:t>
      </w:r>
      <w:r w:rsidR="00464BD7" w:rsidRPr="00180FA2">
        <w:t>to maximise service delivery</w:t>
      </w:r>
      <w:r w:rsidR="00FC60E7" w:rsidRPr="00180FA2">
        <w:t xml:space="preserve"> and resource allocation to </w:t>
      </w:r>
      <w:r w:rsidRPr="00180FA2">
        <w:t xml:space="preserve">joint programmes such as </w:t>
      </w:r>
      <w:r w:rsidR="00FC60E7" w:rsidRPr="00180FA2">
        <w:t>Operation Phakisa for Agriculture, Land Reform and Rural Development, which is expected to play a significant role in ensuring the Revitalisation of the Agricultural and Agroprocessing Value Chain (RAAVC)</w:t>
      </w:r>
      <w:r w:rsidR="00464BD7" w:rsidRPr="00180FA2">
        <w:t xml:space="preserve">.  </w:t>
      </w:r>
    </w:p>
    <w:p w14:paraId="7D7736D6" w14:textId="77777777" w:rsidR="008B6F35" w:rsidRPr="00180FA2" w:rsidRDefault="008B6F35" w:rsidP="008B6F35">
      <w:pPr>
        <w:pStyle w:val="ListParagraph"/>
        <w:spacing w:line="360" w:lineRule="auto"/>
        <w:ind w:left="0"/>
        <w:jc w:val="both"/>
      </w:pPr>
    </w:p>
    <w:p w14:paraId="617F9A5D" w14:textId="77777777" w:rsidR="00D0664A" w:rsidRDefault="00D0664A" w:rsidP="001175D3">
      <w:pPr>
        <w:pStyle w:val="ListParagraph"/>
        <w:numPr>
          <w:ilvl w:val="1"/>
          <w:numId w:val="11"/>
        </w:numPr>
        <w:spacing w:line="360" w:lineRule="auto"/>
        <w:jc w:val="both"/>
      </w:pPr>
      <w:r>
        <w:t xml:space="preserve">Ensure that funds that are transferred by </w:t>
      </w:r>
      <w:r w:rsidR="00D068D6">
        <w:t xml:space="preserve">both Departments </w:t>
      </w:r>
      <w:r>
        <w:t>to the Land Bank for agricultural development (e.g. commercialisation of black farmers) and transformation (AgriBEE Fund) are ring-fenced for that purpose</w:t>
      </w:r>
      <w:r w:rsidR="00FB1803">
        <w:t xml:space="preserve"> and the Land Bank should report</w:t>
      </w:r>
      <w:r w:rsidR="00064096">
        <w:t xml:space="preserve"> on their utilisation </w:t>
      </w:r>
      <w:r w:rsidR="009C5E56">
        <w:t xml:space="preserve">bi-annually. </w:t>
      </w:r>
      <w:r w:rsidR="00064096">
        <w:t xml:space="preserve"> </w:t>
      </w:r>
      <w:r>
        <w:t xml:space="preserve"> </w:t>
      </w:r>
    </w:p>
    <w:p w14:paraId="7751CDE7" w14:textId="77777777" w:rsidR="00D0664A" w:rsidRPr="000357C8" w:rsidRDefault="00D0664A" w:rsidP="00D0664A">
      <w:pPr>
        <w:pStyle w:val="ListParagraph"/>
        <w:spacing w:line="360" w:lineRule="auto"/>
      </w:pPr>
    </w:p>
    <w:p w14:paraId="18551B3E" w14:textId="77777777" w:rsidR="00D0664A" w:rsidRDefault="00D068D6" w:rsidP="001175D3">
      <w:pPr>
        <w:pStyle w:val="ListParagraph"/>
        <w:numPr>
          <w:ilvl w:val="1"/>
          <w:numId w:val="11"/>
        </w:numPr>
        <w:spacing w:line="360" w:lineRule="auto"/>
        <w:jc w:val="both"/>
      </w:pPr>
      <w:r>
        <w:t xml:space="preserve">In light of the possibility of the Land </w:t>
      </w:r>
      <w:r w:rsidR="00F128AB">
        <w:t xml:space="preserve">and Agricultural Development Bank of South Africa </w:t>
      </w:r>
      <w:r>
        <w:t xml:space="preserve">moving back </w:t>
      </w:r>
      <w:r w:rsidR="00F128AB">
        <w:t>to the Ministry of Agriculture, Land Reform and Rural Development in line with the Cabinet reconfiguration, consider a r</w:t>
      </w:r>
      <w:r w:rsidR="00D0664A">
        <w:t>eview of the mandate</w:t>
      </w:r>
      <w:r w:rsidR="00962DA1">
        <w:t xml:space="preserve"> and funding model</w:t>
      </w:r>
      <w:r w:rsidR="00D0664A">
        <w:t xml:space="preserve"> of the </w:t>
      </w:r>
      <w:r w:rsidR="00F128AB">
        <w:t xml:space="preserve">Bank </w:t>
      </w:r>
      <w:r w:rsidR="00D0664A">
        <w:t xml:space="preserve">to ensure that it addresses challenges of the agricultural sector including its dual nature while promoting the development of previously disadvantaged farmers. </w:t>
      </w:r>
    </w:p>
    <w:p w14:paraId="1402EAF9" w14:textId="77777777" w:rsidR="00D0664A" w:rsidRDefault="00D0664A" w:rsidP="00D00A94">
      <w:pPr>
        <w:spacing w:line="360" w:lineRule="auto"/>
        <w:ind w:left="360"/>
      </w:pPr>
    </w:p>
    <w:p w14:paraId="4EFD16F1" w14:textId="77777777" w:rsidR="00695E8A" w:rsidRDefault="00B8243F" w:rsidP="001175D3">
      <w:pPr>
        <w:pStyle w:val="ListParagraph"/>
        <w:numPr>
          <w:ilvl w:val="1"/>
          <w:numId w:val="11"/>
        </w:numPr>
        <w:spacing w:line="360" w:lineRule="auto"/>
      </w:pPr>
      <w:bookmarkStart w:id="1" w:name="_MailEndCompose"/>
      <w:bookmarkEnd w:id="1"/>
      <w:r w:rsidRPr="00D00A94">
        <w:t xml:space="preserve">Develop an Action Plan </w:t>
      </w:r>
      <w:r w:rsidR="004F7F95">
        <w:t xml:space="preserve">with timeframes </w:t>
      </w:r>
      <w:r w:rsidR="009D3523">
        <w:t xml:space="preserve">for submission to Parliament, </w:t>
      </w:r>
      <w:r w:rsidRPr="00D00A94">
        <w:t>to fast-track policy development and legislative review</w:t>
      </w:r>
      <w:r w:rsidR="00CC2271">
        <w:t xml:space="preserve">. </w:t>
      </w:r>
      <w:r w:rsidR="001868B8" w:rsidRPr="00D00A94">
        <w:t xml:space="preserve"> </w:t>
      </w:r>
    </w:p>
    <w:p w14:paraId="5E65F623" w14:textId="77777777" w:rsidR="00A5179D" w:rsidRPr="00D00A94" w:rsidRDefault="00A5179D" w:rsidP="00D00A94">
      <w:pPr>
        <w:pStyle w:val="ListParagraph"/>
        <w:spacing w:line="360" w:lineRule="auto"/>
      </w:pPr>
    </w:p>
    <w:p w14:paraId="08A08DB6" w14:textId="77777777" w:rsidR="00DF3C12" w:rsidRPr="00FD0F69" w:rsidRDefault="00EC7FD9" w:rsidP="001175D3">
      <w:pPr>
        <w:pStyle w:val="ListParagraph"/>
        <w:numPr>
          <w:ilvl w:val="1"/>
          <w:numId w:val="11"/>
        </w:numPr>
        <w:spacing w:line="360" w:lineRule="auto"/>
        <w:jc w:val="both"/>
      </w:pPr>
      <w:r w:rsidRPr="00222A05">
        <w:t xml:space="preserve">Submit </w:t>
      </w:r>
      <w:r>
        <w:t xml:space="preserve">to Parliament </w:t>
      </w:r>
      <w:r w:rsidRPr="00222A05">
        <w:t>comprehensive progress report</w:t>
      </w:r>
      <w:r>
        <w:t>s</w:t>
      </w:r>
      <w:r w:rsidRPr="00222A05">
        <w:t xml:space="preserve"> on the </w:t>
      </w:r>
      <w:r>
        <w:t>Comme</w:t>
      </w:r>
      <w:r w:rsidR="006700D1">
        <w:t>rcialisation of Black Producers,</w:t>
      </w:r>
      <w:r>
        <w:t xml:space="preserve"> </w:t>
      </w:r>
      <w:r w:rsidRPr="00222A05">
        <w:t>revitalisation of irrigation schemes and Agricultural Colleges</w:t>
      </w:r>
      <w:r>
        <w:t xml:space="preserve">. </w:t>
      </w:r>
      <w:r w:rsidRPr="00222A05">
        <w:t xml:space="preserve"> </w:t>
      </w:r>
    </w:p>
    <w:p w14:paraId="12692F4D" w14:textId="77777777" w:rsidR="00DF3C12" w:rsidRPr="00D00A94" w:rsidRDefault="00DF3C12" w:rsidP="008B6F35">
      <w:pPr>
        <w:spacing w:line="360" w:lineRule="auto"/>
      </w:pPr>
    </w:p>
    <w:p w14:paraId="68484894" w14:textId="77777777" w:rsidR="00BF049D" w:rsidRDefault="00EC7FD9" w:rsidP="001175D3">
      <w:pPr>
        <w:pStyle w:val="ListParagraph"/>
        <w:numPr>
          <w:ilvl w:val="1"/>
          <w:numId w:val="11"/>
        </w:numPr>
        <w:spacing w:line="360" w:lineRule="auto"/>
        <w:jc w:val="both"/>
      </w:pPr>
      <w:r>
        <w:t xml:space="preserve">Ensure that the Agricultural Research Council submit to Parliament its Financial Turnaround Plan and an Audit Improvement Plan and present progress on these in Parliament during quarterly briefings. </w:t>
      </w:r>
    </w:p>
    <w:p w14:paraId="38154B07" w14:textId="77777777" w:rsidR="006478B7" w:rsidRDefault="006478B7" w:rsidP="008B6F35">
      <w:pPr>
        <w:spacing w:line="360" w:lineRule="auto"/>
        <w:jc w:val="both"/>
      </w:pPr>
    </w:p>
    <w:p w14:paraId="23EC2FA6" w14:textId="77777777" w:rsidR="006478B7" w:rsidRPr="00C1563D" w:rsidRDefault="00CC2103" w:rsidP="001175D3">
      <w:pPr>
        <w:pStyle w:val="ListParagraph"/>
        <w:numPr>
          <w:ilvl w:val="1"/>
          <w:numId w:val="11"/>
        </w:numPr>
        <w:spacing w:line="360" w:lineRule="auto"/>
        <w:jc w:val="both"/>
      </w:pPr>
      <w:r w:rsidRPr="00C1563D">
        <w:t>In light of the constrained fiscal framework, r</w:t>
      </w:r>
      <w:r w:rsidR="006478B7" w:rsidRPr="00C1563D">
        <w:t xml:space="preserve">eview the mandates of the Department’s Public Entities to strengthen alignment </w:t>
      </w:r>
      <w:r w:rsidRPr="00C1563D">
        <w:t>(</w:t>
      </w:r>
      <w:r w:rsidR="006700D1" w:rsidRPr="00C1563D">
        <w:t>amongst entities a</w:t>
      </w:r>
      <w:r w:rsidRPr="00C1563D">
        <w:t xml:space="preserve">nd </w:t>
      </w:r>
      <w:r w:rsidR="006478B7" w:rsidRPr="00C1563D">
        <w:t xml:space="preserve">between entities and </w:t>
      </w:r>
      <w:r w:rsidR="006700D1" w:rsidRPr="00C1563D">
        <w:t xml:space="preserve">the </w:t>
      </w:r>
      <w:r w:rsidR="006478B7" w:rsidRPr="00C1563D">
        <w:t>Department</w:t>
      </w:r>
      <w:r w:rsidRPr="00C1563D">
        <w:t xml:space="preserve">); </w:t>
      </w:r>
      <w:r w:rsidR="006700D1" w:rsidRPr="00C1563D">
        <w:t xml:space="preserve">and further coordinate and align agricultural research activities between the different spheres of Government </w:t>
      </w:r>
      <w:r w:rsidRPr="00C1563D">
        <w:t xml:space="preserve">(e.g. the Department, Public Entities and provincial research stations). </w:t>
      </w:r>
      <w:r w:rsidR="006478B7" w:rsidRPr="00C1563D">
        <w:t>Where there are duplicat</w:t>
      </w:r>
      <w:r w:rsidR="008B6F35" w:rsidRPr="00C1563D">
        <w:t>ed</w:t>
      </w:r>
      <w:r w:rsidR="006478B7" w:rsidRPr="00C1563D">
        <w:t xml:space="preserve"> roles</w:t>
      </w:r>
      <w:r w:rsidR="006700D1" w:rsidRPr="00C1563D">
        <w:t xml:space="preserve"> among entities</w:t>
      </w:r>
      <w:r w:rsidR="006478B7" w:rsidRPr="00C1563D">
        <w:t xml:space="preserve">, merging should be considered.   </w:t>
      </w:r>
    </w:p>
    <w:p w14:paraId="36ECC08E" w14:textId="77777777" w:rsidR="006478B7" w:rsidRDefault="006478B7" w:rsidP="006478B7">
      <w:pPr>
        <w:spacing w:line="360" w:lineRule="auto"/>
        <w:jc w:val="both"/>
      </w:pPr>
    </w:p>
    <w:p w14:paraId="33A3EBD7" w14:textId="77777777" w:rsidR="00D8370E" w:rsidRDefault="00064096" w:rsidP="001175D3">
      <w:pPr>
        <w:pStyle w:val="ListParagraph"/>
        <w:numPr>
          <w:ilvl w:val="1"/>
          <w:numId w:val="11"/>
        </w:numPr>
        <w:spacing w:line="360" w:lineRule="auto"/>
        <w:jc w:val="both"/>
      </w:pPr>
      <w:r>
        <w:t xml:space="preserve">Engage </w:t>
      </w:r>
      <w:r w:rsidR="00BF049D" w:rsidRPr="00222A05">
        <w:t>with the Minist</w:t>
      </w:r>
      <w:r w:rsidR="00FE10C0">
        <w:t>er</w:t>
      </w:r>
      <w:r w:rsidR="00BF049D" w:rsidRPr="00222A05">
        <w:t xml:space="preserve"> of Higher Education</w:t>
      </w:r>
      <w:r w:rsidR="003C6FB8">
        <w:t>,</w:t>
      </w:r>
      <w:r w:rsidR="00BF049D" w:rsidRPr="00222A05">
        <w:t xml:space="preserve"> Science and </w:t>
      </w:r>
      <w:r w:rsidR="003C6FB8">
        <w:t>Technology</w:t>
      </w:r>
      <w:r>
        <w:t xml:space="preserve"> t</w:t>
      </w:r>
      <w:r w:rsidR="00BF049D" w:rsidRPr="00222A05">
        <w:t xml:space="preserve">o </w:t>
      </w:r>
      <w:r w:rsidR="00FE10C0">
        <w:t xml:space="preserve">address the shortage of </w:t>
      </w:r>
      <w:r w:rsidR="00BF049D" w:rsidRPr="00222A05">
        <w:t>critical skills</w:t>
      </w:r>
      <w:r w:rsidR="00FE10C0">
        <w:t xml:space="preserve"> in the agricultural sector</w:t>
      </w:r>
      <w:r w:rsidR="006478B7">
        <w:t xml:space="preserve"> and to strengthen research capacity in light of technological developments that have implications for the sector such as the Fourth Industrial Revolution (4IR)</w:t>
      </w:r>
      <w:r w:rsidR="00FE10C0">
        <w:t>.</w:t>
      </w:r>
      <w:r w:rsidR="00BF049D" w:rsidRPr="00222A05">
        <w:t xml:space="preserve"> This should include a national</w:t>
      </w:r>
      <w:r w:rsidR="00D8370E">
        <w:t xml:space="preserve"> </w:t>
      </w:r>
      <w:r w:rsidR="00BF049D" w:rsidRPr="00222A05">
        <w:t>skills assessment across sectoral disciplines</w:t>
      </w:r>
      <w:r w:rsidR="006478B7">
        <w:t xml:space="preserve">. </w:t>
      </w:r>
      <w:r w:rsidR="00BF049D" w:rsidRPr="00222A05">
        <w:t xml:space="preserve"> </w:t>
      </w:r>
    </w:p>
    <w:p w14:paraId="329B724B" w14:textId="77777777" w:rsidR="00100A1F" w:rsidRDefault="00100A1F" w:rsidP="00100A1F">
      <w:pPr>
        <w:pStyle w:val="ListParagraph"/>
      </w:pPr>
    </w:p>
    <w:p w14:paraId="107C8343" w14:textId="77777777" w:rsidR="00100A1F" w:rsidRPr="00C1563D" w:rsidRDefault="008E2AEC" w:rsidP="001175D3">
      <w:pPr>
        <w:pStyle w:val="ListParagraph"/>
        <w:numPr>
          <w:ilvl w:val="1"/>
          <w:numId w:val="11"/>
        </w:numPr>
        <w:spacing w:line="360" w:lineRule="auto"/>
        <w:jc w:val="both"/>
      </w:pPr>
      <w:r w:rsidRPr="00C1563D">
        <w:t xml:space="preserve">Strengthen </w:t>
      </w:r>
      <w:r w:rsidR="00100A1F" w:rsidRPr="00C1563D">
        <w:t xml:space="preserve">the Department’s contribution to the implementation of the National Policy on Food and Nutrition Security by streamlining food security initiatives within the Department to maximise food availability and stability. Submit quarterly progress reports in Parliament </w:t>
      </w:r>
      <w:r w:rsidR="00FB4DA9" w:rsidRPr="00C1563D">
        <w:t>that quantif</w:t>
      </w:r>
      <w:r w:rsidR="00AC1AE5" w:rsidRPr="00C1563D">
        <w:t>y</w:t>
      </w:r>
      <w:r w:rsidR="00FB4DA9" w:rsidRPr="00C1563D">
        <w:t xml:space="preserve"> </w:t>
      </w:r>
      <w:r w:rsidR="00100A1F" w:rsidRPr="00C1563D">
        <w:t xml:space="preserve">primary production activities </w:t>
      </w:r>
      <w:r w:rsidR="00FB4DA9" w:rsidRPr="00C1563D">
        <w:t>(</w:t>
      </w:r>
      <w:r w:rsidR="00100A1F" w:rsidRPr="00C1563D">
        <w:t>yields</w:t>
      </w:r>
      <w:r w:rsidR="00FB4DA9" w:rsidRPr="00C1563D">
        <w:t>)</w:t>
      </w:r>
      <w:r w:rsidR="00100A1F" w:rsidRPr="00C1563D">
        <w:t xml:space="preserve"> for both crop and livestock production systems, funding instruments and resource allocation for each activity.    </w:t>
      </w:r>
    </w:p>
    <w:p w14:paraId="13C456EB" w14:textId="77777777" w:rsidR="008E2AEC" w:rsidRPr="00C1563D" w:rsidRDefault="008E2AEC" w:rsidP="008E2AEC">
      <w:pPr>
        <w:pStyle w:val="ListParagraph"/>
      </w:pPr>
    </w:p>
    <w:p w14:paraId="6E4723F9" w14:textId="77777777" w:rsidR="008E2AEC" w:rsidRPr="00C1563D" w:rsidRDefault="00A24568" w:rsidP="001175D3">
      <w:pPr>
        <w:pStyle w:val="ListParagraph"/>
        <w:numPr>
          <w:ilvl w:val="1"/>
          <w:numId w:val="11"/>
        </w:numPr>
        <w:spacing w:line="360" w:lineRule="auto"/>
        <w:jc w:val="both"/>
      </w:pPr>
      <w:r w:rsidRPr="00C1563D">
        <w:t>Submit quarterly progress report</w:t>
      </w:r>
      <w:r w:rsidR="005F768E" w:rsidRPr="00C1563D">
        <w:t>s</w:t>
      </w:r>
      <w:r w:rsidRPr="00C1563D">
        <w:t xml:space="preserve"> on the implementation </w:t>
      </w:r>
      <w:r w:rsidR="005F768E" w:rsidRPr="00C1563D">
        <w:t>of the</w:t>
      </w:r>
      <w:r w:rsidRPr="00C1563D">
        <w:t xml:space="preserve"> </w:t>
      </w:r>
      <w:r w:rsidRPr="00C1563D">
        <w:rPr>
          <w:lang w:val="en-GB" w:eastAsia="en-GB"/>
        </w:rPr>
        <w:t xml:space="preserve">Climate Change Adaptation and Mitigation Plan for Agriculture </w:t>
      </w:r>
      <w:r w:rsidR="005F768E" w:rsidRPr="00C1563D">
        <w:rPr>
          <w:lang w:val="en-GB" w:eastAsia="en-GB"/>
        </w:rPr>
        <w:t xml:space="preserve">and </w:t>
      </w:r>
      <w:r w:rsidRPr="00C1563D">
        <w:rPr>
          <w:lang w:val="en-GB" w:eastAsia="en-GB"/>
        </w:rPr>
        <w:t>Climate Smart Agriculture (CSA)</w:t>
      </w:r>
      <w:r w:rsidR="005F768E" w:rsidRPr="00C1563D">
        <w:rPr>
          <w:lang w:val="en-GB" w:eastAsia="en-GB"/>
        </w:rPr>
        <w:t xml:space="preserve"> </w:t>
      </w:r>
      <w:r w:rsidR="005F768E" w:rsidRPr="00C1563D">
        <w:t>projects. The reports should also include financial resources that are allocated to the implementation of the Plan</w:t>
      </w:r>
      <w:r w:rsidR="00AC1AE5" w:rsidRPr="00C1563D">
        <w:t xml:space="preserve"> and CSA projects</w:t>
      </w:r>
      <w:r w:rsidR="005F768E" w:rsidRPr="00C1563D">
        <w:t xml:space="preserve"> as </w:t>
      </w:r>
      <w:r w:rsidR="005F768E" w:rsidRPr="00C1563D">
        <w:rPr>
          <w:lang w:val="en-GB" w:eastAsia="en-GB"/>
        </w:rPr>
        <w:t>climate change-induced disasters have an adverse impact on the development and growth of the agricultural sector.</w:t>
      </w:r>
      <w:r w:rsidR="005F768E" w:rsidRPr="00C1563D">
        <w:t xml:space="preserve"> </w:t>
      </w:r>
    </w:p>
    <w:p w14:paraId="3A3C06E9" w14:textId="77777777" w:rsidR="00A24568" w:rsidRDefault="00A24568" w:rsidP="00A24568">
      <w:pPr>
        <w:pStyle w:val="ListParagraph"/>
      </w:pPr>
    </w:p>
    <w:p w14:paraId="2BE1F170" w14:textId="77777777" w:rsidR="00A24568" w:rsidRDefault="00A24568" w:rsidP="005F768E">
      <w:pPr>
        <w:pStyle w:val="ListParagraph"/>
        <w:spacing w:line="360" w:lineRule="auto"/>
        <w:ind w:left="360"/>
        <w:jc w:val="both"/>
      </w:pPr>
    </w:p>
    <w:p w14:paraId="15F81288" w14:textId="77777777" w:rsidR="00736C1D" w:rsidRPr="008B6F35" w:rsidRDefault="00736C1D" w:rsidP="008B6F35">
      <w:pPr>
        <w:spacing w:line="360" w:lineRule="auto"/>
        <w:jc w:val="both"/>
        <w:outlineLvl w:val="0"/>
        <w:rPr>
          <w:b/>
          <w:bCs/>
          <w:i/>
          <w:iCs/>
          <w:lang w:val="en-ZA"/>
        </w:rPr>
      </w:pPr>
      <w:r w:rsidRPr="008B6F35">
        <w:rPr>
          <w:bCs/>
          <w:i/>
          <w:iCs/>
        </w:rPr>
        <w:t xml:space="preserve">The Committee further recommends that </w:t>
      </w:r>
      <w:r w:rsidRPr="008B6F35">
        <w:rPr>
          <w:bCs/>
          <w:i/>
          <w:iCs/>
          <w:lang w:val="en-ZA"/>
        </w:rPr>
        <w:t>within three months after the adoption of this report by the National Assembly, the Minister should submit responses and progress on the implementation of the above recommendations</w:t>
      </w:r>
      <w:r w:rsidRPr="008B6F35">
        <w:rPr>
          <w:b/>
          <w:bCs/>
          <w:i/>
          <w:iCs/>
          <w:lang w:val="en-ZA"/>
        </w:rPr>
        <w:t xml:space="preserve">. </w:t>
      </w:r>
    </w:p>
    <w:p w14:paraId="68EBB1C3" w14:textId="77777777" w:rsidR="00C84AB2" w:rsidRPr="00D00A94" w:rsidRDefault="00C84AB2">
      <w:pPr>
        <w:spacing w:line="360" w:lineRule="auto"/>
        <w:jc w:val="both"/>
      </w:pPr>
    </w:p>
    <w:p w14:paraId="350F752F" w14:textId="77777777" w:rsidR="00734E06" w:rsidRPr="009B1879" w:rsidRDefault="00AE0FFB" w:rsidP="00D8370E">
      <w:pPr>
        <w:spacing w:line="360" w:lineRule="auto"/>
        <w:jc w:val="both"/>
        <w:rPr>
          <w:b/>
          <w:color w:val="FF0000"/>
        </w:rPr>
      </w:pPr>
      <w:r w:rsidRPr="00D00A94">
        <w:rPr>
          <w:i/>
        </w:rPr>
        <w:t>Report to be considered.</w:t>
      </w:r>
      <w:r w:rsidR="00D8370E">
        <w:rPr>
          <w:i/>
        </w:rPr>
        <w:t xml:space="preserve"> </w:t>
      </w:r>
    </w:p>
    <w:sectPr w:rsidR="00734E06" w:rsidRPr="009B187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6DEBC" w14:textId="77777777" w:rsidR="001175D3" w:rsidRDefault="001175D3">
      <w:r>
        <w:separator/>
      </w:r>
    </w:p>
  </w:endnote>
  <w:endnote w:type="continuationSeparator" w:id="0">
    <w:p w14:paraId="439B8A86" w14:textId="77777777" w:rsidR="001175D3" w:rsidRDefault="001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37C8" w14:textId="77777777" w:rsidR="008B6F35" w:rsidRDefault="008B6F35"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BB5E5" w14:textId="77777777" w:rsidR="008B6F35" w:rsidRDefault="008B6F35" w:rsidP="007C3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5D07" w14:textId="6B1476BA" w:rsidR="008B6F35" w:rsidRDefault="008B6F35"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FBC">
      <w:rPr>
        <w:rStyle w:val="PageNumber"/>
        <w:noProof/>
      </w:rPr>
      <w:t>1</w:t>
    </w:r>
    <w:r>
      <w:rPr>
        <w:rStyle w:val="PageNumber"/>
      </w:rPr>
      <w:fldChar w:fldCharType="end"/>
    </w:r>
  </w:p>
  <w:p w14:paraId="1EB9C736" w14:textId="77777777" w:rsidR="008B6F35" w:rsidRDefault="008B6F35" w:rsidP="007C3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460D4" w14:textId="77777777" w:rsidR="001175D3" w:rsidRDefault="001175D3">
      <w:r>
        <w:separator/>
      </w:r>
    </w:p>
  </w:footnote>
  <w:footnote w:type="continuationSeparator" w:id="0">
    <w:p w14:paraId="5BA47C0A" w14:textId="77777777" w:rsidR="001175D3" w:rsidRDefault="0011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628"/>
    <w:multiLevelType w:val="hybridMultilevel"/>
    <w:tmpl w:val="05ECB296"/>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07D5F"/>
    <w:multiLevelType w:val="multilevel"/>
    <w:tmpl w:val="8106694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646138"/>
    <w:multiLevelType w:val="hybridMultilevel"/>
    <w:tmpl w:val="F6BA058C"/>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0AD48CC"/>
    <w:multiLevelType w:val="hybridMultilevel"/>
    <w:tmpl w:val="1C6E1E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F16EDA"/>
    <w:multiLevelType w:val="hybridMultilevel"/>
    <w:tmpl w:val="F3DE3B98"/>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F067A9D"/>
    <w:multiLevelType w:val="hybridMultilevel"/>
    <w:tmpl w:val="4A3A1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0217062"/>
    <w:multiLevelType w:val="hybridMultilevel"/>
    <w:tmpl w:val="4FA29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334660F"/>
    <w:multiLevelType w:val="hybridMultilevel"/>
    <w:tmpl w:val="1FF0BDC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80E0889"/>
    <w:multiLevelType w:val="multilevel"/>
    <w:tmpl w:val="7B8E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DB70BB"/>
    <w:multiLevelType w:val="hybridMultilevel"/>
    <w:tmpl w:val="E8F23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8394388"/>
    <w:multiLevelType w:val="multilevel"/>
    <w:tmpl w:val="D29419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8A1B66"/>
    <w:multiLevelType w:val="hybridMultilevel"/>
    <w:tmpl w:val="AAFE7D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B585267"/>
    <w:multiLevelType w:val="hybridMultilevel"/>
    <w:tmpl w:val="1A860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1"/>
  </w:num>
  <w:num w:numId="6">
    <w:abstractNumId w:val="5"/>
  </w:num>
  <w:num w:numId="7">
    <w:abstractNumId w:val="9"/>
  </w:num>
  <w:num w:numId="8">
    <w:abstractNumId w:val="12"/>
  </w:num>
  <w:num w:numId="9">
    <w:abstractNumId w:val="6"/>
  </w:num>
  <w:num w:numId="10">
    <w:abstractNumId w:val="4"/>
  </w:num>
  <w:num w:numId="11">
    <w:abstractNumId w:val="1"/>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3"/>
    <w:rsid w:val="000008F7"/>
    <w:rsid w:val="00001034"/>
    <w:rsid w:val="0000175A"/>
    <w:rsid w:val="0000284E"/>
    <w:rsid w:val="00003168"/>
    <w:rsid w:val="00003CF5"/>
    <w:rsid w:val="00004E3F"/>
    <w:rsid w:val="00004F4E"/>
    <w:rsid w:val="00005CC0"/>
    <w:rsid w:val="00006E76"/>
    <w:rsid w:val="00006F14"/>
    <w:rsid w:val="0001010B"/>
    <w:rsid w:val="0001024D"/>
    <w:rsid w:val="000115A4"/>
    <w:rsid w:val="000125CE"/>
    <w:rsid w:val="00012EF2"/>
    <w:rsid w:val="000132B6"/>
    <w:rsid w:val="00013524"/>
    <w:rsid w:val="000146D1"/>
    <w:rsid w:val="000146DF"/>
    <w:rsid w:val="00015A13"/>
    <w:rsid w:val="00015AEA"/>
    <w:rsid w:val="000201F3"/>
    <w:rsid w:val="0002078C"/>
    <w:rsid w:val="00020E1E"/>
    <w:rsid w:val="0002250D"/>
    <w:rsid w:val="00022A93"/>
    <w:rsid w:val="00024BDB"/>
    <w:rsid w:val="0002679D"/>
    <w:rsid w:val="000275D5"/>
    <w:rsid w:val="000276C3"/>
    <w:rsid w:val="0003012A"/>
    <w:rsid w:val="00030488"/>
    <w:rsid w:val="00030CF0"/>
    <w:rsid w:val="00030E02"/>
    <w:rsid w:val="00030F5C"/>
    <w:rsid w:val="000312EB"/>
    <w:rsid w:val="00031473"/>
    <w:rsid w:val="00031908"/>
    <w:rsid w:val="00032007"/>
    <w:rsid w:val="00032338"/>
    <w:rsid w:val="000324B9"/>
    <w:rsid w:val="00032636"/>
    <w:rsid w:val="00032779"/>
    <w:rsid w:val="00034665"/>
    <w:rsid w:val="00035654"/>
    <w:rsid w:val="00035F9F"/>
    <w:rsid w:val="000360C3"/>
    <w:rsid w:val="000361A4"/>
    <w:rsid w:val="0003650E"/>
    <w:rsid w:val="00036EB4"/>
    <w:rsid w:val="000371EE"/>
    <w:rsid w:val="000373F3"/>
    <w:rsid w:val="00037462"/>
    <w:rsid w:val="00037498"/>
    <w:rsid w:val="00040BDE"/>
    <w:rsid w:val="000429A3"/>
    <w:rsid w:val="00042E7D"/>
    <w:rsid w:val="00044A95"/>
    <w:rsid w:val="00045B24"/>
    <w:rsid w:val="00045C0A"/>
    <w:rsid w:val="00047900"/>
    <w:rsid w:val="00047E76"/>
    <w:rsid w:val="000501DE"/>
    <w:rsid w:val="00050269"/>
    <w:rsid w:val="00050DF2"/>
    <w:rsid w:val="000515AB"/>
    <w:rsid w:val="0005285A"/>
    <w:rsid w:val="000534E7"/>
    <w:rsid w:val="0005361A"/>
    <w:rsid w:val="00054059"/>
    <w:rsid w:val="00054324"/>
    <w:rsid w:val="00054D47"/>
    <w:rsid w:val="00055D20"/>
    <w:rsid w:val="000564E2"/>
    <w:rsid w:val="00056A5B"/>
    <w:rsid w:val="00057114"/>
    <w:rsid w:val="00057339"/>
    <w:rsid w:val="000578F6"/>
    <w:rsid w:val="00057BA0"/>
    <w:rsid w:val="00057C21"/>
    <w:rsid w:val="00062246"/>
    <w:rsid w:val="00062B12"/>
    <w:rsid w:val="00063C11"/>
    <w:rsid w:val="00064096"/>
    <w:rsid w:val="00064532"/>
    <w:rsid w:val="000645AD"/>
    <w:rsid w:val="00064A5B"/>
    <w:rsid w:val="000652AF"/>
    <w:rsid w:val="00065BD4"/>
    <w:rsid w:val="00065D60"/>
    <w:rsid w:val="000661E1"/>
    <w:rsid w:val="00067578"/>
    <w:rsid w:val="00070279"/>
    <w:rsid w:val="00070EDE"/>
    <w:rsid w:val="0007487E"/>
    <w:rsid w:val="0007531F"/>
    <w:rsid w:val="000756BA"/>
    <w:rsid w:val="00075FDC"/>
    <w:rsid w:val="000762CA"/>
    <w:rsid w:val="000775BC"/>
    <w:rsid w:val="000777C5"/>
    <w:rsid w:val="00077865"/>
    <w:rsid w:val="00077CCA"/>
    <w:rsid w:val="00077F0D"/>
    <w:rsid w:val="00080BC5"/>
    <w:rsid w:val="00080D25"/>
    <w:rsid w:val="00081106"/>
    <w:rsid w:val="00081B23"/>
    <w:rsid w:val="00082D37"/>
    <w:rsid w:val="00083E7A"/>
    <w:rsid w:val="00083FD6"/>
    <w:rsid w:val="000842CD"/>
    <w:rsid w:val="000845D4"/>
    <w:rsid w:val="00084651"/>
    <w:rsid w:val="00084850"/>
    <w:rsid w:val="00084C0F"/>
    <w:rsid w:val="00085EEA"/>
    <w:rsid w:val="00086029"/>
    <w:rsid w:val="000861AD"/>
    <w:rsid w:val="0008658E"/>
    <w:rsid w:val="000868AD"/>
    <w:rsid w:val="000871E7"/>
    <w:rsid w:val="000908E2"/>
    <w:rsid w:val="0009243D"/>
    <w:rsid w:val="000924AC"/>
    <w:rsid w:val="000925BF"/>
    <w:rsid w:val="00094F9E"/>
    <w:rsid w:val="0009507B"/>
    <w:rsid w:val="00095395"/>
    <w:rsid w:val="00095C0E"/>
    <w:rsid w:val="00095FD3"/>
    <w:rsid w:val="00096D13"/>
    <w:rsid w:val="0009745A"/>
    <w:rsid w:val="00097545"/>
    <w:rsid w:val="0009787F"/>
    <w:rsid w:val="000A01E1"/>
    <w:rsid w:val="000A04C4"/>
    <w:rsid w:val="000A1AAB"/>
    <w:rsid w:val="000A1C72"/>
    <w:rsid w:val="000A2474"/>
    <w:rsid w:val="000A3C18"/>
    <w:rsid w:val="000A3EEA"/>
    <w:rsid w:val="000A45DC"/>
    <w:rsid w:val="000A47F3"/>
    <w:rsid w:val="000A48ED"/>
    <w:rsid w:val="000A4BD5"/>
    <w:rsid w:val="000A6D26"/>
    <w:rsid w:val="000A6D77"/>
    <w:rsid w:val="000A756B"/>
    <w:rsid w:val="000A7D54"/>
    <w:rsid w:val="000B0222"/>
    <w:rsid w:val="000B0A49"/>
    <w:rsid w:val="000B12D0"/>
    <w:rsid w:val="000B1B87"/>
    <w:rsid w:val="000B21F7"/>
    <w:rsid w:val="000B25E0"/>
    <w:rsid w:val="000B3140"/>
    <w:rsid w:val="000B37A6"/>
    <w:rsid w:val="000B4F10"/>
    <w:rsid w:val="000B64EF"/>
    <w:rsid w:val="000B6976"/>
    <w:rsid w:val="000B6BDA"/>
    <w:rsid w:val="000B6FA8"/>
    <w:rsid w:val="000C00D7"/>
    <w:rsid w:val="000C18C0"/>
    <w:rsid w:val="000C1A61"/>
    <w:rsid w:val="000C1CE3"/>
    <w:rsid w:val="000C1D87"/>
    <w:rsid w:val="000C213F"/>
    <w:rsid w:val="000C2C97"/>
    <w:rsid w:val="000C3F6E"/>
    <w:rsid w:val="000C45A4"/>
    <w:rsid w:val="000C5340"/>
    <w:rsid w:val="000C5C78"/>
    <w:rsid w:val="000C6A7E"/>
    <w:rsid w:val="000D03EB"/>
    <w:rsid w:val="000D0AE5"/>
    <w:rsid w:val="000D12F4"/>
    <w:rsid w:val="000D1D0B"/>
    <w:rsid w:val="000D1F77"/>
    <w:rsid w:val="000D3063"/>
    <w:rsid w:val="000D41C4"/>
    <w:rsid w:val="000D47CB"/>
    <w:rsid w:val="000D4DD7"/>
    <w:rsid w:val="000D5A55"/>
    <w:rsid w:val="000D6683"/>
    <w:rsid w:val="000D67A5"/>
    <w:rsid w:val="000D709B"/>
    <w:rsid w:val="000D7140"/>
    <w:rsid w:val="000D78C0"/>
    <w:rsid w:val="000D7E11"/>
    <w:rsid w:val="000E1B2F"/>
    <w:rsid w:val="000E2074"/>
    <w:rsid w:val="000E2639"/>
    <w:rsid w:val="000E2BC9"/>
    <w:rsid w:val="000E2CEA"/>
    <w:rsid w:val="000E4E13"/>
    <w:rsid w:val="000E75C3"/>
    <w:rsid w:val="000E779F"/>
    <w:rsid w:val="000E77F5"/>
    <w:rsid w:val="000E7B92"/>
    <w:rsid w:val="000E7BDD"/>
    <w:rsid w:val="000F25F3"/>
    <w:rsid w:val="000F3259"/>
    <w:rsid w:val="000F32AB"/>
    <w:rsid w:val="000F3518"/>
    <w:rsid w:val="000F3912"/>
    <w:rsid w:val="000F43F2"/>
    <w:rsid w:val="000F5447"/>
    <w:rsid w:val="000F5838"/>
    <w:rsid w:val="000F5CB9"/>
    <w:rsid w:val="000F6F63"/>
    <w:rsid w:val="000F7710"/>
    <w:rsid w:val="00100A1F"/>
    <w:rsid w:val="00101BF1"/>
    <w:rsid w:val="001020AE"/>
    <w:rsid w:val="0010370A"/>
    <w:rsid w:val="001037F2"/>
    <w:rsid w:val="00103899"/>
    <w:rsid w:val="001044AB"/>
    <w:rsid w:val="00104675"/>
    <w:rsid w:val="00104D0B"/>
    <w:rsid w:val="00104D26"/>
    <w:rsid w:val="0010503D"/>
    <w:rsid w:val="001051BC"/>
    <w:rsid w:val="001053EE"/>
    <w:rsid w:val="00105B0C"/>
    <w:rsid w:val="00106266"/>
    <w:rsid w:val="00106329"/>
    <w:rsid w:val="001067E6"/>
    <w:rsid w:val="00106C62"/>
    <w:rsid w:val="00106D95"/>
    <w:rsid w:val="00107867"/>
    <w:rsid w:val="00111650"/>
    <w:rsid w:val="001117C8"/>
    <w:rsid w:val="001147B8"/>
    <w:rsid w:val="001175D3"/>
    <w:rsid w:val="0011763F"/>
    <w:rsid w:val="00120C20"/>
    <w:rsid w:val="00121ADE"/>
    <w:rsid w:val="00121D05"/>
    <w:rsid w:val="001226B2"/>
    <w:rsid w:val="001241AA"/>
    <w:rsid w:val="00125FBC"/>
    <w:rsid w:val="001267E6"/>
    <w:rsid w:val="00126D22"/>
    <w:rsid w:val="00127341"/>
    <w:rsid w:val="00127513"/>
    <w:rsid w:val="001277D0"/>
    <w:rsid w:val="00130DD5"/>
    <w:rsid w:val="001312A0"/>
    <w:rsid w:val="001312AE"/>
    <w:rsid w:val="0013360D"/>
    <w:rsid w:val="0013391D"/>
    <w:rsid w:val="001343BB"/>
    <w:rsid w:val="001347C1"/>
    <w:rsid w:val="0013529D"/>
    <w:rsid w:val="001355B2"/>
    <w:rsid w:val="0013561F"/>
    <w:rsid w:val="00135640"/>
    <w:rsid w:val="001358C9"/>
    <w:rsid w:val="00136C84"/>
    <w:rsid w:val="00137374"/>
    <w:rsid w:val="001375FC"/>
    <w:rsid w:val="00140C26"/>
    <w:rsid w:val="00141339"/>
    <w:rsid w:val="001415D3"/>
    <w:rsid w:val="001417B6"/>
    <w:rsid w:val="0014215B"/>
    <w:rsid w:val="00142203"/>
    <w:rsid w:val="0014220E"/>
    <w:rsid w:val="001422F2"/>
    <w:rsid w:val="00143943"/>
    <w:rsid w:val="00143CC8"/>
    <w:rsid w:val="001444F4"/>
    <w:rsid w:val="001448BB"/>
    <w:rsid w:val="00146383"/>
    <w:rsid w:val="0014665F"/>
    <w:rsid w:val="00146AB1"/>
    <w:rsid w:val="00146E4E"/>
    <w:rsid w:val="00146F32"/>
    <w:rsid w:val="001471FC"/>
    <w:rsid w:val="001477F5"/>
    <w:rsid w:val="0014794C"/>
    <w:rsid w:val="00147FA1"/>
    <w:rsid w:val="00151C4F"/>
    <w:rsid w:val="00152329"/>
    <w:rsid w:val="0015274A"/>
    <w:rsid w:val="00154231"/>
    <w:rsid w:val="0015462F"/>
    <w:rsid w:val="0015554B"/>
    <w:rsid w:val="0015560D"/>
    <w:rsid w:val="00155F39"/>
    <w:rsid w:val="001572A9"/>
    <w:rsid w:val="001574E0"/>
    <w:rsid w:val="001628A7"/>
    <w:rsid w:val="00164534"/>
    <w:rsid w:val="00164CD8"/>
    <w:rsid w:val="0016567F"/>
    <w:rsid w:val="00166111"/>
    <w:rsid w:val="001666B0"/>
    <w:rsid w:val="00166A9D"/>
    <w:rsid w:val="00166C74"/>
    <w:rsid w:val="00167E7C"/>
    <w:rsid w:val="00170B94"/>
    <w:rsid w:val="0017110D"/>
    <w:rsid w:val="00171C5A"/>
    <w:rsid w:val="00172973"/>
    <w:rsid w:val="00172D78"/>
    <w:rsid w:val="0017303B"/>
    <w:rsid w:val="00174306"/>
    <w:rsid w:val="001746A4"/>
    <w:rsid w:val="0017478E"/>
    <w:rsid w:val="00174971"/>
    <w:rsid w:val="00174D1F"/>
    <w:rsid w:val="0017628A"/>
    <w:rsid w:val="001764A7"/>
    <w:rsid w:val="0017650C"/>
    <w:rsid w:val="001767B9"/>
    <w:rsid w:val="00176A67"/>
    <w:rsid w:val="001806FA"/>
    <w:rsid w:val="00180FA2"/>
    <w:rsid w:val="001817F9"/>
    <w:rsid w:val="001818AE"/>
    <w:rsid w:val="00182BA1"/>
    <w:rsid w:val="00182D86"/>
    <w:rsid w:val="001842D7"/>
    <w:rsid w:val="00184354"/>
    <w:rsid w:val="00186317"/>
    <w:rsid w:val="001868B8"/>
    <w:rsid w:val="00186DA3"/>
    <w:rsid w:val="00190019"/>
    <w:rsid w:val="00190FA9"/>
    <w:rsid w:val="00191183"/>
    <w:rsid w:val="0019232A"/>
    <w:rsid w:val="00194F2E"/>
    <w:rsid w:val="00195289"/>
    <w:rsid w:val="00195431"/>
    <w:rsid w:val="0019579E"/>
    <w:rsid w:val="00195C87"/>
    <w:rsid w:val="0019764A"/>
    <w:rsid w:val="0019782C"/>
    <w:rsid w:val="00197D1C"/>
    <w:rsid w:val="00197DFC"/>
    <w:rsid w:val="001A0A0F"/>
    <w:rsid w:val="001A0A56"/>
    <w:rsid w:val="001A10E4"/>
    <w:rsid w:val="001A1B2C"/>
    <w:rsid w:val="001A3080"/>
    <w:rsid w:val="001A3471"/>
    <w:rsid w:val="001A43CC"/>
    <w:rsid w:val="001A4873"/>
    <w:rsid w:val="001A4BC7"/>
    <w:rsid w:val="001A4E6A"/>
    <w:rsid w:val="001A5FA8"/>
    <w:rsid w:val="001A7A42"/>
    <w:rsid w:val="001B0A68"/>
    <w:rsid w:val="001B0B9E"/>
    <w:rsid w:val="001B0D1D"/>
    <w:rsid w:val="001B1346"/>
    <w:rsid w:val="001B1DB3"/>
    <w:rsid w:val="001B21D7"/>
    <w:rsid w:val="001B26D0"/>
    <w:rsid w:val="001B27F8"/>
    <w:rsid w:val="001B28F8"/>
    <w:rsid w:val="001B2A86"/>
    <w:rsid w:val="001B387C"/>
    <w:rsid w:val="001B3921"/>
    <w:rsid w:val="001B3AB9"/>
    <w:rsid w:val="001B41FA"/>
    <w:rsid w:val="001B4295"/>
    <w:rsid w:val="001B4495"/>
    <w:rsid w:val="001B44AF"/>
    <w:rsid w:val="001B4CE0"/>
    <w:rsid w:val="001B61E6"/>
    <w:rsid w:val="001B680F"/>
    <w:rsid w:val="001B6B39"/>
    <w:rsid w:val="001B6B7F"/>
    <w:rsid w:val="001C0BEE"/>
    <w:rsid w:val="001C151C"/>
    <w:rsid w:val="001C23FA"/>
    <w:rsid w:val="001C2B0B"/>
    <w:rsid w:val="001C3364"/>
    <w:rsid w:val="001C3879"/>
    <w:rsid w:val="001C3929"/>
    <w:rsid w:val="001C4760"/>
    <w:rsid w:val="001C5194"/>
    <w:rsid w:val="001C586A"/>
    <w:rsid w:val="001C65FF"/>
    <w:rsid w:val="001C6636"/>
    <w:rsid w:val="001D0312"/>
    <w:rsid w:val="001D03F1"/>
    <w:rsid w:val="001D0CAA"/>
    <w:rsid w:val="001D0F9B"/>
    <w:rsid w:val="001D16C4"/>
    <w:rsid w:val="001D1FDA"/>
    <w:rsid w:val="001D3535"/>
    <w:rsid w:val="001D3E79"/>
    <w:rsid w:val="001D491D"/>
    <w:rsid w:val="001D4EA4"/>
    <w:rsid w:val="001D5987"/>
    <w:rsid w:val="001E09BC"/>
    <w:rsid w:val="001E13B8"/>
    <w:rsid w:val="001E17F9"/>
    <w:rsid w:val="001E2212"/>
    <w:rsid w:val="001E280E"/>
    <w:rsid w:val="001E3DF3"/>
    <w:rsid w:val="001E4108"/>
    <w:rsid w:val="001E4FBE"/>
    <w:rsid w:val="001E50D7"/>
    <w:rsid w:val="001E64E7"/>
    <w:rsid w:val="001E65E9"/>
    <w:rsid w:val="001E7B3F"/>
    <w:rsid w:val="001F1B31"/>
    <w:rsid w:val="001F2510"/>
    <w:rsid w:val="001F29F1"/>
    <w:rsid w:val="001F37C1"/>
    <w:rsid w:val="001F58C9"/>
    <w:rsid w:val="00200205"/>
    <w:rsid w:val="00200803"/>
    <w:rsid w:val="00200C6F"/>
    <w:rsid w:val="00203B3B"/>
    <w:rsid w:val="00205560"/>
    <w:rsid w:val="00205E30"/>
    <w:rsid w:val="0020688B"/>
    <w:rsid w:val="00206E29"/>
    <w:rsid w:val="002071BF"/>
    <w:rsid w:val="00210653"/>
    <w:rsid w:val="0021163E"/>
    <w:rsid w:val="002116E8"/>
    <w:rsid w:val="0021183C"/>
    <w:rsid w:val="00211F96"/>
    <w:rsid w:val="00211FF8"/>
    <w:rsid w:val="00214131"/>
    <w:rsid w:val="002148DE"/>
    <w:rsid w:val="00214F8D"/>
    <w:rsid w:val="00214FD1"/>
    <w:rsid w:val="0021554A"/>
    <w:rsid w:val="00215864"/>
    <w:rsid w:val="0021644E"/>
    <w:rsid w:val="002169EE"/>
    <w:rsid w:val="00217268"/>
    <w:rsid w:val="002202C3"/>
    <w:rsid w:val="002207B4"/>
    <w:rsid w:val="0022114A"/>
    <w:rsid w:val="002242DF"/>
    <w:rsid w:val="00224D22"/>
    <w:rsid w:val="00224D25"/>
    <w:rsid w:val="00224DE9"/>
    <w:rsid w:val="00230B1C"/>
    <w:rsid w:val="002325EC"/>
    <w:rsid w:val="002337CE"/>
    <w:rsid w:val="0023480B"/>
    <w:rsid w:val="00234F3B"/>
    <w:rsid w:val="00235394"/>
    <w:rsid w:val="00235D69"/>
    <w:rsid w:val="00236FDB"/>
    <w:rsid w:val="002371EE"/>
    <w:rsid w:val="00237531"/>
    <w:rsid w:val="00240A7D"/>
    <w:rsid w:val="00240DBC"/>
    <w:rsid w:val="002410F5"/>
    <w:rsid w:val="00241B61"/>
    <w:rsid w:val="00241F88"/>
    <w:rsid w:val="00242375"/>
    <w:rsid w:val="0024316A"/>
    <w:rsid w:val="00245493"/>
    <w:rsid w:val="002455EE"/>
    <w:rsid w:val="002474A8"/>
    <w:rsid w:val="002477A6"/>
    <w:rsid w:val="0024788D"/>
    <w:rsid w:val="00247937"/>
    <w:rsid w:val="00247D12"/>
    <w:rsid w:val="00251BF5"/>
    <w:rsid w:val="002542CF"/>
    <w:rsid w:val="00254611"/>
    <w:rsid w:val="00255B71"/>
    <w:rsid w:val="00256DC6"/>
    <w:rsid w:val="00256F0B"/>
    <w:rsid w:val="00262166"/>
    <w:rsid w:val="00262FDA"/>
    <w:rsid w:val="00263D27"/>
    <w:rsid w:val="0026511C"/>
    <w:rsid w:val="0026559B"/>
    <w:rsid w:val="00265AAC"/>
    <w:rsid w:val="00265D02"/>
    <w:rsid w:val="00266EAE"/>
    <w:rsid w:val="0026709A"/>
    <w:rsid w:val="0026716F"/>
    <w:rsid w:val="00267226"/>
    <w:rsid w:val="00267495"/>
    <w:rsid w:val="002712E7"/>
    <w:rsid w:val="0027180B"/>
    <w:rsid w:val="00271B40"/>
    <w:rsid w:val="002720BB"/>
    <w:rsid w:val="00272337"/>
    <w:rsid w:val="00272EE2"/>
    <w:rsid w:val="002730FA"/>
    <w:rsid w:val="002733F2"/>
    <w:rsid w:val="0027363E"/>
    <w:rsid w:val="00273B51"/>
    <w:rsid w:val="00275630"/>
    <w:rsid w:val="00275A6D"/>
    <w:rsid w:val="00276168"/>
    <w:rsid w:val="002762CE"/>
    <w:rsid w:val="00276500"/>
    <w:rsid w:val="0027684F"/>
    <w:rsid w:val="002776AC"/>
    <w:rsid w:val="002776DA"/>
    <w:rsid w:val="00277885"/>
    <w:rsid w:val="00280BC3"/>
    <w:rsid w:val="002818FB"/>
    <w:rsid w:val="00282CFA"/>
    <w:rsid w:val="00283DCB"/>
    <w:rsid w:val="00284506"/>
    <w:rsid w:val="002854CB"/>
    <w:rsid w:val="00285952"/>
    <w:rsid w:val="00286CE5"/>
    <w:rsid w:val="00286E8D"/>
    <w:rsid w:val="00290358"/>
    <w:rsid w:val="0029071F"/>
    <w:rsid w:val="00290FA5"/>
    <w:rsid w:val="00291FD7"/>
    <w:rsid w:val="00292148"/>
    <w:rsid w:val="002936F0"/>
    <w:rsid w:val="00293AED"/>
    <w:rsid w:val="0029475A"/>
    <w:rsid w:val="0029511E"/>
    <w:rsid w:val="00295875"/>
    <w:rsid w:val="00295B1F"/>
    <w:rsid w:val="00296AB6"/>
    <w:rsid w:val="00296EBB"/>
    <w:rsid w:val="002975DE"/>
    <w:rsid w:val="0029773A"/>
    <w:rsid w:val="002A03A3"/>
    <w:rsid w:val="002A10BF"/>
    <w:rsid w:val="002A13A2"/>
    <w:rsid w:val="002A14C9"/>
    <w:rsid w:val="002A21C2"/>
    <w:rsid w:val="002A314F"/>
    <w:rsid w:val="002A4580"/>
    <w:rsid w:val="002A65F8"/>
    <w:rsid w:val="002A6DAB"/>
    <w:rsid w:val="002A7D7C"/>
    <w:rsid w:val="002B1627"/>
    <w:rsid w:val="002B17E2"/>
    <w:rsid w:val="002B2090"/>
    <w:rsid w:val="002B24F8"/>
    <w:rsid w:val="002B2577"/>
    <w:rsid w:val="002B272F"/>
    <w:rsid w:val="002B2747"/>
    <w:rsid w:val="002B2BE1"/>
    <w:rsid w:val="002B3FB3"/>
    <w:rsid w:val="002B4D55"/>
    <w:rsid w:val="002B5001"/>
    <w:rsid w:val="002B56DA"/>
    <w:rsid w:val="002B7163"/>
    <w:rsid w:val="002C1DD9"/>
    <w:rsid w:val="002C2AE5"/>
    <w:rsid w:val="002C2B65"/>
    <w:rsid w:val="002C2D0F"/>
    <w:rsid w:val="002C386A"/>
    <w:rsid w:val="002C3BB5"/>
    <w:rsid w:val="002C5444"/>
    <w:rsid w:val="002C7768"/>
    <w:rsid w:val="002D0038"/>
    <w:rsid w:val="002D0892"/>
    <w:rsid w:val="002D12E7"/>
    <w:rsid w:val="002D1463"/>
    <w:rsid w:val="002D14D8"/>
    <w:rsid w:val="002D1EFB"/>
    <w:rsid w:val="002D2003"/>
    <w:rsid w:val="002D2A4A"/>
    <w:rsid w:val="002D2E78"/>
    <w:rsid w:val="002D3B65"/>
    <w:rsid w:val="002D3BFC"/>
    <w:rsid w:val="002D42CC"/>
    <w:rsid w:val="002D43FD"/>
    <w:rsid w:val="002D4740"/>
    <w:rsid w:val="002D4882"/>
    <w:rsid w:val="002D494C"/>
    <w:rsid w:val="002D4AC0"/>
    <w:rsid w:val="002D4E04"/>
    <w:rsid w:val="002D613E"/>
    <w:rsid w:val="002D6377"/>
    <w:rsid w:val="002D7F4E"/>
    <w:rsid w:val="002E0B08"/>
    <w:rsid w:val="002E0BC8"/>
    <w:rsid w:val="002E2CF1"/>
    <w:rsid w:val="002E3A62"/>
    <w:rsid w:val="002E43E2"/>
    <w:rsid w:val="002E4693"/>
    <w:rsid w:val="002E4C89"/>
    <w:rsid w:val="002E5857"/>
    <w:rsid w:val="002E585A"/>
    <w:rsid w:val="002E637F"/>
    <w:rsid w:val="002E6A5E"/>
    <w:rsid w:val="002E7187"/>
    <w:rsid w:val="002E7F7E"/>
    <w:rsid w:val="002F039A"/>
    <w:rsid w:val="002F158F"/>
    <w:rsid w:val="002F28D7"/>
    <w:rsid w:val="002F2906"/>
    <w:rsid w:val="002F35A5"/>
    <w:rsid w:val="002F3AF7"/>
    <w:rsid w:val="002F3FDB"/>
    <w:rsid w:val="002F5D78"/>
    <w:rsid w:val="002F79E3"/>
    <w:rsid w:val="002F7F01"/>
    <w:rsid w:val="003007DB"/>
    <w:rsid w:val="0030088B"/>
    <w:rsid w:val="003011C8"/>
    <w:rsid w:val="0030178D"/>
    <w:rsid w:val="00301E62"/>
    <w:rsid w:val="003024A3"/>
    <w:rsid w:val="00304AB5"/>
    <w:rsid w:val="003052FC"/>
    <w:rsid w:val="00305693"/>
    <w:rsid w:val="003065E6"/>
    <w:rsid w:val="003077E3"/>
    <w:rsid w:val="0031007D"/>
    <w:rsid w:val="00312106"/>
    <w:rsid w:val="003124E9"/>
    <w:rsid w:val="0031285B"/>
    <w:rsid w:val="003147DA"/>
    <w:rsid w:val="003152E6"/>
    <w:rsid w:val="00315610"/>
    <w:rsid w:val="00315C2C"/>
    <w:rsid w:val="00315F44"/>
    <w:rsid w:val="00315FE8"/>
    <w:rsid w:val="00316178"/>
    <w:rsid w:val="003166FD"/>
    <w:rsid w:val="00316F71"/>
    <w:rsid w:val="0032055B"/>
    <w:rsid w:val="0032096A"/>
    <w:rsid w:val="00320FB6"/>
    <w:rsid w:val="003213EF"/>
    <w:rsid w:val="003214A8"/>
    <w:rsid w:val="00321EC1"/>
    <w:rsid w:val="0032263D"/>
    <w:rsid w:val="0032288D"/>
    <w:rsid w:val="00323451"/>
    <w:rsid w:val="00324879"/>
    <w:rsid w:val="00324D88"/>
    <w:rsid w:val="00325226"/>
    <w:rsid w:val="00325283"/>
    <w:rsid w:val="003260D6"/>
    <w:rsid w:val="003262F9"/>
    <w:rsid w:val="00326765"/>
    <w:rsid w:val="00326DA1"/>
    <w:rsid w:val="00327539"/>
    <w:rsid w:val="00330B14"/>
    <w:rsid w:val="00331597"/>
    <w:rsid w:val="003318B6"/>
    <w:rsid w:val="00331D30"/>
    <w:rsid w:val="003325F9"/>
    <w:rsid w:val="00332ABC"/>
    <w:rsid w:val="003344DC"/>
    <w:rsid w:val="00336D84"/>
    <w:rsid w:val="00340DEC"/>
    <w:rsid w:val="00343907"/>
    <w:rsid w:val="00343ABE"/>
    <w:rsid w:val="00344F3C"/>
    <w:rsid w:val="003452F5"/>
    <w:rsid w:val="00345497"/>
    <w:rsid w:val="00345730"/>
    <w:rsid w:val="00345919"/>
    <w:rsid w:val="00345C3E"/>
    <w:rsid w:val="0035058B"/>
    <w:rsid w:val="00350B0B"/>
    <w:rsid w:val="00350C13"/>
    <w:rsid w:val="00350D47"/>
    <w:rsid w:val="003525D3"/>
    <w:rsid w:val="0035278A"/>
    <w:rsid w:val="00352B3F"/>
    <w:rsid w:val="0035396C"/>
    <w:rsid w:val="00353BF5"/>
    <w:rsid w:val="00353DC1"/>
    <w:rsid w:val="00354305"/>
    <w:rsid w:val="00354320"/>
    <w:rsid w:val="00354D8A"/>
    <w:rsid w:val="003552BA"/>
    <w:rsid w:val="00355CD6"/>
    <w:rsid w:val="003567AF"/>
    <w:rsid w:val="00356DEA"/>
    <w:rsid w:val="00357068"/>
    <w:rsid w:val="003570AD"/>
    <w:rsid w:val="00357E48"/>
    <w:rsid w:val="0036038C"/>
    <w:rsid w:val="0036049F"/>
    <w:rsid w:val="00360DA7"/>
    <w:rsid w:val="00361470"/>
    <w:rsid w:val="003615E5"/>
    <w:rsid w:val="003618CA"/>
    <w:rsid w:val="00361F0D"/>
    <w:rsid w:val="0036234C"/>
    <w:rsid w:val="00362470"/>
    <w:rsid w:val="00362E14"/>
    <w:rsid w:val="00363120"/>
    <w:rsid w:val="0036405E"/>
    <w:rsid w:val="0036429C"/>
    <w:rsid w:val="0036437A"/>
    <w:rsid w:val="003645DB"/>
    <w:rsid w:val="00364B5F"/>
    <w:rsid w:val="003668A4"/>
    <w:rsid w:val="00366BE4"/>
    <w:rsid w:val="00367B93"/>
    <w:rsid w:val="00370281"/>
    <w:rsid w:val="00371EAA"/>
    <w:rsid w:val="00372F56"/>
    <w:rsid w:val="00373974"/>
    <w:rsid w:val="00373BFD"/>
    <w:rsid w:val="00374579"/>
    <w:rsid w:val="00375C5E"/>
    <w:rsid w:val="00375EF4"/>
    <w:rsid w:val="00376609"/>
    <w:rsid w:val="003769BC"/>
    <w:rsid w:val="00376AC4"/>
    <w:rsid w:val="00376B63"/>
    <w:rsid w:val="00376DB9"/>
    <w:rsid w:val="0038110E"/>
    <w:rsid w:val="0038183B"/>
    <w:rsid w:val="0038202E"/>
    <w:rsid w:val="00382300"/>
    <w:rsid w:val="00384F46"/>
    <w:rsid w:val="00385FD6"/>
    <w:rsid w:val="00386618"/>
    <w:rsid w:val="003871D8"/>
    <w:rsid w:val="0038721B"/>
    <w:rsid w:val="0038764C"/>
    <w:rsid w:val="00387661"/>
    <w:rsid w:val="00387EAB"/>
    <w:rsid w:val="003902E6"/>
    <w:rsid w:val="00390694"/>
    <w:rsid w:val="003918CE"/>
    <w:rsid w:val="003920CB"/>
    <w:rsid w:val="003920FC"/>
    <w:rsid w:val="003923B4"/>
    <w:rsid w:val="0039332C"/>
    <w:rsid w:val="00393D7F"/>
    <w:rsid w:val="00393FA0"/>
    <w:rsid w:val="003941B7"/>
    <w:rsid w:val="003947CE"/>
    <w:rsid w:val="00395D68"/>
    <w:rsid w:val="00396284"/>
    <w:rsid w:val="003969A5"/>
    <w:rsid w:val="00396C57"/>
    <w:rsid w:val="0039775F"/>
    <w:rsid w:val="0039783E"/>
    <w:rsid w:val="003A0667"/>
    <w:rsid w:val="003A0849"/>
    <w:rsid w:val="003A0F2A"/>
    <w:rsid w:val="003A169F"/>
    <w:rsid w:val="003A1B51"/>
    <w:rsid w:val="003A1B96"/>
    <w:rsid w:val="003A2536"/>
    <w:rsid w:val="003A3A06"/>
    <w:rsid w:val="003A3C96"/>
    <w:rsid w:val="003A3F46"/>
    <w:rsid w:val="003A4450"/>
    <w:rsid w:val="003A4519"/>
    <w:rsid w:val="003A4922"/>
    <w:rsid w:val="003A498A"/>
    <w:rsid w:val="003A4C8F"/>
    <w:rsid w:val="003A4CDF"/>
    <w:rsid w:val="003A61B8"/>
    <w:rsid w:val="003A756C"/>
    <w:rsid w:val="003B046A"/>
    <w:rsid w:val="003B148C"/>
    <w:rsid w:val="003B2438"/>
    <w:rsid w:val="003B247E"/>
    <w:rsid w:val="003B3272"/>
    <w:rsid w:val="003B582B"/>
    <w:rsid w:val="003C1C2A"/>
    <w:rsid w:val="003C231F"/>
    <w:rsid w:val="003C27E9"/>
    <w:rsid w:val="003C2AF0"/>
    <w:rsid w:val="003C381D"/>
    <w:rsid w:val="003C4BC5"/>
    <w:rsid w:val="003C555F"/>
    <w:rsid w:val="003C61F4"/>
    <w:rsid w:val="003C6925"/>
    <w:rsid w:val="003C6FB8"/>
    <w:rsid w:val="003C700F"/>
    <w:rsid w:val="003C711D"/>
    <w:rsid w:val="003D0736"/>
    <w:rsid w:val="003D16C0"/>
    <w:rsid w:val="003D1F5C"/>
    <w:rsid w:val="003D23D4"/>
    <w:rsid w:val="003D2E66"/>
    <w:rsid w:val="003D3000"/>
    <w:rsid w:val="003D3580"/>
    <w:rsid w:val="003D3BD7"/>
    <w:rsid w:val="003D4043"/>
    <w:rsid w:val="003D4444"/>
    <w:rsid w:val="003D4875"/>
    <w:rsid w:val="003D53CF"/>
    <w:rsid w:val="003D56BF"/>
    <w:rsid w:val="003D69B1"/>
    <w:rsid w:val="003D7388"/>
    <w:rsid w:val="003E04FF"/>
    <w:rsid w:val="003E067F"/>
    <w:rsid w:val="003E1602"/>
    <w:rsid w:val="003E1B94"/>
    <w:rsid w:val="003E2528"/>
    <w:rsid w:val="003E25C2"/>
    <w:rsid w:val="003E3E42"/>
    <w:rsid w:val="003E5D7C"/>
    <w:rsid w:val="003E612E"/>
    <w:rsid w:val="003E780E"/>
    <w:rsid w:val="003F06C1"/>
    <w:rsid w:val="003F0D9D"/>
    <w:rsid w:val="003F1491"/>
    <w:rsid w:val="003F14B7"/>
    <w:rsid w:val="003F1BBC"/>
    <w:rsid w:val="003F20B0"/>
    <w:rsid w:val="003F4E9E"/>
    <w:rsid w:val="003F5B6E"/>
    <w:rsid w:val="003F72E4"/>
    <w:rsid w:val="003F74C9"/>
    <w:rsid w:val="0040061B"/>
    <w:rsid w:val="00400787"/>
    <w:rsid w:val="00400887"/>
    <w:rsid w:val="004009F4"/>
    <w:rsid w:val="00400B20"/>
    <w:rsid w:val="00401F29"/>
    <w:rsid w:val="00402A2B"/>
    <w:rsid w:val="00404159"/>
    <w:rsid w:val="004043FA"/>
    <w:rsid w:val="004049C8"/>
    <w:rsid w:val="00405B96"/>
    <w:rsid w:val="004060CD"/>
    <w:rsid w:val="004067D7"/>
    <w:rsid w:val="0040796A"/>
    <w:rsid w:val="00410391"/>
    <w:rsid w:val="00411905"/>
    <w:rsid w:val="00411B05"/>
    <w:rsid w:val="0041256C"/>
    <w:rsid w:val="00412667"/>
    <w:rsid w:val="00412D63"/>
    <w:rsid w:val="004163BD"/>
    <w:rsid w:val="004167AB"/>
    <w:rsid w:val="00416B1C"/>
    <w:rsid w:val="0042056D"/>
    <w:rsid w:val="004229C3"/>
    <w:rsid w:val="00422AC7"/>
    <w:rsid w:val="00423A45"/>
    <w:rsid w:val="00423B0C"/>
    <w:rsid w:val="00423B40"/>
    <w:rsid w:val="00423B89"/>
    <w:rsid w:val="00424675"/>
    <w:rsid w:val="00424A72"/>
    <w:rsid w:val="00424AE6"/>
    <w:rsid w:val="00424F5E"/>
    <w:rsid w:val="00425139"/>
    <w:rsid w:val="0042545A"/>
    <w:rsid w:val="0042545D"/>
    <w:rsid w:val="00426263"/>
    <w:rsid w:val="00426510"/>
    <w:rsid w:val="004278E1"/>
    <w:rsid w:val="00430615"/>
    <w:rsid w:val="00430625"/>
    <w:rsid w:val="00431326"/>
    <w:rsid w:val="004316AF"/>
    <w:rsid w:val="00431962"/>
    <w:rsid w:val="004332AA"/>
    <w:rsid w:val="00433DEC"/>
    <w:rsid w:val="004342C8"/>
    <w:rsid w:val="0043483C"/>
    <w:rsid w:val="00434A59"/>
    <w:rsid w:val="00434C9F"/>
    <w:rsid w:val="004352AB"/>
    <w:rsid w:val="00437B87"/>
    <w:rsid w:val="00440410"/>
    <w:rsid w:val="004404BA"/>
    <w:rsid w:val="00441109"/>
    <w:rsid w:val="004412D7"/>
    <w:rsid w:val="00441C08"/>
    <w:rsid w:val="00441E10"/>
    <w:rsid w:val="00442813"/>
    <w:rsid w:val="004458AA"/>
    <w:rsid w:val="004459D9"/>
    <w:rsid w:val="00445E5E"/>
    <w:rsid w:val="00446216"/>
    <w:rsid w:val="004468F9"/>
    <w:rsid w:val="00447579"/>
    <w:rsid w:val="004477E6"/>
    <w:rsid w:val="00450579"/>
    <w:rsid w:val="00451BA4"/>
    <w:rsid w:val="00452342"/>
    <w:rsid w:val="0045290E"/>
    <w:rsid w:val="00452AEE"/>
    <w:rsid w:val="004551EA"/>
    <w:rsid w:val="00455841"/>
    <w:rsid w:val="004561E0"/>
    <w:rsid w:val="004570DA"/>
    <w:rsid w:val="0046048D"/>
    <w:rsid w:val="0046063D"/>
    <w:rsid w:val="00460BC8"/>
    <w:rsid w:val="00460D32"/>
    <w:rsid w:val="0046191F"/>
    <w:rsid w:val="00461FDF"/>
    <w:rsid w:val="00464426"/>
    <w:rsid w:val="004648DB"/>
    <w:rsid w:val="00464BD7"/>
    <w:rsid w:val="00464CCC"/>
    <w:rsid w:val="00464FDF"/>
    <w:rsid w:val="00465B15"/>
    <w:rsid w:val="00465CFB"/>
    <w:rsid w:val="004672DE"/>
    <w:rsid w:val="004710D2"/>
    <w:rsid w:val="004714C2"/>
    <w:rsid w:val="00471C76"/>
    <w:rsid w:val="00472797"/>
    <w:rsid w:val="004732E4"/>
    <w:rsid w:val="004733FA"/>
    <w:rsid w:val="004734D5"/>
    <w:rsid w:val="0047357A"/>
    <w:rsid w:val="0047395D"/>
    <w:rsid w:val="00475130"/>
    <w:rsid w:val="00475150"/>
    <w:rsid w:val="00475D97"/>
    <w:rsid w:val="00476FC4"/>
    <w:rsid w:val="004770BB"/>
    <w:rsid w:val="004773B0"/>
    <w:rsid w:val="00477DDC"/>
    <w:rsid w:val="00477E37"/>
    <w:rsid w:val="004801CC"/>
    <w:rsid w:val="0048050D"/>
    <w:rsid w:val="004814A2"/>
    <w:rsid w:val="00482291"/>
    <w:rsid w:val="0048276E"/>
    <w:rsid w:val="00482874"/>
    <w:rsid w:val="0048331B"/>
    <w:rsid w:val="00483F14"/>
    <w:rsid w:val="0048414D"/>
    <w:rsid w:val="004842E5"/>
    <w:rsid w:val="00484771"/>
    <w:rsid w:val="004848B5"/>
    <w:rsid w:val="00484B16"/>
    <w:rsid w:val="00484E75"/>
    <w:rsid w:val="00484F13"/>
    <w:rsid w:val="0048595F"/>
    <w:rsid w:val="00486061"/>
    <w:rsid w:val="00486928"/>
    <w:rsid w:val="00486F1B"/>
    <w:rsid w:val="00486F76"/>
    <w:rsid w:val="0048713C"/>
    <w:rsid w:val="00487CA2"/>
    <w:rsid w:val="004904CB"/>
    <w:rsid w:val="004912B6"/>
    <w:rsid w:val="004913B2"/>
    <w:rsid w:val="00491643"/>
    <w:rsid w:val="004924ED"/>
    <w:rsid w:val="00492B36"/>
    <w:rsid w:val="00492DD2"/>
    <w:rsid w:val="00494C31"/>
    <w:rsid w:val="004951F5"/>
    <w:rsid w:val="004954A4"/>
    <w:rsid w:val="00495A36"/>
    <w:rsid w:val="00496587"/>
    <w:rsid w:val="00497890"/>
    <w:rsid w:val="004A298D"/>
    <w:rsid w:val="004A2FCF"/>
    <w:rsid w:val="004A3BFD"/>
    <w:rsid w:val="004A4155"/>
    <w:rsid w:val="004A46B9"/>
    <w:rsid w:val="004A5538"/>
    <w:rsid w:val="004A5F16"/>
    <w:rsid w:val="004A653A"/>
    <w:rsid w:val="004A696A"/>
    <w:rsid w:val="004A69CB"/>
    <w:rsid w:val="004A72F6"/>
    <w:rsid w:val="004A7DBE"/>
    <w:rsid w:val="004B0F3E"/>
    <w:rsid w:val="004B1463"/>
    <w:rsid w:val="004B2254"/>
    <w:rsid w:val="004B24A3"/>
    <w:rsid w:val="004B292C"/>
    <w:rsid w:val="004B2DCE"/>
    <w:rsid w:val="004B3755"/>
    <w:rsid w:val="004B486A"/>
    <w:rsid w:val="004B67F9"/>
    <w:rsid w:val="004B750E"/>
    <w:rsid w:val="004B76D0"/>
    <w:rsid w:val="004C104A"/>
    <w:rsid w:val="004C163B"/>
    <w:rsid w:val="004C1D2F"/>
    <w:rsid w:val="004C1EA0"/>
    <w:rsid w:val="004C25F8"/>
    <w:rsid w:val="004C2FAA"/>
    <w:rsid w:val="004C425A"/>
    <w:rsid w:val="004C4844"/>
    <w:rsid w:val="004C488E"/>
    <w:rsid w:val="004C49A9"/>
    <w:rsid w:val="004C560E"/>
    <w:rsid w:val="004C60FB"/>
    <w:rsid w:val="004C6100"/>
    <w:rsid w:val="004C6841"/>
    <w:rsid w:val="004C6D54"/>
    <w:rsid w:val="004C7473"/>
    <w:rsid w:val="004C758C"/>
    <w:rsid w:val="004C779F"/>
    <w:rsid w:val="004C7B7C"/>
    <w:rsid w:val="004D0581"/>
    <w:rsid w:val="004D3C5A"/>
    <w:rsid w:val="004D4042"/>
    <w:rsid w:val="004D4173"/>
    <w:rsid w:val="004D60BA"/>
    <w:rsid w:val="004D6DE1"/>
    <w:rsid w:val="004D751D"/>
    <w:rsid w:val="004D768D"/>
    <w:rsid w:val="004D77A9"/>
    <w:rsid w:val="004D7A44"/>
    <w:rsid w:val="004D7AB8"/>
    <w:rsid w:val="004E087A"/>
    <w:rsid w:val="004E09FF"/>
    <w:rsid w:val="004E0D74"/>
    <w:rsid w:val="004E0E96"/>
    <w:rsid w:val="004E114D"/>
    <w:rsid w:val="004E1BBD"/>
    <w:rsid w:val="004E1C7B"/>
    <w:rsid w:val="004E3C2A"/>
    <w:rsid w:val="004E432E"/>
    <w:rsid w:val="004E43E4"/>
    <w:rsid w:val="004E4B32"/>
    <w:rsid w:val="004E516E"/>
    <w:rsid w:val="004E67EE"/>
    <w:rsid w:val="004E6FE6"/>
    <w:rsid w:val="004F0249"/>
    <w:rsid w:val="004F063B"/>
    <w:rsid w:val="004F106A"/>
    <w:rsid w:val="004F19A2"/>
    <w:rsid w:val="004F2BE8"/>
    <w:rsid w:val="004F3833"/>
    <w:rsid w:val="004F4CA1"/>
    <w:rsid w:val="004F540C"/>
    <w:rsid w:val="004F6E5F"/>
    <w:rsid w:val="004F7068"/>
    <w:rsid w:val="004F7F95"/>
    <w:rsid w:val="0050193E"/>
    <w:rsid w:val="00501B68"/>
    <w:rsid w:val="00502579"/>
    <w:rsid w:val="005027EF"/>
    <w:rsid w:val="00502A14"/>
    <w:rsid w:val="00502CE2"/>
    <w:rsid w:val="0050474A"/>
    <w:rsid w:val="0050475C"/>
    <w:rsid w:val="00504B57"/>
    <w:rsid w:val="00505EB0"/>
    <w:rsid w:val="005066CE"/>
    <w:rsid w:val="0050688D"/>
    <w:rsid w:val="00506CCD"/>
    <w:rsid w:val="00507156"/>
    <w:rsid w:val="005076A2"/>
    <w:rsid w:val="00507931"/>
    <w:rsid w:val="005103F9"/>
    <w:rsid w:val="00510DEF"/>
    <w:rsid w:val="00513EC1"/>
    <w:rsid w:val="00514452"/>
    <w:rsid w:val="00514655"/>
    <w:rsid w:val="00514B14"/>
    <w:rsid w:val="00515C21"/>
    <w:rsid w:val="00515E4E"/>
    <w:rsid w:val="00516CC5"/>
    <w:rsid w:val="00517092"/>
    <w:rsid w:val="00517C40"/>
    <w:rsid w:val="00520BB3"/>
    <w:rsid w:val="005210D9"/>
    <w:rsid w:val="005211C0"/>
    <w:rsid w:val="005228DD"/>
    <w:rsid w:val="0052307C"/>
    <w:rsid w:val="0052462C"/>
    <w:rsid w:val="00525155"/>
    <w:rsid w:val="00526923"/>
    <w:rsid w:val="00526A76"/>
    <w:rsid w:val="00526C4D"/>
    <w:rsid w:val="00526E44"/>
    <w:rsid w:val="00526F9A"/>
    <w:rsid w:val="0052777B"/>
    <w:rsid w:val="00527934"/>
    <w:rsid w:val="00530868"/>
    <w:rsid w:val="00530931"/>
    <w:rsid w:val="00530D60"/>
    <w:rsid w:val="005324D5"/>
    <w:rsid w:val="00533DEC"/>
    <w:rsid w:val="005346C5"/>
    <w:rsid w:val="00534C90"/>
    <w:rsid w:val="00534DF4"/>
    <w:rsid w:val="00535005"/>
    <w:rsid w:val="005361E8"/>
    <w:rsid w:val="005362CF"/>
    <w:rsid w:val="00536302"/>
    <w:rsid w:val="005365FD"/>
    <w:rsid w:val="00536792"/>
    <w:rsid w:val="00537748"/>
    <w:rsid w:val="00537B6A"/>
    <w:rsid w:val="00537E3B"/>
    <w:rsid w:val="00540C68"/>
    <w:rsid w:val="00541BF7"/>
    <w:rsid w:val="00542AE5"/>
    <w:rsid w:val="0054479B"/>
    <w:rsid w:val="0054490C"/>
    <w:rsid w:val="00545023"/>
    <w:rsid w:val="005452D5"/>
    <w:rsid w:val="00547038"/>
    <w:rsid w:val="0055085C"/>
    <w:rsid w:val="00552606"/>
    <w:rsid w:val="00553119"/>
    <w:rsid w:val="00553E37"/>
    <w:rsid w:val="00554481"/>
    <w:rsid w:val="005553F2"/>
    <w:rsid w:val="00555503"/>
    <w:rsid w:val="00555B20"/>
    <w:rsid w:val="0055782C"/>
    <w:rsid w:val="005579E6"/>
    <w:rsid w:val="005612A4"/>
    <w:rsid w:val="005621AF"/>
    <w:rsid w:val="00562400"/>
    <w:rsid w:val="00562C9D"/>
    <w:rsid w:val="005630CC"/>
    <w:rsid w:val="00563732"/>
    <w:rsid w:val="00563786"/>
    <w:rsid w:val="00564396"/>
    <w:rsid w:val="005649C6"/>
    <w:rsid w:val="00564B69"/>
    <w:rsid w:val="00564D82"/>
    <w:rsid w:val="00565C85"/>
    <w:rsid w:val="00565D83"/>
    <w:rsid w:val="00565E2F"/>
    <w:rsid w:val="00566B59"/>
    <w:rsid w:val="005674F9"/>
    <w:rsid w:val="005679D0"/>
    <w:rsid w:val="00567FB4"/>
    <w:rsid w:val="005702B4"/>
    <w:rsid w:val="0057037B"/>
    <w:rsid w:val="0057082A"/>
    <w:rsid w:val="005722F2"/>
    <w:rsid w:val="00573E4B"/>
    <w:rsid w:val="00575152"/>
    <w:rsid w:val="00575C00"/>
    <w:rsid w:val="00575E86"/>
    <w:rsid w:val="00577028"/>
    <w:rsid w:val="00577C34"/>
    <w:rsid w:val="0058051F"/>
    <w:rsid w:val="0058107F"/>
    <w:rsid w:val="005817B2"/>
    <w:rsid w:val="00581973"/>
    <w:rsid w:val="00582063"/>
    <w:rsid w:val="00582D22"/>
    <w:rsid w:val="00583719"/>
    <w:rsid w:val="00584050"/>
    <w:rsid w:val="0058573C"/>
    <w:rsid w:val="0058649C"/>
    <w:rsid w:val="005865CF"/>
    <w:rsid w:val="005878C9"/>
    <w:rsid w:val="005907CC"/>
    <w:rsid w:val="00590C41"/>
    <w:rsid w:val="005910F6"/>
    <w:rsid w:val="00591E35"/>
    <w:rsid w:val="00593D98"/>
    <w:rsid w:val="0059463D"/>
    <w:rsid w:val="005946FC"/>
    <w:rsid w:val="00594FC2"/>
    <w:rsid w:val="00595449"/>
    <w:rsid w:val="005955E9"/>
    <w:rsid w:val="00595765"/>
    <w:rsid w:val="00596D60"/>
    <w:rsid w:val="005A0F9C"/>
    <w:rsid w:val="005A16A8"/>
    <w:rsid w:val="005A1866"/>
    <w:rsid w:val="005A2292"/>
    <w:rsid w:val="005A22C4"/>
    <w:rsid w:val="005A3490"/>
    <w:rsid w:val="005A35AA"/>
    <w:rsid w:val="005A4881"/>
    <w:rsid w:val="005A60D0"/>
    <w:rsid w:val="005A63DC"/>
    <w:rsid w:val="005A64DC"/>
    <w:rsid w:val="005A6617"/>
    <w:rsid w:val="005A6865"/>
    <w:rsid w:val="005A6C4F"/>
    <w:rsid w:val="005A6CD6"/>
    <w:rsid w:val="005A704C"/>
    <w:rsid w:val="005B09B9"/>
    <w:rsid w:val="005B23C7"/>
    <w:rsid w:val="005B24EF"/>
    <w:rsid w:val="005B289F"/>
    <w:rsid w:val="005B34F2"/>
    <w:rsid w:val="005B41AC"/>
    <w:rsid w:val="005B59E6"/>
    <w:rsid w:val="005B5C93"/>
    <w:rsid w:val="005B5EED"/>
    <w:rsid w:val="005B62AA"/>
    <w:rsid w:val="005B648F"/>
    <w:rsid w:val="005B6D18"/>
    <w:rsid w:val="005B71D1"/>
    <w:rsid w:val="005C13E0"/>
    <w:rsid w:val="005C17C3"/>
    <w:rsid w:val="005C181C"/>
    <w:rsid w:val="005C1DB0"/>
    <w:rsid w:val="005C206E"/>
    <w:rsid w:val="005C2F1B"/>
    <w:rsid w:val="005C30F7"/>
    <w:rsid w:val="005C3C25"/>
    <w:rsid w:val="005C4956"/>
    <w:rsid w:val="005C50ED"/>
    <w:rsid w:val="005C5336"/>
    <w:rsid w:val="005C6669"/>
    <w:rsid w:val="005C704A"/>
    <w:rsid w:val="005C7836"/>
    <w:rsid w:val="005C7CCB"/>
    <w:rsid w:val="005D1046"/>
    <w:rsid w:val="005D1B4B"/>
    <w:rsid w:val="005D1C63"/>
    <w:rsid w:val="005D2E32"/>
    <w:rsid w:val="005D33D1"/>
    <w:rsid w:val="005D390D"/>
    <w:rsid w:val="005D3D85"/>
    <w:rsid w:val="005D4726"/>
    <w:rsid w:val="005D49BF"/>
    <w:rsid w:val="005D5E14"/>
    <w:rsid w:val="005D6840"/>
    <w:rsid w:val="005E0089"/>
    <w:rsid w:val="005E0146"/>
    <w:rsid w:val="005E0584"/>
    <w:rsid w:val="005E0F82"/>
    <w:rsid w:val="005E2CE4"/>
    <w:rsid w:val="005E3C55"/>
    <w:rsid w:val="005E41A8"/>
    <w:rsid w:val="005E41DF"/>
    <w:rsid w:val="005E43D8"/>
    <w:rsid w:val="005E4724"/>
    <w:rsid w:val="005E4FBA"/>
    <w:rsid w:val="005E6066"/>
    <w:rsid w:val="005E6B8A"/>
    <w:rsid w:val="005E713A"/>
    <w:rsid w:val="005E71E5"/>
    <w:rsid w:val="005E7D71"/>
    <w:rsid w:val="005F17AB"/>
    <w:rsid w:val="005F1860"/>
    <w:rsid w:val="005F193D"/>
    <w:rsid w:val="005F1A44"/>
    <w:rsid w:val="005F1B36"/>
    <w:rsid w:val="005F2056"/>
    <w:rsid w:val="005F26AE"/>
    <w:rsid w:val="005F5676"/>
    <w:rsid w:val="005F5B23"/>
    <w:rsid w:val="005F768E"/>
    <w:rsid w:val="00602682"/>
    <w:rsid w:val="00602A4E"/>
    <w:rsid w:val="006031B1"/>
    <w:rsid w:val="00603E49"/>
    <w:rsid w:val="00604B33"/>
    <w:rsid w:val="00605A02"/>
    <w:rsid w:val="00605C62"/>
    <w:rsid w:val="00605F8A"/>
    <w:rsid w:val="0060629C"/>
    <w:rsid w:val="006077DE"/>
    <w:rsid w:val="00607AA7"/>
    <w:rsid w:val="006118EB"/>
    <w:rsid w:val="00612496"/>
    <w:rsid w:val="006129D1"/>
    <w:rsid w:val="0061303F"/>
    <w:rsid w:val="0061353E"/>
    <w:rsid w:val="00614075"/>
    <w:rsid w:val="00614BA0"/>
    <w:rsid w:val="00614C87"/>
    <w:rsid w:val="00615DC7"/>
    <w:rsid w:val="00620A92"/>
    <w:rsid w:val="00620AF2"/>
    <w:rsid w:val="00620CA4"/>
    <w:rsid w:val="006214CE"/>
    <w:rsid w:val="0062164F"/>
    <w:rsid w:val="00623239"/>
    <w:rsid w:val="006238B0"/>
    <w:rsid w:val="00623CE7"/>
    <w:rsid w:val="00623D9D"/>
    <w:rsid w:val="00624036"/>
    <w:rsid w:val="00624449"/>
    <w:rsid w:val="006246A7"/>
    <w:rsid w:val="00624AF1"/>
    <w:rsid w:val="00626328"/>
    <w:rsid w:val="0062636A"/>
    <w:rsid w:val="00626579"/>
    <w:rsid w:val="0062663C"/>
    <w:rsid w:val="0062724B"/>
    <w:rsid w:val="00627F47"/>
    <w:rsid w:val="006303B8"/>
    <w:rsid w:val="00630B0A"/>
    <w:rsid w:val="00630B74"/>
    <w:rsid w:val="0063185F"/>
    <w:rsid w:val="00634226"/>
    <w:rsid w:val="006346B4"/>
    <w:rsid w:val="00634A87"/>
    <w:rsid w:val="00635757"/>
    <w:rsid w:val="0063586E"/>
    <w:rsid w:val="00635C85"/>
    <w:rsid w:val="00636184"/>
    <w:rsid w:val="0063785D"/>
    <w:rsid w:val="00637ED6"/>
    <w:rsid w:val="0064046E"/>
    <w:rsid w:val="006410D8"/>
    <w:rsid w:val="006411F2"/>
    <w:rsid w:val="0064183D"/>
    <w:rsid w:val="00641C5E"/>
    <w:rsid w:val="006438A5"/>
    <w:rsid w:val="0064448A"/>
    <w:rsid w:val="00645C92"/>
    <w:rsid w:val="00646E21"/>
    <w:rsid w:val="006478B7"/>
    <w:rsid w:val="00647FB1"/>
    <w:rsid w:val="006501B7"/>
    <w:rsid w:val="006503EC"/>
    <w:rsid w:val="006509A0"/>
    <w:rsid w:val="0065100A"/>
    <w:rsid w:val="00651272"/>
    <w:rsid w:val="00651321"/>
    <w:rsid w:val="0065174B"/>
    <w:rsid w:val="00653324"/>
    <w:rsid w:val="00653F8A"/>
    <w:rsid w:val="00654220"/>
    <w:rsid w:val="006557DD"/>
    <w:rsid w:val="00655FB5"/>
    <w:rsid w:val="00656694"/>
    <w:rsid w:val="006567ED"/>
    <w:rsid w:val="0065774B"/>
    <w:rsid w:val="006577D6"/>
    <w:rsid w:val="00657F16"/>
    <w:rsid w:val="00657FBC"/>
    <w:rsid w:val="006607FB"/>
    <w:rsid w:val="00660E7C"/>
    <w:rsid w:val="006631E2"/>
    <w:rsid w:val="0066356C"/>
    <w:rsid w:val="006638D0"/>
    <w:rsid w:val="006643E2"/>
    <w:rsid w:val="00664ABD"/>
    <w:rsid w:val="00664EDC"/>
    <w:rsid w:val="00664FF3"/>
    <w:rsid w:val="0066647A"/>
    <w:rsid w:val="006666CF"/>
    <w:rsid w:val="00667F5F"/>
    <w:rsid w:val="006700D1"/>
    <w:rsid w:val="00671005"/>
    <w:rsid w:val="00671A38"/>
    <w:rsid w:val="00671B49"/>
    <w:rsid w:val="006729B1"/>
    <w:rsid w:val="00672AE4"/>
    <w:rsid w:val="00673861"/>
    <w:rsid w:val="0067470F"/>
    <w:rsid w:val="00675EDF"/>
    <w:rsid w:val="00676222"/>
    <w:rsid w:val="006764ED"/>
    <w:rsid w:val="00676F71"/>
    <w:rsid w:val="00676F96"/>
    <w:rsid w:val="00677827"/>
    <w:rsid w:val="0067787C"/>
    <w:rsid w:val="00680CEA"/>
    <w:rsid w:val="00681120"/>
    <w:rsid w:val="006816B1"/>
    <w:rsid w:val="006826B0"/>
    <w:rsid w:val="00682728"/>
    <w:rsid w:val="006829DF"/>
    <w:rsid w:val="00685177"/>
    <w:rsid w:val="00685545"/>
    <w:rsid w:val="006857BA"/>
    <w:rsid w:val="00687453"/>
    <w:rsid w:val="00691576"/>
    <w:rsid w:val="006936EE"/>
    <w:rsid w:val="0069403C"/>
    <w:rsid w:val="006940B6"/>
    <w:rsid w:val="00694252"/>
    <w:rsid w:val="0069461B"/>
    <w:rsid w:val="006948E1"/>
    <w:rsid w:val="006951A2"/>
    <w:rsid w:val="00695481"/>
    <w:rsid w:val="00695E8A"/>
    <w:rsid w:val="00696701"/>
    <w:rsid w:val="00696A6B"/>
    <w:rsid w:val="00696DC0"/>
    <w:rsid w:val="00696FCB"/>
    <w:rsid w:val="006971E9"/>
    <w:rsid w:val="00697C58"/>
    <w:rsid w:val="006A136A"/>
    <w:rsid w:val="006A1A48"/>
    <w:rsid w:val="006A2271"/>
    <w:rsid w:val="006A2926"/>
    <w:rsid w:val="006A2BE5"/>
    <w:rsid w:val="006A3BC8"/>
    <w:rsid w:val="006A4919"/>
    <w:rsid w:val="006A60BA"/>
    <w:rsid w:val="006A6B9B"/>
    <w:rsid w:val="006A6BE1"/>
    <w:rsid w:val="006A7CD6"/>
    <w:rsid w:val="006B0079"/>
    <w:rsid w:val="006B028D"/>
    <w:rsid w:val="006B0CFA"/>
    <w:rsid w:val="006B11BD"/>
    <w:rsid w:val="006B13D0"/>
    <w:rsid w:val="006B1F4B"/>
    <w:rsid w:val="006B25DF"/>
    <w:rsid w:val="006B2622"/>
    <w:rsid w:val="006B4907"/>
    <w:rsid w:val="006B4992"/>
    <w:rsid w:val="006B6321"/>
    <w:rsid w:val="006B6A38"/>
    <w:rsid w:val="006B7645"/>
    <w:rsid w:val="006B7A43"/>
    <w:rsid w:val="006C088E"/>
    <w:rsid w:val="006C0CE6"/>
    <w:rsid w:val="006C17D7"/>
    <w:rsid w:val="006C1E24"/>
    <w:rsid w:val="006C2DE8"/>
    <w:rsid w:val="006C342B"/>
    <w:rsid w:val="006C4082"/>
    <w:rsid w:val="006C470C"/>
    <w:rsid w:val="006C5E8B"/>
    <w:rsid w:val="006D0497"/>
    <w:rsid w:val="006D11EB"/>
    <w:rsid w:val="006D1C04"/>
    <w:rsid w:val="006D290F"/>
    <w:rsid w:val="006D298D"/>
    <w:rsid w:val="006D3CEF"/>
    <w:rsid w:val="006D4B28"/>
    <w:rsid w:val="006D5851"/>
    <w:rsid w:val="006D5B24"/>
    <w:rsid w:val="006D69B5"/>
    <w:rsid w:val="006D74A1"/>
    <w:rsid w:val="006D761D"/>
    <w:rsid w:val="006D7FDA"/>
    <w:rsid w:val="006E045D"/>
    <w:rsid w:val="006E08ED"/>
    <w:rsid w:val="006E0E83"/>
    <w:rsid w:val="006E13A9"/>
    <w:rsid w:val="006E1660"/>
    <w:rsid w:val="006E1C88"/>
    <w:rsid w:val="006E21C8"/>
    <w:rsid w:val="006E2327"/>
    <w:rsid w:val="006E2C4B"/>
    <w:rsid w:val="006E2D28"/>
    <w:rsid w:val="006E3D7E"/>
    <w:rsid w:val="006E532D"/>
    <w:rsid w:val="006E6130"/>
    <w:rsid w:val="006E6C45"/>
    <w:rsid w:val="006F134D"/>
    <w:rsid w:val="006F17DA"/>
    <w:rsid w:val="006F472F"/>
    <w:rsid w:val="006F520F"/>
    <w:rsid w:val="006F5371"/>
    <w:rsid w:val="006F58E3"/>
    <w:rsid w:val="006F696D"/>
    <w:rsid w:val="006F7FB6"/>
    <w:rsid w:val="00702BFA"/>
    <w:rsid w:val="00703D62"/>
    <w:rsid w:val="00704AEE"/>
    <w:rsid w:val="0070645D"/>
    <w:rsid w:val="0070684B"/>
    <w:rsid w:val="00706EC8"/>
    <w:rsid w:val="00707160"/>
    <w:rsid w:val="00707264"/>
    <w:rsid w:val="007103A8"/>
    <w:rsid w:val="00710982"/>
    <w:rsid w:val="00710A7C"/>
    <w:rsid w:val="00710F79"/>
    <w:rsid w:val="00711BD9"/>
    <w:rsid w:val="00711EDF"/>
    <w:rsid w:val="00711F99"/>
    <w:rsid w:val="007137A8"/>
    <w:rsid w:val="007144F9"/>
    <w:rsid w:val="00714723"/>
    <w:rsid w:val="007149E9"/>
    <w:rsid w:val="00715F13"/>
    <w:rsid w:val="0071614C"/>
    <w:rsid w:val="0071691F"/>
    <w:rsid w:val="00717437"/>
    <w:rsid w:val="00717E12"/>
    <w:rsid w:val="00720E24"/>
    <w:rsid w:val="007214A7"/>
    <w:rsid w:val="00723DD8"/>
    <w:rsid w:val="00724FBF"/>
    <w:rsid w:val="0072608B"/>
    <w:rsid w:val="007264AB"/>
    <w:rsid w:val="00726612"/>
    <w:rsid w:val="00727824"/>
    <w:rsid w:val="00727A60"/>
    <w:rsid w:val="0073049F"/>
    <w:rsid w:val="007315DF"/>
    <w:rsid w:val="00733D6E"/>
    <w:rsid w:val="007345E6"/>
    <w:rsid w:val="00734A39"/>
    <w:rsid w:val="00734B5A"/>
    <w:rsid w:val="00734E06"/>
    <w:rsid w:val="0073592A"/>
    <w:rsid w:val="007360A4"/>
    <w:rsid w:val="00736C1D"/>
    <w:rsid w:val="00736E9A"/>
    <w:rsid w:val="00737090"/>
    <w:rsid w:val="00741827"/>
    <w:rsid w:val="00741947"/>
    <w:rsid w:val="00743068"/>
    <w:rsid w:val="007434FB"/>
    <w:rsid w:val="0074374A"/>
    <w:rsid w:val="0074433B"/>
    <w:rsid w:val="007445CD"/>
    <w:rsid w:val="00744A61"/>
    <w:rsid w:val="00744E82"/>
    <w:rsid w:val="007451FA"/>
    <w:rsid w:val="00746CA8"/>
    <w:rsid w:val="00747484"/>
    <w:rsid w:val="00747BA7"/>
    <w:rsid w:val="00747EBF"/>
    <w:rsid w:val="00751440"/>
    <w:rsid w:val="0075223A"/>
    <w:rsid w:val="0075226F"/>
    <w:rsid w:val="00753B55"/>
    <w:rsid w:val="007549F9"/>
    <w:rsid w:val="00755C88"/>
    <w:rsid w:val="00755DB5"/>
    <w:rsid w:val="00756DBB"/>
    <w:rsid w:val="00756F5B"/>
    <w:rsid w:val="007576FF"/>
    <w:rsid w:val="00757758"/>
    <w:rsid w:val="00757B70"/>
    <w:rsid w:val="00757CF4"/>
    <w:rsid w:val="00760563"/>
    <w:rsid w:val="007616EF"/>
    <w:rsid w:val="00761F97"/>
    <w:rsid w:val="00761FEC"/>
    <w:rsid w:val="00762075"/>
    <w:rsid w:val="00763683"/>
    <w:rsid w:val="00764EDF"/>
    <w:rsid w:val="00765DF5"/>
    <w:rsid w:val="00765E6D"/>
    <w:rsid w:val="007671BF"/>
    <w:rsid w:val="0076743D"/>
    <w:rsid w:val="007676F0"/>
    <w:rsid w:val="00770C8C"/>
    <w:rsid w:val="00771ABA"/>
    <w:rsid w:val="00771B7E"/>
    <w:rsid w:val="0077374C"/>
    <w:rsid w:val="00773859"/>
    <w:rsid w:val="0077460D"/>
    <w:rsid w:val="00775381"/>
    <w:rsid w:val="00775B67"/>
    <w:rsid w:val="00776824"/>
    <w:rsid w:val="00776C17"/>
    <w:rsid w:val="007776A8"/>
    <w:rsid w:val="00777A91"/>
    <w:rsid w:val="00780B3F"/>
    <w:rsid w:val="00781C06"/>
    <w:rsid w:val="007822F2"/>
    <w:rsid w:val="00782D07"/>
    <w:rsid w:val="00782DA6"/>
    <w:rsid w:val="00785074"/>
    <w:rsid w:val="007858DB"/>
    <w:rsid w:val="0078632E"/>
    <w:rsid w:val="007868D8"/>
    <w:rsid w:val="00786F53"/>
    <w:rsid w:val="0079021C"/>
    <w:rsid w:val="00790DDB"/>
    <w:rsid w:val="007910C3"/>
    <w:rsid w:val="00791842"/>
    <w:rsid w:val="00792DFE"/>
    <w:rsid w:val="007933BE"/>
    <w:rsid w:val="00794550"/>
    <w:rsid w:val="0079585E"/>
    <w:rsid w:val="00795A60"/>
    <w:rsid w:val="00796151"/>
    <w:rsid w:val="007979CF"/>
    <w:rsid w:val="007A0FF8"/>
    <w:rsid w:val="007A1C3D"/>
    <w:rsid w:val="007A28D7"/>
    <w:rsid w:val="007A3129"/>
    <w:rsid w:val="007A3864"/>
    <w:rsid w:val="007A3AC7"/>
    <w:rsid w:val="007A3C04"/>
    <w:rsid w:val="007A4AFD"/>
    <w:rsid w:val="007A5340"/>
    <w:rsid w:val="007A5517"/>
    <w:rsid w:val="007A5A1D"/>
    <w:rsid w:val="007A5CAD"/>
    <w:rsid w:val="007A6072"/>
    <w:rsid w:val="007A6D73"/>
    <w:rsid w:val="007A7BB9"/>
    <w:rsid w:val="007B04C3"/>
    <w:rsid w:val="007B1951"/>
    <w:rsid w:val="007B1C0C"/>
    <w:rsid w:val="007B21DD"/>
    <w:rsid w:val="007B284D"/>
    <w:rsid w:val="007B2930"/>
    <w:rsid w:val="007B3545"/>
    <w:rsid w:val="007B38D4"/>
    <w:rsid w:val="007B41B3"/>
    <w:rsid w:val="007B4C0C"/>
    <w:rsid w:val="007B5C63"/>
    <w:rsid w:val="007B653F"/>
    <w:rsid w:val="007B7231"/>
    <w:rsid w:val="007B781D"/>
    <w:rsid w:val="007B7C72"/>
    <w:rsid w:val="007B7E43"/>
    <w:rsid w:val="007C0917"/>
    <w:rsid w:val="007C099B"/>
    <w:rsid w:val="007C10B6"/>
    <w:rsid w:val="007C3279"/>
    <w:rsid w:val="007C37AF"/>
    <w:rsid w:val="007C4368"/>
    <w:rsid w:val="007C43BC"/>
    <w:rsid w:val="007C4720"/>
    <w:rsid w:val="007C48FF"/>
    <w:rsid w:val="007C4E13"/>
    <w:rsid w:val="007C507D"/>
    <w:rsid w:val="007C57FF"/>
    <w:rsid w:val="007C59EE"/>
    <w:rsid w:val="007C5F17"/>
    <w:rsid w:val="007C6C44"/>
    <w:rsid w:val="007C6C63"/>
    <w:rsid w:val="007D0991"/>
    <w:rsid w:val="007D2034"/>
    <w:rsid w:val="007D30FF"/>
    <w:rsid w:val="007D419B"/>
    <w:rsid w:val="007D5202"/>
    <w:rsid w:val="007D659F"/>
    <w:rsid w:val="007D70DD"/>
    <w:rsid w:val="007D7E6F"/>
    <w:rsid w:val="007E03D7"/>
    <w:rsid w:val="007E07D7"/>
    <w:rsid w:val="007E15B4"/>
    <w:rsid w:val="007E1B9B"/>
    <w:rsid w:val="007E22F2"/>
    <w:rsid w:val="007E2BF6"/>
    <w:rsid w:val="007E2CA7"/>
    <w:rsid w:val="007E38E3"/>
    <w:rsid w:val="007E44D9"/>
    <w:rsid w:val="007E46F1"/>
    <w:rsid w:val="007E5669"/>
    <w:rsid w:val="007E6C3D"/>
    <w:rsid w:val="007F02F9"/>
    <w:rsid w:val="007F0564"/>
    <w:rsid w:val="007F19C1"/>
    <w:rsid w:val="007F1BEA"/>
    <w:rsid w:val="007F27A0"/>
    <w:rsid w:val="007F3635"/>
    <w:rsid w:val="007F3DA6"/>
    <w:rsid w:val="007F56F6"/>
    <w:rsid w:val="007F5872"/>
    <w:rsid w:val="007F5A16"/>
    <w:rsid w:val="007F5C4C"/>
    <w:rsid w:val="007F6054"/>
    <w:rsid w:val="007F68F8"/>
    <w:rsid w:val="007F7A86"/>
    <w:rsid w:val="007F7E66"/>
    <w:rsid w:val="00800462"/>
    <w:rsid w:val="0080123B"/>
    <w:rsid w:val="008018F7"/>
    <w:rsid w:val="00801A92"/>
    <w:rsid w:val="0080206B"/>
    <w:rsid w:val="00802239"/>
    <w:rsid w:val="00802F40"/>
    <w:rsid w:val="00803F0E"/>
    <w:rsid w:val="00804C76"/>
    <w:rsid w:val="00805C53"/>
    <w:rsid w:val="00806201"/>
    <w:rsid w:val="008068B9"/>
    <w:rsid w:val="00806E02"/>
    <w:rsid w:val="00806E64"/>
    <w:rsid w:val="00810799"/>
    <w:rsid w:val="0081199B"/>
    <w:rsid w:val="00813547"/>
    <w:rsid w:val="0081360E"/>
    <w:rsid w:val="00813A67"/>
    <w:rsid w:val="00813B17"/>
    <w:rsid w:val="00813FE5"/>
    <w:rsid w:val="00814872"/>
    <w:rsid w:val="0081589A"/>
    <w:rsid w:val="008158DF"/>
    <w:rsid w:val="00815AAF"/>
    <w:rsid w:val="00816BC1"/>
    <w:rsid w:val="00816D2D"/>
    <w:rsid w:val="00816DB0"/>
    <w:rsid w:val="00816EC8"/>
    <w:rsid w:val="0081764E"/>
    <w:rsid w:val="008200AB"/>
    <w:rsid w:val="00821859"/>
    <w:rsid w:val="00822E17"/>
    <w:rsid w:val="00822E75"/>
    <w:rsid w:val="008231AC"/>
    <w:rsid w:val="008232A9"/>
    <w:rsid w:val="00823318"/>
    <w:rsid w:val="00824F72"/>
    <w:rsid w:val="0082523E"/>
    <w:rsid w:val="00825398"/>
    <w:rsid w:val="00825687"/>
    <w:rsid w:val="00827F32"/>
    <w:rsid w:val="00830819"/>
    <w:rsid w:val="00830BA7"/>
    <w:rsid w:val="00830E9E"/>
    <w:rsid w:val="00831FB1"/>
    <w:rsid w:val="0083284A"/>
    <w:rsid w:val="00834004"/>
    <w:rsid w:val="008341CA"/>
    <w:rsid w:val="00835585"/>
    <w:rsid w:val="008359FA"/>
    <w:rsid w:val="00836078"/>
    <w:rsid w:val="00836C85"/>
    <w:rsid w:val="0083721C"/>
    <w:rsid w:val="0084085B"/>
    <w:rsid w:val="00840ACC"/>
    <w:rsid w:val="00841AF3"/>
    <w:rsid w:val="00842805"/>
    <w:rsid w:val="008435D3"/>
    <w:rsid w:val="008457D2"/>
    <w:rsid w:val="00845F41"/>
    <w:rsid w:val="00846DFD"/>
    <w:rsid w:val="0084739F"/>
    <w:rsid w:val="00847A88"/>
    <w:rsid w:val="0085035F"/>
    <w:rsid w:val="00850693"/>
    <w:rsid w:val="008507EC"/>
    <w:rsid w:val="008507F2"/>
    <w:rsid w:val="00850A7B"/>
    <w:rsid w:val="0085117A"/>
    <w:rsid w:val="008529ED"/>
    <w:rsid w:val="00852B64"/>
    <w:rsid w:val="00854638"/>
    <w:rsid w:val="00855972"/>
    <w:rsid w:val="008561C3"/>
    <w:rsid w:val="008561D4"/>
    <w:rsid w:val="0085642A"/>
    <w:rsid w:val="0085747A"/>
    <w:rsid w:val="008608F6"/>
    <w:rsid w:val="00860AA5"/>
    <w:rsid w:val="00860F02"/>
    <w:rsid w:val="00861050"/>
    <w:rsid w:val="008613BA"/>
    <w:rsid w:val="00862145"/>
    <w:rsid w:val="00862347"/>
    <w:rsid w:val="00864183"/>
    <w:rsid w:val="00864927"/>
    <w:rsid w:val="00864BE4"/>
    <w:rsid w:val="00865CE3"/>
    <w:rsid w:val="00866A12"/>
    <w:rsid w:val="008678A1"/>
    <w:rsid w:val="008704AC"/>
    <w:rsid w:val="00870D91"/>
    <w:rsid w:val="00871679"/>
    <w:rsid w:val="00872CAF"/>
    <w:rsid w:val="00873180"/>
    <w:rsid w:val="00873F3B"/>
    <w:rsid w:val="0087408F"/>
    <w:rsid w:val="0087418C"/>
    <w:rsid w:val="008746C1"/>
    <w:rsid w:val="00874E23"/>
    <w:rsid w:val="00874E2B"/>
    <w:rsid w:val="0087507A"/>
    <w:rsid w:val="00875384"/>
    <w:rsid w:val="008758DC"/>
    <w:rsid w:val="00875E8D"/>
    <w:rsid w:val="008760D4"/>
    <w:rsid w:val="008777AA"/>
    <w:rsid w:val="008778E6"/>
    <w:rsid w:val="00877E72"/>
    <w:rsid w:val="008807A1"/>
    <w:rsid w:val="00880BA0"/>
    <w:rsid w:val="00882155"/>
    <w:rsid w:val="008821CC"/>
    <w:rsid w:val="00882EB9"/>
    <w:rsid w:val="00884549"/>
    <w:rsid w:val="00884712"/>
    <w:rsid w:val="00884EF1"/>
    <w:rsid w:val="008861AC"/>
    <w:rsid w:val="00886483"/>
    <w:rsid w:val="008864DA"/>
    <w:rsid w:val="00891286"/>
    <w:rsid w:val="0089158B"/>
    <w:rsid w:val="00891D84"/>
    <w:rsid w:val="00892190"/>
    <w:rsid w:val="00892461"/>
    <w:rsid w:val="008924C5"/>
    <w:rsid w:val="00892A57"/>
    <w:rsid w:val="008947BA"/>
    <w:rsid w:val="00894E2A"/>
    <w:rsid w:val="008959BE"/>
    <w:rsid w:val="00896EBE"/>
    <w:rsid w:val="008A02DB"/>
    <w:rsid w:val="008A0504"/>
    <w:rsid w:val="008A05A1"/>
    <w:rsid w:val="008A18BC"/>
    <w:rsid w:val="008A1E95"/>
    <w:rsid w:val="008A2166"/>
    <w:rsid w:val="008A2247"/>
    <w:rsid w:val="008A2AE0"/>
    <w:rsid w:val="008A45B9"/>
    <w:rsid w:val="008A47EF"/>
    <w:rsid w:val="008A4B73"/>
    <w:rsid w:val="008A54A0"/>
    <w:rsid w:val="008A5E80"/>
    <w:rsid w:val="008A65B9"/>
    <w:rsid w:val="008A7685"/>
    <w:rsid w:val="008A7A9B"/>
    <w:rsid w:val="008B01D8"/>
    <w:rsid w:val="008B090F"/>
    <w:rsid w:val="008B0B09"/>
    <w:rsid w:val="008B1AC4"/>
    <w:rsid w:val="008B2C9D"/>
    <w:rsid w:val="008B2E3B"/>
    <w:rsid w:val="008B325A"/>
    <w:rsid w:val="008B58E9"/>
    <w:rsid w:val="008B6F35"/>
    <w:rsid w:val="008B7081"/>
    <w:rsid w:val="008B747D"/>
    <w:rsid w:val="008B77AF"/>
    <w:rsid w:val="008C066E"/>
    <w:rsid w:val="008C081B"/>
    <w:rsid w:val="008C1EFA"/>
    <w:rsid w:val="008C226B"/>
    <w:rsid w:val="008C2587"/>
    <w:rsid w:val="008C435A"/>
    <w:rsid w:val="008C481A"/>
    <w:rsid w:val="008C5C8F"/>
    <w:rsid w:val="008C5C94"/>
    <w:rsid w:val="008C5D4E"/>
    <w:rsid w:val="008C5FB6"/>
    <w:rsid w:val="008C6F53"/>
    <w:rsid w:val="008C7397"/>
    <w:rsid w:val="008D017C"/>
    <w:rsid w:val="008D0B7A"/>
    <w:rsid w:val="008D0FA3"/>
    <w:rsid w:val="008D1193"/>
    <w:rsid w:val="008D1DC0"/>
    <w:rsid w:val="008D2F1E"/>
    <w:rsid w:val="008D30CE"/>
    <w:rsid w:val="008D37A3"/>
    <w:rsid w:val="008D47B2"/>
    <w:rsid w:val="008D4A57"/>
    <w:rsid w:val="008D4BBB"/>
    <w:rsid w:val="008D4FB0"/>
    <w:rsid w:val="008D5C0A"/>
    <w:rsid w:val="008D5D59"/>
    <w:rsid w:val="008D67F1"/>
    <w:rsid w:val="008D6894"/>
    <w:rsid w:val="008D6B03"/>
    <w:rsid w:val="008D70FE"/>
    <w:rsid w:val="008D7193"/>
    <w:rsid w:val="008E0131"/>
    <w:rsid w:val="008E0312"/>
    <w:rsid w:val="008E0633"/>
    <w:rsid w:val="008E0D72"/>
    <w:rsid w:val="008E1207"/>
    <w:rsid w:val="008E1625"/>
    <w:rsid w:val="008E1DA6"/>
    <w:rsid w:val="008E2AEC"/>
    <w:rsid w:val="008E3211"/>
    <w:rsid w:val="008E333D"/>
    <w:rsid w:val="008E3BB6"/>
    <w:rsid w:val="008E4930"/>
    <w:rsid w:val="008E59C5"/>
    <w:rsid w:val="008E6F60"/>
    <w:rsid w:val="008E7400"/>
    <w:rsid w:val="008E75C9"/>
    <w:rsid w:val="008F0C71"/>
    <w:rsid w:val="008F1087"/>
    <w:rsid w:val="008F10A5"/>
    <w:rsid w:val="008F111B"/>
    <w:rsid w:val="008F3ABD"/>
    <w:rsid w:val="008F3FE0"/>
    <w:rsid w:val="008F4769"/>
    <w:rsid w:val="008F5436"/>
    <w:rsid w:val="008F5B69"/>
    <w:rsid w:val="008F6672"/>
    <w:rsid w:val="008F672A"/>
    <w:rsid w:val="008F72A4"/>
    <w:rsid w:val="008F78CD"/>
    <w:rsid w:val="008F7C4E"/>
    <w:rsid w:val="008F7D53"/>
    <w:rsid w:val="00900FC6"/>
    <w:rsid w:val="00901908"/>
    <w:rsid w:val="00901D8B"/>
    <w:rsid w:val="009029CC"/>
    <w:rsid w:val="009037AC"/>
    <w:rsid w:val="00903ACE"/>
    <w:rsid w:val="00904344"/>
    <w:rsid w:val="009044C2"/>
    <w:rsid w:val="00904A13"/>
    <w:rsid w:val="00904D54"/>
    <w:rsid w:val="00905A9C"/>
    <w:rsid w:val="00906366"/>
    <w:rsid w:val="00910D41"/>
    <w:rsid w:val="00911C91"/>
    <w:rsid w:val="0091267D"/>
    <w:rsid w:val="00912C7F"/>
    <w:rsid w:val="0091306C"/>
    <w:rsid w:val="0091363D"/>
    <w:rsid w:val="009149EE"/>
    <w:rsid w:val="00914AFA"/>
    <w:rsid w:val="00914B47"/>
    <w:rsid w:val="009159A3"/>
    <w:rsid w:val="009163A4"/>
    <w:rsid w:val="00916958"/>
    <w:rsid w:val="00920447"/>
    <w:rsid w:val="0092061A"/>
    <w:rsid w:val="00920798"/>
    <w:rsid w:val="00922807"/>
    <w:rsid w:val="009232D1"/>
    <w:rsid w:val="00923B51"/>
    <w:rsid w:val="00923B53"/>
    <w:rsid w:val="0092459C"/>
    <w:rsid w:val="00925AFE"/>
    <w:rsid w:val="00925E78"/>
    <w:rsid w:val="009264E5"/>
    <w:rsid w:val="009269EC"/>
    <w:rsid w:val="0092718F"/>
    <w:rsid w:val="00930F39"/>
    <w:rsid w:val="009312FD"/>
    <w:rsid w:val="009314A4"/>
    <w:rsid w:val="00932C0C"/>
    <w:rsid w:val="0093468F"/>
    <w:rsid w:val="00934C1D"/>
    <w:rsid w:val="00935EF0"/>
    <w:rsid w:val="00936021"/>
    <w:rsid w:val="009361F8"/>
    <w:rsid w:val="00936D8A"/>
    <w:rsid w:val="009371CF"/>
    <w:rsid w:val="00937C87"/>
    <w:rsid w:val="009404C6"/>
    <w:rsid w:val="0094128E"/>
    <w:rsid w:val="009417AE"/>
    <w:rsid w:val="0094207D"/>
    <w:rsid w:val="009428B6"/>
    <w:rsid w:val="00942F1A"/>
    <w:rsid w:val="00943607"/>
    <w:rsid w:val="009442F2"/>
    <w:rsid w:val="00944889"/>
    <w:rsid w:val="00945BF7"/>
    <w:rsid w:val="0094620D"/>
    <w:rsid w:val="00946AAD"/>
    <w:rsid w:val="0095132F"/>
    <w:rsid w:val="00951A8F"/>
    <w:rsid w:val="00951AEE"/>
    <w:rsid w:val="00951E65"/>
    <w:rsid w:val="00952453"/>
    <w:rsid w:val="009532EE"/>
    <w:rsid w:val="00956815"/>
    <w:rsid w:val="00956DF5"/>
    <w:rsid w:val="009579FF"/>
    <w:rsid w:val="00957A5F"/>
    <w:rsid w:val="00957E9D"/>
    <w:rsid w:val="0096070E"/>
    <w:rsid w:val="00960CCC"/>
    <w:rsid w:val="009614D9"/>
    <w:rsid w:val="009616A8"/>
    <w:rsid w:val="00962DA1"/>
    <w:rsid w:val="00963075"/>
    <w:rsid w:val="009638FF"/>
    <w:rsid w:val="00963EEB"/>
    <w:rsid w:val="00965A84"/>
    <w:rsid w:val="009660CB"/>
    <w:rsid w:val="00966D3E"/>
    <w:rsid w:val="009678F1"/>
    <w:rsid w:val="00970596"/>
    <w:rsid w:val="009705ED"/>
    <w:rsid w:val="00970E41"/>
    <w:rsid w:val="009719CE"/>
    <w:rsid w:val="00972015"/>
    <w:rsid w:val="009731A3"/>
    <w:rsid w:val="0097463B"/>
    <w:rsid w:val="00974656"/>
    <w:rsid w:val="009747E0"/>
    <w:rsid w:val="00974E73"/>
    <w:rsid w:val="00975A64"/>
    <w:rsid w:val="00975CFE"/>
    <w:rsid w:val="00975EA8"/>
    <w:rsid w:val="00976072"/>
    <w:rsid w:val="0097691D"/>
    <w:rsid w:val="00977444"/>
    <w:rsid w:val="00977A8B"/>
    <w:rsid w:val="00977D6B"/>
    <w:rsid w:val="00980CB9"/>
    <w:rsid w:val="00980DC0"/>
    <w:rsid w:val="00981085"/>
    <w:rsid w:val="0098111F"/>
    <w:rsid w:val="00981C08"/>
    <w:rsid w:val="00981EB1"/>
    <w:rsid w:val="009828B5"/>
    <w:rsid w:val="00984A84"/>
    <w:rsid w:val="00985205"/>
    <w:rsid w:val="00985C54"/>
    <w:rsid w:val="00985C9E"/>
    <w:rsid w:val="00985DFF"/>
    <w:rsid w:val="0098639D"/>
    <w:rsid w:val="00987B35"/>
    <w:rsid w:val="0099108F"/>
    <w:rsid w:val="0099124E"/>
    <w:rsid w:val="00991B64"/>
    <w:rsid w:val="00991DDF"/>
    <w:rsid w:val="00991F8B"/>
    <w:rsid w:val="009925CE"/>
    <w:rsid w:val="00992C4C"/>
    <w:rsid w:val="00993816"/>
    <w:rsid w:val="00993A0C"/>
    <w:rsid w:val="00996C1F"/>
    <w:rsid w:val="009A03B8"/>
    <w:rsid w:val="009A077D"/>
    <w:rsid w:val="009A0985"/>
    <w:rsid w:val="009A2100"/>
    <w:rsid w:val="009A2B27"/>
    <w:rsid w:val="009A2BAD"/>
    <w:rsid w:val="009A2CBC"/>
    <w:rsid w:val="009A30B2"/>
    <w:rsid w:val="009A30F8"/>
    <w:rsid w:val="009A37C6"/>
    <w:rsid w:val="009A3D7B"/>
    <w:rsid w:val="009A3E11"/>
    <w:rsid w:val="009A3E5F"/>
    <w:rsid w:val="009A4E0A"/>
    <w:rsid w:val="009A5555"/>
    <w:rsid w:val="009A5626"/>
    <w:rsid w:val="009A6589"/>
    <w:rsid w:val="009A7EC8"/>
    <w:rsid w:val="009B1879"/>
    <w:rsid w:val="009B1920"/>
    <w:rsid w:val="009B1F0A"/>
    <w:rsid w:val="009B2B42"/>
    <w:rsid w:val="009B3E5F"/>
    <w:rsid w:val="009B3E67"/>
    <w:rsid w:val="009B60A9"/>
    <w:rsid w:val="009B66D9"/>
    <w:rsid w:val="009B6A8C"/>
    <w:rsid w:val="009B788A"/>
    <w:rsid w:val="009C0535"/>
    <w:rsid w:val="009C13E6"/>
    <w:rsid w:val="009C14B8"/>
    <w:rsid w:val="009C2668"/>
    <w:rsid w:val="009C3D01"/>
    <w:rsid w:val="009C3DAE"/>
    <w:rsid w:val="009C4207"/>
    <w:rsid w:val="009C4836"/>
    <w:rsid w:val="009C5E56"/>
    <w:rsid w:val="009C686F"/>
    <w:rsid w:val="009C6880"/>
    <w:rsid w:val="009C6B64"/>
    <w:rsid w:val="009C6C36"/>
    <w:rsid w:val="009C7D5D"/>
    <w:rsid w:val="009C7DAF"/>
    <w:rsid w:val="009D08DB"/>
    <w:rsid w:val="009D0EC5"/>
    <w:rsid w:val="009D2050"/>
    <w:rsid w:val="009D25AC"/>
    <w:rsid w:val="009D2952"/>
    <w:rsid w:val="009D3523"/>
    <w:rsid w:val="009D3DC3"/>
    <w:rsid w:val="009D429E"/>
    <w:rsid w:val="009D4B9F"/>
    <w:rsid w:val="009D4BB3"/>
    <w:rsid w:val="009D641A"/>
    <w:rsid w:val="009D784F"/>
    <w:rsid w:val="009E0D2A"/>
    <w:rsid w:val="009E12F3"/>
    <w:rsid w:val="009E1441"/>
    <w:rsid w:val="009E191C"/>
    <w:rsid w:val="009E1A7F"/>
    <w:rsid w:val="009E1E4F"/>
    <w:rsid w:val="009E2B32"/>
    <w:rsid w:val="009E2DE9"/>
    <w:rsid w:val="009E30DA"/>
    <w:rsid w:val="009E314F"/>
    <w:rsid w:val="009E3248"/>
    <w:rsid w:val="009E3500"/>
    <w:rsid w:val="009E49DC"/>
    <w:rsid w:val="009E4A11"/>
    <w:rsid w:val="009E4D9E"/>
    <w:rsid w:val="009E4E1C"/>
    <w:rsid w:val="009E5BA5"/>
    <w:rsid w:val="009E7A49"/>
    <w:rsid w:val="009F00C1"/>
    <w:rsid w:val="009F10F8"/>
    <w:rsid w:val="009F11BF"/>
    <w:rsid w:val="009F19CA"/>
    <w:rsid w:val="009F2A2E"/>
    <w:rsid w:val="009F3398"/>
    <w:rsid w:val="009F4247"/>
    <w:rsid w:val="009F47F1"/>
    <w:rsid w:val="009F6245"/>
    <w:rsid w:val="009F624E"/>
    <w:rsid w:val="009F6398"/>
    <w:rsid w:val="009F68CE"/>
    <w:rsid w:val="009F6DA2"/>
    <w:rsid w:val="00A00192"/>
    <w:rsid w:val="00A009D0"/>
    <w:rsid w:val="00A018FF"/>
    <w:rsid w:val="00A01911"/>
    <w:rsid w:val="00A025E5"/>
    <w:rsid w:val="00A02C16"/>
    <w:rsid w:val="00A037F8"/>
    <w:rsid w:val="00A0471A"/>
    <w:rsid w:val="00A070B5"/>
    <w:rsid w:val="00A10256"/>
    <w:rsid w:val="00A11323"/>
    <w:rsid w:val="00A116F7"/>
    <w:rsid w:val="00A1208E"/>
    <w:rsid w:val="00A126A9"/>
    <w:rsid w:val="00A12A21"/>
    <w:rsid w:val="00A12DB7"/>
    <w:rsid w:val="00A12F75"/>
    <w:rsid w:val="00A1359F"/>
    <w:rsid w:val="00A1468F"/>
    <w:rsid w:val="00A151B1"/>
    <w:rsid w:val="00A1533F"/>
    <w:rsid w:val="00A154C4"/>
    <w:rsid w:val="00A156FD"/>
    <w:rsid w:val="00A15F75"/>
    <w:rsid w:val="00A173E5"/>
    <w:rsid w:val="00A17AA0"/>
    <w:rsid w:val="00A17BF9"/>
    <w:rsid w:val="00A2160B"/>
    <w:rsid w:val="00A22E64"/>
    <w:rsid w:val="00A2346E"/>
    <w:rsid w:val="00A23F16"/>
    <w:rsid w:val="00A240E3"/>
    <w:rsid w:val="00A24568"/>
    <w:rsid w:val="00A247DB"/>
    <w:rsid w:val="00A24CDE"/>
    <w:rsid w:val="00A25E01"/>
    <w:rsid w:val="00A2612A"/>
    <w:rsid w:val="00A26D60"/>
    <w:rsid w:val="00A26D9D"/>
    <w:rsid w:val="00A26DAB"/>
    <w:rsid w:val="00A2778C"/>
    <w:rsid w:val="00A312D4"/>
    <w:rsid w:val="00A315D3"/>
    <w:rsid w:val="00A329C2"/>
    <w:rsid w:val="00A33AEF"/>
    <w:rsid w:val="00A33B74"/>
    <w:rsid w:val="00A33FC4"/>
    <w:rsid w:val="00A3421C"/>
    <w:rsid w:val="00A35498"/>
    <w:rsid w:val="00A3554D"/>
    <w:rsid w:val="00A35BD8"/>
    <w:rsid w:val="00A35F8B"/>
    <w:rsid w:val="00A368D0"/>
    <w:rsid w:val="00A37D9E"/>
    <w:rsid w:val="00A37F71"/>
    <w:rsid w:val="00A41381"/>
    <w:rsid w:val="00A422EF"/>
    <w:rsid w:val="00A4237D"/>
    <w:rsid w:val="00A42700"/>
    <w:rsid w:val="00A4305D"/>
    <w:rsid w:val="00A4383C"/>
    <w:rsid w:val="00A44342"/>
    <w:rsid w:val="00A471E7"/>
    <w:rsid w:val="00A47C72"/>
    <w:rsid w:val="00A509A1"/>
    <w:rsid w:val="00A50A97"/>
    <w:rsid w:val="00A5179D"/>
    <w:rsid w:val="00A52970"/>
    <w:rsid w:val="00A52D82"/>
    <w:rsid w:val="00A53475"/>
    <w:rsid w:val="00A537D6"/>
    <w:rsid w:val="00A53EED"/>
    <w:rsid w:val="00A55357"/>
    <w:rsid w:val="00A553D6"/>
    <w:rsid w:val="00A5645D"/>
    <w:rsid w:val="00A5671A"/>
    <w:rsid w:val="00A573B4"/>
    <w:rsid w:val="00A60639"/>
    <w:rsid w:val="00A62B15"/>
    <w:rsid w:val="00A64BFD"/>
    <w:rsid w:val="00A707CF"/>
    <w:rsid w:val="00A70829"/>
    <w:rsid w:val="00A7086A"/>
    <w:rsid w:val="00A70CBE"/>
    <w:rsid w:val="00A7510C"/>
    <w:rsid w:val="00A77070"/>
    <w:rsid w:val="00A77D3D"/>
    <w:rsid w:val="00A80346"/>
    <w:rsid w:val="00A80FF5"/>
    <w:rsid w:val="00A8108F"/>
    <w:rsid w:val="00A8181A"/>
    <w:rsid w:val="00A81FA4"/>
    <w:rsid w:val="00A82157"/>
    <w:rsid w:val="00A834D4"/>
    <w:rsid w:val="00A847A8"/>
    <w:rsid w:val="00A8504B"/>
    <w:rsid w:val="00A85381"/>
    <w:rsid w:val="00A857D1"/>
    <w:rsid w:val="00A85A67"/>
    <w:rsid w:val="00A860EA"/>
    <w:rsid w:val="00A861BF"/>
    <w:rsid w:val="00A862FB"/>
    <w:rsid w:val="00A872EC"/>
    <w:rsid w:val="00A875BC"/>
    <w:rsid w:val="00A9070C"/>
    <w:rsid w:val="00A90B33"/>
    <w:rsid w:val="00A910AD"/>
    <w:rsid w:val="00A91553"/>
    <w:rsid w:val="00A930F9"/>
    <w:rsid w:val="00A93AC8"/>
    <w:rsid w:val="00A944D9"/>
    <w:rsid w:val="00A95744"/>
    <w:rsid w:val="00A96605"/>
    <w:rsid w:val="00A97A21"/>
    <w:rsid w:val="00A97B0D"/>
    <w:rsid w:val="00AA1FF9"/>
    <w:rsid w:val="00AA2227"/>
    <w:rsid w:val="00AA27CD"/>
    <w:rsid w:val="00AA3748"/>
    <w:rsid w:val="00AA458E"/>
    <w:rsid w:val="00AA4A31"/>
    <w:rsid w:val="00AA5CC2"/>
    <w:rsid w:val="00AA66EC"/>
    <w:rsid w:val="00AA6A3F"/>
    <w:rsid w:val="00AA7235"/>
    <w:rsid w:val="00AA7252"/>
    <w:rsid w:val="00AA76B8"/>
    <w:rsid w:val="00AA7706"/>
    <w:rsid w:val="00AB091E"/>
    <w:rsid w:val="00AB1813"/>
    <w:rsid w:val="00AB1850"/>
    <w:rsid w:val="00AB39E0"/>
    <w:rsid w:val="00AB4994"/>
    <w:rsid w:val="00AB5094"/>
    <w:rsid w:val="00AB5212"/>
    <w:rsid w:val="00AB54C8"/>
    <w:rsid w:val="00AB5965"/>
    <w:rsid w:val="00AB5EB9"/>
    <w:rsid w:val="00AB6191"/>
    <w:rsid w:val="00AB67C9"/>
    <w:rsid w:val="00AB7A6E"/>
    <w:rsid w:val="00AB7E3A"/>
    <w:rsid w:val="00AC156D"/>
    <w:rsid w:val="00AC1AE5"/>
    <w:rsid w:val="00AC1D89"/>
    <w:rsid w:val="00AC259F"/>
    <w:rsid w:val="00AC2844"/>
    <w:rsid w:val="00AC2B04"/>
    <w:rsid w:val="00AC3062"/>
    <w:rsid w:val="00AC3CF3"/>
    <w:rsid w:val="00AC4E73"/>
    <w:rsid w:val="00AC763A"/>
    <w:rsid w:val="00AC7F97"/>
    <w:rsid w:val="00AD020F"/>
    <w:rsid w:val="00AD0512"/>
    <w:rsid w:val="00AD0B17"/>
    <w:rsid w:val="00AD0C97"/>
    <w:rsid w:val="00AD0DB8"/>
    <w:rsid w:val="00AD1256"/>
    <w:rsid w:val="00AD181E"/>
    <w:rsid w:val="00AD18EB"/>
    <w:rsid w:val="00AD1A59"/>
    <w:rsid w:val="00AD515C"/>
    <w:rsid w:val="00AD57B7"/>
    <w:rsid w:val="00AD62C3"/>
    <w:rsid w:val="00AE0FFB"/>
    <w:rsid w:val="00AE1A77"/>
    <w:rsid w:val="00AE25BF"/>
    <w:rsid w:val="00AE2B78"/>
    <w:rsid w:val="00AE2DE5"/>
    <w:rsid w:val="00AE3AF1"/>
    <w:rsid w:val="00AE4E25"/>
    <w:rsid w:val="00AE5268"/>
    <w:rsid w:val="00AE533D"/>
    <w:rsid w:val="00AE575C"/>
    <w:rsid w:val="00AE6193"/>
    <w:rsid w:val="00AE61ED"/>
    <w:rsid w:val="00AE621C"/>
    <w:rsid w:val="00AE66AE"/>
    <w:rsid w:val="00AE6855"/>
    <w:rsid w:val="00AE6C65"/>
    <w:rsid w:val="00AE7F71"/>
    <w:rsid w:val="00AF067D"/>
    <w:rsid w:val="00AF2A00"/>
    <w:rsid w:val="00AF2CEE"/>
    <w:rsid w:val="00AF321A"/>
    <w:rsid w:val="00AF33F4"/>
    <w:rsid w:val="00AF380A"/>
    <w:rsid w:val="00AF3AC4"/>
    <w:rsid w:val="00AF45CB"/>
    <w:rsid w:val="00AF4A90"/>
    <w:rsid w:val="00AF4AD3"/>
    <w:rsid w:val="00AF5734"/>
    <w:rsid w:val="00AF593F"/>
    <w:rsid w:val="00AF5981"/>
    <w:rsid w:val="00AF6DA2"/>
    <w:rsid w:val="00AF6ECD"/>
    <w:rsid w:val="00AF728F"/>
    <w:rsid w:val="00B00423"/>
    <w:rsid w:val="00B00D8A"/>
    <w:rsid w:val="00B0223A"/>
    <w:rsid w:val="00B03138"/>
    <w:rsid w:val="00B03E65"/>
    <w:rsid w:val="00B043B7"/>
    <w:rsid w:val="00B048CE"/>
    <w:rsid w:val="00B05288"/>
    <w:rsid w:val="00B05A9E"/>
    <w:rsid w:val="00B05F1B"/>
    <w:rsid w:val="00B06C90"/>
    <w:rsid w:val="00B06F66"/>
    <w:rsid w:val="00B07AB6"/>
    <w:rsid w:val="00B1025A"/>
    <w:rsid w:val="00B112DA"/>
    <w:rsid w:val="00B1208B"/>
    <w:rsid w:val="00B1222E"/>
    <w:rsid w:val="00B135A9"/>
    <w:rsid w:val="00B1366A"/>
    <w:rsid w:val="00B139B7"/>
    <w:rsid w:val="00B14499"/>
    <w:rsid w:val="00B1472F"/>
    <w:rsid w:val="00B1525D"/>
    <w:rsid w:val="00B15773"/>
    <w:rsid w:val="00B16EF8"/>
    <w:rsid w:val="00B175C4"/>
    <w:rsid w:val="00B20F80"/>
    <w:rsid w:val="00B219C2"/>
    <w:rsid w:val="00B22791"/>
    <w:rsid w:val="00B22BCD"/>
    <w:rsid w:val="00B238EF"/>
    <w:rsid w:val="00B23997"/>
    <w:rsid w:val="00B243B4"/>
    <w:rsid w:val="00B24472"/>
    <w:rsid w:val="00B24A1D"/>
    <w:rsid w:val="00B24ACE"/>
    <w:rsid w:val="00B25A07"/>
    <w:rsid w:val="00B26A87"/>
    <w:rsid w:val="00B27613"/>
    <w:rsid w:val="00B27B51"/>
    <w:rsid w:val="00B27DC2"/>
    <w:rsid w:val="00B3035E"/>
    <w:rsid w:val="00B30605"/>
    <w:rsid w:val="00B31224"/>
    <w:rsid w:val="00B324FC"/>
    <w:rsid w:val="00B33B4D"/>
    <w:rsid w:val="00B33DF0"/>
    <w:rsid w:val="00B34080"/>
    <w:rsid w:val="00B3525E"/>
    <w:rsid w:val="00B355DD"/>
    <w:rsid w:val="00B3597F"/>
    <w:rsid w:val="00B35997"/>
    <w:rsid w:val="00B35B55"/>
    <w:rsid w:val="00B35F1B"/>
    <w:rsid w:val="00B36417"/>
    <w:rsid w:val="00B368DF"/>
    <w:rsid w:val="00B36D6C"/>
    <w:rsid w:val="00B40157"/>
    <w:rsid w:val="00B407D4"/>
    <w:rsid w:val="00B40818"/>
    <w:rsid w:val="00B40A36"/>
    <w:rsid w:val="00B411CB"/>
    <w:rsid w:val="00B41DCB"/>
    <w:rsid w:val="00B42383"/>
    <w:rsid w:val="00B43219"/>
    <w:rsid w:val="00B4359E"/>
    <w:rsid w:val="00B436E1"/>
    <w:rsid w:val="00B4378C"/>
    <w:rsid w:val="00B43C64"/>
    <w:rsid w:val="00B456BB"/>
    <w:rsid w:val="00B45CBD"/>
    <w:rsid w:val="00B464DC"/>
    <w:rsid w:val="00B47045"/>
    <w:rsid w:val="00B47763"/>
    <w:rsid w:val="00B47992"/>
    <w:rsid w:val="00B47A55"/>
    <w:rsid w:val="00B5276D"/>
    <w:rsid w:val="00B52E0F"/>
    <w:rsid w:val="00B53687"/>
    <w:rsid w:val="00B54577"/>
    <w:rsid w:val="00B548BE"/>
    <w:rsid w:val="00B54C3C"/>
    <w:rsid w:val="00B56A67"/>
    <w:rsid w:val="00B57195"/>
    <w:rsid w:val="00B57F58"/>
    <w:rsid w:val="00B60BCB"/>
    <w:rsid w:val="00B61C4F"/>
    <w:rsid w:val="00B625F0"/>
    <w:rsid w:val="00B6292B"/>
    <w:rsid w:val="00B63980"/>
    <w:rsid w:val="00B63A95"/>
    <w:rsid w:val="00B65955"/>
    <w:rsid w:val="00B66BE8"/>
    <w:rsid w:val="00B67C52"/>
    <w:rsid w:val="00B707CC"/>
    <w:rsid w:val="00B70A3E"/>
    <w:rsid w:val="00B70FF9"/>
    <w:rsid w:val="00B74441"/>
    <w:rsid w:val="00B74640"/>
    <w:rsid w:val="00B74E7B"/>
    <w:rsid w:val="00B751D8"/>
    <w:rsid w:val="00B75BF7"/>
    <w:rsid w:val="00B75C39"/>
    <w:rsid w:val="00B76644"/>
    <w:rsid w:val="00B77780"/>
    <w:rsid w:val="00B77DFD"/>
    <w:rsid w:val="00B77F14"/>
    <w:rsid w:val="00B8027B"/>
    <w:rsid w:val="00B8039D"/>
    <w:rsid w:val="00B80FAE"/>
    <w:rsid w:val="00B812D7"/>
    <w:rsid w:val="00B81BBB"/>
    <w:rsid w:val="00B81E9E"/>
    <w:rsid w:val="00B81F97"/>
    <w:rsid w:val="00B8243F"/>
    <w:rsid w:val="00B824DF"/>
    <w:rsid w:val="00B82A96"/>
    <w:rsid w:val="00B8356E"/>
    <w:rsid w:val="00B84F12"/>
    <w:rsid w:val="00B854E5"/>
    <w:rsid w:val="00B87250"/>
    <w:rsid w:val="00B87B6C"/>
    <w:rsid w:val="00B87D75"/>
    <w:rsid w:val="00B9089E"/>
    <w:rsid w:val="00B90BB6"/>
    <w:rsid w:val="00B90DA3"/>
    <w:rsid w:val="00B91E84"/>
    <w:rsid w:val="00B91EA5"/>
    <w:rsid w:val="00B92312"/>
    <w:rsid w:val="00B928B2"/>
    <w:rsid w:val="00B92E8F"/>
    <w:rsid w:val="00B9341D"/>
    <w:rsid w:val="00B93C53"/>
    <w:rsid w:val="00B94A6B"/>
    <w:rsid w:val="00B9525F"/>
    <w:rsid w:val="00B95966"/>
    <w:rsid w:val="00B96496"/>
    <w:rsid w:val="00B97950"/>
    <w:rsid w:val="00BA03C6"/>
    <w:rsid w:val="00BA0D7F"/>
    <w:rsid w:val="00BA0F86"/>
    <w:rsid w:val="00BA1648"/>
    <w:rsid w:val="00BA451D"/>
    <w:rsid w:val="00BA48FD"/>
    <w:rsid w:val="00BA4A09"/>
    <w:rsid w:val="00BA4AC4"/>
    <w:rsid w:val="00BA5271"/>
    <w:rsid w:val="00BA529F"/>
    <w:rsid w:val="00BA5680"/>
    <w:rsid w:val="00BA6117"/>
    <w:rsid w:val="00BA6884"/>
    <w:rsid w:val="00BA758C"/>
    <w:rsid w:val="00BA7781"/>
    <w:rsid w:val="00BB04A5"/>
    <w:rsid w:val="00BB1650"/>
    <w:rsid w:val="00BB18B3"/>
    <w:rsid w:val="00BB2330"/>
    <w:rsid w:val="00BB27B0"/>
    <w:rsid w:val="00BB2971"/>
    <w:rsid w:val="00BB366F"/>
    <w:rsid w:val="00BB3F0A"/>
    <w:rsid w:val="00BB42F4"/>
    <w:rsid w:val="00BB4CA0"/>
    <w:rsid w:val="00BB4F40"/>
    <w:rsid w:val="00BB5115"/>
    <w:rsid w:val="00BB51D3"/>
    <w:rsid w:val="00BB53DB"/>
    <w:rsid w:val="00BB5448"/>
    <w:rsid w:val="00BB5756"/>
    <w:rsid w:val="00BB630F"/>
    <w:rsid w:val="00BB6C4D"/>
    <w:rsid w:val="00BC0688"/>
    <w:rsid w:val="00BC0DFE"/>
    <w:rsid w:val="00BC1043"/>
    <w:rsid w:val="00BC1424"/>
    <w:rsid w:val="00BC1907"/>
    <w:rsid w:val="00BC1C67"/>
    <w:rsid w:val="00BC287E"/>
    <w:rsid w:val="00BC34F0"/>
    <w:rsid w:val="00BC36F4"/>
    <w:rsid w:val="00BC3981"/>
    <w:rsid w:val="00BC4C6E"/>
    <w:rsid w:val="00BC580D"/>
    <w:rsid w:val="00BC658B"/>
    <w:rsid w:val="00BC7645"/>
    <w:rsid w:val="00BD07BC"/>
    <w:rsid w:val="00BD0FE6"/>
    <w:rsid w:val="00BD223F"/>
    <w:rsid w:val="00BD26BC"/>
    <w:rsid w:val="00BD26EB"/>
    <w:rsid w:val="00BD30A6"/>
    <w:rsid w:val="00BD36E6"/>
    <w:rsid w:val="00BD370C"/>
    <w:rsid w:val="00BD38DB"/>
    <w:rsid w:val="00BD472D"/>
    <w:rsid w:val="00BD4751"/>
    <w:rsid w:val="00BD4FF9"/>
    <w:rsid w:val="00BD53DF"/>
    <w:rsid w:val="00BD5552"/>
    <w:rsid w:val="00BD5B13"/>
    <w:rsid w:val="00BD5FF3"/>
    <w:rsid w:val="00BD603C"/>
    <w:rsid w:val="00BD737A"/>
    <w:rsid w:val="00BE0484"/>
    <w:rsid w:val="00BE04CC"/>
    <w:rsid w:val="00BE0C5F"/>
    <w:rsid w:val="00BE100A"/>
    <w:rsid w:val="00BE1FB7"/>
    <w:rsid w:val="00BE425B"/>
    <w:rsid w:val="00BE4B01"/>
    <w:rsid w:val="00BE4B7C"/>
    <w:rsid w:val="00BE5CE2"/>
    <w:rsid w:val="00BE6957"/>
    <w:rsid w:val="00BE7684"/>
    <w:rsid w:val="00BF049D"/>
    <w:rsid w:val="00BF04A5"/>
    <w:rsid w:val="00BF06F2"/>
    <w:rsid w:val="00BF1B1C"/>
    <w:rsid w:val="00BF29FB"/>
    <w:rsid w:val="00BF3972"/>
    <w:rsid w:val="00BF3A7B"/>
    <w:rsid w:val="00BF4903"/>
    <w:rsid w:val="00BF511F"/>
    <w:rsid w:val="00BF5B8B"/>
    <w:rsid w:val="00BF6E6B"/>
    <w:rsid w:val="00BF7652"/>
    <w:rsid w:val="00BF784C"/>
    <w:rsid w:val="00BF79B6"/>
    <w:rsid w:val="00BF7FF0"/>
    <w:rsid w:val="00C00573"/>
    <w:rsid w:val="00C0078D"/>
    <w:rsid w:val="00C00D00"/>
    <w:rsid w:val="00C014E5"/>
    <w:rsid w:val="00C028F5"/>
    <w:rsid w:val="00C03CD2"/>
    <w:rsid w:val="00C0543B"/>
    <w:rsid w:val="00C05464"/>
    <w:rsid w:val="00C06EBF"/>
    <w:rsid w:val="00C07592"/>
    <w:rsid w:val="00C10C0F"/>
    <w:rsid w:val="00C11701"/>
    <w:rsid w:val="00C11716"/>
    <w:rsid w:val="00C1219D"/>
    <w:rsid w:val="00C13049"/>
    <w:rsid w:val="00C13E2F"/>
    <w:rsid w:val="00C14857"/>
    <w:rsid w:val="00C14D4A"/>
    <w:rsid w:val="00C1563D"/>
    <w:rsid w:val="00C157E3"/>
    <w:rsid w:val="00C15BDB"/>
    <w:rsid w:val="00C1661E"/>
    <w:rsid w:val="00C170BF"/>
    <w:rsid w:val="00C17301"/>
    <w:rsid w:val="00C20134"/>
    <w:rsid w:val="00C207B0"/>
    <w:rsid w:val="00C209DD"/>
    <w:rsid w:val="00C21129"/>
    <w:rsid w:val="00C21B5F"/>
    <w:rsid w:val="00C22847"/>
    <w:rsid w:val="00C22873"/>
    <w:rsid w:val="00C229D6"/>
    <w:rsid w:val="00C232C6"/>
    <w:rsid w:val="00C23F58"/>
    <w:rsid w:val="00C245F8"/>
    <w:rsid w:val="00C255C1"/>
    <w:rsid w:val="00C25AAC"/>
    <w:rsid w:val="00C26659"/>
    <w:rsid w:val="00C27034"/>
    <w:rsid w:val="00C27698"/>
    <w:rsid w:val="00C3261F"/>
    <w:rsid w:val="00C33232"/>
    <w:rsid w:val="00C3437B"/>
    <w:rsid w:val="00C3469A"/>
    <w:rsid w:val="00C3587C"/>
    <w:rsid w:val="00C35D0E"/>
    <w:rsid w:val="00C35E6A"/>
    <w:rsid w:val="00C3656D"/>
    <w:rsid w:val="00C3698A"/>
    <w:rsid w:val="00C371F8"/>
    <w:rsid w:val="00C37897"/>
    <w:rsid w:val="00C37DEB"/>
    <w:rsid w:val="00C4045B"/>
    <w:rsid w:val="00C40A9E"/>
    <w:rsid w:val="00C4113E"/>
    <w:rsid w:val="00C41190"/>
    <w:rsid w:val="00C4136E"/>
    <w:rsid w:val="00C41907"/>
    <w:rsid w:val="00C425CF"/>
    <w:rsid w:val="00C42B3E"/>
    <w:rsid w:val="00C44C4C"/>
    <w:rsid w:val="00C45D89"/>
    <w:rsid w:val="00C4650B"/>
    <w:rsid w:val="00C46677"/>
    <w:rsid w:val="00C46E5B"/>
    <w:rsid w:val="00C46FA8"/>
    <w:rsid w:val="00C507D8"/>
    <w:rsid w:val="00C515BA"/>
    <w:rsid w:val="00C52D3C"/>
    <w:rsid w:val="00C53D1A"/>
    <w:rsid w:val="00C5489A"/>
    <w:rsid w:val="00C54E41"/>
    <w:rsid w:val="00C55675"/>
    <w:rsid w:val="00C557BD"/>
    <w:rsid w:val="00C564BA"/>
    <w:rsid w:val="00C569D3"/>
    <w:rsid w:val="00C6043A"/>
    <w:rsid w:val="00C60667"/>
    <w:rsid w:val="00C62057"/>
    <w:rsid w:val="00C62274"/>
    <w:rsid w:val="00C622B3"/>
    <w:rsid w:val="00C62624"/>
    <w:rsid w:val="00C63B93"/>
    <w:rsid w:val="00C6642B"/>
    <w:rsid w:val="00C66869"/>
    <w:rsid w:val="00C66CD4"/>
    <w:rsid w:val="00C670E6"/>
    <w:rsid w:val="00C70393"/>
    <w:rsid w:val="00C71044"/>
    <w:rsid w:val="00C71FA5"/>
    <w:rsid w:val="00C721DD"/>
    <w:rsid w:val="00C72D4A"/>
    <w:rsid w:val="00C73E4A"/>
    <w:rsid w:val="00C7436D"/>
    <w:rsid w:val="00C7476A"/>
    <w:rsid w:val="00C74848"/>
    <w:rsid w:val="00C74C1F"/>
    <w:rsid w:val="00C7636D"/>
    <w:rsid w:val="00C7698A"/>
    <w:rsid w:val="00C76C7C"/>
    <w:rsid w:val="00C803EB"/>
    <w:rsid w:val="00C80655"/>
    <w:rsid w:val="00C80683"/>
    <w:rsid w:val="00C8173C"/>
    <w:rsid w:val="00C81FDA"/>
    <w:rsid w:val="00C822F0"/>
    <w:rsid w:val="00C825AC"/>
    <w:rsid w:val="00C82E47"/>
    <w:rsid w:val="00C83223"/>
    <w:rsid w:val="00C844FB"/>
    <w:rsid w:val="00C846BB"/>
    <w:rsid w:val="00C84AB2"/>
    <w:rsid w:val="00C8632F"/>
    <w:rsid w:val="00C86D14"/>
    <w:rsid w:val="00C86EF1"/>
    <w:rsid w:val="00C900A1"/>
    <w:rsid w:val="00C90354"/>
    <w:rsid w:val="00C90615"/>
    <w:rsid w:val="00C90D11"/>
    <w:rsid w:val="00C9150A"/>
    <w:rsid w:val="00C927EF"/>
    <w:rsid w:val="00C93C3A"/>
    <w:rsid w:val="00C943D4"/>
    <w:rsid w:val="00C9462A"/>
    <w:rsid w:val="00C94EB9"/>
    <w:rsid w:val="00C952E4"/>
    <w:rsid w:val="00C9587C"/>
    <w:rsid w:val="00C95938"/>
    <w:rsid w:val="00C95963"/>
    <w:rsid w:val="00C95B3A"/>
    <w:rsid w:val="00C96EA0"/>
    <w:rsid w:val="00C975C9"/>
    <w:rsid w:val="00C97700"/>
    <w:rsid w:val="00CA04B3"/>
    <w:rsid w:val="00CA18C0"/>
    <w:rsid w:val="00CA3265"/>
    <w:rsid w:val="00CA4CE3"/>
    <w:rsid w:val="00CA5AEC"/>
    <w:rsid w:val="00CA62B1"/>
    <w:rsid w:val="00CA6322"/>
    <w:rsid w:val="00CA76D1"/>
    <w:rsid w:val="00CA7764"/>
    <w:rsid w:val="00CA7827"/>
    <w:rsid w:val="00CA78D6"/>
    <w:rsid w:val="00CB0239"/>
    <w:rsid w:val="00CB0A78"/>
    <w:rsid w:val="00CB0DA0"/>
    <w:rsid w:val="00CB2CF1"/>
    <w:rsid w:val="00CB2F18"/>
    <w:rsid w:val="00CB362E"/>
    <w:rsid w:val="00CB40E3"/>
    <w:rsid w:val="00CB4502"/>
    <w:rsid w:val="00CB46DB"/>
    <w:rsid w:val="00CB4A6F"/>
    <w:rsid w:val="00CB4BA5"/>
    <w:rsid w:val="00CB4D2D"/>
    <w:rsid w:val="00CB4DBE"/>
    <w:rsid w:val="00CB506C"/>
    <w:rsid w:val="00CB6812"/>
    <w:rsid w:val="00CB6DAD"/>
    <w:rsid w:val="00CB6E8F"/>
    <w:rsid w:val="00CB72E7"/>
    <w:rsid w:val="00CB7844"/>
    <w:rsid w:val="00CB7AE9"/>
    <w:rsid w:val="00CC003A"/>
    <w:rsid w:val="00CC0DD0"/>
    <w:rsid w:val="00CC0E7E"/>
    <w:rsid w:val="00CC12D7"/>
    <w:rsid w:val="00CC2103"/>
    <w:rsid w:val="00CC2271"/>
    <w:rsid w:val="00CC3940"/>
    <w:rsid w:val="00CC4F08"/>
    <w:rsid w:val="00CC512A"/>
    <w:rsid w:val="00CC5926"/>
    <w:rsid w:val="00CC5BE1"/>
    <w:rsid w:val="00CC5E5A"/>
    <w:rsid w:val="00CC73B2"/>
    <w:rsid w:val="00CC7436"/>
    <w:rsid w:val="00CD1775"/>
    <w:rsid w:val="00CD1CF0"/>
    <w:rsid w:val="00CD2158"/>
    <w:rsid w:val="00CD2269"/>
    <w:rsid w:val="00CD368B"/>
    <w:rsid w:val="00CD4036"/>
    <w:rsid w:val="00CD40DE"/>
    <w:rsid w:val="00CD494E"/>
    <w:rsid w:val="00CD4A51"/>
    <w:rsid w:val="00CD4CC2"/>
    <w:rsid w:val="00CD50D1"/>
    <w:rsid w:val="00CD73D2"/>
    <w:rsid w:val="00CE2415"/>
    <w:rsid w:val="00CE2EDB"/>
    <w:rsid w:val="00CE41CD"/>
    <w:rsid w:val="00CE5D5C"/>
    <w:rsid w:val="00CE76CA"/>
    <w:rsid w:val="00CE7C43"/>
    <w:rsid w:val="00CE7F17"/>
    <w:rsid w:val="00CF07C5"/>
    <w:rsid w:val="00CF09C9"/>
    <w:rsid w:val="00CF19BC"/>
    <w:rsid w:val="00CF278D"/>
    <w:rsid w:val="00CF2CB1"/>
    <w:rsid w:val="00CF2CF0"/>
    <w:rsid w:val="00CF3616"/>
    <w:rsid w:val="00CF46D0"/>
    <w:rsid w:val="00CF4A31"/>
    <w:rsid w:val="00CF5D89"/>
    <w:rsid w:val="00CF5FEF"/>
    <w:rsid w:val="00CF6947"/>
    <w:rsid w:val="00CF6995"/>
    <w:rsid w:val="00CF7CA9"/>
    <w:rsid w:val="00CF7F00"/>
    <w:rsid w:val="00D000DD"/>
    <w:rsid w:val="00D00A94"/>
    <w:rsid w:val="00D017BF"/>
    <w:rsid w:val="00D01B2E"/>
    <w:rsid w:val="00D0211C"/>
    <w:rsid w:val="00D03B40"/>
    <w:rsid w:val="00D043A5"/>
    <w:rsid w:val="00D0478B"/>
    <w:rsid w:val="00D04995"/>
    <w:rsid w:val="00D05195"/>
    <w:rsid w:val="00D051D3"/>
    <w:rsid w:val="00D056D0"/>
    <w:rsid w:val="00D0664A"/>
    <w:rsid w:val="00D067D8"/>
    <w:rsid w:val="00D068D6"/>
    <w:rsid w:val="00D07279"/>
    <w:rsid w:val="00D07341"/>
    <w:rsid w:val="00D07882"/>
    <w:rsid w:val="00D07BA3"/>
    <w:rsid w:val="00D10326"/>
    <w:rsid w:val="00D110C0"/>
    <w:rsid w:val="00D11E0D"/>
    <w:rsid w:val="00D12480"/>
    <w:rsid w:val="00D146D6"/>
    <w:rsid w:val="00D1512D"/>
    <w:rsid w:val="00D15388"/>
    <w:rsid w:val="00D15A89"/>
    <w:rsid w:val="00D1678D"/>
    <w:rsid w:val="00D205FF"/>
    <w:rsid w:val="00D227F2"/>
    <w:rsid w:val="00D229F8"/>
    <w:rsid w:val="00D22CBD"/>
    <w:rsid w:val="00D231DF"/>
    <w:rsid w:val="00D236F3"/>
    <w:rsid w:val="00D24A97"/>
    <w:rsid w:val="00D24EA5"/>
    <w:rsid w:val="00D261FD"/>
    <w:rsid w:val="00D26281"/>
    <w:rsid w:val="00D2666D"/>
    <w:rsid w:val="00D30584"/>
    <w:rsid w:val="00D30BA8"/>
    <w:rsid w:val="00D30F56"/>
    <w:rsid w:val="00D3136A"/>
    <w:rsid w:val="00D31527"/>
    <w:rsid w:val="00D32B84"/>
    <w:rsid w:val="00D32B91"/>
    <w:rsid w:val="00D32C7C"/>
    <w:rsid w:val="00D32EDA"/>
    <w:rsid w:val="00D335D4"/>
    <w:rsid w:val="00D33F00"/>
    <w:rsid w:val="00D346FF"/>
    <w:rsid w:val="00D34704"/>
    <w:rsid w:val="00D34BE5"/>
    <w:rsid w:val="00D352C5"/>
    <w:rsid w:val="00D3564F"/>
    <w:rsid w:val="00D36345"/>
    <w:rsid w:val="00D365DA"/>
    <w:rsid w:val="00D368A7"/>
    <w:rsid w:val="00D36FB2"/>
    <w:rsid w:val="00D372D3"/>
    <w:rsid w:val="00D37854"/>
    <w:rsid w:val="00D40EFA"/>
    <w:rsid w:val="00D4155D"/>
    <w:rsid w:val="00D4169D"/>
    <w:rsid w:val="00D418B2"/>
    <w:rsid w:val="00D429DF"/>
    <w:rsid w:val="00D43533"/>
    <w:rsid w:val="00D43AA6"/>
    <w:rsid w:val="00D43DFF"/>
    <w:rsid w:val="00D44371"/>
    <w:rsid w:val="00D44749"/>
    <w:rsid w:val="00D44DC5"/>
    <w:rsid w:val="00D45B7A"/>
    <w:rsid w:val="00D45E55"/>
    <w:rsid w:val="00D472F6"/>
    <w:rsid w:val="00D47CAB"/>
    <w:rsid w:val="00D502E6"/>
    <w:rsid w:val="00D505E1"/>
    <w:rsid w:val="00D50D6F"/>
    <w:rsid w:val="00D50EAB"/>
    <w:rsid w:val="00D52081"/>
    <w:rsid w:val="00D53230"/>
    <w:rsid w:val="00D54578"/>
    <w:rsid w:val="00D558E2"/>
    <w:rsid w:val="00D61091"/>
    <w:rsid w:val="00D624B9"/>
    <w:rsid w:val="00D64C2A"/>
    <w:rsid w:val="00D6519E"/>
    <w:rsid w:val="00D65BDA"/>
    <w:rsid w:val="00D67578"/>
    <w:rsid w:val="00D677EA"/>
    <w:rsid w:val="00D67FBB"/>
    <w:rsid w:val="00D7063C"/>
    <w:rsid w:val="00D70B6C"/>
    <w:rsid w:val="00D71C8E"/>
    <w:rsid w:val="00D71D32"/>
    <w:rsid w:val="00D729B9"/>
    <w:rsid w:val="00D732EA"/>
    <w:rsid w:val="00D741ED"/>
    <w:rsid w:val="00D7460E"/>
    <w:rsid w:val="00D74A10"/>
    <w:rsid w:val="00D75253"/>
    <w:rsid w:val="00D75585"/>
    <w:rsid w:val="00D759F5"/>
    <w:rsid w:val="00D762E6"/>
    <w:rsid w:val="00D7687B"/>
    <w:rsid w:val="00D76A35"/>
    <w:rsid w:val="00D76DBF"/>
    <w:rsid w:val="00D76F4D"/>
    <w:rsid w:val="00D76FE0"/>
    <w:rsid w:val="00D77500"/>
    <w:rsid w:val="00D77852"/>
    <w:rsid w:val="00D77A89"/>
    <w:rsid w:val="00D80370"/>
    <w:rsid w:val="00D807B9"/>
    <w:rsid w:val="00D80D83"/>
    <w:rsid w:val="00D81B3C"/>
    <w:rsid w:val="00D81EBC"/>
    <w:rsid w:val="00D83414"/>
    <w:rsid w:val="00D8370E"/>
    <w:rsid w:val="00D84325"/>
    <w:rsid w:val="00D84828"/>
    <w:rsid w:val="00D84F0B"/>
    <w:rsid w:val="00D85BC7"/>
    <w:rsid w:val="00D85CCD"/>
    <w:rsid w:val="00D861CE"/>
    <w:rsid w:val="00D864E5"/>
    <w:rsid w:val="00D86B51"/>
    <w:rsid w:val="00D87C8A"/>
    <w:rsid w:val="00D90088"/>
    <w:rsid w:val="00D902AE"/>
    <w:rsid w:val="00D91037"/>
    <w:rsid w:val="00D91852"/>
    <w:rsid w:val="00D91B37"/>
    <w:rsid w:val="00D93D98"/>
    <w:rsid w:val="00D9447B"/>
    <w:rsid w:val="00D94603"/>
    <w:rsid w:val="00D95289"/>
    <w:rsid w:val="00D956BD"/>
    <w:rsid w:val="00D9574A"/>
    <w:rsid w:val="00D96C1C"/>
    <w:rsid w:val="00D9745C"/>
    <w:rsid w:val="00D9763B"/>
    <w:rsid w:val="00D977FC"/>
    <w:rsid w:val="00DA0270"/>
    <w:rsid w:val="00DA0CF3"/>
    <w:rsid w:val="00DA0F99"/>
    <w:rsid w:val="00DA4466"/>
    <w:rsid w:val="00DA5504"/>
    <w:rsid w:val="00DA614D"/>
    <w:rsid w:val="00DA6DED"/>
    <w:rsid w:val="00DA7828"/>
    <w:rsid w:val="00DB0A94"/>
    <w:rsid w:val="00DB0D38"/>
    <w:rsid w:val="00DB3B41"/>
    <w:rsid w:val="00DB4E9C"/>
    <w:rsid w:val="00DB590A"/>
    <w:rsid w:val="00DB5A21"/>
    <w:rsid w:val="00DB65C9"/>
    <w:rsid w:val="00DB75AA"/>
    <w:rsid w:val="00DB7A2B"/>
    <w:rsid w:val="00DC09CF"/>
    <w:rsid w:val="00DC173C"/>
    <w:rsid w:val="00DC1A17"/>
    <w:rsid w:val="00DC27B1"/>
    <w:rsid w:val="00DC3656"/>
    <w:rsid w:val="00DC4FC6"/>
    <w:rsid w:val="00DC611A"/>
    <w:rsid w:val="00DC7C81"/>
    <w:rsid w:val="00DD0D59"/>
    <w:rsid w:val="00DD1639"/>
    <w:rsid w:val="00DD1C1F"/>
    <w:rsid w:val="00DD234F"/>
    <w:rsid w:val="00DD289C"/>
    <w:rsid w:val="00DD2DD5"/>
    <w:rsid w:val="00DD42F4"/>
    <w:rsid w:val="00DD45B6"/>
    <w:rsid w:val="00DD6A4A"/>
    <w:rsid w:val="00DD7AEE"/>
    <w:rsid w:val="00DE029C"/>
    <w:rsid w:val="00DE1764"/>
    <w:rsid w:val="00DE18CE"/>
    <w:rsid w:val="00DE1DE3"/>
    <w:rsid w:val="00DE2DB9"/>
    <w:rsid w:val="00DE4292"/>
    <w:rsid w:val="00DE4FE0"/>
    <w:rsid w:val="00DE5597"/>
    <w:rsid w:val="00DE6932"/>
    <w:rsid w:val="00DE769A"/>
    <w:rsid w:val="00DF0D50"/>
    <w:rsid w:val="00DF11C3"/>
    <w:rsid w:val="00DF138F"/>
    <w:rsid w:val="00DF1A2D"/>
    <w:rsid w:val="00DF1A8E"/>
    <w:rsid w:val="00DF1DE8"/>
    <w:rsid w:val="00DF32E4"/>
    <w:rsid w:val="00DF3C12"/>
    <w:rsid w:val="00DF4C11"/>
    <w:rsid w:val="00DF6BBC"/>
    <w:rsid w:val="00DF6DCD"/>
    <w:rsid w:val="00DF7424"/>
    <w:rsid w:val="00DF7AAB"/>
    <w:rsid w:val="00E00361"/>
    <w:rsid w:val="00E0260D"/>
    <w:rsid w:val="00E02C5B"/>
    <w:rsid w:val="00E0313C"/>
    <w:rsid w:val="00E031B7"/>
    <w:rsid w:val="00E03D57"/>
    <w:rsid w:val="00E04902"/>
    <w:rsid w:val="00E04AE0"/>
    <w:rsid w:val="00E05163"/>
    <w:rsid w:val="00E0581B"/>
    <w:rsid w:val="00E05B0D"/>
    <w:rsid w:val="00E05F62"/>
    <w:rsid w:val="00E06385"/>
    <w:rsid w:val="00E06C1F"/>
    <w:rsid w:val="00E075C8"/>
    <w:rsid w:val="00E1011D"/>
    <w:rsid w:val="00E112DD"/>
    <w:rsid w:val="00E139E7"/>
    <w:rsid w:val="00E148B4"/>
    <w:rsid w:val="00E20329"/>
    <w:rsid w:val="00E226D9"/>
    <w:rsid w:val="00E231B4"/>
    <w:rsid w:val="00E23480"/>
    <w:rsid w:val="00E236CF"/>
    <w:rsid w:val="00E2392C"/>
    <w:rsid w:val="00E23A97"/>
    <w:rsid w:val="00E23AEE"/>
    <w:rsid w:val="00E24F68"/>
    <w:rsid w:val="00E2776F"/>
    <w:rsid w:val="00E30295"/>
    <w:rsid w:val="00E30792"/>
    <w:rsid w:val="00E30807"/>
    <w:rsid w:val="00E323B3"/>
    <w:rsid w:val="00E32718"/>
    <w:rsid w:val="00E33674"/>
    <w:rsid w:val="00E34EAE"/>
    <w:rsid w:val="00E35508"/>
    <w:rsid w:val="00E359DF"/>
    <w:rsid w:val="00E35C62"/>
    <w:rsid w:val="00E35E2E"/>
    <w:rsid w:val="00E35FE0"/>
    <w:rsid w:val="00E36651"/>
    <w:rsid w:val="00E37764"/>
    <w:rsid w:val="00E37806"/>
    <w:rsid w:val="00E37C15"/>
    <w:rsid w:val="00E37D98"/>
    <w:rsid w:val="00E40848"/>
    <w:rsid w:val="00E419A0"/>
    <w:rsid w:val="00E42472"/>
    <w:rsid w:val="00E4278E"/>
    <w:rsid w:val="00E42924"/>
    <w:rsid w:val="00E42C79"/>
    <w:rsid w:val="00E430ED"/>
    <w:rsid w:val="00E4453C"/>
    <w:rsid w:val="00E44698"/>
    <w:rsid w:val="00E44E39"/>
    <w:rsid w:val="00E4595A"/>
    <w:rsid w:val="00E46D12"/>
    <w:rsid w:val="00E477FF"/>
    <w:rsid w:val="00E47A0A"/>
    <w:rsid w:val="00E50E4D"/>
    <w:rsid w:val="00E51035"/>
    <w:rsid w:val="00E51ADB"/>
    <w:rsid w:val="00E521D9"/>
    <w:rsid w:val="00E5360A"/>
    <w:rsid w:val="00E53688"/>
    <w:rsid w:val="00E5378F"/>
    <w:rsid w:val="00E53A6A"/>
    <w:rsid w:val="00E54437"/>
    <w:rsid w:val="00E5466F"/>
    <w:rsid w:val="00E54F7E"/>
    <w:rsid w:val="00E557FB"/>
    <w:rsid w:val="00E5597C"/>
    <w:rsid w:val="00E55A8B"/>
    <w:rsid w:val="00E562E0"/>
    <w:rsid w:val="00E56A75"/>
    <w:rsid w:val="00E56E20"/>
    <w:rsid w:val="00E611FA"/>
    <w:rsid w:val="00E61D32"/>
    <w:rsid w:val="00E6274A"/>
    <w:rsid w:val="00E62B4D"/>
    <w:rsid w:val="00E64570"/>
    <w:rsid w:val="00E660C8"/>
    <w:rsid w:val="00E67FF7"/>
    <w:rsid w:val="00E70CD4"/>
    <w:rsid w:val="00E710CC"/>
    <w:rsid w:val="00E7198B"/>
    <w:rsid w:val="00E71E92"/>
    <w:rsid w:val="00E74296"/>
    <w:rsid w:val="00E743FC"/>
    <w:rsid w:val="00E74C92"/>
    <w:rsid w:val="00E74E00"/>
    <w:rsid w:val="00E7617F"/>
    <w:rsid w:val="00E77319"/>
    <w:rsid w:val="00E77412"/>
    <w:rsid w:val="00E80DD6"/>
    <w:rsid w:val="00E8130F"/>
    <w:rsid w:val="00E81D97"/>
    <w:rsid w:val="00E81F05"/>
    <w:rsid w:val="00E8379F"/>
    <w:rsid w:val="00E83F2E"/>
    <w:rsid w:val="00E84268"/>
    <w:rsid w:val="00E844A0"/>
    <w:rsid w:val="00E84EB0"/>
    <w:rsid w:val="00E8512C"/>
    <w:rsid w:val="00E856D8"/>
    <w:rsid w:val="00E8575A"/>
    <w:rsid w:val="00E87FED"/>
    <w:rsid w:val="00E91430"/>
    <w:rsid w:val="00E918BE"/>
    <w:rsid w:val="00E91975"/>
    <w:rsid w:val="00E91B4D"/>
    <w:rsid w:val="00E924DD"/>
    <w:rsid w:val="00E92664"/>
    <w:rsid w:val="00E9277C"/>
    <w:rsid w:val="00E9296C"/>
    <w:rsid w:val="00E929A6"/>
    <w:rsid w:val="00E92FDE"/>
    <w:rsid w:val="00E931D1"/>
    <w:rsid w:val="00E9420A"/>
    <w:rsid w:val="00E946BF"/>
    <w:rsid w:val="00E949C0"/>
    <w:rsid w:val="00E94E19"/>
    <w:rsid w:val="00E94E4C"/>
    <w:rsid w:val="00E956E4"/>
    <w:rsid w:val="00E95F9A"/>
    <w:rsid w:val="00E96BC7"/>
    <w:rsid w:val="00E970A3"/>
    <w:rsid w:val="00E9783A"/>
    <w:rsid w:val="00E97FF9"/>
    <w:rsid w:val="00EA026C"/>
    <w:rsid w:val="00EA0E31"/>
    <w:rsid w:val="00EA2395"/>
    <w:rsid w:val="00EA3B7A"/>
    <w:rsid w:val="00EA483A"/>
    <w:rsid w:val="00EA4A21"/>
    <w:rsid w:val="00EA6098"/>
    <w:rsid w:val="00EA6325"/>
    <w:rsid w:val="00EA6B9A"/>
    <w:rsid w:val="00EA70B8"/>
    <w:rsid w:val="00EA71D6"/>
    <w:rsid w:val="00EB13D2"/>
    <w:rsid w:val="00EB196B"/>
    <w:rsid w:val="00EB22F8"/>
    <w:rsid w:val="00EB2924"/>
    <w:rsid w:val="00EB3735"/>
    <w:rsid w:val="00EB3E25"/>
    <w:rsid w:val="00EB4B61"/>
    <w:rsid w:val="00EB4E3A"/>
    <w:rsid w:val="00EB56AB"/>
    <w:rsid w:val="00EB778D"/>
    <w:rsid w:val="00EC01EA"/>
    <w:rsid w:val="00EC14D3"/>
    <w:rsid w:val="00EC3582"/>
    <w:rsid w:val="00EC4A0C"/>
    <w:rsid w:val="00EC520E"/>
    <w:rsid w:val="00EC5676"/>
    <w:rsid w:val="00EC6456"/>
    <w:rsid w:val="00EC64AD"/>
    <w:rsid w:val="00EC7A92"/>
    <w:rsid w:val="00EC7FD9"/>
    <w:rsid w:val="00ED0075"/>
    <w:rsid w:val="00ED15FE"/>
    <w:rsid w:val="00ED21D4"/>
    <w:rsid w:val="00ED3342"/>
    <w:rsid w:val="00ED452C"/>
    <w:rsid w:val="00ED4570"/>
    <w:rsid w:val="00ED5184"/>
    <w:rsid w:val="00ED541B"/>
    <w:rsid w:val="00ED5EC5"/>
    <w:rsid w:val="00ED6073"/>
    <w:rsid w:val="00ED65DC"/>
    <w:rsid w:val="00ED7123"/>
    <w:rsid w:val="00EE1805"/>
    <w:rsid w:val="00EE1995"/>
    <w:rsid w:val="00EE26BF"/>
    <w:rsid w:val="00EE2FE5"/>
    <w:rsid w:val="00EE3674"/>
    <w:rsid w:val="00EE3BAD"/>
    <w:rsid w:val="00EE56AB"/>
    <w:rsid w:val="00EE59DE"/>
    <w:rsid w:val="00EE7A43"/>
    <w:rsid w:val="00EF02F0"/>
    <w:rsid w:val="00EF078A"/>
    <w:rsid w:val="00EF0CEC"/>
    <w:rsid w:val="00EF1AFB"/>
    <w:rsid w:val="00EF21D9"/>
    <w:rsid w:val="00EF2327"/>
    <w:rsid w:val="00EF3093"/>
    <w:rsid w:val="00EF3626"/>
    <w:rsid w:val="00EF440A"/>
    <w:rsid w:val="00EF69F5"/>
    <w:rsid w:val="00F00DA5"/>
    <w:rsid w:val="00F013E9"/>
    <w:rsid w:val="00F015CF"/>
    <w:rsid w:val="00F02157"/>
    <w:rsid w:val="00F025C5"/>
    <w:rsid w:val="00F02EDF"/>
    <w:rsid w:val="00F0338C"/>
    <w:rsid w:val="00F03836"/>
    <w:rsid w:val="00F0390A"/>
    <w:rsid w:val="00F04B2E"/>
    <w:rsid w:val="00F06952"/>
    <w:rsid w:val="00F101D8"/>
    <w:rsid w:val="00F105A7"/>
    <w:rsid w:val="00F108BE"/>
    <w:rsid w:val="00F1136F"/>
    <w:rsid w:val="00F113A9"/>
    <w:rsid w:val="00F128AB"/>
    <w:rsid w:val="00F140C0"/>
    <w:rsid w:val="00F142B3"/>
    <w:rsid w:val="00F165DF"/>
    <w:rsid w:val="00F17541"/>
    <w:rsid w:val="00F178BF"/>
    <w:rsid w:val="00F17C45"/>
    <w:rsid w:val="00F17D17"/>
    <w:rsid w:val="00F17FD5"/>
    <w:rsid w:val="00F20116"/>
    <w:rsid w:val="00F2096F"/>
    <w:rsid w:val="00F21072"/>
    <w:rsid w:val="00F21C65"/>
    <w:rsid w:val="00F229AD"/>
    <w:rsid w:val="00F22A05"/>
    <w:rsid w:val="00F2319D"/>
    <w:rsid w:val="00F2334E"/>
    <w:rsid w:val="00F233C2"/>
    <w:rsid w:val="00F235B4"/>
    <w:rsid w:val="00F23D90"/>
    <w:rsid w:val="00F24B29"/>
    <w:rsid w:val="00F24CDA"/>
    <w:rsid w:val="00F250AC"/>
    <w:rsid w:val="00F25287"/>
    <w:rsid w:val="00F25E85"/>
    <w:rsid w:val="00F262EF"/>
    <w:rsid w:val="00F26C91"/>
    <w:rsid w:val="00F272E8"/>
    <w:rsid w:val="00F30647"/>
    <w:rsid w:val="00F30D2D"/>
    <w:rsid w:val="00F311E9"/>
    <w:rsid w:val="00F31E6A"/>
    <w:rsid w:val="00F31F11"/>
    <w:rsid w:val="00F31FFE"/>
    <w:rsid w:val="00F327A2"/>
    <w:rsid w:val="00F3334F"/>
    <w:rsid w:val="00F33C5F"/>
    <w:rsid w:val="00F34534"/>
    <w:rsid w:val="00F36161"/>
    <w:rsid w:val="00F3798D"/>
    <w:rsid w:val="00F4029D"/>
    <w:rsid w:val="00F407E3"/>
    <w:rsid w:val="00F40A4B"/>
    <w:rsid w:val="00F40A80"/>
    <w:rsid w:val="00F412A3"/>
    <w:rsid w:val="00F41593"/>
    <w:rsid w:val="00F415E4"/>
    <w:rsid w:val="00F41C6A"/>
    <w:rsid w:val="00F435E1"/>
    <w:rsid w:val="00F438F4"/>
    <w:rsid w:val="00F43F17"/>
    <w:rsid w:val="00F45999"/>
    <w:rsid w:val="00F474B5"/>
    <w:rsid w:val="00F4756D"/>
    <w:rsid w:val="00F50BD6"/>
    <w:rsid w:val="00F5119B"/>
    <w:rsid w:val="00F524E5"/>
    <w:rsid w:val="00F53014"/>
    <w:rsid w:val="00F5321C"/>
    <w:rsid w:val="00F544B8"/>
    <w:rsid w:val="00F55176"/>
    <w:rsid w:val="00F5553C"/>
    <w:rsid w:val="00F56419"/>
    <w:rsid w:val="00F56987"/>
    <w:rsid w:val="00F56AAA"/>
    <w:rsid w:val="00F56AE1"/>
    <w:rsid w:val="00F56E60"/>
    <w:rsid w:val="00F5720B"/>
    <w:rsid w:val="00F57541"/>
    <w:rsid w:val="00F57C59"/>
    <w:rsid w:val="00F57E37"/>
    <w:rsid w:val="00F60C4F"/>
    <w:rsid w:val="00F612A7"/>
    <w:rsid w:val="00F613F0"/>
    <w:rsid w:val="00F61908"/>
    <w:rsid w:val="00F6193A"/>
    <w:rsid w:val="00F62D90"/>
    <w:rsid w:val="00F62E4D"/>
    <w:rsid w:val="00F63364"/>
    <w:rsid w:val="00F6395F"/>
    <w:rsid w:val="00F63B86"/>
    <w:rsid w:val="00F63E83"/>
    <w:rsid w:val="00F649AF"/>
    <w:rsid w:val="00F66414"/>
    <w:rsid w:val="00F67C57"/>
    <w:rsid w:val="00F67E54"/>
    <w:rsid w:val="00F70222"/>
    <w:rsid w:val="00F70477"/>
    <w:rsid w:val="00F70976"/>
    <w:rsid w:val="00F71DB5"/>
    <w:rsid w:val="00F722D0"/>
    <w:rsid w:val="00F7298E"/>
    <w:rsid w:val="00F72E94"/>
    <w:rsid w:val="00F74189"/>
    <w:rsid w:val="00F7499D"/>
    <w:rsid w:val="00F7630D"/>
    <w:rsid w:val="00F765B9"/>
    <w:rsid w:val="00F769DB"/>
    <w:rsid w:val="00F76BEA"/>
    <w:rsid w:val="00F77648"/>
    <w:rsid w:val="00F77BF1"/>
    <w:rsid w:val="00F77C2C"/>
    <w:rsid w:val="00F80C6B"/>
    <w:rsid w:val="00F814C5"/>
    <w:rsid w:val="00F8180B"/>
    <w:rsid w:val="00F82135"/>
    <w:rsid w:val="00F82A6B"/>
    <w:rsid w:val="00F8329B"/>
    <w:rsid w:val="00F83502"/>
    <w:rsid w:val="00F84A03"/>
    <w:rsid w:val="00F84D2C"/>
    <w:rsid w:val="00F877CF"/>
    <w:rsid w:val="00F879C4"/>
    <w:rsid w:val="00F9033A"/>
    <w:rsid w:val="00F9053E"/>
    <w:rsid w:val="00F90C47"/>
    <w:rsid w:val="00F91EB1"/>
    <w:rsid w:val="00F929D8"/>
    <w:rsid w:val="00F94BA7"/>
    <w:rsid w:val="00F94C63"/>
    <w:rsid w:val="00F95D02"/>
    <w:rsid w:val="00F96483"/>
    <w:rsid w:val="00F96559"/>
    <w:rsid w:val="00F96B92"/>
    <w:rsid w:val="00F96CFC"/>
    <w:rsid w:val="00F96E3D"/>
    <w:rsid w:val="00FA0830"/>
    <w:rsid w:val="00FA08D8"/>
    <w:rsid w:val="00FA0A6F"/>
    <w:rsid w:val="00FA1015"/>
    <w:rsid w:val="00FA1140"/>
    <w:rsid w:val="00FA1805"/>
    <w:rsid w:val="00FA2246"/>
    <w:rsid w:val="00FA29B7"/>
    <w:rsid w:val="00FA2C8B"/>
    <w:rsid w:val="00FA33B6"/>
    <w:rsid w:val="00FA37AB"/>
    <w:rsid w:val="00FA3F8E"/>
    <w:rsid w:val="00FA40FE"/>
    <w:rsid w:val="00FA433E"/>
    <w:rsid w:val="00FA4C3D"/>
    <w:rsid w:val="00FA559D"/>
    <w:rsid w:val="00FA655C"/>
    <w:rsid w:val="00FA664C"/>
    <w:rsid w:val="00FA7ECA"/>
    <w:rsid w:val="00FB09EE"/>
    <w:rsid w:val="00FB0A0B"/>
    <w:rsid w:val="00FB1803"/>
    <w:rsid w:val="00FB2829"/>
    <w:rsid w:val="00FB2864"/>
    <w:rsid w:val="00FB2E1B"/>
    <w:rsid w:val="00FB308E"/>
    <w:rsid w:val="00FB3431"/>
    <w:rsid w:val="00FB35EC"/>
    <w:rsid w:val="00FB498F"/>
    <w:rsid w:val="00FB4DA9"/>
    <w:rsid w:val="00FB5DEB"/>
    <w:rsid w:val="00FB65CC"/>
    <w:rsid w:val="00FB6945"/>
    <w:rsid w:val="00FB6CDE"/>
    <w:rsid w:val="00FC15F5"/>
    <w:rsid w:val="00FC1D3C"/>
    <w:rsid w:val="00FC21B4"/>
    <w:rsid w:val="00FC232F"/>
    <w:rsid w:val="00FC29D9"/>
    <w:rsid w:val="00FC2CE5"/>
    <w:rsid w:val="00FC4AD2"/>
    <w:rsid w:val="00FC5147"/>
    <w:rsid w:val="00FC54A9"/>
    <w:rsid w:val="00FC54D9"/>
    <w:rsid w:val="00FC5D9B"/>
    <w:rsid w:val="00FC5E13"/>
    <w:rsid w:val="00FC60E7"/>
    <w:rsid w:val="00FC7499"/>
    <w:rsid w:val="00FD0231"/>
    <w:rsid w:val="00FD0F69"/>
    <w:rsid w:val="00FD1A04"/>
    <w:rsid w:val="00FD1DB3"/>
    <w:rsid w:val="00FD3363"/>
    <w:rsid w:val="00FD368A"/>
    <w:rsid w:val="00FD3FBB"/>
    <w:rsid w:val="00FD41B0"/>
    <w:rsid w:val="00FD5CE7"/>
    <w:rsid w:val="00FD6A0E"/>
    <w:rsid w:val="00FD6A6A"/>
    <w:rsid w:val="00FD71A8"/>
    <w:rsid w:val="00FD7C75"/>
    <w:rsid w:val="00FE10C0"/>
    <w:rsid w:val="00FE2C95"/>
    <w:rsid w:val="00FE32CE"/>
    <w:rsid w:val="00FE374A"/>
    <w:rsid w:val="00FE3927"/>
    <w:rsid w:val="00FE56F1"/>
    <w:rsid w:val="00FE63F4"/>
    <w:rsid w:val="00FE641E"/>
    <w:rsid w:val="00FE7151"/>
    <w:rsid w:val="00FE7262"/>
    <w:rsid w:val="00FE7E84"/>
    <w:rsid w:val="00FF05C7"/>
    <w:rsid w:val="00FF1CAB"/>
    <w:rsid w:val="00FF3FD7"/>
    <w:rsid w:val="00FF42F9"/>
    <w:rsid w:val="00FF43D9"/>
    <w:rsid w:val="00FF7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D4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2F8"/>
  </w:style>
  <w:style w:type="table" w:styleId="TableGrid">
    <w:name w:val="Table Grid"/>
    <w:basedOn w:val="TableNormal"/>
    <w:uiPriority w:val="39"/>
    <w:rsid w:val="00D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3279"/>
    <w:pPr>
      <w:tabs>
        <w:tab w:val="center" w:pos="4153"/>
        <w:tab w:val="right" w:pos="8306"/>
      </w:tabs>
    </w:pPr>
  </w:style>
  <w:style w:type="character" w:styleId="PageNumber">
    <w:name w:val="page number"/>
    <w:basedOn w:val="DefaultParagraphFont"/>
    <w:rsid w:val="007C3279"/>
  </w:style>
  <w:style w:type="paragraph" w:styleId="BalloonText">
    <w:name w:val="Balloon Text"/>
    <w:basedOn w:val="Normal"/>
    <w:link w:val="BalloonTextChar"/>
    <w:rsid w:val="001241AA"/>
    <w:rPr>
      <w:rFonts w:ascii="Lucida Grande" w:hAnsi="Lucida Grande"/>
      <w:sz w:val="18"/>
      <w:szCs w:val="18"/>
      <w:lang w:val="x-none" w:eastAsia="x-none"/>
    </w:rPr>
  </w:style>
  <w:style w:type="character" w:customStyle="1" w:styleId="BalloonTextChar">
    <w:name w:val="Balloon Text Char"/>
    <w:link w:val="BalloonText"/>
    <w:rsid w:val="001241AA"/>
    <w:rPr>
      <w:rFonts w:ascii="Lucida Grande" w:hAnsi="Lucida Grande"/>
      <w:sz w:val="18"/>
      <w:szCs w:val="18"/>
    </w:rPr>
  </w:style>
  <w:style w:type="character" w:styleId="CommentReference">
    <w:name w:val="annotation reference"/>
    <w:rsid w:val="001241AA"/>
    <w:rPr>
      <w:sz w:val="18"/>
      <w:szCs w:val="18"/>
    </w:rPr>
  </w:style>
  <w:style w:type="paragraph" w:styleId="CommentText">
    <w:name w:val="annotation text"/>
    <w:basedOn w:val="Normal"/>
    <w:link w:val="CommentTextChar"/>
    <w:uiPriority w:val="99"/>
    <w:rsid w:val="001241AA"/>
    <w:rPr>
      <w:lang w:val="x-none" w:eastAsia="x-none"/>
    </w:rPr>
  </w:style>
  <w:style w:type="character" w:customStyle="1" w:styleId="CommentTextChar">
    <w:name w:val="Comment Text Char"/>
    <w:link w:val="CommentText"/>
    <w:uiPriority w:val="99"/>
    <w:rsid w:val="001241AA"/>
    <w:rPr>
      <w:sz w:val="24"/>
      <w:szCs w:val="24"/>
    </w:rPr>
  </w:style>
  <w:style w:type="paragraph" w:styleId="CommentSubject">
    <w:name w:val="annotation subject"/>
    <w:basedOn w:val="CommentText"/>
    <w:next w:val="CommentText"/>
    <w:link w:val="CommentSubjectChar"/>
    <w:rsid w:val="001241AA"/>
    <w:rPr>
      <w:b/>
      <w:bCs/>
    </w:rPr>
  </w:style>
  <w:style w:type="character" w:customStyle="1" w:styleId="CommentSubjectChar">
    <w:name w:val="Comment Subject Char"/>
    <w:link w:val="CommentSubject"/>
    <w:rsid w:val="001241AA"/>
    <w:rPr>
      <w:b/>
      <w:bCs/>
      <w:sz w:val="24"/>
      <w:szCs w:val="24"/>
    </w:rPr>
  </w:style>
  <w:style w:type="paragraph" w:styleId="NormalWeb">
    <w:name w:val="Normal (Web)"/>
    <w:basedOn w:val="Normal"/>
    <w:uiPriority w:val="99"/>
    <w:rsid w:val="00C90D11"/>
    <w:pPr>
      <w:spacing w:before="120" w:after="216"/>
    </w:pPr>
    <w:rPr>
      <w:lang w:val="en-GB" w:eastAsia="en-GB"/>
    </w:rPr>
  </w:style>
  <w:style w:type="paragraph" w:styleId="ListParagraph">
    <w:name w:val="List Paragraph"/>
    <w:basedOn w:val="Normal"/>
    <w:uiPriority w:val="34"/>
    <w:qFormat/>
    <w:rsid w:val="00727824"/>
    <w:pPr>
      <w:ind w:left="720"/>
      <w:contextualSpacing/>
    </w:pPr>
    <w:rPr>
      <w:lang w:val="en-ZA" w:eastAsia="en-ZA"/>
    </w:rPr>
  </w:style>
  <w:style w:type="paragraph" w:styleId="Header">
    <w:name w:val="header"/>
    <w:basedOn w:val="Normal"/>
    <w:link w:val="HeaderChar"/>
    <w:rsid w:val="0027180B"/>
    <w:pPr>
      <w:tabs>
        <w:tab w:val="center" w:pos="4513"/>
        <w:tab w:val="right" w:pos="9026"/>
      </w:tabs>
    </w:pPr>
  </w:style>
  <w:style w:type="character" w:customStyle="1" w:styleId="HeaderChar">
    <w:name w:val="Header Char"/>
    <w:link w:val="Header"/>
    <w:rsid w:val="0027180B"/>
    <w:rPr>
      <w:sz w:val="24"/>
      <w:szCs w:val="24"/>
      <w:lang w:val="en-US" w:eastAsia="en-US"/>
    </w:rPr>
  </w:style>
  <w:style w:type="paragraph" w:customStyle="1" w:styleId="Default">
    <w:name w:val="Default"/>
    <w:rsid w:val="00FC2CE5"/>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7C5F17"/>
    <w:rPr>
      <w:sz w:val="20"/>
      <w:szCs w:val="20"/>
      <w:lang w:val="en-GB"/>
    </w:rPr>
  </w:style>
  <w:style w:type="character" w:customStyle="1" w:styleId="FootnoteTextChar">
    <w:name w:val="Footnote Text Char"/>
    <w:link w:val="FootnoteText"/>
    <w:rsid w:val="007C5F17"/>
    <w:rPr>
      <w:lang w:val="en-GB" w:eastAsia="en-US"/>
    </w:rPr>
  </w:style>
  <w:style w:type="character" w:styleId="FootnoteReference">
    <w:name w:val="footnote reference"/>
    <w:rsid w:val="007C5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2F8"/>
  </w:style>
  <w:style w:type="table" w:styleId="TableGrid">
    <w:name w:val="Table Grid"/>
    <w:basedOn w:val="TableNormal"/>
    <w:uiPriority w:val="39"/>
    <w:rsid w:val="00D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3279"/>
    <w:pPr>
      <w:tabs>
        <w:tab w:val="center" w:pos="4153"/>
        <w:tab w:val="right" w:pos="8306"/>
      </w:tabs>
    </w:pPr>
  </w:style>
  <w:style w:type="character" w:styleId="PageNumber">
    <w:name w:val="page number"/>
    <w:basedOn w:val="DefaultParagraphFont"/>
    <w:rsid w:val="007C3279"/>
  </w:style>
  <w:style w:type="paragraph" w:styleId="BalloonText">
    <w:name w:val="Balloon Text"/>
    <w:basedOn w:val="Normal"/>
    <w:link w:val="BalloonTextChar"/>
    <w:rsid w:val="001241AA"/>
    <w:rPr>
      <w:rFonts w:ascii="Lucida Grande" w:hAnsi="Lucida Grande"/>
      <w:sz w:val="18"/>
      <w:szCs w:val="18"/>
      <w:lang w:val="x-none" w:eastAsia="x-none"/>
    </w:rPr>
  </w:style>
  <w:style w:type="character" w:customStyle="1" w:styleId="BalloonTextChar">
    <w:name w:val="Balloon Text Char"/>
    <w:link w:val="BalloonText"/>
    <w:rsid w:val="001241AA"/>
    <w:rPr>
      <w:rFonts w:ascii="Lucida Grande" w:hAnsi="Lucida Grande"/>
      <w:sz w:val="18"/>
      <w:szCs w:val="18"/>
    </w:rPr>
  </w:style>
  <w:style w:type="character" w:styleId="CommentReference">
    <w:name w:val="annotation reference"/>
    <w:rsid w:val="001241AA"/>
    <w:rPr>
      <w:sz w:val="18"/>
      <w:szCs w:val="18"/>
    </w:rPr>
  </w:style>
  <w:style w:type="paragraph" w:styleId="CommentText">
    <w:name w:val="annotation text"/>
    <w:basedOn w:val="Normal"/>
    <w:link w:val="CommentTextChar"/>
    <w:uiPriority w:val="99"/>
    <w:rsid w:val="001241AA"/>
    <w:rPr>
      <w:lang w:val="x-none" w:eastAsia="x-none"/>
    </w:rPr>
  </w:style>
  <w:style w:type="character" w:customStyle="1" w:styleId="CommentTextChar">
    <w:name w:val="Comment Text Char"/>
    <w:link w:val="CommentText"/>
    <w:uiPriority w:val="99"/>
    <w:rsid w:val="001241AA"/>
    <w:rPr>
      <w:sz w:val="24"/>
      <w:szCs w:val="24"/>
    </w:rPr>
  </w:style>
  <w:style w:type="paragraph" w:styleId="CommentSubject">
    <w:name w:val="annotation subject"/>
    <w:basedOn w:val="CommentText"/>
    <w:next w:val="CommentText"/>
    <w:link w:val="CommentSubjectChar"/>
    <w:rsid w:val="001241AA"/>
    <w:rPr>
      <w:b/>
      <w:bCs/>
    </w:rPr>
  </w:style>
  <w:style w:type="character" w:customStyle="1" w:styleId="CommentSubjectChar">
    <w:name w:val="Comment Subject Char"/>
    <w:link w:val="CommentSubject"/>
    <w:rsid w:val="001241AA"/>
    <w:rPr>
      <w:b/>
      <w:bCs/>
      <w:sz w:val="24"/>
      <w:szCs w:val="24"/>
    </w:rPr>
  </w:style>
  <w:style w:type="paragraph" w:styleId="NormalWeb">
    <w:name w:val="Normal (Web)"/>
    <w:basedOn w:val="Normal"/>
    <w:uiPriority w:val="99"/>
    <w:rsid w:val="00C90D11"/>
    <w:pPr>
      <w:spacing w:before="120" w:after="216"/>
    </w:pPr>
    <w:rPr>
      <w:lang w:val="en-GB" w:eastAsia="en-GB"/>
    </w:rPr>
  </w:style>
  <w:style w:type="paragraph" w:styleId="ListParagraph">
    <w:name w:val="List Paragraph"/>
    <w:basedOn w:val="Normal"/>
    <w:uiPriority w:val="34"/>
    <w:qFormat/>
    <w:rsid w:val="00727824"/>
    <w:pPr>
      <w:ind w:left="720"/>
      <w:contextualSpacing/>
    </w:pPr>
    <w:rPr>
      <w:lang w:val="en-ZA" w:eastAsia="en-ZA"/>
    </w:rPr>
  </w:style>
  <w:style w:type="paragraph" w:styleId="Header">
    <w:name w:val="header"/>
    <w:basedOn w:val="Normal"/>
    <w:link w:val="HeaderChar"/>
    <w:rsid w:val="0027180B"/>
    <w:pPr>
      <w:tabs>
        <w:tab w:val="center" w:pos="4513"/>
        <w:tab w:val="right" w:pos="9026"/>
      </w:tabs>
    </w:pPr>
  </w:style>
  <w:style w:type="character" w:customStyle="1" w:styleId="HeaderChar">
    <w:name w:val="Header Char"/>
    <w:link w:val="Header"/>
    <w:rsid w:val="0027180B"/>
    <w:rPr>
      <w:sz w:val="24"/>
      <w:szCs w:val="24"/>
      <w:lang w:val="en-US" w:eastAsia="en-US"/>
    </w:rPr>
  </w:style>
  <w:style w:type="paragraph" w:customStyle="1" w:styleId="Default">
    <w:name w:val="Default"/>
    <w:rsid w:val="00FC2CE5"/>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7C5F17"/>
    <w:rPr>
      <w:sz w:val="20"/>
      <w:szCs w:val="20"/>
      <w:lang w:val="en-GB"/>
    </w:rPr>
  </w:style>
  <w:style w:type="character" w:customStyle="1" w:styleId="FootnoteTextChar">
    <w:name w:val="Footnote Text Char"/>
    <w:link w:val="FootnoteText"/>
    <w:rsid w:val="007C5F17"/>
    <w:rPr>
      <w:lang w:val="en-GB" w:eastAsia="en-US"/>
    </w:rPr>
  </w:style>
  <w:style w:type="character" w:styleId="FootnoteReference">
    <w:name w:val="footnote reference"/>
    <w:rsid w:val="007C5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86">
      <w:bodyDiv w:val="1"/>
      <w:marLeft w:val="0"/>
      <w:marRight w:val="0"/>
      <w:marTop w:val="0"/>
      <w:marBottom w:val="0"/>
      <w:divBdr>
        <w:top w:val="none" w:sz="0" w:space="0" w:color="auto"/>
        <w:left w:val="none" w:sz="0" w:space="0" w:color="auto"/>
        <w:bottom w:val="none" w:sz="0" w:space="0" w:color="auto"/>
        <w:right w:val="none" w:sz="0" w:space="0" w:color="auto"/>
      </w:divBdr>
      <w:divsChild>
        <w:div w:id="70856847">
          <w:marLeft w:val="1195"/>
          <w:marRight w:val="0"/>
          <w:marTop w:val="120"/>
          <w:marBottom w:val="0"/>
          <w:divBdr>
            <w:top w:val="none" w:sz="0" w:space="0" w:color="auto"/>
            <w:left w:val="none" w:sz="0" w:space="0" w:color="auto"/>
            <w:bottom w:val="none" w:sz="0" w:space="0" w:color="auto"/>
            <w:right w:val="none" w:sz="0" w:space="0" w:color="auto"/>
          </w:divBdr>
        </w:div>
        <w:div w:id="471674795">
          <w:marLeft w:val="504"/>
          <w:marRight w:val="0"/>
          <w:marTop w:val="120"/>
          <w:marBottom w:val="0"/>
          <w:divBdr>
            <w:top w:val="none" w:sz="0" w:space="0" w:color="auto"/>
            <w:left w:val="none" w:sz="0" w:space="0" w:color="auto"/>
            <w:bottom w:val="none" w:sz="0" w:space="0" w:color="auto"/>
            <w:right w:val="none" w:sz="0" w:space="0" w:color="auto"/>
          </w:divBdr>
        </w:div>
        <w:div w:id="1413818277">
          <w:marLeft w:val="1195"/>
          <w:marRight w:val="0"/>
          <w:marTop w:val="120"/>
          <w:marBottom w:val="0"/>
          <w:divBdr>
            <w:top w:val="none" w:sz="0" w:space="0" w:color="auto"/>
            <w:left w:val="none" w:sz="0" w:space="0" w:color="auto"/>
            <w:bottom w:val="none" w:sz="0" w:space="0" w:color="auto"/>
            <w:right w:val="none" w:sz="0" w:space="0" w:color="auto"/>
          </w:divBdr>
        </w:div>
        <w:div w:id="2034913288">
          <w:marLeft w:val="1195"/>
          <w:marRight w:val="0"/>
          <w:marTop w:val="120"/>
          <w:marBottom w:val="0"/>
          <w:divBdr>
            <w:top w:val="none" w:sz="0" w:space="0" w:color="auto"/>
            <w:left w:val="none" w:sz="0" w:space="0" w:color="auto"/>
            <w:bottom w:val="none" w:sz="0" w:space="0" w:color="auto"/>
            <w:right w:val="none" w:sz="0" w:space="0" w:color="auto"/>
          </w:divBdr>
        </w:div>
      </w:divsChild>
    </w:div>
    <w:div w:id="76631723">
      <w:bodyDiv w:val="1"/>
      <w:marLeft w:val="0"/>
      <w:marRight w:val="0"/>
      <w:marTop w:val="0"/>
      <w:marBottom w:val="0"/>
      <w:divBdr>
        <w:top w:val="none" w:sz="0" w:space="0" w:color="auto"/>
        <w:left w:val="none" w:sz="0" w:space="0" w:color="auto"/>
        <w:bottom w:val="none" w:sz="0" w:space="0" w:color="auto"/>
        <w:right w:val="none" w:sz="0" w:space="0" w:color="auto"/>
      </w:divBdr>
    </w:div>
    <w:div w:id="200165968">
      <w:bodyDiv w:val="1"/>
      <w:marLeft w:val="0"/>
      <w:marRight w:val="0"/>
      <w:marTop w:val="0"/>
      <w:marBottom w:val="0"/>
      <w:divBdr>
        <w:top w:val="none" w:sz="0" w:space="0" w:color="auto"/>
        <w:left w:val="none" w:sz="0" w:space="0" w:color="auto"/>
        <w:bottom w:val="none" w:sz="0" w:space="0" w:color="auto"/>
        <w:right w:val="none" w:sz="0" w:space="0" w:color="auto"/>
      </w:divBdr>
      <w:divsChild>
        <w:div w:id="35591026">
          <w:marLeft w:val="1238"/>
          <w:marRight w:val="0"/>
          <w:marTop w:val="140"/>
          <w:marBottom w:val="0"/>
          <w:divBdr>
            <w:top w:val="none" w:sz="0" w:space="0" w:color="auto"/>
            <w:left w:val="none" w:sz="0" w:space="0" w:color="auto"/>
            <w:bottom w:val="none" w:sz="0" w:space="0" w:color="auto"/>
            <w:right w:val="none" w:sz="0" w:space="0" w:color="auto"/>
          </w:divBdr>
        </w:div>
        <w:div w:id="192883905">
          <w:marLeft w:val="1238"/>
          <w:marRight w:val="0"/>
          <w:marTop w:val="140"/>
          <w:marBottom w:val="0"/>
          <w:divBdr>
            <w:top w:val="none" w:sz="0" w:space="0" w:color="auto"/>
            <w:left w:val="none" w:sz="0" w:space="0" w:color="auto"/>
            <w:bottom w:val="none" w:sz="0" w:space="0" w:color="auto"/>
            <w:right w:val="none" w:sz="0" w:space="0" w:color="auto"/>
          </w:divBdr>
        </w:div>
        <w:div w:id="1358971789">
          <w:marLeft w:val="547"/>
          <w:marRight w:val="0"/>
          <w:marTop w:val="140"/>
          <w:marBottom w:val="0"/>
          <w:divBdr>
            <w:top w:val="none" w:sz="0" w:space="0" w:color="auto"/>
            <w:left w:val="none" w:sz="0" w:space="0" w:color="auto"/>
            <w:bottom w:val="none" w:sz="0" w:space="0" w:color="auto"/>
            <w:right w:val="none" w:sz="0" w:space="0" w:color="auto"/>
          </w:divBdr>
        </w:div>
        <w:div w:id="1892426317">
          <w:marLeft w:val="1238"/>
          <w:marRight w:val="0"/>
          <w:marTop w:val="140"/>
          <w:marBottom w:val="0"/>
          <w:divBdr>
            <w:top w:val="none" w:sz="0" w:space="0" w:color="auto"/>
            <w:left w:val="none" w:sz="0" w:space="0" w:color="auto"/>
            <w:bottom w:val="none" w:sz="0" w:space="0" w:color="auto"/>
            <w:right w:val="none" w:sz="0" w:space="0" w:color="auto"/>
          </w:divBdr>
        </w:div>
      </w:divsChild>
    </w:div>
    <w:div w:id="254168051">
      <w:bodyDiv w:val="1"/>
      <w:marLeft w:val="0"/>
      <w:marRight w:val="0"/>
      <w:marTop w:val="0"/>
      <w:marBottom w:val="0"/>
      <w:divBdr>
        <w:top w:val="none" w:sz="0" w:space="0" w:color="auto"/>
        <w:left w:val="none" w:sz="0" w:space="0" w:color="auto"/>
        <w:bottom w:val="none" w:sz="0" w:space="0" w:color="auto"/>
        <w:right w:val="none" w:sz="0" w:space="0" w:color="auto"/>
      </w:divBdr>
      <w:divsChild>
        <w:div w:id="1875773494">
          <w:marLeft w:val="547"/>
          <w:marRight w:val="0"/>
          <w:marTop w:val="140"/>
          <w:marBottom w:val="0"/>
          <w:divBdr>
            <w:top w:val="none" w:sz="0" w:space="0" w:color="auto"/>
            <w:left w:val="none" w:sz="0" w:space="0" w:color="auto"/>
            <w:bottom w:val="none" w:sz="0" w:space="0" w:color="auto"/>
            <w:right w:val="none" w:sz="0" w:space="0" w:color="auto"/>
          </w:divBdr>
        </w:div>
      </w:divsChild>
    </w:div>
    <w:div w:id="412170130">
      <w:bodyDiv w:val="1"/>
      <w:marLeft w:val="0"/>
      <w:marRight w:val="0"/>
      <w:marTop w:val="0"/>
      <w:marBottom w:val="0"/>
      <w:divBdr>
        <w:top w:val="none" w:sz="0" w:space="0" w:color="auto"/>
        <w:left w:val="none" w:sz="0" w:space="0" w:color="auto"/>
        <w:bottom w:val="none" w:sz="0" w:space="0" w:color="auto"/>
        <w:right w:val="none" w:sz="0" w:space="0" w:color="auto"/>
      </w:divBdr>
      <w:divsChild>
        <w:div w:id="922761391">
          <w:marLeft w:val="547"/>
          <w:marRight w:val="0"/>
          <w:marTop w:val="115"/>
          <w:marBottom w:val="0"/>
          <w:divBdr>
            <w:top w:val="none" w:sz="0" w:space="0" w:color="auto"/>
            <w:left w:val="none" w:sz="0" w:space="0" w:color="auto"/>
            <w:bottom w:val="none" w:sz="0" w:space="0" w:color="auto"/>
            <w:right w:val="none" w:sz="0" w:space="0" w:color="auto"/>
          </w:divBdr>
        </w:div>
      </w:divsChild>
    </w:div>
    <w:div w:id="505023447">
      <w:bodyDiv w:val="1"/>
      <w:marLeft w:val="0"/>
      <w:marRight w:val="0"/>
      <w:marTop w:val="0"/>
      <w:marBottom w:val="0"/>
      <w:divBdr>
        <w:top w:val="none" w:sz="0" w:space="0" w:color="auto"/>
        <w:left w:val="none" w:sz="0" w:space="0" w:color="auto"/>
        <w:bottom w:val="none" w:sz="0" w:space="0" w:color="auto"/>
        <w:right w:val="none" w:sz="0" w:space="0" w:color="auto"/>
      </w:divBdr>
      <w:divsChild>
        <w:div w:id="1921718104">
          <w:marLeft w:val="432"/>
          <w:marRight w:val="0"/>
          <w:marTop w:val="86"/>
          <w:marBottom w:val="0"/>
          <w:divBdr>
            <w:top w:val="none" w:sz="0" w:space="0" w:color="auto"/>
            <w:left w:val="none" w:sz="0" w:space="0" w:color="auto"/>
            <w:bottom w:val="none" w:sz="0" w:space="0" w:color="auto"/>
            <w:right w:val="none" w:sz="0" w:space="0" w:color="auto"/>
          </w:divBdr>
        </w:div>
      </w:divsChild>
    </w:div>
    <w:div w:id="883106098">
      <w:bodyDiv w:val="1"/>
      <w:marLeft w:val="0"/>
      <w:marRight w:val="0"/>
      <w:marTop w:val="0"/>
      <w:marBottom w:val="0"/>
      <w:divBdr>
        <w:top w:val="none" w:sz="0" w:space="0" w:color="auto"/>
        <w:left w:val="none" w:sz="0" w:space="0" w:color="auto"/>
        <w:bottom w:val="none" w:sz="0" w:space="0" w:color="auto"/>
        <w:right w:val="none" w:sz="0" w:space="0" w:color="auto"/>
      </w:divBdr>
      <w:divsChild>
        <w:div w:id="38668465">
          <w:marLeft w:val="504"/>
          <w:marRight w:val="0"/>
          <w:marTop w:val="120"/>
          <w:marBottom w:val="0"/>
          <w:divBdr>
            <w:top w:val="none" w:sz="0" w:space="0" w:color="auto"/>
            <w:left w:val="none" w:sz="0" w:space="0" w:color="auto"/>
            <w:bottom w:val="none" w:sz="0" w:space="0" w:color="auto"/>
            <w:right w:val="none" w:sz="0" w:space="0" w:color="auto"/>
          </w:divBdr>
        </w:div>
        <w:div w:id="507254280">
          <w:marLeft w:val="1195"/>
          <w:marRight w:val="0"/>
          <w:marTop w:val="120"/>
          <w:marBottom w:val="0"/>
          <w:divBdr>
            <w:top w:val="none" w:sz="0" w:space="0" w:color="auto"/>
            <w:left w:val="none" w:sz="0" w:space="0" w:color="auto"/>
            <w:bottom w:val="none" w:sz="0" w:space="0" w:color="auto"/>
            <w:right w:val="none" w:sz="0" w:space="0" w:color="auto"/>
          </w:divBdr>
        </w:div>
        <w:div w:id="1078482141">
          <w:marLeft w:val="504"/>
          <w:marRight w:val="0"/>
          <w:marTop w:val="120"/>
          <w:marBottom w:val="0"/>
          <w:divBdr>
            <w:top w:val="none" w:sz="0" w:space="0" w:color="auto"/>
            <w:left w:val="none" w:sz="0" w:space="0" w:color="auto"/>
            <w:bottom w:val="none" w:sz="0" w:space="0" w:color="auto"/>
            <w:right w:val="none" w:sz="0" w:space="0" w:color="auto"/>
          </w:divBdr>
        </w:div>
      </w:divsChild>
    </w:div>
    <w:div w:id="891159563">
      <w:bodyDiv w:val="1"/>
      <w:marLeft w:val="0"/>
      <w:marRight w:val="0"/>
      <w:marTop w:val="0"/>
      <w:marBottom w:val="0"/>
      <w:divBdr>
        <w:top w:val="none" w:sz="0" w:space="0" w:color="auto"/>
        <w:left w:val="none" w:sz="0" w:space="0" w:color="auto"/>
        <w:bottom w:val="none" w:sz="0" w:space="0" w:color="auto"/>
        <w:right w:val="none" w:sz="0" w:space="0" w:color="auto"/>
      </w:divBdr>
      <w:divsChild>
        <w:div w:id="79258482">
          <w:marLeft w:val="547"/>
          <w:marRight w:val="0"/>
          <w:marTop w:val="140"/>
          <w:marBottom w:val="0"/>
          <w:divBdr>
            <w:top w:val="none" w:sz="0" w:space="0" w:color="auto"/>
            <w:left w:val="none" w:sz="0" w:space="0" w:color="auto"/>
            <w:bottom w:val="none" w:sz="0" w:space="0" w:color="auto"/>
            <w:right w:val="none" w:sz="0" w:space="0" w:color="auto"/>
          </w:divBdr>
        </w:div>
        <w:div w:id="143208135">
          <w:marLeft w:val="547"/>
          <w:marRight w:val="0"/>
          <w:marTop w:val="140"/>
          <w:marBottom w:val="0"/>
          <w:divBdr>
            <w:top w:val="none" w:sz="0" w:space="0" w:color="auto"/>
            <w:left w:val="none" w:sz="0" w:space="0" w:color="auto"/>
            <w:bottom w:val="none" w:sz="0" w:space="0" w:color="auto"/>
            <w:right w:val="none" w:sz="0" w:space="0" w:color="auto"/>
          </w:divBdr>
        </w:div>
      </w:divsChild>
    </w:div>
    <w:div w:id="970982700">
      <w:bodyDiv w:val="1"/>
      <w:marLeft w:val="0"/>
      <w:marRight w:val="0"/>
      <w:marTop w:val="0"/>
      <w:marBottom w:val="0"/>
      <w:divBdr>
        <w:top w:val="none" w:sz="0" w:space="0" w:color="auto"/>
        <w:left w:val="none" w:sz="0" w:space="0" w:color="auto"/>
        <w:bottom w:val="none" w:sz="0" w:space="0" w:color="auto"/>
        <w:right w:val="none" w:sz="0" w:space="0" w:color="auto"/>
      </w:divBdr>
      <w:divsChild>
        <w:div w:id="367723281">
          <w:marLeft w:val="547"/>
          <w:marRight w:val="0"/>
          <w:marTop w:val="106"/>
          <w:marBottom w:val="0"/>
          <w:divBdr>
            <w:top w:val="none" w:sz="0" w:space="0" w:color="auto"/>
            <w:left w:val="none" w:sz="0" w:space="0" w:color="auto"/>
            <w:bottom w:val="none" w:sz="0" w:space="0" w:color="auto"/>
            <w:right w:val="none" w:sz="0" w:space="0" w:color="auto"/>
          </w:divBdr>
        </w:div>
        <w:div w:id="907035041">
          <w:marLeft w:val="1166"/>
          <w:marRight w:val="0"/>
          <w:marTop w:val="106"/>
          <w:marBottom w:val="0"/>
          <w:divBdr>
            <w:top w:val="none" w:sz="0" w:space="0" w:color="auto"/>
            <w:left w:val="none" w:sz="0" w:space="0" w:color="auto"/>
            <w:bottom w:val="none" w:sz="0" w:space="0" w:color="auto"/>
            <w:right w:val="none" w:sz="0" w:space="0" w:color="auto"/>
          </w:divBdr>
        </w:div>
        <w:div w:id="1042636650">
          <w:marLeft w:val="1800"/>
          <w:marRight w:val="0"/>
          <w:marTop w:val="86"/>
          <w:marBottom w:val="0"/>
          <w:divBdr>
            <w:top w:val="none" w:sz="0" w:space="0" w:color="auto"/>
            <w:left w:val="none" w:sz="0" w:space="0" w:color="auto"/>
            <w:bottom w:val="none" w:sz="0" w:space="0" w:color="auto"/>
            <w:right w:val="none" w:sz="0" w:space="0" w:color="auto"/>
          </w:divBdr>
        </w:div>
        <w:div w:id="1071077833">
          <w:marLeft w:val="1800"/>
          <w:marRight w:val="0"/>
          <w:marTop w:val="86"/>
          <w:marBottom w:val="0"/>
          <w:divBdr>
            <w:top w:val="none" w:sz="0" w:space="0" w:color="auto"/>
            <w:left w:val="none" w:sz="0" w:space="0" w:color="auto"/>
            <w:bottom w:val="none" w:sz="0" w:space="0" w:color="auto"/>
            <w:right w:val="none" w:sz="0" w:space="0" w:color="auto"/>
          </w:divBdr>
        </w:div>
        <w:div w:id="1718775586">
          <w:marLeft w:val="547"/>
          <w:marRight w:val="0"/>
          <w:marTop w:val="106"/>
          <w:marBottom w:val="0"/>
          <w:divBdr>
            <w:top w:val="none" w:sz="0" w:space="0" w:color="auto"/>
            <w:left w:val="none" w:sz="0" w:space="0" w:color="auto"/>
            <w:bottom w:val="none" w:sz="0" w:space="0" w:color="auto"/>
            <w:right w:val="none" w:sz="0" w:space="0" w:color="auto"/>
          </w:divBdr>
        </w:div>
        <w:div w:id="1835603891">
          <w:marLeft w:val="1166"/>
          <w:marRight w:val="0"/>
          <w:marTop w:val="106"/>
          <w:marBottom w:val="0"/>
          <w:divBdr>
            <w:top w:val="none" w:sz="0" w:space="0" w:color="auto"/>
            <w:left w:val="none" w:sz="0" w:space="0" w:color="auto"/>
            <w:bottom w:val="none" w:sz="0" w:space="0" w:color="auto"/>
            <w:right w:val="none" w:sz="0" w:space="0" w:color="auto"/>
          </w:divBdr>
        </w:div>
        <w:div w:id="1936549437">
          <w:marLeft w:val="1166"/>
          <w:marRight w:val="0"/>
          <w:marTop w:val="96"/>
          <w:marBottom w:val="0"/>
          <w:divBdr>
            <w:top w:val="none" w:sz="0" w:space="0" w:color="auto"/>
            <w:left w:val="none" w:sz="0" w:space="0" w:color="auto"/>
            <w:bottom w:val="none" w:sz="0" w:space="0" w:color="auto"/>
            <w:right w:val="none" w:sz="0" w:space="0" w:color="auto"/>
          </w:divBdr>
        </w:div>
      </w:divsChild>
    </w:div>
    <w:div w:id="985626659">
      <w:bodyDiv w:val="1"/>
      <w:marLeft w:val="0"/>
      <w:marRight w:val="0"/>
      <w:marTop w:val="0"/>
      <w:marBottom w:val="0"/>
      <w:divBdr>
        <w:top w:val="none" w:sz="0" w:space="0" w:color="auto"/>
        <w:left w:val="none" w:sz="0" w:space="0" w:color="auto"/>
        <w:bottom w:val="none" w:sz="0" w:space="0" w:color="auto"/>
        <w:right w:val="none" w:sz="0" w:space="0" w:color="auto"/>
      </w:divBdr>
      <w:divsChild>
        <w:div w:id="1007093447">
          <w:marLeft w:val="547"/>
          <w:marRight w:val="0"/>
          <w:marTop w:val="140"/>
          <w:marBottom w:val="0"/>
          <w:divBdr>
            <w:top w:val="none" w:sz="0" w:space="0" w:color="auto"/>
            <w:left w:val="none" w:sz="0" w:space="0" w:color="auto"/>
            <w:bottom w:val="none" w:sz="0" w:space="0" w:color="auto"/>
            <w:right w:val="none" w:sz="0" w:space="0" w:color="auto"/>
          </w:divBdr>
        </w:div>
        <w:div w:id="1063261363">
          <w:marLeft w:val="1915"/>
          <w:marRight w:val="0"/>
          <w:marTop w:val="140"/>
          <w:marBottom w:val="0"/>
          <w:divBdr>
            <w:top w:val="none" w:sz="0" w:space="0" w:color="auto"/>
            <w:left w:val="none" w:sz="0" w:space="0" w:color="auto"/>
            <w:bottom w:val="none" w:sz="0" w:space="0" w:color="auto"/>
            <w:right w:val="none" w:sz="0" w:space="0" w:color="auto"/>
          </w:divBdr>
        </w:div>
        <w:div w:id="1507744829">
          <w:marLeft w:val="1238"/>
          <w:marRight w:val="0"/>
          <w:marTop w:val="140"/>
          <w:marBottom w:val="0"/>
          <w:divBdr>
            <w:top w:val="none" w:sz="0" w:space="0" w:color="auto"/>
            <w:left w:val="none" w:sz="0" w:space="0" w:color="auto"/>
            <w:bottom w:val="none" w:sz="0" w:space="0" w:color="auto"/>
            <w:right w:val="none" w:sz="0" w:space="0" w:color="auto"/>
          </w:divBdr>
        </w:div>
        <w:div w:id="1554346856">
          <w:marLeft w:val="1238"/>
          <w:marRight w:val="0"/>
          <w:marTop w:val="140"/>
          <w:marBottom w:val="0"/>
          <w:divBdr>
            <w:top w:val="none" w:sz="0" w:space="0" w:color="auto"/>
            <w:left w:val="none" w:sz="0" w:space="0" w:color="auto"/>
            <w:bottom w:val="none" w:sz="0" w:space="0" w:color="auto"/>
            <w:right w:val="none" w:sz="0" w:space="0" w:color="auto"/>
          </w:divBdr>
        </w:div>
        <w:div w:id="1637249465">
          <w:marLeft w:val="1238"/>
          <w:marRight w:val="0"/>
          <w:marTop w:val="140"/>
          <w:marBottom w:val="0"/>
          <w:divBdr>
            <w:top w:val="none" w:sz="0" w:space="0" w:color="auto"/>
            <w:left w:val="none" w:sz="0" w:space="0" w:color="auto"/>
            <w:bottom w:val="none" w:sz="0" w:space="0" w:color="auto"/>
            <w:right w:val="none" w:sz="0" w:space="0" w:color="auto"/>
          </w:divBdr>
        </w:div>
      </w:divsChild>
    </w:div>
    <w:div w:id="1129586155">
      <w:bodyDiv w:val="1"/>
      <w:marLeft w:val="0"/>
      <w:marRight w:val="0"/>
      <w:marTop w:val="0"/>
      <w:marBottom w:val="0"/>
      <w:divBdr>
        <w:top w:val="none" w:sz="0" w:space="0" w:color="auto"/>
        <w:left w:val="none" w:sz="0" w:space="0" w:color="auto"/>
        <w:bottom w:val="none" w:sz="0" w:space="0" w:color="auto"/>
        <w:right w:val="none" w:sz="0" w:space="0" w:color="auto"/>
      </w:divBdr>
      <w:divsChild>
        <w:div w:id="207300879">
          <w:marLeft w:val="0"/>
          <w:marRight w:val="0"/>
          <w:marTop w:val="0"/>
          <w:marBottom w:val="0"/>
          <w:divBdr>
            <w:top w:val="none" w:sz="0" w:space="0" w:color="auto"/>
            <w:left w:val="none" w:sz="0" w:space="0" w:color="auto"/>
            <w:bottom w:val="none" w:sz="0" w:space="0" w:color="auto"/>
            <w:right w:val="none" w:sz="0" w:space="0" w:color="auto"/>
          </w:divBdr>
          <w:divsChild>
            <w:div w:id="1944219156">
              <w:marLeft w:val="0"/>
              <w:marRight w:val="0"/>
              <w:marTop w:val="0"/>
              <w:marBottom w:val="0"/>
              <w:divBdr>
                <w:top w:val="none" w:sz="0" w:space="0" w:color="auto"/>
                <w:left w:val="none" w:sz="0" w:space="0" w:color="auto"/>
                <w:bottom w:val="none" w:sz="0" w:space="0" w:color="auto"/>
                <w:right w:val="none" w:sz="0" w:space="0" w:color="auto"/>
              </w:divBdr>
              <w:divsChild>
                <w:div w:id="1911963005">
                  <w:marLeft w:val="-225"/>
                  <w:marRight w:val="-225"/>
                  <w:marTop w:val="0"/>
                  <w:marBottom w:val="0"/>
                  <w:divBdr>
                    <w:top w:val="none" w:sz="0" w:space="0" w:color="auto"/>
                    <w:left w:val="none" w:sz="0" w:space="0" w:color="auto"/>
                    <w:bottom w:val="none" w:sz="0" w:space="0" w:color="auto"/>
                    <w:right w:val="none" w:sz="0" w:space="0" w:color="auto"/>
                  </w:divBdr>
                  <w:divsChild>
                    <w:div w:id="632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967">
      <w:bodyDiv w:val="1"/>
      <w:marLeft w:val="0"/>
      <w:marRight w:val="0"/>
      <w:marTop w:val="0"/>
      <w:marBottom w:val="0"/>
      <w:divBdr>
        <w:top w:val="none" w:sz="0" w:space="0" w:color="auto"/>
        <w:left w:val="none" w:sz="0" w:space="0" w:color="auto"/>
        <w:bottom w:val="none" w:sz="0" w:space="0" w:color="auto"/>
        <w:right w:val="none" w:sz="0" w:space="0" w:color="auto"/>
      </w:divBdr>
    </w:div>
    <w:div w:id="1232470827">
      <w:bodyDiv w:val="1"/>
      <w:marLeft w:val="0"/>
      <w:marRight w:val="0"/>
      <w:marTop w:val="0"/>
      <w:marBottom w:val="0"/>
      <w:divBdr>
        <w:top w:val="none" w:sz="0" w:space="0" w:color="auto"/>
        <w:left w:val="none" w:sz="0" w:space="0" w:color="auto"/>
        <w:bottom w:val="none" w:sz="0" w:space="0" w:color="auto"/>
        <w:right w:val="none" w:sz="0" w:space="0" w:color="auto"/>
      </w:divBdr>
    </w:div>
    <w:div w:id="1243761409">
      <w:bodyDiv w:val="1"/>
      <w:marLeft w:val="0"/>
      <w:marRight w:val="0"/>
      <w:marTop w:val="0"/>
      <w:marBottom w:val="0"/>
      <w:divBdr>
        <w:top w:val="none" w:sz="0" w:space="0" w:color="auto"/>
        <w:left w:val="none" w:sz="0" w:space="0" w:color="auto"/>
        <w:bottom w:val="none" w:sz="0" w:space="0" w:color="auto"/>
        <w:right w:val="none" w:sz="0" w:space="0" w:color="auto"/>
      </w:divBdr>
      <w:divsChild>
        <w:div w:id="354758">
          <w:marLeft w:val="547"/>
          <w:marRight w:val="0"/>
          <w:marTop w:val="140"/>
          <w:marBottom w:val="0"/>
          <w:divBdr>
            <w:top w:val="none" w:sz="0" w:space="0" w:color="auto"/>
            <w:left w:val="none" w:sz="0" w:space="0" w:color="auto"/>
            <w:bottom w:val="none" w:sz="0" w:space="0" w:color="auto"/>
            <w:right w:val="none" w:sz="0" w:space="0" w:color="auto"/>
          </w:divBdr>
        </w:div>
        <w:div w:id="117188567">
          <w:marLeft w:val="1238"/>
          <w:marRight w:val="0"/>
          <w:marTop w:val="140"/>
          <w:marBottom w:val="0"/>
          <w:divBdr>
            <w:top w:val="none" w:sz="0" w:space="0" w:color="auto"/>
            <w:left w:val="none" w:sz="0" w:space="0" w:color="auto"/>
            <w:bottom w:val="none" w:sz="0" w:space="0" w:color="auto"/>
            <w:right w:val="none" w:sz="0" w:space="0" w:color="auto"/>
          </w:divBdr>
        </w:div>
        <w:div w:id="358505871">
          <w:marLeft w:val="547"/>
          <w:marRight w:val="0"/>
          <w:marTop w:val="140"/>
          <w:marBottom w:val="0"/>
          <w:divBdr>
            <w:top w:val="none" w:sz="0" w:space="0" w:color="auto"/>
            <w:left w:val="none" w:sz="0" w:space="0" w:color="auto"/>
            <w:bottom w:val="none" w:sz="0" w:space="0" w:color="auto"/>
            <w:right w:val="none" w:sz="0" w:space="0" w:color="auto"/>
          </w:divBdr>
        </w:div>
        <w:div w:id="2015298807">
          <w:marLeft w:val="547"/>
          <w:marRight w:val="0"/>
          <w:marTop w:val="140"/>
          <w:marBottom w:val="0"/>
          <w:divBdr>
            <w:top w:val="none" w:sz="0" w:space="0" w:color="auto"/>
            <w:left w:val="none" w:sz="0" w:space="0" w:color="auto"/>
            <w:bottom w:val="none" w:sz="0" w:space="0" w:color="auto"/>
            <w:right w:val="none" w:sz="0" w:space="0" w:color="auto"/>
          </w:divBdr>
        </w:div>
      </w:divsChild>
    </w:div>
    <w:div w:id="1285817781">
      <w:bodyDiv w:val="1"/>
      <w:marLeft w:val="0"/>
      <w:marRight w:val="0"/>
      <w:marTop w:val="0"/>
      <w:marBottom w:val="0"/>
      <w:divBdr>
        <w:top w:val="none" w:sz="0" w:space="0" w:color="auto"/>
        <w:left w:val="none" w:sz="0" w:space="0" w:color="auto"/>
        <w:bottom w:val="none" w:sz="0" w:space="0" w:color="auto"/>
        <w:right w:val="none" w:sz="0" w:space="0" w:color="auto"/>
      </w:divBdr>
    </w:div>
    <w:div w:id="1321348483">
      <w:bodyDiv w:val="1"/>
      <w:marLeft w:val="0"/>
      <w:marRight w:val="0"/>
      <w:marTop w:val="0"/>
      <w:marBottom w:val="0"/>
      <w:divBdr>
        <w:top w:val="none" w:sz="0" w:space="0" w:color="auto"/>
        <w:left w:val="none" w:sz="0" w:space="0" w:color="auto"/>
        <w:bottom w:val="none" w:sz="0" w:space="0" w:color="auto"/>
        <w:right w:val="none" w:sz="0" w:space="0" w:color="auto"/>
      </w:divBdr>
    </w:div>
    <w:div w:id="1396704739">
      <w:bodyDiv w:val="1"/>
      <w:marLeft w:val="0"/>
      <w:marRight w:val="0"/>
      <w:marTop w:val="0"/>
      <w:marBottom w:val="0"/>
      <w:divBdr>
        <w:top w:val="none" w:sz="0" w:space="0" w:color="auto"/>
        <w:left w:val="none" w:sz="0" w:space="0" w:color="auto"/>
        <w:bottom w:val="none" w:sz="0" w:space="0" w:color="auto"/>
        <w:right w:val="none" w:sz="0" w:space="0" w:color="auto"/>
      </w:divBdr>
    </w:div>
    <w:div w:id="1809127377">
      <w:bodyDiv w:val="1"/>
      <w:marLeft w:val="0"/>
      <w:marRight w:val="0"/>
      <w:marTop w:val="0"/>
      <w:marBottom w:val="0"/>
      <w:divBdr>
        <w:top w:val="none" w:sz="0" w:space="0" w:color="auto"/>
        <w:left w:val="none" w:sz="0" w:space="0" w:color="auto"/>
        <w:bottom w:val="none" w:sz="0" w:space="0" w:color="auto"/>
        <w:right w:val="none" w:sz="0" w:space="0" w:color="auto"/>
      </w:divBdr>
    </w:div>
    <w:div w:id="1845629658">
      <w:bodyDiv w:val="1"/>
      <w:marLeft w:val="0"/>
      <w:marRight w:val="0"/>
      <w:marTop w:val="0"/>
      <w:marBottom w:val="0"/>
      <w:divBdr>
        <w:top w:val="none" w:sz="0" w:space="0" w:color="auto"/>
        <w:left w:val="none" w:sz="0" w:space="0" w:color="auto"/>
        <w:bottom w:val="none" w:sz="0" w:space="0" w:color="auto"/>
        <w:right w:val="none" w:sz="0" w:space="0" w:color="auto"/>
      </w:divBdr>
      <w:divsChild>
        <w:div w:id="481654242">
          <w:marLeft w:val="547"/>
          <w:marRight w:val="0"/>
          <w:marTop w:val="140"/>
          <w:marBottom w:val="0"/>
          <w:divBdr>
            <w:top w:val="none" w:sz="0" w:space="0" w:color="auto"/>
            <w:left w:val="none" w:sz="0" w:space="0" w:color="auto"/>
            <w:bottom w:val="none" w:sz="0" w:space="0" w:color="auto"/>
            <w:right w:val="none" w:sz="0" w:space="0" w:color="auto"/>
          </w:divBdr>
        </w:div>
        <w:div w:id="616376939">
          <w:marLeft w:val="1238"/>
          <w:marRight w:val="0"/>
          <w:marTop w:val="0"/>
          <w:marBottom w:val="0"/>
          <w:divBdr>
            <w:top w:val="none" w:sz="0" w:space="0" w:color="auto"/>
            <w:left w:val="none" w:sz="0" w:space="0" w:color="auto"/>
            <w:bottom w:val="none" w:sz="0" w:space="0" w:color="auto"/>
            <w:right w:val="none" w:sz="0" w:space="0" w:color="auto"/>
          </w:divBdr>
        </w:div>
        <w:div w:id="1315913485">
          <w:marLeft w:val="1238"/>
          <w:marRight w:val="0"/>
          <w:marTop w:val="0"/>
          <w:marBottom w:val="0"/>
          <w:divBdr>
            <w:top w:val="none" w:sz="0" w:space="0" w:color="auto"/>
            <w:left w:val="none" w:sz="0" w:space="0" w:color="auto"/>
            <w:bottom w:val="none" w:sz="0" w:space="0" w:color="auto"/>
            <w:right w:val="none" w:sz="0" w:space="0" w:color="auto"/>
          </w:divBdr>
        </w:div>
      </w:divsChild>
    </w:div>
    <w:div w:id="1950696299">
      <w:bodyDiv w:val="1"/>
      <w:marLeft w:val="0"/>
      <w:marRight w:val="0"/>
      <w:marTop w:val="0"/>
      <w:marBottom w:val="0"/>
      <w:divBdr>
        <w:top w:val="none" w:sz="0" w:space="0" w:color="auto"/>
        <w:left w:val="none" w:sz="0" w:space="0" w:color="auto"/>
        <w:bottom w:val="none" w:sz="0" w:space="0" w:color="auto"/>
        <w:right w:val="none" w:sz="0" w:space="0" w:color="auto"/>
      </w:divBdr>
      <w:divsChild>
        <w:div w:id="57827613">
          <w:marLeft w:val="547"/>
          <w:marRight w:val="0"/>
          <w:marTop w:val="140"/>
          <w:marBottom w:val="0"/>
          <w:divBdr>
            <w:top w:val="none" w:sz="0" w:space="0" w:color="auto"/>
            <w:left w:val="none" w:sz="0" w:space="0" w:color="auto"/>
            <w:bottom w:val="none" w:sz="0" w:space="0" w:color="auto"/>
            <w:right w:val="none" w:sz="0" w:space="0" w:color="auto"/>
          </w:divBdr>
        </w:div>
        <w:div w:id="209542207">
          <w:marLeft w:val="1238"/>
          <w:marRight w:val="0"/>
          <w:marTop w:val="140"/>
          <w:marBottom w:val="0"/>
          <w:divBdr>
            <w:top w:val="none" w:sz="0" w:space="0" w:color="auto"/>
            <w:left w:val="none" w:sz="0" w:space="0" w:color="auto"/>
            <w:bottom w:val="none" w:sz="0" w:space="0" w:color="auto"/>
            <w:right w:val="none" w:sz="0" w:space="0" w:color="auto"/>
          </w:divBdr>
        </w:div>
      </w:divsChild>
    </w:div>
    <w:div w:id="1982685722">
      <w:bodyDiv w:val="1"/>
      <w:marLeft w:val="0"/>
      <w:marRight w:val="0"/>
      <w:marTop w:val="0"/>
      <w:marBottom w:val="0"/>
      <w:divBdr>
        <w:top w:val="none" w:sz="0" w:space="0" w:color="auto"/>
        <w:left w:val="none" w:sz="0" w:space="0" w:color="auto"/>
        <w:bottom w:val="none" w:sz="0" w:space="0" w:color="auto"/>
        <w:right w:val="none" w:sz="0" w:space="0" w:color="auto"/>
      </w:divBdr>
      <w:divsChild>
        <w:div w:id="16077962">
          <w:marLeft w:val="1238"/>
          <w:marRight w:val="0"/>
          <w:marTop w:val="140"/>
          <w:marBottom w:val="0"/>
          <w:divBdr>
            <w:top w:val="none" w:sz="0" w:space="0" w:color="auto"/>
            <w:left w:val="none" w:sz="0" w:space="0" w:color="auto"/>
            <w:bottom w:val="none" w:sz="0" w:space="0" w:color="auto"/>
            <w:right w:val="none" w:sz="0" w:space="0" w:color="auto"/>
          </w:divBdr>
        </w:div>
        <w:div w:id="336229719">
          <w:marLeft w:val="547"/>
          <w:marRight w:val="0"/>
          <w:marTop w:val="140"/>
          <w:marBottom w:val="0"/>
          <w:divBdr>
            <w:top w:val="none" w:sz="0" w:space="0" w:color="auto"/>
            <w:left w:val="none" w:sz="0" w:space="0" w:color="auto"/>
            <w:bottom w:val="none" w:sz="0" w:space="0" w:color="auto"/>
            <w:right w:val="none" w:sz="0" w:space="0" w:color="auto"/>
          </w:divBdr>
        </w:div>
        <w:div w:id="370153002">
          <w:marLeft w:val="547"/>
          <w:marRight w:val="0"/>
          <w:marTop w:val="140"/>
          <w:marBottom w:val="0"/>
          <w:divBdr>
            <w:top w:val="none" w:sz="0" w:space="0" w:color="auto"/>
            <w:left w:val="none" w:sz="0" w:space="0" w:color="auto"/>
            <w:bottom w:val="none" w:sz="0" w:space="0" w:color="auto"/>
            <w:right w:val="none" w:sz="0" w:space="0" w:color="auto"/>
          </w:divBdr>
        </w:div>
        <w:div w:id="1064178413">
          <w:marLeft w:val="1238"/>
          <w:marRight w:val="0"/>
          <w:marTop w:val="140"/>
          <w:marBottom w:val="0"/>
          <w:divBdr>
            <w:top w:val="none" w:sz="0" w:space="0" w:color="auto"/>
            <w:left w:val="none" w:sz="0" w:space="0" w:color="auto"/>
            <w:bottom w:val="none" w:sz="0" w:space="0" w:color="auto"/>
            <w:right w:val="none" w:sz="0" w:space="0" w:color="auto"/>
          </w:divBdr>
        </w:div>
        <w:div w:id="1481001151">
          <w:marLeft w:val="1238"/>
          <w:marRight w:val="0"/>
          <w:marTop w:val="140"/>
          <w:marBottom w:val="0"/>
          <w:divBdr>
            <w:top w:val="none" w:sz="0" w:space="0" w:color="auto"/>
            <w:left w:val="none" w:sz="0" w:space="0" w:color="auto"/>
            <w:bottom w:val="none" w:sz="0" w:space="0" w:color="auto"/>
            <w:right w:val="none" w:sz="0" w:space="0" w:color="auto"/>
          </w:divBdr>
        </w:div>
        <w:div w:id="1913268480">
          <w:marLeft w:val="547"/>
          <w:marRight w:val="0"/>
          <w:marTop w:val="140"/>
          <w:marBottom w:val="0"/>
          <w:divBdr>
            <w:top w:val="none" w:sz="0" w:space="0" w:color="auto"/>
            <w:left w:val="none" w:sz="0" w:space="0" w:color="auto"/>
            <w:bottom w:val="none" w:sz="0" w:space="0" w:color="auto"/>
            <w:right w:val="none" w:sz="0" w:space="0" w:color="auto"/>
          </w:divBdr>
        </w:div>
      </w:divsChild>
    </w:div>
    <w:div w:id="2012485296">
      <w:bodyDiv w:val="1"/>
      <w:marLeft w:val="0"/>
      <w:marRight w:val="0"/>
      <w:marTop w:val="0"/>
      <w:marBottom w:val="0"/>
      <w:divBdr>
        <w:top w:val="none" w:sz="0" w:space="0" w:color="auto"/>
        <w:left w:val="none" w:sz="0" w:space="0" w:color="auto"/>
        <w:bottom w:val="none" w:sz="0" w:space="0" w:color="auto"/>
        <w:right w:val="none" w:sz="0" w:space="0" w:color="auto"/>
      </w:divBdr>
      <w:divsChild>
        <w:div w:id="673414194">
          <w:marLeft w:val="1238"/>
          <w:marRight w:val="0"/>
          <w:marTop w:val="140"/>
          <w:marBottom w:val="0"/>
          <w:divBdr>
            <w:top w:val="none" w:sz="0" w:space="0" w:color="auto"/>
            <w:left w:val="none" w:sz="0" w:space="0" w:color="auto"/>
            <w:bottom w:val="none" w:sz="0" w:space="0" w:color="auto"/>
            <w:right w:val="none" w:sz="0" w:space="0" w:color="auto"/>
          </w:divBdr>
        </w:div>
        <w:div w:id="865950887">
          <w:marLeft w:val="547"/>
          <w:marRight w:val="0"/>
          <w:marTop w:val="140"/>
          <w:marBottom w:val="0"/>
          <w:divBdr>
            <w:top w:val="none" w:sz="0" w:space="0" w:color="auto"/>
            <w:left w:val="none" w:sz="0" w:space="0" w:color="auto"/>
            <w:bottom w:val="none" w:sz="0" w:space="0" w:color="auto"/>
            <w:right w:val="none" w:sz="0" w:space="0" w:color="auto"/>
          </w:divBdr>
        </w:div>
        <w:div w:id="1302736375">
          <w:marLeft w:val="1238"/>
          <w:marRight w:val="0"/>
          <w:marTop w:val="140"/>
          <w:marBottom w:val="0"/>
          <w:divBdr>
            <w:top w:val="none" w:sz="0" w:space="0" w:color="auto"/>
            <w:left w:val="none" w:sz="0" w:space="0" w:color="auto"/>
            <w:bottom w:val="none" w:sz="0" w:space="0" w:color="auto"/>
            <w:right w:val="none" w:sz="0" w:space="0" w:color="auto"/>
          </w:divBdr>
        </w:div>
      </w:divsChild>
    </w:div>
    <w:div w:id="2076127278">
      <w:bodyDiv w:val="1"/>
      <w:marLeft w:val="0"/>
      <w:marRight w:val="0"/>
      <w:marTop w:val="0"/>
      <w:marBottom w:val="0"/>
      <w:divBdr>
        <w:top w:val="none" w:sz="0" w:space="0" w:color="auto"/>
        <w:left w:val="none" w:sz="0" w:space="0" w:color="auto"/>
        <w:bottom w:val="none" w:sz="0" w:space="0" w:color="auto"/>
        <w:right w:val="none" w:sz="0" w:space="0" w:color="auto"/>
      </w:divBdr>
      <w:divsChild>
        <w:div w:id="31350835">
          <w:marLeft w:val="0"/>
          <w:marRight w:val="0"/>
          <w:marTop w:val="0"/>
          <w:marBottom w:val="0"/>
          <w:divBdr>
            <w:top w:val="none" w:sz="0" w:space="0" w:color="auto"/>
            <w:left w:val="none" w:sz="0" w:space="0" w:color="auto"/>
            <w:bottom w:val="none" w:sz="0" w:space="0" w:color="auto"/>
            <w:right w:val="none" w:sz="0" w:space="0" w:color="auto"/>
          </w:divBdr>
        </w:div>
        <w:div w:id="93135227">
          <w:marLeft w:val="0"/>
          <w:marRight w:val="0"/>
          <w:marTop w:val="0"/>
          <w:marBottom w:val="0"/>
          <w:divBdr>
            <w:top w:val="none" w:sz="0" w:space="0" w:color="auto"/>
            <w:left w:val="none" w:sz="0" w:space="0" w:color="auto"/>
            <w:bottom w:val="none" w:sz="0" w:space="0" w:color="auto"/>
            <w:right w:val="none" w:sz="0" w:space="0" w:color="auto"/>
          </w:divBdr>
        </w:div>
        <w:div w:id="185295607">
          <w:marLeft w:val="0"/>
          <w:marRight w:val="0"/>
          <w:marTop w:val="0"/>
          <w:marBottom w:val="0"/>
          <w:divBdr>
            <w:top w:val="none" w:sz="0" w:space="0" w:color="auto"/>
            <w:left w:val="none" w:sz="0" w:space="0" w:color="auto"/>
            <w:bottom w:val="none" w:sz="0" w:space="0" w:color="auto"/>
            <w:right w:val="none" w:sz="0" w:space="0" w:color="auto"/>
          </w:divBdr>
        </w:div>
        <w:div w:id="571620179">
          <w:marLeft w:val="0"/>
          <w:marRight w:val="0"/>
          <w:marTop w:val="0"/>
          <w:marBottom w:val="0"/>
          <w:divBdr>
            <w:top w:val="none" w:sz="0" w:space="0" w:color="auto"/>
            <w:left w:val="none" w:sz="0" w:space="0" w:color="auto"/>
            <w:bottom w:val="none" w:sz="0" w:space="0" w:color="auto"/>
            <w:right w:val="none" w:sz="0" w:space="0" w:color="auto"/>
          </w:divBdr>
        </w:div>
        <w:div w:id="598564657">
          <w:marLeft w:val="0"/>
          <w:marRight w:val="0"/>
          <w:marTop w:val="0"/>
          <w:marBottom w:val="0"/>
          <w:divBdr>
            <w:top w:val="none" w:sz="0" w:space="0" w:color="auto"/>
            <w:left w:val="none" w:sz="0" w:space="0" w:color="auto"/>
            <w:bottom w:val="none" w:sz="0" w:space="0" w:color="auto"/>
            <w:right w:val="none" w:sz="0" w:space="0" w:color="auto"/>
          </w:divBdr>
        </w:div>
        <w:div w:id="741409498">
          <w:marLeft w:val="0"/>
          <w:marRight w:val="0"/>
          <w:marTop w:val="0"/>
          <w:marBottom w:val="0"/>
          <w:divBdr>
            <w:top w:val="none" w:sz="0" w:space="0" w:color="auto"/>
            <w:left w:val="none" w:sz="0" w:space="0" w:color="auto"/>
            <w:bottom w:val="none" w:sz="0" w:space="0" w:color="auto"/>
            <w:right w:val="none" w:sz="0" w:space="0" w:color="auto"/>
          </w:divBdr>
        </w:div>
        <w:div w:id="761806036">
          <w:marLeft w:val="0"/>
          <w:marRight w:val="0"/>
          <w:marTop w:val="0"/>
          <w:marBottom w:val="0"/>
          <w:divBdr>
            <w:top w:val="none" w:sz="0" w:space="0" w:color="auto"/>
            <w:left w:val="none" w:sz="0" w:space="0" w:color="auto"/>
            <w:bottom w:val="none" w:sz="0" w:space="0" w:color="auto"/>
            <w:right w:val="none" w:sz="0" w:space="0" w:color="auto"/>
          </w:divBdr>
        </w:div>
        <w:div w:id="796802291">
          <w:marLeft w:val="0"/>
          <w:marRight w:val="0"/>
          <w:marTop w:val="0"/>
          <w:marBottom w:val="0"/>
          <w:divBdr>
            <w:top w:val="none" w:sz="0" w:space="0" w:color="auto"/>
            <w:left w:val="none" w:sz="0" w:space="0" w:color="auto"/>
            <w:bottom w:val="none" w:sz="0" w:space="0" w:color="auto"/>
            <w:right w:val="none" w:sz="0" w:space="0" w:color="auto"/>
          </w:divBdr>
        </w:div>
        <w:div w:id="907308730">
          <w:marLeft w:val="0"/>
          <w:marRight w:val="0"/>
          <w:marTop w:val="0"/>
          <w:marBottom w:val="0"/>
          <w:divBdr>
            <w:top w:val="none" w:sz="0" w:space="0" w:color="auto"/>
            <w:left w:val="none" w:sz="0" w:space="0" w:color="auto"/>
            <w:bottom w:val="none" w:sz="0" w:space="0" w:color="auto"/>
            <w:right w:val="none" w:sz="0" w:space="0" w:color="auto"/>
          </w:divBdr>
        </w:div>
        <w:div w:id="915171774">
          <w:marLeft w:val="0"/>
          <w:marRight w:val="0"/>
          <w:marTop w:val="0"/>
          <w:marBottom w:val="0"/>
          <w:divBdr>
            <w:top w:val="none" w:sz="0" w:space="0" w:color="auto"/>
            <w:left w:val="none" w:sz="0" w:space="0" w:color="auto"/>
            <w:bottom w:val="none" w:sz="0" w:space="0" w:color="auto"/>
            <w:right w:val="none" w:sz="0" w:space="0" w:color="auto"/>
          </w:divBdr>
        </w:div>
        <w:div w:id="1127625128">
          <w:marLeft w:val="0"/>
          <w:marRight w:val="0"/>
          <w:marTop w:val="0"/>
          <w:marBottom w:val="0"/>
          <w:divBdr>
            <w:top w:val="none" w:sz="0" w:space="0" w:color="auto"/>
            <w:left w:val="none" w:sz="0" w:space="0" w:color="auto"/>
            <w:bottom w:val="none" w:sz="0" w:space="0" w:color="auto"/>
            <w:right w:val="none" w:sz="0" w:space="0" w:color="auto"/>
          </w:divBdr>
        </w:div>
        <w:div w:id="1216351664">
          <w:marLeft w:val="0"/>
          <w:marRight w:val="0"/>
          <w:marTop w:val="0"/>
          <w:marBottom w:val="0"/>
          <w:divBdr>
            <w:top w:val="none" w:sz="0" w:space="0" w:color="auto"/>
            <w:left w:val="none" w:sz="0" w:space="0" w:color="auto"/>
            <w:bottom w:val="none" w:sz="0" w:space="0" w:color="auto"/>
            <w:right w:val="none" w:sz="0" w:space="0" w:color="auto"/>
          </w:divBdr>
        </w:div>
        <w:div w:id="1273395213">
          <w:marLeft w:val="0"/>
          <w:marRight w:val="0"/>
          <w:marTop w:val="0"/>
          <w:marBottom w:val="0"/>
          <w:divBdr>
            <w:top w:val="none" w:sz="0" w:space="0" w:color="auto"/>
            <w:left w:val="none" w:sz="0" w:space="0" w:color="auto"/>
            <w:bottom w:val="none" w:sz="0" w:space="0" w:color="auto"/>
            <w:right w:val="none" w:sz="0" w:space="0" w:color="auto"/>
          </w:divBdr>
        </w:div>
        <w:div w:id="1304383456">
          <w:marLeft w:val="0"/>
          <w:marRight w:val="0"/>
          <w:marTop w:val="0"/>
          <w:marBottom w:val="0"/>
          <w:divBdr>
            <w:top w:val="none" w:sz="0" w:space="0" w:color="auto"/>
            <w:left w:val="none" w:sz="0" w:space="0" w:color="auto"/>
            <w:bottom w:val="none" w:sz="0" w:space="0" w:color="auto"/>
            <w:right w:val="none" w:sz="0" w:space="0" w:color="auto"/>
          </w:divBdr>
        </w:div>
        <w:div w:id="1504468585">
          <w:marLeft w:val="0"/>
          <w:marRight w:val="0"/>
          <w:marTop w:val="0"/>
          <w:marBottom w:val="0"/>
          <w:divBdr>
            <w:top w:val="none" w:sz="0" w:space="0" w:color="auto"/>
            <w:left w:val="none" w:sz="0" w:space="0" w:color="auto"/>
            <w:bottom w:val="none" w:sz="0" w:space="0" w:color="auto"/>
            <w:right w:val="none" w:sz="0" w:space="0" w:color="auto"/>
          </w:divBdr>
        </w:div>
        <w:div w:id="1595282810">
          <w:marLeft w:val="0"/>
          <w:marRight w:val="0"/>
          <w:marTop w:val="0"/>
          <w:marBottom w:val="0"/>
          <w:divBdr>
            <w:top w:val="none" w:sz="0" w:space="0" w:color="auto"/>
            <w:left w:val="none" w:sz="0" w:space="0" w:color="auto"/>
            <w:bottom w:val="none" w:sz="0" w:space="0" w:color="auto"/>
            <w:right w:val="none" w:sz="0" w:space="0" w:color="auto"/>
          </w:divBdr>
        </w:div>
        <w:div w:id="1702972773">
          <w:marLeft w:val="0"/>
          <w:marRight w:val="0"/>
          <w:marTop w:val="0"/>
          <w:marBottom w:val="0"/>
          <w:divBdr>
            <w:top w:val="none" w:sz="0" w:space="0" w:color="auto"/>
            <w:left w:val="none" w:sz="0" w:space="0" w:color="auto"/>
            <w:bottom w:val="none" w:sz="0" w:space="0" w:color="auto"/>
            <w:right w:val="none" w:sz="0" w:space="0" w:color="auto"/>
          </w:divBdr>
        </w:div>
        <w:div w:id="1903373323">
          <w:marLeft w:val="0"/>
          <w:marRight w:val="0"/>
          <w:marTop w:val="0"/>
          <w:marBottom w:val="0"/>
          <w:divBdr>
            <w:top w:val="none" w:sz="0" w:space="0" w:color="auto"/>
            <w:left w:val="none" w:sz="0" w:space="0" w:color="auto"/>
            <w:bottom w:val="none" w:sz="0" w:space="0" w:color="auto"/>
            <w:right w:val="none" w:sz="0" w:space="0" w:color="auto"/>
          </w:divBdr>
        </w:div>
        <w:div w:id="1995835272">
          <w:marLeft w:val="0"/>
          <w:marRight w:val="0"/>
          <w:marTop w:val="0"/>
          <w:marBottom w:val="0"/>
          <w:divBdr>
            <w:top w:val="none" w:sz="0" w:space="0" w:color="auto"/>
            <w:left w:val="none" w:sz="0" w:space="0" w:color="auto"/>
            <w:bottom w:val="none" w:sz="0" w:space="0" w:color="auto"/>
            <w:right w:val="none" w:sz="0" w:space="0" w:color="auto"/>
          </w:divBdr>
        </w:div>
        <w:div w:id="2051106831">
          <w:marLeft w:val="0"/>
          <w:marRight w:val="0"/>
          <w:marTop w:val="0"/>
          <w:marBottom w:val="0"/>
          <w:divBdr>
            <w:top w:val="none" w:sz="0" w:space="0" w:color="auto"/>
            <w:left w:val="none" w:sz="0" w:space="0" w:color="auto"/>
            <w:bottom w:val="none" w:sz="0" w:space="0" w:color="auto"/>
            <w:right w:val="none" w:sz="0" w:space="0" w:color="auto"/>
          </w:divBdr>
        </w:div>
      </w:divsChild>
    </w:div>
    <w:div w:id="2088575423">
      <w:bodyDiv w:val="1"/>
      <w:marLeft w:val="0"/>
      <w:marRight w:val="0"/>
      <w:marTop w:val="0"/>
      <w:marBottom w:val="0"/>
      <w:divBdr>
        <w:top w:val="none" w:sz="0" w:space="0" w:color="auto"/>
        <w:left w:val="none" w:sz="0" w:space="0" w:color="auto"/>
        <w:bottom w:val="none" w:sz="0" w:space="0" w:color="auto"/>
        <w:right w:val="none" w:sz="0" w:space="0" w:color="auto"/>
      </w:divBdr>
    </w:div>
    <w:div w:id="20975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9946-9E45-4731-B9DF-A87E7B74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9515</Words>
  <Characters>54238</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REPORT</vt:lpstr>
    </vt:vector>
  </TitlesOfParts>
  <Company>Parliament of South Africa</Company>
  <LinksUpToDate>false</LinksUpToDate>
  <CharactersWithSpaces>63626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akakaza</dc:creator>
  <cp:lastModifiedBy>Asanda</cp:lastModifiedBy>
  <cp:revision>2</cp:revision>
  <cp:lastPrinted>2019-07-09T06:41:00Z</cp:lastPrinted>
  <dcterms:created xsi:type="dcterms:W3CDTF">2019-07-11T12:31:00Z</dcterms:created>
  <dcterms:modified xsi:type="dcterms:W3CDTF">2019-07-11T12:31:00Z</dcterms:modified>
</cp:coreProperties>
</file>