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718E" w14:textId="4C491E53" w:rsidR="009944E3" w:rsidRPr="00605EDD" w:rsidRDefault="00CD3989" w:rsidP="00CD3989">
      <w:pPr>
        <w:widowControl w:val="0"/>
        <w:autoSpaceDE w:val="0"/>
        <w:autoSpaceDN w:val="0"/>
        <w:adjustRightInd w:val="0"/>
        <w:ind w:left="547" w:hanging="547"/>
        <w:jc w:val="both"/>
        <w:rPr>
          <w:rFonts w:ascii="Times New Roman" w:hAnsi="Times New Roman"/>
          <w:b/>
          <w:bCs/>
          <w:sz w:val="28"/>
          <w:szCs w:val="28"/>
        </w:rPr>
      </w:pPr>
      <w:bookmarkStart w:id="0" w:name="_GoBack"/>
      <w:bookmarkEnd w:id="0"/>
      <w:r w:rsidRPr="00605EDD">
        <w:rPr>
          <w:rFonts w:ascii="Times New Roman" w:hAnsi="Times New Roman"/>
          <w:b/>
          <w:bCs/>
          <w:sz w:val="28"/>
          <w:szCs w:val="28"/>
        </w:rPr>
        <w:t>6.</w:t>
      </w:r>
      <w:r w:rsidRPr="00605EDD">
        <w:rPr>
          <w:rFonts w:ascii="Times New Roman" w:hAnsi="Times New Roman"/>
          <w:b/>
          <w:bCs/>
          <w:sz w:val="28"/>
          <w:szCs w:val="28"/>
        </w:rPr>
        <w:tab/>
      </w:r>
      <w:r w:rsidR="009944E3" w:rsidRPr="00605EDD">
        <w:rPr>
          <w:rFonts w:ascii="Times New Roman" w:hAnsi="Times New Roman"/>
          <w:b/>
          <w:bCs/>
          <w:sz w:val="28"/>
          <w:szCs w:val="28"/>
        </w:rPr>
        <w:t>R</w:t>
      </w:r>
      <w:r w:rsidRPr="00605EDD">
        <w:rPr>
          <w:rFonts w:ascii="Times New Roman" w:hAnsi="Times New Roman"/>
          <w:b/>
          <w:bCs/>
          <w:sz w:val="28"/>
          <w:szCs w:val="28"/>
        </w:rPr>
        <w:t>eport of th</w:t>
      </w:r>
      <w:r w:rsidR="003A6F1B" w:rsidRPr="00605EDD">
        <w:rPr>
          <w:rFonts w:ascii="Times New Roman" w:hAnsi="Times New Roman"/>
          <w:b/>
          <w:bCs/>
          <w:sz w:val="28"/>
          <w:szCs w:val="28"/>
        </w:rPr>
        <w:t xml:space="preserve">e Standing Committee on Finance </w:t>
      </w:r>
      <w:r w:rsidRPr="00605EDD">
        <w:rPr>
          <w:rFonts w:ascii="Times New Roman" w:hAnsi="Times New Roman"/>
          <w:b/>
          <w:bCs/>
          <w:sz w:val="28"/>
          <w:szCs w:val="28"/>
        </w:rPr>
        <w:t>on Budget Vote</w:t>
      </w:r>
      <w:r w:rsidR="008B6A84" w:rsidRPr="00605EDD">
        <w:rPr>
          <w:rFonts w:ascii="Times New Roman" w:hAnsi="Times New Roman"/>
          <w:b/>
          <w:bCs/>
          <w:sz w:val="28"/>
          <w:szCs w:val="28"/>
        </w:rPr>
        <w:t xml:space="preserve"> </w:t>
      </w:r>
      <w:r w:rsidRPr="00605EDD">
        <w:rPr>
          <w:rFonts w:ascii="Times New Roman" w:hAnsi="Times New Roman"/>
          <w:b/>
          <w:bCs/>
          <w:sz w:val="28"/>
          <w:szCs w:val="28"/>
        </w:rPr>
        <w:t xml:space="preserve">7: National Treasury, </w:t>
      </w:r>
      <w:r w:rsidR="00A06047">
        <w:rPr>
          <w:rFonts w:ascii="Times New Roman" w:hAnsi="Times New Roman"/>
          <w:b/>
          <w:bCs/>
          <w:sz w:val="28"/>
          <w:szCs w:val="28"/>
        </w:rPr>
        <w:t xml:space="preserve">Dated </w:t>
      </w:r>
      <w:r w:rsidR="00C1256E" w:rsidRPr="00605EDD">
        <w:rPr>
          <w:rFonts w:ascii="Times New Roman" w:hAnsi="Times New Roman"/>
          <w:b/>
          <w:bCs/>
          <w:sz w:val="28"/>
          <w:szCs w:val="28"/>
        </w:rPr>
        <w:t>09 July 2019</w:t>
      </w:r>
    </w:p>
    <w:p w14:paraId="79CE1459" w14:textId="77777777" w:rsidR="00CD3989" w:rsidRPr="00243C46" w:rsidRDefault="00CD3989" w:rsidP="00CD3989">
      <w:pPr>
        <w:widowControl w:val="0"/>
        <w:autoSpaceDE w:val="0"/>
        <w:autoSpaceDN w:val="0"/>
        <w:adjustRightInd w:val="0"/>
        <w:ind w:left="547" w:hanging="547"/>
        <w:jc w:val="both"/>
        <w:rPr>
          <w:rFonts w:ascii="Times New Roman" w:hAnsi="Times New Roman"/>
          <w:b/>
          <w:bCs/>
        </w:rPr>
      </w:pPr>
    </w:p>
    <w:p w14:paraId="71EF8A46" w14:textId="77777777" w:rsidR="00CD3989" w:rsidRPr="00243C46" w:rsidRDefault="00CD3989" w:rsidP="00CD3989">
      <w:pPr>
        <w:widowControl w:val="0"/>
        <w:autoSpaceDE w:val="0"/>
        <w:autoSpaceDN w:val="0"/>
        <w:adjustRightInd w:val="0"/>
        <w:ind w:left="547" w:hanging="547"/>
        <w:jc w:val="both"/>
        <w:rPr>
          <w:rFonts w:ascii="Times New Roman" w:hAnsi="Times New Roman"/>
          <w:b/>
          <w:bCs/>
        </w:rPr>
      </w:pPr>
    </w:p>
    <w:p w14:paraId="0D9887A9" w14:textId="77777777" w:rsidR="009944E3" w:rsidRPr="00243C46" w:rsidRDefault="009944E3" w:rsidP="00CD3989">
      <w:pPr>
        <w:widowControl w:val="0"/>
        <w:autoSpaceDE w:val="0"/>
        <w:autoSpaceDN w:val="0"/>
        <w:adjustRightInd w:val="0"/>
        <w:spacing w:line="360" w:lineRule="auto"/>
        <w:jc w:val="both"/>
        <w:rPr>
          <w:rFonts w:ascii="Times New Roman" w:hAnsi="Times New Roman"/>
        </w:rPr>
      </w:pPr>
      <w:r w:rsidRPr="00243C46">
        <w:rPr>
          <w:rFonts w:ascii="Times New Roman" w:hAnsi="Times New Roman"/>
        </w:rPr>
        <w:t>The Standing Committee on Finance (SCOF/ the Committee), having considered the National Treasury</w:t>
      </w:r>
      <w:r w:rsidR="004B630B" w:rsidRPr="00243C46">
        <w:rPr>
          <w:rFonts w:ascii="Times New Roman" w:hAnsi="Times New Roman"/>
        </w:rPr>
        <w:t xml:space="preserve">’s </w:t>
      </w:r>
      <w:r w:rsidRPr="00243C46">
        <w:rPr>
          <w:rFonts w:ascii="Times New Roman" w:hAnsi="Times New Roman"/>
        </w:rPr>
        <w:t xml:space="preserve">budget and </w:t>
      </w:r>
      <w:r w:rsidR="00053782" w:rsidRPr="00243C46">
        <w:rPr>
          <w:rFonts w:ascii="Times New Roman" w:hAnsi="Times New Roman"/>
        </w:rPr>
        <w:t>annual performance p</w:t>
      </w:r>
      <w:r w:rsidRPr="00243C46">
        <w:rPr>
          <w:rFonts w:ascii="Times New Roman" w:hAnsi="Times New Roman"/>
        </w:rPr>
        <w:t>lan</w:t>
      </w:r>
      <w:r w:rsidR="004B630B" w:rsidRPr="00243C46">
        <w:rPr>
          <w:rFonts w:ascii="Times New Roman" w:hAnsi="Times New Roman"/>
        </w:rPr>
        <w:t>,</w:t>
      </w:r>
      <w:r w:rsidRPr="00243C46">
        <w:rPr>
          <w:rFonts w:ascii="Times New Roman" w:hAnsi="Times New Roman"/>
        </w:rPr>
        <w:t xml:space="preserve"> reports as follows:</w:t>
      </w:r>
    </w:p>
    <w:p w14:paraId="2F9904FC" w14:textId="77777777" w:rsidR="009944E3" w:rsidRPr="00243C46" w:rsidRDefault="009944E3" w:rsidP="00CD3989">
      <w:pPr>
        <w:spacing w:line="360" w:lineRule="auto"/>
        <w:jc w:val="both"/>
        <w:rPr>
          <w:rFonts w:ascii="Times New Roman" w:hAnsi="Times New Roman"/>
        </w:rPr>
      </w:pPr>
    </w:p>
    <w:p w14:paraId="1C60FFEE" w14:textId="77777777" w:rsidR="009944E3" w:rsidRPr="00243C46" w:rsidRDefault="009944E3" w:rsidP="00CD3989">
      <w:pPr>
        <w:pStyle w:val="ListParagraph"/>
        <w:numPr>
          <w:ilvl w:val="0"/>
          <w:numId w:val="1"/>
        </w:numPr>
        <w:spacing w:after="0" w:line="360" w:lineRule="auto"/>
        <w:ind w:left="0" w:firstLine="0"/>
        <w:jc w:val="both"/>
        <w:rPr>
          <w:rFonts w:ascii="Times New Roman" w:hAnsi="Times New Roman" w:cs="Times New Roman"/>
          <w:b/>
          <w:sz w:val="24"/>
          <w:szCs w:val="24"/>
        </w:rPr>
      </w:pPr>
      <w:r w:rsidRPr="00243C46">
        <w:rPr>
          <w:rFonts w:ascii="Times New Roman" w:hAnsi="Times New Roman" w:cs="Times New Roman"/>
          <w:b/>
          <w:sz w:val="24"/>
          <w:szCs w:val="24"/>
        </w:rPr>
        <w:t>INTRODUCTION</w:t>
      </w:r>
    </w:p>
    <w:p w14:paraId="504712C5" w14:textId="77777777" w:rsidR="009944E3"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 xml:space="preserve">The Minister of Finance tabled the </w:t>
      </w:r>
      <w:r w:rsidR="00C1256E" w:rsidRPr="00243C46">
        <w:rPr>
          <w:rFonts w:ascii="Times New Roman" w:hAnsi="Times New Roman" w:cs="Times New Roman"/>
          <w:sz w:val="24"/>
          <w:szCs w:val="24"/>
        </w:rPr>
        <w:t xml:space="preserve">revised strategic </w:t>
      </w:r>
      <w:r w:rsidR="006D7C59" w:rsidRPr="00243C46">
        <w:rPr>
          <w:rFonts w:ascii="Times New Roman" w:hAnsi="Times New Roman" w:cs="Times New Roman"/>
          <w:sz w:val="24"/>
          <w:szCs w:val="24"/>
        </w:rPr>
        <w:t xml:space="preserve">and </w:t>
      </w:r>
      <w:r w:rsidR="00C1256E" w:rsidRPr="00243C46">
        <w:rPr>
          <w:rFonts w:ascii="Times New Roman" w:hAnsi="Times New Roman" w:cs="Times New Roman"/>
          <w:sz w:val="24"/>
          <w:szCs w:val="24"/>
        </w:rPr>
        <w:t>annual performance p</w:t>
      </w:r>
      <w:r w:rsidRPr="00243C46">
        <w:rPr>
          <w:rFonts w:ascii="Times New Roman" w:hAnsi="Times New Roman" w:cs="Times New Roman"/>
          <w:sz w:val="24"/>
          <w:szCs w:val="24"/>
        </w:rPr>
        <w:t>lan</w:t>
      </w:r>
      <w:r w:rsidR="00053782" w:rsidRPr="00243C46">
        <w:rPr>
          <w:rFonts w:ascii="Times New Roman" w:hAnsi="Times New Roman" w:cs="Times New Roman"/>
          <w:sz w:val="24"/>
          <w:szCs w:val="24"/>
        </w:rPr>
        <w:t>s</w:t>
      </w:r>
      <w:r w:rsidRPr="00243C46">
        <w:rPr>
          <w:rFonts w:ascii="Times New Roman" w:hAnsi="Times New Roman" w:cs="Times New Roman"/>
          <w:sz w:val="24"/>
          <w:szCs w:val="24"/>
        </w:rPr>
        <w:t xml:space="preserve"> of the National Treasury</w:t>
      </w:r>
      <w:r w:rsidR="00053782" w:rsidRPr="00243C46">
        <w:rPr>
          <w:rFonts w:ascii="Times New Roman" w:hAnsi="Times New Roman" w:cs="Times New Roman"/>
          <w:sz w:val="24"/>
          <w:szCs w:val="24"/>
        </w:rPr>
        <w:t>, the South African Revenue Services and other entities reporting to the Minister of Finance</w:t>
      </w:r>
      <w:r w:rsidRPr="00243C46">
        <w:rPr>
          <w:rFonts w:ascii="Times New Roman" w:hAnsi="Times New Roman" w:cs="Times New Roman"/>
          <w:sz w:val="24"/>
          <w:szCs w:val="24"/>
        </w:rPr>
        <w:t xml:space="preserve"> in line with s</w:t>
      </w:r>
      <w:r w:rsidRPr="00243C46">
        <w:rPr>
          <w:rFonts w:ascii="Times New Roman" w:hAnsi="Times New Roman" w:cs="Times New Roman"/>
          <w:sz w:val="24"/>
          <w:szCs w:val="24"/>
          <w:lang w:val="en-US"/>
        </w:rPr>
        <w:t>e</w:t>
      </w:r>
      <w:r w:rsidRPr="00243C46">
        <w:rPr>
          <w:rFonts w:ascii="Times New Roman" w:hAnsi="Times New Roman" w:cs="Times New Roman"/>
          <w:sz w:val="24"/>
          <w:szCs w:val="24"/>
        </w:rPr>
        <w:t xml:space="preserve">ction 10(1)(c) of the Money Bills Amendment Procedure and Related Matters Act (No. 9 of 2009), for consideration and report. </w:t>
      </w:r>
    </w:p>
    <w:p w14:paraId="51A7EA14" w14:textId="77777777" w:rsidR="009944E3" w:rsidRPr="00243C46" w:rsidRDefault="00053782"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Deputy Minister, Dr David Masondo, and senior officials of the National Treasury and the South African Revenue Service</w:t>
      </w:r>
      <w:r w:rsidR="004B630B" w:rsidRPr="00243C46">
        <w:rPr>
          <w:rFonts w:ascii="Times New Roman" w:hAnsi="Times New Roman" w:cs="Times New Roman"/>
          <w:sz w:val="24"/>
          <w:szCs w:val="24"/>
        </w:rPr>
        <w:t xml:space="preserve"> </w:t>
      </w:r>
      <w:r w:rsidRPr="00243C46">
        <w:rPr>
          <w:rFonts w:ascii="Times New Roman" w:hAnsi="Times New Roman" w:cs="Times New Roman"/>
          <w:sz w:val="24"/>
          <w:szCs w:val="24"/>
        </w:rPr>
        <w:t xml:space="preserve">(SARS) led by the </w:t>
      </w:r>
      <w:r w:rsidR="009944E3" w:rsidRPr="00243C46">
        <w:rPr>
          <w:rFonts w:ascii="Times New Roman" w:hAnsi="Times New Roman" w:cs="Times New Roman"/>
          <w:sz w:val="24"/>
          <w:szCs w:val="24"/>
        </w:rPr>
        <w:t xml:space="preserve">Director General, Mr. Dondo Magajane and </w:t>
      </w:r>
      <w:r w:rsidRPr="00243C46">
        <w:rPr>
          <w:rFonts w:ascii="Times New Roman" w:hAnsi="Times New Roman" w:cs="Times New Roman"/>
          <w:sz w:val="24"/>
          <w:szCs w:val="24"/>
        </w:rPr>
        <w:t xml:space="preserve">the </w:t>
      </w:r>
      <w:r w:rsidR="00C1256E" w:rsidRPr="00243C46">
        <w:rPr>
          <w:rFonts w:ascii="Times New Roman" w:hAnsi="Times New Roman" w:cs="Times New Roman"/>
          <w:sz w:val="24"/>
          <w:szCs w:val="24"/>
        </w:rPr>
        <w:t xml:space="preserve">newly appointed </w:t>
      </w:r>
      <w:r w:rsidRPr="00243C46">
        <w:rPr>
          <w:rFonts w:ascii="Times New Roman" w:hAnsi="Times New Roman" w:cs="Times New Roman"/>
          <w:sz w:val="24"/>
          <w:szCs w:val="24"/>
        </w:rPr>
        <w:t>Commissioner of SARS</w:t>
      </w:r>
      <w:r w:rsidR="00C1256E" w:rsidRPr="00243C46">
        <w:rPr>
          <w:rFonts w:ascii="Times New Roman" w:hAnsi="Times New Roman" w:cs="Times New Roman"/>
          <w:sz w:val="24"/>
          <w:szCs w:val="24"/>
        </w:rPr>
        <w:t>, Mr Edward Kieswetter,</w:t>
      </w:r>
      <w:r w:rsidRPr="00243C46">
        <w:rPr>
          <w:rFonts w:ascii="Times New Roman" w:hAnsi="Times New Roman" w:cs="Times New Roman"/>
          <w:sz w:val="24"/>
          <w:szCs w:val="24"/>
        </w:rPr>
        <w:t xml:space="preserve"> briefed the Committee on 04 July.</w:t>
      </w:r>
      <w:r w:rsidR="009944E3" w:rsidRPr="00243C46">
        <w:rPr>
          <w:rFonts w:ascii="Times New Roman" w:hAnsi="Times New Roman" w:cs="Times New Roman"/>
          <w:sz w:val="24"/>
          <w:szCs w:val="24"/>
        </w:rPr>
        <w:t xml:space="preserve"> </w:t>
      </w:r>
      <w:r w:rsidR="006D7C59" w:rsidRPr="00243C46">
        <w:rPr>
          <w:rFonts w:ascii="Times New Roman" w:hAnsi="Times New Roman" w:cs="Times New Roman"/>
          <w:sz w:val="24"/>
          <w:szCs w:val="24"/>
        </w:rPr>
        <w:t>The Minister of Finance, Mr Tito Mboweni, sent an apology.</w:t>
      </w:r>
    </w:p>
    <w:p w14:paraId="31CBEB4A" w14:textId="77777777" w:rsidR="004D569A"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overall mandate of NT is based on section 216 (1) of the Constitution which establish</w:t>
      </w:r>
      <w:r w:rsidR="004D569A" w:rsidRPr="00243C46">
        <w:rPr>
          <w:rFonts w:ascii="Times New Roman" w:hAnsi="Times New Roman" w:cs="Times New Roman"/>
          <w:sz w:val="24"/>
          <w:szCs w:val="24"/>
        </w:rPr>
        <w:t>es it to ensure transparency,</w:t>
      </w:r>
      <w:r w:rsidRPr="00243C46">
        <w:rPr>
          <w:rFonts w:ascii="Times New Roman" w:hAnsi="Times New Roman" w:cs="Times New Roman"/>
          <w:sz w:val="24"/>
          <w:szCs w:val="24"/>
        </w:rPr>
        <w:t xml:space="preserve"> accountability and sound financial controls in the management of the country’s finances and the Public Finance Management Act (1999).  </w:t>
      </w:r>
    </w:p>
    <w:p w14:paraId="770E508B" w14:textId="77777777" w:rsidR="00C1256E" w:rsidRPr="00243C46" w:rsidRDefault="006D7C59"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Its mandate is to</w:t>
      </w:r>
      <w:r w:rsidR="004D569A" w:rsidRPr="00243C46">
        <w:rPr>
          <w:rFonts w:ascii="Times New Roman" w:hAnsi="Times New Roman" w:cs="Times New Roman"/>
          <w:sz w:val="24"/>
          <w:szCs w:val="24"/>
        </w:rPr>
        <w:t xml:space="preserve"> coordinate intergovernmental financial and fiscal relations, promote national government’s fiscal policy and coordination of macroeconomic policy, enforce transparency and effective management of revenue and expenditure, assets and liabilities, public entities and constitutional institutions, manage the budget preparation process and, ensure the stability and soundness of the financial system and financial services.</w:t>
      </w:r>
    </w:p>
    <w:p w14:paraId="7B34DC74"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SARS aims to contribute to the economic and social development of the country by collecting all taxes, duties and levies due to fund the South African government’s public service programs and priorities.</w:t>
      </w:r>
    </w:p>
    <w:p w14:paraId="35FA4700" w14:textId="77777777" w:rsidR="009944E3" w:rsidRPr="00243C46" w:rsidRDefault="009944E3" w:rsidP="00CD3989">
      <w:pPr>
        <w:pStyle w:val="ListParagraph"/>
        <w:spacing w:line="360" w:lineRule="auto"/>
        <w:jc w:val="both"/>
        <w:rPr>
          <w:rFonts w:ascii="Times New Roman" w:hAnsi="Times New Roman" w:cs="Times New Roman"/>
          <w:sz w:val="24"/>
          <w:szCs w:val="24"/>
        </w:rPr>
      </w:pPr>
    </w:p>
    <w:p w14:paraId="5D82A463" w14:textId="77777777" w:rsidR="00C1256E" w:rsidRPr="00243C46" w:rsidRDefault="009944E3" w:rsidP="00CD3989">
      <w:pPr>
        <w:pStyle w:val="ListParagraph"/>
        <w:numPr>
          <w:ilvl w:val="0"/>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 xml:space="preserve">POLITICAL OVERVIEW BY THE </w:t>
      </w:r>
      <w:r w:rsidR="00C1256E" w:rsidRPr="00243C46">
        <w:rPr>
          <w:rFonts w:ascii="Times New Roman" w:hAnsi="Times New Roman" w:cs="Times New Roman"/>
          <w:b/>
          <w:sz w:val="24"/>
          <w:szCs w:val="24"/>
        </w:rPr>
        <w:t xml:space="preserve">DEPUTY </w:t>
      </w:r>
      <w:r w:rsidRPr="00243C46">
        <w:rPr>
          <w:rFonts w:ascii="Times New Roman" w:hAnsi="Times New Roman" w:cs="Times New Roman"/>
          <w:b/>
          <w:sz w:val="24"/>
          <w:szCs w:val="24"/>
        </w:rPr>
        <w:t>MINISTER OF FINANCE</w:t>
      </w:r>
    </w:p>
    <w:p w14:paraId="77E95E8D" w14:textId="77777777" w:rsidR="00C1256E" w:rsidRPr="00243C46" w:rsidRDefault="009944E3"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sz w:val="24"/>
          <w:szCs w:val="24"/>
        </w:rPr>
        <w:t xml:space="preserve">The </w:t>
      </w:r>
      <w:r w:rsidR="00C1256E" w:rsidRPr="00243C46">
        <w:rPr>
          <w:rFonts w:ascii="Times New Roman" w:hAnsi="Times New Roman" w:cs="Times New Roman"/>
          <w:sz w:val="24"/>
          <w:szCs w:val="24"/>
        </w:rPr>
        <w:t xml:space="preserve">Deputy </w:t>
      </w:r>
      <w:r w:rsidRPr="00243C46">
        <w:rPr>
          <w:rFonts w:ascii="Times New Roman" w:hAnsi="Times New Roman" w:cs="Times New Roman"/>
          <w:sz w:val="24"/>
          <w:szCs w:val="24"/>
        </w:rPr>
        <w:t xml:space="preserve">Minister of Finance </w:t>
      </w:r>
      <w:r w:rsidR="006D7C59" w:rsidRPr="00243C46">
        <w:rPr>
          <w:rFonts w:ascii="Times New Roman" w:hAnsi="Times New Roman" w:cs="Times New Roman"/>
          <w:sz w:val="24"/>
          <w:szCs w:val="24"/>
        </w:rPr>
        <w:t xml:space="preserve">told the Committee that </w:t>
      </w:r>
      <w:r w:rsidR="00C1256E" w:rsidRPr="00243C46">
        <w:rPr>
          <w:rFonts w:ascii="Times New Roman" w:hAnsi="Times New Roman" w:cs="Times New Roman"/>
          <w:sz w:val="24"/>
          <w:szCs w:val="24"/>
        </w:rPr>
        <w:t>the National Treasury’s strategic and annual performance plans were transitional, following the recent elections and transition from the fifth to the sixth democratic administ</w:t>
      </w:r>
      <w:r w:rsidR="006D7C59" w:rsidRPr="00243C46">
        <w:rPr>
          <w:rFonts w:ascii="Times New Roman" w:hAnsi="Times New Roman" w:cs="Times New Roman"/>
          <w:sz w:val="24"/>
          <w:szCs w:val="24"/>
        </w:rPr>
        <w:t>ration. While the plans wrapped-</w:t>
      </w:r>
      <w:r w:rsidR="00C1256E" w:rsidRPr="00243C46">
        <w:rPr>
          <w:rFonts w:ascii="Times New Roman" w:hAnsi="Times New Roman" w:cs="Times New Roman"/>
          <w:sz w:val="24"/>
          <w:szCs w:val="24"/>
        </w:rPr>
        <w:t xml:space="preserve">up the work of the fifth administration, they also incorporated the seven priority areas that have been identified by the sixth administration. </w:t>
      </w:r>
    </w:p>
    <w:p w14:paraId="4EDD3956" w14:textId="77777777" w:rsidR="00C1256E" w:rsidRPr="00243C46" w:rsidRDefault="009944E3"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sz w:val="24"/>
          <w:szCs w:val="24"/>
        </w:rPr>
        <w:lastRenderedPageBreak/>
        <w:t xml:space="preserve">The </w:t>
      </w:r>
      <w:r w:rsidR="00C1256E" w:rsidRPr="00243C46">
        <w:rPr>
          <w:rFonts w:ascii="Times New Roman" w:hAnsi="Times New Roman" w:cs="Times New Roman"/>
          <w:sz w:val="24"/>
          <w:szCs w:val="24"/>
        </w:rPr>
        <w:t xml:space="preserve">Deputy </w:t>
      </w:r>
      <w:r w:rsidRPr="00243C46">
        <w:rPr>
          <w:rFonts w:ascii="Times New Roman" w:hAnsi="Times New Roman" w:cs="Times New Roman"/>
          <w:sz w:val="24"/>
          <w:szCs w:val="24"/>
        </w:rPr>
        <w:t xml:space="preserve">Minister </w:t>
      </w:r>
      <w:r w:rsidR="00C1256E" w:rsidRPr="00243C46">
        <w:rPr>
          <w:rFonts w:ascii="Times New Roman" w:hAnsi="Times New Roman" w:cs="Times New Roman"/>
          <w:sz w:val="24"/>
          <w:szCs w:val="24"/>
        </w:rPr>
        <w:t>stated that government was in the process of finalizing its five-year plan, the Medium-Term Strategic Framework, for the sixth administration. He then handed over to the DG of National Treasury and the Commissioner of SARS to take the Committee through the National Treasury and SARS</w:t>
      </w:r>
      <w:r w:rsidR="006D7C59" w:rsidRPr="00243C46">
        <w:rPr>
          <w:rFonts w:ascii="Times New Roman" w:hAnsi="Times New Roman" w:cs="Times New Roman"/>
          <w:sz w:val="24"/>
          <w:szCs w:val="24"/>
        </w:rPr>
        <w:t>’</w:t>
      </w:r>
      <w:r w:rsidR="00C1256E" w:rsidRPr="00243C46">
        <w:rPr>
          <w:rFonts w:ascii="Times New Roman" w:hAnsi="Times New Roman" w:cs="Times New Roman"/>
          <w:sz w:val="24"/>
          <w:szCs w:val="24"/>
        </w:rPr>
        <w:t xml:space="preserve"> plans, respectively.</w:t>
      </w:r>
    </w:p>
    <w:p w14:paraId="17ED8AA9" w14:textId="77777777" w:rsidR="00C1256E" w:rsidRPr="00243C46" w:rsidRDefault="009944E3"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sz w:val="24"/>
          <w:szCs w:val="24"/>
        </w:rPr>
        <w:t xml:space="preserve">The </w:t>
      </w:r>
      <w:r w:rsidR="00C1256E" w:rsidRPr="00243C46">
        <w:rPr>
          <w:rFonts w:ascii="Times New Roman" w:hAnsi="Times New Roman" w:cs="Times New Roman"/>
          <w:sz w:val="24"/>
          <w:szCs w:val="24"/>
        </w:rPr>
        <w:t xml:space="preserve">DG of National Treasury told the Committee that the strategic plan of National Treasury has been extended by a year in order to align it with the electoral terms of administrations as there had always been a mismatch between the plan and </w:t>
      </w:r>
      <w:r w:rsidR="006D7C59" w:rsidRPr="00243C46">
        <w:rPr>
          <w:rFonts w:ascii="Times New Roman" w:hAnsi="Times New Roman" w:cs="Times New Roman"/>
          <w:sz w:val="24"/>
          <w:szCs w:val="24"/>
        </w:rPr>
        <w:t xml:space="preserve">the </w:t>
      </w:r>
      <w:r w:rsidR="00C1256E" w:rsidRPr="00243C46">
        <w:rPr>
          <w:rFonts w:ascii="Times New Roman" w:hAnsi="Times New Roman" w:cs="Times New Roman"/>
          <w:sz w:val="24"/>
          <w:szCs w:val="24"/>
        </w:rPr>
        <w:t>terms of office.</w:t>
      </w:r>
      <w:r w:rsidRPr="00243C46">
        <w:rPr>
          <w:rFonts w:ascii="Times New Roman" w:hAnsi="Times New Roman" w:cs="Times New Roman"/>
          <w:sz w:val="24"/>
          <w:szCs w:val="24"/>
        </w:rPr>
        <w:t xml:space="preserve"> </w:t>
      </w:r>
    </w:p>
    <w:p w14:paraId="0EED36E3" w14:textId="77777777" w:rsidR="00C1256E" w:rsidRPr="00243C46" w:rsidRDefault="00C1256E"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sz w:val="24"/>
          <w:szCs w:val="24"/>
        </w:rPr>
        <w:t>Mr Mogajane said that the National Treasury will focus on the development of new policies and reviewing existing ones. In that regard, the National Treasury intended to bring the following new legislation to Parliament for processing; the Public Procurement Bill, the Financial Matters Laws Amendment Bill, the Financial Services Laws General Amendment Bill, the Municipal and Fiscal Powers and Functions Amendment Bill, the Conduct of Financial Institutions Bill and, other annually recurring Money Bills (appropriation, division of revenue, rates and monetary amounts, tax administration and taxation laws).</w:t>
      </w:r>
    </w:p>
    <w:p w14:paraId="3D5F4C80" w14:textId="77777777" w:rsidR="00C1256E" w:rsidRPr="00243C46" w:rsidRDefault="009944E3"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sz w:val="24"/>
          <w:szCs w:val="24"/>
        </w:rPr>
        <w:t>He</w:t>
      </w:r>
      <w:r w:rsidR="00C1256E" w:rsidRPr="00243C46">
        <w:rPr>
          <w:rFonts w:ascii="Times New Roman" w:hAnsi="Times New Roman" w:cs="Times New Roman"/>
          <w:sz w:val="24"/>
          <w:szCs w:val="24"/>
        </w:rPr>
        <w:t xml:space="preserve"> said that the focus areas for the 2019/20 financial year included the further development and implementation of comprehensive prudential and market conduct framework for new authorities, the development of retirement reform policies, conducting research into key areas of the economy such as energy and tourism to better inform the implementation of economic policy, coordination of the national budgeting process, monitoring and analysis of public expenditure, coordination of fiscal relations across government, managing government’s annual funding programme through managing public debt, ensuring liquidity and overseeing state owned companies, improving financial management and compliance across all spheres, overseeing and improving government’s supply chain management, advancing the country’s national economic interests and those of Africa and, administering programmes in partnership with stakeholders through such initiatives as the Jobs Fund, Municipal Finance Improvement Programme (MFIP) and the Cities Support Programme (CSP) to respectively enhance employment creation, improve municipal finances and ensure economic growth and a reduction in poverty</w:t>
      </w:r>
      <w:r w:rsidRPr="00243C46">
        <w:rPr>
          <w:rFonts w:ascii="Times New Roman" w:hAnsi="Times New Roman" w:cs="Times New Roman"/>
          <w:sz w:val="24"/>
          <w:szCs w:val="24"/>
        </w:rPr>
        <w:t>.</w:t>
      </w:r>
    </w:p>
    <w:p w14:paraId="0C06A085" w14:textId="77777777" w:rsidR="00C1256E" w:rsidRPr="00243C46" w:rsidRDefault="00C1256E"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rPr>
        <w:t>SARS Commissioner, Mr. Kieswetter, briefed the Committee on SARS’ plans, taking Committee members through the</w:t>
      </w:r>
      <w:r w:rsidR="006D7C59" w:rsidRPr="00243C46">
        <w:rPr>
          <w:rFonts w:ascii="Times New Roman" w:hAnsi="Times New Roman" w:cs="Times New Roman"/>
        </w:rPr>
        <w:t xml:space="preserve"> environment he found</w:t>
      </w:r>
      <w:r w:rsidRPr="00243C46">
        <w:rPr>
          <w:rFonts w:ascii="Times New Roman" w:hAnsi="Times New Roman" w:cs="Times New Roman"/>
        </w:rPr>
        <w:t xml:space="preserve"> at SARS </w:t>
      </w:r>
      <w:r w:rsidR="006D7C59" w:rsidRPr="00243C46">
        <w:rPr>
          <w:rFonts w:ascii="Times New Roman" w:hAnsi="Times New Roman" w:cs="Times New Roman"/>
        </w:rPr>
        <w:t xml:space="preserve">when he took over </w:t>
      </w:r>
      <w:r w:rsidRPr="00243C46">
        <w:rPr>
          <w:rFonts w:ascii="Times New Roman" w:hAnsi="Times New Roman" w:cs="Times New Roman"/>
        </w:rPr>
        <w:t xml:space="preserve">two months ago and highlighting the changes being implemented to rebuild the revenue collector. Among others, the </w:t>
      </w:r>
      <w:r w:rsidRPr="00243C46">
        <w:rPr>
          <w:rFonts w:ascii="Times New Roman" w:hAnsi="Times New Roman" w:cs="Times New Roman"/>
        </w:rPr>
        <w:lastRenderedPageBreak/>
        <w:t xml:space="preserve">Commissioner said that he found a climate of fear, intimidation, high levels of trauma and stress among staff and, high levels of distrust in leadership. He said that he has been responding to these challenges with both short and long term plans of rebuilding trust and foster a new culture.  </w:t>
      </w:r>
    </w:p>
    <w:p w14:paraId="7548D5DF" w14:textId="77777777" w:rsidR="00C1256E" w:rsidRPr="00243C46" w:rsidRDefault="006D7C59"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rPr>
        <w:t>Mr Kieswetter said that SARS’</w:t>
      </w:r>
      <w:r w:rsidR="00C1256E" w:rsidRPr="00243C46">
        <w:rPr>
          <w:rFonts w:ascii="Times New Roman" w:hAnsi="Times New Roman" w:cs="Times New Roman"/>
        </w:rPr>
        <w:t xml:space="preserve"> priorities included the implementation of the recommendations of the Nugent Commission of Inquiry</w:t>
      </w:r>
      <w:r w:rsidRPr="00243C46">
        <w:rPr>
          <w:rFonts w:ascii="Times New Roman" w:hAnsi="Times New Roman" w:cs="Times New Roman"/>
        </w:rPr>
        <w:t xml:space="preserve"> into Tax Administration and Governance at SARS</w:t>
      </w:r>
      <w:r w:rsidR="00EE03E4" w:rsidRPr="00243C46">
        <w:rPr>
          <w:rFonts w:ascii="Times New Roman" w:hAnsi="Times New Roman" w:cs="Times New Roman"/>
        </w:rPr>
        <w:t xml:space="preserve"> (Nugent Commission)</w:t>
      </w:r>
      <w:r w:rsidR="00C1256E" w:rsidRPr="00243C46">
        <w:rPr>
          <w:rFonts w:ascii="Times New Roman" w:hAnsi="Times New Roman" w:cs="Times New Roman"/>
        </w:rPr>
        <w:t xml:space="preserve">, which have been endorsed by the Cabinet, and ensuring revenue recovery. On revenue recovery, he said that SARS was identifying revenue leakages, identifying and pursuing delinquent taxpayers and practitioners, addressing compliance and outreach campaigns with taxpayers. He added that SARS was rebuilding the </w:t>
      </w:r>
      <w:r w:rsidRPr="00243C46">
        <w:rPr>
          <w:rFonts w:ascii="Times New Roman" w:hAnsi="Times New Roman" w:cs="Times New Roman"/>
        </w:rPr>
        <w:t>anti-</w:t>
      </w:r>
      <w:r w:rsidR="00C1256E" w:rsidRPr="00243C46">
        <w:rPr>
          <w:rFonts w:ascii="Times New Roman" w:hAnsi="Times New Roman" w:cs="Times New Roman"/>
        </w:rPr>
        <w:t>illicit economy capacity focussing on tobacco, mining and minerals and other illicit imports through raising customs surveillance at the ports of entry.</w:t>
      </w:r>
    </w:p>
    <w:p w14:paraId="0641B7C3" w14:textId="77777777" w:rsidR="00C1256E" w:rsidRPr="00243C46" w:rsidRDefault="00C1256E" w:rsidP="00CD3989">
      <w:pPr>
        <w:pStyle w:val="ListParagraph"/>
        <w:numPr>
          <w:ilvl w:val="1"/>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rPr>
        <w:t xml:space="preserve">He said that the Nugent Commission had found that there had been a massive failure in governance and integrity since 2014 and the Bain and Company operating model that had been implemented had deliberately sought to render the organisation incapable </w:t>
      </w:r>
      <w:r w:rsidR="00EE03E4" w:rsidRPr="00243C46">
        <w:rPr>
          <w:rFonts w:ascii="Times New Roman" w:hAnsi="Times New Roman" w:cs="Times New Roman"/>
        </w:rPr>
        <w:t>of fully serving its mandate by,</w:t>
      </w:r>
      <w:r w:rsidRPr="00243C46">
        <w:rPr>
          <w:rFonts w:ascii="Times New Roman" w:hAnsi="Times New Roman" w:cs="Times New Roman"/>
        </w:rPr>
        <w:t xml:space="preserve"> among other</w:t>
      </w:r>
      <w:r w:rsidR="00EE03E4" w:rsidRPr="00243C46">
        <w:rPr>
          <w:rFonts w:ascii="Times New Roman" w:hAnsi="Times New Roman" w:cs="Times New Roman"/>
        </w:rPr>
        <w:t xml:space="preserve"> things</w:t>
      </w:r>
      <w:r w:rsidRPr="00243C46">
        <w:rPr>
          <w:rFonts w:ascii="Times New Roman" w:hAnsi="Times New Roman" w:cs="Times New Roman"/>
        </w:rPr>
        <w:t xml:space="preserve">, impeding SARS’ modernisation programme, triggering an exodus of capable and experienced staff and dismantling (the capacity of) essential business units such as the Large Business Centre, the Compliance Unit, the Integrity Unit and Illicit Economy Unit. The Commissioner reported to the Committee that these business units have since been or were being re-established or reviewed and strengthened. </w:t>
      </w:r>
    </w:p>
    <w:p w14:paraId="22336F1C" w14:textId="77777777" w:rsidR="00C1256E" w:rsidRPr="00243C46" w:rsidRDefault="00C1256E" w:rsidP="00CD3989">
      <w:pPr>
        <w:spacing w:line="360" w:lineRule="auto"/>
        <w:ind w:left="720" w:hanging="720"/>
        <w:jc w:val="both"/>
        <w:rPr>
          <w:rFonts w:ascii="Times New Roman" w:hAnsi="Times New Roman"/>
        </w:rPr>
      </w:pPr>
      <w:r w:rsidRPr="00243C46">
        <w:rPr>
          <w:rFonts w:ascii="Times New Roman" w:hAnsi="Times New Roman"/>
        </w:rPr>
        <w:t xml:space="preserve">  </w:t>
      </w:r>
    </w:p>
    <w:p w14:paraId="2A3A52A6" w14:textId="77777777" w:rsidR="009944E3" w:rsidRPr="00243C46" w:rsidRDefault="009944E3" w:rsidP="00CD3989">
      <w:pPr>
        <w:pStyle w:val="ListParagraph"/>
        <w:numPr>
          <w:ilvl w:val="0"/>
          <w:numId w:val="1"/>
        </w:numPr>
        <w:spacing w:after="0"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OVERVIEW OF THE NATIONAL TREASURY BUDGET</w:t>
      </w:r>
      <w:r w:rsidRPr="00243C46">
        <w:rPr>
          <w:rFonts w:ascii="Times New Roman" w:hAnsi="Times New Roman" w:cs="Times New Roman"/>
          <w:sz w:val="24"/>
          <w:szCs w:val="24"/>
        </w:rPr>
        <w:t xml:space="preserve"> </w:t>
      </w:r>
    </w:p>
    <w:p w14:paraId="1A817D1A" w14:textId="77777777" w:rsidR="009944E3"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A total of R</w:t>
      </w:r>
      <w:r w:rsidR="00164C52" w:rsidRPr="00243C46">
        <w:rPr>
          <w:rFonts w:ascii="Times New Roman" w:hAnsi="Times New Roman" w:cs="Times New Roman"/>
          <w:sz w:val="24"/>
          <w:szCs w:val="24"/>
        </w:rPr>
        <w:t>30,7 billion has been</w:t>
      </w:r>
      <w:r w:rsidRPr="00243C46">
        <w:rPr>
          <w:rFonts w:ascii="Times New Roman" w:hAnsi="Times New Roman" w:cs="Times New Roman"/>
          <w:sz w:val="24"/>
          <w:szCs w:val="24"/>
        </w:rPr>
        <w:t xml:space="preserve"> allocated to </w:t>
      </w:r>
      <w:r w:rsidR="00164C52" w:rsidRPr="00243C46">
        <w:rPr>
          <w:rFonts w:ascii="Times New Roman" w:hAnsi="Times New Roman" w:cs="Times New Roman"/>
          <w:sz w:val="24"/>
          <w:szCs w:val="24"/>
        </w:rPr>
        <w:t xml:space="preserve">the </w:t>
      </w:r>
      <w:r w:rsidRPr="00243C46">
        <w:rPr>
          <w:rFonts w:ascii="Times New Roman" w:hAnsi="Times New Roman" w:cs="Times New Roman"/>
          <w:sz w:val="24"/>
          <w:szCs w:val="24"/>
        </w:rPr>
        <w:t>National Treasury</w:t>
      </w:r>
      <w:r w:rsidR="00164C52" w:rsidRPr="00243C46">
        <w:rPr>
          <w:rFonts w:ascii="Times New Roman" w:hAnsi="Times New Roman" w:cs="Times New Roman"/>
          <w:sz w:val="24"/>
          <w:szCs w:val="24"/>
        </w:rPr>
        <w:t xml:space="preserve"> in 2019/20; an increase of 3.6% from 2018/19 budget</w:t>
      </w:r>
      <w:r w:rsidRPr="00243C46">
        <w:rPr>
          <w:rFonts w:ascii="Times New Roman" w:hAnsi="Times New Roman" w:cs="Times New Roman"/>
          <w:sz w:val="24"/>
          <w:szCs w:val="24"/>
        </w:rPr>
        <w:t xml:space="preserve">. </w:t>
      </w:r>
      <w:r w:rsidR="00164C52" w:rsidRPr="00243C46">
        <w:rPr>
          <w:rFonts w:ascii="Times New Roman" w:hAnsi="Times New Roman" w:cs="Times New Roman"/>
          <w:sz w:val="24"/>
          <w:szCs w:val="24"/>
        </w:rPr>
        <w:t xml:space="preserve">This budget is projected to increase by 5% and 5.7% to R32,3 billion and R34,1 billion in the outer years of the Medium-Term Expenditure Framework (MTEF).  </w:t>
      </w:r>
      <w:r w:rsidR="005B786E" w:rsidRPr="00243C46">
        <w:rPr>
          <w:rFonts w:ascii="Times New Roman" w:hAnsi="Times New Roman" w:cs="Times New Roman"/>
          <w:sz w:val="24"/>
          <w:szCs w:val="24"/>
        </w:rPr>
        <w:t>77% of the 2019/20 allocation goes to transfers and subsidies, 0.1% to payment for capital assets, 15.1% to payment for financial assets and 8.1% to current payments.</w:t>
      </w:r>
      <w:r w:rsidRPr="00243C46">
        <w:rPr>
          <w:rFonts w:ascii="Times New Roman" w:hAnsi="Times New Roman" w:cs="Times New Roman"/>
          <w:sz w:val="24"/>
          <w:szCs w:val="24"/>
        </w:rPr>
        <w:t xml:space="preserve"> </w:t>
      </w:r>
      <w:r w:rsidR="005B786E" w:rsidRPr="00243C46">
        <w:rPr>
          <w:rFonts w:ascii="Times New Roman" w:hAnsi="Times New Roman" w:cs="Times New Roman"/>
          <w:sz w:val="24"/>
          <w:szCs w:val="24"/>
        </w:rPr>
        <w:t>The table below summarises National Treasury’s</w:t>
      </w:r>
      <w:r w:rsidRPr="00243C46">
        <w:rPr>
          <w:rFonts w:ascii="Times New Roman" w:hAnsi="Times New Roman" w:cs="Times New Roman"/>
          <w:sz w:val="24"/>
          <w:szCs w:val="24"/>
        </w:rPr>
        <w:t xml:space="preserve"> </w:t>
      </w:r>
      <w:r w:rsidR="005B786E" w:rsidRPr="00243C46">
        <w:rPr>
          <w:rFonts w:ascii="Times New Roman" w:hAnsi="Times New Roman" w:cs="Times New Roman"/>
          <w:sz w:val="24"/>
          <w:szCs w:val="24"/>
        </w:rPr>
        <w:t>MTEF</w:t>
      </w:r>
      <w:r w:rsidR="00EE03E4" w:rsidRPr="00243C46">
        <w:rPr>
          <w:rFonts w:ascii="Times New Roman" w:hAnsi="Times New Roman" w:cs="Times New Roman"/>
          <w:sz w:val="24"/>
          <w:szCs w:val="24"/>
        </w:rPr>
        <w:t xml:space="preserve"> allocations</w:t>
      </w:r>
      <w:r w:rsidRPr="00243C46">
        <w:rPr>
          <w:rFonts w:ascii="Times New Roman" w:hAnsi="Times New Roman" w:cs="Times New Roman"/>
          <w:sz w:val="24"/>
          <w:szCs w:val="24"/>
        </w:rPr>
        <w:t xml:space="preserve">. </w:t>
      </w:r>
    </w:p>
    <w:p w14:paraId="74A91D44" w14:textId="77777777" w:rsidR="00C1256E" w:rsidRPr="00243C46" w:rsidRDefault="00C1256E" w:rsidP="00CD3989">
      <w:pPr>
        <w:spacing w:line="360" w:lineRule="auto"/>
        <w:jc w:val="both"/>
        <w:rPr>
          <w:rFonts w:ascii="Times New Roman" w:hAnsi="Times New Roman"/>
        </w:rPr>
      </w:pPr>
      <w:r w:rsidRPr="00243C46">
        <w:rPr>
          <w:rFonts w:ascii="Times New Roman" w:hAnsi="Times New Roman"/>
          <w:b/>
        </w:rPr>
        <w:t xml:space="preserve">TABLE 1: National Treasury </w:t>
      </w:r>
      <w:r w:rsidRPr="00243C46">
        <w:rPr>
          <w:rFonts w:ascii="Times New Roman" w:eastAsia="Times New Roman" w:hAnsi="Times New Roman"/>
          <w:b/>
          <w:bCs/>
          <w:lang w:eastAsia="en-ZA"/>
        </w:rPr>
        <w:t>Budget Summary 2019/20 MTEF</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236"/>
        <w:gridCol w:w="989"/>
        <w:gridCol w:w="990"/>
        <w:gridCol w:w="990"/>
        <w:gridCol w:w="1080"/>
        <w:gridCol w:w="1080"/>
        <w:gridCol w:w="900"/>
        <w:gridCol w:w="990"/>
      </w:tblGrid>
      <w:tr w:rsidR="00C1256E" w:rsidRPr="00243C46" w14:paraId="0308B574" w14:textId="77777777" w:rsidTr="00C1256E">
        <w:trPr>
          <w:trHeight w:val="70"/>
        </w:trPr>
        <w:tc>
          <w:tcPr>
            <w:tcW w:w="3505" w:type="dxa"/>
            <w:gridSpan w:val="3"/>
            <w:tcBorders>
              <w:right w:val="nil"/>
            </w:tcBorders>
            <w:shd w:val="clear" w:color="auto" w:fill="auto"/>
            <w:noWrap/>
            <w:vAlign w:val="bottom"/>
            <w:hideMark/>
          </w:tcPr>
          <w:p w14:paraId="16D4BD35" w14:textId="77777777" w:rsidR="00C1256E" w:rsidRPr="00243C46" w:rsidRDefault="00C1256E" w:rsidP="00CD3989">
            <w:pPr>
              <w:spacing w:line="360" w:lineRule="auto"/>
              <w:rPr>
                <w:rFonts w:ascii="Times New Roman" w:eastAsia="Times New Roman" w:hAnsi="Times New Roman"/>
                <w:b/>
                <w:bCs/>
                <w:sz w:val="20"/>
                <w:szCs w:val="20"/>
                <w:lang w:eastAsia="en-ZA"/>
              </w:rPr>
            </w:pPr>
          </w:p>
        </w:tc>
        <w:tc>
          <w:tcPr>
            <w:tcW w:w="990" w:type="dxa"/>
            <w:tcBorders>
              <w:left w:val="nil"/>
              <w:right w:val="nil"/>
            </w:tcBorders>
            <w:shd w:val="clear" w:color="auto" w:fill="auto"/>
            <w:vAlign w:val="bottom"/>
            <w:hideMark/>
          </w:tcPr>
          <w:p w14:paraId="7A6B4556"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90" w:type="dxa"/>
            <w:tcBorders>
              <w:left w:val="nil"/>
              <w:right w:val="nil"/>
            </w:tcBorders>
            <w:shd w:val="clear" w:color="auto" w:fill="auto"/>
            <w:vAlign w:val="bottom"/>
            <w:hideMark/>
          </w:tcPr>
          <w:p w14:paraId="004FDF18"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1080" w:type="dxa"/>
            <w:tcBorders>
              <w:left w:val="nil"/>
              <w:right w:val="nil"/>
            </w:tcBorders>
            <w:shd w:val="clear" w:color="auto" w:fill="auto"/>
            <w:vAlign w:val="bottom"/>
            <w:hideMark/>
          </w:tcPr>
          <w:p w14:paraId="132E5019"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1080" w:type="dxa"/>
            <w:tcBorders>
              <w:left w:val="nil"/>
              <w:right w:val="nil"/>
            </w:tcBorders>
            <w:shd w:val="clear" w:color="auto" w:fill="auto"/>
            <w:vAlign w:val="bottom"/>
            <w:hideMark/>
          </w:tcPr>
          <w:p w14:paraId="72C38148"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00" w:type="dxa"/>
            <w:tcBorders>
              <w:left w:val="nil"/>
              <w:right w:val="nil"/>
            </w:tcBorders>
            <w:shd w:val="clear" w:color="auto" w:fill="auto"/>
            <w:vAlign w:val="bottom"/>
            <w:hideMark/>
          </w:tcPr>
          <w:p w14:paraId="5143AA30"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90" w:type="dxa"/>
            <w:tcBorders>
              <w:left w:val="nil"/>
            </w:tcBorders>
            <w:shd w:val="clear" w:color="auto" w:fill="auto"/>
            <w:vAlign w:val="bottom"/>
            <w:hideMark/>
          </w:tcPr>
          <w:p w14:paraId="2BE4C93B"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r>
      <w:tr w:rsidR="00C1256E" w:rsidRPr="00243C46" w14:paraId="77CC2F75" w14:textId="77777777" w:rsidTr="00C1256E">
        <w:trPr>
          <w:trHeight w:val="287"/>
        </w:trPr>
        <w:tc>
          <w:tcPr>
            <w:tcW w:w="2280" w:type="dxa"/>
            <w:shd w:val="clear" w:color="auto" w:fill="auto"/>
            <w:vAlign w:val="bottom"/>
            <w:hideMark/>
          </w:tcPr>
          <w:p w14:paraId="0025CE87"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w:t>
            </w:r>
          </w:p>
        </w:tc>
        <w:tc>
          <w:tcPr>
            <w:tcW w:w="236" w:type="dxa"/>
            <w:shd w:val="clear" w:color="auto" w:fill="auto"/>
            <w:noWrap/>
            <w:vAlign w:val="bottom"/>
            <w:hideMark/>
          </w:tcPr>
          <w:p w14:paraId="4570CB0A"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w:t>
            </w:r>
          </w:p>
        </w:tc>
        <w:tc>
          <w:tcPr>
            <w:tcW w:w="4049" w:type="dxa"/>
            <w:gridSpan w:val="4"/>
            <w:shd w:val="clear" w:color="auto" w:fill="auto"/>
            <w:noWrap/>
            <w:vAlign w:val="bottom"/>
            <w:hideMark/>
          </w:tcPr>
          <w:p w14:paraId="132A1FBD"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2019/20 </w:t>
            </w:r>
          </w:p>
        </w:tc>
        <w:tc>
          <w:tcPr>
            <w:tcW w:w="1080" w:type="dxa"/>
            <w:shd w:val="clear" w:color="auto" w:fill="auto"/>
            <w:noWrap/>
            <w:vAlign w:val="bottom"/>
            <w:hideMark/>
          </w:tcPr>
          <w:p w14:paraId="52104876"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w:t>
            </w:r>
          </w:p>
        </w:tc>
        <w:tc>
          <w:tcPr>
            <w:tcW w:w="900" w:type="dxa"/>
            <w:shd w:val="clear" w:color="auto" w:fill="auto"/>
            <w:vAlign w:val="bottom"/>
            <w:hideMark/>
          </w:tcPr>
          <w:p w14:paraId="55B8B68D"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2020/21 </w:t>
            </w:r>
          </w:p>
        </w:tc>
        <w:tc>
          <w:tcPr>
            <w:tcW w:w="990" w:type="dxa"/>
            <w:shd w:val="clear" w:color="auto" w:fill="auto"/>
            <w:vAlign w:val="bottom"/>
            <w:hideMark/>
          </w:tcPr>
          <w:p w14:paraId="2A401757"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2021/22 </w:t>
            </w:r>
          </w:p>
        </w:tc>
      </w:tr>
      <w:tr w:rsidR="00C1256E" w:rsidRPr="00243C46" w14:paraId="1A9071EE" w14:textId="77777777" w:rsidTr="00C1256E">
        <w:trPr>
          <w:trHeight w:val="792"/>
        </w:trPr>
        <w:tc>
          <w:tcPr>
            <w:tcW w:w="2280" w:type="dxa"/>
            <w:shd w:val="clear" w:color="auto" w:fill="auto"/>
            <w:noWrap/>
            <w:vAlign w:val="bottom"/>
            <w:hideMark/>
          </w:tcPr>
          <w:p w14:paraId="6F4586F3"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R million</w:t>
            </w:r>
          </w:p>
        </w:tc>
        <w:tc>
          <w:tcPr>
            <w:tcW w:w="236" w:type="dxa"/>
            <w:shd w:val="clear" w:color="auto" w:fill="auto"/>
            <w:noWrap/>
            <w:vAlign w:val="bottom"/>
            <w:hideMark/>
          </w:tcPr>
          <w:p w14:paraId="59570466"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w:t>
            </w:r>
          </w:p>
        </w:tc>
        <w:tc>
          <w:tcPr>
            <w:tcW w:w="989" w:type="dxa"/>
            <w:shd w:val="clear" w:color="auto" w:fill="auto"/>
            <w:vAlign w:val="bottom"/>
            <w:hideMark/>
          </w:tcPr>
          <w:p w14:paraId="7A509B16"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Total  </w:t>
            </w:r>
          </w:p>
        </w:tc>
        <w:tc>
          <w:tcPr>
            <w:tcW w:w="990" w:type="dxa"/>
            <w:shd w:val="clear" w:color="auto" w:fill="auto"/>
            <w:vAlign w:val="bottom"/>
            <w:hideMark/>
          </w:tcPr>
          <w:p w14:paraId="015A99A0"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Current   </w:t>
            </w:r>
            <w:r w:rsidRPr="00243C46">
              <w:rPr>
                <w:rFonts w:ascii="Times New Roman" w:eastAsia="Times New Roman" w:hAnsi="Times New Roman"/>
                <w:b/>
                <w:bCs/>
                <w:sz w:val="20"/>
                <w:szCs w:val="20"/>
                <w:lang w:eastAsia="en-ZA"/>
              </w:rPr>
              <w:br/>
              <w:t xml:space="preserve">payments  </w:t>
            </w:r>
          </w:p>
        </w:tc>
        <w:tc>
          <w:tcPr>
            <w:tcW w:w="990" w:type="dxa"/>
            <w:shd w:val="clear" w:color="auto" w:fill="auto"/>
            <w:vAlign w:val="bottom"/>
            <w:hideMark/>
          </w:tcPr>
          <w:p w14:paraId="0BC441B5"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Transfers and </w:t>
            </w:r>
            <w:r w:rsidRPr="00243C46">
              <w:rPr>
                <w:rFonts w:ascii="Times New Roman" w:eastAsia="Times New Roman" w:hAnsi="Times New Roman"/>
                <w:b/>
                <w:bCs/>
                <w:sz w:val="20"/>
                <w:szCs w:val="20"/>
                <w:lang w:eastAsia="en-ZA"/>
              </w:rPr>
              <w:br/>
            </w:r>
            <w:r w:rsidRPr="00243C46">
              <w:rPr>
                <w:rFonts w:ascii="Times New Roman" w:eastAsia="Times New Roman" w:hAnsi="Times New Roman"/>
                <w:b/>
                <w:bCs/>
                <w:sz w:val="20"/>
                <w:szCs w:val="20"/>
                <w:lang w:eastAsia="en-ZA"/>
              </w:rPr>
              <w:lastRenderedPageBreak/>
              <w:t xml:space="preserve">subsidies   </w:t>
            </w:r>
          </w:p>
        </w:tc>
        <w:tc>
          <w:tcPr>
            <w:tcW w:w="1080" w:type="dxa"/>
            <w:shd w:val="clear" w:color="auto" w:fill="auto"/>
            <w:vAlign w:val="bottom"/>
            <w:hideMark/>
          </w:tcPr>
          <w:p w14:paraId="0319612D"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lastRenderedPageBreak/>
              <w:t xml:space="preserve"> Payments for </w:t>
            </w:r>
            <w:r w:rsidRPr="00243C46">
              <w:rPr>
                <w:rFonts w:ascii="Times New Roman" w:eastAsia="Times New Roman" w:hAnsi="Times New Roman"/>
                <w:b/>
                <w:bCs/>
                <w:sz w:val="20"/>
                <w:szCs w:val="20"/>
                <w:lang w:eastAsia="en-ZA"/>
              </w:rPr>
              <w:br/>
            </w:r>
            <w:r w:rsidRPr="00243C46">
              <w:rPr>
                <w:rFonts w:ascii="Times New Roman" w:eastAsia="Times New Roman" w:hAnsi="Times New Roman"/>
                <w:b/>
                <w:bCs/>
                <w:sz w:val="20"/>
                <w:szCs w:val="20"/>
                <w:lang w:eastAsia="en-ZA"/>
              </w:rPr>
              <w:lastRenderedPageBreak/>
              <w:t xml:space="preserve">capital assets  </w:t>
            </w:r>
          </w:p>
        </w:tc>
        <w:tc>
          <w:tcPr>
            <w:tcW w:w="1080" w:type="dxa"/>
            <w:shd w:val="clear" w:color="auto" w:fill="auto"/>
            <w:vAlign w:val="bottom"/>
            <w:hideMark/>
          </w:tcPr>
          <w:p w14:paraId="7FB19E99"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lastRenderedPageBreak/>
              <w:t xml:space="preserve"> Payments for </w:t>
            </w:r>
            <w:r w:rsidRPr="00243C46">
              <w:rPr>
                <w:rFonts w:ascii="Times New Roman" w:eastAsia="Times New Roman" w:hAnsi="Times New Roman"/>
                <w:b/>
                <w:bCs/>
                <w:sz w:val="20"/>
                <w:szCs w:val="20"/>
                <w:lang w:eastAsia="en-ZA"/>
              </w:rPr>
              <w:br/>
            </w:r>
            <w:r w:rsidRPr="00243C46">
              <w:rPr>
                <w:rFonts w:ascii="Times New Roman" w:eastAsia="Times New Roman" w:hAnsi="Times New Roman"/>
                <w:b/>
                <w:bCs/>
                <w:sz w:val="20"/>
                <w:szCs w:val="20"/>
                <w:lang w:eastAsia="en-ZA"/>
              </w:rPr>
              <w:lastRenderedPageBreak/>
              <w:t xml:space="preserve">financial assets  </w:t>
            </w:r>
          </w:p>
        </w:tc>
        <w:tc>
          <w:tcPr>
            <w:tcW w:w="900" w:type="dxa"/>
            <w:shd w:val="clear" w:color="auto" w:fill="auto"/>
            <w:vAlign w:val="bottom"/>
            <w:hideMark/>
          </w:tcPr>
          <w:p w14:paraId="5C1E5253"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lastRenderedPageBreak/>
              <w:t xml:space="preserve"> Total  </w:t>
            </w:r>
          </w:p>
        </w:tc>
        <w:tc>
          <w:tcPr>
            <w:tcW w:w="990" w:type="dxa"/>
            <w:shd w:val="clear" w:color="auto" w:fill="auto"/>
            <w:vAlign w:val="bottom"/>
            <w:hideMark/>
          </w:tcPr>
          <w:p w14:paraId="12492155"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xml:space="preserve"> Total  </w:t>
            </w:r>
          </w:p>
        </w:tc>
      </w:tr>
      <w:tr w:rsidR="00C1256E" w:rsidRPr="00243C46" w14:paraId="27067BB1" w14:textId="77777777" w:rsidTr="00C1256E">
        <w:trPr>
          <w:trHeight w:val="288"/>
        </w:trPr>
        <w:tc>
          <w:tcPr>
            <w:tcW w:w="2280" w:type="dxa"/>
            <w:shd w:val="clear" w:color="auto" w:fill="auto"/>
            <w:vAlign w:val="bottom"/>
            <w:hideMark/>
          </w:tcPr>
          <w:p w14:paraId="326F65D8"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lastRenderedPageBreak/>
              <w:t>MTEF allocation</w:t>
            </w:r>
          </w:p>
        </w:tc>
        <w:tc>
          <w:tcPr>
            <w:tcW w:w="236" w:type="dxa"/>
            <w:shd w:val="clear" w:color="auto" w:fill="auto"/>
            <w:noWrap/>
            <w:vAlign w:val="bottom"/>
            <w:hideMark/>
          </w:tcPr>
          <w:p w14:paraId="76A2D3A7"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w:t>
            </w:r>
          </w:p>
        </w:tc>
        <w:tc>
          <w:tcPr>
            <w:tcW w:w="989" w:type="dxa"/>
            <w:shd w:val="clear" w:color="auto" w:fill="auto"/>
            <w:noWrap/>
            <w:vAlign w:val="bottom"/>
            <w:hideMark/>
          </w:tcPr>
          <w:p w14:paraId="5F9E92BF"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90" w:type="dxa"/>
            <w:shd w:val="clear" w:color="auto" w:fill="auto"/>
            <w:noWrap/>
            <w:vAlign w:val="bottom"/>
            <w:hideMark/>
          </w:tcPr>
          <w:p w14:paraId="61708493"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90" w:type="dxa"/>
            <w:shd w:val="clear" w:color="auto" w:fill="auto"/>
            <w:noWrap/>
            <w:vAlign w:val="bottom"/>
            <w:hideMark/>
          </w:tcPr>
          <w:p w14:paraId="349AD76A"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1080" w:type="dxa"/>
            <w:shd w:val="clear" w:color="auto" w:fill="auto"/>
            <w:noWrap/>
            <w:vAlign w:val="bottom"/>
            <w:hideMark/>
          </w:tcPr>
          <w:p w14:paraId="3346D972"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1080" w:type="dxa"/>
            <w:shd w:val="clear" w:color="auto" w:fill="auto"/>
            <w:noWrap/>
            <w:vAlign w:val="bottom"/>
            <w:hideMark/>
          </w:tcPr>
          <w:p w14:paraId="4010BF62"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00" w:type="dxa"/>
            <w:shd w:val="clear" w:color="auto" w:fill="auto"/>
            <w:noWrap/>
            <w:vAlign w:val="bottom"/>
            <w:hideMark/>
          </w:tcPr>
          <w:p w14:paraId="5D8AEBB1"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c>
          <w:tcPr>
            <w:tcW w:w="990" w:type="dxa"/>
            <w:shd w:val="clear" w:color="auto" w:fill="auto"/>
            <w:noWrap/>
            <w:vAlign w:val="bottom"/>
            <w:hideMark/>
          </w:tcPr>
          <w:p w14:paraId="3580BE04"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 </w:t>
            </w:r>
          </w:p>
        </w:tc>
      </w:tr>
      <w:tr w:rsidR="00C1256E" w:rsidRPr="00243C46" w14:paraId="47A12EF2" w14:textId="77777777" w:rsidTr="00C1256E">
        <w:trPr>
          <w:trHeight w:val="288"/>
        </w:trPr>
        <w:tc>
          <w:tcPr>
            <w:tcW w:w="2280" w:type="dxa"/>
            <w:shd w:val="clear" w:color="auto" w:fill="auto"/>
            <w:hideMark/>
          </w:tcPr>
          <w:p w14:paraId="3EC3FFC8"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Administration</w:t>
            </w:r>
          </w:p>
        </w:tc>
        <w:tc>
          <w:tcPr>
            <w:tcW w:w="236" w:type="dxa"/>
            <w:shd w:val="clear" w:color="auto" w:fill="auto"/>
            <w:noWrap/>
            <w:hideMark/>
          </w:tcPr>
          <w:p w14:paraId="00386444"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0E6B388F"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555,7</w:t>
            </w:r>
          </w:p>
        </w:tc>
        <w:tc>
          <w:tcPr>
            <w:tcW w:w="990" w:type="dxa"/>
            <w:shd w:val="clear" w:color="auto" w:fill="auto"/>
            <w:noWrap/>
            <w:hideMark/>
          </w:tcPr>
          <w:p w14:paraId="42656DBD"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533,4</w:t>
            </w:r>
          </w:p>
        </w:tc>
        <w:tc>
          <w:tcPr>
            <w:tcW w:w="990" w:type="dxa"/>
            <w:shd w:val="clear" w:color="auto" w:fill="auto"/>
            <w:noWrap/>
            <w:hideMark/>
          </w:tcPr>
          <w:p w14:paraId="482FBED0"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4,1</w:t>
            </w:r>
          </w:p>
        </w:tc>
        <w:tc>
          <w:tcPr>
            <w:tcW w:w="1080" w:type="dxa"/>
            <w:shd w:val="clear" w:color="auto" w:fill="auto"/>
            <w:noWrap/>
            <w:hideMark/>
          </w:tcPr>
          <w:p w14:paraId="6AB804BB"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18,2</w:t>
            </w:r>
          </w:p>
        </w:tc>
        <w:tc>
          <w:tcPr>
            <w:tcW w:w="1080" w:type="dxa"/>
            <w:shd w:val="clear" w:color="auto" w:fill="auto"/>
            <w:noWrap/>
            <w:hideMark/>
          </w:tcPr>
          <w:p w14:paraId="309A6B9A"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2F1EBB7A"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599,4</w:t>
            </w:r>
          </w:p>
        </w:tc>
        <w:tc>
          <w:tcPr>
            <w:tcW w:w="990" w:type="dxa"/>
            <w:shd w:val="clear" w:color="auto" w:fill="auto"/>
            <w:noWrap/>
            <w:hideMark/>
          </w:tcPr>
          <w:p w14:paraId="490B0A9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636,8</w:t>
            </w:r>
          </w:p>
        </w:tc>
      </w:tr>
      <w:tr w:rsidR="00C1256E" w:rsidRPr="00243C46" w14:paraId="7DC08CCF" w14:textId="77777777" w:rsidTr="00C1256E">
        <w:trPr>
          <w:trHeight w:val="768"/>
        </w:trPr>
        <w:tc>
          <w:tcPr>
            <w:tcW w:w="2280" w:type="dxa"/>
            <w:shd w:val="clear" w:color="auto" w:fill="auto"/>
            <w:hideMark/>
          </w:tcPr>
          <w:p w14:paraId="0D92E4B1"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Economic Policy, Tax, Financial Regulation and Research</w:t>
            </w:r>
          </w:p>
        </w:tc>
        <w:tc>
          <w:tcPr>
            <w:tcW w:w="236" w:type="dxa"/>
            <w:shd w:val="clear" w:color="auto" w:fill="auto"/>
            <w:noWrap/>
            <w:hideMark/>
          </w:tcPr>
          <w:p w14:paraId="575C078E"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009AC7B4"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149,7</w:t>
            </w:r>
          </w:p>
        </w:tc>
        <w:tc>
          <w:tcPr>
            <w:tcW w:w="990" w:type="dxa"/>
            <w:shd w:val="clear" w:color="auto" w:fill="auto"/>
            <w:noWrap/>
            <w:hideMark/>
          </w:tcPr>
          <w:p w14:paraId="4CEBF432"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128,1</w:t>
            </w:r>
          </w:p>
        </w:tc>
        <w:tc>
          <w:tcPr>
            <w:tcW w:w="990" w:type="dxa"/>
            <w:shd w:val="clear" w:color="auto" w:fill="auto"/>
            <w:noWrap/>
            <w:hideMark/>
          </w:tcPr>
          <w:p w14:paraId="1303F7A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20,8</w:t>
            </w:r>
          </w:p>
        </w:tc>
        <w:tc>
          <w:tcPr>
            <w:tcW w:w="1080" w:type="dxa"/>
            <w:shd w:val="clear" w:color="auto" w:fill="auto"/>
            <w:noWrap/>
            <w:hideMark/>
          </w:tcPr>
          <w:p w14:paraId="1A40D70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0,9</w:t>
            </w:r>
          </w:p>
        </w:tc>
        <w:tc>
          <w:tcPr>
            <w:tcW w:w="1080" w:type="dxa"/>
            <w:shd w:val="clear" w:color="auto" w:fill="auto"/>
            <w:noWrap/>
            <w:hideMark/>
          </w:tcPr>
          <w:p w14:paraId="4484F537"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3BC00D22"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159,6</w:t>
            </w:r>
          </w:p>
        </w:tc>
        <w:tc>
          <w:tcPr>
            <w:tcW w:w="990" w:type="dxa"/>
            <w:shd w:val="clear" w:color="auto" w:fill="auto"/>
            <w:noWrap/>
            <w:hideMark/>
          </w:tcPr>
          <w:p w14:paraId="51C49623"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169,0</w:t>
            </w:r>
          </w:p>
        </w:tc>
      </w:tr>
      <w:tr w:rsidR="00C1256E" w:rsidRPr="00243C46" w14:paraId="3DC6B0AB" w14:textId="77777777" w:rsidTr="00C1256E">
        <w:trPr>
          <w:trHeight w:val="384"/>
        </w:trPr>
        <w:tc>
          <w:tcPr>
            <w:tcW w:w="2280" w:type="dxa"/>
            <w:shd w:val="clear" w:color="auto" w:fill="auto"/>
            <w:hideMark/>
          </w:tcPr>
          <w:p w14:paraId="5EE6E812"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Public Finance and Budget Management</w:t>
            </w:r>
          </w:p>
        </w:tc>
        <w:tc>
          <w:tcPr>
            <w:tcW w:w="236" w:type="dxa"/>
            <w:shd w:val="clear" w:color="auto" w:fill="auto"/>
            <w:noWrap/>
            <w:hideMark/>
          </w:tcPr>
          <w:p w14:paraId="5B61D294"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52D86203"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320,0</w:t>
            </w:r>
          </w:p>
        </w:tc>
        <w:tc>
          <w:tcPr>
            <w:tcW w:w="990" w:type="dxa"/>
            <w:shd w:val="clear" w:color="auto" w:fill="auto"/>
            <w:noWrap/>
            <w:hideMark/>
          </w:tcPr>
          <w:p w14:paraId="5234FCA8"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263,3</w:t>
            </w:r>
          </w:p>
        </w:tc>
        <w:tc>
          <w:tcPr>
            <w:tcW w:w="990" w:type="dxa"/>
            <w:shd w:val="clear" w:color="auto" w:fill="auto"/>
            <w:noWrap/>
            <w:hideMark/>
          </w:tcPr>
          <w:p w14:paraId="55CDA4A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54,3</w:t>
            </w:r>
          </w:p>
        </w:tc>
        <w:tc>
          <w:tcPr>
            <w:tcW w:w="1080" w:type="dxa"/>
            <w:shd w:val="clear" w:color="auto" w:fill="auto"/>
            <w:noWrap/>
            <w:hideMark/>
          </w:tcPr>
          <w:p w14:paraId="4D318808"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2,4</w:t>
            </w:r>
          </w:p>
        </w:tc>
        <w:tc>
          <w:tcPr>
            <w:tcW w:w="1080" w:type="dxa"/>
            <w:shd w:val="clear" w:color="auto" w:fill="auto"/>
            <w:noWrap/>
            <w:hideMark/>
          </w:tcPr>
          <w:p w14:paraId="003C890E"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2D629203"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325,3</w:t>
            </w:r>
          </w:p>
        </w:tc>
        <w:tc>
          <w:tcPr>
            <w:tcW w:w="990" w:type="dxa"/>
            <w:shd w:val="clear" w:color="auto" w:fill="auto"/>
            <w:noWrap/>
            <w:hideMark/>
          </w:tcPr>
          <w:p w14:paraId="3988523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344,2</w:t>
            </w:r>
          </w:p>
        </w:tc>
      </w:tr>
      <w:tr w:rsidR="00C1256E" w:rsidRPr="00243C46" w14:paraId="09B62617" w14:textId="77777777" w:rsidTr="00C1256E">
        <w:trPr>
          <w:trHeight w:val="384"/>
        </w:trPr>
        <w:tc>
          <w:tcPr>
            <w:tcW w:w="2280" w:type="dxa"/>
            <w:shd w:val="clear" w:color="auto" w:fill="auto"/>
            <w:hideMark/>
          </w:tcPr>
          <w:p w14:paraId="0A745BCD"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Asset and Liability Management</w:t>
            </w:r>
          </w:p>
        </w:tc>
        <w:tc>
          <w:tcPr>
            <w:tcW w:w="236" w:type="dxa"/>
            <w:shd w:val="clear" w:color="auto" w:fill="auto"/>
            <w:noWrap/>
            <w:hideMark/>
          </w:tcPr>
          <w:p w14:paraId="2CF28C7C"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70042FAF"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108,4</w:t>
            </w:r>
          </w:p>
        </w:tc>
        <w:tc>
          <w:tcPr>
            <w:tcW w:w="990" w:type="dxa"/>
            <w:shd w:val="clear" w:color="auto" w:fill="auto"/>
            <w:noWrap/>
            <w:hideMark/>
          </w:tcPr>
          <w:p w14:paraId="6BA64714"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107,7</w:t>
            </w:r>
          </w:p>
        </w:tc>
        <w:tc>
          <w:tcPr>
            <w:tcW w:w="990" w:type="dxa"/>
            <w:shd w:val="clear" w:color="auto" w:fill="auto"/>
            <w:noWrap/>
            <w:hideMark/>
          </w:tcPr>
          <w:p w14:paraId="6501C9DE"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1080" w:type="dxa"/>
            <w:shd w:val="clear" w:color="auto" w:fill="auto"/>
            <w:noWrap/>
            <w:hideMark/>
          </w:tcPr>
          <w:p w14:paraId="10AA306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0,7</w:t>
            </w:r>
          </w:p>
        </w:tc>
        <w:tc>
          <w:tcPr>
            <w:tcW w:w="1080" w:type="dxa"/>
            <w:shd w:val="clear" w:color="auto" w:fill="auto"/>
            <w:noWrap/>
            <w:hideMark/>
          </w:tcPr>
          <w:p w14:paraId="6C0EADD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0A2FD837"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116,1</w:t>
            </w:r>
          </w:p>
        </w:tc>
        <w:tc>
          <w:tcPr>
            <w:tcW w:w="990" w:type="dxa"/>
            <w:shd w:val="clear" w:color="auto" w:fill="auto"/>
            <w:noWrap/>
            <w:hideMark/>
          </w:tcPr>
          <w:p w14:paraId="688677FD"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122,0</w:t>
            </w:r>
          </w:p>
        </w:tc>
      </w:tr>
      <w:tr w:rsidR="00C1256E" w:rsidRPr="00243C46" w14:paraId="7F668FCF" w14:textId="77777777" w:rsidTr="00C1256E">
        <w:trPr>
          <w:trHeight w:val="768"/>
        </w:trPr>
        <w:tc>
          <w:tcPr>
            <w:tcW w:w="2280" w:type="dxa"/>
            <w:shd w:val="clear" w:color="auto" w:fill="auto"/>
            <w:hideMark/>
          </w:tcPr>
          <w:p w14:paraId="2BDFF987"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Financial Accounting and Supply Chain Management Systems</w:t>
            </w:r>
          </w:p>
        </w:tc>
        <w:tc>
          <w:tcPr>
            <w:tcW w:w="236" w:type="dxa"/>
            <w:shd w:val="clear" w:color="auto" w:fill="auto"/>
            <w:noWrap/>
            <w:hideMark/>
          </w:tcPr>
          <w:p w14:paraId="4A747A39"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7181AFCD"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1 093,6</w:t>
            </w:r>
          </w:p>
        </w:tc>
        <w:tc>
          <w:tcPr>
            <w:tcW w:w="990" w:type="dxa"/>
            <w:shd w:val="clear" w:color="auto" w:fill="auto"/>
            <w:noWrap/>
            <w:hideMark/>
          </w:tcPr>
          <w:p w14:paraId="1742362C"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970,0</w:t>
            </w:r>
          </w:p>
        </w:tc>
        <w:tc>
          <w:tcPr>
            <w:tcW w:w="990" w:type="dxa"/>
            <w:shd w:val="clear" w:color="auto" w:fill="auto"/>
            <w:noWrap/>
            <w:hideMark/>
          </w:tcPr>
          <w:p w14:paraId="622502A2"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109,7</w:t>
            </w:r>
          </w:p>
        </w:tc>
        <w:tc>
          <w:tcPr>
            <w:tcW w:w="1080" w:type="dxa"/>
            <w:shd w:val="clear" w:color="auto" w:fill="auto"/>
            <w:noWrap/>
            <w:hideMark/>
          </w:tcPr>
          <w:p w14:paraId="40E2FA1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13,9</w:t>
            </w:r>
          </w:p>
        </w:tc>
        <w:tc>
          <w:tcPr>
            <w:tcW w:w="1080" w:type="dxa"/>
            <w:shd w:val="clear" w:color="auto" w:fill="auto"/>
            <w:noWrap/>
            <w:hideMark/>
          </w:tcPr>
          <w:p w14:paraId="5EA0F3C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5FB53F08"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1 159,2</w:t>
            </w:r>
          </w:p>
        </w:tc>
        <w:tc>
          <w:tcPr>
            <w:tcW w:w="990" w:type="dxa"/>
            <w:shd w:val="clear" w:color="auto" w:fill="auto"/>
            <w:noWrap/>
            <w:hideMark/>
          </w:tcPr>
          <w:p w14:paraId="47400E04"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1 222,6</w:t>
            </w:r>
          </w:p>
        </w:tc>
      </w:tr>
      <w:tr w:rsidR="00C1256E" w:rsidRPr="00243C46" w14:paraId="7E5BF0ED" w14:textId="77777777" w:rsidTr="00C1256E">
        <w:trPr>
          <w:trHeight w:val="384"/>
        </w:trPr>
        <w:tc>
          <w:tcPr>
            <w:tcW w:w="2280" w:type="dxa"/>
            <w:shd w:val="clear" w:color="auto" w:fill="auto"/>
            <w:hideMark/>
          </w:tcPr>
          <w:p w14:paraId="1CA7E8AB"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International Financial Relations</w:t>
            </w:r>
          </w:p>
        </w:tc>
        <w:tc>
          <w:tcPr>
            <w:tcW w:w="236" w:type="dxa"/>
            <w:shd w:val="clear" w:color="auto" w:fill="auto"/>
            <w:noWrap/>
            <w:hideMark/>
          </w:tcPr>
          <w:p w14:paraId="7095B452"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3A33A394"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5 751,5</w:t>
            </w:r>
          </w:p>
        </w:tc>
        <w:tc>
          <w:tcPr>
            <w:tcW w:w="990" w:type="dxa"/>
            <w:shd w:val="clear" w:color="auto" w:fill="auto"/>
            <w:noWrap/>
            <w:hideMark/>
          </w:tcPr>
          <w:p w14:paraId="6A172CEB"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65,6</w:t>
            </w:r>
          </w:p>
        </w:tc>
        <w:tc>
          <w:tcPr>
            <w:tcW w:w="990" w:type="dxa"/>
            <w:shd w:val="clear" w:color="auto" w:fill="auto"/>
            <w:noWrap/>
            <w:hideMark/>
          </w:tcPr>
          <w:p w14:paraId="1623308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1 027,3</w:t>
            </w:r>
          </w:p>
        </w:tc>
        <w:tc>
          <w:tcPr>
            <w:tcW w:w="1080" w:type="dxa"/>
            <w:shd w:val="clear" w:color="auto" w:fill="auto"/>
            <w:noWrap/>
            <w:hideMark/>
          </w:tcPr>
          <w:p w14:paraId="5F088560"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0,7</w:t>
            </w:r>
          </w:p>
        </w:tc>
        <w:tc>
          <w:tcPr>
            <w:tcW w:w="1080" w:type="dxa"/>
            <w:shd w:val="clear" w:color="auto" w:fill="auto"/>
            <w:noWrap/>
            <w:hideMark/>
          </w:tcPr>
          <w:p w14:paraId="64F19CC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4 657,9</w:t>
            </w:r>
          </w:p>
        </w:tc>
        <w:tc>
          <w:tcPr>
            <w:tcW w:w="900" w:type="dxa"/>
            <w:shd w:val="clear" w:color="auto" w:fill="auto"/>
            <w:noWrap/>
            <w:hideMark/>
          </w:tcPr>
          <w:p w14:paraId="24183D2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6 059,3</w:t>
            </w:r>
          </w:p>
        </w:tc>
        <w:tc>
          <w:tcPr>
            <w:tcW w:w="990" w:type="dxa"/>
            <w:shd w:val="clear" w:color="auto" w:fill="auto"/>
            <w:noWrap/>
            <w:hideMark/>
          </w:tcPr>
          <w:p w14:paraId="50EF1094"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6 396,6</w:t>
            </w:r>
          </w:p>
        </w:tc>
      </w:tr>
      <w:tr w:rsidR="00C1256E" w:rsidRPr="00243C46" w14:paraId="70CA5E7C" w14:textId="77777777" w:rsidTr="00C1256E">
        <w:trPr>
          <w:trHeight w:val="960"/>
        </w:trPr>
        <w:tc>
          <w:tcPr>
            <w:tcW w:w="2280" w:type="dxa"/>
            <w:shd w:val="clear" w:color="auto" w:fill="auto"/>
            <w:hideMark/>
          </w:tcPr>
          <w:p w14:paraId="2836BB45"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Civil and Military Pensions, Contributions to Funds and Other Benefits</w:t>
            </w:r>
          </w:p>
        </w:tc>
        <w:tc>
          <w:tcPr>
            <w:tcW w:w="236" w:type="dxa"/>
            <w:shd w:val="clear" w:color="auto" w:fill="auto"/>
            <w:noWrap/>
            <w:hideMark/>
          </w:tcPr>
          <w:p w14:paraId="56BB139E"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61EC6E2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5 574,5</w:t>
            </w:r>
          </w:p>
        </w:tc>
        <w:tc>
          <w:tcPr>
            <w:tcW w:w="990" w:type="dxa"/>
            <w:shd w:val="clear" w:color="auto" w:fill="auto"/>
            <w:noWrap/>
            <w:hideMark/>
          </w:tcPr>
          <w:p w14:paraId="464B0BF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72,7</w:t>
            </w:r>
          </w:p>
        </w:tc>
        <w:tc>
          <w:tcPr>
            <w:tcW w:w="990" w:type="dxa"/>
            <w:shd w:val="clear" w:color="auto" w:fill="auto"/>
            <w:noWrap/>
            <w:hideMark/>
          </w:tcPr>
          <w:p w14:paraId="4816B9E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5 501,8</w:t>
            </w:r>
          </w:p>
        </w:tc>
        <w:tc>
          <w:tcPr>
            <w:tcW w:w="1080" w:type="dxa"/>
            <w:shd w:val="clear" w:color="auto" w:fill="auto"/>
            <w:noWrap/>
            <w:hideMark/>
          </w:tcPr>
          <w:p w14:paraId="2AE5BA97"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1080" w:type="dxa"/>
            <w:shd w:val="clear" w:color="auto" w:fill="auto"/>
            <w:noWrap/>
            <w:hideMark/>
          </w:tcPr>
          <w:p w14:paraId="4A34022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48428C92"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5 590,2</w:t>
            </w:r>
          </w:p>
        </w:tc>
        <w:tc>
          <w:tcPr>
            <w:tcW w:w="990" w:type="dxa"/>
            <w:shd w:val="clear" w:color="auto" w:fill="auto"/>
            <w:noWrap/>
            <w:hideMark/>
          </w:tcPr>
          <w:p w14:paraId="3C179C0C"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5 895,3</w:t>
            </w:r>
          </w:p>
        </w:tc>
      </w:tr>
      <w:tr w:rsidR="00C1256E" w:rsidRPr="00243C46" w14:paraId="3C8F1B3B" w14:textId="77777777" w:rsidTr="00C1256E">
        <w:trPr>
          <w:trHeight w:val="576"/>
        </w:trPr>
        <w:tc>
          <w:tcPr>
            <w:tcW w:w="2280" w:type="dxa"/>
            <w:shd w:val="clear" w:color="auto" w:fill="auto"/>
            <w:hideMark/>
          </w:tcPr>
          <w:p w14:paraId="1E97AAFE"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Technical Support and Development Finance</w:t>
            </w:r>
          </w:p>
        </w:tc>
        <w:tc>
          <w:tcPr>
            <w:tcW w:w="236" w:type="dxa"/>
            <w:shd w:val="clear" w:color="auto" w:fill="auto"/>
            <w:noWrap/>
            <w:hideMark/>
          </w:tcPr>
          <w:p w14:paraId="3B879423"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5B4ACF97"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2 737,6</w:t>
            </w:r>
          </w:p>
        </w:tc>
        <w:tc>
          <w:tcPr>
            <w:tcW w:w="990" w:type="dxa"/>
            <w:shd w:val="clear" w:color="auto" w:fill="auto"/>
            <w:noWrap/>
            <w:hideMark/>
          </w:tcPr>
          <w:p w14:paraId="600ABBA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365,3</w:t>
            </w:r>
          </w:p>
        </w:tc>
        <w:tc>
          <w:tcPr>
            <w:tcW w:w="990" w:type="dxa"/>
            <w:shd w:val="clear" w:color="auto" w:fill="auto"/>
            <w:noWrap/>
            <w:hideMark/>
          </w:tcPr>
          <w:p w14:paraId="16CCFF4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2 372,3</w:t>
            </w:r>
          </w:p>
        </w:tc>
        <w:tc>
          <w:tcPr>
            <w:tcW w:w="1080" w:type="dxa"/>
            <w:shd w:val="clear" w:color="auto" w:fill="auto"/>
            <w:noWrap/>
            <w:hideMark/>
          </w:tcPr>
          <w:p w14:paraId="516A474B"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1080" w:type="dxa"/>
            <w:shd w:val="clear" w:color="auto" w:fill="auto"/>
            <w:noWrap/>
            <w:hideMark/>
          </w:tcPr>
          <w:p w14:paraId="753DF5CA"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650B35A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2 965,4</w:t>
            </w:r>
          </w:p>
        </w:tc>
        <w:tc>
          <w:tcPr>
            <w:tcW w:w="990" w:type="dxa"/>
            <w:shd w:val="clear" w:color="auto" w:fill="auto"/>
            <w:noWrap/>
            <w:hideMark/>
          </w:tcPr>
          <w:p w14:paraId="7A161777"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3 176,2</w:t>
            </w:r>
          </w:p>
        </w:tc>
      </w:tr>
      <w:tr w:rsidR="00C1256E" w:rsidRPr="00243C46" w14:paraId="5E90E0C7" w14:textId="77777777" w:rsidTr="00C1256E">
        <w:trPr>
          <w:trHeight w:val="384"/>
        </w:trPr>
        <w:tc>
          <w:tcPr>
            <w:tcW w:w="2280" w:type="dxa"/>
            <w:shd w:val="clear" w:color="auto" w:fill="auto"/>
            <w:hideMark/>
          </w:tcPr>
          <w:p w14:paraId="59146898"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Revenue Administration</w:t>
            </w:r>
          </w:p>
        </w:tc>
        <w:tc>
          <w:tcPr>
            <w:tcW w:w="236" w:type="dxa"/>
            <w:shd w:val="clear" w:color="auto" w:fill="auto"/>
            <w:noWrap/>
            <w:hideMark/>
          </w:tcPr>
          <w:p w14:paraId="7EFD77F7"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5CF03C62"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9 529,0</w:t>
            </w:r>
          </w:p>
        </w:tc>
        <w:tc>
          <w:tcPr>
            <w:tcW w:w="990" w:type="dxa"/>
            <w:shd w:val="clear" w:color="auto" w:fill="auto"/>
            <w:noWrap/>
            <w:hideMark/>
          </w:tcPr>
          <w:p w14:paraId="07496CF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90" w:type="dxa"/>
            <w:shd w:val="clear" w:color="auto" w:fill="auto"/>
            <w:noWrap/>
            <w:hideMark/>
          </w:tcPr>
          <w:p w14:paraId="26E6391E"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9 529,0</w:t>
            </w:r>
          </w:p>
        </w:tc>
        <w:tc>
          <w:tcPr>
            <w:tcW w:w="1080" w:type="dxa"/>
            <w:shd w:val="clear" w:color="auto" w:fill="auto"/>
            <w:noWrap/>
            <w:hideMark/>
          </w:tcPr>
          <w:p w14:paraId="6929F143"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1080" w:type="dxa"/>
            <w:shd w:val="clear" w:color="auto" w:fill="auto"/>
            <w:noWrap/>
            <w:hideMark/>
          </w:tcPr>
          <w:p w14:paraId="09198E7B"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347BB0D1"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10 110,0</w:t>
            </w:r>
          </w:p>
        </w:tc>
        <w:tc>
          <w:tcPr>
            <w:tcW w:w="990" w:type="dxa"/>
            <w:shd w:val="clear" w:color="auto" w:fill="auto"/>
            <w:noWrap/>
            <w:hideMark/>
          </w:tcPr>
          <w:p w14:paraId="083B1B3E"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10 673,1</w:t>
            </w:r>
          </w:p>
        </w:tc>
      </w:tr>
      <w:tr w:rsidR="00C1256E" w:rsidRPr="00243C46" w14:paraId="0AC9BD8E" w14:textId="77777777" w:rsidTr="00C1256E">
        <w:trPr>
          <w:trHeight w:val="576"/>
        </w:trPr>
        <w:tc>
          <w:tcPr>
            <w:tcW w:w="2280" w:type="dxa"/>
            <w:shd w:val="clear" w:color="auto" w:fill="auto"/>
            <w:hideMark/>
          </w:tcPr>
          <w:p w14:paraId="770C2887"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Financial Intelligence and State Security</w:t>
            </w:r>
          </w:p>
        </w:tc>
        <w:tc>
          <w:tcPr>
            <w:tcW w:w="236" w:type="dxa"/>
            <w:shd w:val="clear" w:color="auto" w:fill="auto"/>
            <w:noWrap/>
            <w:hideMark/>
          </w:tcPr>
          <w:p w14:paraId="287BB503" w14:textId="77777777" w:rsidR="00C1256E" w:rsidRPr="00243C46" w:rsidRDefault="00C1256E" w:rsidP="00CD3989">
            <w:pPr>
              <w:spacing w:line="360" w:lineRule="auto"/>
              <w:rPr>
                <w:rFonts w:ascii="Times New Roman" w:eastAsia="Times New Roman" w:hAnsi="Times New Roman"/>
                <w:sz w:val="20"/>
                <w:szCs w:val="20"/>
                <w:lang w:eastAsia="en-ZA"/>
              </w:rPr>
            </w:pPr>
          </w:p>
        </w:tc>
        <w:tc>
          <w:tcPr>
            <w:tcW w:w="989" w:type="dxa"/>
            <w:shd w:val="clear" w:color="auto" w:fill="auto"/>
            <w:noWrap/>
            <w:hideMark/>
          </w:tcPr>
          <w:p w14:paraId="2CDBF235"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4 951,1</w:t>
            </w:r>
          </w:p>
        </w:tc>
        <w:tc>
          <w:tcPr>
            <w:tcW w:w="990" w:type="dxa"/>
            <w:shd w:val="clear" w:color="auto" w:fill="auto"/>
            <w:noWrap/>
            <w:hideMark/>
          </w:tcPr>
          <w:p w14:paraId="0CE7A4FD"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90" w:type="dxa"/>
            <w:shd w:val="clear" w:color="auto" w:fill="auto"/>
            <w:noWrap/>
            <w:hideMark/>
          </w:tcPr>
          <w:p w14:paraId="2DB12732"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4 951,1</w:t>
            </w:r>
          </w:p>
        </w:tc>
        <w:tc>
          <w:tcPr>
            <w:tcW w:w="1080" w:type="dxa"/>
            <w:shd w:val="clear" w:color="auto" w:fill="auto"/>
            <w:noWrap/>
            <w:hideMark/>
          </w:tcPr>
          <w:p w14:paraId="0039863B"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1080" w:type="dxa"/>
            <w:shd w:val="clear" w:color="auto" w:fill="auto"/>
            <w:noWrap/>
            <w:hideMark/>
          </w:tcPr>
          <w:p w14:paraId="39DF297A"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xml:space="preserve">  – </w:t>
            </w:r>
          </w:p>
        </w:tc>
        <w:tc>
          <w:tcPr>
            <w:tcW w:w="900" w:type="dxa"/>
            <w:shd w:val="clear" w:color="auto" w:fill="auto"/>
            <w:noWrap/>
            <w:hideMark/>
          </w:tcPr>
          <w:p w14:paraId="4146EEF6"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5 223,2</w:t>
            </w:r>
          </w:p>
        </w:tc>
        <w:tc>
          <w:tcPr>
            <w:tcW w:w="990" w:type="dxa"/>
            <w:shd w:val="clear" w:color="auto" w:fill="auto"/>
            <w:noWrap/>
            <w:hideMark/>
          </w:tcPr>
          <w:p w14:paraId="594A19B9" w14:textId="77777777" w:rsidR="00C1256E" w:rsidRPr="00243C46" w:rsidRDefault="00C1256E" w:rsidP="00CD3989">
            <w:pPr>
              <w:spacing w:line="360" w:lineRule="auto"/>
              <w:jc w:val="right"/>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5 510,5</w:t>
            </w:r>
          </w:p>
        </w:tc>
      </w:tr>
      <w:tr w:rsidR="00C1256E" w:rsidRPr="00243C46" w14:paraId="7CA224AC" w14:textId="77777777" w:rsidTr="00C1256E">
        <w:trPr>
          <w:trHeight w:val="288"/>
        </w:trPr>
        <w:tc>
          <w:tcPr>
            <w:tcW w:w="2280" w:type="dxa"/>
            <w:shd w:val="clear" w:color="auto" w:fill="auto"/>
            <w:hideMark/>
          </w:tcPr>
          <w:p w14:paraId="7879A0E9" w14:textId="77777777" w:rsidR="00C1256E" w:rsidRPr="00243C46" w:rsidRDefault="00C1256E" w:rsidP="00CD3989">
            <w:pPr>
              <w:spacing w:line="360" w:lineRule="auto"/>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Subtotal</w:t>
            </w:r>
          </w:p>
        </w:tc>
        <w:tc>
          <w:tcPr>
            <w:tcW w:w="236" w:type="dxa"/>
            <w:shd w:val="clear" w:color="auto" w:fill="auto"/>
            <w:noWrap/>
            <w:hideMark/>
          </w:tcPr>
          <w:p w14:paraId="6D1F10EA" w14:textId="77777777" w:rsidR="00C1256E" w:rsidRPr="00243C46" w:rsidRDefault="00C1256E" w:rsidP="00CD3989">
            <w:pPr>
              <w:spacing w:line="360" w:lineRule="auto"/>
              <w:rPr>
                <w:rFonts w:ascii="Times New Roman" w:eastAsia="Times New Roman" w:hAnsi="Times New Roman"/>
                <w:sz w:val="20"/>
                <w:szCs w:val="20"/>
                <w:lang w:eastAsia="en-ZA"/>
              </w:rPr>
            </w:pPr>
            <w:r w:rsidRPr="00243C46">
              <w:rPr>
                <w:rFonts w:ascii="Times New Roman" w:eastAsia="Times New Roman" w:hAnsi="Times New Roman"/>
                <w:sz w:val="20"/>
                <w:szCs w:val="20"/>
                <w:lang w:eastAsia="en-ZA"/>
              </w:rPr>
              <w:t> </w:t>
            </w:r>
          </w:p>
        </w:tc>
        <w:tc>
          <w:tcPr>
            <w:tcW w:w="989" w:type="dxa"/>
            <w:shd w:val="clear" w:color="auto" w:fill="auto"/>
            <w:noWrap/>
            <w:hideMark/>
          </w:tcPr>
          <w:p w14:paraId="5BD8CE07"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30 771,1</w:t>
            </w:r>
          </w:p>
        </w:tc>
        <w:tc>
          <w:tcPr>
            <w:tcW w:w="990" w:type="dxa"/>
            <w:shd w:val="clear" w:color="auto" w:fill="auto"/>
            <w:noWrap/>
            <w:hideMark/>
          </w:tcPr>
          <w:p w14:paraId="2764C779"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2 506,1</w:t>
            </w:r>
          </w:p>
        </w:tc>
        <w:tc>
          <w:tcPr>
            <w:tcW w:w="990" w:type="dxa"/>
            <w:shd w:val="clear" w:color="auto" w:fill="auto"/>
            <w:noWrap/>
            <w:hideMark/>
          </w:tcPr>
          <w:p w14:paraId="60453A22"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23 570,3</w:t>
            </w:r>
          </w:p>
        </w:tc>
        <w:tc>
          <w:tcPr>
            <w:tcW w:w="1080" w:type="dxa"/>
            <w:shd w:val="clear" w:color="auto" w:fill="auto"/>
            <w:noWrap/>
            <w:hideMark/>
          </w:tcPr>
          <w:p w14:paraId="5AD407A3"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36,8</w:t>
            </w:r>
          </w:p>
        </w:tc>
        <w:tc>
          <w:tcPr>
            <w:tcW w:w="1080" w:type="dxa"/>
            <w:shd w:val="clear" w:color="auto" w:fill="auto"/>
            <w:noWrap/>
            <w:hideMark/>
          </w:tcPr>
          <w:p w14:paraId="1335D787"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4 657,9</w:t>
            </w:r>
          </w:p>
        </w:tc>
        <w:tc>
          <w:tcPr>
            <w:tcW w:w="900" w:type="dxa"/>
            <w:shd w:val="clear" w:color="auto" w:fill="auto"/>
            <w:noWrap/>
            <w:hideMark/>
          </w:tcPr>
          <w:p w14:paraId="139A0B52"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32 307,7</w:t>
            </w:r>
          </w:p>
        </w:tc>
        <w:tc>
          <w:tcPr>
            <w:tcW w:w="990" w:type="dxa"/>
            <w:shd w:val="clear" w:color="auto" w:fill="auto"/>
            <w:noWrap/>
            <w:hideMark/>
          </w:tcPr>
          <w:p w14:paraId="17B101E3" w14:textId="77777777" w:rsidR="00C1256E" w:rsidRPr="00243C46" w:rsidRDefault="00C1256E" w:rsidP="00CD3989">
            <w:pPr>
              <w:spacing w:line="360" w:lineRule="auto"/>
              <w:jc w:val="right"/>
              <w:rPr>
                <w:rFonts w:ascii="Times New Roman" w:eastAsia="Times New Roman" w:hAnsi="Times New Roman"/>
                <w:b/>
                <w:bCs/>
                <w:sz w:val="20"/>
                <w:szCs w:val="20"/>
                <w:lang w:eastAsia="en-ZA"/>
              </w:rPr>
            </w:pPr>
            <w:r w:rsidRPr="00243C46">
              <w:rPr>
                <w:rFonts w:ascii="Times New Roman" w:eastAsia="Times New Roman" w:hAnsi="Times New Roman"/>
                <w:b/>
                <w:bCs/>
                <w:sz w:val="20"/>
                <w:szCs w:val="20"/>
                <w:lang w:eastAsia="en-ZA"/>
              </w:rPr>
              <w:t>34 146,3</w:t>
            </w:r>
          </w:p>
        </w:tc>
      </w:tr>
    </w:tbl>
    <w:p w14:paraId="7365D810" w14:textId="77777777" w:rsidR="00C1256E" w:rsidRPr="00243C46" w:rsidRDefault="00C1256E" w:rsidP="00CD3989">
      <w:pPr>
        <w:pStyle w:val="ListParagraph"/>
        <w:spacing w:line="360" w:lineRule="auto"/>
        <w:ind w:left="360"/>
        <w:jc w:val="both"/>
        <w:rPr>
          <w:rFonts w:ascii="Times New Roman" w:hAnsi="Times New Roman" w:cs="Times New Roman"/>
          <w:sz w:val="24"/>
          <w:szCs w:val="24"/>
        </w:rPr>
      </w:pPr>
    </w:p>
    <w:p w14:paraId="251EC823" w14:textId="77777777" w:rsidR="00C1256E" w:rsidRPr="00243C46" w:rsidRDefault="00C1256E" w:rsidP="00CD3989">
      <w:pPr>
        <w:pStyle w:val="ListParagraph"/>
        <w:numPr>
          <w:ilvl w:val="0"/>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OVERVIEW OF THE SOUTH AFRICAN REVENUE SERVICE’S BUDGET</w:t>
      </w:r>
    </w:p>
    <w:p w14:paraId="28F0B6F7"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SARS receives a transfer/grant from the Revenue Administration programme of the National Treasury, on top of other income (see Table 2 below). In 2</w:t>
      </w:r>
      <w:r w:rsidR="00EE03E4" w:rsidRPr="00243C46">
        <w:rPr>
          <w:rFonts w:ascii="Times New Roman" w:hAnsi="Times New Roman" w:cs="Times New Roman"/>
          <w:sz w:val="24"/>
          <w:szCs w:val="24"/>
        </w:rPr>
        <w:t>019/20 SARS will be allocated a</w:t>
      </w:r>
      <w:r w:rsidRPr="00243C46">
        <w:rPr>
          <w:rFonts w:ascii="Times New Roman" w:hAnsi="Times New Roman" w:cs="Times New Roman"/>
          <w:sz w:val="24"/>
          <w:szCs w:val="24"/>
        </w:rPr>
        <w:t xml:space="preserve"> total budget of R9, 841 billion. R40,3 million of this is a transfer/grant to the Office of the Tax Ombuds (OTO). The allocation to SARS will increase to R10, 991 billion in 2021/22, while the allocation to the OTO will increase to R44,8 million. </w:t>
      </w:r>
    </w:p>
    <w:p w14:paraId="35A7E9D0"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Table 2 below shows that although SARS</w:t>
      </w:r>
      <w:r w:rsidR="00EE03E4" w:rsidRPr="00243C46">
        <w:rPr>
          <w:rFonts w:ascii="Times New Roman" w:hAnsi="Times New Roman" w:cs="Times New Roman"/>
          <w:sz w:val="24"/>
          <w:szCs w:val="24"/>
        </w:rPr>
        <w:t>’</w:t>
      </w:r>
      <w:r w:rsidRPr="00243C46">
        <w:rPr>
          <w:rFonts w:ascii="Times New Roman" w:hAnsi="Times New Roman" w:cs="Times New Roman"/>
          <w:sz w:val="24"/>
          <w:szCs w:val="24"/>
        </w:rPr>
        <w:t xml:space="preserve"> MTEF allocation</w:t>
      </w:r>
      <w:r w:rsidR="00EE03E4" w:rsidRPr="00243C46">
        <w:rPr>
          <w:rFonts w:ascii="Times New Roman" w:hAnsi="Times New Roman" w:cs="Times New Roman"/>
          <w:sz w:val="24"/>
          <w:szCs w:val="24"/>
        </w:rPr>
        <w:t>s</w:t>
      </w:r>
      <w:r w:rsidRPr="00243C46">
        <w:rPr>
          <w:rFonts w:ascii="Times New Roman" w:hAnsi="Times New Roman" w:cs="Times New Roman"/>
          <w:sz w:val="24"/>
          <w:szCs w:val="24"/>
        </w:rPr>
        <w:t xml:space="preserve"> increase by R1.1 billion over the period, i</w:t>
      </w:r>
      <w:r w:rsidR="00EE03E4" w:rsidRPr="00243C46">
        <w:rPr>
          <w:rFonts w:ascii="Times New Roman" w:hAnsi="Times New Roman" w:cs="Times New Roman"/>
          <w:sz w:val="24"/>
          <w:szCs w:val="24"/>
        </w:rPr>
        <w:t>ts funding needs exceed</w:t>
      </w:r>
      <w:r w:rsidRPr="00243C46">
        <w:rPr>
          <w:rFonts w:ascii="Times New Roman" w:hAnsi="Times New Roman" w:cs="Times New Roman"/>
          <w:sz w:val="24"/>
          <w:szCs w:val="24"/>
        </w:rPr>
        <w:t xml:space="preserve"> </w:t>
      </w:r>
      <w:r w:rsidR="00EE03E4" w:rsidRPr="00243C46">
        <w:rPr>
          <w:rFonts w:ascii="Times New Roman" w:hAnsi="Times New Roman" w:cs="Times New Roman"/>
          <w:sz w:val="24"/>
          <w:szCs w:val="24"/>
        </w:rPr>
        <w:t>allocations</w:t>
      </w:r>
      <w:r w:rsidRPr="00243C46">
        <w:rPr>
          <w:rFonts w:ascii="Times New Roman" w:hAnsi="Times New Roman" w:cs="Times New Roman"/>
          <w:sz w:val="24"/>
          <w:szCs w:val="24"/>
        </w:rPr>
        <w:t xml:space="preserve"> by about R2,7 billion</w:t>
      </w:r>
      <w:r w:rsidR="00EE03E4" w:rsidRPr="00243C46">
        <w:rPr>
          <w:rFonts w:ascii="Times New Roman" w:hAnsi="Times New Roman" w:cs="Times New Roman"/>
          <w:sz w:val="24"/>
          <w:szCs w:val="24"/>
        </w:rPr>
        <w:t xml:space="preserve"> over the MTEF</w:t>
      </w:r>
      <w:r w:rsidRPr="00243C46">
        <w:rPr>
          <w:rFonts w:ascii="Times New Roman" w:hAnsi="Times New Roman" w:cs="Times New Roman"/>
          <w:sz w:val="24"/>
          <w:szCs w:val="24"/>
        </w:rPr>
        <w:t xml:space="preserve">.   </w:t>
      </w:r>
    </w:p>
    <w:p w14:paraId="05C1A05D" w14:textId="77777777" w:rsidR="00C1256E" w:rsidRPr="00243C46" w:rsidRDefault="00C1256E" w:rsidP="00CD3989">
      <w:pPr>
        <w:spacing w:line="360" w:lineRule="auto"/>
        <w:rPr>
          <w:rFonts w:ascii="Times New Roman" w:hAnsi="Times New Roman"/>
          <w:b/>
        </w:rPr>
      </w:pPr>
      <w:r w:rsidRPr="00243C46">
        <w:rPr>
          <w:rFonts w:ascii="Times New Roman" w:hAnsi="Times New Roman"/>
          <w:b/>
        </w:rPr>
        <w:lastRenderedPageBreak/>
        <w:t>TABLE 2: SARS Budget Summary 2019/20 MTEF</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070"/>
        <w:gridCol w:w="1890"/>
        <w:gridCol w:w="2317"/>
      </w:tblGrid>
      <w:tr w:rsidR="00C1256E" w:rsidRPr="00243C46" w14:paraId="6C8BBEC9" w14:textId="77777777" w:rsidTr="00C1256E">
        <w:trPr>
          <w:trHeight w:val="255"/>
        </w:trPr>
        <w:tc>
          <w:tcPr>
            <w:tcW w:w="3263" w:type="dxa"/>
            <w:shd w:val="clear" w:color="auto" w:fill="FFFFFF" w:themeFill="background1"/>
            <w:noWrap/>
            <w:vAlign w:val="bottom"/>
          </w:tcPr>
          <w:p w14:paraId="7031D46B" w14:textId="77777777" w:rsidR="00C1256E" w:rsidRPr="00243C46" w:rsidRDefault="00C1256E" w:rsidP="00CD3989">
            <w:pPr>
              <w:spacing w:line="360" w:lineRule="auto"/>
              <w:rPr>
                <w:rFonts w:ascii="Times New Roman" w:hAnsi="Times New Roman"/>
                <w:b/>
                <w:color w:val="000000" w:themeColor="text1"/>
                <w:sz w:val="20"/>
                <w:szCs w:val="20"/>
                <w:lang w:eastAsia="en-ZA"/>
              </w:rPr>
            </w:pPr>
            <w:r w:rsidRPr="00243C46">
              <w:rPr>
                <w:rFonts w:ascii="Times New Roman" w:hAnsi="Times New Roman"/>
                <w:b/>
                <w:color w:val="000000" w:themeColor="text1"/>
                <w:sz w:val="20"/>
                <w:szCs w:val="20"/>
                <w:lang w:eastAsia="en-ZA"/>
              </w:rPr>
              <w:t>Description</w:t>
            </w:r>
          </w:p>
        </w:tc>
        <w:tc>
          <w:tcPr>
            <w:tcW w:w="2070" w:type="dxa"/>
            <w:shd w:val="clear" w:color="auto" w:fill="FFFFFF" w:themeFill="background1"/>
            <w:noWrap/>
            <w:vAlign w:val="bottom"/>
          </w:tcPr>
          <w:p w14:paraId="42AEF565" w14:textId="77777777" w:rsidR="00C1256E" w:rsidRPr="00243C46" w:rsidRDefault="00C1256E" w:rsidP="00CD3989">
            <w:pPr>
              <w:spacing w:line="360" w:lineRule="auto"/>
              <w:rPr>
                <w:rFonts w:ascii="Times New Roman" w:hAnsi="Times New Roman"/>
                <w:b/>
                <w:bCs/>
                <w:color w:val="000000" w:themeColor="text1"/>
                <w:sz w:val="20"/>
                <w:szCs w:val="20"/>
                <w:lang w:eastAsia="en-ZA"/>
              </w:rPr>
            </w:pPr>
            <w:r w:rsidRPr="00243C46">
              <w:rPr>
                <w:rFonts w:ascii="Times New Roman" w:hAnsi="Times New Roman"/>
                <w:b/>
                <w:bCs/>
                <w:color w:val="000000" w:themeColor="text1"/>
                <w:sz w:val="20"/>
                <w:szCs w:val="20"/>
                <w:lang w:eastAsia="en-ZA"/>
              </w:rPr>
              <w:t>2019/20</w:t>
            </w:r>
          </w:p>
        </w:tc>
        <w:tc>
          <w:tcPr>
            <w:tcW w:w="1890" w:type="dxa"/>
            <w:shd w:val="clear" w:color="auto" w:fill="FFFFFF" w:themeFill="background1"/>
            <w:noWrap/>
            <w:vAlign w:val="bottom"/>
          </w:tcPr>
          <w:p w14:paraId="4D090C84" w14:textId="77777777" w:rsidR="00C1256E" w:rsidRPr="00243C46" w:rsidRDefault="00C1256E" w:rsidP="00CD3989">
            <w:pPr>
              <w:spacing w:line="360" w:lineRule="auto"/>
              <w:rPr>
                <w:rFonts w:ascii="Times New Roman" w:hAnsi="Times New Roman"/>
                <w:b/>
                <w:bCs/>
                <w:color w:val="000000" w:themeColor="text1"/>
                <w:sz w:val="20"/>
                <w:szCs w:val="20"/>
                <w:lang w:eastAsia="en-ZA"/>
              </w:rPr>
            </w:pPr>
            <w:r w:rsidRPr="00243C46">
              <w:rPr>
                <w:rFonts w:ascii="Times New Roman" w:hAnsi="Times New Roman"/>
                <w:b/>
                <w:bCs/>
                <w:color w:val="000000" w:themeColor="text1"/>
                <w:sz w:val="20"/>
                <w:szCs w:val="20"/>
                <w:lang w:eastAsia="en-ZA"/>
              </w:rPr>
              <w:t>2020/21</w:t>
            </w:r>
          </w:p>
        </w:tc>
        <w:tc>
          <w:tcPr>
            <w:tcW w:w="2317" w:type="dxa"/>
            <w:shd w:val="clear" w:color="auto" w:fill="FFFFFF" w:themeFill="background1"/>
            <w:noWrap/>
            <w:vAlign w:val="bottom"/>
          </w:tcPr>
          <w:p w14:paraId="6F320236" w14:textId="77777777" w:rsidR="00C1256E" w:rsidRPr="00243C46" w:rsidRDefault="00C1256E" w:rsidP="00CD3989">
            <w:pPr>
              <w:spacing w:line="360" w:lineRule="auto"/>
              <w:rPr>
                <w:rFonts w:ascii="Times New Roman" w:hAnsi="Times New Roman"/>
                <w:b/>
                <w:bCs/>
                <w:color w:val="000000" w:themeColor="text1"/>
                <w:sz w:val="20"/>
                <w:szCs w:val="20"/>
                <w:lang w:eastAsia="en-ZA"/>
              </w:rPr>
            </w:pPr>
            <w:r w:rsidRPr="00243C46">
              <w:rPr>
                <w:rFonts w:ascii="Times New Roman" w:hAnsi="Times New Roman"/>
                <w:b/>
                <w:bCs/>
                <w:color w:val="000000" w:themeColor="text1"/>
                <w:sz w:val="20"/>
                <w:szCs w:val="20"/>
                <w:lang w:eastAsia="en-ZA"/>
              </w:rPr>
              <w:t>2021/22</w:t>
            </w:r>
          </w:p>
        </w:tc>
      </w:tr>
      <w:tr w:rsidR="00C1256E" w:rsidRPr="00243C46" w14:paraId="2C1631C2" w14:textId="77777777" w:rsidTr="00C1256E">
        <w:trPr>
          <w:trHeight w:val="255"/>
        </w:trPr>
        <w:tc>
          <w:tcPr>
            <w:tcW w:w="3263" w:type="dxa"/>
            <w:shd w:val="clear" w:color="auto" w:fill="auto"/>
            <w:vAlign w:val="bottom"/>
          </w:tcPr>
          <w:p w14:paraId="482317E2" w14:textId="77777777" w:rsidR="00C1256E" w:rsidRPr="00243C46" w:rsidRDefault="00C1256E" w:rsidP="00CD3989">
            <w:pPr>
              <w:spacing w:line="360" w:lineRule="auto"/>
              <w:rPr>
                <w:rFonts w:ascii="Times New Roman" w:hAnsi="Times New Roman"/>
                <w:b/>
                <w:sz w:val="20"/>
                <w:szCs w:val="20"/>
                <w:lang w:eastAsia="en-ZA"/>
              </w:rPr>
            </w:pPr>
            <w:r w:rsidRPr="00243C46">
              <w:rPr>
                <w:rFonts w:ascii="Times New Roman" w:hAnsi="Times New Roman"/>
                <w:b/>
                <w:sz w:val="20"/>
                <w:szCs w:val="20"/>
                <w:lang w:eastAsia="en-ZA"/>
              </w:rPr>
              <w:t>R million</w:t>
            </w:r>
          </w:p>
        </w:tc>
        <w:tc>
          <w:tcPr>
            <w:tcW w:w="2070" w:type="dxa"/>
            <w:shd w:val="clear" w:color="auto" w:fill="auto"/>
            <w:noWrap/>
          </w:tcPr>
          <w:p w14:paraId="0558247A" w14:textId="77777777" w:rsidR="00C1256E" w:rsidRPr="00243C46" w:rsidRDefault="00C1256E" w:rsidP="00CD3989">
            <w:pPr>
              <w:spacing w:line="360" w:lineRule="auto"/>
              <w:rPr>
                <w:rFonts w:ascii="Times New Roman" w:hAnsi="Times New Roman"/>
                <w:sz w:val="20"/>
                <w:szCs w:val="20"/>
                <w:lang w:eastAsia="en-ZA"/>
              </w:rPr>
            </w:pPr>
          </w:p>
        </w:tc>
        <w:tc>
          <w:tcPr>
            <w:tcW w:w="1890" w:type="dxa"/>
            <w:shd w:val="clear" w:color="auto" w:fill="auto"/>
            <w:noWrap/>
          </w:tcPr>
          <w:p w14:paraId="217C1AF6" w14:textId="77777777" w:rsidR="00C1256E" w:rsidRPr="00243C46" w:rsidRDefault="00C1256E" w:rsidP="00CD3989">
            <w:pPr>
              <w:spacing w:line="360" w:lineRule="auto"/>
              <w:rPr>
                <w:rFonts w:ascii="Times New Roman" w:hAnsi="Times New Roman"/>
                <w:sz w:val="20"/>
                <w:szCs w:val="20"/>
                <w:lang w:eastAsia="en-ZA"/>
              </w:rPr>
            </w:pPr>
          </w:p>
        </w:tc>
        <w:tc>
          <w:tcPr>
            <w:tcW w:w="2317" w:type="dxa"/>
            <w:shd w:val="clear" w:color="auto" w:fill="auto"/>
            <w:noWrap/>
          </w:tcPr>
          <w:p w14:paraId="31232383" w14:textId="77777777" w:rsidR="00C1256E" w:rsidRPr="00243C46" w:rsidRDefault="00C1256E" w:rsidP="00CD3989">
            <w:pPr>
              <w:spacing w:line="360" w:lineRule="auto"/>
              <w:rPr>
                <w:rFonts w:ascii="Times New Roman" w:hAnsi="Times New Roman"/>
                <w:sz w:val="20"/>
                <w:szCs w:val="20"/>
                <w:lang w:eastAsia="en-ZA"/>
              </w:rPr>
            </w:pPr>
          </w:p>
        </w:tc>
      </w:tr>
      <w:tr w:rsidR="00C1256E" w:rsidRPr="00243C46" w14:paraId="241D12AF" w14:textId="77777777" w:rsidTr="00C1256E">
        <w:trPr>
          <w:trHeight w:val="70"/>
        </w:trPr>
        <w:tc>
          <w:tcPr>
            <w:tcW w:w="3263" w:type="dxa"/>
            <w:shd w:val="clear" w:color="auto" w:fill="auto"/>
            <w:vAlign w:val="bottom"/>
          </w:tcPr>
          <w:p w14:paraId="6A7F98CB"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National Treasury Grant</w:t>
            </w:r>
          </w:p>
        </w:tc>
        <w:tc>
          <w:tcPr>
            <w:tcW w:w="2070" w:type="dxa"/>
            <w:shd w:val="clear" w:color="auto" w:fill="auto"/>
            <w:noWrap/>
          </w:tcPr>
          <w:p w14:paraId="3C15A23A"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9 529 031</w:t>
            </w:r>
          </w:p>
        </w:tc>
        <w:tc>
          <w:tcPr>
            <w:tcW w:w="1890" w:type="dxa"/>
            <w:shd w:val="clear" w:color="auto" w:fill="auto"/>
            <w:noWrap/>
          </w:tcPr>
          <w:p w14:paraId="24FD55ED"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10 110 017</w:t>
            </w:r>
          </w:p>
        </w:tc>
        <w:tc>
          <w:tcPr>
            <w:tcW w:w="2317" w:type="dxa"/>
            <w:shd w:val="clear" w:color="auto" w:fill="auto"/>
            <w:noWrap/>
          </w:tcPr>
          <w:p w14:paraId="25D62A2F"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10 673 090</w:t>
            </w:r>
          </w:p>
        </w:tc>
      </w:tr>
      <w:tr w:rsidR="00C1256E" w:rsidRPr="00243C46" w14:paraId="361E59E7" w14:textId="77777777" w:rsidTr="00C1256E">
        <w:trPr>
          <w:trHeight w:val="255"/>
        </w:trPr>
        <w:tc>
          <w:tcPr>
            <w:tcW w:w="3263" w:type="dxa"/>
            <w:shd w:val="clear" w:color="auto" w:fill="auto"/>
            <w:vAlign w:val="bottom"/>
          </w:tcPr>
          <w:p w14:paraId="0A62939A"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 xml:space="preserve">       Final Grant Receivable</w:t>
            </w:r>
          </w:p>
        </w:tc>
        <w:tc>
          <w:tcPr>
            <w:tcW w:w="2070" w:type="dxa"/>
            <w:shd w:val="clear" w:color="auto" w:fill="auto"/>
            <w:noWrap/>
          </w:tcPr>
          <w:p w14:paraId="02C52E20"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9 488 723</w:t>
            </w:r>
          </w:p>
        </w:tc>
        <w:tc>
          <w:tcPr>
            <w:tcW w:w="1890" w:type="dxa"/>
            <w:shd w:val="clear" w:color="auto" w:fill="auto"/>
            <w:noWrap/>
          </w:tcPr>
          <w:p w14:paraId="6187376C"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10 067 492</w:t>
            </w:r>
          </w:p>
        </w:tc>
        <w:tc>
          <w:tcPr>
            <w:tcW w:w="2317" w:type="dxa"/>
            <w:shd w:val="clear" w:color="auto" w:fill="auto"/>
            <w:noWrap/>
          </w:tcPr>
          <w:p w14:paraId="1B66141D"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10 628 226</w:t>
            </w:r>
          </w:p>
        </w:tc>
      </w:tr>
      <w:tr w:rsidR="00C1256E" w:rsidRPr="00243C46" w14:paraId="33F2BB6F" w14:textId="77777777" w:rsidTr="00C1256E">
        <w:trPr>
          <w:trHeight w:val="255"/>
        </w:trPr>
        <w:tc>
          <w:tcPr>
            <w:tcW w:w="3263" w:type="dxa"/>
            <w:shd w:val="clear" w:color="auto" w:fill="auto"/>
            <w:vAlign w:val="bottom"/>
          </w:tcPr>
          <w:p w14:paraId="456BC3B1"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 xml:space="preserve">       Final OTO Grant Receivable</w:t>
            </w:r>
          </w:p>
        </w:tc>
        <w:tc>
          <w:tcPr>
            <w:tcW w:w="2070" w:type="dxa"/>
            <w:shd w:val="clear" w:color="auto" w:fill="auto"/>
            <w:noWrap/>
          </w:tcPr>
          <w:p w14:paraId="523F2FCC"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40 308</w:t>
            </w:r>
          </w:p>
        </w:tc>
        <w:tc>
          <w:tcPr>
            <w:tcW w:w="1890" w:type="dxa"/>
            <w:shd w:val="clear" w:color="auto" w:fill="auto"/>
            <w:noWrap/>
          </w:tcPr>
          <w:p w14:paraId="5D197E6C"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42 525</w:t>
            </w:r>
          </w:p>
        </w:tc>
        <w:tc>
          <w:tcPr>
            <w:tcW w:w="2317" w:type="dxa"/>
            <w:shd w:val="clear" w:color="auto" w:fill="auto"/>
            <w:noWrap/>
          </w:tcPr>
          <w:p w14:paraId="3613E2DB"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44 864</w:t>
            </w:r>
          </w:p>
        </w:tc>
      </w:tr>
      <w:tr w:rsidR="00C1256E" w:rsidRPr="00243C46" w14:paraId="35B9522D" w14:textId="77777777" w:rsidTr="00C1256E">
        <w:trPr>
          <w:trHeight w:val="321"/>
        </w:trPr>
        <w:tc>
          <w:tcPr>
            <w:tcW w:w="3263" w:type="dxa"/>
            <w:shd w:val="clear" w:color="auto" w:fill="auto"/>
            <w:vAlign w:val="bottom"/>
          </w:tcPr>
          <w:p w14:paraId="020D5CEE"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Interest Income</w:t>
            </w:r>
          </w:p>
        </w:tc>
        <w:tc>
          <w:tcPr>
            <w:tcW w:w="2070" w:type="dxa"/>
            <w:shd w:val="clear" w:color="auto" w:fill="auto"/>
            <w:noWrap/>
          </w:tcPr>
          <w:p w14:paraId="55B2D480" w14:textId="77777777" w:rsidR="00C1256E" w:rsidRPr="00243C46" w:rsidRDefault="00C1256E" w:rsidP="00CD3989">
            <w:pPr>
              <w:spacing w:line="360" w:lineRule="auto"/>
              <w:rPr>
                <w:rFonts w:ascii="Times New Roman" w:hAnsi="Times New Roman"/>
                <w:sz w:val="20"/>
                <w:szCs w:val="20"/>
                <w:lang w:eastAsia="en-ZA"/>
              </w:rPr>
            </w:pPr>
          </w:p>
        </w:tc>
        <w:tc>
          <w:tcPr>
            <w:tcW w:w="1890" w:type="dxa"/>
            <w:shd w:val="clear" w:color="auto" w:fill="auto"/>
            <w:noWrap/>
          </w:tcPr>
          <w:p w14:paraId="488F1BA0" w14:textId="77777777" w:rsidR="00C1256E" w:rsidRPr="00243C46" w:rsidRDefault="00C1256E" w:rsidP="00CD3989">
            <w:pPr>
              <w:spacing w:line="360" w:lineRule="auto"/>
              <w:rPr>
                <w:rFonts w:ascii="Times New Roman" w:hAnsi="Times New Roman"/>
                <w:sz w:val="20"/>
                <w:szCs w:val="20"/>
                <w:lang w:eastAsia="en-ZA"/>
              </w:rPr>
            </w:pPr>
          </w:p>
        </w:tc>
        <w:tc>
          <w:tcPr>
            <w:tcW w:w="2317" w:type="dxa"/>
            <w:shd w:val="clear" w:color="auto" w:fill="auto"/>
            <w:noWrap/>
          </w:tcPr>
          <w:p w14:paraId="3523B3E6" w14:textId="77777777" w:rsidR="00C1256E" w:rsidRPr="00243C46" w:rsidRDefault="00C1256E" w:rsidP="00CD3989">
            <w:pPr>
              <w:spacing w:line="360" w:lineRule="auto"/>
              <w:rPr>
                <w:rFonts w:ascii="Times New Roman" w:hAnsi="Times New Roman"/>
                <w:sz w:val="20"/>
                <w:szCs w:val="20"/>
                <w:lang w:eastAsia="en-ZA"/>
              </w:rPr>
            </w:pPr>
          </w:p>
        </w:tc>
      </w:tr>
      <w:tr w:rsidR="00C1256E" w:rsidRPr="00243C46" w14:paraId="775B4545" w14:textId="77777777" w:rsidTr="00C1256E">
        <w:trPr>
          <w:trHeight w:val="258"/>
        </w:trPr>
        <w:tc>
          <w:tcPr>
            <w:tcW w:w="3263" w:type="dxa"/>
            <w:shd w:val="clear" w:color="auto" w:fill="auto"/>
            <w:vAlign w:val="bottom"/>
          </w:tcPr>
          <w:p w14:paraId="21925719"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 xml:space="preserve">Other Income </w:t>
            </w:r>
          </w:p>
        </w:tc>
        <w:tc>
          <w:tcPr>
            <w:tcW w:w="2070" w:type="dxa"/>
            <w:shd w:val="clear" w:color="auto" w:fill="auto"/>
            <w:noWrap/>
          </w:tcPr>
          <w:p w14:paraId="06243041"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312 187</w:t>
            </w:r>
          </w:p>
        </w:tc>
        <w:tc>
          <w:tcPr>
            <w:tcW w:w="1890" w:type="dxa"/>
            <w:shd w:val="clear" w:color="auto" w:fill="auto"/>
            <w:noWrap/>
          </w:tcPr>
          <w:p w14:paraId="355BDCBF"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315 309</w:t>
            </w:r>
          </w:p>
        </w:tc>
        <w:tc>
          <w:tcPr>
            <w:tcW w:w="2317" w:type="dxa"/>
            <w:shd w:val="clear" w:color="auto" w:fill="auto"/>
            <w:noWrap/>
          </w:tcPr>
          <w:p w14:paraId="20304888"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318 462</w:t>
            </w:r>
          </w:p>
        </w:tc>
      </w:tr>
      <w:tr w:rsidR="00C1256E" w:rsidRPr="00243C46" w14:paraId="2E6C76F6" w14:textId="77777777" w:rsidTr="00C1256E">
        <w:trPr>
          <w:trHeight w:val="445"/>
        </w:trPr>
        <w:tc>
          <w:tcPr>
            <w:tcW w:w="3263" w:type="dxa"/>
            <w:shd w:val="clear" w:color="auto" w:fill="auto"/>
            <w:vAlign w:val="bottom"/>
          </w:tcPr>
          <w:p w14:paraId="037D6D4B" w14:textId="77777777" w:rsidR="00C1256E" w:rsidRPr="00243C46" w:rsidRDefault="00C1256E" w:rsidP="00CD3989">
            <w:pPr>
              <w:spacing w:line="360" w:lineRule="auto"/>
              <w:rPr>
                <w:rFonts w:ascii="Times New Roman" w:hAnsi="Times New Roman"/>
                <w:spacing w:val="6"/>
                <w:sz w:val="20"/>
                <w:szCs w:val="20"/>
                <w:lang w:val="en-GB" w:eastAsia="en-GB"/>
              </w:rPr>
            </w:pPr>
            <w:r w:rsidRPr="00243C46">
              <w:rPr>
                <w:rFonts w:ascii="Times New Roman" w:hAnsi="Times New Roman"/>
                <w:spacing w:val="6"/>
                <w:sz w:val="20"/>
                <w:szCs w:val="20"/>
                <w:lang w:val="en-GB" w:eastAsia="en-GB"/>
              </w:rPr>
              <w:t>Total Funds Available</w:t>
            </w:r>
          </w:p>
        </w:tc>
        <w:tc>
          <w:tcPr>
            <w:tcW w:w="2070" w:type="dxa"/>
            <w:shd w:val="clear" w:color="auto" w:fill="auto"/>
            <w:noWrap/>
          </w:tcPr>
          <w:p w14:paraId="7DD68838" w14:textId="77777777" w:rsidR="00C1256E" w:rsidRPr="00243C46" w:rsidRDefault="00C1256E" w:rsidP="00CD3989">
            <w:pPr>
              <w:spacing w:line="360" w:lineRule="auto"/>
              <w:rPr>
                <w:rFonts w:ascii="Times New Roman" w:hAnsi="Times New Roman"/>
                <w:sz w:val="20"/>
                <w:szCs w:val="20"/>
              </w:rPr>
            </w:pPr>
          </w:p>
          <w:p w14:paraId="2A34D278" w14:textId="77777777" w:rsidR="00C1256E" w:rsidRPr="00243C46" w:rsidRDefault="00C1256E" w:rsidP="00CD3989">
            <w:pPr>
              <w:spacing w:line="360" w:lineRule="auto"/>
              <w:rPr>
                <w:rFonts w:ascii="Times New Roman" w:hAnsi="Times New Roman"/>
                <w:spacing w:val="6"/>
                <w:sz w:val="20"/>
                <w:szCs w:val="20"/>
                <w:lang w:val="en-GB" w:eastAsia="en-GB"/>
              </w:rPr>
            </w:pPr>
            <w:r w:rsidRPr="00243C46">
              <w:rPr>
                <w:rFonts w:ascii="Times New Roman" w:hAnsi="Times New Roman"/>
                <w:sz w:val="20"/>
                <w:szCs w:val="20"/>
              </w:rPr>
              <w:t>9 841 218</w:t>
            </w:r>
          </w:p>
        </w:tc>
        <w:tc>
          <w:tcPr>
            <w:tcW w:w="1890" w:type="dxa"/>
            <w:shd w:val="clear" w:color="auto" w:fill="auto"/>
            <w:noWrap/>
          </w:tcPr>
          <w:p w14:paraId="477AFE77" w14:textId="77777777" w:rsidR="00C1256E" w:rsidRPr="00243C46" w:rsidRDefault="00C1256E" w:rsidP="00CD3989">
            <w:pPr>
              <w:spacing w:line="360" w:lineRule="auto"/>
              <w:rPr>
                <w:rFonts w:ascii="Times New Roman" w:hAnsi="Times New Roman"/>
                <w:sz w:val="20"/>
                <w:szCs w:val="20"/>
              </w:rPr>
            </w:pPr>
          </w:p>
          <w:p w14:paraId="5480EFE6" w14:textId="77777777" w:rsidR="00C1256E" w:rsidRPr="00243C46" w:rsidRDefault="00C1256E" w:rsidP="00CD3989">
            <w:pPr>
              <w:spacing w:line="360" w:lineRule="auto"/>
              <w:rPr>
                <w:rFonts w:ascii="Times New Roman" w:hAnsi="Times New Roman"/>
                <w:spacing w:val="6"/>
                <w:sz w:val="20"/>
                <w:szCs w:val="20"/>
                <w:lang w:val="en-GB" w:eastAsia="en-GB"/>
              </w:rPr>
            </w:pPr>
            <w:r w:rsidRPr="00243C46">
              <w:rPr>
                <w:rFonts w:ascii="Times New Roman" w:hAnsi="Times New Roman"/>
                <w:sz w:val="20"/>
                <w:szCs w:val="20"/>
              </w:rPr>
              <w:t>10 425 326</w:t>
            </w:r>
          </w:p>
        </w:tc>
        <w:tc>
          <w:tcPr>
            <w:tcW w:w="2317" w:type="dxa"/>
            <w:tcBorders>
              <w:bottom w:val="single" w:sz="4" w:space="0" w:color="auto"/>
            </w:tcBorders>
            <w:shd w:val="clear" w:color="auto" w:fill="auto"/>
            <w:noWrap/>
          </w:tcPr>
          <w:p w14:paraId="71802E22" w14:textId="77777777" w:rsidR="00C1256E" w:rsidRPr="00243C46" w:rsidRDefault="00C1256E" w:rsidP="00CD3989">
            <w:pPr>
              <w:spacing w:line="360" w:lineRule="auto"/>
              <w:rPr>
                <w:rFonts w:ascii="Times New Roman" w:hAnsi="Times New Roman"/>
                <w:sz w:val="20"/>
                <w:szCs w:val="20"/>
              </w:rPr>
            </w:pPr>
          </w:p>
          <w:p w14:paraId="5D76B78D" w14:textId="77777777" w:rsidR="00C1256E" w:rsidRPr="00243C46" w:rsidRDefault="00C1256E" w:rsidP="00CD3989">
            <w:pPr>
              <w:spacing w:line="360" w:lineRule="auto"/>
              <w:rPr>
                <w:rFonts w:ascii="Times New Roman" w:hAnsi="Times New Roman"/>
                <w:sz w:val="20"/>
                <w:szCs w:val="20"/>
              </w:rPr>
            </w:pPr>
            <w:r w:rsidRPr="00243C46">
              <w:rPr>
                <w:rFonts w:ascii="Times New Roman" w:hAnsi="Times New Roman"/>
                <w:sz w:val="20"/>
                <w:szCs w:val="20"/>
              </w:rPr>
              <w:t>10 991 552</w:t>
            </w:r>
          </w:p>
        </w:tc>
      </w:tr>
      <w:tr w:rsidR="00C1256E" w:rsidRPr="00243C46" w14:paraId="322424B2" w14:textId="77777777" w:rsidTr="00C1256E">
        <w:trPr>
          <w:trHeight w:val="249"/>
        </w:trPr>
        <w:tc>
          <w:tcPr>
            <w:tcW w:w="3263" w:type="dxa"/>
            <w:shd w:val="clear" w:color="auto" w:fill="auto"/>
            <w:vAlign w:val="bottom"/>
          </w:tcPr>
          <w:p w14:paraId="121C93F0"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Baseline Expenditure (BAU)</w:t>
            </w:r>
          </w:p>
        </w:tc>
        <w:tc>
          <w:tcPr>
            <w:tcW w:w="2070" w:type="dxa"/>
            <w:shd w:val="clear" w:color="auto" w:fill="auto"/>
            <w:noWrap/>
          </w:tcPr>
          <w:p w14:paraId="6D64061F"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10 649 510</w:t>
            </w:r>
          </w:p>
        </w:tc>
        <w:tc>
          <w:tcPr>
            <w:tcW w:w="1890" w:type="dxa"/>
            <w:shd w:val="clear" w:color="auto" w:fill="auto"/>
            <w:noWrap/>
          </w:tcPr>
          <w:p w14:paraId="314BCC59"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11 272 561</w:t>
            </w:r>
          </w:p>
        </w:tc>
        <w:tc>
          <w:tcPr>
            <w:tcW w:w="2317" w:type="dxa"/>
            <w:tcBorders>
              <w:top w:val="single" w:sz="4" w:space="0" w:color="auto"/>
              <w:left w:val="nil"/>
              <w:bottom w:val="single" w:sz="4" w:space="0" w:color="auto"/>
              <w:right w:val="single" w:sz="4" w:space="0" w:color="auto"/>
            </w:tcBorders>
            <w:shd w:val="clear" w:color="auto" w:fill="auto"/>
            <w:noWrap/>
          </w:tcPr>
          <w:p w14:paraId="43EB3A30" w14:textId="77777777" w:rsidR="00C1256E" w:rsidRPr="00243C46" w:rsidRDefault="00C1256E" w:rsidP="00CD3989">
            <w:pPr>
              <w:spacing w:line="360" w:lineRule="auto"/>
              <w:rPr>
                <w:rFonts w:ascii="Times New Roman" w:hAnsi="Times New Roman"/>
                <w:color w:val="000000"/>
                <w:sz w:val="20"/>
                <w:szCs w:val="20"/>
              </w:rPr>
            </w:pPr>
            <w:r w:rsidRPr="00243C46">
              <w:rPr>
                <w:rFonts w:ascii="Times New Roman" w:hAnsi="Times New Roman"/>
                <w:sz w:val="20"/>
                <w:szCs w:val="20"/>
              </w:rPr>
              <w:t>11 966 141</w:t>
            </w:r>
          </w:p>
        </w:tc>
      </w:tr>
      <w:tr w:rsidR="00C1256E" w:rsidRPr="00243C46" w14:paraId="3B191379" w14:textId="77777777" w:rsidTr="00C1256E">
        <w:trPr>
          <w:trHeight w:val="255"/>
        </w:trPr>
        <w:tc>
          <w:tcPr>
            <w:tcW w:w="3263" w:type="dxa"/>
            <w:shd w:val="clear" w:color="auto" w:fill="auto"/>
            <w:vAlign w:val="bottom"/>
          </w:tcPr>
          <w:p w14:paraId="2FA091AA"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 xml:space="preserve">   Total CAPEX including BAU</w:t>
            </w:r>
          </w:p>
        </w:tc>
        <w:tc>
          <w:tcPr>
            <w:tcW w:w="2070" w:type="dxa"/>
            <w:shd w:val="clear" w:color="auto" w:fill="auto"/>
            <w:noWrap/>
          </w:tcPr>
          <w:p w14:paraId="3E00E7CC" w14:textId="77777777" w:rsidR="00C1256E" w:rsidRPr="00243C46" w:rsidRDefault="00C1256E" w:rsidP="00CD3989">
            <w:pPr>
              <w:spacing w:line="360" w:lineRule="auto"/>
              <w:rPr>
                <w:rFonts w:ascii="Times New Roman" w:hAnsi="Times New Roman"/>
                <w:sz w:val="20"/>
                <w:szCs w:val="20"/>
                <w:lang w:eastAsia="en-ZA"/>
              </w:rPr>
            </w:pPr>
          </w:p>
        </w:tc>
        <w:tc>
          <w:tcPr>
            <w:tcW w:w="1890" w:type="dxa"/>
            <w:shd w:val="clear" w:color="auto" w:fill="auto"/>
            <w:noWrap/>
          </w:tcPr>
          <w:p w14:paraId="43C94A10" w14:textId="77777777" w:rsidR="00C1256E" w:rsidRPr="00243C46" w:rsidRDefault="00C1256E" w:rsidP="00CD3989">
            <w:pPr>
              <w:spacing w:line="360" w:lineRule="auto"/>
              <w:rPr>
                <w:rFonts w:ascii="Times New Roman" w:hAnsi="Times New Roman"/>
                <w:sz w:val="20"/>
                <w:szCs w:val="20"/>
                <w:lang w:eastAsia="en-ZA"/>
              </w:rPr>
            </w:pPr>
          </w:p>
        </w:tc>
        <w:tc>
          <w:tcPr>
            <w:tcW w:w="2317" w:type="dxa"/>
            <w:tcBorders>
              <w:top w:val="single" w:sz="4" w:space="0" w:color="auto"/>
              <w:left w:val="nil"/>
              <w:bottom w:val="single" w:sz="4" w:space="0" w:color="auto"/>
              <w:right w:val="single" w:sz="4" w:space="0" w:color="auto"/>
            </w:tcBorders>
            <w:shd w:val="clear" w:color="auto" w:fill="auto"/>
            <w:noWrap/>
          </w:tcPr>
          <w:p w14:paraId="1C2B1032" w14:textId="77777777" w:rsidR="00C1256E" w:rsidRPr="00243C46" w:rsidRDefault="00C1256E" w:rsidP="00CD3989">
            <w:pPr>
              <w:spacing w:line="360" w:lineRule="auto"/>
              <w:rPr>
                <w:rFonts w:ascii="Times New Roman" w:hAnsi="Times New Roman"/>
                <w:color w:val="000000"/>
                <w:sz w:val="20"/>
                <w:szCs w:val="20"/>
              </w:rPr>
            </w:pPr>
          </w:p>
        </w:tc>
      </w:tr>
      <w:tr w:rsidR="00C1256E" w:rsidRPr="00243C46" w14:paraId="01411D92" w14:textId="77777777" w:rsidTr="00C1256E">
        <w:trPr>
          <w:trHeight w:val="255"/>
        </w:trPr>
        <w:tc>
          <w:tcPr>
            <w:tcW w:w="3263" w:type="dxa"/>
            <w:shd w:val="clear" w:color="auto" w:fill="auto"/>
            <w:vAlign w:val="bottom"/>
          </w:tcPr>
          <w:p w14:paraId="4C0CE378" w14:textId="77777777" w:rsidR="00C1256E" w:rsidRPr="00243C46" w:rsidRDefault="00C1256E" w:rsidP="00CD3989">
            <w:pPr>
              <w:spacing w:line="360" w:lineRule="auto"/>
              <w:rPr>
                <w:rFonts w:ascii="Times New Roman" w:hAnsi="Times New Roman"/>
                <w:sz w:val="20"/>
                <w:szCs w:val="20"/>
                <w:lang w:eastAsia="en-ZA"/>
              </w:rPr>
            </w:pPr>
          </w:p>
        </w:tc>
        <w:tc>
          <w:tcPr>
            <w:tcW w:w="2070" w:type="dxa"/>
            <w:shd w:val="clear" w:color="auto" w:fill="auto"/>
            <w:noWrap/>
          </w:tcPr>
          <w:p w14:paraId="257F5C9F" w14:textId="77777777" w:rsidR="00C1256E" w:rsidRPr="00243C46" w:rsidRDefault="00C1256E" w:rsidP="00CD3989">
            <w:pPr>
              <w:spacing w:line="360" w:lineRule="auto"/>
              <w:rPr>
                <w:rFonts w:ascii="Times New Roman" w:hAnsi="Times New Roman"/>
                <w:sz w:val="20"/>
                <w:szCs w:val="20"/>
                <w:lang w:eastAsia="en-ZA"/>
              </w:rPr>
            </w:pPr>
          </w:p>
        </w:tc>
        <w:tc>
          <w:tcPr>
            <w:tcW w:w="1890" w:type="dxa"/>
            <w:shd w:val="clear" w:color="auto" w:fill="auto"/>
            <w:noWrap/>
          </w:tcPr>
          <w:p w14:paraId="2210F410" w14:textId="77777777" w:rsidR="00C1256E" w:rsidRPr="00243C46" w:rsidRDefault="00C1256E" w:rsidP="00CD3989">
            <w:pPr>
              <w:spacing w:line="360" w:lineRule="auto"/>
              <w:rPr>
                <w:rFonts w:ascii="Times New Roman" w:hAnsi="Times New Roman"/>
                <w:sz w:val="20"/>
                <w:szCs w:val="20"/>
                <w:lang w:eastAsia="en-ZA"/>
              </w:rPr>
            </w:pPr>
          </w:p>
        </w:tc>
        <w:tc>
          <w:tcPr>
            <w:tcW w:w="2317" w:type="dxa"/>
            <w:tcBorders>
              <w:top w:val="single" w:sz="4" w:space="0" w:color="auto"/>
              <w:left w:val="nil"/>
              <w:bottom w:val="single" w:sz="4" w:space="0" w:color="auto"/>
              <w:right w:val="single" w:sz="4" w:space="0" w:color="auto"/>
            </w:tcBorders>
            <w:shd w:val="clear" w:color="auto" w:fill="auto"/>
            <w:noWrap/>
          </w:tcPr>
          <w:p w14:paraId="7F6FDB68" w14:textId="77777777" w:rsidR="00C1256E" w:rsidRPr="00243C46" w:rsidRDefault="00C1256E" w:rsidP="00CD3989">
            <w:pPr>
              <w:spacing w:line="360" w:lineRule="auto"/>
              <w:rPr>
                <w:rFonts w:ascii="Times New Roman" w:hAnsi="Times New Roman"/>
                <w:color w:val="000000"/>
                <w:sz w:val="20"/>
                <w:szCs w:val="20"/>
              </w:rPr>
            </w:pPr>
          </w:p>
        </w:tc>
      </w:tr>
      <w:tr w:rsidR="00C1256E" w:rsidRPr="00243C46" w14:paraId="65A5ABD5" w14:textId="77777777" w:rsidTr="00C1256E">
        <w:trPr>
          <w:trHeight w:val="255"/>
        </w:trPr>
        <w:tc>
          <w:tcPr>
            <w:tcW w:w="3263" w:type="dxa"/>
            <w:shd w:val="clear" w:color="auto" w:fill="auto"/>
            <w:vAlign w:val="bottom"/>
          </w:tcPr>
          <w:p w14:paraId="3A181606"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Available Projects</w:t>
            </w:r>
          </w:p>
        </w:tc>
        <w:tc>
          <w:tcPr>
            <w:tcW w:w="2070" w:type="dxa"/>
            <w:shd w:val="clear" w:color="auto" w:fill="auto"/>
            <w:noWrap/>
          </w:tcPr>
          <w:p w14:paraId="4911AF8F"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rPr>
              <w:t>-808 291</w:t>
            </w:r>
          </w:p>
        </w:tc>
        <w:tc>
          <w:tcPr>
            <w:tcW w:w="1890" w:type="dxa"/>
            <w:shd w:val="clear" w:color="auto" w:fill="auto"/>
            <w:noWrap/>
          </w:tcPr>
          <w:p w14:paraId="4688DBE9"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-847 235</w:t>
            </w:r>
          </w:p>
        </w:tc>
        <w:tc>
          <w:tcPr>
            <w:tcW w:w="2317" w:type="dxa"/>
            <w:tcBorders>
              <w:top w:val="single" w:sz="4" w:space="0" w:color="auto"/>
              <w:left w:val="nil"/>
              <w:bottom w:val="single" w:sz="4" w:space="0" w:color="auto"/>
              <w:right w:val="single" w:sz="4" w:space="0" w:color="auto"/>
            </w:tcBorders>
            <w:shd w:val="clear" w:color="auto" w:fill="auto"/>
            <w:noWrap/>
          </w:tcPr>
          <w:p w14:paraId="0B69671E" w14:textId="77777777" w:rsidR="00C1256E" w:rsidRPr="00243C46" w:rsidRDefault="00C1256E" w:rsidP="00CD3989">
            <w:pPr>
              <w:spacing w:line="360" w:lineRule="auto"/>
              <w:rPr>
                <w:rFonts w:ascii="Times New Roman" w:hAnsi="Times New Roman"/>
                <w:color w:val="000000"/>
                <w:sz w:val="20"/>
                <w:szCs w:val="20"/>
              </w:rPr>
            </w:pPr>
            <w:r w:rsidRPr="00243C46">
              <w:rPr>
                <w:rFonts w:ascii="Times New Roman" w:hAnsi="Times New Roman"/>
                <w:color w:val="000000"/>
                <w:sz w:val="20"/>
                <w:szCs w:val="20"/>
              </w:rPr>
              <w:t>-974 589</w:t>
            </w:r>
          </w:p>
        </w:tc>
      </w:tr>
      <w:tr w:rsidR="00C1256E" w:rsidRPr="00243C46" w14:paraId="039997D4" w14:textId="77777777" w:rsidTr="00C1256E">
        <w:trPr>
          <w:trHeight w:val="255"/>
        </w:trPr>
        <w:tc>
          <w:tcPr>
            <w:tcW w:w="3263" w:type="dxa"/>
            <w:shd w:val="clear" w:color="auto" w:fill="auto"/>
            <w:vAlign w:val="bottom"/>
          </w:tcPr>
          <w:p w14:paraId="1FBE0497"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Projects</w:t>
            </w:r>
          </w:p>
        </w:tc>
        <w:tc>
          <w:tcPr>
            <w:tcW w:w="2070" w:type="dxa"/>
            <w:shd w:val="clear" w:color="auto" w:fill="auto"/>
            <w:noWrap/>
          </w:tcPr>
          <w:p w14:paraId="57C2D225" w14:textId="77777777" w:rsidR="00C1256E" w:rsidRPr="00243C46" w:rsidRDefault="00C1256E" w:rsidP="00CD3989">
            <w:pPr>
              <w:spacing w:line="360" w:lineRule="auto"/>
              <w:rPr>
                <w:rFonts w:ascii="Times New Roman" w:hAnsi="Times New Roman"/>
                <w:sz w:val="20"/>
                <w:szCs w:val="20"/>
                <w:lang w:eastAsia="en-ZA"/>
              </w:rPr>
            </w:pPr>
          </w:p>
        </w:tc>
        <w:tc>
          <w:tcPr>
            <w:tcW w:w="1890" w:type="dxa"/>
            <w:shd w:val="clear" w:color="auto" w:fill="auto"/>
            <w:noWrap/>
          </w:tcPr>
          <w:p w14:paraId="6804C59B" w14:textId="77777777" w:rsidR="00C1256E" w:rsidRPr="00243C46" w:rsidRDefault="00C1256E" w:rsidP="00CD3989">
            <w:pPr>
              <w:spacing w:line="360" w:lineRule="auto"/>
              <w:rPr>
                <w:rFonts w:ascii="Times New Roman" w:hAnsi="Times New Roman"/>
                <w:sz w:val="20"/>
                <w:szCs w:val="20"/>
                <w:lang w:eastAsia="en-ZA"/>
              </w:rPr>
            </w:pPr>
          </w:p>
        </w:tc>
        <w:tc>
          <w:tcPr>
            <w:tcW w:w="2317" w:type="dxa"/>
            <w:tcBorders>
              <w:top w:val="single" w:sz="4" w:space="0" w:color="auto"/>
              <w:left w:val="nil"/>
              <w:bottom w:val="single" w:sz="4" w:space="0" w:color="auto"/>
              <w:right w:val="single" w:sz="4" w:space="0" w:color="auto"/>
            </w:tcBorders>
            <w:shd w:val="clear" w:color="auto" w:fill="auto"/>
            <w:noWrap/>
          </w:tcPr>
          <w:p w14:paraId="1A1DC84B" w14:textId="77777777" w:rsidR="00C1256E" w:rsidRPr="00243C46" w:rsidRDefault="00C1256E" w:rsidP="00CD3989">
            <w:pPr>
              <w:spacing w:line="360" w:lineRule="auto"/>
              <w:rPr>
                <w:rFonts w:ascii="Times New Roman" w:hAnsi="Times New Roman"/>
                <w:color w:val="000000"/>
                <w:sz w:val="20"/>
                <w:szCs w:val="20"/>
              </w:rPr>
            </w:pPr>
          </w:p>
        </w:tc>
      </w:tr>
      <w:tr w:rsidR="00C1256E" w:rsidRPr="00243C46" w14:paraId="60A91165" w14:textId="77777777" w:rsidTr="00C1256E">
        <w:trPr>
          <w:trHeight w:val="255"/>
        </w:trPr>
        <w:tc>
          <w:tcPr>
            <w:tcW w:w="3263" w:type="dxa"/>
            <w:shd w:val="clear" w:color="auto" w:fill="auto"/>
            <w:vAlign w:val="bottom"/>
          </w:tcPr>
          <w:p w14:paraId="3662446F"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Funding surplus/shortfall</w:t>
            </w:r>
          </w:p>
        </w:tc>
        <w:tc>
          <w:tcPr>
            <w:tcW w:w="2070" w:type="dxa"/>
            <w:shd w:val="clear" w:color="auto" w:fill="auto"/>
            <w:noWrap/>
            <w:vAlign w:val="bottom"/>
          </w:tcPr>
          <w:p w14:paraId="72E81470"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-808 291</w:t>
            </w:r>
          </w:p>
        </w:tc>
        <w:tc>
          <w:tcPr>
            <w:tcW w:w="1890" w:type="dxa"/>
            <w:shd w:val="clear" w:color="auto" w:fill="auto"/>
            <w:noWrap/>
          </w:tcPr>
          <w:p w14:paraId="4C64FCC8" w14:textId="77777777" w:rsidR="00C1256E" w:rsidRPr="00243C46" w:rsidRDefault="00C1256E" w:rsidP="00CD3989">
            <w:pPr>
              <w:spacing w:line="360" w:lineRule="auto"/>
              <w:rPr>
                <w:rFonts w:ascii="Times New Roman" w:hAnsi="Times New Roman"/>
                <w:sz w:val="20"/>
                <w:szCs w:val="20"/>
                <w:lang w:eastAsia="en-ZA"/>
              </w:rPr>
            </w:pPr>
            <w:r w:rsidRPr="00243C46">
              <w:rPr>
                <w:rFonts w:ascii="Times New Roman" w:hAnsi="Times New Roman"/>
                <w:sz w:val="20"/>
                <w:szCs w:val="20"/>
                <w:lang w:eastAsia="en-ZA"/>
              </w:rPr>
              <w:t>-847 235</w:t>
            </w:r>
          </w:p>
        </w:tc>
        <w:tc>
          <w:tcPr>
            <w:tcW w:w="2317" w:type="dxa"/>
            <w:tcBorders>
              <w:top w:val="single" w:sz="4" w:space="0" w:color="auto"/>
              <w:left w:val="nil"/>
              <w:bottom w:val="single" w:sz="4" w:space="0" w:color="auto"/>
              <w:right w:val="single" w:sz="4" w:space="0" w:color="auto"/>
            </w:tcBorders>
            <w:shd w:val="clear" w:color="auto" w:fill="auto"/>
            <w:noWrap/>
          </w:tcPr>
          <w:p w14:paraId="5942544E" w14:textId="77777777" w:rsidR="00C1256E" w:rsidRPr="00243C46" w:rsidRDefault="00C1256E" w:rsidP="00CD3989">
            <w:pPr>
              <w:spacing w:line="360" w:lineRule="auto"/>
              <w:rPr>
                <w:rFonts w:ascii="Times New Roman" w:hAnsi="Times New Roman"/>
                <w:color w:val="000000"/>
                <w:sz w:val="20"/>
                <w:szCs w:val="20"/>
              </w:rPr>
            </w:pPr>
            <w:r w:rsidRPr="00243C46">
              <w:rPr>
                <w:rFonts w:ascii="Times New Roman" w:hAnsi="Times New Roman"/>
                <w:color w:val="000000"/>
                <w:sz w:val="20"/>
                <w:szCs w:val="20"/>
              </w:rPr>
              <w:t>-974 589</w:t>
            </w:r>
          </w:p>
        </w:tc>
      </w:tr>
    </w:tbl>
    <w:p w14:paraId="510D4075" w14:textId="77777777" w:rsidR="00C1256E" w:rsidRPr="00243C46" w:rsidRDefault="00C1256E" w:rsidP="00CD3989">
      <w:pPr>
        <w:pStyle w:val="ListParagraph"/>
        <w:spacing w:line="360" w:lineRule="auto"/>
        <w:ind w:left="360"/>
        <w:rPr>
          <w:rFonts w:ascii="Times New Roman" w:hAnsi="Times New Roman" w:cs="Times New Roman"/>
          <w:sz w:val="24"/>
          <w:szCs w:val="24"/>
        </w:rPr>
      </w:pPr>
    </w:p>
    <w:p w14:paraId="046EB082" w14:textId="77777777" w:rsidR="00C1256E" w:rsidRPr="00243C46" w:rsidRDefault="00C1256E" w:rsidP="00CD3989">
      <w:pPr>
        <w:pStyle w:val="ListParagraph"/>
        <w:spacing w:line="360" w:lineRule="auto"/>
        <w:ind w:left="360"/>
        <w:jc w:val="both"/>
        <w:rPr>
          <w:rFonts w:ascii="Times New Roman" w:hAnsi="Times New Roman" w:cs="Times New Roman"/>
          <w:b/>
          <w:sz w:val="24"/>
          <w:szCs w:val="24"/>
        </w:rPr>
      </w:pPr>
      <w:r w:rsidRPr="00243C46">
        <w:rPr>
          <w:rFonts w:ascii="Times New Roman" w:hAnsi="Times New Roman" w:cs="Times New Roman"/>
          <w:b/>
          <w:sz w:val="24"/>
          <w:szCs w:val="24"/>
        </w:rPr>
        <w:t xml:space="preserve"> </w:t>
      </w:r>
    </w:p>
    <w:p w14:paraId="25762333" w14:textId="77777777" w:rsidR="00C1256E" w:rsidRPr="00243C46" w:rsidRDefault="009944E3" w:rsidP="00CD3989">
      <w:pPr>
        <w:pStyle w:val="ListParagraph"/>
        <w:numPr>
          <w:ilvl w:val="0"/>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 xml:space="preserve">OVERVIEW OF </w:t>
      </w:r>
      <w:r w:rsidR="00C1256E" w:rsidRPr="00243C46">
        <w:rPr>
          <w:rFonts w:ascii="Times New Roman" w:hAnsi="Times New Roman" w:cs="Times New Roman"/>
          <w:b/>
          <w:sz w:val="24"/>
          <w:szCs w:val="24"/>
        </w:rPr>
        <w:t xml:space="preserve">NATIONAL TREASURY </w:t>
      </w:r>
      <w:r w:rsidRPr="00243C46">
        <w:rPr>
          <w:rFonts w:ascii="Times New Roman" w:hAnsi="Times New Roman" w:cs="Times New Roman"/>
          <w:b/>
          <w:sz w:val="24"/>
          <w:szCs w:val="24"/>
        </w:rPr>
        <w:t>PROGRAMMES AND ALLOCATIONS</w:t>
      </w:r>
    </w:p>
    <w:p w14:paraId="4031294E"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1: Administration</w:t>
      </w:r>
    </w:p>
    <w:p w14:paraId="390A5DA4"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eastAsia="MS Mincho" w:hAnsi="Times New Roman" w:cs="Times New Roman"/>
          <w:sz w:val="24"/>
          <w:szCs w:val="24"/>
          <w:lang w:val="en-US"/>
        </w:rPr>
        <w:t>The Administration programme provides strategic leadership, management and administrative support and capacity building to th</w:t>
      </w:r>
      <w:r w:rsidR="00195658" w:rsidRPr="00243C46">
        <w:rPr>
          <w:rFonts w:ascii="Times New Roman" w:eastAsia="MS Mincho" w:hAnsi="Times New Roman" w:cs="Times New Roman"/>
          <w:sz w:val="24"/>
          <w:szCs w:val="24"/>
          <w:lang w:val="en-US"/>
        </w:rPr>
        <w:t>e Department. A budget of R555.7 million is allocated for 20</w:t>
      </w:r>
      <w:r w:rsidRPr="00243C46">
        <w:rPr>
          <w:rFonts w:ascii="Times New Roman" w:eastAsia="MS Mincho" w:hAnsi="Times New Roman" w:cs="Times New Roman"/>
          <w:sz w:val="24"/>
          <w:szCs w:val="24"/>
          <w:lang w:val="en-US"/>
        </w:rPr>
        <w:t>19</w:t>
      </w:r>
      <w:r w:rsidR="00195658" w:rsidRPr="00243C46">
        <w:rPr>
          <w:rFonts w:ascii="Times New Roman" w:eastAsia="MS Mincho" w:hAnsi="Times New Roman" w:cs="Times New Roman"/>
          <w:sz w:val="24"/>
          <w:szCs w:val="24"/>
          <w:lang w:val="en-US"/>
        </w:rPr>
        <w:t>/20</w:t>
      </w:r>
      <w:r w:rsidRPr="00243C46">
        <w:rPr>
          <w:rFonts w:ascii="Times New Roman" w:eastAsia="MS Mincho" w:hAnsi="Times New Roman" w:cs="Times New Roman"/>
          <w:sz w:val="24"/>
          <w:szCs w:val="24"/>
          <w:lang w:val="en-US"/>
        </w:rPr>
        <w:t xml:space="preserve">, up </w:t>
      </w:r>
      <w:r w:rsidR="00195658" w:rsidRPr="00243C46">
        <w:rPr>
          <w:rFonts w:ascii="Times New Roman" w:eastAsia="MS Mincho" w:hAnsi="Times New Roman" w:cs="Times New Roman"/>
          <w:sz w:val="24"/>
          <w:szCs w:val="24"/>
          <w:lang w:val="en-US"/>
        </w:rPr>
        <w:t xml:space="preserve">from R423.2 million actual expenditure in 2018/19. The projected increase for this programme is R599.3 million and R636.8 million respectively in the two outer years of the 2019/20 MTEF. </w:t>
      </w:r>
    </w:p>
    <w:p w14:paraId="5DB74148" w14:textId="77777777" w:rsidR="00C1256E" w:rsidRPr="00243C46" w:rsidRDefault="00C1256E" w:rsidP="00CD3989">
      <w:pPr>
        <w:pStyle w:val="ListParagraph"/>
        <w:spacing w:line="360" w:lineRule="auto"/>
        <w:jc w:val="both"/>
        <w:rPr>
          <w:rFonts w:ascii="Times New Roman" w:hAnsi="Times New Roman" w:cs="Times New Roman"/>
          <w:b/>
          <w:sz w:val="24"/>
          <w:szCs w:val="24"/>
        </w:rPr>
      </w:pPr>
    </w:p>
    <w:p w14:paraId="5A5045CA"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2: Economic Policy, Tax, Financial Regulation and Research</w:t>
      </w:r>
    </w:p>
    <w:p w14:paraId="54924008" w14:textId="77777777" w:rsidR="00C1256E" w:rsidRPr="00243C46" w:rsidRDefault="00D43CCB"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This programme is dedicated to</w:t>
      </w:r>
      <w:r w:rsidR="009944E3" w:rsidRPr="00243C46">
        <w:rPr>
          <w:rFonts w:ascii="Times New Roman" w:hAnsi="Times New Roman" w:cs="Times New Roman"/>
          <w:sz w:val="24"/>
          <w:szCs w:val="24"/>
        </w:rPr>
        <w:t xml:space="preserve"> economic research</w:t>
      </w:r>
      <w:r w:rsidR="00C1256E" w:rsidRPr="00243C46">
        <w:rPr>
          <w:rFonts w:ascii="Times New Roman" w:hAnsi="Times New Roman" w:cs="Times New Roman"/>
          <w:sz w:val="24"/>
          <w:szCs w:val="24"/>
        </w:rPr>
        <w:t xml:space="preserve"> and</w:t>
      </w:r>
      <w:r w:rsidR="009944E3" w:rsidRPr="00243C46">
        <w:rPr>
          <w:rFonts w:ascii="Times New Roman" w:hAnsi="Times New Roman" w:cs="Times New Roman"/>
          <w:sz w:val="24"/>
          <w:szCs w:val="24"/>
        </w:rPr>
        <w:t xml:space="preserve"> model</w:t>
      </w:r>
      <w:r w:rsidR="00707324" w:rsidRPr="00243C46">
        <w:rPr>
          <w:rFonts w:ascii="Times New Roman" w:hAnsi="Times New Roman" w:cs="Times New Roman"/>
          <w:sz w:val="24"/>
          <w:szCs w:val="24"/>
        </w:rPr>
        <w:t>ling,</w:t>
      </w:r>
      <w:r w:rsidR="009944E3" w:rsidRPr="00243C46">
        <w:rPr>
          <w:rFonts w:ascii="Times New Roman" w:hAnsi="Times New Roman" w:cs="Times New Roman"/>
          <w:sz w:val="24"/>
          <w:szCs w:val="24"/>
        </w:rPr>
        <w:t xml:space="preserve"> </w:t>
      </w:r>
      <w:r w:rsidR="00C1256E" w:rsidRPr="00243C46">
        <w:rPr>
          <w:rFonts w:ascii="Times New Roman" w:hAnsi="Times New Roman" w:cs="Times New Roman"/>
          <w:sz w:val="24"/>
          <w:szCs w:val="24"/>
        </w:rPr>
        <w:t>and policy</w:t>
      </w:r>
      <w:r w:rsidR="00707324" w:rsidRPr="00243C46">
        <w:rPr>
          <w:rFonts w:ascii="Times New Roman" w:hAnsi="Times New Roman" w:cs="Times New Roman"/>
          <w:sz w:val="24"/>
          <w:szCs w:val="24"/>
        </w:rPr>
        <w:t xml:space="preserve"> and legislative development</w:t>
      </w:r>
      <w:r w:rsidR="009944E3" w:rsidRPr="00243C46">
        <w:rPr>
          <w:rFonts w:ascii="Times New Roman" w:hAnsi="Times New Roman" w:cs="Times New Roman"/>
          <w:sz w:val="24"/>
          <w:szCs w:val="24"/>
        </w:rPr>
        <w:t>. The 2019</w:t>
      </w:r>
      <w:r w:rsidR="00707324" w:rsidRPr="00243C46">
        <w:rPr>
          <w:rFonts w:ascii="Times New Roman" w:hAnsi="Times New Roman" w:cs="Times New Roman"/>
          <w:sz w:val="24"/>
          <w:szCs w:val="24"/>
        </w:rPr>
        <w:t xml:space="preserve">/20 </w:t>
      </w:r>
      <w:r w:rsidR="009944E3" w:rsidRPr="00243C46">
        <w:rPr>
          <w:rFonts w:ascii="Times New Roman" w:hAnsi="Times New Roman" w:cs="Times New Roman"/>
          <w:sz w:val="24"/>
          <w:szCs w:val="24"/>
        </w:rPr>
        <w:t>allocation is R14</w:t>
      </w:r>
      <w:r w:rsidR="00707324" w:rsidRPr="00243C46">
        <w:rPr>
          <w:rFonts w:ascii="Times New Roman" w:hAnsi="Times New Roman" w:cs="Times New Roman"/>
          <w:sz w:val="24"/>
          <w:szCs w:val="24"/>
        </w:rPr>
        <w:t>9</w:t>
      </w:r>
      <w:r w:rsidR="009944E3" w:rsidRPr="00243C46">
        <w:rPr>
          <w:rFonts w:ascii="Times New Roman" w:hAnsi="Times New Roman" w:cs="Times New Roman"/>
          <w:sz w:val="24"/>
          <w:szCs w:val="24"/>
        </w:rPr>
        <w:t xml:space="preserve"> million</w:t>
      </w:r>
      <w:r w:rsidRPr="00243C46">
        <w:rPr>
          <w:rFonts w:ascii="Times New Roman" w:hAnsi="Times New Roman" w:cs="Times New Roman"/>
          <w:sz w:val="24"/>
          <w:szCs w:val="24"/>
        </w:rPr>
        <w:t>, up by R8 million from 2018/19</w:t>
      </w:r>
      <w:r w:rsidR="009944E3" w:rsidRPr="00243C46">
        <w:rPr>
          <w:rFonts w:ascii="Times New Roman" w:hAnsi="Times New Roman" w:cs="Times New Roman"/>
          <w:sz w:val="24"/>
          <w:szCs w:val="24"/>
        </w:rPr>
        <w:t xml:space="preserve">. </w:t>
      </w:r>
      <w:r w:rsidR="009944E3" w:rsidRPr="00243C46">
        <w:rPr>
          <w:rFonts w:ascii="Times New Roman" w:hAnsi="Times New Roman" w:cs="Times New Roman"/>
          <w:color w:val="000000" w:themeColor="text1"/>
          <w:sz w:val="24"/>
          <w:szCs w:val="24"/>
        </w:rPr>
        <w:t>Over</w:t>
      </w:r>
      <w:r w:rsidRPr="00243C46">
        <w:rPr>
          <w:rFonts w:ascii="Times New Roman" w:hAnsi="Times New Roman" w:cs="Times New Roman"/>
          <w:color w:val="000000" w:themeColor="text1"/>
          <w:sz w:val="24"/>
          <w:szCs w:val="24"/>
        </w:rPr>
        <w:t xml:space="preserve"> the medium term, </w:t>
      </w:r>
      <w:r w:rsidR="0012305F" w:rsidRPr="00243C46">
        <w:rPr>
          <w:rFonts w:ascii="Times New Roman" w:hAnsi="Times New Roman" w:cs="Times New Roman"/>
          <w:color w:val="000000" w:themeColor="text1"/>
          <w:sz w:val="24"/>
          <w:szCs w:val="24"/>
        </w:rPr>
        <w:t xml:space="preserve">the </w:t>
      </w:r>
      <w:r w:rsidRPr="00243C46">
        <w:rPr>
          <w:rFonts w:ascii="Times New Roman" w:hAnsi="Times New Roman" w:cs="Times New Roman"/>
          <w:color w:val="000000" w:themeColor="text1"/>
          <w:sz w:val="24"/>
          <w:szCs w:val="24"/>
        </w:rPr>
        <w:t>National Treasury</w:t>
      </w:r>
      <w:r w:rsidR="009944E3" w:rsidRPr="00243C46">
        <w:rPr>
          <w:rFonts w:ascii="Times New Roman" w:hAnsi="Times New Roman" w:cs="Times New Roman"/>
          <w:color w:val="000000" w:themeColor="text1"/>
          <w:sz w:val="24"/>
          <w:szCs w:val="24"/>
        </w:rPr>
        <w:t xml:space="preserve"> aims to</w:t>
      </w:r>
      <w:r w:rsidR="00C1256E" w:rsidRPr="00243C46">
        <w:rPr>
          <w:rFonts w:ascii="Times New Roman" w:hAnsi="Times New Roman" w:cs="Times New Roman"/>
          <w:color w:val="000000" w:themeColor="text1"/>
          <w:sz w:val="24"/>
          <w:szCs w:val="24"/>
        </w:rPr>
        <w:t xml:space="preserve"> </w:t>
      </w:r>
      <w:r w:rsidR="009944E3" w:rsidRPr="00243C46">
        <w:rPr>
          <w:rFonts w:ascii="Times New Roman" w:hAnsi="Times New Roman" w:cs="Times New Roman"/>
          <w:color w:val="000000" w:themeColor="text1"/>
          <w:sz w:val="24"/>
          <w:szCs w:val="24"/>
        </w:rPr>
        <w:t>conclude prop</w:t>
      </w:r>
      <w:r w:rsidRPr="00243C46">
        <w:rPr>
          <w:rFonts w:ascii="Times New Roman" w:hAnsi="Times New Roman" w:cs="Times New Roman"/>
          <w:color w:val="000000" w:themeColor="text1"/>
          <w:sz w:val="24"/>
          <w:szCs w:val="24"/>
        </w:rPr>
        <w:t>osals for tax policy amendments</w:t>
      </w:r>
      <w:r w:rsidR="00C1256E" w:rsidRPr="00243C46">
        <w:rPr>
          <w:rFonts w:ascii="Times New Roman" w:hAnsi="Times New Roman" w:cs="Times New Roman"/>
          <w:color w:val="000000" w:themeColor="text1"/>
          <w:sz w:val="24"/>
          <w:szCs w:val="24"/>
        </w:rPr>
        <w:t xml:space="preserve"> and to</w:t>
      </w:r>
      <w:r w:rsidRPr="00243C46">
        <w:rPr>
          <w:rFonts w:ascii="Times New Roman" w:hAnsi="Times New Roman" w:cs="Times New Roman"/>
          <w:color w:val="000000" w:themeColor="text1"/>
          <w:sz w:val="24"/>
          <w:szCs w:val="24"/>
        </w:rPr>
        <w:t xml:space="preserve"> </w:t>
      </w:r>
      <w:r w:rsidR="0012305F" w:rsidRPr="00243C46">
        <w:rPr>
          <w:rFonts w:ascii="Times New Roman" w:hAnsi="Times New Roman" w:cs="Times New Roman"/>
          <w:color w:val="000000" w:themeColor="text1"/>
          <w:sz w:val="24"/>
          <w:szCs w:val="24"/>
        </w:rPr>
        <w:t xml:space="preserve">table </w:t>
      </w:r>
      <w:r w:rsidRPr="00243C46">
        <w:rPr>
          <w:rFonts w:ascii="Times New Roman" w:hAnsi="Times New Roman" w:cs="Times New Roman"/>
          <w:color w:val="000000" w:themeColor="text1"/>
          <w:sz w:val="24"/>
          <w:szCs w:val="24"/>
        </w:rPr>
        <w:t xml:space="preserve">the </w:t>
      </w:r>
      <w:r w:rsidRPr="00243C46">
        <w:rPr>
          <w:rFonts w:ascii="Times New Roman" w:eastAsia="MS Mincho" w:hAnsi="Times New Roman" w:cs="Times New Roman"/>
          <w:color w:val="000000" w:themeColor="text1"/>
          <w:sz w:val="24"/>
          <w:szCs w:val="24"/>
          <w:lang w:val="en-US"/>
        </w:rPr>
        <w:t xml:space="preserve">Financial Sector Regulation Amendment Bill and </w:t>
      </w:r>
      <w:r w:rsidR="0012305F" w:rsidRPr="00243C46">
        <w:rPr>
          <w:rFonts w:ascii="Times New Roman" w:eastAsia="MS Mincho" w:hAnsi="Times New Roman" w:cs="Times New Roman"/>
          <w:color w:val="000000" w:themeColor="text1"/>
          <w:sz w:val="24"/>
          <w:szCs w:val="24"/>
          <w:lang w:val="en-US"/>
        </w:rPr>
        <w:t xml:space="preserve">other Twin Peaks model legislation </w:t>
      </w:r>
      <w:r w:rsidR="0012305F" w:rsidRPr="00243C46">
        <w:rPr>
          <w:rFonts w:ascii="Times New Roman" w:eastAsia="MS Mincho" w:hAnsi="Times New Roman" w:cs="Times New Roman"/>
          <w:sz w:val="24"/>
          <w:szCs w:val="24"/>
          <w:lang w:val="en-US"/>
        </w:rPr>
        <w:t>aimed at developing and/or enhancing South Africa’s prudential and market conduct framework</w:t>
      </w:r>
      <w:r w:rsidR="00C1256E" w:rsidRPr="00243C46">
        <w:rPr>
          <w:rFonts w:ascii="Times New Roman" w:eastAsia="MS Mincho" w:hAnsi="Times New Roman" w:cs="Times New Roman"/>
          <w:sz w:val="24"/>
          <w:szCs w:val="24"/>
          <w:lang w:val="en-US"/>
        </w:rPr>
        <w:t xml:space="preserve"> for new regulatory authorities. It will also</w:t>
      </w:r>
      <w:r w:rsidR="0012305F" w:rsidRPr="00243C46">
        <w:rPr>
          <w:rFonts w:ascii="Times New Roman" w:eastAsia="MS Mincho" w:hAnsi="Times New Roman" w:cs="Times New Roman"/>
          <w:sz w:val="24"/>
          <w:szCs w:val="24"/>
          <w:lang w:val="en-US"/>
        </w:rPr>
        <w:t xml:space="preserve"> table </w:t>
      </w:r>
      <w:r w:rsidRPr="00243C46">
        <w:rPr>
          <w:rFonts w:ascii="Times New Roman" w:eastAsia="MS Mincho" w:hAnsi="Times New Roman" w:cs="Times New Roman"/>
          <w:sz w:val="24"/>
          <w:szCs w:val="24"/>
          <w:lang w:val="en-US"/>
        </w:rPr>
        <w:t>the Financial Matters Amendment Bill</w:t>
      </w:r>
      <w:r w:rsidR="00C1256E" w:rsidRPr="00243C46">
        <w:rPr>
          <w:rFonts w:ascii="Times New Roman" w:eastAsia="MS Mincho" w:hAnsi="Times New Roman" w:cs="Times New Roman"/>
          <w:sz w:val="24"/>
          <w:szCs w:val="24"/>
          <w:lang w:val="en-US"/>
        </w:rPr>
        <w:t xml:space="preserve"> which </w:t>
      </w:r>
      <w:r w:rsidR="00C1256E" w:rsidRPr="00243C46">
        <w:rPr>
          <w:rFonts w:ascii="Times New Roman" w:eastAsia="MS Mincho" w:hAnsi="Times New Roman" w:cs="Times New Roman"/>
          <w:sz w:val="24"/>
          <w:szCs w:val="24"/>
          <w:lang w:val="en-US"/>
        </w:rPr>
        <w:lastRenderedPageBreak/>
        <w:t>will enact</w:t>
      </w:r>
      <w:r w:rsidRPr="00243C46">
        <w:rPr>
          <w:rFonts w:ascii="Times New Roman" w:eastAsia="MS Mincho" w:hAnsi="Times New Roman" w:cs="Times New Roman"/>
          <w:sz w:val="24"/>
          <w:szCs w:val="24"/>
          <w:lang w:val="en-US"/>
        </w:rPr>
        <w:t>,</w:t>
      </w:r>
      <w:r w:rsidR="00C1256E" w:rsidRPr="00243C46">
        <w:rPr>
          <w:rFonts w:ascii="Times New Roman" w:eastAsia="MS Mincho" w:hAnsi="Times New Roman" w:cs="Times New Roman"/>
          <w:sz w:val="24"/>
          <w:szCs w:val="24"/>
          <w:lang w:val="en-US"/>
        </w:rPr>
        <w:t xml:space="preserve"> among others, the</w:t>
      </w:r>
      <w:r w:rsidRPr="00243C46">
        <w:rPr>
          <w:rFonts w:ascii="Times New Roman" w:eastAsia="MS Mincho" w:hAnsi="Times New Roman" w:cs="Times New Roman"/>
          <w:sz w:val="24"/>
          <w:szCs w:val="24"/>
          <w:lang w:val="en-US"/>
        </w:rPr>
        <w:t xml:space="preserve"> establishment of deposit insurance scheme</w:t>
      </w:r>
      <w:r w:rsidR="00C1256E" w:rsidRPr="00243C46">
        <w:rPr>
          <w:rFonts w:ascii="Times New Roman" w:eastAsia="MS Mincho" w:hAnsi="Times New Roman" w:cs="Times New Roman"/>
          <w:sz w:val="24"/>
          <w:szCs w:val="24"/>
          <w:lang w:val="en-US"/>
        </w:rPr>
        <w:t xml:space="preserve"> under the South African Reserve Bank</w:t>
      </w:r>
      <w:r w:rsidRPr="00243C46">
        <w:rPr>
          <w:rFonts w:ascii="Times New Roman" w:eastAsia="MS Mincho" w:hAnsi="Times New Roman" w:cs="Times New Roman"/>
          <w:sz w:val="24"/>
          <w:szCs w:val="24"/>
          <w:lang w:val="en-US"/>
        </w:rPr>
        <w:t xml:space="preserve">. </w:t>
      </w:r>
    </w:p>
    <w:p w14:paraId="09AF5118" w14:textId="77777777" w:rsidR="00C1256E" w:rsidRPr="00243C46" w:rsidRDefault="00C1256E" w:rsidP="00CD3989">
      <w:pPr>
        <w:pStyle w:val="ListParagraph"/>
        <w:spacing w:line="360" w:lineRule="auto"/>
        <w:jc w:val="both"/>
        <w:rPr>
          <w:rFonts w:ascii="Times New Roman" w:hAnsi="Times New Roman" w:cs="Times New Roman"/>
          <w:b/>
          <w:sz w:val="24"/>
          <w:szCs w:val="24"/>
        </w:rPr>
      </w:pPr>
    </w:p>
    <w:p w14:paraId="25C6C58F"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3: Public Finance and Budget Management</w:t>
      </w:r>
    </w:p>
    <w:p w14:paraId="5595CF7F"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 xml:space="preserve">This programme provides analysis and advice on fiscal policy and public finances and intergovernmental financial relations and manages the annual budget process and public finance management support. </w:t>
      </w:r>
      <w:r w:rsidR="00F979A6" w:rsidRPr="00243C46">
        <w:rPr>
          <w:rFonts w:ascii="Times New Roman" w:hAnsi="Times New Roman" w:cs="Times New Roman"/>
          <w:sz w:val="24"/>
          <w:szCs w:val="24"/>
        </w:rPr>
        <w:t xml:space="preserve">For 2019/20, </w:t>
      </w:r>
      <w:r w:rsidRPr="00243C46">
        <w:rPr>
          <w:rFonts w:ascii="Times New Roman" w:hAnsi="Times New Roman" w:cs="Times New Roman"/>
          <w:sz w:val="24"/>
          <w:szCs w:val="24"/>
        </w:rPr>
        <w:t>R</w:t>
      </w:r>
      <w:r w:rsidR="00F979A6" w:rsidRPr="00243C46">
        <w:rPr>
          <w:rFonts w:ascii="Times New Roman" w:hAnsi="Times New Roman" w:cs="Times New Roman"/>
          <w:sz w:val="24"/>
          <w:szCs w:val="24"/>
        </w:rPr>
        <w:t>320</w:t>
      </w:r>
      <w:r w:rsidRPr="00243C46">
        <w:rPr>
          <w:rFonts w:ascii="Times New Roman" w:hAnsi="Times New Roman" w:cs="Times New Roman"/>
          <w:sz w:val="24"/>
          <w:szCs w:val="24"/>
        </w:rPr>
        <w:t xml:space="preserve"> million </w:t>
      </w:r>
      <w:r w:rsidR="00F979A6" w:rsidRPr="00243C46">
        <w:rPr>
          <w:rFonts w:ascii="Times New Roman" w:hAnsi="Times New Roman" w:cs="Times New Roman"/>
          <w:sz w:val="24"/>
          <w:szCs w:val="24"/>
        </w:rPr>
        <w:t>has been</w:t>
      </w:r>
      <w:r w:rsidRPr="00243C46">
        <w:rPr>
          <w:rFonts w:ascii="Times New Roman" w:hAnsi="Times New Roman" w:cs="Times New Roman"/>
          <w:sz w:val="24"/>
          <w:szCs w:val="24"/>
        </w:rPr>
        <w:t xml:space="preserve"> allocated for </w:t>
      </w:r>
      <w:r w:rsidR="00F979A6" w:rsidRPr="00243C46">
        <w:rPr>
          <w:rFonts w:ascii="Times New Roman" w:hAnsi="Times New Roman" w:cs="Times New Roman"/>
          <w:sz w:val="24"/>
          <w:szCs w:val="24"/>
        </w:rPr>
        <w:t>this programme</w:t>
      </w:r>
      <w:r w:rsidRPr="00243C46">
        <w:rPr>
          <w:rFonts w:ascii="Times New Roman" w:hAnsi="Times New Roman" w:cs="Times New Roman"/>
          <w:sz w:val="24"/>
          <w:szCs w:val="24"/>
        </w:rPr>
        <w:t>.</w:t>
      </w:r>
    </w:p>
    <w:p w14:paraId="6F461F17" w14:textId="77777777" w:rsidR="00C1256E" w:rsidRPr="00243C46" w:rsidRDefault="00C1256E" w:rsidP="00CD3989">
      <w:pPr>
        <w:pStyle w:val="ListParagraph"/>
        <w:spacing w:line="360" w:lineRule="auto"/>
        <w:jc w:val="both"/>
        <w:rPr>
          <w:rFonts w:ascii="Times New Roman" w:hAnsi="Times New Roman" w:cs="Times New Roman"/>
          <w:b/>
          <w:sz w:val="24"/>
          <w:szCs w:val="24"/>
        </w:rPr>
      </w:pPr>
    </w:p>
    <w:p w14:paraId="70239B08"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4: Asset and Liability Management</w:t>
      </w:r>
    </w:p>
    <w:p w14:paraId="20FF6E7B"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 xml:space="preserve">The Asset and Liability Management programme manages financial assets, national debt and liquidity requirements of the fiscus to facilitate national expenditure and maintain favourable sovereign debt ratings. Over the medium term, the strategic focus of this programme is to continue its oversight of state owned </w:t>
      </w:r>
      <w:r w:rsidR="0031157B" w:rsidRPr="00243C46">
        <w:rPr>
          <w:rFonts w:ascii="Times New Roman" w:hAnsi="Times New Roman" w:cs="Times New Roman"/>
          <w:sz w:val="24"/>
          <w:szCs w:val="24"/>
        </w:rPr>
        <w:t>entities (SOCs) by enabling the SOC</w:t>
      </w:r>
      <w:r w:rsidRPr="00243C46">
        <w:rPr>
          <w:rFonts w:ascii="Times New Roman" w:hAnsi="Times New Roman" w:cs="Times New Roman"/>
          <w:sz w:val="24"/>
          <w:szCs w:val="24"/>
        </w:rPr>
        <w:t xml:space="preserve">s to meet government’s policy objectives in a financially and fiscally sustainable manner, as well as promote sound corporate governance in SOEs. </w:t>
      </w:r>
      <w:r w:rsidR="0031157B" w:rsidRPr="00243C46">
        <w:rPr>
          <w:rFonts w:ascii="Times New Roman" w:eastAsia="MS Mincho" w:hAnsi="Times New Roman" w:cs="Times New Roman"/>
          <w:sz w:val="24"/>
          <w:szCs w:val="24"/>
          <w:lang w:val="en-US"/>
        </w:rPr>
        <w:t>This programme will build a framework for reducing the number of government guarantees issued to public entities and improving the risk ex</w:t>
      </w:r>
      <w:r w:rsidR="00C1256E" w:rsidRPr="00243C46">
        <w:rPr>
          <w:rFonts w:ascii="Times New Roman" w:eastAsia="MS Mincho" w:hAnsi="Times New Roman" w:cs="Times New Roman"/>
          <w:sz w:val="24"/>
          <w:szCs w:val="24"/>
          <w:lang w:val="en-US"/>
        </w:rPr>
        <w:t>posure from such guarantees. This</w:t>
      </w:r>
      <w:r w:rsidR="0031157B" w:rsidRPr="00243C46">
        <w:rPr>
          <w:rFonts w:ascii="Times New Roman" w:eastAsia="MS Mincho" w:hAnsi="Times New Roman" w:cs="Times New Roman"/>
          <w:sz w:val="24"/>
          <w:szCs w:val="24"/>
          <w:lang w:val="en-US"/>
        </w:rPr>
        <w:t xml:space="preserve"> programme’s budget allocation for 2019/20 amounted to R108.4 million, compared to </w:t>
      </w:r>
      <w:r w:rsidRPr="00243C46">
        <w:rPr>
          <w:rFonts w:ascii="Times New Roman" w:hAnsi="Times New Roman" w:cs="Times New Roman"/>
          <w:sz w:val="24"/>
          <w:szCs w:val="24"/>
        </w:rPr>
        <w:t>R110 million</w:t>
      </w:r>
      <w:r w:rsidR="0031157B" w:rsidRPr="00243C46">
        <w:rPr>
          <w:rFonts w:ascii="Times New Roman" w:hAnsi="Times New Roman" w:cs="Times New Roman"/>
          <w:sz w:val="24"/>
          <w:szCs w:val="24"/>
        </w:rPr>
        <w:t xml:space="preserve"> the previous year</w:t>
      </w:r>
      <w:r w:rsidRPr="00243C46">
        <w:rPr>
          <w:rFonts w:ascii="Times New Roman" w:hAnsi="Times New Roman" w:cs="Times New Roman"/>
          <w:sz w:val="24"/>
          <w:szCs w:val="24"/>
        </w:rPr>
        <w:t xml:space="preserve">. </w:t>
      </w:r>
    </w:p>
    <w:p w14:paraId="023E1FCE" w14:textId="77777777" w:rsidR="00C1256E" w:rsidRPr="00243C46" w:rsidRDefault="00C1256E" w:rsidP="00CD3989">
      <w:pPr>
        <w:pStyle w:val="ListParagraph"/>
        <w:spacing w:line="360" w:lineRule="auto"/>
        <w:jc w:val="both"/>
        <w:rPr>
          <w:rFonts w:ascii="Times New Roman" w:hAnsi="Times New Roman" w:cs="Times New Roman"/>
          <w:b/>
          <w:sz w:val="24"/>
          <w:szCs w:val="24"/>
        </w:rPr>
      </w:pPr>
    </w:p>
    <w:p w14:paraId="2456E161"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5: Financial Accounting and Supply Chain Management System</w:t>
      </w:r>
    </w:p>
    <w:p w14:paraId="3410FAEB"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Financial Accounting and Sup</w:t>
      </w:r>
      <w:r w:rsidR="00BE5848" w:rsidRPr="00243C46">
        <w:rPr>
          <w:rFonts w:ascii="Times New Roman" w:hAnsi="Times New Roman" w:cs="Times New Roman"/>
          <w:sz w:val="24"/>
          <w:szCs w:val="24"/>
        </w:rPr>
        <w:t xml:space="preserve">ply Chain Management programme has been allocated R1,1 billion, down by R1 million from the </w:t>
      </w:r>
      <w:r w:rsidRPr="00243C46">
        <w:rPr>
          <w:rFonts w:ascii="Times New Roman" w:hAnsi="Times New Roman" w:cs="Times New Roman"/>
          <w:sz w:val="24"/>
          <w:szCs w:val="24"/>
        </w:rPr>
        <w:t>R1,2 billion for 2018/19</w:t>
      </w:r>
      <w:r w:rsidR="00BE5848" w:rsidRPr="00243C46">
        <w:rPr>
          <w:rFonts w:ascii="Times New Roman" w:hAnsi="Times New Roman" w:cs="Times New Roman"/>
          <w:sz w:val="24"/>
          <w:szCs w:val="24"/>
        </w:rPr>
        <w:t xml:space="preserve">. This programme seeks </w:t>
      </w:r>
      <w:r w:rsidRPr="00243C46">
        <w:rPr>
          <w:rFonts w:ascii="Times New Roman" w:hAnsi="Times New Roman" w:cs="Times New Roman"/>
          <w:sz w:val="24"/>
          <w:szCs w:val="24"/>
        </w:rPr>
        <w:t>to promote effective and efficient government financial management and accountability across the three spheres of government.</w:t>
      </w:r>
      <w:r w:rsidR="00BE5848" w:rsidRPr="00243C46">
        <w:rPr>
          <w:rFonts w:ascii="Times New Roman" w:hAnsi="Times New Roman" w:cs="Times New Roman"/>
          <w:sz w:val="24"/>
          <w:szCs w:val="24"/>
        </w:rPr>
        <w:t xml:space="preserve"> A major focus has been placed on improving </w:t>
      </w:r>
      <w:r w:rsidRPr="00243C46">
        <w:rPr>
          <w:rFonts w:ascii="Times New Roman" w:hAnsi="Times New Roman" w:cs="Times New Roman"/>
          <w:sz w:val="24"/>
          <w:szCs w:val="24"/>
        </w:rPr>
        <w:t xml:space="preserve">government procurement processes </w:t>
      </w:r>
      <w:r w:rsidR="00BE5848" w:rsidRPr="00243C46">
        <w:rPr>
          <w:rFonts w:ascii="Times New Roman" w:hAnsi="Times New Roman" w:cs="Times New Roman"/>
          <w:sz w:val="24"/>
          <w:szCs w:val="24"/>
        </w:rPr>
        <w:t>and identifying malpractices as a result of procurement irregularities</w:t>
      </w:r>
      <w:r w:rsidRPr="00243C46">
        <w:rPr>
          <w:rFonts w:ascii="Times New Roman" w:hAnsi="Times New Roman" w:cs="Times New Roman"/>
          <w:sz w:val="24"/>
          <w:szCs w:val="24"/>
        </w:rPr>
        <w:t>.</w:t>
      </w:r>
      <w:r w:rsidR="00BE5848" w:rsidRPr="00243C46">
        <w:rPr>
          <w:rFonts w:ascii="Times New Roman" w:hAnsi="Times New Roman" w:cs="Times New Roman"/>
          <w:sz w:val="24"/>
          <w:szCs w:val="24"/>
        </w:rPr>
        <w:t xml:space="preserve"> R668.3 million has been allocated to this over the medium-term. </w:t>
      </w:r>
    </w:p>
    <w:p w14:paraId="0A76C817" w14:textId="77777777" w:rsidR="00C1256E" w:rsidRPr="00243C46" w:rsidRDefault="00C1256E" w:rsidP="00CD3989">
      <w:pPr>
        <w:pStyle w:val="ListParagraph"/>
        <w:spacing w:line="360" w:lineRule="auto"/>
        <w:jc w:val="both"/>
        <w:rPr>
          <w:rFonts w:ascii="Times New Roman" w:hAnsi="Times New Roman" w:cs="Times New Roman"/>
          <w:b/>
          <w:sz w:val="24"/>
          <w:szCs w:val="24"/>
        </w:rPr>
      </w:pPr>
    </w:p>
    <w:p w14:paraId="09E6CF1C"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6: International Financial Relations</w:t>
      </w:r>
    </w:p>
    <w:p w14:paraId="76A413D9"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International Financial Relations</w:t>
      </w:r>
      <w:r w:rsidR="000866FC" w:rsidRPr="00243C46">
        <w:rPr>
          <w:rFonts w:ascii="Times New Roman" w:hAnsi="Times New Roman" w:cs="Times New Roman"/>
          <w:sz w:val="24"/>
          <w:szCs w:val="24"/>
        </w:rPr>
        <w:t xml:space="preserve"> will receive R5.7</w:t>
      </w:r>
      <w:r w:rsidRPr="00243C46">
        <w:rPr>
          <w:rFonts w:ascii="Times New Roman" w:hAnsi="Times New Roman" w:cs="Times New Roman"/>
          <w:sz w:val="24"/>
          <w:szCs w:val="24"/>
        </w:rPr>
        <w:t xml:space="preserve"> billion in 2019</w:t>
      </w:r>
      <w:r w:rsidR="000866FC" w:rsidRPr="00243C46">
        <w:rPr>
          <w:rFonts w:ascii="Times New Roman" w:hAnsi="Times New Roman" w:cs="Times New Roman"/>
          <w:sz w:val="24"/>
          <w:szCs w:val="24"/>
        </w:rPr>
        <w:t>/20</w:t>
      </w:r>
      <w:r w:rsidRPr="00243C46">
        <w:rPr>
          <w:rFonts w:ascii="Times New Roman" w:hAnsi="Times New Roman" w:cs="Times New Roman"/>
          <w:sz w:val="24"/>
          <w:szCs w:val="24"/>
        </w:rPr>
        <w:t xml:space="preserve">, </w:t>
      </w:r>
      <w:r w:rsidR="000866FC" w:rsidRPr="00243C46">
        <w:rPr>
          <w:rFonts w:ascii="Times New Roman" w:hAnsi="Times New Roman" w:cs="Times New Roman"/>
          <w:sz w:val="24"/>
          <w:szCs w:val="24"/>
        </w:rPr>
        <w:t>up</w:t>
      </w:r>
      <w:r w:rsidRPr="00243C46">
        <w:rPr>
          <w:rFonts w:ascii="Times New Roman" w:hAnsi="Times New Roman" w:cs="Times New Roman"/>
          <w:sz w:val="24"/>
          <w:szCs w:val="24"/>
        </w:rPr>
        <w:t xml:space="preserve"> by R</w:t>
      </w:r>
      <w:r w:rsidR="000866FC" w:rsidRPr="00243C46">
        <w:rPr>
          <w:rFonts w:ascii="Times New Roman" w:hAnsi="Times New Roman" w:cs="Times New Roman"/>
          <w:sz w:val="24"/>
          <w:szCs w:val="24"/>
        </w:rPr>
        <w:t>349</w:t>
      </w:r>
      <w:r w:rsidRPr="00243C46">
        <w:rPr>
          <w:rFonts w:ascii="Times New Roman" w:hAnsi="Times New Roman" w:cs="Times New Roman"/>
          <w:sz w:val="24"/>
          <w:szCs w:val="24"/>
        </w:rPr>
        <w:t xml:space="preserve"> million from </w:t>
      </w:r>
      <w:r w:rsidR="000866FC" w:rsidRPr="00243C46">
        <w:rPr>
          <w:rFonts w:ascii="Times New Roman" w:hAnsi="Times New Roman" w:cs="Times New Roman"/>
          <w:sz w:val="24"/>
          <w:szCs w:val="24"/>
        </w:rPr>
        <w:t>the previous year</w:t>
      </w:r>
      <w:r w:rsidRPr="00243C46">
        <w:rPr>
          <w:rFonts w:ascii="Times New Roman" w:hAnsi="Times New Roman" w:cs="Times New Roman"/>
          <w:sz w:val="24"/>
          <w:szCs w:val="24"/>
        </w:rPr>
        <w:t>. Th</w:t>
      </w:r>
      <w:r w:rsidR="000866FC" w:rsidRPr="00243C46">
        <w:rPr>
          <w:rFonts w:ascii="Times New Roman" w:hAnsi="Times New Roman" w:cs="Times New Roman"/>
          <w:sz w:val="24"/>
          <w:szCs w:val="24"/>
        </w:rPr>
        <w:t>e</w:t>
      </w:r>
      <w:r w:rsidRPr="00243C46">
        <w:rPr>
          <w:rFonts w:ascii="Times New Roman" w:hAnsi="Times New Roman" w:cs="Times New Roman"/>
          <w:sz w:val="24"/>
          <w:szCs w:val="24"/>
        </w:rPr>
        <w:t xml:space="preserve"> programme’s mandate is to manage South </w:t>
      </w:r>
      <w:r w:rsidRPr="00243C46">
        <w:rPr>
          <w:rFonts w:ascii="Times New Roman" w:hAnsi="Times New Roman" w:cs="Times New Roman"/>
          <w:sz w:val="24"/>
          <w:szCs w:val="24"/>
        </w:rPr>
        <w:lastRenderedPageBreak/>
        <w:t>Africa’s interests in shaping regional and global policies that advance the economic, financial and development objectives of the country and the African continent.</w:t>
      </w:r>
    </w:p>
    <w:p w14:paraId="0F9A7242" w14:textId="77777777" w:rsidR="00C1256E" w:rsidRPr="00243C46" w:rsidRDefault="000866FC"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eastAsia="MS Mincho" w:hAnsi="Times New Roman" w:cs="Times New Roman"/>
          <w:sz w:val="24"/>
          <w:szCs w:val="24"/>
          <w:lang w:val="en-US"/>
        </w:rPr>
        <w:t>As at</w:t>
      </w:r>
      <w:r w:rsidR="00BE5848" w:rsidRPr="00243C46">
        <w:rPr>
          <w:rFonts w:ascii="Times New Roman" w:eastAsia="MS Mincho" w:hAnsi="Times New Roman" w:cs="Times New Roman"/>
          <w:sz w:val="24"/>
          <w:szCs w:val="24"/>
          <w:lang w:val="en-US"/>
        </w:rPr>
        <w:t xml:space="preserve"> 2018/19, </w:t>
      </w:r>
      <w:r w:rsidRPr="00243C46">
        <w:rPr>
          <w:rFonts w:ascii="Times New Roman" w:eastAsia="MS Mincho" w:hAnsi="Times New Roman" w:cs="Times New Roman"/>
          <w:sz w:val="24"/>
          <w:szCs w:val="24"/>
          <w:lang w:val="en-US"/>
        </w:rPr>
        <w:t xml:space="preserve">through this programme, </w:t>
      </w:r>
      <w:r w:rsidR="00BE5848" w:rsidRPr="00243C46">
        <w:rPr>
          <w:rFonts w:ascii="Times New Roman" w:eastAsia="MS Mincho" w:hAnsi="Times New Roman" w:cs="Times New Roman"/>
          <w:sz w:val="24"/>
          <w:szCs w:val="24"/>
          <w:lang w:val="en-US"/>
        </w:rPr>
        <w:t xml:space="preserve">South Africa </w:t>
      </w:r>
      <w:r w:rsidRPr="00243C46">
        <w:rPr>
          <w:rFonts w:ascii="Times New Roman" w:eastAsia="MS Mincho" w:hAnsi="Times New Roman" w:cs="Times New Roman"/>
          <w:sz w:val="24"/>
          <w:szCs w:val="24"/>
          <w:lang w:val="en-US"/>
        </w:rPr>
        <w:t xml:space="preserve">has </w:t>
      </w:r>
      <w:r w:rsidR="00BE5848" w:rsidRPr="00243C46">
        <w:rPr>
          <w:rFonts w:ascii="Times New Roman" w:eastAsia="MS Mincho" w:hAnsi="Times New Roman" w:cs="Times New Roman"/>
          <w:sz w:val="24"/>
          <w:szCs w:val="24"/>
          <w:lang w:val="en-US"/>
        </w:rPr>
        <w:t xml:space="preserve">made capital contributions to the New Development Bank amounting to R14.1 billion since it was established in 2014. Over the medium term, </w:t>
      </w:r>
      <w:r w:rsidRPr="00243C46">
        <w:rPr>
          <w:rFonts w:ascii="Times New Roman" w:eastAsia="MS Mincho" w:hAnsi="Times New Roman" w:cs="Times New Roman"/>
          <w:sz w:val="24"/>
          <w:szCs w:val="24"/>
          <w:lang w:val="en-US"/>
        </w:rPr>
        <w:t xml:space="preserve">NT </w:t>
      </w:r>
      <w:r w:rsidR="00BE5848" w:rsidRPr="00243C46">
        <w:rPr>
          <w:rFonts w:ascii="Times New Roman" w:eastAsia="MS Mincho" w:hAnsi="Times New Roman" w:cs="Times New Roman"/>
          <w:sz w:val="24"/>
          <w:szCs w:val="24"/>
          <w:lang w:val="en-US"/>
        </w:rPr>
        <w:t>expects to make further capital contributions amounting to R13.5 billion</w:t>
      </w:r>
      <w:r w:rsidRPr="00243C46">
        <w:rPr>
          <w:rFonts w:ascii="Times New Roman" w:eastAsia="MS Mincho" w:hAnsi="Times New Roman" w:cs="Times New Roman"/>
          <w:sz w:val="24"/>
          <w:szCs w:val="24"/>
          <w:lang w:val="en-US"/>
        </w:rPr>
        <w:t>.</w:t>
      </w:r>
    </w:p>
    <w:p w14:paraId="331DFC5C" w14:textId="77777777" w:rsidR="00C1256E" w:rsidRPr="00243C46" w:rsidRDefault="00C1256E" w:rsidP="00CD3989">
      <w:pPr>
        <w:pStyle w:val="ListParagraph"/>
        <w:spacing w:line="360" w:lineRule="auto"/>
        <w:jc w:val="both"/>
        <w:rPr>
          <w:rFonts w:ascii="Times New Roman" w:hAnsi="Times New Roman" w:cs="Times New Roman"/>
          <w:b/>
          <w:sz w:val="24"/>
          <w:szCs w:val="24"/>
        </w:rPr>
      </w:pPr>
    </w:p>
    <w:p w14:paraId="2067199C"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Programme 7: Civil and Military Pensions, Contribution to Funds and Other Benefits</w:t>
      </w:r>
    </w:p>
    <w:p w14:paraId="2E4E3463"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mandate of this programme is to ensure that government’s pension and post-retirement medical benefit obligations to former employees of the state and retired military members are fulfilled</w:t>
      </w:r>
      <w:r w:rsidR="001A2DDD" w:rsidRPr="00243C46">
        <w:rPr>
          <w:rFonts w:ascii="Times New Roman" w:hAnsi="Times New Roman" w:cs="Times New Roman"/>
          <w:sz w:val="24"/>
          <w:szCs w:val="24"/>
        </w:rPr>
        <w:t>. Its allocation amounts to R5.5 billion in 20</w:t>
      </w:r>
      <w:r w:rsidRPr="00243C46">
        <w:rPr>
          <w:rFonts w:ascii="Times New Roman" w:hAnsi="Times New Roman" w:cs="Times New Roman"/>
          <w:sz w:val="24"/>
          <w:szCs w:val="24"/>
        </w:rPr>
        <w:t>19</w:t>
      </w:r>
      <w:r w:rsidR="001A2DDD" w:rsidRPr="00243C46">
        <w:rPr>
          <w:rFonts w:ascii="Times New Roman" w:hAnsi="Times New Roman" w:cs="Times New Roman"/>
          <w:sz w:val="24"/>
          <w:szCs w:val="24"/>
        </w:rPr>
        <w:t>/20</w:t>
      </w:r>
      <w:r w:rsidRPr="00243C46">
        <w:rPr>
          <w:rFonts w:ascii="Times New Roman" w:hAnsi="Times New Roman" w:cs="Times New Roman"/>
          <w:sz w:val="24"/>
          <w:szCs w:val="24"/>
        </w:rPr>
        <w:t>, up by R</w:t>
      </w:r>
      <w:r w:rsidR="001A2DDD" w:rsidRPr="00243C46">
        <w:rPr>
          <w:rFonts w:ascii="Times New Roman" w:hAnsi="Times New Roman" w:cs="Times New Roman"/>
          <w:sz w:val="24"/>
          <w:szCs w:val="24"/>
        </w:rPr>
        <w:t xml:space="preserve">411 </w:t>
      </w:r>
      <w:r w:rsidRPr="00243C46">
        <w:rPr>
          <w:rFonts w:ascii="Times New Roman" w:hAnsi="Times New Roman" w:cs="Times New Roman"/>
          <w:sz w:val="24"/>
          <w:szCs w:val="24"/>
        </w:rPr>
        <w:t xml:space="preserve">million </w:t>
      </w:r>
      <w:r w:rsidR="001A2DDD" w:rsidRPr="00243C46">
        <w:rPr>
          <w:rFonts w:ascii="Times New Roman" w:hAnsi="Times New Roman" w:cs="Times New Roman"/>
          <w:sz w:val="24"/>
          <w:szCs w:val="24"/>
        </w:rPr>
        <w:t xml:space="preserve">from </w:t>
      </w:r>
      <w:r w:rsidRPr="00243C46">
        <w:rPr>
          <w:rFonts w:ascii="Times New Roman" w:hAnsi="Times New Roman" w:cs="Times New Roman"/>
          <w:sz w:val="24"/>
          <w:szCs w:val="24"/>
        </w:rPr>
        <w:t>the previous year.</w:t>
      </w:r>
    </w:p>
    <w:p w14:paraId="093C9515" w14:textId="77777777" w:rsidR="00C1256E" w:rsidRPr="00243C46" w:rsidRDefault="00C1256E" w:rsidP="00CD3989">
      <w:pPr>
        <w:pStyle w:val="ListParagraph"/>
        <w:spacing w:line="360" w:lineRule="auto"/>
        <w:jc w:val="both"/>
        <w:rPr>
          <w:rFonts w:ascii="Times New Roman" w:hAnsi="Times New Roman" w:cs="Times New Roman"/>
          <w:sz w:val="24"/>
          <w:szCs w:val="24"/>
        </w:rPr>
      </w:pPr>
    </w:p>
    <w:p w14:paraId="742FF54E"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b/>
          <w:sz w:val="24"/>
          <w:szCs w:val="24"/>
        </w:rPr>
        <w:t>Programme 8: Technical Support and Development Finance</w:t>
      </w:r>
    </w:p>
    <w:p w14:paraId="6EE2B7C1"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This programme is responsible for providing advisory services, programme management and development finance support to improve public finance management, as well as support high-impact government initiatives. It is also responsible for facilitating employment creation and strengthening infrastructure planning and delivery across the three spheres of government.</w:t>
      </w:r>
      <w:r w:rsidR="001A2DDD" w:rsidRPr="00243C46">
        <w:rPr>
          <w:rFonts w:ascii="Times New Roman" w:hAnsi="Times New Roman" w:cs="Times New Roman"/>
          <w:sz w:val="24"/>
          <w:szCs w:val="24"/>
        </w:rPr>
        <w:t xml:space="preserve"> The programme is allocated R2.7</w:t>
      </w:r>
      <w:r w:rsidRPr="00243C46">
        <w:rPr>
          <w:rFonts w:ascii="Times New Roman" w:hAnsi="Times New Roman" w:cs="Times New Roman"/>
          <w:sz w:val="24"/>
          <w:szCs w:val="24"/>
        </w:rPr>
        <w:t xml:space="preserve"> b</w:t>
      </w:r>
      <w:r w:rsidR="001A2DDD" w:rsidRPr="00243C46">
        <w:rPr>
          <w:rFonts w:ascii="Times New Roman" w:hAnsi="Times New Roman" w:cs="Times New Roman"/>
          <w:sz w:val="24"/>
          <w:szCs w:val="24"/>
        </w:rPr>
        <w:t>illion for 20</w:t>
      </w:r>
      <w:r w:rsidRPr="00243C46">
        <w:rPr>
          <w:rFonts w:ascii="Times New Roman" w:hAnsi="Times New Roman" w:cs="Times New Roman"/>
          <w:sz w:val="24"/>
          <w:szCs w:val="24"/>
        </w:rPr>
        <w:t>19</w:t>
      </w:r>
      <w:r w:rsidR="001A2DDD" w:rsidRPr="00243C46">
        <w:rPr>
          <w:rFonts w:ascii="Times New Roman" w:hAnsi="Times New Roman" w:cs="Times New Roman"/>
          <w:sz w:val="24"/>
          <w:szCs w:val="24"/>
        </w:rPr>
        <w:t>/20</w:t>
      </w:r>
      <w:r w:rsidRPr="00243C46">
        <w:rPr>
          <w:rFonts w:ascii="Times New Roman" w:hAnsi="Times New Roman" w:cs="Times New Roman"/>
          <w:sz w:val="24"/>
          <w:szCs w:val="24"/>
        </w:rPr>
        <w:t>, down by R</w:t>
      </w:r>
      <w:r w:rsidR="001A2DDD" w:rsidRPr="00243C46">
        <w:rPr>
          <w:rFonts w:ascii="Times New Roman" w:hAnsi="Times New Roman" w:cs="Times New Roman"/>
          <w:sz w:val="24"/>
          <w:szCs w:val="24"/>
        </w:rPr>
        <w:t>61</w:t>
      </w:r>
      <w:r w:rsidRPr="00243C46">
        <w:rPr>
          <w:rFonts w:ascii="Times New Roman" w:hAnsi="Times New Roman" w:cs="Times New Roman"/>
          <w:sz w:val="24"/>
          <w:szCs w:val="24"/>
        </w:rPr>
        <w:t xml:space="preserve"> million </w:t>
      </w:r>
      <w:r w:rsidR="001A2DDD" w:rsidRPr="00243C46">
        <w:rPr>
          <w:rFonts w:ascii="Times New Roman" w:hAnsi="Times New Roman" w:cs="Times New Roman"/>
          <w:sz w:val="24"/>
          <w:szCs w:val="24"/>
        </w:rPr>
        <w:t>in 2018/19</w:t>
      </w:r>
      <w:r w:rsidRPr="00243C46">
        <w:rPr>
          <w:rFonts w:ascii="Times New Roman" w:hAnsi="Times New Roman" w:cs="Times New Roman"/>
          <w:sz w:val="24"/>
          <w:szCs w:val="24"/>
        </w:rPr>
        <w:t xml:space="preserve">. </w:t>
      </w:r>
    </w:p>
    <w:p w14:paraId="0AB06239" w14:textId="77777777" w:rsidR="00C1256E" w:rsidRPr="00243C46" w:rsidRDefault="00C1256E" w:rsidP="00CD3989">
      <w:pPr>
        <w:pStyle w:val="ListParagraph"/>
        <w:spacing w:line="360" w:lineRule="auto"/>
        <w:jc w:val="both"/>
        <w:rPr>
          <w:rFonts w:ascii="Times New Roman" w:hAnsi="Times New Roman" w:cs="Times New Roman"/>
          <w:sz w:val="24"/>
          <w:szCs w:val="24"/>
        </w:rPr>
      </w:pPr>
    </w:p>
    <w:p w14:paraId="2BB4E8F8"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b/>
          <w:sz w:val="24"/>
          <w:szCs w:val="24"/>
        </w:rPr>
        <w:t>Programme 9: Revenue Administration</w:t>
      </w:r>
    </w:p>
    <w:p w14:paraId="565A37C7"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Revenue Administration programme receives an allocation of R9.</w:t>
      </w:r>
      <w:r w:rsidR="002436E4" w:rsidRPr="00243C46">
        <w:rPr>
          <w:rFonts w:ascii="Times New Roman" w:hAnsi="Times New Roman" w:cs="Times New Roman"/>
          <w:sz w:val="24"/>
          <w:szCs w:val="24"/>
        </w:rPr>
        <w:t>5</w:t>
      </w:r>
      <w:r w:rsidRPr="00243C46">
        <w:rPr>
          <w:rFonts w:ascii="Times New Roman" w:hAnsi="Times New Roman" w:cs="Times New Roman"/>
          <w:sz w:val="24"/>
          <w:szCs w:val="24"/>
        </w:rPr>
        <w:t xml:space="preserve"> billion in 2019</w:t>
      </w:r>
      <w:r w:rsidR="002436E4" w:rsidRPr="00243C46">
        <w:rPr>
          <w:rFonts w:ascii="Times New Roman" w:hAnsi="Times New Roman" w:cs="Times New Roman"/>
          <w:sz w:val="24"/>
          <w:szCs w:val="24"/>
        </w:rPr>
        <w:t>/20</w:t>
      </w:r>
      <w:r w:rsidRPr="00243C46">
        <w:rPr>
          <w:rFonts w:ascii="Times New Roman" w:hAnsi="Times New Roman" w:cs="Times New Roman"/>
          <w:sz w:val="24"/>
          <w:szCs w:val="24"/>
        </w:rPr>
        <w:t xml:space="preserve">, </w:t>
      </w:r>
      <w:r w:rsidR="002436E4" w:rsidRPr="00243C46">
        <w:rPr>
          <w:rFonts w:ascii="Times New Roman" w:hAnsi="Times New Roman" w:cs="Times New Roman"/>
          <w:sz w:val="24"/>
          <w:szCs w:val="24"/>
        </w:rPr>
        <w:t xml:space="preserve">up by </w:t>
      </w:r>
      <w:r w:rsidRPr="00243C46">
        <w:rPr>
          <w:rFonts w:ascii="Times New Roman" w:hAnsi="Times New Roman" w:cs="Times New Roman"/>
          <w:sz w:val="24"/>
          <w:szCs w:val="24"/>
        </w:rPr>
        <w:t>R</w:t>
      </w:r>
      <w:r w:rsidR="002436E4" w:rsidRPr="00243C46">
        <w:rPr>
          <w:rFonts w:ascii="Times New Roman" w:hAnsi="Times New Roman" w:cs="Times New Roman"/>
          <w:sz w:val="24"/>
          <w:szCs w:val="24"/>
        </w:rPr>
        <w:t>552 million</w:t>
      </w:r>
      <w:r w:rsidRPr="00243C46">
        <w:rPr>
          <w:rFonts w:ascii="Times New Roman" w:hAnsi="Times New Roman" w:cs="Times New Roman"/>
          <w:sz w:val="24"/>
          <w:szCs w:val="24"/>
        </w:rPr>
        <w:t xml:space="preserve"> from R</w:t>
      </w:r>
      <w:r w:rsidR="002436E4" w:rsidRPr="00243C46">
        <w:rPr>
          <w:rFonts w:ascii="Times New Roman" w:hAnsi="Times New Roman" w:cs="Times New Roman"/>
          <w:sz w:val="24"/>
          <w:szCs w:val="24"/>
        </w:rPr>
        <w:t>9</w:t>
      </w:r>
      <w:r w:rsidRPr="00243C46">
        <w:rPr>
          <w:rFonts w:ascii="Times New Roman" w:hAnsi="Times New Roman" w:cs="Times New Roman"/>
          <w:sz w:val="24"/>
          <w:szCs w:val="24"/>
        </w:rPr>
        <w:t xml:space="preserve"> billion in 2017/18. The budget allocation is a transfer payment to the South African Revenue Service, which is responsible </w:t>
      </w:r>
      <w:r w:rsidR="002436E4" w:rsidRPr="00243C46">
        <w:rPr>
          <w:rFonts w:ascii="Times New Roman" w:hAnsi="Times New Roman" w:cs="Times New Roman"/>
          <w:sz w:val="24"/>
          <w:szCs w:val="24"/>
        </w:rPr>
        <w:t>for administering the country’s revenue system</w:t>
      </w:r>
      <w:r w:rsidRPr="00243C46">
        <w:rPr>
          <w:rFonts w:ascii="Times New Roman" w:hAnsi="Times New Roman" w:cs="Times New Roman"/>
          <w:sz w:val="24"/>
          <w:szCs w:val="24"/>
        </w:rPr>
        <w:t>.</w:t>
      </w:r>
    </w:p>
    <w:p w14:paraId="5E1AA449" w14:textId="77777777" w:rsidR="00C1256E" w:rsidRPr="00243C46" w:rsidRDefault="00C1256E" w:rsidP="00CD3989">
      <w:pPr>
        <w:pStyle w:val="ListParagraph"/>
        <w:spacing w:line="360" w:lineRule="auto"/>
        <w:jc w:val="both"/>
        <w:rPr>
          <w:rFonts w:ascii="Times New Roman" w:hAnsi="Times New Roman" w:cs="Times New Roman"/>
          <w:sz w:val="24"/>
          <w:szCs w:val="24"/>
        </w:rPr>
      </w:pPr>
    </w:p>
    <w:p w14:paraId="3F1D59F0"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b/>
          <w:sz w:val="24"/>
          <w:szCs w:val="24"/>
        </w:rPr>
        <w:t>Programme 10: Financial Intelligence and State Security</w:t>
      </w:r>
    </w:p>
    <w:p w14:paraId="641028B9" w14:textId="77777777" w:rsidR="00C1256E" w:rsidRPr="00243C46" w:rsidRDefault="009944E3" w:rsidP="00CD3989">
      <w:pPr>
        <w:pStyle w:val="ListParagraph"/>
        <w:numPr>
          <w:ilvl w:val="2"/>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Financial Intelligence</w:t>
      </w:r>
      <w:r w:rsidR="002436E4" w:rsidRPr="00243C46">
        <w:rPr>
          <w:rFonts w:ascii="Times New Roman" w:hAnsi="Times New Roman" w:cs="Times New Roman"/>
          <w:sz w:val="24"/>
          <w:szCs w:val="24"/>
        </w:rPr>
        <w:t xml:space="preserve"> and State Security </w:t>
      </w:r>
      <w:r w:rsidRPr="00243C46">
        <w:rPr>
          <w:rFonts w:ascii="Times New Roman" w:hAnsi="Times New Roman" w:cs="Times New Roman"/>
          <w:sz w:val="24"/>
          <w:szCs w:val="24"/>
        </w:rPr>
        <w:t xml:space="preserve">comprises transfers to the Financial Intelligence Centre to combat financial crimes, including money laundering and </w:t>
      </w:r>
      <w:r w:rsidR="002436E4" w:rsidRPr="00243C46">
        <w:rPr>
          <w:rFonts w:ascii="Times New Roman" w:hAnsi="Times New Roman" w:cs="Times New Roman"/>
          <w:sz w:val="24"/>
          <w:szCs w:val="24"/>
        </w:rPr>
        <w:t>terrorism-financing activities. The 20</w:t>
      </w:r>
      <w:r w:rsidRPr="00243C46">
        <w:rPr>
          <w:rFonts w:ascii="Times New Roman" w:hAnsi="Times New Roman" w:cs="Times New Roman"/>
          <w:sz w:val="24"/>
          <w:szCs w:val="24"/>
        </w:rPr>
        <w:t>19</w:t>
      </w:r>
      <w:r w:rsidR="002436E4" w:rsidRPr="00243C46">
        <w:rPr>
          <w:rFonts w:ascii="Times New Roman" w:hAnsi="Times New Roman" w:cs="Times New Roman"/>
          <w:sz w:val="24"/>
          <w:szCs w:val="24"/>
        </w:rPr>
        <w:t>/20</w:t>
      </w:r>
      <w:r w:rsidRPr="00243C46">
        <w:rPr>
          <w:rFonts w:ascii="Times New Roman" w:hAnsi="Times New Roman" w:cs="Times New Roman"/>
          <w:sz w:val="24"/>
          <w:szCs w:val="24"/>
        </w:rPr>
        <w:t xml:space="preserve"> allocation for the Financial Intelligence Centre and the South African Secret Services is R4.</w:t>
      </w:r>
      <w:r w:rsidR="002436E4" w:rsidRPr="00243C46">
        <w:rPr>
          <w:rFonts w:ascii="Times New Roman" w:hAnsi="Times New Roman" w:cs="Times New Roman"/>
          <w:sz w:val="24"/>
          <w:szCs w:val="24"/>
        </w:rPr>
        <w:t>9</w:t>
      </w:r>
      <w:r w:rsidRPr="00243C46">
        <w:rPr>
          <w:rFonts w:ascii="Times New Roman" w:hAnsi="Times New Roman" w:cs="Times New Roman"/>
          <w:sz w:val="24"/>
          <w:szCs w:val="24"/>
        </w:rPr>
        <w:t xml:space="preserve"> billion.</w:t>
      </w:r>
      <w:r w:rsidRPr="00243C46">
        <w:rPr>
          <w:rFonts w:ascii="Times New Roman" w:hAnsi="Times New Roman" w:cs="Times New Roman"/>
          <w:sz w:val="24"/>
          <w:szCs w:val="24"/>
        </w:rPr>
        <w:tab/>
      </w:r>
    </w:p>
    <w:p w14:paraId="5AF7278F" w14:textId="77777777" w:rsidR="00C1256E" w:rsidRPr="00243C46" w:rsidRDefault="00C1256E" w:rsidP="00CD3989">
      <w:pPr>
        <w:pStyle w:val="ListParagraph"/>
        <w:spacing w:line="360" w:lineRule="auto"/>
        <w:jc w:val="both"/>
        <w:rPr>
          <w:rFonts w:ascii="Times New Roman" w:hAnsi="Times New Roman" w:cs="Times New Roman"/>
          <w:sz w:val="24"/>
          <w:szCs w:val="24"/>
        </w:rPr>
      </w:pPr>
    </w:p>
    <w:p w14:paraId="56B5776F" w14:textId="77777777" w:rsidR="00C1256E" w:rsidRPr="00243C46" w:rsidRDefault="00C1256E" w:rsidP="00CD3989">
      <w:pPr>
        <w:pStyle w:val="ListParagraph"/>
        <w:numPr>
          <w:ilvl w:val="0"/>
          <w:numId w:val="1"/>
        </w:numPr>
        <w:spacing w:line="360" w:lineRule="auto"/>
        <w:jc w:val="both"/>
        <w:rPr>
          <w:rFonts w:ascii="Times New Roman" w:hAnsi="Times New Roman" w:cs="Times New Roman"/>
          <w:sz w:val="24"/>
          <w:szCs w:val="24"/>
        </w:rPr>
      </w:pPr>
      <w:r w:rsidRPr="00243C46">
        <w:rPr>
          <w:rFonts w:ascii="Times New Roman" w:hAnsi="Times New Roman" w:cs="Times New Roman"/>
          <w:b/>
          <w:sz w:val="24"/>
          <w:szCs w:val="24"/>
        </w:rPr>
        <w:lastRenderedPageBreak/>
        <w:t>OVERVIEW OF SARS</w:t>
      </w:r>
      <w:r w:rsidR="00EE03E4" w:rsidRPr="00243C46">
        <w:rPr>
          <w:rFonts w:ascii="Times New Roman" w:hAnsi="Times New Roman" w:cs="Times New Roman"/>
          <w:b/>
          <w:sz w:val="24"/>
          <w:szCs w:val="24"/>
        </w:rPr>
        <w:t>’</w:t>
      </w:r>
      <w:r w:rsidRPr="00243C46">
        <w:rPr>
          <w:rFonts w:ascii="Times New Roman" w:hAnsi="Times New Roman" w:cs="Times New Roman"/>
          <w:b/>
          <w:sz w:val="24"/>
          <w:szCs w:val="24"/>
        </w:rPr>
        <w:t xml:space="preserve"> PROGRAMMES</w:t>
      </w:r>
    </w:p>
    <w:p w14:paraId="0AB3B90A"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 xml:space="preserve">SARS will focus on resolving significant taxpayer disputes, the illicit economy, border management and rebuilding its leadership and organisation. The revenue collection estimate for 2019/20 is R1,422 trillion. The largest sources of this revenue collection estimate, about 80 per cent, remain Personal Income Tax, Corporate Income Tax and, Value Added Tax. </w:t>
      </w:r>
    </w:p>
    <w:p w14:paraId="2BCE74B3"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 xml:space="preserve">SARS seeks to achieve five key outcomes, namely; Outcome 1: Increased customs and excise compliance, </w:t>
      </w:r>
      <w:r w:rsidR="00EE03E4" w:rsidRPr="00243C46">
        <w:rPr>
          <w:rFonts w:ascii="Times New Roman" w:hAnsi="Times New Roman" w:cs="Times New Roman"/>
          <w:sz w:val="24"/>
          <w:szCs w:val="24"/>
        </w:rPr>
        <w:t xml:space="preserve">Outcome </w:t>
      </w:r>
      <w:r w:rsidRPr="00243C46">
        <w:rPr>
          <w:rFonts w:ascii="Times New Roman" w:hAnsi="Times New Roman" w:cs="Times New Roman"/>
          <w:sz w:val="24"/>
          <w:szCs w:val="24"/>
        </w:rPr>
        <w:t xml:space="preserve">2. Increased tax compliance, </w:t>
      </w:r>
      <w:r w:rsidR="00EE03E4" w:rsidRPr="00243C46">
        <w:rPr>
          <w:rFonts w:ascii="Times New Roman" w:hAnsi="Times New Roman" w:cs="Times New Roman"/>
          <w:sz w:val="24"/>
          <w:szCs w:val="24"/>
        </w:rPr>
        <w:t xml:space="preserve">Outcome </w:t>
      </w:r>
      <w:r w:rsidRPr="00243C46">
        <w:rPr>
          <w:rFonts w:ascii="Times New Roman" w:hAnsi="Times New Roman" w:cs="Times New Roman"/>
          <w:sz w:val="24"/>
          <w:szCs w:val="24"/>
        </w:rPr>
        <w:t xml:space="preserve">3. Increased ease and fairness in doing business with SARS, </w:t>
      </w:r>
      <w:r w:rsidR="00EE03E4" w:rsidRPr="00243C46">
        <w:rPr>
          <w:rFonts w:ascii="Times New Roman" w:hAnsi="Times New Roman" w:cs="Times New Roman"/>
          <w:sz w:val="24"/>
          <w:szCs w:val="24"/>
        </w:rPr>
        <w:t xml:space="preserve">Outcome </w:t>
      </w:r>
      <w:r w:rsidRPr="00243C46">
        <w:rPr>
          <w:rFonts w:ascii="Times New Roman" w:hAnsi="Times New Roman" w:cs="Times New Roman"/>
          <w:sz w:val="24"/>
          <w:szCs w:val="24"/>
        </w:rPr>
        <w:t xml:space="preserve">4. Increased cost-effectiveness and internal efficiencies and, </w:t>
      </w:r>
      <w:r w:rsidR="00EE03E4" w:rsidRPr="00243C46">
        <w:rPr>
          <w:rFonts w:ascii="Times New Roman" w:hAnsi="Times New Roman" w:cs="Times New Roman"/>
          <w:sz w:val="24"/>
          <w:szCs w:val="24"/>
        </w:rPr>
        <w:t xml:space="preserve">Outcome </w:t>
      </w:r>
      <w:r w:rsidRPr="00243C46">
        <w:rPr>
          <w:rFonts w:ascii="Times New Roman" w:hAnsi="Times New Roman" w:cs="Times New Roman"/>
          <w:sz w:val="24"/>
          <w:szCs w:val="24"/>
        </w:rPr>
        <w:t xml:space="preserve">5. Increased public trust and credibility. A number of measures/targets have been set </w:t>
      </w:r>
      <w:r w:rsidR="002E7C8C" w:rsidRPr="00243C46">
        <w:rPr>
          <w:rFonts w:ascii="Times New Roman" w:hAnsi="Times New Roman" w:cs="Times New Roman"/>
          <w:sz w:val="24"/>
          <w:szCs w:val="24"/>
        </w:rPr>
        <w:t xml:space="preserve">for the 2019/20 </w:t>
      </w:r>
      <w:r w:rsidR="00EE03E4" w:rsidRPr="00243C46">
        <w:rPr>
          <w:rFonts w:ascii="Times New Roman" w:hAnsi="Times New Roman" w:cs="Times New Roman"/>
          <w:sz w:val="24"/>
          <w:szCs w:val="24"/>
        </w:rPr>
        <w:t xml:space="preserve">MTEF </w:t>
      </w:r>
      <w:r w:rsidR="002E7C8C" w:rsidRPr="00243C46">
        <w:rPr>
          <w:rFonts w:ascii="Times New Roman" w:hAnsi="Times New Roman" w:cs="Times New Roman"/>
          <w:sz w:val="24"/>
          <w:szCs w:val="24"/>
        </w:rPr>
        <w:t>to achieve</w:t>
      </w:r>
      <w:r w:rsidRPr="00243C46">
        <w:rPr>
          <w:rFonts w:ascii="Times New Roman" w:hAnsi="Times New Roman" w:cs="Times New Roman"/>
          <w:sz w:val="24"/>
          <w:szCs w:val="24"/>
        </w:rPr>
        <w:t xml:space="preserve"> these five outcomes. </w:t>
      </w:r>
    </w:p>
    <w:p w14:paraId="2A5FB61E" w14:textId="77777777" w:rsidR="00C1256E" w:rsidRPr="00243C46" w:rsidRDefault="00C1256E" w:rsidP="00CD3989">
      <w:pPr>
        <w:spacing w:line="360" w:lineRule="auto"/>
        <w:jc w:val="both"/>
        <w:rPr>
          <w:rFonts w:ascii="Times New Roman" w:hAnsi="Times New Roman"/>
          <w:b/>
        </w:rPr>
      </w:pPr>
    </w:p>
    <w:p w14:paraId="34DA747E" w14:textId="77777777" w:rsidR="008669F8" w:rsidRPr="00243C46" w:rsidRDefault="004B6397" w:rsidP="00CD3989">
      <w:pPr>
        <w:pStyle w:val="ListParagraph"/>
        <w:numPr>
          <w:ilvl w:val="0"/>
          <w:numId w:val="1"/>
        </w:numPr>
        <w:spacing w:line="360" w:lineRule="auto"/>
        <w:jc w:val="both"/>
        <w:rPr>
          <w:rFonts w:ascii="Times New Roman" w:hAnsi="Times New Roman" w:cs="Times New Roman"/>
          <w:b/>
          <w:sz w:val="24"/>
          <w:szCs w:val="24"/>
        </w:rPr>
      </w:pPr>
      <w:r w:rsidRPr="00243C46">
        <w:rPr>
          <w:rFonts w:ascii="Times New Roman" w:hAnsi="Times New Roman" w:cs="Times New Roman"/>
          <w:b/>
          <w:sz w:val="24"/>
          <w:szCs w:val="24"/>
        </w:rPr>
        <w:t>OBSERVATIONS AND RECOMMENDATION</w:t>
      </w:r>
      <w:r w:rsidR="002E7C8C" w:rsidRPr="00243C46">
        <w:rPr>
          <w:rFonts w:ascii="Times New Roman" w:hAnsi="Times New Roman" w:cs="Times New Roman"/>
          <w:b/>
          <w:sz w:val="24"/>
          <w:szCs w:val="24"/>
        </w:rPr>
        <w:t>S</w:t>
      </w:r>
    </w:p>
    <w:p w14:paraId="3BB3C636"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color w:val="000000" w:themeColor="text1"/>
          <w:sz w:val="24"/>
          <w:szCs w:val="24"/>
        </w:rPr>
        <w:t>The Committee welcomes the reappointment of Minister Mboweni and the appointment of the new Deputy Minister, Dr. David Masondo, and wishes them well</w:t>
      </w:r>
      <w:r w:rsidR="002E7C8C" w:rsidRPr="00243C46">
        <w:rPr>
          <w:rFonts w:ascii="Times New Roman" w:hAnsi="Times New Roman" w:cs="Times New Roman"/>
          <w:color w:val="000000" w:themeColor="text1"/>
          <w:sz w:val="24"/>
          <w:szCs w:val="24"/>
        </w:rPr>
        <w:t xml:space="preserve"> in their work</w:t>
      </w:r>
      <w:r w:rsidRPr="00243C46">
        <w:rPr>
          <w:rFonts w:ascii="Times New Roman" w:hAnsi="Times New Roman" w:cs="Times New Roman"/>
          <w:color w:val="000000" w:themeColor="text1"/>
          <w:sz w:val="24"/>
          <w:szCs w:val="24"/>
        </w:rPr>
        <w:t xml:space="preserve">. </w:t>
      </w:r>
    </w:p>
    <w:p w14:paraId="7AC7E78C" w14:textId="77777777" w:rsidR="002E7C8C" w:rsidRPr="00243C46" w:rsidRDefault="008669F8"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sz w:val="24"/>
          <w:szCs w:val="24"/>
        </w:rPr>
        <w:t>T</w:t>
      </w:r>
      <w:r w:rsidR="009944E3" w:rsidRPr="00243C46">
        <w:rPr>
          <w:rFonts w:ascii="Times New Roman" w:hAnsi="Times New Roman" w:cs="Times New Roman"/>
          <w:sz w:val="24"/>
          <w:szCs w:val="24"/>
        </w:rPr>
        <w:t>he Co</w:t>
      </w:r>
      <w:r w:rsidR="004B6397" w:rsidRPr="00243C46">
        <w:rPr>
          <w:rFonts w:ascii="Times New Roman" w:hAnsi="Times New Roman" w:cs="Times New Roman"/>
          <w:sz w:val="24"/>
          <w:szCs w:val="24"/>
        </w:rPr>
        <w:t>mmittee will</w:t>
      </w:r>
      <w:r w:rsidR="00C1256E" w:rsidRPr="00243C46">
        <w:rPr>
          <w:rFonts w:ascii="Times New Roman" w:hAnsi="Times New Roman" w:cs="Times New Roman"/>
          <w:sz w:val="24"/>
          <w:szCs w:val="24"/>
        </w:rPr>
        <w:t>,</w:t>
      </w:r>
      <w:r w:rsidR="004B6397" w:rsidRPr="00243C46">
        <w:rPr>
          <w:rFonts w:ascii="Times New Roman" w:hAnsi="Times New Roman" w:cs="Times New Roman"/>
          <w:sz w:val="24"/>
          <w:szCs w:val="24"/>
        </w:rPr>
        <w:t xml:space="preserve"> in the coming two weeks</w:t>
      </w:r>
      <w:r w:rsidR="00C1256E" w:rsidRPr="00243C46">
        <w:rPr>
          <w:rFonts w:ascii="Times New Roman" w:hAnsi="Times New Roman" w:cs="Times New Roman"/>
          <w:sz w:val="24"/>
          <w:szCs w:val="24"/>
        </w:rPr>
        <w:t>,</w:t>
      </w:r>
      <w:r w:rsidR="004B6397" w:rsidRPr="00243C46">
        <w:rPr>
          <w:rFonts w:ascii="Times New Roman" w:hAnsi="Times New Roman" w:cs="Times New Roman"/>
          <w:sz w:val="24"/>
          <w:szCs w:val="24"/>
        </w:rPr>
        <w:t xml:space="preserve"> hold an induction session to consider the Legacy Report of the outgoing Committee </w:t>
      </w:r>
      <w:r w:rsidR="00C1256E" w:rsidRPr="00243C46">
        <w:rPr>
          <w:rFonts w:ascii="Times New Roman" w:hAnsi="Times New Roman" w:cs="Times New Roman"/>
          <w:sz w:val="24"/>
          <w:szCs w:val="24"/>
        </w:rPr>
        <w:t>and to receive orientation on the</w:t>
      </w:r>
      <w:r w:rsidR="00BF3049" w:rsidRPr="00243C46">
        <w:rPr>
          <w:rFonts w:ascii="Times New Roman" w:hAnsi="Times New Roman" w:cs="Times New Roman"/>
          <w:sz w:val="24"/>
          <w:szCs w:val="24"/>
        </w:rPr>
        <w:t xml:space="preserve"> financial sector</w:t>
      </w:r>
      <w:r w:rsidR="004B6397" w:rsidRPr="00243C46">
        <w:rPr>
          <w:rFonts w:ascii="Times New Roman" w:hAnsi="Times New Roman" w:cs="Times New Roman"/>
          <w:sz w:val="24"/>
          <w:szCs w:val="24"/>
        </w:rPr>
        <w:t>.</w:t>
      </w:r>
      <w:r w:rsidR="00BF3049" w:rsidRPr="00243C46">
        <w:rPr>
          <w:rFonts w:ascii="Times New Roman" w:hAnsi="Times New Roman" w:cs="Times New Roman"/>
          <w:sz w:val="24"/>
          <w:szCs w:val="24"/>
        </w:rPr>
        <w:t xml:space="preserve"> The incoming and outgoing Chairpersons have already met for a handover. The Committee wishes to</w:t>
      </w:r>
      <w:r w:rsidR="00C1256E" w:rsidRPr="00243C46">
        <w:rPr>
          <w:rFonts w:ascii="Times New Roman" w:hAnsi="Times New Roman" w:cs="Times New Roman"/>
          <w:sz w:val="24"/>
          <w:szCs w:val="24"/>
        </w:rPr>
        <w:t xml:space="preserve"> thank the outgoing Committee and its Chairperson for the work done over the fifth parliament. The Committee</w:t>
      </w:r>
      <w:r w:rsidR="00BF3049" w:rsidRPr="00243C46">
        <w:rPr>
          <w:rFonts w:ascii="Times New Roman" w:hAnsi="Times New Roman" w:cs="Times New Roman"/>
          <w:sz w:val="24"/>
          <w:szCs w:val="24"/>
        </w:rPr>
        <w:t xml:space="preserve"> will pay </w:t>
      </w:r>
      <w:r w:rsidR="00C1256E" w:rsidRPr="00243C46">
        <w:rPr>
          <w:rFonts w:ascii="Times New Roman" w:hAnsi="Times New Roman" w:cs="Times New Roman"/>
          <w:sz w:val="24"/>
          <w:szCs w:val="24"/>
        </w:rPr>
        <w:t xml:space="preserve">special </w:t>
      </w:r>
      <w:r w:rsidR="00BF3049" w:rsidRPr="00243C46">
        <w:rPr>
          <w:rFonts w:ascii="Times New Roman" w:hAnsi="Times New Roman" w:cs="Times New Roman"/>
          <w:sz w:val="24"/>
          <w:szCs w:val="24"/>
        </w:rPr>
        <w:t>attention to outstanding and ongoing work initiated by the outgoing Committee</w:t>
      </w:r>
      <w:r w:rsidR="00C1256E" w:rsidRPr="00243C46">
        <w:rPr>
          <w:rFonts w:ascii="Times New Roman" w:hAnsi="Times New Roman" w:cs="Times New Roman"/>
          <w:sz w:val="24"/>
          <w:szCs w:val="24"/>
        </w:rPr>
        <w:t xml:space="preserve"> in developing its strategic and annual performance plans. </w:t>
      </w:r>
    </w:p>
    <w:p w14:paraId="620ACF35" w14:textId="77777777" w:rsidR="008669F8" w:rsidRPr="00243C46" w:rsidRDefault="00C1256E"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sz w:val="24"/>
          <w:szCs w:val="24"/>
        </w:rPr>
        <w:t>The Committee agrees with the Deputy Minister of Finance</w:t>
      </w:r>
      <w:r w:rsidR="002E7C8C" w:rsidRPr="00243C46">
        <w:rPr>
          <w:rFonts w:ascii="Times New Roman" w:hAnsi="Times New Roman" w:cs="Times New Roman"/>
          <w:sz w:val="24"/>
          <w:szCs w:val="24"/>
        </w:rPr>
        <w:t>’ analysis</w:t>
      </w:r>
      <w:r w:rsidRPr="00243C46">
        <w:rPr>
          <w:rFonts w:ascii="Times New Roman" w:hAnsi="Times New Roman" w:cs="Times New Roman"/>
          <w:sz w:val="24"/>
          <w:szCs w:val="24"/>
        </w:rPr>
        <w:t xml:space="preserve"> that we are in a transitional phase between the fifth and the sixth administration. </w:t>
      </w:r>
      <w:r w:rsidR="002E7C8C" w:rsidRPr="00243C46">
        <w:rPr>
          <w:rFonts w:ascii="Times New Roman" w:hAnsi="Times New Roman" w:cs="Times New Roman"/>
          <w:sz w:val="24"/>
          <w:szCs w:val="24"/>
        </w:rPr>
        <w:t>As a result of this transition, t</w:t>
      </w:r>
      <w:r w:rsidRPr="00243C46">
        <w:rPr>
          <w:rFonts w:ascii="Times New Roman" w:hAnsi="Times New Roman" w:cs="Times New Roman"/>
          <w:sz w:val="24"/>
          <w:szCs w:val="24"/>
        </w:rPr>
        <w:t xml:space="preserve">he </w:t>
      </w:r>
      <w:r w:rsidR="002E7C8C" w:rsidRPr="00243C46">
        <w:rPr>
          <w:rFonts w:ascii="Times New Roman" w:hAnsi="Times New Roman" w:cs="Times New Roman"/>
          <w:sz w:val="24"/>
          <w:szCs w:val="24"/>
        </w:rPr>
        <w:t xml:space="preserve">work of the </w:t>
      </w:r>
      <w:r w:rsidRPr="00243C46">
        <w:rPr>
          <w:rFonts w:ascii="Times New Roman" w:hAnsi="Times New Roman" w:cs="Times New Roman"/>
          <w:sz w:val="24"/>
          <w:szCs w:val="24"/>
        </w:rPr>
        <w:t>Committee</w:t>
      </w:r>
      <w:r w:rsidR="002E7C8C" w:rsidRPr="00243C46">
        <w:rPr>
          <w:rFonts w:ascii="Times New Roman" w:hAnsi="Times New Roman" w:cs="Times New Roman"/>
          <w:sz w:val="24"/>
          <w:szCs w:val="24"/>
        </w:rPr>
        <w:t>s</w:t>
      </w:r>
      <w:r w:rsidRPr="00243C46">
        <w:rPr>
          <w:rFonts w:ascii="Times New Roman" w:hAnsi="Times New Roman" w:cs="Times New Roman"/>
          <w:sz w:val="24"/>
          <w:szCs w:val="24"/>
        </w:rPr>
        <w:t xml:space="preserve"> </w:t>
      </w:r>
      <w:r w:rsidR="002E7C8C" w:rsidRPr="00243C46">
        <w:rPr>
          <w:rFonts w:ascii="Times New Roman" w:hAnsi="Times New Roman" w:cs="Times New Roman"/>
          <w:sz w:val="24"/>
          <w:szCs w:val="24"/>
        </w:rPr>
        <w:t xml:space="preserve">involve wrapping-up the work of the previous administration while incorporating the new priorities. The Committee </w:t>
      </w:r>
      <w:r w:rsidRPr="00243C46">
        <w:rPr>
          <w:rFonts w:ascii="Times New Roman" w:hAnsi="Times New Roman" w:cs="Times New Roman"/>
          <w:sz w:val="24"/>
          <w:szCs w:val="24"/>
        </w:rPr>
        <w:t xml:space="preserve">will only be able to develop its five year plans after the publication of the government-wide </w:t>
      </w:r>
      <w:r w:rsidR="00BF3049" w:rsidRPr="00243C46">
        <w:rPr>
          <w:rFonts w:ascii="Times New Roman" w:hAnsi="Times New Roman" w:cs="Times New Roman"/>
          <w:sz w:val="24"/>
          <w:szCs w:val="24"/>
        </w:rPr>
        <w:t xml:space="preserve">Medium-Term Strategic Framework </w:t>
      </w:r>
      <w:r w:rsidRPr="00243C46">
        <w:rPr>
          <w:rFonts w:ascii="Times New Roman" w:hAnsi="Times New Roman" w:cs="Times New Roman"/>
          <w:sz w:val="24"/>
          <w:szCs w:val="24"/>
        </w:rPr>
        <w:t>and the Strategic Plan</w:t>
      </w:r>
      <w:r w:rsidR="002E7C8C" w:rsidRPr="00243C46">
        <w:rPr>
          <w:rFonts w:ascii="Times New Roman" w:hAnsi="Times New Roman" w:cs="Times New Roman"/>
          <w:sz w:val="24"/>
          <w:szCs w:val="24"/>
        </w:rPr>
        <w:t>s</w:t>
      </w:r>
      <w:r w:rsidRPr="00243C46">
        <w:rPr>
          <w:rFonts w:ascii="Times New Roman" w:hAnsi="Times New Roman" w:cs="Times New Roman"/>
          <w:sz w:val="24"/>
          <w:szCs w:val="24"/>
        </w:rPr>
        <w:t xml:space="preserve"> of</w:t>
      </w:r>
      <w:r w:rsidR="007403C9" w:rsidRPr="00243C46">
        <w:rPr>
          <w:rFonts w:ascii="Times New Roman" w:hAnsi="Times New Roman" w:cs="Times New Roman"/>
          <w:sz w:val="24"/>
          <w:szCs w:val="24"/>
        </w:rPr>
        <w:t xml:space="preserve"> the 6</w:t>
      </w:r>
      <w:r w:rsidR="007403C9" w:rsidRPr="00243C46">
        <w:rPr>
          <w:rFonts w:ascii="Times New Roman" w:hAnsi="Times New Roman" w:cs="Times New Roman"/>
          <w:sz w:val="24"/>
          <w:szCs w:val="24"/>
          <w:vertAlign w:val="superscript"/>
        </w:rPr>
        <w:t>th</w:t>
      </w:r>
      <w:r w:rsidRPr="00243C46">
        <w:rPr>
          <w:rFonts w:ascii="Times New Roman" w:hAnsi="Times New Roman" w:cs="Times New Roman"/>
          <w:sz w:val="24"/>
          <w:szCs w:val="24"/>
        </w:rPr>
        <w:t xml:space="preserve"> </w:t>
      </w:r>
      <w:r w:rsidR="007403C9" w:rsidRPr="00243C46">
        <w:rPr>
          <w:rFonts w:ascii="Times New Roman" w:hAnsi="Times New Roman" w:cs="Times New Roman"/>
          <w:sz w:val="24"/>
          <w:szCs w:val="24"/>
        </w:rPr>
        <w:t>Parliament. There shall therefore be</w:t>
      </w:r>
      <w:r w:rsidRPr="00243C46">
        <w:rPr>
          <w:rFonts w:ascii="Times New Roman" w:hAnsi="Times New Roman" w:cs="Times New Roman"/>
          <w:sz w:val="24"/>
          <w:szCs w:val="24"/>
        </w:rPr>
        <w:t xml:space="preserve"> both</w:t>
      </w:r>
      <w:r w:rsidR="007403C9" w:rsidRPr="00243C46">
        <w:rPr>
          <w:rFonts w:ascii="Times New Roman" w:hAnsi="Times New Roman" w:cs="Times New Roman"/>
          <w:sz w:val="24"/>
          <w:szCs w:val="24"/>
        </w:rPr>
        <w:t xml:space="preserve"> continuity and </w:t>
      </w:r>
      <w:r w:rsidRPr="00243C46">
        <w:rPr>
          <w:rFonts w:ascii="Times New Roman" w:hAnsi="Times New Roman" w:cs="Times New Roman"/>
          <w:sz w:val="24"/>
          <w:szCs w:val="24"/>
        </w:rPr>
        <w:t>an infusion of the new priorities</w:t>
      </w:r>
      <w:r w:rsidR="007403C9" w:rsidRPr="00243C46">
        <w:rPr>
          <w:rFonts w:ascii="Times New Roman" w:hAnsi="Times New Roman" w:cs="Times New Roman"/>
          <w:sz w:val="24"/>
          <w:szCs w:val="24"/>
        </w:rPr>
        <w:t xml:space="preserve"> </w:t>
      </w:r>
      <w:r w:rsidRPr="00243C46">
        <w:rPr>
          <w:rFonts w:ascii="Times New Roman" w:hAnsi="Times New Roman" w:cs="Times New Roman"/>
          <w:sz w:val="24"/>
          <w:szCs w:val="24"/>
        </w:rPr>
        <w:t xml:space="preserve">in the Committee’s oversight activities, taking into consideration the tabled plans of the National Treasury and its entities and </w:t>
      </w:r>
      <w:r w:rsidR="007403C9" w:rsidRPr="00243C46">
        <w:rPr>
          <w:rFonts w:ascii="Times New Roman" w:hAnsi="Times New Roman" w:cs="Times New Roman"/>
          <w:sz w:val="24"/>
          <w:szCs w:val="24"/>
        </w:rPr>
        <w:t xml:space="preserve">the </w:t>
      </w:r>
      <w:r w:rsidRPr="00243C46">
        <w:rPr>
          <w:rFonts w:ascii="Times New Roman" w:hAnsi="Times New Roman" w:cs="Times New Roman"/>
          <w:sz w:val="24"/>
          <w:szCs w:val="24"/>
        </w:rPr>
        <w:t xml:space="preserve">priorities set out by the </w:t>
      </w:r>
      <w:r w:rsidR="007403C9" w:rsidRPr="00243C46">
        <w:rPr>
          <w:rFonts w:ascii="Times New Roman" w:hAnsi="Times New Roman" w:cs="Times New Roman"/>
          <w:sz w:val="24"/>
          <w:szCs w:val="24"/>
        </w:rPr>
        <w:t xml:space="preserve">President in the State of the Nation Address of June 2019. </w:t>
      </w:r>
    </w:p>
    <w:p w14:paraId="53BC0D14"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sz w:val="24"/>
          <w:szCs w:val="24"/>
        </w:rPr>
        <w:lastRenderedPageBreak/>
        <w:t xml:space="preserve">The Committee </w:t>
      </w:r>
      <w:r w:rsidR="002E7C8C" w:rsidRPr="00243C46">
        <w:rPr>
          <w:rFonts w:ascii="Times New Roman" w:hAnsi="Times New Roman" w:cs="Times New Roman"/>
          <w:sz w:val="24"/>
          <w:szCs w:val="24"/>
        </w:rPr>
        <w:t>notes that the budget of NT is projected to increase by up</w:t>
      </w:r>
      <w:r w:rsidRPr="00243C46">
        <w:rPr>
          <w:rFonts w:ascii="Times New Roman" w:hAnsi="Times New Roman" w:cs="Times New Roman"/>
          <w:sz w:val="24"/>
          <w:szCs w:val="24"/>
        </w:rPr>
        <w:t xml:space="preserve"> 5</w:t>
      </w:r>
      <w:r w:rsidR="002E7C8C" w:rsidRPr="00243C46">
        <w:rPr>
          <w:rFonts w:ascii="Times New Roman" w:hAnsi="Times New Roman" w:cs="Times New Roman"/>
          <w:sz w:val="24"/>
          <w:szCs w:val="24"/>
        </w:rPr>
        <w:t>.7</w:t>
      </w:r>
      <w:r w:rsidRPr="00243C46">
        <w:rPr>
          <w:rFonts w:ascii="Times New Roman" w:hAnsi="Times New Roman" w:cs="Times New Roman"/>
          <w:sz w:val="24"/>
          <w:szCs w:val="24"/>
        </w:rPr>
        <w:t>% annually over the medium-term. It further notes that although the budget of SARS will increase by about R1,1</w:t>
      </w:r>
      <w:r w:rsidR="002E7C8C" w:rsidRPr="00243C46">
        <w:rPr>
          <w:rFonts w:ascii="Times New Roman" w:hAnsi="Times New Roman" w:cs="Times New Roman"/>
          <w:sz w:val="24"/>
          <w:szCs w:val="24"/>
        </w:rPr>
        <w:t xml:space="preserve"> billion over the medium-term</w:t>
      </w:r>
      <w:r w:rsidRPr="00243C46">
        <w:rPr>
          <w:rFonts w:ascii="Times New Roman" w:hAnsi="Times New Roman" w:cs="Times New Roman"/>
          <w:sz w:val="24"/>
          <w:szCs w:val="24"/>
        </w:rPr>
        <w:t xml:space="preserve">, it is still below its funding needs by almost R2,7 billion. The Committee recognises that the shortfalls are as a result of the </w:t>
      </w:r>
      <w:r w:rsidR="002E7C8C" w:rsidRPr="00243C46">
        <w:rPr>
          <w:rFonts w:ascii="Times New Roman" w:hAnsi="Times New Roman" w:cs="Times New Roman"/>
          <w:sz w:val="24"/>
          <w:szCs w:val="24"/>
        </w:rPr>
        <w:t>government-wide fiscal consolidation measures</w:t>
      </w:r>
      <w:r w:rsidRPr="00243C46">
        <w:rPr>
          <w:rFonts w:ascii="Times New Roman" w:hAnsi="Times New Roman" w:cs="Times New Roman"/>
          <w:sz w:val="24"/>
          <w:szCs w:val="24"/>
        </w:rPr>
        <w:t xml:space="preserve">. Institutions have to squeeze out inefficiencies and learn to do more with less. The Committee however believes that enforcement institutions such as SARS and other law enforcement should have adequate resources and capacity to help </w:t>
      </w:r>
      <w:r w:rsidR="00AA11F1" w:rsidRPr="00243C46">
        <w:rPr>
          <w:rFonts w:ascii="Times New Roman" w:hAnsi="Times New Roman" w:cs="Times New Roman"/>
          <w:sz w:val="24"/>
          <w:szCs w:val="24"/>
        </w:rPr>
        <w:t xml:space="preserve">government </w:t>
      </w:r>
      <w:r w:rsidRPr="00243C46">
        <w:rPr>
          <w:rFonts w:ascii="Times New Roman" w:hAnsi="Times New Roman" w:cs="Times New Roman"/>
          <w:sz w:val="24"/>
          <w:szCs w:val="24"/>
        </w:rPr>
        <w:t xml:space="preserve">recover state funds </w:t>
      </w:r>
      <w:r w:rsidR="00AA11F1" w:rsidRPr="00243C46">
        <w:rPr>
          <w:rFonts w:ascii="Times New Roman" w:hAnsi="Times New Roman" w:cs="Times New Roman"/>
          <w:sz w:val="24"/>
          <w:szCs w:val="24"/>
        </w:rPr>
        <w:t xml:space="preserve">that were </w:t>
      </w:r>
      <w:r w:rsidRPr="00243C46">
        <w:rPr>
          <w:rFonts w:ascii="Times New Roman" w:hAnsi="Times New Roman" w:cs="Times New Roman"/>
          <w:sz w:val="24"/>
          <w:szCs w:val="24"/>
        </w:rPr>
        <w:t xml:space="preserve">lost as a result of state capture, corruption and maladministration. </w:t>
      </w:r>
    </w:p>
    <w:p w14:paraId="704E9686" w14:textId="77777777" w:rsidR="00C1256E" w:rsidRPr="00243C46" w:rsidRDefault="00690B18"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sz w:val="24"/>
          <w:szCs w:val="24"/>
        </w:rPr>
        <w:t xml:space="preserve">The Committee notes </w:t>
      </w:r>
      <w:r w:rsidR="00C1256E" w:rsidRPr="00243C46">
        <w:rPr>
          <w:rFonts w:ascii="Times New Roman" w:hAnsi="Times New Roman" w:cs="Times New Roman"/>
          <w:sz w:val="24"/>
          <w:szCs w:val="24"/>
        </w:rPr>
        <w:t xml:space="preserve">that </w:t>
      </w:r>
      <w:r w:rsidRPr="00243C46">
        <w:rPr>
          <w:rFonts w:ascii="Times New Roman" w:hAnsi="Times New Roman" w:cs="Times New Roman"/>
          <w:sz w:val="24"/>
          <w:szCs w:val="24"/>
        </w:rPr>
        <w:t xml:space="preserve">the National Treasury will be tabling </w:t>
      </w:r>
      <w:r w:rsidR="00C1256E" w:rsidRPr="00243C46">
        <w:rPr>
          <w:rFonts w:ascii="Times New Roman" w:hAnsi="Times New Roman" w:cs="Times New Roman"/>
          <w:sz w:val="24"/>
          <w:szCs w:val="24"/>
        </w:rPr>
        <w:t xml:space="preserve">a number of Bills in the 2019/20 financial year </w:t>
      </w:r>
      <w:r w:rsidRPr="00243C46">
        <w:rPr>
          <w:rFonts w:ascii="Times New Roman" w:hAnsi="Times New Roman" w:cs="Times New Roman"/>
          <w:sz w:val="24"/>
          <w:szCs w:val="24"/>
        </w:rPr>
        <w:t xml:space="preserve">including the Public Procurement Bill, </w:t>
      </w:r>
      <w:r w:rsidR="00C1256E" w:rsidRPr="00243C46">
        <w:rPr>
          <w:rFonts w:ascii="Times New Roman" w:hAnsi="Times New Roman" w:cs="Times New Roman"/>
          <w:sz w:val="24"/>
          <w:szCs w:val="24"/>
        </w:rPr>
        <w:t xml:space="preserve">the </w:t>
      </w:r>
      <w:r w:rsidRPr="00243C46">
        <w:rPr>
          <w:rFonts w:ascii="Times New Roman" w:hAnsi="Times New Roman" w:cs="Times New Roman"/>
          <w:sz w:val="24"/>
          <w:szCs w:val="24"/>
        </w:rPr>
        <w:t xml:space="preserve">Financial Matters Laws Amendment Bill, </w:t>
      </w:r>
      <w:r w:rsidR="00C1256E" w:rsidRPr="00243C46">
        <w:rPr>
          <w:rFonts w:ascii="Times New Roman" w:hAnsi="Times New Roman" w:cs="Times New Roman"/>
          <w:sz w:val="24"/>
          <w:szCs w:val="24"/>
        </w:rPr>
        <w:t xml:space="preserve">the </w:t>
      </w:r>
      <w:r w:rsidRPr="00243C46">
        <w:rPr>
          <w:rFonts w:ascii="Times New Roman" w:hAnsi="Times New Roman" w:cs="Times New Roman"/>
          <w:sz w:val="24"/>
          <w:szCs w:val="24"/>
        </w:rPr>
        <w:t xml:space="preserve">Financial Services Laws General Amendment Bill, </w:t>
      </w:r>
      <w:r w:rsidR="00C1256E" w:rsidRPr="00243C46">
        <w:rPr>
          <w:rFonts w:ascii="Times New Roman" w:hAnsi="Times New Roman" w:cs="Times New Roman"/>
          <w:sz w:val="24"/>
          <w:szCs w:val="24"/>
        </w:rPr>
        <w:t xml:space="preserve">the </w:t>
      </w:r>
      <w:r w:rsidRPr="00243C46">
        <w:rPr>
          <w:rFonts w:ascii="Times New Roman" w:hAnsi="Times New Roman" w:cs="Times New Roman"/>
          <w:sz w:val="24"/>
          <w:szCs w:val="24"/>
        </w:rPr>
        <w:t xml:space="preserve">Municipal and Fiscal Powers and Functions Bill, </w:t>
      </w:r>
      <w:r w:rsidR="00C1256E" w:rsidRPr="00243C46">
        <w:rPr>
          <w:rFonts w:ascii="Times New Roman" w:hAnsi="Times New Roman" w:cs="Times New Roman"/>
          <w:sz w:val="24"/>
          <w:szCs w:val="24"/>
        </w:rPr>
        <w:t xml:space="preserve">the </w:t>
      </w:r>
      <w:r w:rsidRPr="00243C46">
        <w:rPr>
          <w:rFonts w:ascii="Times New Roman" w:hAnsi="Times New Roman" w:cs="Times New Roman"/>
          <w:sz w:val="24"/>
          <w:szCs w:val="24"/>
        </w:rPr>
        <w:t>Conduct of Financial Institut</w:t>
      </w:r>
      <w:r w:rsidR="00C1256E" w:rsidRPr="00243C46">
        <w:rPr>
          <w:rFonts w:ascii="Times New Roman" w:hAnsi="Times New Roman" w:cs="Times New Roman"/>
          <w:sz w:val="24"/>
          <w:szCs w:val="24"/>
        </w:rPr>
        <w:t>ions Bill, and other recurring M</w:t>
      </w:r>
      <w:r w:rsidRPr="00243C46">
        <w:rPr>
          <w:rFonts w:ascii="Times New Roman" w:hAnsi="Times New Roman" w:cs="Times New Roman"/>
          <w:sz w:val="24"/>
          <w:szCs w:val="24"/>
        </w:rPr>
        <w:t xml:space="preserve">oney Bills. </w:t>
      </w:r>
      <w:r w:rsidR="00C1256E" w:rsidRPr="00243C46">
        <w:rPr>
          <w:rFonts w:ascii="Times New Roman" w:hAnsi="Times New Roman" w:cs="Times New Roman"/>
          <w:sz w:val="24"/>
          <w:szCs w:val="24"/>
        </w:rPr>
        <w:t>The Committee notes that many of these Bills have been delayed as they were part of last year’s annual performance plan. The Committee requires an explanation from the National Treasury on why the National Payment System Bill is no longer part of the Bills that will be tabled</w:t>
      </w:r>
      <w:r w:rsidR="00AA11F1" w:rsidRPr="00243C46">
        <w:rPr>
          <w:rFonts w:ascii="Times New Roman" w:hAnsi="Times New Roman" w:cs="Times New Roman"/>
          <w:sz w:val="24"/>
          <w:szCs w:val="24"/>
        </w:rPr>
        <w:t xml:space="preserve"> in this financial year</w:t>
      </w:r>
      <w:r w:rsidR="00C1256E" w:rsidRPr="00243C46">
        <w:rPr>
          <w:rFonts w:ascii="Times New Roman" w:hAnsi="Times New Roman" w:cs="Times New Roman"/>
          <w:sz w:val="24"/>
          <w:szCs w:val="24"/>
        </w:rPr>
        <w:t xml:space="preserve">. The </w:t>
      </w:r>
      <w:r w:rsidRPr="00243C46">
        <w:rPr>
          <w:rFonts w:ascii="Times New Roman" w:hAnsi="Times New Roman" w:cs="Times New Roman"/>
          <w:sz w:val="24"/>
          <w:szCs w:val="24"/>
        </w:rPr>
        <w:t>Committee</w:t>
      </w:r>
      <w:r w:rsidR="00AA11F1" w:rsidRPr="00243C46">
        <w:rPr>
          <w:rFonts w:ascii="Times New Roman" w:hAnsi="Times New Roman" w:cs="Times New Roman"/>
          <w:sz w:val="24"/>
          <w:szCs w:val="24"/>
        </w:rPr>
        <w:t xml:space="preserve"> further</w:t>
      </w:r>
      <w:r w:rsidRPr="00243C46">
        <w:rPr>
          <w:rFonts w:ascii="Times New Roman" w:hAnsi="Times New Roman" w:cs="Times New Roman"/>
          <w:sz w:val="24"/>
          <w:szCs w:val="24"/>
        </w:rPr>
        <w:t xml:space="preserve"> </w:t>
      </w:r>
      <w:r w:rsidR="00C1256E" w:rsidRPr="00243C46">
        <w:rPr>
          <w:rFonts w:ascii="Times New Roman" w:hAnsi="Times New Roman" w:cs="Times New Roman"/>
          <w:sz w:val="24"/>
          <w:szCs w:val="24"/>
        </w:rPr>
        <w:t>requires</w:t>
      </w:r>
      <w:r w:rsidRPr="00243C46">
        <w:rPr>
          <w:rFonts w:ascii="Times New Roman" w:hAnsi="Times New Roman" w:cs="Times New Roman"/>
          <w:sz w:val="24"/>
          <w:szCs w:val="24"/>
        </w:rPr>
        <w:t xml:space="preserve"> the National Treasury to table </w:t>
      </w:r>
      <w:r w:rsidR="00C1256E" w:rsidRPr="00243C46">
        <w:rPr>
          <w:rFonts w:ascii="Times New Roman" w:hAnsi="Times New Roman" w:cs="Times New Roman"/>
          <w:sz w:val="24"/>
          <w:szCs w:val="24"/>
        </w:rPr>
        <w:t xml:space="preserve">its proposed </w:t>
      </w:r>
      <w:r w:rsidRPr="00243C46">
        <w:rPr>
          <w:rFonts w:ascii="Times New Roman" w:hAnsi="Times New Roman" w:cs="Times New Roman"/>
          <w:sz w:val="24"/>
          <w:szCs w:val="24"/>
        </w:rPr>
        <w:t xml:space="preserve">Bills as soon as possible to enable the Committee </w:t>
      </w:r>
      <w:r w:rsidR="0013238D" w:rsidRPr="00243C46">
        <w:rPr>
          <w:rFonts w:ascii="Times New Roman" w:hAnsi="Times New Roman" w:cs="Times New Roman"/>
          <w:sz w:val="24"/>
          <w:szCs w:val="24"/>
        </w:rPr>
        <w:t xml:space="preserve">to </w:t>
      </w:r>
      <w:r w:rsidRPr="00243C46">
        <w:rPr>
          <w:rFonts w:ascii="Times New Roman" w:hAnsi="Times New Roman" w:cs="Times New Roman"/>
          <w:sz w:val="24"/>
          <w:szCs w:val="24"/>
        </w:rPr>
        <w:t>plan its legislative programme given that this year is shorter owing to the national elections.</w:t>
      </w:r>
      <w:r w:rsidR="00C1256E" w:rsidRPr="00243C46">
        <w:rPr>
          <w:rFonts w:ascii="Times New Roman" w:hAnsi="Times New Roman" w:cs="Times New Roman"/>
          <w:sz w:val="24"/>
          <w:szCs w:val="24"/>
        </w:rPr>
        <w:t xml:space="preserve"> </w:t>
      </w:r>
    </w:p>
    <w:p w14:paraId="11F17FDA" w14:textId="77777777" w:rsidR="0013238D"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Committee urges the National Treasury</w:t>
      </w:r>
      <w:r w:rsidR="0013238D" w:rsidRPr="00243C46">
        <w:rPr>
          <w:rFonts w:ascii="Times New Roman" w:hAnsi="Times New Roman" w:cs="Times New Roman"/>
          <w:sz w:val="24"/>
          <w:szCs w:val="24"/>
        </w:rPr>
        <w:t xml:space="preserve"> to expedite its work on revising the policy framework </w:t>
      </w:r>
      <w:r w:rsidRPr="00243C46">
        <w:rPr>
          <w:rFonts w:ascii="Times New Roman" w:hAnsi="Times New Roman" w:cs="Times New Roman"/>
          <w:sz w:val="24"/>
          <w:szCs w:val="24"/>
        </w:rPr>
        <w:t>on</w:t>
      </w:r>
      <w:r w:rsidR="0013238D" w:rsidRPr="00243C46">
        <w:rPr>
          <w:rFonts w:ascii="Times New Roman" w:hAnsi="Times New Roman" w:cs="Times New Roman"/>
          <w:sz w:val="24"/>
          <w:szCs w:val="24"/>
        </w:rPr>
        <w:t xml:space="preserve"> </w:t>
      </w:r>
      <w:r w:rsidRPr="00243C46">
        <w:rPr>
          <w:rFonts w:ascii="Times New Roman" w:hAnsi="Times New Roman" w:cs="Times New Roman"/>
          <w:sz w:val="24"/>
          <w:szCs w:val="24"/>
        </w:rPr>
        <w:t xml:space="preserve">the </w:t>
      </w:r>
      <w:r w:rsidR="0013238D" w:rsidRPr="00243C46">
        <w:rPr>
          <w:rFonts w:ascii="Times New Roman" w:hAnsi="Times New Roman" w:cs="Times New Roman"/>
          <w:sz w:val="24"/>
          <w:szCs w:val="24"/>
        </w:rPr>
        <w:t xml:space="preserve">modernisation of approvals for expenditure deviations. The Committee believes that the enactment of the </w:t>
      </w:r>
      <w:r w:rsidR="00AA11F1" w:rsidRPr="00243C46">
        <w:rPr>
          <w:rFonts w:ascii="Times New Roman" w:hAnsi="Times New Roman" w:cs="Times New Roman"/>
          <w:sz w:val="24"/>
          <w:szCs w:val="24"/>
        </w:rPr>
        <w:t xml:space="preserve">long-awaited </w:t>
      </w:r>
      <w:r w:rsidR="0013238D" w:rsidRPr="00243C46">
        <w:rPr>
          <w:rFonts w:ascii="Times New Roman" w:hAnsi="Times New Roman" w:cs="Times New Roman"/>
          <w:sz w:val="24"/>
          <w:szCs w:val="24"/>
        </w:rPr>
        <w:t xml:space="preserve">Public Procurement Bill will go a long way in dealing with </w:t>
      </w:r>
      <w:r w:rsidR="00AA11F1" w:rsidRPr="00243C46">
        <w:rPr>
          <w:rFonts w:ascii="Times New Roman" w:hAnsi="Times New Roman" w:cs="Times New Roman"/>
          <w:sz w:val="24"/>
          <w:szCs w:val="24"/>
        </w:rPr>
        <w:t xml:space="preserve">the issue of SCM </w:t>
      </w:r>
      <w:r w:rsidR="0013238D" w:rsidRPr="00243C46">
        <w:rPr>
          <w:rFonts w:ascii="Times New Roman" w:hAnsi="Times New Roman" w:cs="Times New Roman"/>
          <w:sz w:val="24"/>
          <w:szCs w:val="24"/>
        </w:rPr>
        <w:t>deviations, eliminate the fragmentation of the country’s procurement policy and legislative framework and</w:t>
      </w:r>
      <w:r w:rsidR="009D77BA" w:rsidRPr="00243C46">
        <w:rPr>
          <w:rFonts w:ascii="Times New Roman" w:hAnsi="Times New Roman" w:cs="Times New Roman"/>
          <w:sz w:val="24"/>
          <w:szCs w:val="24"/>
        </w:rPr>
        <w:t>,</w:t>
      </w:r>
      <w:r w:rsidR="0013238D" w:rsidRPr="00243C46">
        <w:rPr>
          <w:rFonts w:ascii="Times New Roman" w:hAnsi="Times New Roman" w:cs="Times New Roman"/>
          <w:sz w:val="24"/>
          <w:szCs w:val="24"/>
        </w:rPr>
        <w:t xml:space="preserve"> establish an overarching </w:t>
      </w:r>
      <w:r w:rsidRPr="00243C46">
        <w:rPr>
          <w:rFonts w:ascii="Times New Roman" w:hAnsi="Times New Roman" w:cs="Times New Roman"/>
          <w:sz w:val="24"/>
          <w:szCs w:val="24"/>
        </w:rPr>
        <w:t>regulatory framework</w:t>
      </w:r>
      <w:r w:rsidR="0013238D" w:rsidRPr="00243C46">
        <w:rPr>
          <w:rFonts w:ascii="Times New Roman" w:hAnsi="Times New Roman" w:cs="Times New Roman"/>
          <w:sz w:val="24"/>
          <w:szCs w:val="24"/>
        </w:rPr>
        <w:t xml:space="preserve"> of procurement</w:t>
      </w:r>
      <w:r w:rsidRPr="00243C46">
        <w:rPr>
          <w:rFonts w:ascii="Times New Roman" w:hAnsi="Times New Roman" w:cs="Times New Roman"/>
          <w:sz w:val="24"/>
          <w:szCs w:val="24"/>
        </w:rPr>
        <w:t xml:space="preserve"> that will facilitate efficiency and economic transformation</w:t>
      </w:r>
      <w:r w:rsidR="0013238D" w:rsidRPr="00243C46">
        <w:rPr>
          <w:rFonts w:ascii="Times New Roman" w:hAnsi="Times New Roman" w:cs="Times New Roman"/>
          <w:sz w:val="24"/>
          <w:szCs w:val="24"/>
        </w:rPr>
        <w:t>.</w:t>
      </w:r>
      <w:r w:rsidR="009D77BA" w:rsidRPr="00243C46">
        <w:rPr>
          <w:rFonts w:ascii="Times New Roman" w:hAnsi="Times New Roman" w:cs="Times New Roman"/>
          <w:sz w:val="24"/>
          <w:szCs w:val="24"/>
        </w:rPr>
        <w:t xml:space="preserve"> The Committee</w:t>
      </w:r>
      <w:r w:rsidRPr="00243C46">
        <w:rPr>
          <w:rFonts w:ascii="Times New Roman" w:hAnsi="Times New Roman" w:cs="Times New Roman"/>
          <w:sz w:val="24"/>
          <w:szCs w:val="24"/>
        </w:rPr>
        <w:t xml:space="preserve"> therefore </w:t>
      </w:r>
      <w:r w:rsidR="009D77BA" w:rsidRPr="00243C46">
        <w:rPr>
          <w:rFonts w:ascii="Times New Roman" w:hAnsi="Times New Roman" w:cs="Times New Roman"/>
          <w:sz w:val="24"/>
          <w:szCs w:val="24"/>
        </w:rPr>
        <w:t xml:space="preserve">urges the National Treasury to expedite the tabling of the Public Procurement Bill. </w:t>
      </w:r>
      <w:r w:rsidR="0013238D" w:rsidRPr="00243C46">
        <w:rPr>
          <w:rFonts w:ascii="Times New Roman" w:hAnsi="Times New Roman" w:cs="Times New Roman"/>
          <w:sz w:val="24"/>
          <w:szCs w:val="24"/>
        </w:rPr>
        <w:t xml:space="preserve">  </w:t>
      </w:r>
    </w:p>
    <w:p w14:paraId="78C29AB2" w14:textId="77777777" w:rsidR="00545A6D"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color w:val="000000" w:themeColor="text1"/>
          <w:sz w:val="24"/>
          <w:szCs w:val="24"/>
        </w:rPr>
        <w:t xml:space="preserve">The Committee urges the Minister </w:t>
      </w:r>
      <w:r w:rsidR="00545A6D" w:rsidRPr="00243C46">
        <w:rPr>
          <w:rFonts w:ascii="Times New Roman" w:hAnsi="Times New Roman" w:cs="Times New Roman"/>
          <w:color w:val="000000" w:themeColor="text1"/>
          <w:sz w:val="24"/>
          <w:szCs w:val="24"/>
        </w:rPr>
        <w:t>to expedite the appointment of the Chief Procurement O</w:t>
      </w:r>
      <w:r w:rsidR="00E67D69" w:rsidRPr="00243C46">
        <w:rPr>
          <w:rFonts w:ascii="Times New Roman" w:hAnsi="Times New Roman" w:cs="Times New Roman"/>
          <w:color w:val="000000" w:themeColor="text1"/>
          <w:sz w:val="24"/>
          <w:szCs w:val="24"/>
        </w:rPr>
        <w:t>fficer</w:t>
      </w:r>
      <w:r w:rsidR="00545A6D" w:rsidRPr="00243C46">
        <w:rPr>
          <w:rFonts w:ascii="Times New Roman" w:hAnsi="Times New Roman" w:cs="Times New Roman"/>
          <w:color w:val="000000" w:themeColor="text1"/>
          <w:sz w:val="24"/>
          <w:szCs w:val="24"/>
        </w:rPr>
        <w:t xml:space="preserve"> and other senior DDG positions within Treasury in order to ensure leadership stability and the imple</w:t>
      </w:r>
      <w:r w:rsidR="00E67D69" w:rsidRPr="00243C46">
        <w:rPr>
          <w:rFonts w:ascii="Times New Roman" w:hAnsi="Times New Roman" w:cs="Times New Roman"/>
          <w:color w:val="000000" w:themeColor="text1"/>
          <w:sz w:val="24"/>
          <w:szCs w:val="24"/>
        </w:rPr>
        <w:t xml:space="preserve">mentation of the Auditor-General’s leadership, financial management and governance </w:t>
      </w:r>
      <w:r w:rsidRPr="00243C46">
        <w:rPr>
          <w:rFonts w:ascii="Times New Roman" w:hAnsi="Times New Roman" w:cs="Times New Roman"/>
          <w:color w:val="000000" w:themeColor="text1"/>
          <w:sz w:val="24"/>
          <w:szCs w:val="24"/>
        </w:rPr>
        <w:t>recommendations</w:t>
      </w:r>
      <w:r w:rsidR="00E67D69" w:rsidRPr="00243C46">
        <w:rPr>
          <w:rFonts w:ascii="Times New Roman" w:hAnsi="Times New Roman" w:cs="Times New Roman"/>
          <w:color w:val="000000" w:themeColor="text1"/>
          <w:sz w:val="24"/>
          <w:szCs w:val="24"/>
        </w:rPr>
        <w:t xml:space="preserve"> as contained in the 2017/18 annual report of the National Treasury</w:t>
      </w:r>
      <w:r w:rsidRPr="00243C46">
        <w:rPr>
          <w:rFonts w:ascii="Times New Roman" w:hAnsi="Times New Roman" w:cs="Times New Roman"/>
          <w:color w:val="000000" w:themeColor="text1"/>
          <w:sz w:val="24"/>
          <w:szCs w:val="24"/>
        </w:rPr>
        <w:t xml:space="preserve"> and its audit action plans</w:t>
      </w:r>
      <w:r w:rsidR="00E67D69" w:rsidRPr="00243C46">
        <w:rPr>
          <w:rFonts w:ascii="Times New Roman" w:hAnsi="Times New Roman" w:cs="Times New Roman"/>
          <w:color w:val="000000" w:themeColor="text1"/>
          <w:sz w:val="24"/>
          <w:szCs w:val="24"/>
        </w:rPr>
        <w:t>. The Committee requires the National Treasury</w:t>
      </w:r>
      <w:r w:rsidR="00AA11F1" w:rsidRPr="00243C46">
        <w:rPr>
          <w:rFonts w:ascii="Times New Roman" w:hAnsi="Times New Roman" w:cs="Times New Roman"/>
          <w:color w:val="000000" w:themeColor="text1"/>
          <w:sz w:val="24"/>
          <w:szCs w:val="24"/>
        </w:rPr>
        <w:t xml:space="preserve"> to provide it with an update o</w:t>
      </w:r>
      <w:r w:rsidR="005048E8" w:rsidRPr="00243C46">
        <w:rPr>
          <w:rFonts w:ascii="Times New Roman" w:hAnsi="Times New Roman" w:cs="Times New Roman"/>
          <w:color w:val="000000" w:themeColor="text1"/>
          <w:sz w:val="24"/>
          <w:szCs w:val="24"/>
        </w:rPr>
        <w:t>n the filling of these senior leadership positions</w:t>
      </w:r>
      <w:r w:rsidRPr="00243C46">
        <w:rPr>
          <w:rFonts w:ascii="Times New Roman" w:hAnsi="Times New Roman" w:cs="Times New Roman"/>
          <w:color w:val="000000" w:themeColor="text1"/>
          <w:sz w:val="24"/>
          <w:szCs w:val="24"/>
        </w:rPr>
        <w:t xml:space="preserve"> as </w:t>
      </w:r>
      <w:r w:rsidRPr="00243C46">
        <w:rPr>
          <w:rFonts w:ascii="Times New Roman" w:hAnsi="Times New Roman" w:cs="Times New Roman"/>
          <w:color w:val="000000" w:themeColor="text1"/>
          <w:sz w:val="24"/>
          <w:szCs w:val="24"/>
        </w:rPr>
        <w:lastRenderedPageBreak/>
        <w:t>leadership vacancies normally contribute to weakened internal controls and poor audit outcomes</w:t>
      </w:r>
      <w:r w:rsidR="005048E8" w:rsidRPr="00243C46">
        <w:rPr>
          <w:rFonts w:ascii="Times New Roman" w:hAnsi="Times New Roman" w:cs="Times New Roman"/>
          <w:color w:val="000000" w:themeColor="text1"/>
          <w:sz w:val="24"/>
          <w:szCs w:val="24"/>
        </w:rPr>
        <w:t xml:space="preserve">.  </w:t>
      </w:r>
    </w:p>
    <w:p w14:paraId="5CB589F6" w14:textId="77777777" w:rsidR="007B442D" w:rsidRPr="00243C46" w:rsidRDefault="007B442D" w:rsidP="00CD3989">
      <w:pPr>
        <w:pStyle w:val="ListParagraph"/>
        <w:numPr>
          <w:ilvl w:val="1"/>
          <w:numId w:val="1"/>
        </w:numPr>
        <w:spacing w:after="0" w:line="360" w:lineRule="auto"/>
        <w:jc w:val="both"/>
        <w:rPr>
          <w:rFonts w:ascii="Times New Roman" w:hAnsi="Times New Roman" w:cs="Times New Roman"/>
          <w:color w:val="000000" w:themeColor="text1"/>
          <w:sz w:val="24"/>
          <w:szCs w:val="24"/>
        </w:rPr>
      </w:pPr>
      <w:r w:rsidRPr="00243C46">
        <w:rPr>
          <w:rFonts w:ascii="Times New Roman" w:hAnsi="Times New Roman" w:cs="Times New Roman"/>
          <w:color w:val="000000" w:themeColor="text1"/>
          <w:sz w:val="24"/>
          <w:szCs w:val="24"/>
        </w:rPr>
        <w:t xml:space="preserve">The Committee is not satisfied with the slow pace of consequences management </w:t>
      </w:r>
      <w:r w:rsidR="00C1256E" w:rsidRPr="00243C46">
        <w:rPr>
          <w:rFonts w:ascii="Times New Roman" w:hAnsi="Times New Roman" w:cs="Times New Roman"/>
          <w:color w:val="000000" w:themeColor="text1"/>
          <w:sz w:val="24"/>
          <w:szCs w:val="24"/>
        </w:rPr>
        <w:t>o</w:t>
      </w:r>
      <w:r w:rsidRPr="00243C46">
        <w:rPr>
          <w:rFonts w:ascii="Times New Roman" w:hAnsi="Times New Roman" w:cs="Times New Roman"/>
          <w:color w:val="000000" w:themeColor="text1"/>
          <w:sz w:val="24"/>
          <w:szCs w:val="24"/>
        </w:rPr>
        <w:t>n the Integrated Financial Management System</w:t>
      </w:r>
      <w:r w:rsidR="008142DF" w:rsidRPr="00243C46">
        <w:rPr>
          <w:rFonts w:ascii="Times New Roman" w:hAnsi="Times New Roman" w:cs="Times New Roman"/>
          <w:color w:val="000000" w:themeColor="text1"/>
          <w:sz w:val="24"/>
          <w:szCs w:val="24"/>
        </w:rPr>
        <w:t xml:space="preserve"> (IFMS)</w:t>
      </w:r>
      <w:r w:rsidRPr="00243C46">
        <w:rPr>
          <w:rFonts w:ascii="Times New Roman" w:hAnsi="Times New Roman" w:cs="Times New Roman"/>
          <w:color w:val="000000" w:themeColor="text1"/>
          <w:sz w:val="24"/>
          <w:szCs w:val="24"/>
        </w:rPr>
        <w:t xml:space="preserve">. The Committee requires </w:t>
      </w:r>
      <w:r w:rsidR="00C1256E" w:rsidRPr="00243C46">
        <w:rPr>
          <w:rFonts w:ascii="Times New Roman" w:hAnsi="Times New Roman" w:cs="Times New Roman"/>
          <w:color w:val="000000" w:themeColor="text1"/>
          <w:sz w:val="24"/>
          <w:szCs w:val="24"/>
        </w:rPr>
        <w:t xml:space="preserve">an </w:t>
      </w:r>
      <w:r w:rsidRPr="00243C46">
        <w:rPr>
          <w:rFonts w:ascii="Times New Roman" w:hAnsi="Times New Roman" w:cs="Times New Roman"/>
          <w:color w:val="000000" w:themeColor="text1"/>
          <w:sz w:val="24"/>
          <w:szCs w:val="24"/>
        </w:rPr>
        <w:t xml:space="preserve">update </w:t>
      </w:r>
      <w:r w:rsidR="00C1256E" w:rsidRPr="00243C46">
        <w:rPr>
          <w:rFonts w:ascii="Times New Roman" w:hAnsi="Times New Roman" w:cs="Times New Roman"/>
          <w:color w:val="000000" w:themeColor="text1"/>
          <w:sz w:val="24"/>
          <w:szCs w:val="24"/>
        </w:rPr>
        <w:t xml:space="preserve">from the National Treasury </w:t>
      </w:r>
      <w:r w:rsidRPr="00243C46">
        <w:rPr>
          <w:rFonts w:ascii="Times New Roman" w:hAnsi="Times New Roman" w:cs="Times New Roman"/>
          <w:color w:val="000000" w:themeColor="text1"/>
          <w:sz w:val="24"/>
          <w:szCs w:val="24"/>
        </w:rPr>
        <w:t xml:space="preserve">on the </w:t>
      </w:r>
      <w:r w:rsidR="008142DF" w:rsidRPr="00243C46">
        <w:rPr>
          <w:rFonts w:ascii="Times New Roman" w:hAnsi="Times New Roman" w:cs="Times New Roman"/>
          <w:color w:val="000000" w:themeColor="text1"/>
          <w:sz w:val="24"/>
          <w:szCs w:val="24"/>
        </w:rPr>
        <w:t xml:space="preserve">outcomes of the </w:t>
      </w:r>
      <w:r w:rsidR="00C1256E" w:rsidRPr="00243C46">
        <w:rPr>
          <w:rFonts w:ascii="Times New Roman" w:hAnsi="Times New Roman" w:cs="Times New Roman"/>
          <w:color w:val="000000" w:themeColor="text1"/>
          <w:sz w:val="24"/>
          <w:szCs w:val="24"/>
        </w:rPr>
        <w:t>forensic investigation</w:t>
      </w:r>
      <w:r w:rsidRPr="00243C46">
        <w:rPr>
          <w:rFonts w:ascii="Times New Roman" w:hAnsi="Times New Roman" w:cs="Times New Roman"/>
          <w:color w:val="000000" w:themeColor="text1"/>
          <w:sz w:val="24"/>
          <w:szCs w:val="24"/>
        </w:rPr>
        <w:t xml:space="preserve"> into the IFMS and the actions taken against anyone found to have violated the law in the next quarterly briefing. The Committee </w:t>
      </w:r>
      <w:r w:rsidR="00C1256E" w:rsidRPr="00243C46">
        <w:rPr>
          <w:rFonts w:ascii="Times New Roman" w:hAnsi="Times New Roman" w:cs="Times New Roman"/>
          <w:color w:val="000000" w:themeColor="text1"/>
          <w:sz w:val="24"/>
          <w:szCs w:val="24"/>
        </w:rPr>
        <w:t xml:space="preserve">further </w:t>
      </w:r>
      <w:r w:rsidRPr="00243C46">
        <w:rPr>
          <w:rFonts w:ascii="Times New Roman" w:hAnsi="Times New Roman" w:cs="Times New Roman"/>
          <w:color w:val="000000" w:themeColor="text1"/>
          <w:sz w:val="24"/>
          <w:szCs w:val="24"/>
        </w:rPr>
        <w:t xml:space="preserve">requires details </w:t>
      </w:r>
      <w:r w:rsidR="00C1256E" w:rsidRPr="00243C46">
        <w:rPr>
          <w:rFonts w:ascii="Times New Roman" w:hAnsi="Times New Roman" w:cs="Times New Roman"/>
          <w:color w:val="000000" w:themeColor="text1"/>
          <w:sz w:val="24"/>
          <w:szCs w:val="24"/>
        </w:rPr>
        <w:t>on</w:t>
      </w:r>
      <w:r w:rsidRPr="00243C46">
        <w:rPr>
          <w:rFonts w:ascii="Times New Roman" w:hAnsi="Times New Roman" w:cs="Times New Roman"/>
          <w:color w:val="000000" w:themeColor="text1"/>
          <w:sz w:val="24"/>
          <w:szCs w:val="24"/>
        </w:rPr>
        <w:t xml:space="preserve"> the implementation of the IFMS and the appointment of the Chief Director</w:t>
      </w:r>
      <w:r w:rsidR="00C1256E" w:rsidRPr="00243C46">
        <w:rPr>
          <w:rFonts w:ascii="Times New Roman" w:hAnsi="Times New Roman" w:cs="Times New Roman"/>
          <w:color w:val="000000" w:themeColor="text1"/>
          <w:sz w:val="24"/>
          <w:szCs w:val="24"/>
        </w:rPr>
        <w:t>:</w:t>
      </w:r>
      <w:r w:rsidRPr="00243C46">
        <w:rPr>
          <w:rFonts w:ascii="Times New Roman" w:hAnsi="Times New Roman" w:cs="Times New Roman"/>
          <w:color w:val="000000" w:themeColor="text1"/>
          <w:sz w:val="24"/>
          <w:szCs w:val="24"/>
        </w:rPr>
        <w:t xml:space="preserve"> </w:t>
      </w:r>
      <w:r w:rsidR="008142DF" w:rsidRPr="00243C46">
        <w:rPr>
          <w:rFonts w:ascii="Times New Roman" w:hAnsi="Times New Roman" w:cs="Times New Roman"/>
          <w:color w:val="000000" w:themeColor="text1"/>
          <w:sz w:val="24"/>
          <w:szCs w:val="24"/>
        </w:rPr>
        <w:t xml:space="preserve">IFMS. </w:t>
      </w:r>
    </w:p>
    <w:p w14:paraId="3B7A8067" w14:textId="77777777" w:rsidR="008E7013" w:rsidRPr="00243C46" w:rsidRDefault="009D77BA"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sz w:val="24"/>
          <w:szCs w:val="24"/>
        </w:rPr>
        <w:t xml:space="preserve">The Committee is concerned about the financial state </w:t>
      </w:r>
      <w:r w:rsidR="00B44569" w:rsidRPr="00243C46">
        <w:rPr>
          <w:rFonts w:ascii="Times New Roman" w:hAnsi="Times New Roman" w:cs="Times New Roman"/>
          <w:sz w:val="24"/>
          <w:szCs w:val="24"/>
        </w:rPr>
        <w:t>of SOCs</w:t>
      </w:r>
      <w:r w:rsidRPr="00243C46">
        <w:rPr>
          <w:rFonts w:ascii="Times New Roman" w:hAnsi="Times New Roman" w:cs="Times New Roman"/>
          <w:sz w:val="24"/>
          <w:szCs w:val="24"/>
        </w:rPr>
        <w:t xml:space="preserve">. The Committee notes that a Special Appropriation Bill </w:t>
      </w:r>
      <w:r w:rsidR="00C01F65" w:rsidRPr="00243C46">
        <w:rPr>
          <w:rFonts w:ascii="Times New Roman" w:hAnsi="Times New Roman" w:cs="Times New Roman"/>
          <w:sz w:val="24"/>
          <w:szCs w:val="24"/>
        </w:rPr>
        <w:t xml:space="preserve">on Eskom </w:t>
      </w:r>
      <w:r w:rsidRPr="00243C46">
        <w:rPr>
          <w:rFonts w:ascii="Times New Roman" w:hAnsi="Times New Roman" w:cs="Times New Roman"/>
          <w:sz w:val="24"/>
          <w:szCs w:val="24"/>
        </w:rPr>
        <w:t>will be t</w:t>
      </w:r>
      <w:r w:rsidR="00C01F65" w:rsidRPr="00243C46">
        <w:rPr>
          <w:rFonts w:ascii="Times New Roman" w:hAnsi="Times New Roman" w:cs="Times New Roman"/>
          <w:sz w:val="24"/>
          <w:szCs w:val="24"/>
        </w:rPr>
        <w:t xml:space="preserve">abled </w:t>
      </w:r>
      <w:r w:rsidR="00C1256E" w:rsidRPr="00243C46">
        <w:rPr>
          <w:rFonts w:ascii="Times New Roman" w:hAnsi="Times New Roman" w:cs="Times New Roman"/>
          <w:sz w:val="24"/>
          <w:szCs w:val="24"/>
        </w:rPr>
        <w:t xml:space="preserve">on an urgent basis </w:t>
      </w:r>
      <w:r w:rsidR="00C01F65" w:rsidRPr="00243C46">
        <w:rPr>
          <w:rFonts w:ascii="Times New Roman" w:hAnsi="Times New Roman" w:cs="Times New Roman"/>
          <w:sz w:val="24"/>
          <w:szCs w:val="24"/>
        </w:rPr>
        <w:t xml:space="preserve">in Parliament. </w:t>
      </w:r>
      <w:r w:rsidR="00AA11F1" w:rsidRPr="00243C46">
        <w:rPr>
          <w:rFonts w:ascii="Times New Roman" w:hAnsi="Times New Roman" w:cs="Times New Roman"/>
          <w:sz w:val="24"/>
          <w:szCs w:val="24"/>
        </w:rPr>
        <w:t xml:space="preserve">The Committee also notes </w:t>
      </w:r>
      <w:r w:rsidR="00C1256E" w:rsidRPr="00243C46">
        <w:rPr>
          <w:rFonts w:ascii="Times New Roman" w:hAnsi="Times New Roman" w:cs="Times New Roman"/>
          <w:sz w:val="24"/>
          <w:szCs w:val="24"/>
        </w:rPr>
        <w:t xml:space="preserve">the reforms that have taken place since 2017 to turn the financial position and management of SOCs. However, many </w:t>
      </w:r>
      <w:r w:rsidR="00C01F65" w:rsidRPr="00243C46">
        <w:rPr>
          <w:rFonts w:ascii="Times New Roman" w:hAnsi="Times New Roman" w:cs="Times New Roman"/>
          <w:sz w:val="24"/>
          <w:szCs w:val="24"/>
        </w:rPr>
        <w:t>SOCs continue to pose a great risk to the fiscus.</w:t>
      </w:r>
      <w:r w:rsidR="00C1256E" w:rsidRPr="00243C46">
        <w:rPr>
          <w:rFonts w:ascii="Times New Roman" w:hAnsi="Times New Roman" w:cs="Times New Roman"/>
          <w:sz w:val="24"/>
          <w:szCs w:val="24"/>
        </w:rPr>
        <w:t xml:space="preserve"> While the Committee recognises that the turnaround plans</w:t>
      </w:r>
      <w:r w:rsidR="00AA11F1" w:rsidRPr="00243C46">
        <w:rPr>
          <w:rFonts w:ascii="Times New Roman" w:hAnsi="Times New Roman" w:cs="Times New Roman"/>
          <w:sz w:val="24"/>
          <w:szCs w:val="24"/>
        </w:rPr>
        <w:t xml:space="preserve"> at SOCs</w:t>
      </w:r>
      <w:r w:rsidR="00C1256E" w:rsidRPr="00243C46">
        <w:rPr>
          <w:rFonts w:ascii="Times New Roman" w:hAnsi="Times New Roman" w:cs="Times New Roman"/>
          <w:sz w:val="24"/>
          <w:szCs w:val="24"/>
        </w:rPr>
        <w:t xml:space="preserve"> cannot be achieved overnight, it is concerned</w:t>
      </w:r>
      <w:r w:rsidR="00C01F65" w:rsidRPr="00243C46">
        <w:rPr>
          <w:rFonts w:ascii="Times New Roman" w:hAnsi="Times New Roman" w:cs="Times New Roman"/>
          <w:sz w:val="24"/>
          <w:szCs w:val="24"/>
        </w:rPr>
        <w:t xml:space="preserve"> </w:t>
      </w:r>
      <w:r w:rsidR="00C1256E" w:rsidRPr="00243C46">
        <w:rPr>
          <w:rFonts w:ascii="Times New Roman" w:hAnsi="Times New Roman" w:cs="Times New Roman"/>
          <w:sz w:val="24"/>
          <w:szCs w:val="24"/>
        </w:rPr>
        <w:t xml:space="preserve">on the impact and effectiveness of these changes particularly at SAA and Eskom, given the recent resignations of </w:t>
      </w:r>
      <w:r w:rsidR="00AA11F1" w:rsidRPr="00243C46">
        <w:rPr>
          <w:rFonts w:ascii="Times New Roman" w:hAnsi="Times New Roman" w:cs="Times New Roman"/>
          <w:sz w:val="24"/>
          <w:szCs w:val="24"/>
        </w:rPr>
        <w:t xml:space="preserve">the </w:t>
      </w:r>
      <w:r w:rsidR="00C1256E" w:rsidRPr="00243C46">
        <w:rPr>
          <w:rFonts w:ascii="Times New Roman" w:hAnsi="Times New Roman" w:cs="Times New Roman"/>
          <w:sz w:val="24"/>
          <w:szCs w:val="24"/>
        </w:rPr>
        <w:t xml:space="preserve">Chief Executive Officers. </w:t>
      </w:r>
      <w:r w:rsidR="00C01F65" w:rsidRPr="00243C46">
        <w:rPr>
          <w:rFonts w:ascii="Times New Roman" w:hAnsi="Times New Roman" w:cs="Times New Roman"/>
          <w:sz w:val="24"/>
          <w:szCs w:val="24"/>
        </w:rPr>
        <w:t xml:space="preserve">The Committee requires NT to report quarterly to it on all contingent liabilities, the status of SOC guarantees, the extent of the exposure against guarantees and, the data on the portfolio of SOC assets. </w:t>
      </w:r>
      <w:r w:rsidR="00C256A6" w:rsidRPr="00243C46">
        <w:rPr>
          <w:rFonts w:ascii="Times New Roman" w:hAnsi="Times New Roman" w:cs="Times New Roman"/>
          <w:sz w:val="24"/>
          <w:szCs w:val="24"/>
        </w:rPr>
        <w:t xml:space="preserve">The Committee believes </w:t>
      </w:r>
      <w:r w:rsidR="00EA4879" w:rsidRPr="00243C46">
        <w:rPr>
          <w:rFonts w:ascii="Times New Roman" w:hAnsi="Times New Roman" w:cs="Times New Roman"/>
          <w:sz w:val="24"/>
          <w:szCs w:val="24"/>
        </w:rPr>
        <w:t xml:space="preserve">that </w:t>
      </w:r>
      <w:r w:rsidR="00C256A6" w:rsidRPr="00243C46">
        <w:rPr>
          <w:rFonts w:ascii="Times New Roman" w:hAnsi="Times New Roman" w:cs="Times New Roman"/>
          <w:sz w:val="24"/>
          <w:szCs w:val="24"/>
        </w:rPr>
        <w:t>additional support to SOCs should be contingent on not just theoretical turnaround plans, but the successful implementation of such plans.</w:t>
      </w:r>
    </w:p>
    <w:p w14:paraId="659CC7AE" w14:textId="77777777" w:rsidR="00C1256E" w:rsidRPr="00243C46" w:rsidRDefault="008E7013" w:rsidP="00CD3989">
      <w:pPr>
        <w:pStyle w:val="ListParagraph"/>
        <w:numPr>
          <w:ilvl w:val="1"/>
          <w:numId w:val="1"/>
        </w:numPr>
        <w:spacing w:line="360" w:lineRule="auto"/>
        <w:jc w:val="both"/>
        <w:rPr>
          <w:rFonts w:ascii="Times New Roman" w:hAnsi="Times New Roman" w:cs="Times New Roman"/>
          <w:b/>
          <w:sz w:val="24"/>
          <w:szCs w:val="24"/>
        </w:rPr>
      </w:pPr>
      <w:r w:rsidRPr="00243C46">
        <w:rPr>
          <w:rFonts w:ascii="Times New Roman" w:hAnsi="Times New Roman" w:cs="Times New Roman"/>
          <w:sz w:val="24"/>
          <w:szCs w:val="24"/>
        </w:rPr>
        <w:t xml:space="preserve">The Committee </w:t>
      </w:r>
      <w:r w:rsidR="0071150F" w:rsidRPr="00243C46">
        <w:rPr>
          <w:rFonts w:ascii="Times New Roman" w:hAnsi="Times New Roman" w:cs="Times New Roman"/>
          <w:sz w:val="24"/>
          <w:szCs w:val="24"/>
        </w:rPr>
        <w:t xml:space="preserve">is concerned that despite </w:t>
      </w:r>
      <w:r w:rsidR="00C1256E" w:rsidRPr="00243C46">
        <w:rPr>
          <w:rFonts w:ascii="Times New Roman" w:hAnsi="Times New Roman" w:cs="Times New Roman"/>
          <w:sz w:val="24"/>
          <w:szCs w:val="24"/>
        </w:rPr>
        <w:t>the government-wide work</w:t>
      </w:r>
      <w:r w:rsidR="0071150F" w:rsidRPr="00243C46">
        <w:rPr>
          <w:rFonts w:ascii="Times New Roman" w:hAnsi="Times New Roman" w:cs="Times New Roman"/>
          <w:sz w:val="24"/>
          <w:szCs w:val="24"/>
        </w:rPr>
        <w:t xml:space="preserve"> </w:t>
      </w:r>
      <w:r w:rsidRPr="00243C46">
        <w:rPr>
          <w:rFonts w:ascii="Times New Roman" w:hAnsi="Times New Roman" w:cs="Times New Roman"/>
          <w:sz w:val="24"/>
          <w:szCs w:val="24"/>
        </w:rPr>
        <w:t>to find solutions to challenges in municipalities</w:t>
      </w:r>
      <w:r w:rsidR="0071150F" w:rsidRPr="00243C46">
        <w:rPr>
          <w:rFonts w:ascii="Times New Roman" w:hAnsi="Times New Roman" w:cs="Times New Roman"/>
        </w:rPr>
        <w:t xml:space="preserve">, </w:t>
      </w:r>
      <w:r w:rsidR="008142DF" w:rsidRPr="00243C46">
        <w:rPr>
          <w:rFonts w:ascii="Times New Roman" w:hAnsi="Times New Roman" w:cs="Times New Roman"/>
        </w:rPr>
        <w:t xml:space="preserve">many of </w:t>
      </w:r>
      <w:r w:rsidR="0071150F" w:rsidRPr="00243C46">
        <w:rPr>
          <w:rFonts w:ascii="Times New Roman" w:hAnsi="Times New Roman" w:cs="Times New Roman"/>
        </w:rPr>
        <w:t>the</w:t>
      </w:r>
      <w:r w:rsidR="008142DF" w:rsidRPr="00243C46">
        <w:rPr>
          <w:rFonts w:ascii="Times New Roman" w:hAnsi="Times New Roman" w:cs="Times New Roman"/>
        </w:rPr>
        <w:t>m</w:t>
      </w:r>
      <w:r w:rsidR="0071150F" w:rsidRPr="00243C46">
        <w:rPr>
          <w:rFonts w:ascii="Times New Roman" w:hAnsi="Times New Roman" w:cs="Times New Roman"/>
        </w:rPr>
        <w:t xml:space="preserve"> </w:t>
      </w:r>
      <w:r w:rsidR="00C1256E" w:rsidRPr="00243C46">
        <w:rPr>
          <w:rFonts w:ascii="Times New Roman" w:hAnsi="Times New Roman" w:cs="Times New Roman"/>
        </w:rPr>
        <w:t xml:space="preserve">are </w:t>
      </w:r>
      <w:r w:rsidR="0071150F" w:rsidRPr="00243C46">
        <w:rPr>
          <w:rFonts w:ascii="Times New Roman" w:hAnsi="Times New Roman" w:cs="Times New Roman"/>
        </w:rPr>
        <w:t>in a critical state</w:t>
      </w:r>
      <w:r w:rsidR="0047689F" w:rsidRPr="00243C46">
        <w:rPr>
          <w:rFonts w:ascii="Times New Roman" w:hAnsi="Times New Roman" w:cs="Times New Roman"/>
        </w:rPr>
        <w:t xml:space="preserve"> with many of them </w:t>
      </w:r>
      <w:r w:rsidR="00C1256E" w:rsidRPr="00243C46">
        <w:rPr>
          <w:rFonts w:ascii="Times New Roman" w:hAnsi="Times New Roman" w:cs="Times New Roman"/>
        </w:rPr>
        <w:t>implementing unfunded budgets</w:t>
      </w:r>
      <w:r w:rsidRPr="00243C46">
        <w:rPr>
          <w:rFonts w:ascii="Times New Roman" w:hAnsi="Times New Roman" w:cs="Times New Roman"/>
        </w:rPr>
        <w:t xml:space="preserve">. </w:t>
      </w:r>
      <w:r w:rsidR="00C1256E" w:rsidRPr="00243C46">
        <w:rPr>
          <w:rFonts w:ascii="Times New Roman" w:hAnsi="Times New Roman" w:cs="Times New Roman"/>
        </w:rPr>
        <w:t>The recently released report of the Auditor-General of South Africa entitled “</w:t>
      </w:r>
      <w:r w:rsidR="00C1256E" w:rsidRPr="00243C46">
        <w:rPr>
          <w:rFonts w:ascii="Times New Roman" w:hAnsi="Times New Roman" w:cs="Times New Roman"/>
          <w:i/>
        </w:rPr>
        <w:t>Consolidated General Report on the local government audit outcomes: MFMA 2017/18</w:t>
      </w:r>
      <w:r w:rsidR="00C1256E" w:rsidRPr="00243C46">
        <w:rPr>
          <w:rFonts w:ascii="Times New Roman" w:hAnsi="Times New Roman" w:cs="Times New Roman"/>
        </w:rPr>
        <w:t xml:space="preserve">” shows that 63% of municipalities regressed in their overall audit outcomes in 2017/18. </w:t>
      </w:r>
      <w:r w:rsidR="0047689F" w:rsidRPr="00243C46">
        <w:rPr>
          <w:rFonts w:ascii="Times New Roman" w:hAnsi="Times New Roman" w:cs="Times New Roman"/>
        </w:rPr>
        <w:t>The Committee believes that the Standing Committee on Public Accounts (SCOPA) will attend to this.</w:t>
      </w:r>
      <w:r w:rsidR="00C256A6" w:rsidRPr="00243C46">
        <w:rPr>
          <w:rFonts w:ascii="Times New Roman" w:hAnsi="Times New Roman" w:cs="Times New Roman"/>
          <w:sz w:val="24"/>
          <w:szCs w:val="24"/>
        </w:rPr>
        <w:t xml:space="preserve"> </w:t>
      </w:r>
      <w:r w:rsidRPr="00243C46">
        <w:rPr>
          <w:rFonts w:ascii="Times New Roman" w:hAnsi="Times New Roman" w:cs="Times New Roman"/>
          <w:sz w:val="24"/>
          <w:szCs w:val="24"/>
        </w:rPr>
        <w:t xml:space="preserve">The Committee supports National Treasury’s work in coordinating fiscal relations and promoting sound and transparent budgetary planning across </w:t>
      </w:r>
      <w:r w:rsidR="00C1256E" w:rsidRPr="00243C46">
        <w:rPr>
          <w:rFonts w:ascii="Times New Roman" w:hAnsi="Times New Roman" w:cs="Times New Roman"/>
          <w:sz w:val="24"/>
          <w:szCs w:val="24"/>
        </w:rPr>
        <w:t>all spheres of government</w:t>
      </w:r>
      <w:r w:rsidRPr="00243C46">
        <w:rPr>
          <w:rFonts w:ascii="Times New Roman" w:hAnsi="Times New Roman" w:cs="Times New Roman"/>
          <w:sz w:val="24"/>
          <w:szCs w:val="24"/>
        </w:rPr>
        <w:t xml:space="preserve">. </w:t>
      </w:r>
      <w:r w:rsidR="0071150F" w:rsidRPr="00243C46">
        <w:rPr>
          <w:rFonts w:ascii="Times New Roman" w:hAnsi="Times New Roman" w:cs="Times New Roman"/>
          <w:sz w:val="24"/>
          <w:szCs w:val="24"/>
        </w:rPr>
        <w:t xml:space="preserve">The Committee </w:t>
      </w:r>
      <w:r w:rsidRPr="00243C46">
        <w:rPr>
          <w:rFonts w:ascii="Times New Roman" w:hAnsi="Times New Roman" w:cs="Times New Roman"/>
          <w:sz w:val="24"/>
          <w:szCs w:val="24"/>
        </w:rPr>
        <w:t>believe</w:t>
      </w:r>
      <w:r w:rsidR="0071150F" w:rsidRPr="00243C46">
        <w:rPr>
          <w:rFonts w:ascii="Times New Roman" w:hAnsi="Times New Roman" w:cs="Times New Roman"/>
          <w:sz w:val="24"/>
          <w:szCs w:val="24"/>
        </w:rPr>
        <w:t>s</w:t>
      </w:r>
      <w:r w:rsidRPr="00243C46">
        <w:rPr>
          <w:rFonts w:ascii="Times New Roman" w:hAnsi="Times New Roman" w:cs="Times New Roman"/>
          <w:sz w:val="24"/>
          <w:szCs w:val="24"/>
        </w:rPr>
        <w:t xml:space="preserve"> that there should be more coordination of support to municipalities between the various national and provincial departments that provide such support in order to </w:t>
      </w:r>
      <w:r w:rsidR="00C1256E" w:rsidRPr="00243C46">
        <w:rPr>
          <w:rFonts w:ascii="Times New Roman" w:hAnsi="Times New Roman" w:cs="Times New Roman"/>
          <w:sz w:val="24"/>
          <w:szCs w:val="24"/>
        </w:rPr>
        <w:t xml:space="preserve">ensure that it is effective, </w:t>
      </w:r>
      <w:r w:rsidRPr="00243C46">
        <w:rPr>
          <w:rFonts w:ascii="Times New Roman" w:hAnsi="Times New Roman" w:cs="Times New Roman"/>
          <w:sz w:val="24"/>
          <w:szCs w:val="24"/>
        </w:rPr>
        <w:t>efficient and improves the management of municipalities. This includes the coordination between the work of National Treasury of strengthening capacity to</w:t>
      </w:r>
      <w:r w:rsidR="00B44569" w:rsidRPr="00243C46">
        <w:rPr>
          <w:rFonts w:ascii="Times New Roman" w:hAnsi="Times New Roman" w:cs="Times New Roman"/>
          <w:sz w:val="24"/>
          <w:szCs w:val="24"/>
        </w:rPr>
        <w:t xml:space="preserve"> </w:t>
      </w:r>
      <w:r w:rsidRPr="00243C46">
        <w:rPr>
          <w:rFonts w:ascii="Times New Roman" w:hAnsi="Times New Roman" w:cs="Times New Roman"/>
          <w:sz w:val="24"/>
          <w:szCs w:val="24"/>
        </w:rPr>
        <w:t xml:space="preserve">improve financial management and the implementation of financial management legislation through the Local Government Financial Management </w:t>
      </w:r>
      <w:r w:rsidRPr="00243C46">
        <w:rPr>
          <w:rFonts w:ascii="Times New Roman" w:hAnsi="Times New Roman" w:cs="Times New Roman"/>
          <w:sz w:val="24"/>
          <w:szCs w:val="24"/>
        </w:rPr>
        <w:lastRenderedPageBreak/>
        <w:t xml:space="preserve">Support sub-programme; the Municipal Finance Improvement Programme (MFIP). The Committee has requested the National Treasury to, as soon as possible, provide it with a report on its assessments of the effectiveness of its support </w:t>
      </w:r>
      <w:r w:rsidR="00C1256E" w:rsidRPr="00243C46">
        <w:rPr>
          <w:rFonts w:ascii="Times New Roman" w:hAnsi="Times New Roman" w:cs="Times New Roman"/>
          <w:sz w:val="24"/>
          <w:szCs w:val="24"/>
        </w:rPr>
        <w:t xml:space="preserve">programmes (such as the MFIP and the Cities Support Programme) </w:t>
      </w:r>
      <w:r w:rsidRPr="00243C46">
        <w:rPr>
          <w:rFonts w:ascii="Times New Roman" w:hAnsi="Times New Roman" w:cs="Times New Roman"/>
          <w:sz w:val="24"/>
          <w:szCs w:val="24"/>
        </w:rPr>
        <w:t>to municipalities.</w:t>
      </w:r>
    </w:p>
    <w:p w14:paraId="4AA55D5D" w14:textId="77777777" w:rsidR="00C1256E" w:rsidRPr="00243C46" w:rsidRDefault="009944E3"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color w:val="000000" w:themeColor="text1"/>
          <w:sz w:val="24"/>
          <w:szCs w:val="24"/>
        </w:rPr>
        <w:t>The Co</w:t>
      </w:r>
      <w:r w:rsidR="00C1256E" w:rsidRPr="00243C46">
        <w:rPr>
          <w:rFonts w:ascii="Times New Roman" w:hAnsi="Times New Roman" w:cs="Times New Roman"/>
          <w:color w:val="000000" w:themeColor="text1"/>
          <w:sz w:val="24"/>
          <w:szCs w:val="24"/>
        </w:rPr>
        <w:t>mmittee welcomes measures to rebuild</w:t>
      </w:r>
      <w:r w:rsidRPr="00243C46">
        <w:rPr>
          <w:rFonts w:ascii="Times New Roman" w:hAnsi="Times New Roman" w:cs="Times New Roman"/>
          <w:color w:val="000000" w:themeColor="text1"/>
          <w:sz w:val="24"/>
          <w:szCs w:val="24"/>
        </w:rPr>
        <w:t xml:space="preserve"> the South African Revenue Service.</w:t>
      </w:r>
      <w:r w:rsidR="00C1256E" w:rsidRPr="00243C46">
        <w:rPr>
          <w:rFonts w:ascii="Times New Roman" w:hAnsi="Times New Roman" w:cs="Times New Roman"/>
          <w:color w:val="000000" w:themeColor="text1"/>
          <w:sz w:val="24"/>
          <w:szCs w:val="24"/>
        </w:rPr>
        <w:t xml:space="preserve"> While noting reservations from some on the transparency of the process followed to appoint the new SARS Commissioner, the majority in the Committee believes that the National Treasury has provided explanation on the recruitment process followed in appointing </w:t>
      </w:r>
      <w:r w:rsidR="0047689F" w:rsidRPr="00243C46">
        <w:rPr>
          <w:rFonts w:ascii="Times New Roman" w:hAnsi="Times New Roman" w:cs="Times New Roman"/>
          <w:color w:val="000000" w:themeColor="text1"/>
          <w:sz w:val="24"/>
          <w:szCs w:val="24"/>
        </w:rPr>
        <w:t>him</w:t>
      </w:r>
      <w:r w:rsidR="00C1256E" w:rsidRPr="00243C46">
        <w:rPr>
          <w:rFonts w:ascii="Times New Roman" w:hAnsi="Times New Roman" w:cs="Times New Roman"/>
          <w:color w:val="000000" w:themeColor="text1"/>
          <w:sz w:val="24"/>
          <w:szCs w:val="24"/>
        </w:rPr>
        <w:t>, as was recommended by the Nugent Commission</w:t>
      </w:r>
      <w:r w:rsidR="0047689F" w:rsidRPr="00243C46">
        <w:rPr>
          <w:rFonts w:ascii="Times New Roman" w:hAnsi="Times New Roman" w:cs="Times New Roman"/>
          <w:color w:val="000000" w:themeColor="text1"/>
          <w:sz w:val="24"/>
          <w:szCs w:val="24"/>
        </w:rPr>
        <w:t>. The</w:t>
      </w:r>
      <w:r w:rsidR="00C1256E" w:rsidRPr="00243C46">
        <w:rPr>
          <w:rFonts w:ascii="Times New Roman" w:hAnsi="Times New Roman" w:cs="Times New Roman"/>
          <w:color w:val="000000" w:themeColor="text1"/>
          <w:sz w:val="24"/>
          <w:szCs w:val="24"/>
        </w:rPr>
        <w:t xml:space="preserve"> information </w:t>
      </w:r>
      <w:r w:rsidR="0047689F" w:rsidRPr="00243C46">
        <w:rPr>
          <w:rFonts w:ascii="Times New Roman" w:hAnsi="Times New Roman" w:cs="Times New Roman"/>
          <w:color w:val="000000" w:themeColor="text1"/>
          <w:sz w:val="24"/>
          <w:szCs w:val="24"/>
        </w:rPr>
        <w:t xml:space="preserve">on the recruitment process </w:t>
      </w:r>
      <w:r w:rsidR="00C1256E" w:rsidRPr="00243C46">
        <w:rPr>
          <w:rFonts w:ascii="Times New Roman" w:hAnsi="Times New Roman" w:cs="Times New Roman"/>
          <w:color w:val="000000" w:themeColor="text1"/>
          <w:sz w:val="24"/>
          <w:szCs w:val="24"/>
        </w:rPr>
        <w:t xml:space="preserve">is publicly available on the National Treasury’s website. The Committee wishes to emphasise that the appointment of the Commissioner of SARS is the prerogative of the President. The Committee welcomes the appointment of Mr Kieswetter and wishes him well in his work.  </w:t>
      </w:r>
    </w:p>
    <w:p w14:paraId="44FB9BFE"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eastAsia="Calibri" w:hAnsi="Times New Roman" w:cs="Times New Roman"/>
          <w:sz w:val="24"/>
          <w:szCs w:val="24"/>
        </w:rPr>
        <w:t>Further, the Committee welcomes the report of the Nugent Commission</w:t>
      </w:r>
      <w:r w:rsidR="0047689F" w:rsidRPr="00243C46">
        <w:rPr>
          <w:rFonts w:ascii="Times New Roman" w:eastAsia="Calibri" w:hAnsi="Times New Roman" w:cs="Times New Roman"/>
          <w:sz w:val="24"/>
          <w:szCs w:val="24"/>
        </w:rPr>
        <w:t xml:space="preserve"> and notes that the Cabinet has endorsed its implementation</w:t>
      </w:r>
      <w:r w:rsidRPr="00243C46">
        <w:rPr>
          <w:rFonts w:ascii="Times New Roman" w:eastAsia="Calibri" w:hAnsi="Times New Roman" w:cs="Times New Roman"/>
          <w:sz w:val="24"/>
          <w:szCs w:val="24"/>
        </w:rPr>
        <w:t>. The Committee will, in the next quarter, request a briefing and update on the report by the National Treasury</w:t>
      </w:r>
      <w:r w:rsidR="0047689F" w:rsidRPr="00243C46">
        <w:rPr>
          <w:rFonts w:ascii="Times New Roman" w:eastAsia="Calibri" w:hAnsi="Times New Roman" w:cs="Times New Roman"/>
          <w:sz w:val="24"/>
          <w:szCs w:val="24"/>
        </w:rPr>
        <w:t>, SARS</w:t>
      </w:r>
      <w:r w:rsidRPr="00243C46">
        <w:rPr>
          <w:rFonts w:ascii="Times New Roman" w:eastAsia="Calibri" w:hAnsi="Times New Roman" w:cs="Times New Roman"/>
          <w:sz w:val="24"/>
          <w:szCs w:val="24"/>
        </w:rPr>
        <w:t xml:space="preserve"> and Judge Robert Nugent and continuously o</w:t>
      </w:r>
      <w:r w:rsidR="0047689F" w:rsidRPr="00243C46">
        <w:rPr>
          <w:rFonts w:ascii="Times New Roman" w:eastAsia="Calibri" w:hAnsi="Times New Roman" w:cs="Times New Roman"/>
          <w:sz w:val="24"/>
          <w:szCs w:val="24"/>
        </w:rPr>
        <w:t>versee the implementation of the report’s</w:t>
      </w:r>
      <w:r w:rsidRPr="00243C46">
        <w:rPr>
          <w:rFonts w:ascii="Times New Roman" w:eastAsia="Calibri" w:hAnsi="Times New Roman" w:cs="Times New Roman"/>
          <w:sz w:val="24"/>
          <w:szCs w:val="24"/>
        </w:rPr>
        <w:t xml:space="preserve"> recommendations. </w:t>
      </w:r>
    </w:p>
    <w:p w14:paraId="039C25A3"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eastAsia="Calibri" w:hAnsi="Times New Roman" w:cs="Times New Roman"/>
          <w:sz w:val="24"/>
          <w:szCs w:val="24"/>
        </w:rPr>
        <w:t>The Committee welcomes the re-establishment of the Large Business Centre, the Compliance Unit and the review and strengthening of the Anti-Corruption Unit and, the establishment of the Illicit Economy Unit</w:t>
      </w:r>
      <w:r w:rsidR="0047689F" w:rsidRPr="00243C46">
        <w:rPr>
          <w:rFonts w:ascii="Times New Roman" w:eastAsia="Calibri" w:hAnsi="Times New Roman" w:cs="Times New Roman"/>
          <w:sz w:val="24"/>
          <w:szCs w:val="24"/>
        </w:rPr>
        <w:t xml:space="preserve"> at SARS</w:t>
      </w:r>
      <w:r w:rsidRPr="00243C46">
        <w:rPr>
          <w:rFonts w:ascii="Times New Roman" w:eastAsia="Calibri" w:hAnsi="Times New Roman" w:cs="Times New Roman"/>
          <w:sz w:val="24"/>
          <w:szCs w:val="24"/>
        </w:rPr>
        <w:t>. The Committee believes that the re-establishment of these units will go a long way in enabling SARS to arrest revenue leakages, particularly in the illicit economy.</w:t>
      </w:r>
    </w:p>
    <w:p w14:paraId="185C80D6"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eastAsia="Calibri" w:hAnsi="Times New Roman" w:cs="Times New Roman"/>
          <w:sz w:val="24"/>
          <w:szCs w:val="24"/>
        </w:rPr>
        <w:t>The Committee notes the extension of the Employment Tax Incentive</w:t>
      </w:r>
      <w:r w:rsidR="0047689F" w:rsidRPr="00243C46">
        <w:rPr>
          <w:rFonts w:ascii="Times New Roman" w:eastAsia="Calibri" w:hAnsi="Times New Roman" w:cs="Times New Roman"/>
          <w:sz w:val="24"/>
          <w:szCs w:val="24"/>
        </w:rPr>
        <w:t xml:space="preserve"> (ETI)</w:t>
      </w:r>
      <w:r w:rsidRPr="00243C46">
        <w:rPr>
          <w:rFonts w:ascii="Times New Roman" w:eastAsia="Calibri" w:hAnsi="Times New Roman" w:cs="Times New Roman"/>
          <w:sz w:val="24"/>
          <w:szCs w:val="24"/>
        </w:rPr>
        <w:t xml:space="preserve"> scheme by a further 10 years </w:t>
      </w:r>
      <w:r w:rsidR="0047689F" w:rsidRPr="00243C46">
        <w:rPr>
          <w:rFonts w:ascii="Times New Roman" w:eastAsia="Calibri" w:hAnsi="Times New Roman" w:cs="Times New Roman"/>
          <w:sz w:val="24"/>
          <w:szCs w:val="24"/>
        </w:rPr>
        <w:t xml:space="preserve">as announced earlier this year. The Committee also notes that </w:t>
      </w:r>
      <w:r w:rsidRPr="00243C46">
        <w:rPr>
          <w:rFonts w:ascii="Times New Roman" w:eastAsia="Calibri" w:hAnsi="Times New Roman" w:cs="Times New Roman"/>
          <w:sz w:val="24"/>
          <w:szCs w:val="24"/>
        </w:rPr>
        <w:t xml:space="preserve">over 1.1 million young people </w:t>
      </w:r>
      <w:r w:rsidR="0047689F" w:rsidRPr="00243C46">
        <w:rPr>
          <w:rFonts w:ascii="Times New Roman" w:eastAsia="Calibri" w:hAnsi="Times New Roman" w:cs="Times New Roman"/>
          <w:sz w:val="24"/>
          <w:szCs w:val="24"/>
        </w:rPr>
        <w:t xml:space="preserve">have benefitted from it </w:t>
      </w:r>
      <w:r w:rsidRPr="00243C46">
        <w:rPr>
          <w:rFonts w:ascii="Times New Roman" w:eastAsia="Calibri" w:hAnsi="Times New Roman" w:cs="Times New Roman"/>
          <w:sz w:val="24"/>
          <w:szCs w:val="24"/>
        </w:rPr>
        <w:t>since its inception in 2014. The Committee recommends that a more detailed study of the achievements and sustainability of th</w:t>
      </w:r>
      <w:r w:rsidR="0047689F" w:rsidRPr="00243C46">
        <w:rPr>
          <w:rFonts w:ascii="Times New Roman" w:eastAsia="Calibri" w:hAnsi="Times New Roman" w:cs="Times New Roman"/>
          <w:sz w:val="24"/>
          <w:szCs w:val="24"/>
        </w:rPr>
        <w:t xml:space="preserve">e ETI </w:t>
      </w:r>
      <w:r w:rsidRPr="00243C46">
        <w:rPr>
          <w:rFonts w:ascii="Times New Roman" w:eastAsia="Calibri" w:hAnsi="Times New Roman" w:cs="Times New Roman"/>
          <w:sz w:val="24"/>
          <w:szCs w:val="24"/>
        </w:rPr>
        <w:t xml:space="preserve">and its impact on job creation be conducted by the National Treasury.    </w:t>
      </w:r>
    </w:p>
    <w:p w14:paraId="2FC74212"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Committee notes that there are concerns that the commitments made in Nedlac by National Treasury and other government departments about reducing job losses related to the implementation of the Health Promotion Levy (sugar beverages tax) are not being fulfilled. The Committee further notes that the rate of the Health Promotion Levy</w:t>
      </w:r>
      <w:r w:rsidR="00A50205" w:rsidRPr="00243C46">
        <w:rPr>
          <w:rFonts w:ascii="Times New Roman" w:hAnsi="Times New Roman" w:cs="Times New Roman"/>
          <w:sz w:val="24"/>
          <w:szCs w:val="24"/>
        </w:rPr>
        <w:t>(HPL)</w:t>
      </w:r>
      <w:r w:rsidRPr="00243C46">
        <w:rPr>
          <w:rFonts w:ascii="Times New Roman" w:hAnsi="Times New Roman" w:cs="Times New Roman"/>
          <w:sz w:val="24"/>
          <w:szCs w:val="24"/>
        </w:rPr>
        <w:t xml:space="preserve"> was increased after</w:t>
      </w:r>
      <w:r w:rsidR="00A50205" w:rsidRPr="00243C46">
        <w:rPr>
          <w:rFonts w:ascii="Times New Roman" w:hAnsi="Times New Roman" w:cs="Times New Roman"/>
          <w:sz w:val="24"/>
          <w:szCs w:val="24"/>
        </w:rPr>
        <w:t xml:space="preserve"> the first year of its implementation</w:t>
      </w:r>
      <w:r w:rsidRPr="00243C46">
        <w:rPr>
          <w:rFonts w:ascii="Times New Roman" w:hAnsi="Times New Roman" w:cs="Times New Roman"/>
          <w:sz w:val="24"/>
          <w:szCs w:val="24"/>
        </w:rPr>
        <w:t xml:space="preserve">, without any evidence of its impact on health promotion. </w:t>
      </w:r>
      <w:r w:rsidR="00A50205" w:rsidRPr="00243C46">
        <w:rPr>
          <w:rFonts w:ascii="Times New Roman" w:hAnsi="Times New Roman" w:cs="Times New Roman"/>
          <w:sz w:val="24"/>
          <w:szCs w:val="24"/>
        </w:rPr>
        <w:t xml:space="preserve">The Committee understands that the HPL was not merely conceived </w:t>
      </w:r>
      <w:r w:rsidR="00A50205" w:rsidRPr="00243C46">
        <w:rPr>
          <w:rFonts w:ascii="Times New Roman" w:hAnsi="Times New Roman" w:cs="Times New Roman"/>
          <w:sz w:val="24"/>
          <w:szCs w:val="24"/>
        </w:rPr>
        <w:lastRenderedPageBreak/>
        <w:t xml:space="preserve">as a revenue generating initiative but to impact on the health of South Africans. </w:t>
      </w:r>
      <w:r w:rsidRPr="00243C46">
        <w:rPr>
          <w:rFonts w:ascii="Times New Roman" w:hAnsi="Times New Roman" w:cs="Times New Roman"/>
          <w:sz w:val="24"/>
          <w:szCs w:val="24"/>
        </w:rPr>
        <w:t>The Committee requires National Treasury to update the Committee regularly on the progress in</w:t>
      </w:r>
      <w:r w:rsidR="00A50205" w:rsidRPr="00243C46">
        <w:rPr>
          <w:rFonts w:ascii="Times New Roman" w:hAnsi="Times New Roman" w:cs="Times New Roman"/>
          <w:sz w:val="24"/>
          <w:szCs w:val="24"/>
        </w:rPr>
        <w:t xml:space="preserve"> the implementation of th</w:t>
      </w:r>
      <w:r w:rsidRPr="00243C46">
        <w:rPr>
          <w:rFonts w:ascii="Times New Roman" w:hAnsi="Times New Roman" w:cs="Times New Roman"/>
          <w:sz w:val="24"/>
          <w:szCs w:val="24"/>
        </w:rPr>
        <w:t>e Nedlac commitments</w:t>
      </w:r>
      <w:r w:rsidR="00A50205" w:rsidRPr="00243C46">
        <w:rPr>
          <w:rFonts w:ascii="Times New Roman" w:hAnsi="Times New Roman" w:cs="Times New Roman"/>
          <w:sz w:val="24"/>
          <w:szCs w:val="24"/>
        </w:rPr>
        <w:t xml:space="preserve"> on job loss mitigation</w:t>
      </w:r>
      <w:r w:rsidRPr="00243C46">
        <w:rPr>
          <w:rFonts w:ascii="Times New Roman" w:hAnsi="Times New Roman" w:cs="Times New Roman"/>
          <w:sz w:val="24"/>
          <w:szCs w:val="24"/>
        </w:rPr>
        <w:t xml:space="preserve">. </w:t>
      </w:r>
    </w:p>
    <w:p w14:paraId="0A3E8C73" w14:textId="77777777" w:rsidR="00A50205" w:rsidRPr="00243C46" w:rsidRDefault="00C1256E"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The Committee requires the National Treasury and SARS to supply it with more detailed information on how the High Risk Investigation Unit (“rogue intelligence unit”) was funded.</w:t>
      </w:r>
    </w:p>
    <w:p w14:paraId="1C9EDE70" w14:textId="77777777" w:rsidR="00C1256E" w:rsidRPr="00243C46" w:rsidRDefault="00A50205" w:rsidP="00CD3989">
      <w:pPr>
        <w:pStyle w:val="ListParagraph"/>
        <w:numPr>
          <w:ilvl w:val="1"/>
          <w:numId w:val="1"/>
        </w:numPr>
        <w:spacing w:line="360" w:lineRule="auto"/>
        <w:jc w:val="both"/>
        <w:rPr>
          <w:rFonts w:ascii="Times New Roman" w:hAnsi="Times New Roman" w:cs="Times New Roman"/>
          <w:sz w:val="24"/>
          <w:szCs w:val="24"/>
        </w:rPr>
      </w:pPr>
      <w:r w:rsidRPr="00243C46">
        <w:rPr>
          <w:rFonts w:ascii="Times New Roman" w:hAnsi="Times New Roman" w:cs="Times New Roman"/>
          <w:sz w:val="24"/>
          <w:szCs w:val="24"/>
        </w:rPr>
        <w:t xml:space="preserve">The Committee requires the National Treasury to report to it in the next quarter briefing on the feasibility of insourcing particularly security and cleaning services across government. </w:t>
      </w:r>
      <w:r w:rsidR="00C1256E" w:rsidRPr="00243C46">
        <w:rPr>
          <w:rFonts w:ascii="Times New Roman" w:hAnsi="Times New Roman" w:cs="Times New Roman"/>
          <w:sz w:val="24"/>
          <w:szCs w:val="24"/>
        </w:rPr>
        <w:t xml:space="preserve"> </w:t>
      </w:r>
    </w:p>
    <w:p w14:paraId="15C82D2E" w14:textId="77777777" w:rsidR="00C1256E" w:rsidRPr="00243C46" w:rsidRDefault="00C1256E" w:rsidP="00CD3989">
      <w:pPr>
        <w:pStyle w:val="ListParagraph"/>
        <w:numPr>
          <w:ilvl w:val="1"/>
          <w:numId w:val="1"/>
        </w:numPr>
        <w:spacing w:line="360" w:lineRule="auto"/>
        <w:jc w:val="both"/>
        <w:rPr>
          <w:rFonts w:ascii="Times New Roman" w:hAnsi="Times New Roman" w:cs="Times New Roman"/>
        </w:rPr>
      </w:pPr>
      <w:r w:rsidRPr="00243C46">
        <w:rPr>
          <w:rFonts w:ascii="Times New Roman" w:hAnsi="Times New Roman" w:cs="Times New Roman"/>
          <w:sz w:val="24"/>
          <w:szCs w:val="24"/>
        </w:rPr>
        <w:t>The Committee requires written responses from the National Treasury on the Venda Pension Fund</w:t>
      </w:r>
      <w:r w:rsidR="00C256A6" w:rsidRPr="00243C46">
        <w:rPr>
          <w:rFonts w:ascii="Times New Roman" w:hAnsi="Times New Roman" w:cs="Times New Roman"/>
          <w:sz w:val="24"/>
          <w:szCs w:val="24"/>
        </w:rPr>
        <w:t xml:space="preserve">. </w:t>
      </w:r>
    </w:p>
    <w:p w14:paraId="3B7A03EB" w14:textId="77777777" w:rsidR="00EA4879" w:rsidRPr="00243C46" w:rsidRDefault="00EA4879" w:rsidP="00CD3989">
      <w:pPr>
        <w:pStyle w:val="ListParagraph"/>
        <w:numPr>
          <w:ilvl w:val="1"/>
          <w:numId w:val="1"/>
        </w:numPr>
        <w:spacing w:line="360" w:lineRule="auto"/>
        <w:jc w:val="both"/>
        <w:rPr>
          <w:rFonts w:ascii="Times New Roman" w:hAnsi="Times New Roman" w:cs="Times New Roman"/>
        </w:rPr>
      </w:pPr>
      <w:r w:rsidRPr="00243C46">
        <w:rPr>
          <w:rFonts w:ascii="Times New Roman" w:hAnsi="Times New Roman" w:cs="Times New Roman"/>
          <w:sz w:val="24"/>
          <w:szCs w:val="24"/>
        </w:rPr>
        <w:t xml:space="preserve">The Committee requires National Treasury to report to it in more detail on the retirement/ pension funds reforms. </w:t>
      </w:r>
    </w:p>
    <w:p w14:paraId="52F52FC7" w14:textId="77777777" w:rsidR="00C256A6" w:rsidRPr="00243C46" w:rsidRDefault="00C256A6" w:rsidP="00CD3989">
      <w:pPr>
        <w:pStyle w:val="ListParagraph"/>
        <w:spacing w:line="360" w:lineRule="auto"/>
        <w:ind w:left="360"/>
        <w:jc w:val="both"/>
        <w:rPr>
          <w:rFonts w:ascii="Times New Roman" w:hAnsi="Times New Roman" w:cs="Times New Roman"/>
          <w:b/>
        </w:rPr>
      </w:pPr>
    </w:p>
    <w:p w14:paraId="2336C43B" w14:textId="77777777" w:rsidR="00C256A6" w:rsidRPr="00243C46" w:rsidRDefault="00C256A6" w:rsidP="00CD3989">
      <w:pPr>
        <w:pStyle w:val="ListParagraph"/>
        <w:spacing w:line="360" w:lineRule="auto"/>
        <w:ind w:left="360"/>
        <w:jc w:val="both"/>
        <w:rPr>
          <w:rFonts w:ascii="Times New Roman" w:hAnsi="Times New Roman" w:cs="Times New Roman"/>
          <w:b/>
        </w:rPr>
      </w:pPr>
      <w:r w:rsidRPr="00243C46">
        <w:rPr>
          <w:rFonts w:ascii="Times New Roman" w:hAnsi="Times New Roman" w:cs="Times New Roman"/>
          <w:b/>
        </w:rPr>
        <w:t>The Economic Freedom Fighters (EFF) noted their objection.</w:t>
      </w:r>
    </w:p>
    <w:p w14:paraId="0712C43C" w14:textId="77777777" w:rsidR="00C256A6" w:rsidRPr="00243C46" w:rsidRDefault="00C256A6" w:rsidP="00CD3989">
      <w:pPr>
        <w:pStyle w:val="ListParagraph"/>
        <w:spacing w:line="360" w:lineRule="auto"/>
        <w:ind w:left="360"/>
        <w:jc w:val="both"/>
        <w:rPr>
          <w:rFonts w:ascii="Times New Roman" w:hAnsi="Times New Roman" w:cs="Times New Roman"/>
          <w:b/>
        </w:rPr>
      </w:pPr>
    </w:p>
    <w:p w14:paraId="75FED922" w14:textId="77777777" w:rsidR="00C256A6" w:rsidRPr="00243C46" w:rsidRDefault="00C256A6" w:rsidP="00CD3989">
      <w:pPr>
        <w:pStyle w:val="ListParagraph"/>
        <w:spacing w:line="360" w:lineRule="auto"/>
        <w:ind w:left="360"/>
        <w:jc w:val="both"/>
        <w:rPr>
          <w:rFonts w:ascii="Times New Roman" w:hAnsi="Times New Roman" w:cs="Times New Roman"/>
          <w:b/>
        </w:rPr>
      </w:pPr>
      <w:r w:rsidRPr="00243C46">
        <w:rPr>
          <w:rFonts w:ascii="Times New Roman" w:hAnsi="Times New Roman" w:cs="Times New Roman"/>
          <w:b/>
        </w:rPr>
        <w:t>The Democratic Alliance (DA) reserve their position.</w:t>
      </w:r>
    </w:p>
    <w:p w14:paraId="4CDCD50D" w14:textId="77777777" w:rsidR="00C256A6" w:rsidRPr="00243C46" w:rsidRDefault="00C256A6" w:rsidP="00CD3989">
      <w:pPr>
        <w:pStyle w:val="ListParagraph"/>
        <w:spacing w:line="360" w:lineRule="auto"/>
        <w:ind w:left="360"/>
        <w:jc w:val="both"/>
        <w:rPr>
          <w:rFonts w:ascii="Times New Roman" w:hAnsi="Times New Roman" w:cs="Times New Roman"/>
          <w:b/>
        </w:rPr>
      </w:pPr>
    </w:p>
    <w:p w14:paraId="4EE63C8C" w14:textId="77777777" w:rsidR="00C256A6" w:rsidRPr="00243C46" w:rsidRDefault="00C256A6" w:rsidP="00CD3989">
      <w:pPr>
        <w:pStyle w:val="ListParagraph"/>
        <w:spacing w:line="360" w:lineRule="auto"/>
        <w:ind w:left="360"/>
        <w:jc w:val="both"/>
        <w:rPr>
          <w:rFonts w:ascii="Times New Roman" w:hAnsi="Times New Roman" w:cs="Times New Roman"/>
          <w:b/>
        </w:rPr>
      </w:pPr>
    </w:p>
    <w:p w14:paraId="71ADA51E" w14:textId="77777777" w:rsidR="00C1256E" w:rsidRPr="00243C46" w:rsidRDefault="00C256A6" w:rsidP="00CD3989">
      <w:pPr>
        <w:pStyle w:val="ListParagraph"/>
        <w:spacing w:line="360" w:lineRule="auto"/>
        <w:ind w:left="360"/>
        <w:jc w:val="both"/>
        <w:rPr>
          <w:rFonts w:ascii="Times New Roman" w:hAnsi="Times New Roman" w:cs="Times New Roman"/>
          <w:b/>
        </w:rPr>
      </w:pPr>
      <w:r w:rsidRPr="00243C46">
        <w:rPr>
          <w:rFonts w:ascii="Times New Roman" w:hAnsi="Times New Roman" w:cs="Times New Roman"/>
          <w:b/>
        </w:rPr>
        <w:t>Report t</w:t>
      </w:r>
      <w:r w:rsidR="00C1256E" w:rsidRPr="00243C46">
        <w:rPr>
          <w:rFonts w:ascii="Times New Roman" w:hAnsi="Times New Roman" w:cs="Times New Roman"/>
          <w:b/>
        </w:rPr>
        <w:t>o be considered</w:t>
      </w:r>
    </w:p>
    <w:p w14:paraId="2DA45D12" w14:textId="77777777" w:rsidR="00C1256E" w:rsidRPr="00243C46" w:rsidRDefault="00C1256E" w:rsidP="00CD3989">
      <w:pPr>
        <w:spacing w:line="360" w:lineRule="auto"/>
        <w:jc w:val="both"/>
        <w:rPr>
          <w:rFonts w:ascii="Times New Roman" w:hAnsi="Times New Roman"/>
        </w:rPr>
      </w:pPr>
    </w:p>
    <w:p w14:paraId="1593480B" w14:textId="77777777" w:rsidR="00C1256E" w:rsidRPr="00243C46" w:rsidRDefault="00C1256E" w:rsidP="00CD3989">
      <w:pPr>
        <w:spacing w:line="360" w:lineRule="auto"/>
        <w:jc w:val="both"/>
        <w:rPr>
          <w:rFonts w:ascii="Times New Roman" w:hAnsi="Times New Roman"/>
        </w:rPr>
      </w:pPr>
    </w:p>
    <w:sectPr w:rsidR="00C1256E" w:rsidRPr="00243C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8093D" w14:textId="77777777" w:rsidR="0030660C" w:rsidRDefault="0030660C">
      <w:r>
        <w:separator/>
      </w:r>
    </w:p>
  </w:endnote>
  <w:endnote w:type="continuationSeparator" w:id="0">
    <w:p w14:paraId="5F2C1E36" w14:textId="77777777" w:rsidR="0030660C" w:rsidRDefault="0030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5596"/>
      <w:docPartObj>
        <w:docPartGallery w:val="Page Numbers (Bottom of Page)"/>
        <w:docPartUnique/>
      </w:docPartObj>
    </w:sdtPr>
    <w:sdtEndPr>
      <w:rPr>
        <w:noProof/>
      </w:rPr>
    </w:sdtEndPr>
    <w:sdtContent>
      <w:p w14:paraId="3FAA82BD" w14:textId="64554DD4" w:rsidR="008142DF" w:rsidRDefault="008142DF">
        <w:pPr>
          <w:pStyle w:val="Footer"/>
          <w:jc w:val="center"/>
        </w:pPr>
        <w:r>
          <w:fldChar w:fldCharType="begin"/>
        </w:r>
        <w:r>
          <w:instrText xml:space="preserve"> PAGE   \* MERGEFORMAT </w:instrText>
        </w:r>
        <w:r>
          <w:fldChar w:fldCharType="separate"/>
        </w:r>
        <w:r w:rsidR="000B7105">
          <w:rPr>
            <w:noProof/>
          </w:rPr>
          <w:t>1</w:t>
        </w:r>
        <w:r>
          <w:rPr>
            <w:noProof/>
          </w:rPr>
          <w:fldChar w:fldCharType="end"/>
        </w:r>
      </w:p>
    </w:sdtContent>
  </w:sdt>
  <w:p w14:paraId="0B666A19" w14:textId="77777777" w:rsidR="008142DF" w:rsidRDefault="00814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D524" w14:textId="77777777" w:rsidR="0030660C" w:rsidRDefault="0030660C">
      <w:r>
        <w:separator/>
      </w:r>
    </w:p>
  </w:footnote>
  <w:footnote w:type="continuationSeparator" w:id="0">
    <w:p w14:paraId="30D56556" w14:textId="77777777" w:rsidR="0030660C" w:rsidRDefault="00306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6A2"/>
    <w:multiLevelType w:val="multilevel"/>
    <w:tmpl w:val="6BF05E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A394D28"/>
    <w:multiLevelType w:val="hybridMultilevel"/>
    <w:tmpl w:val="566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63AFD"/>
    <w:multiLevelType w:val="hybridMultilevel"/>
    <w:tmpl w:val="72F4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F54F7"/>
    <w:multiLevelType w:val="multilevel"/>
    <w:tmpl w:val="81AAFE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90F6E60"/>
    <w:multiLevelType w:val="hybridMultilevel"/>
    <w:tmpl w:val="DB32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820D0"/>
    <w:multiLevelType w:val="hybridMultilevel"/>
    <w:tmpl w:val="F780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E3"/>
    <w:rsid w:val="00053782"/>
    <w:rsid w:val="000866FC"/>
    <w:rsid w:val="000A238B"/>
    <w:rsid w:val="000B7105"/>
    <w:rsid w:val="0012305F"/>
    <w:rsid w:val="0013238D"/>
    <w:rsid w:val="00164C52"/>
    <w:rsid w:val="00195658"/>
    <w:rsid w:val="001A2DDD"/>
    <w:rsid w:val="002436E4"/>
    <w:rsid w:val="00243C46"/>
    <w:rsid w:val="002E7C8C"/>
    <w:rsid w:val="0030660C"/>
    <w:rsid w:val="0031157B"/>
    <w:rsid w:val="003531DA"/>
    <w:rsid w:val="003A6F1B"/>
    <w:rsid w:val="003E75B4"/>
    <w:rsid w:val="00404903"/>
    <w:rsid w:val="00407FED"/>
    <w:rsid w:val="00417132"/>
    <w:rsid w:val="0047689F"/>
    <w:rsid w:val="004B630B"/>
    <w:rsid w:val="004B6397"/>
    <w:rsid w:val="004D569A"/>
    <w:rsid w:val="005048E8"/>
    <w:rsid w:val="00545A6D"/>
    <w:rsid w:val="00580A89"/>
    <w:rsid w:val="005B786E"/>
    <w:rsid w:val="005D4519"/>
    <w:rsid w:val="00605EDD"/>
    <w:rsid w:val="00644684"/>
    <w:rsid w:val="00690B18"/>
    <w:rsid w:val="006D7C59"/>
    <w:rsid w:val="00707324"/>
    <w:rsid w:val="0071150F"/>
    <w:rsid w:val="007403C9"/>
    <w:rsid w:val="00770038"/>
    <w:rsid w:val="007B442D"/>
    <w:rsid w:val="007E2225"/>
    <w:rsid w:val="008142DF"/>
    <w:rsid w:val="008669F8"/>
    <w:rsid w:val="008B6A84"/>
    <w:rsid w:val="008E7013"/>
    <w:rsid w:val="00957B0D"/>
    <w:rsid w:val="009944E3"/>
    <w:rsid w:val="009D77BA"/>
    <w:rsid w:val="00A06047"/>
    <w:rsid w:val="00A50205"/>
    <w:rsid w:val="00AA11F1"/>
    <w:rsid w:val="00B44569"/>
    <w:rsid w:val="00B620B4"/>
    <w:rsid w:val="00BE5848"/>
    <w:rsid w:val="00BF3049"/>
    <w:rsid w:val="00C01F65"/>
    <w:rsid w:val="00C1256E"/>
    <w:rsid w:val="00C256A6"/>
    <w:rsid w:val="00C67938"/>
    <w:rsid w:val="00CD3989"/>
    <w:rsid w:val="00D43CCB"/>
    <w:rsid w:val="00E67D69"/>
    <w:rsid w:val="00EA4879"/>
    <w:rsid w:val="00EE03E4"/>
    <w:rsid w:val="00F40CA7"/>
    <w:rsid w:val="00F9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E3"/>
    <w:pPr>
      <w:spacing w:after="0" w:line="240" w:lineRule="auto"/>
    </w:pPr>
    <w:rPr>
      <w:rFonts w:ascii="Tahoma" w:eastAsia="MS Mincho"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E3"/>
    <w:pPr>
      <w:spacing w:after="160" w:line="259" w:lineRule="auto"/>
      <w:ind w:left="720"/>
      <w:contextualSpacing/>
    </w:pPr>
    <w:rPr>
      <w:rFonts w:asciiTheme="minorHAnsi" w:eastAsiaTheme="minorHAnsi" w:hAnsiTheme="minorHAnsi" w:cstheme="minorBidi"/>
      <w:sz w:val="22"/>
      <w:szCs w:val="22"/>
      <w:lang w:val="en-ZA"/>
    </w:rPr>
  </w:style>
  <w:style w:type="paragraph" w:styleId="Footer">
    <w:name w:val="footer"/>
    <w:basedOn w:val="Normal"/>
    <w:link w:val="FooterChar"/>
    <w:uiPriority w:val="99"/>
    <w:unhideWhenUsed/>
    <w:rsid w:val="009944E3"/>
    <w:pPr>
      <w:tabs>
        <w:tab w:val="center" w:pos="4680"/>
        <w:tab w:val="right" w:pos="9360"/>
      </w:tabs>
    </w:pPr>
  </w:style>
  <w:style w:type="character" w:customStyle="1" w:styleId="FooterChar">
    <w:name w:val="Footer Char"/>
    <w:basedOn w:val="DefaultParagraphFont"/>
    <w:link w:val="Footer"/>
    <w:uiPriority w:val="99"/>
    <w:rsid w:val="009944E3"/>
    <w:rPr>
      <w:rFonts w:ascii="Tahoma" w:eastAsia="MS Mincho" w:hAnsi="Tahoma" w:cs="Times New Roman"/>
      <w:sz w:val="24"/>
      <w:szCs w:val="24"/>
    </w:rPr>
  </w:style>
  <w:style w:type="paragraph" w:customStyle="1" w:styleId="Default">
    <w:name w:val="Default"/>
    <w:rsid w:val="007403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256E"/>
    <w:rPr>
      <w:sz w:val="16"/>
      <w:szCs w:val="16"/>
    </w:rPr>
  </w:style>
  <w:style w:type="paragraph" w:styleId="CommentText">
    <w:name w:val="annotation text"/>
    <w:basedOn w:val="Normal"/>
    <w:link w:val="CommentTextChar"/>
    <w:uiPriority w:val="99"/>
    <w:semiHidden/>
    <w:unhideWhenUsed/>
    <w:rsid w:val="00C1256E"/>
    <w:rPr>
      <w:sz w:val="20"/>
      <w:szCs w:val="20"/>
    </w:rPr>
  </w:style>
  <w:style w:type="character" w:customStyle="1" w:styleId="CommentTextChar">
    <w:name w:val="Comment Text Char"/>
    <w:basedOn w:val="DefaultParagraphFont"/>
    <w:link w:val="CommentText"/>
    <w:uiPriority w:val="99"/>
    <w:semiHidden/>
    <w:rsid w:val="00C1256E"/>
    <w:rPr>
      <w:rFonts w:ascii="Tahoma" w:eastAsia="MS Mincho" w:hAnsi="Tahoma" w:cs="Times New Roman"/>
      <w:sz w:val="20"/>
      <w:szCs w:val="20"/>
    </w:rPr>
  </w:style>
  <w:style w:type="paragraph" w:styleId="CommentSubject">
    <w:name w:val="annotation subject"/>
    <w:basedOn w:val="CommentText"/>
    <w:next w:val="CommentText"/>
    <w:link w:val="CommentSubjectChar"/>
    <w:uiPriority w:val="99"/>
    <w:semiHidden/>
    <w:unhideWhenUsed/>
    <w:rsid w:val="00C1256E"/>
    <w:rPr>
      <w:b/>
      <w:bCs/>
    </w:rPr>
  </w:style>
  <w:style w:type="character" w:customStyle="1" w:styleId="CommentSubjectChar">
    <w:name w:val="Comment Subject Char"/>
    <w:basedOn w:val="CommentTextChar"/>
    <w:link w:val="CommentSubject"/>
    <w:uiPriority w:val="99"/>
    <w:semiHidden/>
    <w:rsid w:val="00C1256E"/>
    <w:rPr>
      <w:rFonts w:ascii="Tahoma" w:eastAsia="MS Mincho" w:hAnsi="Tahoma" w:cs="Times New Roman"/>
      <w:b/>
      <w:bCs/>
      <w:sz w:val="20"/>
      <w:szCs w:val="20"/>
    </w:rPr>
  </w:style>
  <w:style w:type="paragraph" w:styleId="BalloonText">
    <w:name w:val="Balloon Text"/>
    <w:basedOn w:val="Normal"/>
    <w:link w:val="BalloonTextChar"/>
    <w:uiPriority w:val="99"/>
    <w:semiHidden/>
    <w:unhideWhenUsed/>
    <w:rsid w:val="00C12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6E"/>
    <w:rPr>
      <w:rFonts w:ascii="Segoe UI" w:eastAsia="MS Mincho" w:hAnsi="Segoe UI" w:cs="Segoe UI"/>
      <w:sz w:val="18"/>
      <w:szCs w:val="18"/>
    </w:rPr>
  </w:style>
  <w:style w:type="paragraph" w:styleId="Header">
    <w:name w:val="header"/>
    <w:basedOn w:val="Normal"/>
    <w:link w:val="HeaderChar"/>
    <w:uiPriority w:val="99"/>
    <w:unhideWhenUsed/>
    <w:rsid w:val="00C1256E"/>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C1256E"/>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E3"/>
    <w:pPr>
      <w:spacing w:after="0" w:line="240" w:lineRule="auto"/>
    </w:pPr>
    <w:rPr>
      <w:rFonts w:ascii="Tahoma" w:eastAsia="MS Mincho"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E3"/>
    <w:pPr>
      <w:spacing w:after="160" w:line="259" w:lineRule="auto"/>
      <w:ind w:left="720"/>
      <w:contextualSpacing/>
    </w:pPr>
    <w:rPr>
      <w:rFonts w:asciiTheme="minorHAnsi" w:eastAsiaTheme="minorHAnsi" w:hAnsiTheme="minorHAnsi" w:cstheme="minorBidi"/>
      <w:sz w:val="22"/>
      <w:szCs w:val="22"/>
      <w:lang w:val="en-ZA"/>
    </w:rPr>
  </w:style>
  <w:style w:type="paragraph" w:styleId="Footer">
    <w:name w:val="footer"/>
    <w:basedOn w:val="Normal"/>
    <w:link w:val="FooterChar"/>
    <w:uiPriority w:val="99"/>
    <w:unhideWhenUsed/>
    <w:rsid w:val="009944E3"/>
    <w:pPr>
      <w:tabs>
        <w:tab w:val="center" w:pos="4680"/>
        <w:tab w:val="right" w:pos="9360"/>
      </w:tabs>
    </w:pPr>
  </w:style>
  <w:style w:type="character" w:customStyle="1" w:styleId="FooterChar">
    <w:name w:val="Footer Char"/>
    <w:basedOn w:val="DefaultParagraphFont"/>
    <w:link w:val="Footer"/>
    <w:uiPriority w:val="99"/>
    <w:rsid w:val="009944E3"/>
    <w:rPr>
      <w:rFonts w:ascii="Tahoma" w:eastAsia="MS Mincho" w:hAnsi="Tahoma" w:cs="Times New Roman"/>
      <w:sz w:val="24"/>
      <w:szCs w:val="24"/>
    </w:rPr>
  </w:style>
  <w:style w:type="paragraph" w:customStyle="1" w:styleId="Default">
    <w:name w:val="Default"/>
    <w:rsid w:val="007403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256E"/>
    <w:rPr>
      <w:sz w:val="16"/>
      <w:szCs w:val="16"/>
    </w:rPr>
  </w:style>
  <w:style w:type="paragraph" w:styleId="CommentText">
    <w:name w:val="annotation text"/>
    <w:basedOn w:val="Normal"/>
    <w:link w:val="CommentTextChar"/>
    <w:uiPriority w:val="99"/>
    <w:semiHidden/>
    <w:unhideWhenUsed/>
    <w:rsid w:val="00C1256E"/>
    <w:rPr>
      <w:sz w:val="20"/>
      <w:szCs w:val="20"/>
    </w:rPr>
  </w:style>
  <w:style w:type="character" w:customStyle="1" w:styleId="CommentTextChar">
    <w:name w:val="Comment Text Char"/>
    <w:basedOn w:val="DefaultParagraphFont"/>
    <w:link w:val="CommentText"/>
    <w:uiPriority w:val="99"/>
    <w:semiHidden/>
    <w:rsid w:val="00C1256E"/>
    <w:rPr>
      <w:rFonts w:ascii="Tahoma" w:eastAsia="MS Mincho" w:hAnsi="Tahoma" w:cs="Times New Roman"/>
      <w:sz w:val="20"/>
      <w:szCs w:val="20"/>
    </w:rPr>
  </w:style>
  <w:style w:type="paragraph" w:styleId="CommentSubject">
    <w:name w:val="annotation subject"/>
    <w:basedOn w:val="CommentText"/>
    <w:next w:val="CommentText"/>
    <w:link w:val="CommentSubjectChar"/>
    <w:uiPriority w:val="99"/>
    <w:semiHidden/>
    <w:unhideWhenUsed/>
    <w:rsid w:val="00C1256E"/>
    <w:rPr>
      <w:b/>
      <w:bCs/>
    </w:rPr>
  </w:style>
  <w:style w:type="character" w:customStyle="1" w:styleId="CommentSubjectChar">
    <w:name w:val="Comment Subject Char"/>
    <w:basedOn w:val="CommentTextChar"/>
    <w:link w:val="CommentSubject"/>
    <w:uiPriority w:val="99"/>
    <w:semiHidden/>
    <w:rsid w:val="00C1256E"/>
    <w:rPr>
      <w:rFonts w:ascii="Tahoma" w:eastAsia="MS Mincho" w:hAnsi="Tahoma" w:cs="Times New Roman"/>
      <w:b/>
      <w:bCs/>
      <w:sz w:val="20"/>
      <w:szCs w:val="20"/>
    </w:rPr>
  </w:style>
  <w:style w:type="paragraph" w:styleId="BalloonText">
    <w:name w:val="Balloon Text"/>
    <w:basedOn w:val="Normal"/>
    <w:link w:val="BalloonTextChar"/>
    <w:uiPriority w:val="99"/>
    <w:semiHidden/>
    <w:unhideWhenUsed/>
    <w:rsid w:val="00C12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6E"/>
    <w:rPr>
      <w:rFonts w:ascii="Segoe UI" w:eastAsia="MS Mincho" w:hAnsi="Segoe UI" w:cs="Segoe UI"/>
      <w:sz w:val="18"/>
      <w:szCs w:val="18"/>
    </w:rPr>
  </w:style>
  <w:style w:type="paragraph" w:styleId="Header">
    <w:name w:val="header"/>
    <w:basedOn w:val="Normal"/>
    <w:link w:val="HeaderChar"/>
    <w:uiPriority w:val="99"/>
    <w:unhideWhenUsed/>
    <w:rsid w:val="00C1256E"/>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C1256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EAE6-9CFB-409A-BC4C-812344AB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3946</Words>
  <Characters>22497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2019-07-10T10:28:00Z</dcterms:created>
  <dcterms:modified xsi:type="dcterms:W3CDTF">2019-07-10T10:28:00Z</dcterms:modified>
</cp:coreProperties>
</file>