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6A965" w14:textId="618D468E" w:rsidR="00145669" w:rsidRPr="00A10AC4" w:rsidRDefault="00344353" w:rsidP="00A10AC4">
      <w:pPr>
        <w:spacing w:line="276"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11. </w:t>
      </w:r>
      <w:r w:rsidR="00F905A0" w:rsidRPr="00A10AC4">
        <w:rPr>
          <w:rFonts w:ascii="Times New Roman" w:hAnsi="Times New Roman" w:cs="Times New Roman"/>
          <w:b/>
          <w:sz w:val="24"/>
          <w:szCs w:val="24"/>
        </w:rPr>
        <w:t xml:space="preserve">REPORT OF THE PORTFOLIO COMMITTEE ON POLICE ON THE 2019/20 BUDGET VOTE 20, </w:t>
      </w:r>
      <w:r w:rsidR="00145669" w:rsidRPr="00A10AC4">
        <w:rPr>
          <w:rFonts w:ascii="Times New Roman" w:hAnsi="Times New Roman" w:cs="Times New Roman"/>
          <w:b/>
          <w:sz w:val="24"/>
          <w:szCs w:val="24"/>
        </w:rPr>
        <w:t xml:space="preserve">PERFORMANCE PLAN AND 2015/16-2019/20 STRATEGIC PLAN OF THE INDEPENDENT POLICE INVESTIGATIVE </w:t>
      </w:r>
      <w:r w:rsidR="00A10AC4">
        <w:rPr>
          <w:rFonts w:ascii="Times New Roman" w:hAnsi="Times New Roman" w:cs="Times New Roman"/>
          <w:b/>
          <w:sz w:val="24"/>
          <w:szCs w:val="24"/>
        </w:rPr>
        <w:t xml:space="preserve">DIRECTORATE (IPID), DATED 9 </w:t>
      </w:r>
      <w:r w:rsidR="00145669" w:rsidRPr="00A10AC4">
        <w:rPr>
          <w:rFonts w:ascii="Times New Roman" w:hAnsi="Times New Roman" w:cs="Times New Roman"/>
          <w:b/>
          <w:sz w:val="24"/>
          <w:szCs w:val="24"/>
        </w:rPr>
        <w:t>JULY 2019</w:t>
      </w:r>
    </w:p>
    <w:p w14:paraId="727D7143" w14:textId="77777777" w:rsidR="00145669" w:rsidRPr="00A10AC4" w:rsidRDefault="00145669"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The Committee examined the Budget and Annual Performance Plan (APP) for the 2019/20 financial year of the Independent Police Investigative Directorate (IPID). The Committee reports as follows:</w:t>
      </w:r>
    </w:p>
    <w:p w14:paraId="516F14FE" w14:textId="77777777" w:rsidR="00145669" w:rsidRPr="00A10AC4" w:rsidRDefault="00145669" w:rsidP="00A10AC4">
      <w:pPr>
        <w:spacing w:line="276" w:lineRule="auto"/>
        <w:jc w:val="both"/>
        <w:rPr>
          <w:rFonts w:ascii="Times New Roman" w:hAnsi="Times New Roman" w:cs="Times New Roman"/>
          <w:sz w:val="24"/>
          <w:szCs w:val="24"/>
        </w:rPr>
      </w:pPr>
      <w:r w:rsidRPr="00A10AC4">
        <w:rPr>
          <w:rFonts w:ascii="Times New Roman" w:hAnsi="Times New Roman" w:cs="Times New Roman"/>
          <w:b/>
          <w:sz w:val="24"/>
          <w:szCs w:val="24"/>
        </w:rPr>
        <w:t>1</w:t>
      </w:r>
      <w:r w:rsidRPr="00A10AC4">
        <w:rPr>
          <w:rFonts w:ascii="Times New Roman" w:hAnsi="Times New Roman" w:cs="Times New Roman"/>
          <w:sz w:val="24"/>
          <w:szCs w:val="24"/>
        </w:rPr>
        <w:t>.</w:t>
      </w:r>
      <w:r w:rsidRPr="00A10AC4">
        <w:rPr>
          <w:rFonts w:ascii="Times New Roman" w:hAnsi="Times New Roman" w:cs="Times New Roman"/>
          <w:sz w:val="24"/>
          <w:szCs w:val="24"/>
        </w:rPr>
        <w:tab/>
      </w:r>
      <w:r w:rsidRPr="00A10AC4">
        <w:rPr>
          <w:rFonts w:ascii="Times New Roman" w:hAnsi="Times New Roman" w:cs="Times New Roman"/>
          <w:b/>
          <w:sz w:val="24"/>
          <w:szCs w:val="24"/>
        </w:rPr>
        <w:t>INTRODUCTION</w:t>
      </w:r>
    </w:p>
    <w:p w14:paraId="2D8545A4" w14:textId="77777777" w:rsidR="00145669" w:rsidRPr="00A10AC4" w:rsidRDefault="00145669"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The IPID Act, 2011 (Act No 1 of 2011) gives effect to section 206(6) of the Constitution, which makes provision for the establishment of an independent police complaints body. The objectives of the IPID Act are to:</w:t>
      </w:r>
    </w:p>
    <w:p w14:paraId="6CCD7799" w14:textId="77777777" w:rsidR="00145669" w:rsidRPr="00A10AC4" w:rsidRDefault="00145669" w:rsidP="00A10AC4">
      <w:pPr>
        <w:pStyle w:val="ListParagraph"/>
        <w:numPr>
          <w:ilvl w:val="0"/>
          <w:numId w:val="1"/>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Align provincial and national strategic objectives to enhance the functioning of the Directorate;</w:t>
      </w:r>
    </w:p>
    <w:p w14:paraId="21720C50" w14:textId="77777777" w:rsidR="00145669" w:rsidRPr="00A10AC4" w:rsidRDefault="00145669" w:rsidP="00A10AC4">
      <w:pPr>
        <w:pStyle w:val="ListParagraph"/>
        <w:numPr>
          <w:ilvl w:val="0"/>
          <w:numId w:val="1"/>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Provide for independent and impartial investigation of identified criminal offences allegedly committed by members of the SAPS and the Municipal Police Services</w:t>
      </w:r>
      <w:r w:rsidR="002D730F" w:rsidRPr="00A10AC4">
        <w:rPr>
          <w:rFonts w:ascii="Times New Roman" w:hAnsi="Times New Roman" w:cs="Times New Roman"/>
          <w:sz w:val="24"/>
          <w:szCs w:val="24"/>
        </w:rPr>
        <w:t xml:space="preserve"> (MPS)</w:t>
      </w:r>
      <w:r w:rsidRPr="00A10AC4">
        <w:rPr>
          <w:rFonts w:ascii="Times New Roman" w:hAnsi="Times New Roman" w:cs="Times New Roman"/>
          <w:sz w:val="24"/>
          <w:szCs w:val="24"/>
        </w:rPr>
        <w:t>;</w:t>
      </w:r>
    </w:p>
    <w:p w14:paraId="2F4F29E9" w14:textId="77777777" w:rsidR="00145669" w:rsidRPr="00A10AC4" w:rsidRDefault="00145669" w:rsidP="00A10AC4">
      <w:pPr>
        <w:pStyle w:val="ListParagraph"/>
        <w:numPr>
          <w:ilvl w:val="0"/>
          <w:numId w:val="1"/>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Make disciplinary recommendations to the SAPS resulting from investigations conducted by the Directorate;</w:t>
      </w:r>
    </w:p>
    <w:p w14:paraId="0B07A91D" w14:textId="77777777" w:rsidR="00145669" w:rsidRPr="00A10AC4" w:rsidRDefault="00145669" w:rsidP="00A10AC4">
      <w:pPr>
        <w:pStyle w:val="ListParagraph"/>
        <w:numPr>
          <w:ilvl w:val="0"/>
          <w:numId w:val="1"/>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Provide for closer cooperation between the Directorate and the Secretariat; and</w:t>
      </w:r>
    </w:p>
    <w:p w14:paraId="3FEF6C5E" w14:textId="77777777" w:rsidR="00145669" w:rsidRPr="00A10AC4" w:rsidRDefault="00145669" w:rsidP="00A10AC4">
      <w:pPr>
        <w:pStyle w:val="ListParagraph"/>
        <w:numPr>
          <w:ilvl w:val="0"/>
          <w:numId w:val="1"/>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Enhance accountability and transparency of the SAPS and the Municipal Police Services in accordance with the principles of the Constitution.</w:t>
      </w:r>
    </w:p>
    <w:p w14:paraId="5F1D19C7" w14:textId="77777777" w:rsidR="00145669" w:rsidRPr="00A10AC4" w:rsidRDefault="00145669"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The IPID Act provided the Directorate with an extended mandate which focuses on more serious crimes committed by members of the SAPS and the MPS. It further obliges the SAPS and the MPS to report on matters that must be investigate</w:t>
      </w:r>
      <w:r w:rsidR="002D730F" w:rsidRPr="00A10AC4">
        <w:rPr>
          <w:rFonts w:ascii="Times New Roman" w:hAnsi="Times New Roman" w:cs="Times New Roman"/>
          <w:sz w:val="24"/>
          <w:szCs w:val="24"/>
        </w:rPr>
        <w:t>d by the IPID and</w:t>
      </w:r>
      <w:r w:rsidRPr="00A10AC4">
        <w:rPr>
          <w:rFonts w:ascii="Times New Roman" w:hAnsi="Times New Roman" w:cs="Times New Roman"/>
          <w:sz w:val="24"/>
          <w:szCs w:val="24"/>
        </w:rPr>
        <w:t xml:space="preserve"> regarding the implementation of disciplinary recommendations made by the IPID upon the completion of investigations.</w:t>
      </w:r>
    </w:p>
    <w:p w14:paraId="7A72DA01" w14:textId="77777777" w:rsidR="00145669" w:rsidRPr="00A10AC4" w:rsidRDefault="00145669"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In terms of section 28 (1) of the Act, the Directorate is obliged to investigate:</w:t>
      </w:r>
    </w:p>
    <w:p w14:paraId="23225C17" w14:textId="77777777" w:rsidR="00145669" w:rsidRPr="003C1DC8" w:rsidRDefault="00145669" w:rsidP="003C1DC8">
      <w:pPr>
        <w:pStyle w:val="ListParagraph"/>
        <w:numPr>
          <w:ilvl w:val="0"/>
          <w:numId w:val="18"/>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Any deaths in police custody;</w:t>
      </w:r>
    </w:p>
    <w:p w14:paraId="78339E6B" w14:textId="77777777" w:rsidR="00145669" w:rsidRPr="003C1DC8" w:rsidRDefault="00145669" w:rsidP="003C1DC8">
      <w:pPr>
        <w:pStyle w:val="ListParagraph"/>
        <w:numPr>
          <w:ilvl w:val="0"/>
          <w:numId w:val="18"/>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Deaths as a result of police actions;</w:t>
      </w:r>
    </w:p>
    <w:p w14:paraId="6F515452" w14:textId="77777777" w:rsidR="00145669" w:rsidRPr="003C1DC8" w:rsidRDefault="00145669" w:rsidP="003C1DC8">
      <w:pPr>
        <w:pStyle w:val="ListParagraph"/>
        <w:numPr>
          <w:ilvl w:val="0"/>
          <w:numId w:val="18"/>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Complaints relating to the discharge of an official firearm by any police officer;</w:t>
      </w:r>
    </w:p>
    <w:p w14:paraId="1E1CCBE5" w14:textId="77777777" w:rsidR="00145669" w:rsidRPr="003C1DC8" w:rsidRDefault="00145669" w:rsidP="003C1DC8">
      <w:pPr>
        <w:pStyle w:val="ListParagraph"/>
        <w:numPr>
          <w:ilvl w:val="0"/>
          <w:numId w:val="18"/>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Rape by a police officer, whether the police officer is on or off duty;</w:t>
      </w:r>
    </w:p>
    <w:p w14:paraId="51C6DEA4" w14:textId="77777777" w:rsidR="00145669" w:rsidRPr="003C1DC8" w:rsidRDefault="00145669" w:rsidP="003C1DC8">
      <w:pPr>
        <w:pStyle w:val="ListParagraph"/>
        <w:numPr>
          <w:ilvl w:val="0"/>
          <w:numId w:val="18"/>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Rape of any person in police custody;</w:t>
      </w:r>
    </w:p>
    <w:p w14:paraId="55581A3C" w14:textId="77777777" w:rsidR="00145669" w:rsidRPr="003C1DC8" w:rsidRDefault="00145669" w:rsidP="003C1DC8">
      <w:pPr>
        <w:pStyle w:val="ListParagraph"/>
        <w:numPr>
          <w:ilvl w:val="0"/>
          <w:numId w:val="18"/>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Any complaint of torture or assault against a police officer in the execution of his or her duties;</w:t>
      </w:r>
    </w:p>
    <w:p w14:paraId="2FF355C7" w14:textId="77777777" w:rsidR="00145669" w:rsidRPr="003C1DC8" w:rsidRDefault="00145669" w:rsidP="003C1DC8">
      <w:pPr>
        <w:pStyle w:val="ListParagraph"/>
        <w:numPr>
          <w:ilvl w:val="0"/>
          <w:numId w:val="18"/>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Corruption matters within the police initiated by the Executive Director, or after a complaint from a member of the public or referred to the Directorate by the Minister, a M</w:t>
      </w:r>
      <w:r w:rsidR="002D730F" w:rsidRPr="003C1DC8">
        <w:rPr>
          <w:rFonts w:ascii="Times New Roman" w:hAnsi="Times New Roman" w:cs="Times New Roman"/>
          <w:sz w:val="24"/>
          <w:szCs w:val="24"/>
        </w:rPr>
        <w:t xml:space="preserve">ember of the </w:t>
      </w:r>
      <w:r w:rsidRPr="003C1DC8">
        <w:rPr>
          <w:rFonts w:ascii="Times New Roman" w:hAnsi="Times New Roman" w:cs="Times New Roman"/>
          <w:sz w:val="24"/>
          <w:szCs w:val="24"/>
        </w:rPr>
        <w:t>E</w:t>
      </w:r>
      <w:r w:rsidR="002D730F" w:rsidRPr="003C1DC8">
        <w:rPr>
          <w:rFonts w:ascii="Times New Roman" w:hAnsi="Times New Roman" w:cs="Times New Roman"/>
          <w:sz w:val="24"/>
          <w:szCs w:val="24"/>
        </w:rPr>
        <w:t xml:space="preserve">xecutive </w:t>
      </w:r>
      <w:r w:rsidRPr="003C1DC8">
        <w:rPr>
          <w:rFonts w:ascii="Times New Roman" w:hAnsi="Times New Roman" w:cs="Times New Roman"/>
          <w:sz w:val="24"/>
          <w:szCs w:val="24"/>
        </w:rPr>
        <w:t>C</w:t>
      </w:r>
      <w:r w:rsidR="002D730F" w:rsidRPr="003C1DC8">
        <w:rPr>
          <w:rFonts w:ascii="Times New Roman" w:hAnsi="Times New Roman" w:cs="Times New Roman"/>
          <w:sz w:val="24"/>
          <w:szCs w:val="24"/>
        </w:rPr>
        <w:t>ommittee (MEC)</w:t>
      </w:r>
      <w:r w:rsidRPr="003C1DC8">
        <w:rPr>
          <w:rFonts w:ascii="Times New Roman" w:hAnsi="Times New Roman" w:cs="Times New Roman"/>
          <w:sz w:val="24"/>
          <w:szCs w:val="24"/>
        </w:rPr>
        <w:t xml:space="preserve"> or the Secretary for the Police Service; and</w:t>
      </w:r>
    </w:p>
    <w:p w14:paraId="252E6EF0" w14:textId="77777777" w:rsidR="00145669" w:rsidRPr="003C1DC8" w:rsidRDefault="00145669" w:rsidP="003C1DC8">
      <w:pPr>
        <w:pStyle w:val="ListParagraph"/>
        <w:numPr>
          <w:ilvl w:val="0"/>
          <w:numId w:val="18"/>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lastRenderedPageBreak/>
        <w:t>Any other matter referred to the IPID as a result of a decision by the Executive Director or if so requested by the Minister, an MEC or the Secretary for the Police Service as the case may be.</w:t>
      </w:r>
    </w:p>
    <w:p w14:paraId="0162B725" w14:textId="77777777" w:rsidR="00145669" w:rsidRPr="00A10AC4" w:rsidRDefault="00145669"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Section 28 (2) further provides that the Directorate may investigate matters relating to systemic corruption involving the police. In terms of Section 30 of the IPID Act, the National Commissioner or the appropria</w:t>
      </w:r>
      <w:r w:rsidR="002D730F" w:rsidRPr="00A10AC4">
        <w:rPr>
          <w:rFonts w:ascii="Times New Roman" w:hAnsi="Times New Roman" w:cs="Times New Roman"/>
          <w:sz w:val="24"/>
          <w:szCs w:val="24"/>
        </w:rPr>
        <w:t>te Provincial Commissioner must:</w:t>
      </w:r>
    </w:p>
    <w:p w14:paraId="4318C4A2" w14:textId="77777777" w:rsidR="00145669" w:rsidRDefault="002D730F" w:rsidP="003C1DC8">
      <w:pPr>
        <w:pStyle w:val="ListParagraph"/>
        <w:numPr>
          <w:ilvl w:val="0"/>
          <w:numId w:val="19"/>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W</w:t>
      </w:r>
      <w:r w:rsidR="00145669" w:rsidRPr="003C1DC8">
        <w:rPr>
          <w:rFonts w:ascii="Times New Roman" w:hAnsi="Times New Roman" w:cs="Times New Roman"/>
          <w:sz w:val="24"/>
          <w:szCs w:val="24"/>
        </w:rPr>
        <w:t>ithin 30 days of receipt thereof, initiate disciplinary proceedings in terms of the recommendations made by the Department</w:t>
      </w:r>
      <w:r w:rsidRPr="003C1DC8">
        <w:rPr>
          <w:rFonts w:ascii="Times New Roman" w:hAnsi="Times New Roman" w:cs="Times New Roman"/>
          <w:sz w:val="24"/>
          <w:szCs w:val="24"/>
        </w:rPr>
        <w:t xml:space="preserve"> of Police</w:t>
      </w:r>
      <w:r w:rsidR="00145669" w:rsidRPr="003C1DC8">
        <w:rPr>
          <w:rFonts w:ascii="Times New Roman" w:hAnsi="Times New Roman" w:cs="Times New Roman"/>
          <w:sz w:val="24"/>
          <w:szCs w:val="24"/>
        </w:rPr>
        <w:t xml:space="preserve"> and inform the Minister in writing, and provide a copy thereof to the Executive Director and the Secretary;</w:t>
      </w:r>
    </w:p>
    <w:p w14:paraId="283C4B8D" w14:textId="77777777" w:rsidR="003C1DC8" w:rsidRPr="003C1DC8" w:rsidRDefault="003C1DC8" w:rsidP="003C1DC8">
      <w:pPr>
        <w:pStyle w:val="ListParagraph"/>
        <w:spacing w:line="276" w:lineRule="auto"/>
        <w:jc w:val="both"/>
        <w:rPr>
          <w:rFonts w:ascii="Times New Roman" w:hAnsi="Times New Roman" w:cs="Times New Roman"/>
          <w:sz w:val="24"/>
          <w:szCs w:val="24"/>
        </w:rPr>
      </w:pPr>
    </w:p>
    <w:p w14:paraId="2C2B3737" w14:textId="77777777" w:rsidR="00145669" w:rsidRDefault="002D730F" w:rsidP="003C1DC8">
      <w:pPr>
        <w:pStyle w:val="ListParagraph"/>
        <w:numPr>
          <w:ilvl w:val="0"/>
          <w:numId w:val="19"/>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Quarterly</w:t>
      </w:r>
      <w:r w:rsidR="00145669" w:rsidRPr="003C1DC8">
        <w:rPr>
          <w:rFonts w:ascii="Times New Roman" w:hAnsi="Times New Roman" w:cs="Times New Roman"/>
          <w:sz w:val="24"/>
          <w:szCs w:val="24"/>
        </w:rPr>
        <w:t xml:space="preserve"> submit a written report to the Minister on the progress regarding disciplinary matters made in terms of paragraph (a) and provide a copy thereof to the Executive;</w:t>
      </w:r>
    </w:p>
    <w:p w14:paraId="10F20E67" w14:textId="77777777" w:rsidR="003C1DC8" w:rsidRPr="003C1DC8" w:rsidRDefault="003C1DC8" w:rsidP="003C1DC8">
      <w:pPr>
        <w:pStyle w:val="ListParagraph"/>
        <w:rPr>
          <w:rFonts w:ascii="Times New Roman" w:hAnsi="Times New Roman" w:cs="Times New Roman"/>
          <w:sz w:val="24"/>
          <w:szCs w:val="24"/>
        </w:rPr>
      </w:pPr>
    </w:p>
    <w:p w14:paraId="311F3B98" w14:textId="77777777" w:rsidR="00FE65AC" w:rsidRPr="003C1DC8" w:rsidRDefault="00145669" w:rsidP="003C1DC8">
      <w:pPr>
        <w:pStyle w:val="ListParagraph"/>
        <w:numPr>
          <w:ilvl w:val="0"/>
          <w:numId w:val="19"/>
        </w:numPr>
        <w:spacing w:line="276" w:lineRule="auto"/>
        <w:jc w:val="both"/>
        <w:rPr>
          <w:rFonts w:ascii="Times New Roman" w:hAnsi="Times New Roman" w:cs="Times New Roman"/>
          <w:sz w:val="24"/>
          <w:szCs w:val="24"/>
        </w:rPr>
      </w:pPr>
      <w:r w:rsidRPr="003C1DC8">
        <w:rPr>
          <w:rFonts w:ascii="Times New Roman" w:hAnsi="Times New Roman" w:cs="Times New Roman"/>
          <w:sz w:val="24"/>
          <w:szCs w:val="24"/>
        </w:rPr>
        <w:t>Immediately on finalisation of any disciplinary matter referred to it by the Department</w:t>
      </w:r>
      <w:r w:rsidR="002D730F" w:rsidRPr="003C1DC8">
        <w:rPr>
          <w:rFonts w:ascii="Times New Roman" w:hAnsi="Times New Roman" w:cs="Times New Roman"/>
          <w:sz w:val="24"/>
          <w:szCs w:val="24"/>
        </w:rPr>
        <w:t xml:space="preserve"> of Police</w:t>
      </w:r>
      <w:r w:rsidRPr="003C1DC8">
        <w:rPr>
          <w:rFonts w:ascii="Times New Roman" w:hAnsi="Times New Roman" w:cs="Times New Roman"/>
          <w:sz w:val="24"/>
          <w:szCs w:val="24"/>
        </w:rPr>
        <w:t>, to inform the Minister in writing of the outcome thereof and provide a copy thereof to the Executive Director and the Secretary.</w:t>
      </w:r>
    </w:p>
    <w:p w14:paraId="163DF636" w14:textId="77777777" w:rsidR="007561F6" w:rsidRPr="00A10AC4" w:rsidRDefault="007561F6" w:rsidP="00A10AC4">
      <w:pPr>
        <w:spacing w:line="276" w:lineRule="auto"/>
        <w:jc w:val="both"/>
        <w:rPr>
          <w:rFonts w:ascii="Times New Roman" w:hAnsi="Times New Roman" w:cs="Times New Roman"/>
          <w:sz w:val="24"/>
          <w:szCs w:val="24"/>
        </w:rPr>
      </w:pPr>
    </w:p>
    <w:p w14:paraId="621B2DBD" w14:textId="77777777" w:rsidR="007561F6" w:rsidRPr="00A10AC4" w:rsidRDefault="007561F6" w:rsidP="00A10AC4">
      <w:pPr>
        <w:spacing w:line="276" w:lineRule="auto"/>
        <w:jc w:val="both"/>
        <w:rPr>
          <w:rFonts w:ascii="Times New Roman" w:hAnsi="Times New Roman" w:cs="Times New Roman"/>
          <w:b/>
          <w:sz w:val="24"/>
          <w:szCs w:val="24"/>
        </w:rPr>
      </w:pPr>
      <w:r w:rsidRPr="00A10AC4">
        <w:rPr>
          <w:rFonts w:ascii="Times New Roman" w:hAnsi="Times New Roman" w:cs="Times New Roman"/>
          <w:b/>
          <w:sz w:val="24"/>
          <w:szCs w:val="24"/>
        </w:rPr>
        <w:t>1.1.</w:t>
      </w:r>
      <w:r w:rsidRPr="00A10AC4">
        <w:rPr>
          <w:rFonts w:ascii="Times New Roman" w:hAnsi="Times New Roman" w:cs="Times New Roman"/>
          <w:b/>
          <w:sz w:val="24"/>
          <w:szCs w:val="24"/>
        </w:rPr>
        <w:tab/>
        <w:t xml:space="preserve">Structure of the report </w:t>
      </w:r>
    </w:p>
    <w:p w14:paraId="47B6875F" w14:textId="77777777" w:rsidR="007561F6" w:rsidRPr="00A10AC4" w:rsidRDefault="007561F6" w:rsidP="00A10AC4">
      <w:pPr>
        <w:spacing w:line="276" w:lineRule="auto"/>
        <w:jc w:val="both"/>
        <w:rPr>
          <w:rFonts w:ascii="Times New Roman" w:hAnsi="Times New Roman" w:cs="Times New Roman"/>
          <w:b/>
          <w:sz w:val="24"/>
          <w:szCs w:val="24"/>
        </w:rPr>
      </w:pPr>
      <w:r w:rsidRPr="00A10AC4">
        <w:rPr>
          <w:rFonts w:ascii="Times New Roman" w:hAnsi="Times New Roman" w:cs="Times New Roman"/>
          <w:sz w:val="24"/>
          <w:szCs w:val="24"/>
        </w:rPr>
        <w:t xml:space="preserve">The Report provides an overview of the 2019/20 Budget Hearings of the IPID and is divided into the following sections: </w:t>
      </w:r>
    </w:p>
    <w:p w14:paraId="40742DF0" w14:textId="77777777" w:rsidR="007561F6" w:rsidRPr="00A10AC4" w:rsidRDefault="007561F6" w:rsidP="00A10AC4">
      <w:pPr>
        <w:pStyle w:val="ListParagraph"/>
        <w:numPr>
          <w:ilvl w:val="0"/>
          <w:numId w:val="2"/>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 xml:space="preserve">Section 1: Introduction. This section provides an introduction to this Report as well as a summary of meetings held during the hearings. </w:t>
      </w:r>
    </w:p>
    <w:p w14:paraId="441335A4" w14:textId="77777777" w:rsidR="007561F6" w:rsidRPr="00A10AC4" w:rsidRDefault="007561F6" w:rsidP="00A10AC4">
      <w:pPr>
        <w:pStyle w:val="ListParagraph"/>
        <w:numPr>
          <w:ilvl w:val="0"/>
          <w:numId w:val="2"/>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Section 2: Strategic Pri</w:t>
      </w:r>
      <w:r w:rsidR="00DA72C3" w:rsidRPr="00A10AC4">
        <w:rPr>
          <w:rFonts w:ascii="Times New Roman" w:hAnsi="Times New Roman" w:cs="Times New Roman"/>
          <w:sz w:val="24"/>
          <w:szCs w:val="24"/>
        </w:rPr>
        <w:t>orities of the IPID for the 2019</w:t>
      </w:r>
      <w:r w:rsidR="00605392" w:rsidRPr="00A10AC4">
        <w:rPr>
          <w:rFonts w:ascii="Times New Roman" w:hAnsi="Times New Roman" w:cs="Times New Roman"/>
          <w:sz w:val="24"/>
          <w:szCs w:val="24"/>
        </w:rPr>
        <w:t>/20</w:t>
      </w:r>
      <w:r w:rsidRPr="00A10AC4">
        <w:rPr>
          <w:rFonts w:ascii="Times New Roman" w:hAnsi="Times New Roman" w:cs="Times New Roman"/>
          <w:sz w:val="24"/>
          <w:szCs w:val="24"/>
        </w:rPr>
        <w:t xml:space="preserve"> financial year. This section provides a summary of the strategic focus areas for the IPID for the year under review. </w:t>
      </w:r>
    </w:p>
    <w:p w14:paraId="2FFDAC2C" w14:textId="77777777" w:rsidR="007561F6" w:rsidRPr="00A10AC4" w:rsidRDefault="007561F6" w:rsidP="00A10AC4">
      <w:pPr>
        <w:pStyle w:val="ListParagraph"/>
        <w:numPr>
          <w:ilvl w:val="0"/>
          <w:numId w:val="2"/>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 xml:space="preserve">Section 3: IPID Budget </w:t>
      </w:r>
      <w:r w:rsidR="00605392" w:rsidRPr="00A10AC4">
        <w:rPr>
          <w:rFonts w:ascii="Times New Roman" w:hAnsi="Times New Roman" w:cs="Times New Roman"/>
          <w:sz w:val="24"/>
          <w:szCs w:val="24"/>
        </w:rPr>
        <w:t>and Performance targets for 2019/20</w:t>
      </w:r>
      <w:r w:rsidRPr="00A10AC4">
        <w:rPr>
          <w:rFonts w:ascii="Times New Roman" w:hAnsi="Times New Roman" w:cs="Times New Roman"/>
          <w:sz w:val="24"/>
          <w:szCs w:val="24"/>
        </w:rPr>
        <w:t>. This section provides an overall analysis of the estimates of national expe</w:t>
      </w:r>
      <w:r w:rsidR="00605392" w:rsidRPr="00A10AC4">
        <w:rPr>
          <w:rFonts w:ascii="Times New Roman" w:hAnsi="Times New Roman" w:cs="Times New Roman"/>
          <w:sz w:val="24"/>
          <w:szCs w:val="24"/>
        </w:rPr>
        <w:t>nditure of the IPID for the 2019/20</w:t>
      </w:r>
      <w:r w:rsidRPr="00A10AC4">
        <w:rPr>
          <w:rFonts w:ascii="Times New Roman" w:hAnsi="Times New Roman" w:cs="Times New Roman"/>
          <w:sz w:val="24"/>
          <w:szCs w:val="24"/>
        </w:rPr>
        <w:t xml:space="preserve"> financial year. This section also provides a programme analysis of the IPID. </w:t>
      </w:r>
    </w:p>
    <w:p w14:paraId="31C2D46D" w14:textId="77777777" w:rsidR="007561F6" w:rsidRPr="00A10AC4" w:rsidRDefault="007561F6" w:rsidP="00A10AC4">
      <w:pPr>
        <w:pStyle w:val="ListParagraph"/>
        <w:numPr>
          <w:ilvl w:val="0"/>
          <w:numId w:val="2"/>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Section 4: Committee observations. This section highlights selected observations made by the Portfolio Committee on Police on the annual performance targets and programme</w:t>
      </w:r>
      <w:r w:rsidR="00605392" w:rsidRPr="00A10AC4">
        <w:rPr>
          <w:rFonts w:ascii="Times New Roman" w:hAnsi="Times New Roman" w:cs="Times New Roman"/>
          <w:sz w:val="24"/>
          <w:szCs w:val="24"/>
        </w:rPr>
        <w:t xml:space="preserve"> specific issues during the 2019/20</w:t>
      </w:r>
      <w:r w:rsidRPr="00A10AC4">
        <w:rPr>
          <w:rFonts w:ascii="Times New Roman" w:hAnsi="Times New Roman" w:cs="Times New Roman"/>
          <w:sz w:val="24"/>
          <w:szCs w:val="24"/>
        </w:rPr>
        <w:t xml:space="preserve"> budget hearings and subsequent responses by the IPID.</w:t>
      </w:r>
    </w:p>
    <w:p w14:paraId="1A5C152B" w14:textId="77777777" w:rsidR="007561F6" w:rsidRPr="00A10AC4" w:rsidRDefault="007561F6" w:rsidP="00A10AC4">
      <w:pPr>
        <w:pStyle w:val="ListParagraph"/>
        <w:numPr>
          <w:ilvl w:val="0"/>
          <w:numId w:val="2"/>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 xml:space="preserve">Section 5: Recommendations and additional information. This section summarises the recommendations made by the Portfolio Committee on Police, as well as the additional information requested from the IPID. </w:t>
      </w:r>
    </w:p>
    <w:p w14:paraId="59A4D59B" w14:textId="77777777" w:rsidR="007561F6" w:rsidRPr="00A10AC4" w:rsidRDefault="007561F6" w:rsidP="00A10AC4">
      <w:pPr>
        <w:pStyle w:val="ListParagraph"/>
        <w:numPr>
          <w:ilvl w:val="0"/>
          <w:numId w:val="2"/>
        </w:num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Section 6: Conclusion. This section provides a conclusion to this Report.</w:t>
      </w:r>
    </w:p>
    <w:p w14:paraId="23A383FC" w14:textId="77777777" w:rsidR="00605392" w:rsidRPr="00A10AC4" w:rsidRDefault="00605392" w:rsidP="00A10AC4">
      <w:pPr>
        <w:spacing w:line="276" w:lineRule="auto"/>
        <w:jc w:val="both"/>
        <w:rPr>
          <w:rFonts w:ascii="Times New Roman" w:hAnsi="Times New Roman" w:cs="Times New Roman"/>
          <w:sz w:val="24"/>
          <w:szCs w:val="24"/>
        </w:rPr>
      </w:pPr>
    </w:p>
    <w:p w14:paraId="530B2ADF" w14:textId="77777777" w:rsidR="00605392" w:rsidRPr="00A10AC4" w:rsidRDefault="00605392" w:rsidP="00A10AC4">
      <w:pPr>
        <w:spacing w:line="276" w:lineRule="auto"/>
        <w:jc w:val="both"/>
        <w:rPr>
          <w:rFonts w:ascii="Times New Roman" w:hAnsi="Times New Roman" w:cs="Times New Roman"/>
          <w:b/>
          <w:sz w:val="24"/>
          <w:szCs w:val="24"/>
        </w:rPr>
      </w:pPr>
      <w:r w:rsidRPr="00A10AC4">
        <w:rPr>
          <w:rFonts w:ascii="Times New Roman" w:hAnsi="Times New Roman" w:cs="Times New Roman"/>
          <w:b/>
          <w:sz w:val="24"/>
          <w:szCs w:val="24"/>
        </w:rPr>
        <w:t>1.2</w:t>
      </w:r>
      <w:r w:rsidRPr="00A10AC4">
        <w:rPr>
          <w:rFonts w:ascii="Times New Roman" w:hAnsi="Times New Roman" w:cs="Times New Roman"/>
          <w:sz w:val="24"/>
          <w:szCs w:val="24"/>
        </w:rPr>
        <w:t>.</w:t>
      </w:r>
      <w:r w:rsidRPr="00A10AC4">
        <w:rPr>
          <w:rFonts w:ascii="Times New Roman" w:hAnsi="Times New Roman" w:cs="Times New Roman"/>
          <w:sz w:val="24"/>
          <w:szCs w:val="24"/>
        </w:rPr>
        <w:tab/>
      </w:r>
      <w:r w:rsidRPr="00A10AC4">
        <w:rPr>
          <w:rFonts w:ascii="Times New Roman" w:hAnsi="Times New Roman" w:cs="Times New Roman"/>
          <w:b/>
          <w:sz w:val="24"/>
          <w:szCs w:val="24"/>
        </w:rPr>
        <w:t>Meetings held</w:t>
      </w:r>
    </w:p>
    <w:p w14:paraId="6E787C0F" w14:textId="77777777" w:rsidR="00605392" w:rsidRDefault="00605392"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lastRenderedPageBreak/>
        <w:t xml:space="preserve">The </w:t>
      </w:r>
      <w:r w:rsidR="00B10AFB" w:rsidRPr="00A10AC4">
        <w:rPr>
          <w:rFonts w:ascii="Times New Roman" w:hAnsi="Times New Roman" w:cs="Times New Roman"/>
          <w:sz w:val="24"/>
          <w:szCs w:val="24"/>
        </w:rPr>
        <w:t>Committee received a briefing from</w:t>
      </w:r>
      <w:r w:rsidRPr="00A10AC4">
        <w:rPr>
          <w:rFonts w:ascii="Times New Roman" w:hAnsi="Times New Roman" w:cs="Times New Roman"/>
          <w:sz w:val="24"/>
          <w:szCs w:val="24"/>
        </w:rPr>
        <w:t xml:space="preserve"> </w:t>
      </w:r>
      <w:r w:rsidR="00B10AFB" w:rsidRPr="00A10AC4">
        <w:rPr>
          <w:rFonts w:ascii="Times New Roman" w:hAnsi="Times New Roman" w:cs="Times New Roman"/>
          <w:sz w:val="24"/>
          <w:szCs w:val="24"/>
        </w:rPr>
        <w:t xml:space="preserve">the </w:t>
      </w:r>
      <w:r w:rsidRPr="00A10AC4">
        <w:rPr>
          <w:rFonts w:ascii="Times New Roman" w:hAnsi="Times New Roman" w:cs="Times New Roman"/>
          <w:sz w:val="24"/>
          <w:szCs w:val="24"/>
        </w:rPr>
        <w:t>IPID on the Annual Performance Plan and 2019/20 Budget on 4 July 2019.</w:t>
      </w:r>
    </w:p>
    <w:p w14:paraId="1F3C3D7E" w14:textId="77777777" w:rsidR="00D01FD7" w:rsidRDefault="00D01FD7" w:rsidP="00A10AC4">
      <w:pPr>
        <w:spacing w:line="276" w:lineRule="auto"/>
        <w:jc w:val="both"/>
        <w:rPr>
          <w:rFonts w:ascii="Times New Roman" w:hAnsi="Times New Roman" w:cs="Times New Roman"/>
          <w:b/>
          <w:sz w:val="24"/>
          <w:szCs w:val="24"/>
        </w:rPr>
      </w:pPr>
      <w:r w:rsidRPr="00D01FD7">
        <w:rPr>
          <w:rFonts w:ascii="Times New Roman" w:hAnsi="Times New Roman" w:cs="Times New Roman"/>
          <w:b/>
          <w:sz w:val="24"/>
          <w:szCs w:val="24"/>
        </w:rPr>
        <w:t>2.</w:t>
      </w:r>
      <w:r w:rsidRPr="00D01FD7">
        <w:rPr>
          <w:rFonts w:ascii="Times New Roman" w:hAnsi="Times New Roman" w:cs="Times New Roman"/>
          <w:b/>
          <w:sz w:val="24"/>
          <w:szCs w:val="24"/>
        </w:rPr>
        <w:tab/>
        <w:t>KEY STRATEGIC PRIORITIES</w:t>
      </w:r>
    </w:p>
    <w:p w14:paraId="650FCFEE" w14:textId="77777777" w:rsidR="00D01FD7" w:rsidRDefault="00D01FD7" w:rsidP="00A10AC4">
      <w:pPr>
        <w:spacing w:line="276" w:lineRule="auto"/>
        <w:jc w:val="both"/>
        <w:rPr>
          <w:rFonts w:ascii="Times New Roman" w:hAnsi="Times New Roman" w:cs="Times New Roman"/>
          <w:sz w:val="24"/>
          <w:szCs w:val="24"/>
        </w:rPr>
      </w:pPr>
      <w:r>
        <w:rPr>
          <w:rFonts w:ascii="Times New Roman" w:hAnsi="Times New Roman" w:cs="Times New Roman"/>
          <w:sz w:val="24"/>
          <w:szCs w:val="24"/>
        </w:rPr>
        <w:t>IPID has tabled the following key priorities in the 2019/20 Annual Performance Plan:</w:t>
      </w:r>
    </w:p>
    <w:p w14:paraId="2AA8D067" w14:textId="77777777" w:rsidR="00D01FD7" w:rsidRPr="00D01FD7" w:rsidRDefault="00D01FD7" w:rsidP="00D01FD7">
      <w:p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Key Priorities for 2019/2020 financial year:</w:t>
      </w:r>
    </w:p>
    <w:p w14:paraId="294FCB52"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Continue Investi</w:t>
      </w:r>
      <w:r w:rsidR="00FF25AC">
        <w:rPr>
          <w:rFonts w:ascii="Times New Roman" w:hAnsi="Times New Roman" w:cs="Times New Roman"/>
          <w:sz w:val="24"/>
          <w:szCs w:val="24"/>
        </w:rPr>
        <w:t>gating high impact cases - The D</w:t>
      </w:r>
      <w:r w:rsidRPr="00D01FD7">
        <w:rPr>
          <w:rFonts w:ascii="Times New Roman" w:hAnsi="Times New Roman" w:cs="Times New Roman"/>
          <w:sz w:val="24"/>
          <w:szCs w:val="24"/>
        </w:rPr>
        <w:t xml:space="preserve">irectorate’s focus on high impact cases over the medium term will ensure that it is able to deal effectively with cases that are </w:t>
      </w:r>
      <w:r>
        <w:rPr>
          <w:rFonts w:ascii="Times New Roman" w:hAnsi="Times New Roman" w:cs="Times New Roman"/>
          <w:sz w:val="24"/>
          <w:szCs w:val="24"/>
        </w:rPr>
        <w:t>g</w:t>
      </w:r>
      <w:r w:rsidRPr="00D01FD7">
        <w:rPr>
          <w:rFonts w:ascii="Times New Roman" w:hAnsi="Times New Roman" w:cs="Times New Roman"/>
          <w:sz w:val="24"/>
          <w:szCs w:val="24"/>
        </w:rPr>
        <w:t>enera</w:t>
      </w:r>
      <w:r>
        <w:rPr>
          <w:rFonts w:ascii="Times New Roman" w:hAnsi="Times New Roman" w:cs="Times New Roman"/>
          <w:sz w:val="24"/>
          <w:szCs w:val="24"/>
        </w:rPr>
        <w:t>lly more complex to investigate;</w:t>
      </w:r>
    </w:p>
    <w:p w14:paraId="7537E2B3"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Working with NPA to ensure speedy prosecution of cases referred</w:t>
      </w:r>
      <w:r>
        <w:rPr>
          <w:rFonts w:ascii="Times New Roman" w:hAnsi="Times New Roman" w:cs="Times New Roman"/>
          <w:sz w:val="24"/>
          <w:szCs w:val="24"/>
        </w:rPr>
        <w:t>;</w:t>
      </w:r>
    </w:p>
    <w:p w14:paraId="7C00EC07"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Finalising the Amendment of the IPID Act - in line with Constitutional Court ruling. Assistance of the Committee required in this regard</w:t>
      </w:r>
      <w:r>
        <w:rPr>
          <w:rFonts w:ascii="Times New Roman" w:hAnsi="Times New Roman" w:cs="Times New Roman"/>
          <w:sz w:val="24"/>
          <w:szCs w:val="24"/>
        </w:rPr>
        <w:t>;</w:t>
      </w:r>
    </w:p>
    <w:p w14:paraId="4A6BC440"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Full Implementation of IPID Act Section 23</w:t>
      </w:r>
      <w:r>
        <w:rPr>
          <w:rFonts w:ascii="Times New Roman" w:hAnsi="Times New Roman" w:cs="Times New Roman"/>
          <w:sz w:val="24"/>
          <w:szCs w:val="24"/>
        </w:rPr>
        <w:t>;</w:t>
      </w:r>
      <w:r w:rsidRPr="00D01FD7">
        <w:rPr>
          <w:rFonts w:ascii="Times New Roman" w:hAnsi="Times New Roman" w:cs="Times New Roman"/>
          <w:sz w:val="24"/>
          <w:szCs w:val="24"/>
        </w:rPr>
        <w:t xml:space="preserve"> </w:t>
      </w:r>
    </w:p>
    <w:p w14:paraId="2354A0E5"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Modernization and Upgrade of ICT infrastructure to enhance operational environment</w:t>
      </w:r>
      <w:r>
        <w:rPr>
          <w:rFonts w:ascii="Times New Roman" w:hAnsi="Times New Roman" w:cs="Times New Roman"/>
          <w:sz w:val="24"/>
          <w:szCs w:val="24"/>
        </w:rPr>
        <w:t>;</w:t>
      </w:r>
    </w:p>
    <w:p w14:paraId="00AD3C46"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Procurement of investigative tools to effectively and efficiently executive the mandate</w:t>
      </w:r>
      <w:r>
        <w:rPr>
          <w:rFonts w:ascii="Times New Roman" w:hAnsi="Times New Roman" w:cs="Times New Roman"/>
          <w:sz w:val="24"/>
          <w:szCs w:val="24"/>
        </w:rPr>
        <w:t>;</w:t>
      </w:r>
      <w:r w:rsidRPr="00D01FD7">
        <w:rPr>
          <w:rFonts w:ascii="Times New Roman" w:hAnsi="Times New Roman" w:cs="Times New Roman"/>
          <w:sz w:val="24"/>
          <w:szCs w:val="24"/>
        </w:rPr>
        <w:t xml:space="preserve"> </w:t>
      </w:r>
    </w:p>
    <w:p w14:paraId="10EDFD0F"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Relocation of Head Office &amp; Finalization of organizational structure</w:t>
      </w:r>
      <w:r>
        <w:rPr>
          <w:rFonts w:ascii="Times New Roman" w:hAnsi="Times New Roman" w:cs="Times New Roman"/>
          <w:sz w:val="24"/>
          <w:szCs w:val="24"/>
        </w:rPr>
        <w:t>;</w:t>
      </w:r>
    </w:p>
    <w:p w14:paraId="1511E1B3"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Review closure of Satellite Offices in line with IPID Expansion Strategy</w:t>
      </w:r>
      <w:r>
        <w:rPr>
          <w:rFonts w:ascii="Times New Roman" w:hAnsi="Times New Roman" w:cs="Times New Roman"/>
          <w:sz w:val="24"/>
          <w:szCs w:val="24"/>
        </w:rPr>
        <w:t>;</w:t>
      </w:r>
    </w:p>
    <w:p w14:paraId="6A0C4650"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Interface of Case Management System with Criminal Justice Systems</w:t>
      </w:r>
      <w:r>
        <w:rPr>
          <w:rFonts w:ascii="Times New Roman" w:hAnsi="Times New Roman" w:cs="Times New Roman"/>
          <w:sz w:val="24"/>
          <w:szCs w:val="24"/>
        </w:rPr>
        <w:t>; and</w:t>
      </w:r>
      <w:r w:rsidRPr="00D01FD7">
        <w:rPr>
          <w:rFonts w:ascii="Times New Roman" w:hAnsi="Times New Roman" w:cs="Times New Roman"/>
          <w:sz w:val="24"/>
          <w:szCs w:val="24"/>
        </w:rPr>
        <w:t xml:space="preserve"> </w:t>
      </w:r>
    </w:p>
    <w:p w14:paraId="73F248AF" w14:textId="77777777" w:rsidR="00D01FD7" w:rsidRPr="00D01FD7" w:rsidRDefault="00D01FD7" w:rsidP="00D01FD7">
      <w:pPr>
        <w:pStyle w:val="ListParagraph"/>
        <w:numPr>
          <w:ilvl w:val="0"/>
          <w:numId w:val="21"/>
        </w:numPr>
        <w:spacing w:line="276" w:lineRule="auto"/>
        <w:jc w:val="both"/>
        <w:rPr>
          <w:rFonts w:ascii="Times New Roman" w:hAnsi="Times New Roman" w:cs="Times New Roman"/>
          <w:sz w:val="24"/>
          <w:szCs w:val="24"/>
        </w:rPr>
      </w:pPr>
      <w:r w:rsidRPr="00D01FD7">
        <w:rPr>
          <w:rFonts w:ascii="Times New Roman" w:hAnsi="Times New Roman" w:cs="Times New Roman"/>
          <w:sz w:val="24"/>
          <w:szCs w:val="24"/>
        </w:rPr>
        <w:t>Implementation of Clean Audit Strategy</w:t>
      </w:r>
      <w:r>
        <w:rPr>
          <w:rFonts w:ascii="Times New Roman" w:hAnsi="Times New Roman" w:cs="Times New Roman"/>
          <w:sz w:val="24"/>
          <w:szCs w:val="24"/>
        </w:rPr>
        <w:t>.</w:t>
      </w:r>
      <w:r w:rsidRPr="00D01FD7">
        <w:rPr>
          <w:rFonts w:ascii="Times New Roman" w:hAnsi="Times New Roman" w:cs="Times New Roman"/>
          <w:sz w:val="24"/>
          <w:szCs w:val="24"/>
        </w:rPr>
        <w:t xml:space="preserve"> </w:t>
      </w:r>
    </w:p>
    <w:p w14:paraId="30DB4D06" w14:textId="77777777" w:rsidR="00D01FD7" w:rsidRPr="00A10AC4" w:rsidRDefault="00D01FD7" w:rsidP="00A10AC4">
      <w:pPr>
        <w:spacing w:line="276" w:lineRule="auto"/>
        <w:jc w:val="both"/>
        <w:rPr>
          <w:rFonts w:ascii="Times New Roman" w:hAnsi="Times New Roman" w:cs="Times New Roman"/>
          <w:sz w:val="24"/>
          <w:szCs w:val="24"/>
        </w:rPr>
      </w:pPr>
    </w:p>
    <w:p w14:paraId="6826A4F0" w14:textId="77777777" w:rsidR="003C1DC8" w:rsidRDefault="00D01FD7" w:rsidP="00A10AC4">
      <w:pPr>
        <w:spacing w:line="276" w:lineRule="auto"/>
        <w:jc w:val="both"/>
        <w:rPr>
          <w:rFonts w:ascii="Times New Roman" w:hAnsi="Times New Roman" w:cs="Times New Roman"/>
          <w:sz w:val="24"/>
          <w:szCs w:val="24"/>
        </w:rPr>
      </w:pPr>
      <w:r>
        <w:rPr>
          <w:rFonts w:ascii="Times New Roman" w:hAnsi="Times New Roman" w:cs="Times New Roman"/>
          <w:b/>
          <w:sz w:val="24"/>
          <w:szCs w:val="24"/>
        </w:rPr>
        <w:t>3</w:t>
      </w:r>
      <w:r w:rsidR="003C1DC8">
        <w:rPr>
          <w:rFonts w:ascii="Times New Roman" w:hAnsi="Times New Roman" w:cs="Times New Roman"/>
          <w:b/>
          <w:sz w:val="24"/>
          <w:szCs w:val="24"/>
        </w:rPr>
        <w:t>.</w:t>
      </w:r>
      <w:r w:rsidR="003C1DC8">
        <w:rPr>
          <w:rFonts w:ascii="Times New Roman" w:hAnsi="Times New Roman" w:cs="Times New Roman"/>
          <w:b/>
          <w:sz w:val="24"/>
          <w:szCs w:val="24"/>
        </w:rPr>
        <w:tab/>
      </w:r>
      <w:r w:rsidR="003C1DC8" w:rsidRPr="003C1DC8">
        <w:rPr>
          <w:rFonts w:ascii="Times New Roman" w:hAnsi="Times New Roman" w:cs="Times New Roman"/>
          <w:b/>
          <w:sz w:val="24"/>
          <w:szCs w:val="24"/>
        </w:rPr>
        <w:t>IPID BUDGET AND PERFORMANCE TARGETS FOR 2019/20</w:t>
      </w:r>
    </w:p>
    <w:p w14:paraId="2D926926" w14:textId="77777777" w:rsidR="00605392" w:rsidRPr="00A10AC4" w:rsidRDefault="003C1DC8" w:rsidP="00A10AC4">
      <w:pPr>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sidR="00605392" w:rsidRPr="00A10AC4">
        <w:rPr>
          <w:rFonts w:ascii="Times New Roman" w:hAnsi="Times New Roman" w:cs="Times New Roman"/>
          <w:b/>
          <w:sz w:val="24"/>
          <w:szCs w:val="24"/>
        </w:rPr>
        <w:t>OVERALL BUDGET ALLOCATION</w:t>
      </w:r>
    </w:p>
    <w:p w14:paraId="64D8A81A" w14:textId="77777777" w:rsidR="00605392" w:rsidRPr="00A10AC4" w:rsidRDefault="00605392"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The IPID received a main budget allocation of R336.7 million in the 2019/20 financial year, which is an increase of R21.6 million when compared to the previous financial year in whi</w:t>
      </w:r>
      <w:r w:rsidR="00B10AFB" w:rsidRPr="00A10AC4">
        <w:rPr>
          <w:rFonts w:ascii="Times New Roman" w:hAnsi="Times New Roman" w:cs="Times New Roman"/>
          <w:sz w:val="24"/>
          <w:szCs w:val="24"/>
        </w:rPr>
        <w:t xml:space="preserve">ch the main allocation was R315 </w:t>
      </w:r>
      <w:r w:rsidRPr="00A10AC4">
        <w:rPr>
          <w:rFonts w:ascii="Times New Roman" w:hAnsi="Times New Roman" w:cs="Times New Roman"/>
          <w:sz w:val="24"/>
          <w:szCs w:val="24"/>
        </w:rPr>
        <w:t>million. This represents a nominal increase of 6.9%. The 2019/20 percentage increase is far less than that of the previous year’s increase of 23.4%. The Investigation and Information Management Programme received the largest allocation of the total Vote at 61.7%, followed by the Administration Programme (32.5%). Together these two programmes received 94.2% of the total Vote, leaving 1.8% and 3.9 % to the Legal and Investigation Advisory and Compliance Monitoring Programme and Stakeholder Management Programme respectively.</w:t>
      </w:r>
    </w:p>
    <w:p w14:paraId="66B5CA5B" w14:textId="77777777" w:rsidR="002573FB" w:rsidRPr="00FF25AC" w:rsidRDefault="00605392" w:rsidP="00A10AC4">
      <w:pPr>
        <w:spacing w:line="276" w:lineRule="auto"/>
        <w:jc w:val="both"/>
        <w:rPr>
          <w:rFonts w:ascii="Times New Roman" w:hAnsi="Times New Roman" w:cs="Times New Roman"/>
          <w:sz w:val="24"/>
          <w:szCs w:val="24"/>
        </w:rPr>
      </w:pPr>
      <w:r w:rsidRPr="00FF25AC">
        <w:rPr>
          <w:rFonts w:ascii="Times New Roman" w:hAnsi="Times New Roman" w:cs="Times New Roman"/>
          <w:sz w:val="24"/>
          <w:szCs w:val="24"/>
        </w:rPr>
        <w:t>The table below provides a breakdown of the 2019/20 budget allocation in comparison</w:t>
      </w:r>
      <w:r w:rsidR="002B025C" w:rsidRPr="00FF25AC">
        <w:rPr>
          <w:rFonts w:ascii="Times New Roman" w:hAnsi="Times New Roman" w:cs="Times New Roman"/>
          <w:sz w:val="24"/>
          <w:szCs w:val="24"/>
        </w:rPr>
        <w:t xml:space="preserve"> to the previous financial</w:t>
      </w:r>
      <w:r w:rsidR="00FF25AC">
        <w:rPr>
          <w:rFonts w:ascii="Times New Roman" w:hAnsi="Times New Roman" w:cs="Times New Roman"/>
          <w:sz w:val="24"/>
          <w:szCs w:val="24"/>
        </w:rPr>
        <w:t xml:space="preserve"> year</w:t>
      </w:r>
      <w:r w:rsidR="00B10AFB" w:rsidRPr="00FF25AC">
        <w:rPr>
          <w:rFonts w:ascii="Times New Roman" w:hAnsi="Times New Roman" w:cs="Times New Roman"/>
          <w:sz w:val="24"/>
          <w:szCs w:val="24"/>
        </w:rPr>
        <w:t>.</w:t>
      </w:r>
    </w:p>
    <w:p w14:paraId="6720E7E3" w14:textId="77777777" w:rsidR="00C64784" w:rsidRPr="00A10AC4" w:rsidRDefault="00C64784" w:rsidP="00A10AC4">
      <w:pPr>
        <w:spacing w:after="0" w:line="276" w:lineRule="auto"/>
        <w:jc w:val="both"/>
        <w:rPr>
          <w:rFonts w:ascii="Times New Roman" w:eastAsia="Calibri" w:hAnsi="Times New Roman" w:cs="Times New Roman"/>
        </w:rPr>
      </w:pPr>
    </w:p>
    <w:p w14:paraId="746CDFB4" w14:textId="77777777" w:rsidR="00C64784" w:rsidRPr="00A10AC4" w:rsidRDefault="00C64784" w:rsidP="00A10AC4">
      <w:pPr>
        <w:spacing w:after="0" w:line="276" w:lineRule="auto"/>
        <w:jc w:val="both"/>
        <w:rPr>
          <w:rFonts w:ascii="Times New Roman" w:eastAsia="Calibri" w:hAnsi="Times New Roman" w:cs="Times New Roman"/>
          <w:b/>
        </w:rPr>
      </w:pPr>
      <w:r w:rsidRPr="00A10AC4">
        <w:rPr>
          <w:rFonts w:ascii="Times New Roman" w:eastAsia="Calibri" w:hAnsi="Times New Roman" w:cs="Times New Roman"/>
          <w:b/>
        </w:rPr>
        <w:t xml:space="preserve">Table 1: IPID Expenditure over the medium-term </w:t>
      </w:r>
    </w:p>
    <w:tbl>
      <w:tblPr>
        <w:tblW w:w="9394" w:type="dxa"/>
        <w:tblLook w:val="04A0" w:firstRow="1" w:lastRow="0" w:firstColumn="1" w:lastColumn="0" w:noHBand="0" w:noVBand="1"/>
      </w:tblPr>
      <w:tblGrid>
        <w:gridCol w:w="1843"/>
        <w:gridCol w:w="1134"/>
        <w:gridCol w:w="1120"/>
        <w:gridCol w:w="13"/>
        <w:gridCol w:w="1107"/>
        <w:gridCol w:w="1360"/>
        <w:gridCol w:w="1520"/>
        <w:gridCol w:w="1373"/>
      </w:tblGrid>
      <w:tr w:rsidR="00C64784" w:rsidRPr="00A10AC4" w14:paraId="134CDE81" w14:textId="77777777" w:rsidTr="00B71EE2">
        <w:trPr>
          <w:trHeight w:val="240"/>
        </w:trPr>
        <w:tc>
          <w:tcPr>
            <w:tcW w:w="93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F0058"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Programmes</w:t>
            </w:r>
          </w:p>
        </w:tc>
      </w:tr>
      <w:tr w:rsidR="00C64784" w:rsidRPr="00A10AC4" w14:paraId="3F04FE99" w14:textId="77777777" w:rsidTr="00B71EE2">
        <w:trPr>
          <w:trHeight w:val="252"/>
        </w:trPr>
        <w:tc>
          <w:tcPr>
            <w:tcW w:w="9394" w:type="dxa"/>
            <w:gridSpan w:val="8"/>
            <w:tcBorders>
              <w:top w:val="single" w:sz="4" w:space="0" w:color="auto"/>
              <w:left w:val="single" w:sz="4" w:space="0" w:color="auto"/>
              <w:bottom w:val="nil"/>
              <w:right w:val="single" w:sz="4" w:space="0" w:color="auto"/>
            </w:tcBorders>
            <w:shd w:val="clear" w:color="auto" w:fill="auto"/>
            <w:noWrap/>
            <w:vAlign w:val="bottom"/>
            <w:hideMark/>
          </w:tcPr>
          <w:p w14:paraId="0700A6A0"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1. Administration</w:t>
            </w:r>
          </w:p>
        </w:tc>
      </w:tr>
      <w:tr w:rsidR="00C64784" w:rsidRPr="00A10AC4" w14:paraId="73655669" w14:textId="77777777" w:rsidTr="00B71EE2">
        <w:trPr>
          <w:trHeight w:val="240"/>
        </w:trPr>
        <w:tc>
          <w:tcPr>
            <w:tcW w:w="9394" w:type="dxa"/>
            <w:gridSpan w:val="8"/>
            <w:tcBorders>
              <w:top w:val="nil"/>
              <w:left w:val="single" w:sz="4" w:space="0" w:color="auto"/>
              <w:bottom w:val="nil"/>
              <w:right w:val="single" w:sz="4" w:space="0" w:color="auto"/>
            </w:tcBorders>
            <w:shd w:val="clear" w:color="auto" w:fill="auto"/>
            <w:noWrap/>
            <w:vAlign w:val="bottom"/>
            <w:hideMark/>
          </w:tcPr>
          <w:p w14:paraId="3DA80F72"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2. Investigation and Information Management</w:t>
            </w:r>
          </w:p>
        </w:tc>
      </w:tr>
      <w:tr w:rsidR="00C64784" w:rsidRPr="00A10AC4" w14:paraId="4E02542F" w14:textId="77777777" w:rsidTr="00B71EE2">
        <w:trPr>
          <w:trHeight w:val="240"/>
        </w:trPr>
        <w:tc>
          <w:tcPr>
            <w:tcW w:w="9394" w:type="dxa"/>
            <w:gridSpan w:val="8"/>
            <w:tcBorders>
              <w:top w:val="nil"/>
              <w:left w:val="single" w:sz="4" w:space="0" w:color="auto"/>
              <w:bottom w:val="nil"/>
              <w:right w:val="single" w:sz="4" w:space="0" w:color="auto"/>
            </w:tcBorders>
            <w:shd w:val="clear" w:color="auto" w:fill="auto"/>
            <w:noWrap/>
            <w:vAlign w:val="bottom"/>
            <w:hideMark/>
          </w:tcPr>
          <w:p w14:paraId="11B0FDB9"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3. Legal and Investigation Advisory Services </w:t>
            </w:r>
          </w:p>
        </w:tc>
      </w:tr>
      <w:tr w:rsidR="00C64784" w:rsidRPr="00A10AC4" w14:paraId="09FCC077" w14:textId="77777777" w:rsidTr="00B71EE2">
        <w:trPr>
          <w:trHeight w:val="234"/>
        </w:trPr>
        <w:tc>
          <w:tcPr>
            <w:tcW w:w="9394" w:type="dxa"/>
            <w:gridSpan w:val="8"/>
            <w:tcBorders>
              <w:top w:val="nil"/>
              <w:left w:val="single" w:sz="4" w:space="0" w:color="auto"/>
              <w:bottom w:val="single" w:sz="8" w:space="0" w:color="auto"/>
              <w:right w:val="single" w:sz="4" w:space="0" w:color="auto"/>
            </w:tcBorders>
            <w:shd w:val="clear" w:color="auto" w:fill="auto"/>
            <w:noWrap/>
            <w:vAlign w:val="bottom"/>
            <w:hideMark/>
          </w:tcPr>
          <w:p w14:paraId="4A646ED5"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4. Compliance Monitoring and Stakeholder Management</w:t>
            </w:r>
          </w:p>
        </w:tc>
      </w:tr>
      <w:tr w:rsidR="00C64784" w:rsidRPr="00A10AC4" w14:paraId="4F5CFDE4" w14:textId="77777777" w:rsidTr="00B71EE2">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05BF7"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Programme</w:t>
            </w:r>
          </w:p>
          <w:p w14:paraId="3184D831" w14:textId="77777777" w:rsidR="00C64784" w:rsidRPr="00A10AC4" w:rsidRDefault="00C64784" w:rsidP="00A10AC4">
            <w:pPr>
              <w:spacing w:after="0" w:line="276" w:lineRule="auto"/>
              <w:jc w:val="both"/>
              <w:rPr>
                <w:rFonts w:ascii="Times New Roman" w:eastAsia="Times New Roman" w:hAnsi="Times New Roman" w:cs="Times New Roman"/>
                <w:bCs/>
                <w:lang w:eastAsia="en-ZA"/>
              </w:rPr>
            </w:pPr>
            <w:r w:rsidRPr="00A10AC4">
              <w:rPr>
                <w:rFonts w:ascii="Times New Roman" w:eastAsia="Times New Roman" w:hAnsi="Times New Roman" w:cs="Times New Roman"/>
                <w:bCs/>
                <w:lang w:eastAsia="en-ZA"/>
              </w:rPr>
              <w:t>R million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6691E3"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Revised estimate</w:t>
            </w:r>
          </w:p>
          <w:p w14:paraId="09F79340"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2018/19</w:t>
            </w: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14:paraId="79D8B34C"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Main allocation</w:t>
            </w:r>
          </w:p>
          <w:p w14:paraId="09635B88"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2019/20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B19B1" w14:textId="77777777" w:rsidR="00C64784" w:rsidRPr="00A10AC4" w:rsidRDefault="00B10AFB"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Nominal Increase</w:t>
            </w:r>
            <w:r w:rsidR="00C64784" w:rsidRPr="00A10AC4">
              <w:rPr>
                <w:rFonts w:ascii="Times New Roman" w:eastAsia="Times New Roman" w:hAnsi="Times New Roman" w:cs="Times New Roman"/>
                <w:b/>
                <w:bCs/>
                <w:lang w:eastAsia="en-ZA"/>
              </w:rPr>
              <w:t>/ Decrease in 2019/20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5785C" w14:textId="77777777" w:rsidR="00C64784" w:rsidRPr="00A10AC4" w:rsidRDefault="00B10AFB"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Real Increase</w:t>
            </w:r>
            <w:r w:rsidR="00C64784" w:rsidRPr="00A10AC4">
              <w:rPr>
                <w:rFonts w:ascii="Times New Roman" w:eastAsia="Times New Roman" w:hAnsi="Times New Roman" w:cs="Times New Roman"/>
                <w:b/>
                <w:bCs/>
                <w:lang w:eastAsia="en-ZA"/>
              </w:rPr>
              <w:t>/ Decrease in 2019/20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75230" w14:textId="77777777" w:rsidR="00C64784" w:rsidRPr="00A10AC4" w:rsidRDefault="00561437"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 xml:space="preserve">Nominal Percent change </w:t>
            </w:r>
            <w:r w:rsidR="00C64784" w:rsidRPr="00A10AC4">
              <w:rPr>
                <w:rFonts w:ascii="Times New Roman" w:eastAsia="Times New Roman" w:hAnsi="Times New Roman" w:cs="Times New Roman"/>
                <w:b/>
                <w:bCs/>
                <w:lang w:eastAsia="en-ZA"/>
              </w:rPr>
              <w:t>in 2019/20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8E383"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Real Percent change in 2019/20</w:t>
            </w:r>
          </w:p>
        </w:tc>
      </w:tr>
      <w:tr w:rsidR="00C64784" w:rsidRPr="00A10AC4" w14:paraId="6DCF62AB" w14:textId="77777777" w:rsidTr="00B71EE2">
        <w:trPr>
          <w:trHeight w:val="22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D8503D9"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Programme 1</w:t>
            </w:r>
          </w:p>
        </w:tc>
        <w:tc>
          <w:tcPr>
            <w:tcW w:w="1134" w:type="dxa"/>
            <w:tcBorders>
              <w:top w:val="nil"/>
              <w:left w:val="nil"/>
              <w:bottom w:val="single" w:sz="4" w:space="0" w:color="auto"/>
              <w:right w:val="single" w:sz="4" w:space="0" w:color="auto"/>
            </w:tcBorders>
            <w:shd w:val="clear" w:color="auto" w:fill="auto"/>
            <w:noWrap/>
            <w:vAlign w:val="bottom"/>
            <w:hideMark/>
          </w:tcPr>
          <w:p w14:paraId="32F16483"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102.4</w:t>
            </w:r>
          </w:p>
        </w:tc>
        <w:tc>
          <w:tcPr>
            <w:tcW w:w="1045" w:type="dxa"/>
            <w:tcBorders>
              <w:top w:val="nil"/>
              <w:left w:val="nil"/>
              <w:bottom w:val="single" w:sz="4" w:space="0" w:color="auto"/>
              <w:right w:val="single" w:sz="4" w:space="0" w:color="auto"/>
            </w:tcBorders>
            <w:shd w:val="clear" w:color="auto" w:fill="auto"/>
            <w:noWrap/>
            <w:vAlign w:val="bottom"/>
            <w:hideMark/>
          </w:tcPr>
          <w:p w14:paraId="71A9D6C5"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107.6</w:t>
            </w:r>
          </w:p>
        </w:tc>
        <w:tc>
          <w:tcPr>
            <w:tcW w:w="1119" w:type="dxa"/>
            <w:gridSpan w:val="2"/>
            <w:tcBorders>
              <w:top w:val="nil"/>
              <w:left w:val="nil"/>
              <w:bottom w:val="single" w:sz="4" w:space="0" w:color="auto"/>
              <w:right w:val="single" w:sz="4" w:space="0" w:color="auto"/>
            </w:tcBorders>
            <w:shd w:val="clear" w:color="auto" w:fill="auto"/>
            <w:noWrap/>
            <w:vAlign w:val="bottom"/>
            <w:hideMark/>
          </w:tcPr>
          <w:p w14:paraId="1BA133F6"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5.2</w:t>
            </w:r>
          </w:p>
        </w:tc>
        <w:tc>
          <w:tcPr>
            <w:tcW w:w="1360" w:type="dxa"/>
            <w:tcBorders>
              <w:top w:val="nil"/>
              <w:left w:val="nil"/>
              <w:bottom w:val="single" w:sz="4" w:space="0" w:color="auto"/>
              <w:right w:val="single" w:sz="4" w:space="0" w:color="auto"/>
            </w:tcBorders>
            <w:shd w:val="clear" w:color="auto" w:fill="auto"/>
            <w:noWrap/>
            <w:vAlign w:val="bottom"/>
            <w:hideMark/>
          </w:tcPr>
          <w:p w14:paraId="12532987"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0.1</w:t>
            </w:r>
          </w:p>
        </w:tc>
        <w:tc>
          <w:tcPr>
            <w:tcW w:w="1520" w:type="dxa"/>
            <w:tcBorders>
              <w:top w:val="nil"/>
              <w:left w:val="nil"/>
              <w:bottom w:val="single" w:sz="4" w:space="0" w:color="auto"/>
              <w:right w:val="single" w:sz="4" w:space="0" w:color="auto"/>
            </w:tcBorders>
            <w:shd w:val="clear" w:color="auto" w:fill="auto"/>
            <w:noWrap/>
            <w:vAlign w:val="bottom"/>
            <w:hideMark/>
          </w:tcPr>
          <w:p w14:paraId="1B6CEC9F"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5.08%</w:t>
            </w:r>
          </w:p>
        </w:tc>
        <w:tc>
          <w:tcPr>
            <w:tcW w:w="1373" w:type="dxa"/>
            <w:tcBorders>
              <w:top w:val="nil"/>
              <w:left w:val="nil"/>
              <w:bottom w:val="single" w:sz="4" w:space="0" w:color="auto"/>
              <w:right w:val="single" w:sz="4" w:space="0" w:color="auto"/>
            </w:tcBorders>
            <w:shd w:val="clear" w:color="auto" w:fill="auto"/>
            <w:noWrap/>
            <w:vAlign w:val="bottom"/>
            <w:hideMark/>
          </w:tcPr>
          <w:p w14:paraId="3CBE5BAA"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-0.12%</w:t>
            </w:r>
          </w:p>
        </w:tc>
      </w:tr>
      <w:tr w:rsidR="00C64784" w:rsidRPr="00A10AC4" w14:paraId="5D97D4CD" w14:textId="77777777" w:rsidTr="00B71EE2">
        <w:trPr>
          <w:trHeight w:val="22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8093920"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Programme 2</w:t>
            </w:r>
          </w:p>
        </w:tc>
        <w:tc>
          <w:tcPr>
            <w:tcW w:w="1134" w:type="dxa"/>
            <w:tcBorders>
              <w:top w:val="nil"/>
              <w:left w:val="nil"/>
              <w:bottom w:val="single" w:sz="4" w:space="0" w:color="auto"/>
              <w:right w:val="single" w:sz="4" w:space="0" w:color="auto"/>
            </w:tcBorders>
            <w:shd w:val="clear" w:color="auto" w:fill="auto"/>
            <w:noWrap/>
            <w:vAlign w:val="bottom"/>
            <w:hideMark/>
          </w:tcPr>
          <w:p w14:paraId="24E155F8"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194.5</w:t>
            </w:r>
          </w:p>
        </w:tc>
        <w:tc>
          <w:tcPr>
            <w:tcW w:w="1045" w:type="dxa"/>
            <w:tcBorders>
              <w:top w:val="nil"/>
              <w:left w:val="nil"/>
              <w:bottom w:val="single" w:sz="4" w:space="0" w:color="auto"/>
              <w:right w:val="single" w:sz="4" w:space="0" w:color="auto"/>
            </w:tcBorders>
            <w:shd w:val="clear" w:color="auto" w:fill="auto"/>
            <w:noWrap/>
            <w:vAlign w:val="bottom"/>
            <w:hideMark/>
          </w:tcPr>
          <w:p w14:paraId="73ABE0A9"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206.0</w:t>
            </w:r>
          </w:p>
        </w:tc>
        <w:tc>
          <w:tcPr>
            <w:tcW w:w="1119" w:type="dxa"/>
            <w:gridSpan w:val="2"/>
            <w:tcBorders>
              <w:top w:val="nil"/>
              <w:left w:val="nil"/>
              <w:bottom w:val="single" w:sz="4" w:space="0" w:color="auto"/>
              <w:right w:val="single" w:sz="4" w:space="0" w:color="auto"/>
            </w:tcBorders>
            <w:shd w:val="clear" w:color="auto" w:fill="auto"/>
            <w:noWrap/>
            <w:vAlign w:val="bottom"/>
            <w:hideMark/>
          </w:tcPr>
          <w:p w14:paraId="23D69DDF"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11.5</w:t>
            </w:r>
          </w:p>
        </w:tc>
        <w:tc>
          <w:tcPr>
            <w:tcW w:w="1360" w:type="dxa"/>
            <w:tcBorders>
              <w:top w:val="nil"/>
              <w:left w:val="nil"/>
              <w:bottom w:val="single" w:sz="4" w:space="0" w:color="auto"/>
              <w:right w:val="single" w:sz="4" w:space="0" w:color="auto"/>
            </w:tcBorders>
            <w:shd w:val="clear" w:color="auto" w:fill="auto"/>
            <w:noWrap/>
            <w:vAlign w:val="bottom"/>
            <w:hideMark/>
          </w:tcPr>
          <w:p w14:paraId="7B732BD4"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1.3</w:t>
            </w:r>
          </w:p>
        </w:tc>
        <w:tc>
          <w:tcPr>
            <w:tcW w:w="1520" w:type="dxa"/>
            <w:tcBorders>
              <w:top w:val="nil"/>
              <w:left w:val="nil"/>
              <w:bottom w:val="single" w:sz="4" w:space="0" w:color="auto"/>
              <w:right w:val="single" w:sz="4" w:space="0" w:color="auto"/>
            </w:tcBorders>
            <w:shd w:val="clear" w:color="auto" w:fill="auto"/>
            <w:noWrap/>
            <w:vAlign w:val="bottom"/>
            <w:hideMark/>
          </w:tcPr>
          <w:p w14:paraId="0C657096"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5.91%</w:t>
            </w:r>
          </w:p>
        </w:tc>
        <w:tc>
          <w:tcPr>
            <w:tcW w:w="1373" w:type="dxa"/>
            <w:tcBorders>
              <w:top w:val="nil"/>
              <w:left w:val="nil"/>
              <w:bottom w:val="single" w:sz="4" w:space="0" w:color="auto"/>
              <w:right w:val="single" w:sz="4" w:space="0" w:color="auto"/>
            </w:tcBorders>
            <w:shd w:val="clear" w:color="auto" w:fill="auto"/>
            <w:noWrap/>
            <w:vAlign w:val="bottom"/>
            <w:hideMark/>
          </w:tcPr>
          <w:p w14:paraId="2A9CD4AE"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0.68%</w:t>
            </w:r>
          </w:p>
        </w:tc>
      </w:tr>
      <w:tr w:rsidR="00C64784" w:rsidRPr="00A10AC4" w14:paraId="7DB2EBD1" w14:textId="77777777" w:rsidTr="00B71EE2">
        <w:trPr>
          <w:trHeight w:val="22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4CBA227"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Programme 3 </w:t>
            </w:r>
          </w:p>
        </w:tc>
        <w:tc>
          <w:tcPr>
            <w:tcW w:w="1134" w:type="dxa"/>
            <w:tcBorders>
              <w:top w:val="nil"/>
              <w:left w:val="nil"/>
              <w:bottom w:val="single" w:sz="4" w:space="0" w:color="auto"/>
              <w:right w:val="single" w:sz="4" w:space="0" w:color="auto"/>
            </w:tcBorders>
            <w:shd w:val="clear" w:color="auto" w:fill="auto"/>
            <w:noWrap/>
            <w:vAlign w:val="bottom"/>
            <w:hideMark/>
          </w:tcPr>
          <w:p w14:paraId="3318784D"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5.8</w:t>
            </w:r>
          </w:p>
        </w:tc>
        <w:tc>
          <w:tcPr>
            <w:tcW w:w="1045" w:type="dxa"/>
            <w:tcBorders>
              <w:top w:val="nil"/>
              <w:left w:val="nil"/>
              <w:bottom w:val="single" w:sz="4" w:space="0" w:color="auto"/>
              <w:right w:val="single" w:sz="4" w:space="0" w:color="auto"/>
            </w:tcBorders>
            <w:shd w:val="clear" w:color="auto" w:fill="auto"/>
            <w:noWrap/>
            <w:vAlign w:val="bottom"/>
            <w:hideMark/>
          </w:tcPr>
          <w:p w14:paraId="4CCBFC69"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7.5</w:t>
            </w:r>
          </w:p>
        </w:tc>
        <w:tc>
          <w:tcPr>
            <w:tcW w:w="1119" w:type="dxa"/>
            <w:gridSpan w:val="2"/>
            <w:tcBorders>
              <w:top w:val="nil"/>
              <w:left w:val="nil"/>
              <w:bottom w:val="single" w:sz="4" w:space="0" w:color="auto"/>
              <w:right w:val="single" w:sz="4" w:space="0" w:color="auto"/>
            </w:tcBorders>
            <w:shd w:val="clear" w:color="auto" w:fill="auto"/>
            <w:noWrap/>
            <w:vAlign w:val="bottom"/>
            <w:hideMark/>
          </w:tcPr>
          <w:p w14:paraId="489F2B33"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1.7</w:t>
            </w:r>
          </w:p>
        </w:tc>
        <w:tc>
          <w:tcPr>
            <w:tcW w:w="1360" w:type="dxa"/>
            <w:tcBorders>
              <w:top w:val="nil"/>
              <w:left w:val="nil"/>
              <w:bottom w:val="single" w:sz="4" w:space="0" w:color="auto"/>
              <w:right w:val="single" w:sz="4" w:space="0" w:color="auto"/>
            </w:tcBorders>
            <w:shd w:val="clear" w:color="auto" w:fill="auto"/>
            <w:noWrap/>
            <w:vAlign w:val="bottom"/>
            <w:hideMark/>
          </w:tcPr>
          <w:p w14:paraId="1D492250"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1.3</w:t>
            </w:r>
          </w:p>
        </w:tc>
        <w:tc>
          <w:tcPr>
            <w:tcW w:w="1520" w:type="dxa"/>
            <w:tcBorders>
              <w:top w:val="nil"/>
              <w:left w:val="nil"/>
              <w:bottom w:val="single" w:sz="4" w:space="0" w:color="auto"/>
              <w:right w:val="single" w:sz="4" w:space="0" w:color="auto"/>
            </w:tcBorders>
            <w:shd w:val="clear" w:color="auto" w:fill="auto"/>
            <w:noWrap/>
            <w:vAlign w:val="bottom"/>
            <w:hideMark/>
          </w:tcPr>
          <w:p w14:paraId="19B6284A"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29.31%</w:t>
            </w:r>
          </w:p>
        </w:tc>
        <w:tc>
          <w:tcPr>
            <w:tcW w:w="1373" w:type="dxa"/>
            <w:tcBorders>
              <w:top w:val="nil"/>
              <w:left w:val="nil"/>
              <w:bottom w:val="single" w:sz="4" w:space="0" w:color="auto"/>
              <w:right w:val="single" w:sz="4" w:space="0" w:color="auto"/>
            </w:tcBorders>
            <w:shd w:val="clear" w:color="auto" w:fill="auto"/>
            <w:noWrap/>
            <w:vAlign w:val="bottom"/>
            <w:hideMark/>
          </w:tcPr>
          <w:p w14:paraId="7C344E75"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22.92%</w:t>
            </w:r>
          </w:p>
        </w:tc>
      </w:tr>
      <w:tr w:rsidR="00C64784" w:rsidRPr="00A10AC4" w14:paraId="78169CD2" w14:textId="77777777" w:rsidTr="00B71EE2">
        <w:trPr>
          <w:trHeight w:val="22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40DA0F1"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Programme 4 </w:t>
            </w:r>
          </w:p>
        </w:tc>
        <w:tc>
          <w:tcPr>
            <w:tcW w:w="1134" w:type="dxa"/>
            <w:tcBorders>
              <w:top w:val="nil"/>
              <w:left w:val="nil"/>
              <w:bottom w:val="single" w:sz="4" w:space="0" w:color="auto"/>
              <w:right w:val="single" w:sz="4" w:space="0" w:color="auto"/>
            </w:tcBorders>
            <w:shd w:val="clear" w:color="auto" w:fill="auto"/>
            <w:noWrap/>
            <w:vAlign w:val="bottom"/>
            <w:hideMark/>
          </w:tcPr>
          <w:p w14:paraId="29E42CAC"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12.4</w:t>
            </w:r>
          </w:p>
        </w:tc>
        <w:tc>
          <w:tcPr>
            <w:tcW w:w="1045" w:type="dxa"/>
            <w:tcBorders>
              <w:top w:val="nil"/>
              <w:left w:val="nil"/>
              <w:bottom w:val="single" w:sz="4" w:space="0" w:color="auto"/>
              <w:right w:val="single" w:sz="4" w:space="0" w:color="auto"/>
            </w:tcBorders>
            <w:shd w:val="clear" w:color="auto" w:fill="auto"/>
            <w:noWrap/>
            <w:vAlign w:val="bottom"/>
            <w:hideMark/>
          </w:tcPr>
          <w:p w14:paraId="31928446"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15.6</w:t>
            </w:r>
          </w:p>
        </w:tc>
        <w:tc>
          <w:tcPr>
            <w:tcW w:w="1119" w:type="dxa"/>
            <w:gridSpan w:val="2"/>
            <w:tcBorders>
              <w:top w:val="nil"/>
              <w:left w:val="nil"/>
              <w:bottom w:val="single" w:sz="4" w:space="0" w:color="auto"/>
              <w:right w:val="single" w:sz="4" w:space="0" w:color="auto"/>
            </w:tcBorders>
            <w:shd w:val="clear" w:color="auto" w:fill="auto"/>
            <w:noWrap/>
            <w:vAlign w:val="bottom"/>
            <w:hideMark/>
          </w:tcPr>
          <w:p w14:paraId="5CE93756"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3.2</w:t>
            </w:r>
          </w:p>
        </w:tc>
        <w:tc>
          <w:tcPr>
            <w:tcW w:w="1360" w:type="dxa"/>
            <w:tcBorders>
              <w:top w:val="nil"/>
              <w:left w:val="nil"/>
              <w:bottom w:val="single" w:sz="4" w:space="0" w:color="auto"/>
              <w:right w:val="single" w:sz="4" w:space="0" w:color="auto"/>
            </w:tcBorders>
            <w:shd w:val="clear" w:color="auto" w:fill="auto"/>
            <w:noWrap/>
            <w:vAlign w:val="bottom"/>
            <w:hideMark/>
          </w:tcPr>
          <w:p w14:paraId="79FCCA23"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 xml:space="preserve">  2.4</w:t>
            </w:r>
          </w:p>
        </w:tc>
        <w:tc>
          <w:tcPr>
            <w:tcW w:w="1520" w:type="dxa"/>
            <w:tcBorders>
              <w:top w:val="nil"/>
              <w:left w:val="nil"/>
              <w:bottom w:val="single" w:sz="4" w:space="0" w:color="auto"/>
              <w:right w:val="single" w:sz="4" w:space="0" w:color="auto"/>
            </w:tcBorders>
            <w:shd w:val="clear" w:color="auto" w:fill="auto"/>
            <w:noWrap/>
            <w:vAlign w:val="bottom"/>
            <w:hideMark/>
          </w:tcPr>
          <w:p w14:paraId="71E39021"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25.81%</w:t>
            </w:r>
          </w:p>
        </w:tc>
        <w:tc>
          <w:tcPr>
            <w:tcW w:w="1373" w:type="dxa"/>
            <w:tcBorders>
              <w:top w:val="nil"/>
              <w:left w:val="nil"/>
              <w:bottom w:val="single" w:sz="4" w:space="0" w:color="auto"/>
              <w:right w:val="single" w:sz="4" w:space="0" w:color="auto"/>
            </w:tcBorders>
            <w:shd w:val="clear" w:color="auto" w:fill="auto"/>
            <w:noWrap/>
            <w:vAlign w:val="bottom"/>
            <w:hideMark/>
          </w:tcPr>
          <w:p w14:paraId="421D4616" w14:textId="77777777" w:rsidR="00C64784" w:rsidRPr="00A10AC4" w:rsidRDefault="00C64784" w:rsidP="00A10AC4">
            <w:pPr>
              <w:spacing w:after="0" w:line="276" w:lineRule="auto"/>
              <w:jc w:val="both"/>
              <w:rPr>
                <w:rFonts w:ascii="Times New Roman" w:eastAsia="Times New Roman" w:hAnsi="Times New Roman" w:cs="Times New Roman"/>
                <w:lang w:eastAsia="en-ZA"/>
              </w:rPr>
            </w:pPr>
            <w:r w:rsidRPr="00A10AC4">
              <w:rPr>
                <w:rFonts w:ascii="Times New Roman" w:eastAsia="Times New Roman" w:hAnsi="Times New Roman" w:cs="Times New Roman"/>
                <w:lang w:eastAsia="en-ZA"/>
              </w:rPr>
              <w:t>19.59%</w:t>
            </w:r>
          </w:p>
        </w:tc>
      </w:tr>
      <w:tr w:rsidR="00C64784" w:rsidRPr="00A10AC4" w14:paraId="1FFD5C2C" w14:textId="77777777" w:rsidTr="00B71EE2">
        <w:trPr>
          <w:trHeight w:val="252"/>
        </w:trPr>
        <w:tc>
          <w:tcPr>
            <w:tcW w:w="1843" w:type="dxa"/>
            <w:tcBorders>
              <w:top w:val="nil"/>
              <w:left w:val="single" w:sz="4" w:space="0" w:color="auto"/>
              <w:bottom w:val="single" w:sz="8" w:space="0" w:color="auto"/>
              <w:right w:val="single" w:sz="4" w:space="0" w:color="auto"/>
            </w:tcBorders>
            <w:shd w:val="clear" w:color="auto" w:fill="auto"/>
            <w:noWrap/>
            <w:vAlign w:val="bottom"/>
            <w:hideMark/>
          </w:tcPr>
          <w:p w14:paraId="168B1489"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TOTAL</w:t>
            </w:r>
          </w:p>
        </w:tc>
        <w:tc>
          <w:tcPr>
            <w:tcW w:w="1134" w:type="dxa"/>
            <w:tcBorders>
              <w:top w:val="nil"/>
              <w:left w:val="nil"/>
              <w:bottom w:val="single" w:sz="8" w:space="0" w:color="auto"/>
              <w:right w:val="single" w:sz="4" w:space="0" w:color="auto"/>
            </w:tcBorders>
            <w:shd w:val="clear" w:color="auto" w:fill="auto"/>
            <w:noWrap/>
            <w:vAlign w:val="bottom"/>
            <w:hideMark/>
          </w:tcPr>
          <w:p w14:paraId="709F8324"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 xml:space="preserve">  315.1</w:t>
            </w:r>
          </w:p>
        </w:tc>
        <w:tc>
          <w:tcPr>
            <w:tcW w:w="1045" w:type="dxa"/>
            <w:tcBorders>
              <w:top w:val="nil"/>
              <w:left w:val="nil"/>
              <w:bottom w:val="single" w:sz="8" w:space="0" w:color="auto"/>
              <w:right w:val="single" w:sz="4" w:space="0" w:color="auto"/>
            </w:tcBorders>
            <w:shd w:val="clear" w:color="auto" w:fill="auto"/>
            <w:noWrap/>
            <w:vAlign w:val="bottom"/>
            <w:hideMark/>
          </w:tcPr>
          <w:p w14:paraId="3276DED6"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 xml:space="preserve">  336.7</w:t>
            </w:r>
          </w:p>
        </w:tc>
        <w:tc>
          <w:tcPr>
            <w:tcW w:w="1119" w:type="dxa"/>
            <w:gridSpan w:val="2"/>
            <w:tcBorders>
              <w:top w:val="nil"/>
              <w:left w:val="nil"/>
              <w:bottom w:val="single" w:sz="8" w:space="0" w:color="auto"/>
              <w:right w:val="single" w:sz="4" w:space="0" w:color="auto"/>
            </w:tcBorders>
            <w:shd w:val="clear" w:color="auto" w:fill="auto"/>
            <w:noWrap/>
            <w:vAlign w:val="bottom"/>
            <w:hideMark/>
          </w:tcPr>
          <w:p w14:paraId="154F7ACE"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 xml:space="preserve">  21.6</w:t>
            </w:r>
          </w:p>
        </w:tc>
        <w:tc>
          <w:tcPr>
            <w:tcW w:w="1360" w:type="dxa"/>
            <w:tcBorders>
              <w:top w:val="nil"/>
              <w:left w:val="nil"/>
              <w:bottom w:val="single" w:sz="8" w:space="0" w:color="auto"/>
              <w:right w:val="single" w:sz="4" w:space="0" w:color="auto"/>
            </w:tcBorders>
            <w:shd w:val="clear" w:color="auto" w:fill="auto"/>
            <w:noWrap/>
            <w:vAlign w:val="bottom"/>
            <w:hideMark/>
          </w:tcPr>
          <w:p w14:paraId="2526FA1E"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 xml:space="preserve">  5.0</w:t>
            </w:r>
          </w:p>
        </w:tc>
        <w:tc>
          <w:tcPr>
            <w:tcW w:w="1520" w:type="dxa"/>
            <w:tcBorders>
              <w:top w:val="nil"/>
              <w:left w:val="nil"/>
              <w:bottom w:val="single" w:sz="8" w:space="0" w:color="auto"/>
              <w:right w:val="single" w:sz="4" w:space="0" w:color="auto"/>
            </w:tcBorders>
            <w:shd w:val="clear" w:color="auto" w:fill="auto"/>
            <w:noWrap/>
            <w:vAlign w:val="bottom"/>
            <w:hideMark/>
          </w:tcPr>
          <w:p w14:paraId="63561D19"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6.9%</w:t>
            </w:r>
          </w:p>
        </w:tc>
        <w:tc>
          <w:tcPr>
            <w:tcW w:w="1373" w:type="dxa"/>
            <w:tcBorders>
              <w:top w:val="nil"/>
              <w:left w:val="nil"/>
              <w:bottom w:val="single" w:sz="8" w:space="0" w:color="auto"/>
              <w:right w:val="single" w:sz="4" w:space="0" w:color="auto"/>
            </w:tcBorders>
            <w:shd w:val="clear" w:color="auto" w:fill="auto"/>
            <w:noWrap/>
            <w:vAlign w:val="bottom"/>
            <w:hideMark/>
          </w:tcPr>
          <w:p w14:paraId="79A73DDE" w14:textId="77777777" w:rsidR="00C64784" w:rsidRPr="00A10AC4" w:rsidRDefault="00C64784" w:rsidP="00A10AC4">
            <w:pPr>
              <w:spacing w:after="0" w:line="276" w:lineRule="auto"/>
              <w:jc w:val="both"/>
              <w:rPr>
                <w:rFonts w:ascii="Times New Roman" w:eastAsia="Times New Roman" w:hAnsi="Times New Roman" w:cs="Times New Roman"/>
                <w:b/>
                <w:bCs/>
                <w:lang w:eastAsia="en-ZA"/>
              </w:rPr>
            </w:pPr>
            <w:r w:rsidRPr="00A10AC4">
              <w:rPr>
                <w:rFonts w:ascii="Times New Roman" w:eastAsia="Times New Roman" w:hAnsi="Times New Roman" w:cs="Times New Roman"/>
                <w:b/>
                <w:bCs/>
                <w:lang w:eastAsia="en-ZA"/>
              </w:rPr>
              <w:t>1.57%</w:t>
            </w:r>
          </w:p>
        </w:tc>
      </w:tr>
    </w:tbl>
    <w:p w14:paraId="55C5B476" w14:textId="77777777" w:rsidR="00C64784" w:rsidRPr="003C1DC8" w:rsidRDefault="00C64784" w:rsidP="003C1DC8">
      <w:pPr>
        <w:autoSpaceDE w:val="0"/>
        <w:autoSpaceDN w:val="0"/>
        <w:adjustRightInd w:val="0"/>
        <w:spacing w:after="0" w:line="280" w:lineRule="exact"/>
        <w:jc w:val="right"/>
        <w:rPr>
          <w:rFonts w:ascii="Times New Roman" w:eastAsia="Calibri" w:hAnsi="Times New Roman" w:cs="Times New Roman"/>
          <w:b/>
        </w:rPr>
      </w:pPr>
      <w:r w:rsidRPr="003C1DC8">
        <w:rPr>
          <w:rFonts w:ascii="Times New Roman" w:eastAsia="Calibri" w:hAnsi="Times New Roman" w:cs="Times New Roman"/>
          <w:b/>
        </w:rPr>
        <w:t>Source: National Treasury (2019)</w:t>
      </w:r>
    </w:p>
    <w:p w14:paraId="1CA900B7" w14:textId="77777777" w:rsidR="00BF6A8D" w:rsidRPr="00F905A0" w:rsidRDefault="00BF6A8D" w:rsidP="00BF6A8D">
      <w:pPr>
        <w:keepNext/>
        <w:keepLines/>
        <w:spacing w:after="0" w:line="280" w:lineRule="exact"/>
        <w:jc w:val="both"/>
        <w:outlineLvl w:val="0"/>
        <w:rPr>
          <w:rFonts w:ascii="Arial" w:eastAsia="Calibri" w:hAnsi="Arial" w:cs="Arial"/>
        </w:rPr>
      </w:pPr>
      <w:bookmarkStart w:id="1" w:name="_Toc12872908"/>
    </w:p>
    <w:p w14:paraId="1A8D2AE6" w14:textId="77777777" w:rsidR="00C64784" w:rsidRPr="00A10AC4" w:rsidRDefault="00BF6A8D" w:rsidP="00BF6A8D">
      <w:pPr>
        <w:keepNext/>
        <w:keepLines/>
        <w:spacing w:after="0" w:line="280" w:lineRule="exact"/>
        <w:jc w:val="both"/>
        <w:outlineLvl w:val="0"/>
        <w:rPr>
          <w:rFonts w:ascii="Times New Roman" w:eastAsia="Calibri" w:hAnsi="Times New Roman" w:cs="Times New Roman"/>
          <w:sz w:val="24"/>
          <w:szCs w:val="24"/>
        </w:rPr>
      </w:pPr>
      <w:r w:rsidRPr="00A10AC4">
        <w:rPr>
          <w:rFonts w:ascii="Times New Roman" w:eastAsia="Calibri" w:hAnsi="Times New Roman" w:cs="Times New Roman"/>
          <w:b/>
          <w:sz w:val="24"/>
          <w:szCs w:val="24"/>
        </w:rPr>
        <w:t>3</w:t>
      </w:r>
      <w:r w:rsidRPr="00A10AC4">
        <w:rPr>
          <w:rFonts w:ascii="Times New Roman" w:eastAsia="Calibri" w:hAnsi="Times New Roman" w:cs="Times New Roman"/>
          <w:sz w:val="24"/>
          <w:szCs w:val="24"/>
        </w:rPr>
        <w:t>.</w:t>
      </w:r>
      <w:r w:rsidRPr="00A10AC4">
        <w:rPr>
          <w:rFonts w:ascii="Times New Roman" w:eastAsia="Calibri" w:hAnsi="Times New Roman" w:cs="Times New Roman"/>
          <w:sz w:val="24"/>
          <w:szCs w:val="24"/>
        </w:rPr>
        <w:tab/>
      </w:r>
      <w:r w:rsidR="00C64784" w:rsidRPr="00A10AC4">
        <w:rPr>
          <w:rFonts w:ascii="Times New Roman" w:eastAsia="Times New Roman" w:hAnsi="Times New Roman" w:cs="Times New Roman"/>
          <w:b/>
          <w:caps/>
          <w:color w:val="000000" w:themeColor="text1"/>
          <w:sz w:val="24"/>
          <w:szCs w:val="24"/>
        </w:rPr>
        <w:t>programme Performance</w:t>
      </w:r>
      <w:bookmarkEnd w:id="1"/>
      <w:r w:rsidR="00C64784" w:rsidRPr="00A10AC4">
        <w:rPr>
          <w:rFonts w:ascii="Times New Roman" w:eastAsia="Times New Roman" w:hAnsi="Times New Roman" w:cs="Times New Roman"/>
          <w:b/>
          <w:caps/>
          <w:color w:val="000000" w:themeColor="text1"/>
          <w:sz w:val="24"/>
          <w:szCs w:val="24"/>
        </w:rPr>
        <w:t xml:space="preserve"> </w:t>
      </w:r>
    </w:p>
    <w:p w14:paraId="34B378CC" w14:textId="77777777" w:rsidR="00BF6A8D" w:rsidRPr="00A10AC4" w:rsidRDefault="00BF6A8D" w:rsidP="00BF6A8D">
      <w:pPr>
        <w:keepNext/>
        <w:keepLines/>
        <w:spacing w:after="0" w:line="280" w:lineRule="exact"/>
        <w:jc w:val="both"/>
        <w:outlineLvl w:val="1"/>
        <w:rPr>
          <w:rFonts w:ascii="Times New Roman" w:eastAsia="Calibri" w:hAnsi="Times New Roman" w:cs="Times New Roman"/>
          <w:color w:val="000000" w:themeColor="text1"/>
          <w:sz w:val="24"/>
          <w:szCs w:val="24"/>
        </w:rPr>
      </w:pPr>
      <w:bookmarkStart w:id="2" w:name="_Toc12872909"/>
    </w:p>
    <w:p w14:paraId="642DE946" w14:textId="77777777" w:rsidR="00C64784" w:rsidRPr="00A10AC4" w:rsidRDefault="005F5088" w:rsidP="005F5088">
      <w:pPr>
        <w:pStyle w:val="ListParagraph"/>
        <w:keepNext/>
        <w:keepLines/>
        <w:numPr>
          <w:ilvl w:val="1"/>
          <w:numId w:val="16"/>
        </w:numPr>
        <w:spacing w:after="0" w:line="280" w:lineRule="exact"/>
        <w:jc w:val="both"/>
        <w:outlineLvl w:val="1"/>
        <w:rPr>
          <w:rFonts w:ascii="Times New Roman" w:eastAsia="Times New Roman" w:hAnsi="Times New Roman" w:cs="Times New Roman"/>
          <w:b/>
          <w:color w:val="000000" w:themeColor="text1"/>
          <w:sz w:val="24"/>
          <w:szCs w:val="24"/>
        </w:rPr>
      </w:pPr>
      <w:r w:rsidRPr="00A10AC4">
        <w:rPr>
          <w:rFonts w:ascii="Times New Roman" w:eastAsia="Times New Roman" w:hAnsi="Times New Roman" w:cs="Times New Roman"/>
          <w:b/>
          <w:color w:val="000000" w:themeColor="text1"/>
          <w:sz w:val="24"/>
          <w:szCs w:val="24"/>
        </w:rPr>
        <w:t xml:space="preserve">     </w:t>
      </w:r>
      <w:r w:rsidR="00C64784" w:rsidRPr="00A10AC4">
        <w:rPr>
          <w:rFonts w:ascii="Times New Roman" w:eastAsia="Times New Roman" w:hAnsi="Times New Roman" w:cs="Times New Roman"/>
          <w:b/>
          <w:color w:val="000000" w:themeColor="text1"/>
          <w:sz w:val="24"/>
          <w:szCs w:val="24"/>
        </w:rPr>
        <w:t>Programme 1: Administration</w:t>
      </w:r>
      <w:bookmarkEnd w:id="2"/>
      <w:r w:rsidR="00C64784" w:rsidRPr="00A10AC4">
        <w:rPr>
          <w:rFonts w:ascii="Times New Roman" w:eastAsia="Times New Roman" w:hAnsi="Times New Roman" w:cs="Times New Roman"/>
          <w:b/>
          <w:color w:val="000000" w:themeColor="text1"/>
          <w:sz w:val="24"/>
          <w:szCs w:val="24"/>
        </w:rPr>
        <w:t xml:space="preserve"> </w:t>
      </w:r>
    </w:p>
    <w:p w14:paraId="505B00FD" w14:textId="77777777" w:rsidR="00C64784" w:rsidRPr="00A10AC4" w:rsidRDefault="00C64784" w:rsidP="00BF6A8D">
      <w:pPr>
        <w:spacing w:after="0" w:line="280" w:lineRule="exact"/>
        <w:jc w:val="both"/>
        <w:rPr>
          <w:rFonts w:ascii="Times New Roman" w:eastAsia="Calibri" w:hAnsi="Times New Roman" w:cs="Times New Roman"/>
          <w:color w:val="000000" w:themeColor="text1"/>
          <w:sz w:val="24"/>
          <w:szCs w:val="24"/>
        </w:rPr>
      </w:pPr>
    </w:p>
    <w:p w14:paraId="4E41CC97" w14:textId="77777777" w:rsidR="00C64784" w:rsidRPr="00A10AC4" w:rsidRDefault="00C64784" w:rsidP="00BF6A8D">
      <w:pPr>
        <w:autoSpaceDE w:val="0"/>
        <w:autoSpaceDN w:val="0"/>
        <w:adjustRightInd w:val="0"/>
        <w:spacing w:after="0" w:line="280" w:lineRule="exact"/>
        <w:jc w:val="both"/>
        <w:rPr>
          <w:rFonts w:ascii="Times New Roman" w:eastAsia="Calibri" w:hAnsi="Times New Roman" w:cs="Times New Roman"/>
          <w:sz w:val="24"/>
          <w:szCs w:val="24"/>
        </w:rPr>
      </w:pPr>
      <w:r w:rsidRPr="00A10AC4">
        <w:rPr>
          <w:rFonts w:ascii="Times New Roman" w:eastAsia="Calibri" w:hAnsi="Times New Roman" w:cs="Times New Roman"/>
          <w:sz w:val="24"/>
          <w:szCs w:val="24"/>
        </w:rPr>
        <w:t xml:space="preserve">The purpose of the Administration Programme is to provide for the overall management of the Independent Police Investigative Directorate and support services, including strategic support to the Department. </w:t>
      </w:r>
    </w:p>
    <w:p w14:paraId="4D529F29" w14:textId="77777777" w:rsidR="00C64784" w:rsidRPr="00A10AC4" w:rsidRDefault="00C64784" w:rsidP="00BF6A8D">
      <w:pPr>
        <w:autoSpaceDE w:val="0"/>
        <w:autoSpaceDN w:val="0"/>
        <w:adjustRightInd w:val="0"/>
        <w:spacing w:after="0" w:line="280" w:lineRule="exact"/>
        <w:jc w:val="both"/>
        <w:rPr>
          <w:rFonts w:ascii="Times New Roman" w:eastAsia="Calibri" w:hAnsi="Times New Roman" w:cs="Times New Roman"/>
          <w:sz w:val="24"/>
          <w:szCs w:val="24"/>
        </w:rPr>
      </w:pPr>
    </w:p>
    <w:p w14:paraId="75B0CDB8" w14:textId="77777777" w:rsidR="00C64784" w:rsidRPr="00A10AC4" w:rsidRDefault="00C64784" w:rsidP="00BF6A8D">
      <w:pPr>
        <w:spacing w:after="0" w:line="280" w:lineRule="exact"/>
        <w:jc w:val="both"/>
        <w:rPr>
          <w:rFonts w:ascii="Times New Roman" w:eastAsia="Calibri" w:hAnsi="Times New Roman" w:cs="Times New Roman"/>
          <w:sz w:val="24"/>
          <w:szCs w:val="24"/>
        </w:rPr>
      </w:pPr>
      <w:r w:rsidRPr="00A10AC4">
        <w:rPr>
          <w:rFonts w:ascii="Times New Roman" w:eastAsia="Calibri" w:hAnsi="Times New Roman" w:cs="Times New Roman"/>
          <w:sz w:val="24"/>
          <w:szCs w:val="24"/>
        </w:rPr>
        <w:t xml:space="preserve">The Administration Programme received a budget allocation of R107.6 million in 2019/20, which is a nominal increase of R5.2 million or 5.08% when compared to the R102.4 million allocation of the previous financial year. The Programme has the second largest proportional allocation of total budget with 31.96%.  </w:t>
      </w:r>
    </w:p>
    <w:p w14:paraId="1AD10647" w14:textId="77777777" w:rsidR="00C64784" w:rsidRPr="00A10AC4" w:rsidRDefault="00C64784" w:rsidP="00BF6A8D">
      <w:pPr>
        <w:autoSpaceDE w:val="0"/>
        <w:autoSpaceDN w:val="0"/>
        <w:adjustRightInd w:val="0"/>
        <w:spacing w:after="0" w:line="280" w:lineRule="exact"/>
        <w:jc w:val="both"/>
        <w:rPr>
          <w:rFonts w:ascii="Times New Roman" w:eastAsia="Calibri" w:hAnsi="Times New Roman" w:cs="Times New Roman"/>
          <w:sz w:val="24"/>
          <w:szCs w:val="24"/>
        </w:rPr>
      </w:pPr>
    </w:p>
    <w:p w14:paraId="5FEAA423" w14:textId="77777777" w:rsidR="00C64784" w:rsidRPr="00A10AC4" w:rsidRDefault="00C64784" w:rsidP="00A10AC4">
      <w:pPr>
        <w:autoSpaceDE w:val="0"/>
        <w:autoSpaceDN w:val="0"/>
        <w:adjustRightInd w:val="0"/>
        <w:spacing w:after="0" w:line="276" w:lineRule="auto"/>
        <w:jc w:val="both"/>
        <w:rPr>
          <w:rFonts w:ascii="Times New Roman" w:eastAsia="Calibri" w:hAnsi="Times New Roman" w:cs="Times New Roman"/>
        </w:rPr>
      </w:pPr>
      <w:r w:rsidRPr="00A10AC4">
        <w:rPr>
          <w:rFonts w:ascii="Times New Roman" w:eastAsia="Calibri" w:hAnsi="Times New Roman" w:cs="Times New Roman"/>
        </w:rPr>
        <w:t xml:space="preserve">The table below provides a summary of the programme performance indicators and targets of the </w:t>
      </w:r>
      <w:r w:rsidRPr="00A10AC4">
        <w:rPr>
          <w:rFonts w:ascii="Times New Roman" w:eastAsia="Calibri" w:hAnsi="Times New Roman" w:cs="Times New Roman"/>
          <w:i/>
        </w:rPr>
        <w:t>Administration</w:t>
      </w:r>
      <w:r w:rsidRPr="00A10AC4">
        <w:rPr>
          <w:rFonts w:ascii="Times New Roman" w:eastAsia="Calibri" w:hAnsi="Times New Roman" w:cs="Times New Roman"/>
        </w:rPr>
        <w:t xml:space="preserve"> Programme for the 2019/20 financial year: </w:t>
      </w:r>
    </w:p>
    <w:p w14:paraId="47A7C475" w14:textId="77777777" w:rsidR="00C64784" w:rsidRPr="003C1DC8" w:rsidRDefault="00C64784" w:rsidP="00A10AC4">
      <w:pPr>
        <w:autoSpaceDE w:val="0"/>
        <w:autoSpaceDN w:val="0"/>
        <w:adjustRightInd w:val="0"/>
        <w:spacing w:after="0" w:line="276" w:lineRule="auto"/>
        <w:jc w:val="both"/>
        <w:rPr>
          <w:rFonts w:ascii="Times New Roman" w:eastAsia="Calibri" w:hAnsi="Times New Roman" w:cs="Times New Roman"/>
        </w:rPr>
      </w:pPr>
    </w:p>
    <w:p w14:paraId="0A288C02" w14:textId="77777777" w:rsidR="00C64784" w:rsidRPr="003C1DC8" w:rsidRDefault="00C64784" w:rsidP="00BF6A8D">
      <w:pPr>
        <w:spacing w:after="0" w:line="280" w:lineRule="exact"/>
        <w:jc w:val="both"/>
        <w:rPr>
          <w:rFonts w:ascii="Times New Roman" w:eastAsia="Calibri" w:hAnsi="Times New Roman" w:cs="Times New Roman"/>
          <w:b/>
        </w:rPr>
      </w:pPr>
      <w:r w:rsidRPr="003C1DC8">
        <w:rPr>
          <w:rFonts w:ascii="Times New Roman" w:eastAsia="Calibri" w:hAnsi="Times New Roman" w:cs="Times New Roman"/>
          <w:b/>
        </w:rPr>
        <w:t xml:space="preserve">Table 2: Programme Performance Indicators and Targets </w:t>
      </w:r>
    </w:p>
    <w:tbl>
      <w:tblPr>
        <w:tblStyle w:val="TableGrid"/>
        <w:tblW w:w="9351" w:type="dxa"/>
        <w:tblLook w:val="04A0" w:firstRow="1" w:lastRow="0" w:firstColumn="1" w:lastColumn="0" w:noHBand="0" w:noVBand="1"/>
      </w:tblPr>
      <w:tblGrid>
        <w:gridCol w:w="7225"/>
        <w:gridCol w:w="2126"/>
      </w:tblGrid>
      <w:tr w:rsidR="00C64784" w:rsidRPr="003C1DC8" w14:paraId="01D1AF57" w14:textId="77777777" w:rsidTr="00B71EE2">
        <w:trPr>
          <w:tblHeader/>
        </w:trPr>
        <w:tc>
          <w:tcPr>
            <w:tcW w:w="7225" w:type="dxa"/>
            <w:shd w:val="clear" w:color="auto" w:fill="F2F2F2" w:themeFill="background1" w:themeFillShade="F2"/>
            <w:vAlign w:val="center"/>
          </w:tcPr>
          <w:p w14:paraId="508FD17D" w14:textId="77777777" w:rsidR="00C64784" w:rsidRPr="003C1DC8" w:rsidRDefault="00C64784" w:rsidP="00BF6A8D">
            <w:pPr>
              <w:spacing w:line="280" w:lineRule="exact"/>
              <w:jc w:val="both"/>
              <w:rPr>
                <w:rFonts w:ascii="Times New Roman" w:hAnsi="Times New Roman"/>
                <w:b/>
                <w:sz w:val="22"/>
                <w:szCs w:val="22"/>
              </w:rPr>
            </w:pPr>
            <w:r w:rsidRPr="003C1DC8">
              <w:rPr>
                <w:rFonts w:ascii="Times New Roman" w:hAnsi="Times New Roman"/>
                <w:b/>
                <w:sz w:val="22"/>
                <w:szCs w:val="22"/>
              </w:rPr>
              <w:t xml:space="preserve">Strategic objectives and Annual Targets </w:t>
            </w:r>
          </w:p>
        </w:tc>
        <w:tc>
          <w:tcPr>
            <w:tcW w:w="2126" w:type="dxa"/>
            <w:shd w:val="clear" w:color="auto" w:fill="F2F2F2" w:themeFill="background1" w:themeFillShade="F2"/>
            <w:vAlign w:val="center"/>
          </w:tcPr>
          <w:p w14:paraId="38647B0F" w14:textId="77777777" w:rsidR="00C64784" w:rsidRPr="003C1DC8" w:rsidRDefault="00C64784" w:rsidP="00BF6A8D">
            <w:pPr>
              <w:spacing w:line="280" w:lineRule="exact"/>
              <w:jc w:val="both"/>
              <w:rPr>
                <w:rFonts w:ascii="Times New Roman" w:hAnsi="Times New Roman"/>
                <w:b/>
                <w:sz w:val="22"/>
                <w:szCs w:val="22"/>
              </w:rPr>
            </w:pPr>
            <w:r w:rsidRPr="003C1DC8">
              <w:rPr>
                <w:rFonts w:ascii="Times New Roman" w:hAnsi="Times New Roman"/>
                <w:b/>
                <w:sz w:val="22"/>
                <w:szCs w:val="22"/>
              </w:rPr>
              <w:t>2019/20</w:t>
            </w:r>
          </w:p>
        </w:tc>
      </w:tr>
      <w:tr w:rsidR="00C64784" w:rsidRPr="003C1DC8" w14:paraId="0679B888" w14:textId="77777777" w:rsidTr="00B71EE2">
        <w:trPr>
          <w:tblHeader/>
        </w:trPr>
        <w:tc>
          <w:tcPr>
            <w:tcW w:w="7225" w:type="dxa"/>
            <w:shd w:val="clear" w:color="auto" w:fill="auto"/>
            <w:vAlign w:val="center"/>
          </w:tcPr>
          <w:p w14:paraId="64405B9E" w14:textId="77777777" w:rsidR="00C64784" w:rsidRPr="003C1DC8" w:rsidRDefault="00C64784" w:rsidP="00BF6A8D">
            <w:pPr>
              <w:spacing w:line="280" w:lineRule="exact"/>
              <w:jc w:val="both"/>
              <w:rPr>
                <w:rFonts w:ascii="Times New Roman" w:hAnsi="Times New Roman"/>
                <w:b/>
                <w:sz w:val="22"/>
                <w:szCs w:val="22"/>
              </w:rPr>
            </w:pPr>
            <w:r w:rsidRPr="003C1DC8">
              <w:rPr>
                <w:rFonts w:ascii="Times New Roman" w:hAnsi="Times New Roman"/>
                <w:b/>
                <w:sz w:val="22"/>
                <w:szCs w:val="22"/>
              </w:rPr>
              <w:t xml:space="preserve">Strategic objective: Capable workforce </w:t>
            </w:r>
          </w:p>
        </w:tc>
        <w:tc>
          <w:tcPr>
            <w:tcW w:w="2126" w:type="dxa"/>
            <w:shd w:val="clear" w:color="auto" w:fill="auto"/>
            <w:vAlign w:val="center"/>
          </w:tcPr>
          <w:p w14:paraId="1407B364" w14:textId="77777777" w:rsidR="00C64784" w:rsidRPr="003C1DC8" w:rsidRDefault="00C64784" w:rsidP="00BF6A8D">
            <w:pPr>
              <w:spacing w:line="280" w:lineRule="exact"/>
              <w:jc w:val="both"/>
              <w:rPr>
                <w:rFonts w:ascii="Times New Roman" w:hAnsi="Times New Roman"/>
                <w:b/>
                <w:sz w:val="22"/>
                <w:szCs w:val="22"/>
              </w:rPr>
            </w:pPr>
          </w:p>
        </w:tc>
      </w:tr>
      <w:tr w:rsidR="00C64784" w:rsidRPr="003C1DC8" w14:paraId="2D03F24A" w14:textId="77777777" w:rsidTr="00B71EE2">
        <w:tc>
          <w:tcPr>
            <w:tcW w:w="7225" w:type="dxa"/>
            <w:shd w:val="clear" w:color="auto" w:fill="auto"/>
            <w:vAlign w:val="center"/>
          </w:tcPr>
          <w:p w14:paraId="06A8EB89" w14:textId="77777777" w:rsidR="00C64784" w:rsidRPr="003C1DC8" w:rsidRDefault="00C64784" w:rsidP="00BF6A8D">
            <w:pPr>
              <w:numPr>
                <w:ilvl w:val="0"/>
                <w:numId w:val="3"/>
              </w:numPr>
              <w:spacing w:line="280" w:lineRule="exact"/>
              <w:ind w:left="744" w:hanging="425"/>
              <w:contextualSpacing/>
              <w:jc w:val="both"/>
              <w:rPr>
                <w:rFonts w:ascii="Times New Roman" w:hAnsi="Times New Roman"/>
                <w:sz w:val="22"/>
                <w:szCs w:val="22"/>
              </w:rPr>
            </w:pPr>
            <w:r w:rsidRPr="003C1DC8">
              <w:rPr>
                <w:rFonts w:ascii="Times New Roman" w:hAnsi="Times New Roman"/>
                <w:sz w:val="22"/>
                <w:szCs w:val="22"/>
              </w:rPr>
              <w:t xml:space="preserve">Number of strategic training areas undertaken as per IPIDs Training Plan </w:t>
            </w:r>
          </w:p>
        </w:tc>
        <w:tc>
          <w:tcPr>
            <w:tcW w:w="2126" w:type="dxa"/>
            <w:shd w:val="clear" w:color="auto" w:fill="auto"/>
            <w:vAlign w:val="center"/>
          </w:tcPr>
          <w:p w14:paraId="1960AE1B" w14:textId="77777777" w:rsidR="00C64784" w:rsidRPr="003C1DC8" w:rsidRDefault="00C64784" w:rsidP="00FF25AC">
            <w:pPr>
              <w:spacing w:line="280" w:lineRule="exact"/>
              <w:jc w:val="center"/>
              <w:rPr>
                <w:rFonts w:ascii="Times New Roman" w:hAnsi="Times New Roman"/>
                <w:sz w:val="22"/>
                <w:szCs w:val="22"/>
              </w:rPr>
            </w:pPr>
            <w:r w:rsidRPr="003C1DC8">
              <w:rPr>
                <w:rFonts w:ascii="Times New Roman" w:hAnsi="Times New Roman"/>
                <w:sz w:val="22"/>
                <w:szCs w:val="22"/>
              </w:rPr>
              <w:t>7</w:t>
            </w:r>
          </w:p>
        </w:tc>
      </w:tr>
      <w:tr w:rsidR="00C64784" w:rsidRPr="003C1DC8" w14:paraId="622085EA" w14:textId="77777777" w:rsidTr="00B71EE2">
        <w:tc>
          <w:tcPr>
            <w:tcW w:w="7225" w:type="dxa"/>
            <w:shd w:val="clear" w:color="auto" w:fill="auto"/>
            <w:vAlign w:val="center"/>
          </w:tcPr>
          <w:p w14:paraId="0B72C85E" w14:textId="77777777" w:rsidR="00C64784" w:rsidRPr="003C1DC8" w:rsidRDefault="00C64784" w:rsidP="00BF6A8D">
            <w:pPr>
              <w:spacing w:line="280" w:lineRule="exact"/>
              <w:jc w:val="both"/>
              <w:rPr>
                <w:rFonts w:ascii="Times New Roman" w:hAnsi="Times New Roman"/>
                <w:b/>
                <w:sz w:val="22"/>
                <w:szCs w:val="22"/>
              </w:rPr>
            </w:pPr>
            <w:r w:rsidRPr="003C1DC8">
              <w:rPr>
                <w:rFonts w:ascii="Times New Roman" w:hAnsi="Times New Roman"/>
                <w:b/>
                <w:sz w:val="22"/>
                <w:szCs w:val="22"/>
              </w:rPr>
              <w:t>Performance Indicator</w:t>
            </w:r>
          </w:p>
        </w:tc>
        <w:tc>
          <w:tcPr>
            <w:tcW w:w="2126" w:type="dxa"/>
            <w:shd w:val="clear" w:color="auto" w:fill="auto"/>
            <w:vAlign w:val="center"/>
          </w:tcPr>
          <w:p w14:paraId="4D7D7C90" w14:textId="77777777" w:rsidR="00C64784" w:rsidRPr="003C1DC8" w:rsidRDefault="00C64784" w:rsidP="00FF25AC">
            <w:pPr>
              <w:spacing w:line="280" w:lineRule="exact"/>
              <w:jc w:val="center"/>
              <w:rPr>
                <w:rFonts w:ascii="Times New Roman" w:hAnsi="Times New Roman"/>
                <w:b/>
                <w:sz w:val="22"/>
                <w:szCs w:val="22"/>
              </w:rPr>
            </w:pPr>
          </w:p>
        </w:tc>
      </w:tr>
      <w:tr w:rsidR="00C64784" w:rsidRPr="003C1DC8" w14:paraId="28304633" w14:textId="77777777" w:rsidTr="00B71EE2">
        <w:tc>
          <w:tcPr>
            <w:tcW w:w="7225" w:type="dxa"/>
            <w:vAlign w:val="center"/>
          </w:tcPr>
          <w:p w14:paraId="14BE478A" w14:textId="77777777" w:rsidR="00C64784" w:rsidRPr="003C1DC8" w:rsidRDefault="00C64784" w:rsidP="00BF6A8D">
            <w:pPr>
              <w:numPr>
                <w:ilvl w:val="0"/>
                <w:numId w:val="3"/>
              </w:numPr>
              <w:spacing w:line="280" w:lineRule="exact"/>
              <w:contextualSpacing/>
              <w:jc w:val="both"/>
              <w:rPr>
                <w:rFonts w:ascii="Times New Roman" w:hAnsi="Times New Roman"/>
                <w:sz w:val="22"/>
                <w:szCs w:val="22"/>
              </w:rPr>
            </w:pPr>
            <w:r w:rsidRPr="003C1DC8">
              <w:rPr>
                <w:rFonts w:ascii="Times New Roman" w:hAnsi="Times New Roman"/>
                <w:sz w:val="22"/>
                <w:szCs w:val="22"/>
              </w:rPr>
              <w:t>Percentage vacancy rate per year</w:t>
            </w:r>
          </w:p>
        </w:tc>
        <w:tc>
          <w:tcPr>
            <w:tcW w:w="2126" w:type="dxa"/>
            <w:vAlign w:val="center"/>
          </w:tcPr>
          <w:p w14:paraId="62CB3154" w14:textId="77777777" w:rsidR="00C64784" w:rsidRPr="003C1DC8" w:rsidRDefault="00C64784" w:rsidP="00FF25AC">
            <w:pPr>
              <w:spacing w:line="280" w:lineRule="exact"/>
              <w:jc w:val="center"/>
              <w:rPr>
                <w:rFonts w:ascii="Times New Roman" w:hAnsi="Times New Roman"/>
                <w:sz w:val="22"/>
                <w:szCs w:val="22"/>
              </w:rPr>
            </w:pPr>
            <w:r w:rsidRPr="003C1DC8">
              <w:rPr>
                <w:rFonts w:ascii="Times New Roman" w:hAnsi="Times New Roman"/>
                <w:sz w:val="22"/>
                <w:szCs w:val="22"/>
              </w:rPr>
              <w:t>&lt;10%</w:t>
            </w:r>
          </w:p>
        </w:tc>
      </w:tr>
      <w:tr w:rsidR="00C64784" w:rsidRPr="003C1DC8" w14:paraId="2A3B7E4E" w14:textId="77777777" w:rsidTr="00B71EE2">
        <w:tc>
          <w:tcPr>
            <w:tcW w:w="7225" w:type="dxa"/>
            <w:vAlign w:val="center"/>
          </w:tcPr>
          <w:p w14:paraId="5F01CE78" w14:textId="77777777" w:rsidR="00C64784" w:rsidRPr="003C1DC8" w:rsidRDefault="00C64784" w:rsidP="00BF6A8D">
            <w:pPr>
              <w:numPr>
                <w:ilvl w:val="0"/>
                <w:numId w:val="3"/>
              </w:numPr>
              <w:autoSpaceDE w:val="0"/>
              <w:autoSpaceDN w:val="0"/>
              <w:adjustRightInd w:val="0"/>
              <w:spacing w:line="280" w:lineRule="exact"/>
              <w:contextualSpacing/>
              <w:jc w:val="both"/>
              <w:rPr>
                <w:rFonts w:ascii="Times New Roman" w:hAnsi="Times New Roman"/>
                <w:sz w:val="22"/>
                <w:szCs w:val="22"/>
              </w:rPr>
            </w:pPr>
            <w:r w:rsidRPr="003C1DC8">
              <w:rPr>
                <w:rFonts w:ascii="Times New Roman" w:hAnsi="Times New Roman"/>
                <w:sz w:val="22"/>
                <w:szCs w:val="22"/>
              </w:rPr>
              <w:t>Percentage implementation of Annual Internal Audit Plan</w:t>
            </w:r>
          </w:p>
        </w:tc>
        <w:tc>
          <w:tcPr>
            <w:tcW w:w="2126" w:type="dxa"/>
            <w:vAlign w:val="center"/>
          </w:tcPr>
          <w:p w14:paraId="635AB76B" w14:textId="77777777" w:rsidR="00C64784" w:rsidRPr="003C1DC8" w:rsidRDefault="00C64784" w:rsidP="00FF25AC">
            <w:pPr>
              <w:spacing w:line="280" w:lineRule="exact"/>
              <w:jc w:val="center"/>
              <w:rPr>
                <w:rFonts w:ascii="Times New Roman" w:hAnsi="Times New Roman"/>
                <w:sz w:val="22"/>
                <w:szCs w:val="22"/>
              </w:rPr>
            </w:pPr>
            <w:r w:rsidRPr="003C1DC8">
              <w:rPr>
                <w:rFonts w:ascii="Times New Roman" w:hAnsi="Times New Roman"/>
                <w:sz w:val="22"/>
                <w:szCs w:val="22"/>
              </w:rPr>
              <w:t>80%</w:t>
            </w:r>
          </w:p>
        </w:tc>
      </w:tr>
      <w:tr w:rsidR="00C64784" w:rsidRPr="003C1DC8" w14:paraId="6A3A885B" w14:textId="77777777" w:rsidTr="00B71EE2">
        <w:tc>
          <w:tcPr>
            <w:tcW w:w="7225" w:type="dxa"/>
            <w:vAlign w:val="center"/>
          </w:tcPr>
          <w:p w14:paraId="47694888" w14:textId="77777777" w:rsidR="00C64784" w:rsidRPr="003C1DC8" w:rsidRDefault="00C64784" w:rsidP="00BF6A8D">
            <w:pPr>
              <w:numPr>
                <w:ilvl w:val="0"/>
                <w:numId w:val="3"/>
              </w:numPr>
              <w:autoSpaceDE w:val="0"/>
              <w:autoSpaceDN w:val="0"/>
              <w:adjustRightInd w:val="0"/>
              <w:spacing w:line="280" w:lineRule="exact"/>
              <w:contextualSpacing/>
              <w:jc w:val="both"/>
              <w:rPr>
                <w:rFonts w:ascii="Times New Roman" w:hAnsi="Times New Roman"/>
                <w:sz w:val="22"/>
                <w:szCs w:val="22"/>
              </w:rPr>
            </w:pPr>
            <w:r w:rsidRPr="003C1DC8">
              <w:rPr>
                <w:rFonts w:ascii="Times New Roman" w:hAnsi="Times New Roman"/>
                <w:sz w:val="22"/>
                <w:szCs w:val="22"/>
              </w:rPr>
              <w:t>Percentage implementation of risk mitigating strategies</w:t>
            </w:r>
          </w:p>
        </w:tc>
        <w:tc>
          <w:tcPr>
            <w:tcW w:w="2126" w:type="dxa"/>
            <w:vAlign w:val="center"/>
          </w:tcPr>
          <w:p w14:paraId="2D106D36" w14:textId="77777777" w:rsidR="00C64784" w:rsidRPr="003C1DC8" w:rsidRDefault="00C64784" w:rsidP="00FF25AC">
            <w:pPr>
              <w:spacing w:line="280" w:lineRule="exact"/>
              <w:jc w:val="center"/>
              <w:rPr>
                <w:rFonts w:ascii="Times New Roman" w:hAnsi="Times New Roman"/>
                <w:sz w:val="22"/>
                <w:szCs w:val="22"/>
              </w:rPr>
            </w:pPr>
            <w:r w:rsidRPr="003C1DC8">
              <w:rPr>
                <w:rFonts w:ascii="Times New Roman" w:hAnsi="Times New Roman"/>
                <w:sz w:val="22"/>
                <w:szCs w:val="22"/>
              </w:rPr>
              <w:t>50%</w:t>
            </w:r>
          </w:p>
        </w:tc>
      </w:tr>
      <w:tr w:rsidR="00C64784" w:rsidRPr="003C1DC8" w14:paraId="63939235" w14:textId="77777777" w:rsidTr="00B71EE2">
        <w:tc>
          <w:tcPr>
            <w:tcW w:w="7225" w:type="dxa"/>
            <w:vAlign w:val="center"/>
          </w:tcPr>
          <w:p w14:paraId="628DFFCC" w14:textId="77777777" w:rsidR="00C64784" w:rsidRPr="003C1DC8" w:rsidRDefault="00C64784" w:rsidP="00BF6A8D">
            <w:pPr>
              <w:numPr>
                <w:ilvl w:val="0"/>
                <w:numId w:val="3"/>
              </w:numPr>
              <w:autoSpaceDE w:val="0"/>
              <w:autoSpaceDN w:val="0"/>
              <w:adjustRightInd w:val="0"/>
              <w:spacing w:line="280" w:lineRule="exact"/>
              <w:contextualSpacing/>
              <w:jc w:val="both"/>
              <w:rPr>
                <w:rFonts w:ascii="Times New Roman" w:hAnsi="Times New Roman"/>
                <w:sz w:val="22"/>
                <w:szCs w:val="22"/>
              </w:rPr>
            </w:pPr>
            <w:r w:rsidRPr="003C1DC8">
              <w:rPr>
                <w:rFonts w:ascii="Times New Roman" w:hAnsi="Times New Roman"/>
                <w:sz w:val="22"/>
                <w:szCs w:val="22"/>
              </w:rPr>
              <w:t>Number of evaluations conducted per year</w:t>
            </w:r>
          </w:p>
        </w:tc>
        <w:tc>
          <w:tcPr>
            <w:tcW w:w="2126" w:type="dxa"/>
            <w:vAlign w:val="center"/>
          </w:tcPr>
          <w:p w14:paraId="7C9B0ECC" w14:textId="77777777" w:rsidR="00C64784" w:rsidRPr="003C1DC8" w:rsidRDefault="00C64784" w:rsidP="00FF25AC">
            <w:pPr>
              <w:spacing w:line="280" w:lineRule="exact"/>
              <w:jc w:val="center"/>
              <w:rPr>
                <w:rFonts w:ascii="Times New Roman" w:hAnsi="Times New Roman"/>
                <w:sz w:val="22"/>
                <w:szCs w:val="22"/>
              </w:rPr>
            </w:pPr>
            <w:r w:rsidRPr="003C1DC8">
              <w:rPr>
                <w:rFonts w:ascii="Times New Roman" w:hAnsi="Times New Roman"/>
                <w:sz w:val="22"/>
                <w:szCs w:val="22"/>
              </w:rPr>
              <w:t>1</w:t>
            </w:r>
          </w:p>
        </w:tc>
      </w:tr>
      <w:tr w:rsidR="00C64784" w:rsidRPr="003C1DC8" w14:paraId="508D9959" w14:textId="77777777" w:rsidTr="00B71EE2">
        <w:tc>
          <w:tcPr>
            <w:tcW w:w="7225" w:type="dxa"/>
            <w:vAlign w:val="center"/>
          </w:tcPr>
          <w:p w14:paraId="2F5CDCE3" w14:textId="77777777" w:rsidR="00C64784" w:rsidRPr="003C1DC8" w:rsidRDefault="00C64784" w:rsidP="00BF6A8D">
            <w:pPr>
              <w:numPr>
                <w:ilvl w:val="0"/>
                <w:numId w:val="3"/>
              </w:numPr>
              <w:autoSpaceDE w:val="0"/>
              <w:autoSpaceDN w:val="0"/>
              <w:adjustRightInd w:val="0"/>
              <w:spacing w:line="280" w:lineRule="exact"/>
              <w:contextualSpacing/>
              <w:jc w:val="both"/>
              <w:rPr>
                <w:rFonts w:ascii="Times New Roman" w:hAnsi="Times New Roman"/>
                <w:sz w:val="22"/>
                <w:szCs w:val="22"/>
              </w:rPr>
            </w:pPr>
            <w:r w:rsidRPr="003C1DC8">
              <w:rPr>
                <w:rFonts w:ascii="Times New Roman" w:hAnsi="Times New Roman"/>
                <w:sz w:val="22"/>
                <w:szCs w:val="22"/>
              </w:rPr>
              <w:t xml:space="preserve">Obtain positive audit outcome </w:t>
            </w:r>
            <w:r w:rsidRPr="003C1DC8">
              <w:rPr>
                <w:rFonts w:ascii="Times New Roman" w:hAnsi="Times New Roman"/>
                <w:b/>
                <w:i/>
                <w:sz w:val="22"/>
                <w:szCs w:val="22"/>
              </w:rPr>
              <w:t>(New indicator)</w:t>
            </w:r>
          </w:p>
        </w:tc>
        <w:tc>
          <w:tcPr>
            <w:tcW w:w="2126" w:type="dxa"/>
            <w:vAlign w:val="center"/>
          </w:tcPr>
          <w:p w14:paraId="1892BDF2" w14:textId="77777777" w:rsidR="00C64784" w:rsidRPr="003C1DC8" w:rsidRDefault="00C64784" w:rsidP="00FF25AC">
            <w:pPr>
              <w:spacing w:line="280" w:lineRule="exact"/>
              <w:jc w:val="center"/>
              <w:rPr>
                <w:rFonts w:ascii="Times New Roman" w:hAnsi="Times New Roman"/>
                <w:sz w:val="22"/>
                <w:szCs w:val="22"/>
              </w:rPr>
            </w:pPr>
            <w:r w:rsidRPr="003C1DC8">
              <w:rPr>
                <w:rFonts w:ascii="Times New Roman" w:hAnsi="Times New Roman"/>
                <w:sz w:val="22"/>
                <w:szCs w:val="22"/>
              </w:rPr>
              <w:t>Unqualified audit</w:t>
            </w:r>
          </w:p>
        </w:tc>
      </w:tr>
      <w:tr w:rsidR="00C64784" w:rsidRPr="003C1DC8" w14:paraId="3AA60A7E" w14:textId="77777777" w:rsidTr="00B71EE2">
        <w:tc>
          <w:tcPr>
            <w:tcW w:w="7225" w:type="dxa"/>
            <w:vAlign w:val="center"/>
          </w:tcPr>
          <w:p w14:paraId="6340BA28" w14:textId="77777777" w:rsidR="00C64784" w:rsidRPr="003C1DC8" w:rsidRDefault="00C64784" w:rsidP="00BF6A8D">
            <w:pPr>
              <w:numPr>
                <w:ilvl w:val="0"/>
                <w:numId w:val="3"/>
              </w:numPr>
              <w:autoSpaceDE w:val="0"/>
              <w:autoSpaceDN w:val="0"/>
              <w:adjustRightInd w:val="0"/>
              <w:spacing w:line="280" w:lineRule="exact"/>
              <w:contextualSpacing/>
              <w:jc w:val="both"/>
              <w:rPr>
                <w:rFonts w:ascii="Times New Roman" w:hAnsi="Times New Roman"/>
                <w:sz w:val="22"/>
                <w:szCs w:val="22"/>
              </w:rPr>
            </w:pPr>
            <w:r w:rsidRPr="003C1DC8">
              <w:rPr>
                <w:rFonts w:ascii="Times New Roman" w:hAnsi="Times New Roman"/>
                <w:sz w:val="22"/>
                <w:szCs w:val="22"/>
              </w:rPr>
              <w:t xml:space="preserve">Percentage implementation of ICT Infrastructure Plan </w:t>
            </w:r>
            <w:r w:rsidRPr="003C1DC8">
              <w:rPr>
                <w:rFonts w:ascii="Times New Roman" w:hAnsi="Times New Roman"/>
                <w:b/>
                <w:i/>
                <w:sz w:val="22"/>
                <w:szCs w:val="22"/>
              </w:rPr>
              <w:t>(New indicator)</w:t>
            </w:r>
          </w:p>
        </w:tc>
        <w:tc>
          <w:tcPr>
            <w:tcW w:w="2126" w:type="dxa"/>
            <w:vAlign w:val="center"/>
          </w:tcPr>
          <w:p w14:paraId="45326DAB" w14:textId="77777777" w:rsidR="00C64784" w:rsidRPr="003C1DC8" w:rsidRDefault="00C64784" w:rsidP="00FF25AC">
            <w:pPr>
              <w:spacing w:line="280" w:lineRule="exact"/>
              <w:jc w:val="center"/>
              <w:rPr>
                <w:rFonts w:ascii="Times New Roman" w:hAnsi="Times New Roman"/>
                <w:sz w:val="22"/>
                <w:szCs w:val="22"/>
              </w:rPr>
            </w:pPr>
            <w:r w:rsidRPr="003C1DC8">
              <w:rPr>
                <w:rFonts w:ascii="Times New Roman" w:hAnsi="Times New Roman"/>
                <w:sz w:val="22"/>
                <w:szCs w:val="22"/>
              </w:rPr>
              <w:t>80%</w:t>
            </w:r>
          </w:p>
        </w:tc>
      </w:tr>
    </w:tbl>
    <w:p w14:paraId="0EED67A8" w14:textId="77777777" w:rsidR="00C64784" w:rsidRPr="003C1DC8" w:rsidRDefault="00C64784" w:rsidP="003C1DC8">
      <w:pPr>
        <w:spacing w:after="0" w:line="280" w:lineRule="exact"/>
        <w:jc w:val="right"/>
        <w:rPr>
          <w:rFonts w:ascii="Times New Roman" w:eastAsia="Calibri" w:hAnsi="Times New Roman" w:cs="Times New Roman"/>
          <w:b/>
        </w:rPr>
      </w:pPr>
      <w:r w:rsidRPr="003C1DC8">
        <w:rPr>
          <w:rFonts w:ascii="Times New Roman" w:eastAsia="Calibri" w:hAnsi="Times New Roman" w:cs="Times New Roman"/>
          <w:b/>
        </w:rPr>
        <w:t>Source: 2019/20 IPID APP</w:t>
      </w:r>
    </w:p>
    <w:p w14:paraId="44AE5061" w14:textId="77777777" w:rsidR="00BF6A8D" w:rsidRPr="00A10AC4" w:rsidRDefault="00BF6A8D" w:rsidP="00A10AC4">
      <w:pPr>
        <w:pStyle w:val="Heading2"/>
        <w:spacing w:before="0" w:line="276" w:lineRule="auto"/>
        <w:jc w:val="both"/>
        <w:rPr>
          <w:rFonts w:ascii="Times New Roman" w:eastAsia="Calibri" w:hAnsi="Times New Roman" w:cs="Times New Roman"/>
          <w:color w:val="auto"/>
          <w:sz w:val="24"/>
          <w:szCs w:val="24"/>
        </w:rPr>
      </w:pPr>
      <w:bookmarkStart w:id="3" w:name="_Toc12872910"/>
    </w:p>
    <w:p w14:paraId="6E4E637D" w14:textId="77777777" w:rsidR="00C64784" w:rsidRPr="00A10AC4" w:rsidRDefault="00BF6A8D" w:rsidP="00A10AC4">
      <w:pPr>
        <w:pStyle w:val="Heading2"/>
        <w:spacing w:before="0" w:line="276" w:lineRule="auto"/>
        <w:jc w:val="both"/>
        <w:rPr>
          <w:rFonts w:ascii="Times New Roman" w:eastAsia="Times New Roman" w:hAnsi="Times New Roman" w:cs="Times New Roman"/>
          <w:b/>
          <w:color w:val="538135"/>
          <w:sz w:val="24"/>
          <w:szCs w:val="24"/>
        </w:rPr>
      </w:pPr>
      <w:r w:rsidRPr="00A10AC4">
        <w:rPr>
          <w:rFonts w:ascii="Times New Roman" w:eastAsia="Calibri" w:hAnsi="Times New Roman" w:cs="Times New Roman"/>
          <w:b/>
          <w:color w:val="auto"/>
          <w:sz w:val="24"/>
          <w:szCs w:val="24"/>
        </w:rPr>
        <w:t>3.2</w:t>
      </w:r>
      <w:r w:rsidRPr="00A10AC4">
        <w:rPr>
          <w:rFonts w:ascii="Times New Roman" w:eastAsia="Calibri" w:hAnsi="Times New Roman" w:cs="Times New Roman"/>
          <w:color w:val="auto"/>
          <w:sz w:val="24"/>
          <w:szCs w:val="24"/>
        </w:rPr>
        <w:tab/>
      </w:r>
      <w:r w:rsidR="00C64784" w:rsidRPr="00A10AC4">
        <w:rPr>
          <w:rFonts w:ascii="Times New Roman" w:eastAsia="Times New Roman" w:hAnsi="Times New Roman" w:cs="Times New Roman"/>
          <w:b/>
          <w:color w:val="000000" w:themeColor="text1"/>
          <w:sz w:val="24"/>
          <w:szCs w:val="24"/>
        </w:rPr>
        <w:t>Programme 2: Investigation and Information Management</w:t>
      </w:r>
      <w:bookmarkEnd w:id="3"/>
      <w:r w:rsidR="00C64784" w:rsidRPr="00A10AC4">
        <w:rPr>
          <w:rFonts w:ascii="Times New Roman" w:eastAsia="Times New Roman" w:hAnsi="Times New Roman" w:cs="Times New Roman"/>
          <w:b/>
          <w:color w:val="538135"/>
          <w:sz w:val="24"/>
          <w:szCs w:val="24"/>
        </w:rPr>
        <w:t xml:space="preserve"> </w:t>
      </w:r>
    </w:p>
    <w:p w14:paraId="504BB2D6" w14:textId="77777777" w:rsidR="00C64784" w:rsidRPr="00A10AC4" w:rsidRDefault="00C64784" w:rsidP="00A10AC4">
      <w:pPr>
        <w:spacing w:after="0" w:line="276" w:lineRule="auto"/>
        <w:jc w:val="both"/>
        <w:rPr>
          <w:rFonts w:ascii="Times New Roman" w:eastAsia="Calibri" w:hAnsi="Times New Roman" w:cs="Times New Roman"/>
          <w:sz w:val="24"/>
          <w:szCs w:val="24"/>
        </w:rPr>
      </w:pPr>
    </w:p>
    <w:p w14:paraId="0318A279" w14:textId="77777777" w:rsidR="00C64784" w:rsidRPr="00A10AC4" w:rsidRDefault="00C64784" w:rsidP="00A10AC4">
      <w:pPr>
        <w:autoSpaceDE w:val="0"/>
        <w:autoSpaceDN w:val="0"/>
        <w:adjustRightInd w:val="0"/>
        <w:spacing w:after="0" w:line="276" w:lineRule="auto"/>
        <w:jc w:val="both"/>
        <w:rPr>
          <w:rFonts w:ascii="Times New Roman" w:eastAsia="Calibri" w:hAnsi="Times New Roman" w:cs="Times New Roman"/>
          <w:sz w:val="24"/>
          <w:szCs w:val="24"/>
        </w:rPr>
      </w:pPr>
      <w:r w:rsidRPr="00A10AC4">
        <w:rPr>
          <w:rFonts w:ascii="Times New Roman" w:eastAsia="Calibri" w:hAnsi="Times New Roman" w:cs="Times New Roman"/>
          <w:sz w:val="24"/>
          <w:szCs w:val="24"/>
        </w:rPr>
        <w:t>The purpose of the Investigation and Information Management Programme is to strengthen the Department’s oversight role over the police service by conducting investigations, in line with the powers granted by the Independent Police Investigative Directorate Act No. 1 of 2011. This includes making appropriate recommendations on investigations in the various investigation categories and submitting feedback to complainants. The Programme will also enhance efficiency in case management and maintain relationships with other state security agencies, such as the SAPS, the National Prosecuting Authority (NPA), Civilian Secretariat for Police</w:t>
      </w:r>
      <w:r w:rsidR="00561437" w:rsidRPr="00A10AC4">
        <w:rPr>
          <w:rFonts w:ascii="Times New Roman" w:eastAsia="Calibri" w:hAnsi="Times New Roman" w:cs="Times New Roman"/>
          <w:sz w:val="24"/>
          <w:szCs w:val="24"/>
        </w:rPr>
        <w:t xml:space="preserve"> Service</w:t>
      </w:r>
      <w:r w:rsidRPr="00A10AC4">
        <w:rPr>
          <w:rFonts w:ascii="Times New Roman" w:eastAsia="Calibri" w:hAnsi="Times New Roman" w:cs="Times New Roman"/>
          <w:sz w:val="24"/>
          <w:szCs w:val="24"/>
        </w:rPr>
        <w:t xml:space="preserve"> (CSP</w:t>
      </w:r>
      <w:r w:rsidR="00561437" w:rsidRPr="00A10AC4">
        <w:rPr>
          <w:rFonts w:ascii="Times New Roman" w:eastAsia="Calibri" w:hAnsi="Times New Roman" w:cs="Times New Roman"/>
          <w:sz w:val="24"/>
          <w:szCs w:val="24"/>
        </w:rPr>
        <w:t>S</w:t>
      </w:r>
      <w:r w:rsidRPr="00A10AC4">
        <w:rPr>
          <w:rFonts w:ascii="Times New Roman" w:eastAsia="Calibri" w:hAnsi="Times New Roman" w:cs="Times New Roman"/>
          <w:sz w:val="24"/>
          <w:szCs w:val="24"/>
        </w:rPr>
        <w:t>) and community stakeholders, through</w:t>
      </w:r>
      <w:r w:rsidR="00561437" w:rsidRPr="00A10AC4">
        <w:rPr>
          <w:rFonts w:ascii="Times New Roman" w:eastAsia="Calibri" w:hAnsi="Times New Roman" w:cs="Times New Roman"/>
          <w:sz w:val="24"/>
          <w:szCs w:val="24"/>
        </w:rPr>
        <w:t xml:space="preserve"> an</w:t>
      </w:r>
      <w:r w:rsidRPr="00A10AC4">
        <w:rPr>
          <w:rFonts w:ascii="Times New Roman" w:eastAsia="Calibri" w:hAnsi="Times New Roman" w:cs="Times New Roman"/>
          <w:sz w:val="24"/>
          <w:szCs w:val="24"/>
        </w:rPr>
        <w:t xml:space="preserve"> on-going national and provincial engagement forums.</w:t>
      </w:r>
    </w:p>
    <w:p w14:paraId="631DB08E" w14:textId="77777777" w:rsidR="00C64784" w:rsidRPr="00A10AC4" w:rsidRDefault="00C64784" w:rsidP="00A10AC4">
      <w:pPr>
        <w:spacing w:after="0" w:line="276" w:lineRule="auto"/>
        <w:jc w:val="both"/>
        <w:rPr>
          <w:rFonts w:ascii="Times New Roman" w:eastAsia="Calibri" w:hAnsi="Times New Roman" w:cs="Times New Roman"/>
          <w:sz w:val="24"/>
          <w:szCs w:val="24"/>
        </w:rPr>
      </w:pPr>
    </w:p>
    <w:p w14:paraId="050B2510" w14:textId="77777777" w:rsidR="00C64784" w:rsidRPr="00A10AC4" w:rsidRDefault="00C64784" w:rsidP="00A10AC4">
      <w:pPr>
        <w:spacing w:after="0" w:line="276" w:lineRule="auto"/>
        <w:jc w:val="both"/>
        <w:rPr>
          <w:rFonts w:ascii="Times New Roman" w:eastAsia="Calibri" w:hAnsi="Times New Roman" w:cs="Times New Roman"/>
          <w:sz w:val="24"/>
          <w:szCs w:val="24"/>
        </w:rPr>
      </w:pPr>
      <w:r w:rsidRPr="00A10AC4">
        <w:rPr>
          <w:rFonts w:ascii="Times New Roman" w:eastAsia="Calibri" w:hAnsi="Times New Roman" w:cs="Times New Roman"/>
          <w:sz w:val="24"/>
          <w:szCs w:val="24"/>
        </w:rPr>
        <w:t xml:space="preserve">The core service delivery programme of a Department normally receives the largest portion of the Vote. As such, the Investigation and Information Management Programme received an allocation of R206 million from the total allocation of R336.7 million which is 61.18% of the total budget. The allocation increased with R11.5 million or 5.9% nominally when compared to the R194.5 million allocation of the previous financial year. The items per economic classification shows that R5.3 million was allocated to the line-item </w:t>
      </w:r>
      <w:r w:rsidRPr="00A10AC4">
        <w:rPr>
          <w:rFonts w:ascii="Times New Roman" w:eastAsia="Calibri" w:hAnsi="Times New Roman" w:cs="Times New Roman"/>
          <w:i/>
          <w:sz w:val="24"/>
          <w:szCs w:val="24"/>
        </w:rPr>
        <w:t xml:space="preserve">Legal Services, </w:t>
      </w:r>
      <w:r w:rsidRPr="00A10AC4">
        <w:rPr>
          <w:rFonts w:ascii="Times New Roman" w:eastAsia="Calibri" w:hAnsi="Times New Roman" w:cs="Times New Roman"/>
          <w:sz w:val="24"/>
          <w:szCs w:val="24"/>
        </w:rPr>
        <w:t xml:space="preserve">which will be used to contract private attorneys to assist with litigation cases. This should be questioned because Programme 3: Legal and Investigation Advisory Services is mandated to </w:t>
      </w:r>
      <w:r w:rsidRPr="00A10AC4">
        <w:rPr>
          <w:rFonts w:ascii="Times New Roman" w:eastAsia="Calibri" w:hAnsi="Times New Roman" w:cs="Times New Roman"/>
          <w:i/>
          <w:sz w:val="24"/>
          <w:szCs w:val="24"/>
        </w:rPr>
        <w:t>provide legal, civil and labour litigation</w:t>
      </w:r>
      <w:r w:rsidRPr="00A10AC4">
        <w:rPr>
          <w:rFonts w:ascii="Times New Roman" w:eastAsia="Calibri" w:hAnsi="Times New Roman" w:cs="Times New Roman"/>
          <w:sz w:val="24"/>
          <w:szCs w:val="24"/>
        </w:rPr>
        <w:t xml:space="preserve"> and receives a budget of R7.5 million in 2019/20. </w:t>
      </w:r>
    </w:p>
    <w:p w14:paraId="17998964" w14:textId="77777777" w:rsidR="00C64784" w:rsidRPr="00A10AC4" w:rsidRDefault="00C64784" w:rsidP="00A10AC4">
      <w:pPr>
        <w:spacing w:after="0" w:line="276" w:lineRule="auto"/>
        <w:jc w:val="both"/>
        <w:rPr>
          <w:rFonts w:ascii="Times New Roman" w:eastAsia="Calibri" w:hAnsi="Times New Roman" w:cs="Times New Roman"/>
          <w:sz w:val="24"/>
          <w:szCs w:val="24"/>
        </w:rPr>
      </w:pPr>
    </w:p>
    <w:p w14:paraId="78388C1A" w14:textId="77777777" w:rsidR="00C64784" w:rsidRPr="00A10AC4" w:rsidRDefault="00C64784" w:rsidP="00A10AC4">
      <w:pPr>
        <w:autoSpaceDE w:val="0"/>
        <w:autoSpaceDN w:val="0"/>
        <w:adjustRightInd w:val="0"/>
        <w:spacing w:after="0" w:line="276" w:lineRule="auto"/>
        <w:jc w:val="both"/>
        <w:rPr>
          <w:rFonts w:ascii="Times New Roman" w:eastAsia="Calibri" w:hAnsi="Times New Roman" w:cs="Times New Roman"/>
          <w:sz w:val="24"/>
          <w:szCs w:val="24"/>
        </w:rPr>
      </w:pPr>
      <w:r w:rsidRPr="00A10AC4">
        <w:rPr>
          <w:rFonts w:ascii="Times New Roman" w:eastAsia="Calibri" w:hAnsi="Times New Roman" w:cs="Times New Roman"/>
          <w:sz w:val="24"/>
          <w:szCs w:val="24"/>
        </w:rPr>
        <w:t xml:space="preserve">The table below summarises the programme performance indicators and targets of the </w:t>
      </w:r>
      <w:r w:rsidRPr="00A10AC4">
        <w:rPr>
          <w:rFonts w:ascii="Times New Roman" w:eastAsia="Calibri" w:hAnsi="Times New Roman" w:cs="Times New Roman"/>
          <w:i/>
          <w:sz w:val="24"/>
          <w:szCs w:val="24"/>
        </w:rPr>
        <w:t>Investigation and Information Management</w:t>
      </w:r>
      <w:r w:rsidRPr="00A10AC4">
        <w:rPr>
          <w:rFonts w:ascii="Times New Roman" w:eastAsia="Calibri" w:hAnsi="Times New Roman" w:cs="Times New Roman"/>
          <w:sz w:val="24"/>
          <w:szCs w:val="24"/>
        </w:rPr>
        <w:t xml:space="preserve"> Programme: </w:t>
      </w:r>
    </w:p>
    <w:p w14:paraId="2C63CC4A" w14:textId="77777777" w:rsidR="00C64784" w:rsidRPr="00A10AC4" w:rsidRDefault="00C64784" w:rsidP="00A10AC4">
      <w:pPr>
        <w:autoSpaceDE w:val="0"/>
        <w:autoSpaceDN w:val="0"/>
        <w:adjustRightInd w:val="0"/>
        <w:spacing w:after="0" w:line="276" w:lineRule="auto"/>
        <w:jc w:val="both"/>
        <w:rPr>
          <w:rFonts w:ascii="Times New Roman" w:eastAsia="Calibri" w:hAnsi="Times New Roman" w:cs="Times New Roman"/>
          <w:sz w:val="24"/>
          <w:szCs w:val="24"/>
          <w:lang w:eastAsia="en-ZA"/>
        </w:rPr>
      </w:pPr>
    </w:p>
    <w:p w14:paraId="0BA0FCB1" w14:textId="77777777" w:rsidR="00C64784" w:rsidRPr="00A10AC4" w:rsidRDefault="00C64784" w:rsidP="00A10AC4">
      <w:pPr>
        <w:spacing w:after="0" w:line="276" w:lineRule="auto"/>
        <w:jc w:val="both"/>
        <w:rPr>
          <w:rFonts w:ascii="Times New Roman" w:eastAsia="Calibri" w:hAnsi="Times New Roman" w:cs="Times New Roman"/>
          <w:b/>
          <w:sz w:val="24"/>
          <w:szCs w:val="24"/>
        </w:rPr>
      </w:pPr>
      <w:r w:rsidRPr="00A10AC4">
        <w:rPr>
          <w:rFonts w:ascii="Times New Roman" w:eastAsia="Calibri" w:hAnsi="Times New Roman" w:cs="Times New Roman"/>
          <w:b/>
          <w:sz w:val="24"/>
          <w:szCs w:val="24"/>
        </w:rPr>
        <w:t>Table 3: Programme Performance Indicators and Targets</w:t>
      </w:r>
    </w:p>
    <w:tbl>
      <w:tblPr>
        <w:tblStyle w:val="TableGrid1"/>
        <w:tblW w:w="8926" w:type="dxa"/>
        <w:tblLook w:val="04A0" w:firstRow="1" w:lastRow="0" w:firstColumn="1" w:lastColumn="0" w:noHBand="0" w:noVBand="1"/>
      </w:tblPr>
      <w:tblGrid>
        <w:gridCol w:w="7083"/>
        <w:gridCol w:w="1843"/>
      </w:tblGrid>
      <w:tr w:rsidR="00C64784" w:rsidRPr="00A10AC4" w14:paraId="48F2F7D2" w14:textId="77777777" w:rsidTr="00B71EE2">
        <w:trPr>
          <w:tblHeader/>
        </w:trPr>
        <w:tc>
          <w:tcPr>
            <w:tcW w:w="7083" w:type="dxa"/>
            <w:shd w:val="clear" w:color="auto" w:fill="F2F2F2" w:themeFill="background1" w:themeFillShade="F2"/>
            <w:vAlign w:val="center"/>
          </w:tcPr>
          <w:p w14:paraId="3A0AC28E" w14:textId="77777777" w:rsidR="00C64784" w:rsidRPr="00A10AC4" w:rsidRDefault="00C64784" w:rsidP="00A10AC4">
            <w:pPr>
              <w:spacing w:line="276" w:lineRule="auto"/>
              <w:jc w:val="both"/>
              <w:rPr>
                <w:rFonts w:ascii="Times New Roman" w:hAnsi="Times New Roman"/>
                <w:b/>
                <w:sz w:val="24"/>
                <w:szCs w:val="24"/>
              </w:rPr>
            </w:pPr>
            <w:r w:rsidRPr="00A10AC4">
              <w:rPr>
                <w:rFonts w:ascii="Times New Roman" w:hAnsi="Times New Roman"/>
                <w:b/>
                <w:sz w:val="24"/>
                <w:szCs w:val="24"/>
              </w:rPr>
              <w:t xml:space="preserve">Strategic objectives and Annual Targets </w:t>
            </w:r>
          </w:p>
        </w:tc>
        <w:tc>
          <w:tcPr>
            <w:tcW w:w="1843" w:type="dxa"/>
            <w:shd w:val="clear" w:color="auto" w:fill="F2F2F2" w:themeFill="background1" w:themeFillShade="F2"/>
            <w:vAlign w:val="center"/>
          </w:tcPr>
          <w:p w14:paraId="49D69A87" w14:textId="77777777" w:rsidR="00C64784" w:rsidRPr="00A10AC4" w:rsidRDefault="00C64784" w:rsidP="00A10AC4">
            <w:pPr>
              <w:spacing w:line="276" w:lineRule="auto"/>
              <w:jc w:val="both"/>
              <w:rPr>
                <w:rFonts w:ascii="Times New Roman" w:hAnsi="Times New Roman"/>
                <w:b/>
                <w:sz w:val="24"/>
                <w:szCs w:val="24"/>
              </w:rPr>
            </w:pPr>
            <w:r w:rsidRPr="00A10AC4">
              <w:rPr>
                <w:rFonts w:ascii="Times New Roman" w:hAnsi="Times New Roman"/>
                <w:b/>
                <w:sz w:val="24"/>
                <w:szCs w:val="24"/>
              </w:rPr>
              <w:t>2019/20</w:t>
            </w:r>
          </w:p>
        </w:tc>
      </w:tr>
      <w:tr w:rsidR="00C64784" w:rsidRPr="00A10AC4" w14:paraId="4DA7F542" w14:textId="77777777" w:rsidTr="00B71EE2">
        <w:tc>
          <w:tcPr>
            <w:tcW w:w="7083" w:type="dxa"/>
            <w:shd w:val="clear" w:color="auto" w:fill="auto"/>
            <w:vAlign w:val="center"/>
          </w:tcPr>
          <w:p w14:paraId="2C1A17C5" w14:textId="77777777" w:rsidR="00C64784" w:rsidRPr="00A10AC4" w:rsidRDefault="00C64784" w:rsidP="00A10AC4">
            <w:pPr>
              <w:spacing w:line="276" w:lineRule="auto"/>
              <w:jc w:val="both"/>
              <w:rPr>
                <w:rFonts w:ascii="Times New Roman" w:hAnsi="Times New Roman"/>
                <w:b/>
                <w:sz w:val="24"/>
                <w:szCs w:val="24"/>
              </w:rPr>
            </w:pPr>
            <w:r w:rsidRPr="00A10AC4">
              <w:rPr>
                <w:rFonts w:ascii="Times New Roman" w:hAnsi="Times New Roman"/>
                <w:b/>
                <w:sz w:val="24"/>
                <w:szCs w:val="24"/>
              </w:rPr>
              <w:t xml:space="preserve">Strategic Objective: Specialised investigative capacity established </w:t>
            </w:r>
          </w:p>
        </w:tc>
        <w:tc>
          <w:tcPr>
            <w:tcW w:w="1843" w:type="dxa"/>
            <w:shd w:val="clear" w:color="auto" w:fill="auto"/>
            <w:vAlign w:val="center"/>
          </w:tcPr>
          <w:p w14:paraId="000EAA4D" w14:textId="77777777" w:rsidR="00C64784" w:rsidRPr="00A10AC4" w:rsidRDefault="00C64784" w:rsidP="00A10AC4">
            <w:pPr>
              <w:spacing w:line="276" w:lineRule="auto"/>
              <w:jc w:val="both"/>
              <w:rPr>
                <w:rFonts w:ascii="Times New Roman" w:hAnsi="Times New Roman"/>
                <w:b/>
                <w:sz w:val="24"/>
                <w:szCs w:val="24"/>
              </w:rPr>
            </w:pPr>
          </w:p>
        </w:tc>
      </w:tr>
      <w:tr w:rsidR="00C64784" w:rsidRPr="00A10AC4" w14:paraId="4B509DBB" w14:textId="77777777" w:rsidTr="00B71EE2">
        <w:tc>
          <w:tcPr>
            <w:tcW w:w="7083" w:type="dxa"/>
            <w:shd w:val="clear" w:color="auto" w:fill="auto"/>
            <w:vAlign w:val="center"/>
          </w:tcPr>
          <w:p w14:paraId="3F78C20A" w14:textId="77777777" w:rsidR="00C64784" w:rsidRPr="00A10AC4" w:rsidRDefault="00C64784" w:rsidP="00A10AC4">
            <w:pPr>
              <w:numPr>
                <w:ilvl w:val="0"/>
                <w:numId w:val="5"/>
              </w:numPr>
              <w:spacing w:line="276" w:lineRule="auto"/>
              <w:contextualSpacing/>
              <w:jc w:val="both"/>
              <w:rPr>
                <w:rFonts w:ascii="Times New Roman" w:hAnsi="Times New Roman"/>
                <w:sz w:val="24"/>
                <w:szCs w:val="24"/>
              </w:rPr>
            </w:pPr>
            <w:r w:rsidRPr="00A10AC4">
              <w:rPr>
                <w:rFonts w:ascii="Times New Roman" w:hAnsi="Times New Roman"/>
                <w:sz w:val="24"/>
                <w:szCs w:val="24"/>
              </w:rPr>
              <w:t xml:space="preserve">Number of investigators trained on specialised services </w:t>
            </w:r>
          </w:p>
        </w:tc>
        <w:tc>
          <w:tcPr>
            <w:tcW w:w="1843" w:type="dxa"/>
            <w:shd w:val="clear" w:color="auto" w:fill="auto"/>
            <w:vAlign w:val="center"/>
          </w:tcPr>
          <w:p w14:paraId="16B8D1AD"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75</w:t>
            </w:r>
          </w:p>
        </w:tc>
      </w:tr>
      <w:tr w:rsidR="00C64784" w:rsidRPr="00A10AC4" w14:paraId="6EDA72A0" w14:textId="77777777" w:rsidTr="00B71EE2">
        <w:tc>
          <w:tcPr>
            <w:tcW w:w="7083" w:type="dxa"/>
            <w:shd w:val="clear" w:color="auto" w:fill="auto"/>
            <w:vAlign w:val="center"/>
          </w:tcPr>
          <w:p w14:paraId="6EBFFE80" w14:textId="77777777" w:rsidR="00C64784" w:rsidRPr="00A10AC4" w:rsidRDefault="00C64784" w:rsidP="00A10AC4">
            <w:pPr>
              <w:spacing w:line="276" w:lineRule="auto"/>
              <w:jc w:val="both"/>
              <w:rPr>
                <w:rFonts w:ascii="Times New Roman" w:hAnsi="Times New Roman"/>
                <w:b/>
                <w:sz w:val="24"/>
                <w:szCs w:val="24"/>
              </w:rPr>
            </w:pPr>
            <w:r w:rsidRPr="00A10AC4">
              <w:rPr>
                <w:rFonts w:ascii="Times New Roman" w:hAnsi="Times New Roman"/>
                <w:b/>
                <w:sz w:val="24"/>
                <w:szCs w:val="24"/>
              </w:rPr>
              <w:t xml:space="preserve">Strategic Objective: Decision-ready cases finalised </w:t>
            </w:r>
          </w:p>
        </w:tc>
        <w:tc>
          <w:tcPr>
            <w:tcW w:w="1843" w:type="dxa"/>
            <w:shd w:val="clear" w:color="auto" w:fill="auto"/>
            <w:vAlign w:val="center"/>
          </w:tcPr>
          <w:p w14:paraId="56936019" w14:textId="77777777" w:rsidR="00C64784" w:rsidRPr="00A10AC4" w:rsidRDefault="00C64784" w:rsidP="00A10AC4">
            <w:pPr>
              <w:spacing w:line="276" w:lineRule="auto"/>
              <w:jc w:val="both"/>
              <w:rPr>
                <w:rFonts w:ascii="Times New Roman" w:hAnsi="Times New Roman"/>
                <w:sz w:val="24"/>
                <w:szCs w:val="24"/>
              </w:rPr>
            </w:pPr>
          </w:p>
        </w:tc>
      </w:tr>
      <w:tr w:rsidR="00C64784" w:rsidRPr="00A10AC4" w14:paraId="546966EB" w14:textId="77777777" w:rsidTr="00B71EE2">
        <w:trPr>
          <w:trHeight w:val="459"/>
        </w:trPr>
        <w:tc>
          <w:tcPr>
            <w:tcW w:w="7083" w:type="dxa"/>
            <w:shd w:val="clear" w:color="auto" w:fill="auto"/>
            <w:vAlign w:val="center"/>
          </w:tcPr>
          <w:p w14:paraId="4D6C5245" w14:textId="77777777" w:rsidR="00C64784" w:rsidRPr="00A10AC4" w:rsidRDefault="00C64784" w:rsidP="00A10AC4">
            <w:pPr>
              <w:numPr>
                <w:ilvl w:val="0"/>
                <w:numId w:val="5"/>
              </w:numPr>
              <w:spacing w:line="276" w:lineRule="auto"/>
              <w:contextualSpacing/>
              <w:jc w:val="both"/>
              <w:rPr>
                <w:rFonts w:ascii="Times New Roman" w:hAnsi="Times New Roman"/>
                <w:sz w:val="24"/>
                <w:szCs w:val="24"/>
              </w:rPr>
            </w:pPr>
            <w:r w:rsidRPr="00A10AC4">
              <w:rPr>
                <w:rFonts w:ascii="Times New Roman" w:hAnsi="Times New Roman"/>
                <w:sz w:val="24"/>
                <w:szCs w:val="24"/>
              </w:rPr>
              <w:t xml:space="preserve">Percentage of decision ready cases completed from total cases received </w:t>
            </w:r>
          </w:p>
        </w:tc>
        <w:tc>
          <w:tcPr>
            <w:tcW w:w="1843" w:type="dxa"/>
            <w:shd w:val="clear" w:color="auto" w:fill="auto"/>
            <w:vAlign w:val="center"/>
          </w:tcPr>
          <w:p w14:paraId="4F9CFB81"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45% (4 893)</w:t>
            </w:r>
          </w:p>
        </w:tc>
      </w:tr>
      <w:tr w:rsidR="00C64784" w:rsidRPr="00A10AC4" w14:paraId="0E77390F" w14:textId="77777777" w:rsidTr="00B71EE2">
        <w:tc>
          <w:tcPr>
            <w:tcW w:w="7083" w:type="dxa"/>
            <w:shd w:val="clear" w:color="auto" w:fill="auto"/>
            <w:vAlign w:val="center"/>
          </w:tcPr>
          <w:p w14:paraId="6A9E2427" w14:textId="77777777" w:rsidR="00C64784" w:rsidRPr="00A10AC4" w:rsidRDefault="00C64784" w:rsidP="00A10AC4">
            <w:pPr>
              <w:spacing w:line="276" w:lineRule="auto"/>
              <w:jc w:val="both"/>
              <w:rPr>
                <w:rFonts w:ascii="Times New Roman" w:hAnsi="Times New Roman"/>
                <w:b/>
                <w:sz w:val="24"/>
                <w:szCs w:val="24"/>
              </w:rPr>
            </w:pPr>
            <w:r w:rsidRPr="00A10AC4">
              <w:rPr>
                <w:rFonts w:ascii="Times New Roman" w:hAnsi="Times New Roman"/>
                <w:b/>
                <w:sz w:val="24"/>
                <w:szCs w:val="24"/>
              </w:rPr>
              <w:t>Programme Performance Indicators and targets</w:t>
            </w:r>
          </w:p>
        </w:tc>
        <w:tc>
          <w:tcPr>
            <w:tcW w:w="1843" w:type="dxa"/>
            <w:shd w:val="clear" w:color="auto" w:fill="auto"/>
            <w:vAlign w:val="center"/>
          </w:tcPr>
          <w:p w14:paraId="4FDDE3C1" w14:textId="77777777" w:rsidR="00C64784" w:rsidRPr="00A10AC4" w:rsidRDefault="00C64784" w:rsidP="00A10AC4">
            <w:pPr>
              <w:spacing w:line="276" w:lineRule="auto"/>
              <w:jc w:val="both"/>
              <w:rPr>
                <w:rFonts w:ascii="Times New Roman" w:hAnsi="Times New Roman"/>
                <w:b/>
                <w:sz w:val="24"/>
                <w:szCs w:val="24"/>
              </w:rPr>
            </w:pPr>
          </w:p>
        </w:tc>
      </w:tr>
      <w:tr w:rsidR="00C64784" w:rsidRPr="00A10AC4" w14:paraId="47BBC1D2" w14:textId="77777777" w:rsidTr="00B71EE2">
        <w:tc>
          <w:tcPr>
            <w:tcW w:w="7083" w:type="dxa"/>
            <w:vAlign w:val="center"/>
          </w:tcPr>
          <w:p w14:paraId="0ED4B50A" w14:textId="77777777" w:rsidR="00C64784" w:rsidRPr="00A10AC4" w:rsidRDefault="00C64784" w:rsidP="00A10AC4">
            <w:pPr>
              <w:numPr>
                <w:ilvl w:val="0"/>
                <w:numId w:val="6"/>
              </w:numPr>
              <w:autoSpaceDE w:val="0"/>
              <w:autoSpaceDN w:val="0"/>
              <w:adjustRightInd w:val="0"/>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Percentage of cases registered and allocated within 72 hours of written notification</w:t>
            </w:r>
          </w:p>
        </w:tc>
        <w:tc>
          <w:tcPr>
            <w:tcW w:w="1843" w:type="dxa"/>
            <w:vAlign w:val="center"/>
          </w:tcPr>
          <w:p w14:paraId="11320A24"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80% (5 100)</w:t>
            </w:r>
          </w:p>
        </w:tc>
      </w:tr>
      <w:tr w:rsidR="00C64784" w:rsidRPr="00A10AC4" w14:paraId="118B340C" w14:textId="77777777" w:rsidTr="00B71EE2">
        <w:tc>
          <w:tcPr>
            <w:tcW w:w="7083" w:type="dxa"/>
            <w:vAlign w:val="center"/>
          </w:tcPr>
          <w:p w14:paraId="09077EB8" w14:textId="77777777" w:rsidR="00C64784" w:rsidRPr="00A10AC4" w:rsidRDefault="00C64784" w:rsidP="00A10AC4">
            <w:pPr>
              <w:numPr>
                <w:ilvl w:val="0"/>
                <w:numId w:val="6"/>
              </w:numPr>
              <w:autoSpaceDE w:val="0"/>
              <w:autoSpaceDN w:val="0"/>
              <w:adjustRightInd w:val="0"/>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Number of statistical reports on investigations generated</w:t>
            </w:r>
          </w:p>
        </w:tc>
        <w:tc>
          <w:tcPr>
            <w:tcW w:w="1843" w:type="dxa"/>
            <w:vAlign w:val="center"/>
          </w:tcPr>
          <w:p w14:paraId="7F94FBC2"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2</w:t>
            </w:r>
          </w:p>
        </w:tc>
      </w:tr>
      <w:tr w:rsidR="00C64784" w:rsidRPr="00A10AC4" w14:paraId="59A4D8FC" w14:textId="77777777" w:rsidTr="00B71EE2">
        <w:tc>
          <w:tcPr>
            <w:tcW w:w="7083" w:type="dxa"/>
            <w:shd w:val="clear" w:color="auto" w:fill="auto"/>
            <w:vAlign w:val="center"/>
          </w:tcPr>
          <w:p w14:paraId="2458597F"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Number of investigations of deaths in police custody that are decision ready</w:t>
            </w:r>
          </w:p>
        </w:tc>
        <w:tc>
          <w:tcPr>
            <w:tcW w:w="1843" w:type="dxa"/>
            <w:shd w:val="clear" w:color="auto" w:fill="auto"/>
            <w:vAlign w:val="center"/>
          </w:tcPr>
          <w:p w14:paraId="6C6E2C42"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150</w:t>
            </w:r>
          </w:p>
        </w:tc>
      </w:tr>
      <w:tr w:rsidR="00C64784" w:rsidRPr="00A10AC4" w14:paraId="051BE2ED" w14:textId="77777777" w:rsidTr="00B71EE2">
        <w:tc>
          <w:tcPr>
            <w:tcW w:w="7083" w:type="dxa"/>
            <w:shd w:val="clear" w:color="auto" w:fill="auto"/>
            <w:vAlign w:val="center"/>
          </w:tcPr>
          <w:p w14:paraId="242522E0"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Number of investigations of death as a result of police action that are decision ready</w:t>
            </w:r>
          </w:p>
        </w:tc>
        <w:tc>
          <w:tcPr>
            <w:tcW w:w="1843" w:type="dxa"/>
            <w:shd w:val="clear" w:color="auto" w:fill="auto"/>
            <w:vAlign w:val="center"/>
          </w:tcPr>
          <w:p w14:paraId="3FB7B15C"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130</w:t>
            </w:r>
          </w:p>
        </w:tc>
      </w:tr>
      <w:tr w:rsidR="00C64784" w:rsidRPr="00A10AC4" w14:paraId="239680D2" w14:textId="77777777" w:rsidTr="00B71EE2">
        <w:tc>
          <w:tcPr>
            <w:tcW w:w="7083" w:type="dxa"/>
            <w:shd w:val="clear" w:color="auto" w:fill="auto"/>
            <w:vAlign w:val="center"/>
          </w:tcPr>
          <w:p w14:paraId="19DD6309"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Number of cases for investigation of the discharge of an official firearm by a police officer that are decision ready</w:t>
            </w:r>
          </w:p>
        </w:tc>
        <w:tc>
          <w:tcPr>
            <w:tcW w:w="1843" w:type="dxa"/>
            <w:shd w:val="clear" w:color="auto" w:fill="auto"/>
            <w:vAlign w:val="center"/>
          </w:tcPr>
          <w:p w14:paraId="5D2D07F1"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150</w:t>
            </w:r>
          </w:p>
        </w:tc>
      </w:tr>
      <w:tr w:rsidR="00C64784" w:rsidRPr="00A10AC4" w14:paraId="0125534D" w14:textId="77777777" w:rsidTr="00B71EE2">
        <w:tc>
          <w:tcPr>
            <w:tcW w:w="7083" w:type="dxa"/>
            <w:shd w:val="clear" w:color="auto" w:fill="auto"/>
            <w:vAlign w:val="center"/>
          </w:tcPr>
          <w:p w14:paraId="5FD8AAB7"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Number of investigations of rape by a police officer that are decision ready</w:t>
            </w:r>
          </w:p>
        </w:tc>
        <w:tc>
          <w:tcPr>
            <w:tcW w:w="1843" w:type="dxa"/>
            <w:shd w:val="clear" w:color="auto" w:fill="auto"/>
            <w:vAlign w:val="center"/>
          </w:tcPr>
          <w:p w14:paraId="161A11B0"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69</w:t>
            </w:r>
          </w:p>
        </w:tc>
      </w:tr>
      <w:tr w:rsidR="00C64784" w:rsidRPr="00A10AC4" w14:paraId="44B74C45" w14:textId="77777777" w:rsidTr="00B71EE2">
        <w:tc>
          <w:tcPr>
            <w:tcW w:w="7083" w:type="dxa"/>
            <w:shd w:val="clear" w:color="auto" w:fill="auto"/>
            <w:vAlign w:val="center"/>
          </w:tcPr>
          <w:p w14:paraId="0FF95398"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Number of investigations of rape while in police custody that are decision ready</w:t>
            </w:r>
          </w:p>
        </w:tc>
        <w:tc>
          <w:tcPr>
            <w:tcW w:w="1843" w:type="dxa"/>
            <w:shd w:val="clear" w:color="auto" w:fill="auto"/>
            <w:vAlign w:val="center"/>
          </w:tcPr>
          <w:p w14:paraId="6B089E8C"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10</w:t>
            </w:r>
          </w:p>
        </w:tc>
      </w:tr>
      <w:tr w:rsidR="00C64784" w:rsidRPr="00A10AC4" w14:paraId="15B0E598" w14:textId="77777777" w:rsidTr="00B71EE2">
        <w:tc>
          <w:tcPr>
            <w:tcW w:w="7083" w:type="dxa"/>
            <w:shd w:val="clear" w:color="auto" w:fill="auto"/>
            <w:vAlign w:val="center"/>
          </w:tcPr>
          <w:p w14:paraId="46F5C869"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 xml:space="preserve">Number of investigations of torture that are decision ready </w:t>
            </w:r>
            <w:r w:rsidRPr="00A10AC4">
              <w:rPr>
                <w:rFonts w:ascii="Times New Roman" w:hAnsi="Times New Roman"/>
                <w:i/>
                <w:sz w:val="24"/>
                <w:szCs w:val="24"/>
              </w:rPr>
              <w:t>(Revised)</w:t>
            </w:r>
          </w:p>
        </w:tc>
        <w:tc>
          <w:tcPr>
            <w:tcW w:w="1843" w:type="dxa"/>
            <w:shd w:val="clear" w:color="auto" w:fill="auto"/>
            <w:vAlign w:val="center"/>
          </w:tcPr>
          <w:p w14:paraId="5E1639B6"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45</w:t>
            </w:r>
          </w:p>
        </w:tc>
      </w:tr>
      <w:tr w:rsidR="00C64784" w:rsidRPr="00A10AC4" w14:paraId="471D5966" w14:textId="77777777" w:rsidTr="00B71EE2">
        <w:tc>
          <w:tcPr>
            <w:tcW w:w="7083" w:type="dxa"/>
            <w:shd w:val="clear" w:color="auto" w:fill="auto"/>
            <w:vAlign w:val="center"/>
          </w:tcPr>
          <w:p w14:paraId="3E64AFF7"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 xml:space="preserve">Number of investigations of assault that are decision ready </w:t>
            </w:r>
            <w:r w:rsidRPr="00A10AC4">
              <w:rPr>
                <w:rFonts w:ascii="Times New Roman" w:hAnsi="Times New Roman"/>
                <w:i/>
                <w:sz w:val="24"/>
                <w:szCs w:val="24"/>
              </w:rPr>
              <w:t>(Revised)</w:t>
            </w:r>
          </w:p>
        </w:tc>
        <w:tc>
          <w:tcPr>
            <w:tcW w:w="1843" w:type="dxa"/>
            <w:shd w:val="clear" w:color="auto" w:fill="auto"/>
            <w:vAlign w:val="center"/>
          </w:tcPr>
          <w:p w14:paraId="37BF75F7"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2 000</w:t>
            </w:r>
          </w:p>
        </w:tc>
      </w:tr>
      <w:tr w:rsidR="00C64784" w:rsidRPr="00A10AC4" w14:paraId="12668677" w14:textId="77777777" w:rsidTr="00B71EE2">
        <w:tc>
          <w:tcPr>
            <w:tcW w:w="7083" w:type="dxa"/>
            <w:shd w:val="clear" w:color="auto" w:fill="auto"/>
            <w:vAlign w:val="center"/>
          </w:tcPr>
          <w:p w14:paraId="4BFB81A2"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Number of investigations of corruption that are decision ready</w:t>
            </w:r>
          </w:p>
        </w:tc>
        <w:tc>
          <w:tcPr>
            <w:tcW w:w="1843" w:type="dxa"/>
            <w:shd w:val="clear" w:color="auto" w:fill="auto"/>
            <w:vAlign w:val="center"/>
          </w:tcPr>
          <w:p w14:paraId="0AA90D0E"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60</w:t>
            </w:r>
          </w:p>
        </w:tc>
      </w:tr>
      <w:tr w:rsidR="00C64784" w:rsidRPr="00A10AC4" w14:paraId="47CA19D9" w14:textId="77777777" w:rsidTr="00B71EE2">
        <w:tc>
          <w:tcPr>
            <w:tcW w:w="7083" w:type="dxa"/>
            <w:shd w:val="clear" w:color="auto" w:fill="auto"/>
            <w:vAlign w:val="center"/>
          </w:tcPr>
          <w:p w14:paraId="02413570"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Number of investigations of other criminal and misconduct matters referred to the directorate in terms of s28(1)(h) and s35(1)(c) of the IPID Act that are decision read</w:t>
            </w:r>
          </w:p>
        </w:tc>
        <w:tc>
          <w:tcPr>
            <w:tcW w:w="1843" w:type="dxa"/>
            <w:shd w:val="clear" w:color="auto" w:fill="auto"/>
            <w:vAlign w:val="center"/>
          </w:tcPr>
          <w:p w14:paraId="1AABB1A0"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40</w:t>
            </w:r>
          </w:p>
        </w:tc>
      </w:tr>
      <w:tr w:rsidR="00C64784" w:rsidRPr="00A10AC4" w14:paraId="6B951198" w14:textId="77777777" w:rsidTr="00B71EE2">
        <w:tc>
          <w:tcPr>
            <w:tcW w:w="7083" w:type="dxa"/>
            <w:shd w:val="clear" w:color="auto" w:fill="auto"/>
            <w:vAlign w:val="center"/>
          </w:tcPr>
          <w:p w14:paraId="2F4E78B1"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 xml:space="preserve">Number of investigations of offences referred to in section 33 of the IPID Act that are decision ready </w:t>
            </w:r>
            <w:r w:rsidRPr="00A10AC4">
              <w:rPr>
                <w:rFonts w:ascii="Times New Roman" w:hAnsi="Times New Roman"/>
                <w:b/>
                <w:i/>
                <w:sz w:val="24"/>
                <w:szCs w:val="24"/>
              </w:rPr>
              <w:t>(New indicator)</w:t>
            </w:r>
          </w:p>
        </w:tc>
        <w:tc>
          <w:tcPr>
            <w:tcW w:w="1843" w:type="dxa"/>
            <w:shd w:val="clear" w:color="auto" w:fill="auto"/>
            <w:vAlign w:val="center"/>
          </w:tcPr>
          <w:p w14:paraId="7078F67D"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10</w:t>
            </w:r>
          </w:p>
        </w:tc>
      </w:tr>
      <w:tr w:rsidR="00C64784" w:rsidRPr="00A10AC4" w14:paraId="039DBDD8" w14:textId="77777777" w:rsidTr="00B71EE2">
        <w:tc>
          <w:tcPr>
            <w:tcW w:w="7083" w:type="dxa"/>
            <w:shd w:val="clear" w:color="auto" w:fill="auto"/>
            <w:vAlign w:val="center"/>
          </w:tcPr>
          <w:p w14:paraId="50D0DB8B"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 xml:space="preserve">Number of approved systemic corruption cases that are decision ready </w:t>
            </w:r>
          </w:p>
        </w:tc>
        <w:tc>
          <w:tcPr>
            <w:tcW w:w="1843" w:type="dxa"/>
            <w:shd w:val="clear" w:color="auto" w:fill="auto"/>
            <w:vAlign w:val="center"/>
          </w:tcPr>
          <w:p w14:paraId="77834FEA"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3</w:t>
            </w:r>
          </w:p>
        </w:tc>
      </w:tr>
      <w:tr w:rsidR="00C64784" w:rsidRPr="00A10AC4" w14:paraId="2E447334" w14:textId="77777777" w:rsidTr="00B71EE2">
        <w:tc>
          <w:tcPr>
            <w:tcW w:w="7083" w:type="dxa"/>
            <w:shd w:val="clear" w:color="auto" w:fill="auto"/>
            <w:vAlign w:val="center"/>
          </w:tcPr>
          <w:p w14:paraId="5588C86E"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Number of backlog decision ready cases completed (excluding cases of systemic corruption)</w:t>
            </w:r>
          </w:p>
        </w:tc>
        <w:tc>
          <w:tcPr>
            <w:tcW w:w="1843" w:type="dxa"/>
            <w:shd w:val="clear" w:color="auto" w:fill="auto"/>
            <w:vAlign w:val="center"/>
          </w:tcPr>
          <w:p w14:paraId="7B7E104E"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1 490</w:t>
            </w:r>
          </w:p>
        </w:tc>
      </w:tr>
      <w:tr w:rsidR="00C64784" w:rsidRPr="00A10AC4" w14:paraId="4EE43418" w14:textId="77777777" w:rsidTr="00B71EE2">
        <w:tc>
          <w:tcPr>
            <w:tcW w:w="7083" w:type="dxa"/>
            <w:shd w:val="clear" w:color="auto" w:fill="auto"/>
            <w:vAlign w:val="center"/>
          </w:tcPr>
          <w:p w14:paraId="130456E7"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 xml:space="preserve">Percentage of criminal recommendation reports referred to the NPA within 30 days of recommendation report being signed off </w:t>
            </w:r>
          </w:p>
        </w:tc>
        <w:tc>
          <w:tcPr>
            <w:tcW w:w="1843" w:type="dxa"/>
            <w:shd w:val="clear" w:color="auto" w:fill="auto"/>
            <w:vAlign w:val="center"/>
          </w:tcPr>
          <w:p w14:paraId="28869A8F"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90% (1 350)</w:t>
            </w:r>
          </w:p>
        </w:tc>
      </w:tr>
      <w:tr w:rsidR="00C64784" w:rsidRPr="00A10AC4" w14:paraId="4C9E5D22" w14:textId="77777777" w:rsidTr="00B71EE2">
        <w:tc>
          <w:tcPr>
            <w:tcW w:w="7083" w:type="dxa"/>
            <w:shd w:val="clear" w:color="auto" w:fill="auto"/>
            <w:vAlign w:val="center"/>
          </w:tcPr>
          <w:p w14:paraId="23AF55E3" w14:textId="77777777" w:rsidR="00C64784" w:rsidRPr="00A10AC4" w:rsidRDefault="00C64784" w:rsidP="00A10AC4">
            <w:pPr>
              <w:numPr>
                <w:ilvl w:val="0"/>
                <w:numId w:val="6"/>
              </w:numPr>
              <w:spacing w:line="276" w:lineRule="auto"/>
              <w:ind w:left="602" w:hanging="426"/>
              <w:contextualSpacing/>
              <w:jc w:val="both"/>
              <w:rPr>
                <w:rFonts w:ascii="Times New Roman" w:hAnsi="Times New Roman"/>
                <w:sz w:val="24"/>
                <w:szCs w:val="24"/>
              </w:rPr>
            </w:pPr>
            <w:r w:rsidRPr="00A10AC4">
              <w:rPr>
                <w:rFonts w:ascii="Times New Roman" w:hAnsi="Times New Roman"/>
                <w:sz w:val="24"/>
                <w:szCs w:val="24"/>
              </w:rPr>
              <w:t xml:space="preserve">Percentage of disciplinary recommendation reports referred to the SAPS or MPS within 30 days of recommendation report being signed </w:t>
            </w:r>
          </w:p>
        </w:tc>
        <w:tc>
          <w:tcPr>
            <w:tcW w:w="1843" w:type="dxa"/>
            <w:shd w:val="clear" w:color="auto" w:fill="auto"/>
            <w:vAlign w:val="center"/>
          </w:tcPr>
          <w:p w14:paraId="187E9ECA" w14:textId="77777777" w:rsidR="00C64784" w:rsidRPr="00A10AC4" w:rsidRDefault="00C64784" w:rsidP="00A10AC4">
            <w:pPr>
              <w:spacing w:line="276" w:lineRule="auto"/>
              <w:jc w:val="both"/>
              <w:rPr>
                <w:rFonts w:ascii="Times New Roman" w:hAnsi="Times New Roman"/>
                <w:sz w:val="24"/>
                <w:szCs w:val="24"/>
              </w:rPr>
            </w:pPr>
            <w:r w:rsidRPr="00A10AC4">
              <w:rPr>
                <w:rFonts w:ascii="Times New Roman" w:hAnsi="Times New Roman"/>
                <w:sz w:val="24"/>
                <w:szCs w:val="24"/>
              </w:rPr>
              <w:t>90% (1 450)</w:t>
            </w:r>
          </w:p>
        </w:tc>
      </w:tr>
    </w:tbl>
    <w:p w14:paraId="7267D291" w14:textId="77777777" w:rsidR="00C64784" w:rsidRPr="00FF25AC" w:rsidRDefault="00C64784" w:rsidP="00A10AC4">
      <w:pPr>
        <w:spacing w:after="0" w:line="276" w:lineRule="auto"/>
        <w:jc w:val="right"/>
        <w:rPr>
          <w:rFonts w:ascii="Times New Roman" w:eastAsia="Calibri" w:hAnsi="Times New Roman" w:cs="Times New Roman"/>
          <w:b/>
          <w:sz w:val="24"/>
          <w:szCs w:val="24"/>
        </w:rPr>
      </w:pPr>
      <w:r w:rsidRPr="00FF25AC">
        <w:rPr>
          <w:rFonts w:ascii="Times New Roman" w:eastAsia="Calibri" w:hAnsi="Times New Roman" w:cs="Times New Roman"/>
          <w:b/>
          <w:sz w:val="24"/>
          <w:szCs w:val="24"/>
        </w:rPr>
        <w:t>Source: IPID 2019/20 APP</w:t>
      </w:r>
    </w:p>
    <w:p w14:paraId="1405F020" w14:textId="77777777" w:rsidR="00C64784" w:rsidRPr="00A10AC4" w:rsidRDefault="00C64784" w:rsidP="00A10AC4">
      <w:pPr>
        <w:spacing w:after="0" w:line="276" w:lineRule="auto"/>
        <w:jc w:val="both"/>
        <w:rPr>
          <w:rFonts w:ascii="Times New Roman" w:eastAsia="Calibri" w:hAnsi="Times New Roman" w:cs="Times New Roman"/>
          <w:sz w:val="24"/>
          <w:szCs w:val="24"/>
        </w:rPr>
      </w:pPr>
    </w:p>
    <w:p w14:paraId="42D9C162" w14:textId="77777777" w:rsidR="0027192A" w:rsidRPr="00A10AC4" w:rsidRDefault="00C64784" w:rsidP="00A10AC4">
      <w:pPr>
        <w:spacing w:after="0" w:line="276" w:lineRule="auto"/>
        <w:jc w:val="both"/>
        <w:rPr>
          <w:rFonts w:ascii="Times New Roman" w:eastAsia="Calibri" w:hAnsi="Times New Roman" w:cs="Times New Roman"/>
          <w:sz w:val="24"/>
          <w:szCs w:val="24"/>
        </w:rPr>
      </w:pPr>
      <w:r w:rsidRPr="00A10AC4">
        <w:rPr>
          <w:rFonts w:ascii="Times New Roman" w:eastAsia="Calibri" w:hAnsi="Times New Roman" w:cs="Times New Roman"/>
          <w:sz w:val="24"/>
          <w:szCs w:val="24"/>
        </w:rPr>
        <w:t xml:space="preserve">The inclusion of a new indicator to measure performance on investigations of offences referred to in section 33 of the IPID Act that are decision ready is a positive change. It will assist in the strengthening of Chapter 7 of the IPID Act, 2011 (especially section 29) that prescribes that the SAPS and MPS must provide cooperation in the investigation of IPID cases and prohibits any interference with such investigations. Section 33 of the IPID Act, 2011 pronounces these as offences and states the penalties associated. Even though the target is to have 10 cases decision-ready, a prosecution on even one case will have a significant benefit </w:t>
      </w:r>
      <w:r w:rsidR="00F855FE" w:rsidRPr="00A10AC4">
        <w:rPr>
          <w:rFonts w:ascii="Times New Roman" w:eastAsia="Calibri" w:hAnsi="Times New Roman" w:cs="Times New Roman"/>
          <w:sz w:val="24"/>
          <w:szCs w:val="24"/>
        </w:rPr>
        <w:t xml:space="preserve">to the legitimacy of the IPID. </w:t>
      </w:r>
    </w:p>
    <w:p w14:paraId="36DCAA90" w14:textId="77777777" w:rsidR="005F5088" w:rsidRPr="00A10AC4" w:rsidRDefault="005F5088" w:rsidP="00A10AC4">
      <w:pPr>
        <w:spacing w:after="0" w:line="276" w:lineRule="auto"/>
        <w:jc w:val="both"/>
        <w:rPr>
          <w:rFonts w:ascii="Times New Roman" w:eastAsia="Calibri" w:hAnsi="Times New Roman" w:cs="Times New Roman"/>
          <w:sz w:val="24"/>
          <w:szCs w:val="24"/>
        </w:rPr>
      </w:pPr>
    </w:p>
    <w:p w14:paraId="4A88279C" w14:textId="77777777" w:rsidR="00C64784" w:rsidRPr="00A10AC4" w:rsidRDefault="00BF6A8D" w:rsidP="00A10AC4">
      <w:pPr>
        <w:spacing w:line="276" w:lineRule="auto"/>
        <w:jc w:val="both"/>
        <w:rPr>
          <w:rFonts w:ascii="Times New Roman" w:hAnsi="Times New Roman" w:cs="Times New Roman"/>
          <w:sz w:val="24"/>
          <w:szCs w:val="24"/>
        </w:rPr>
      </w:pPr>
      <w:r w:rsidRPr="00A10AC4">
        <w:rPr>
          <w:rFonts w:ascii="Times New Roman" w:hAnsi="Times New Roman" w:cs="Times New Roman"/>
          <w:b/>
          <w:sz w:val="24"/>
          <w:szCs w:val="24"/>
        </w:rPr>
        <w:t>3.</w:t>
      </w:r>
      <w:r w:rsidR="00C64784" w:rsidRPr="00A10AC4">
        <w:rPr>
          <w:rFonts w:ascii="Times New Roman" w:hAnsi="Times New Roman" w:cs="Times New Roman"/>
          <w:b/>
          <w:sz w:val="24"/>
          <w:szCs w:val="24"/>
        </w:rPr>
        <w:t>3</w:t>
      </w:r>
      <w:r w:rsidR="00C64784" w:rsidRPr="00A10AC4">
        <w:rPr>
          <w:rFonts w:ascii="Times New Roman" w:hAnsi="Times New Roman" w:cs="Times New Roman"/>
          <w:sz w:val="24"/>
          <w:szCs w:val="24"/>
        </w:rPr>
        <w:t>.</w:t>
      </w:r>
      <w:r w:rsidR="00C64784" w:rsidRPr="00A10AC4">
        <w:rPr>
          <w:rFonts w:ascii="Times New Roman" w:hAnsi="Times New Roman" w:cs="Times New Roman"/>
          <w:sz w:val="24"/>
          <w:szCs w:val="24"/>
        </w:rPr>
        <w:tab/>
      </w:r>
      <w:r w:rsidR="00C64784" w:rsidRPr="00A10AC4">
        <w:rPr>
          <w:rFonts w:ascii="Times New Roman" w:hAnsi="Times New Roman" w:cs="Times New Roman"/>
          <w:b/>
          <w:sz w:val="24"/>
          <w:szCs w:val="24"/>
        </w:rPr>
        <w:t>Programme 3: Legal and Advisory Services</w:t>
      </w:r>
      <w:r w:rsidR="00C64784" w:rsidRPr="00A10AC4">
        <w:rPr>
          <w:rFonts w:ascii="Times New Roman" w:hAnsi="Times New Roman" w:cs="Times New Roman"/>
          <w:sz w:val="24"/>
          <w:szCs w:val="24"/>
        </w:rPr>
        <w:t xml:space="preserve"> </w:t>
      </w:r>
    </w:p>
    <w:p w14:paraId="64646895" w14:textId="77777777" w:rsidR="00C64784" w:rsidRPr="00A10AC4" w:rsidRDefault="00C64784"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The purpose of the Programme is to manage and facilitate the provision of investigation advisory services and provide leg</w:t>
      </w:r>
      <w:r w:rsidR="00DA72C3" w:rsidRPr="00A10AC4">
        <w:rPr>
          <w:rFonts w:ascii="Times New Roman" w:hAnsi="Times New Roman" w:cs="Times New Roman"/>
          <w:sz w:val="24"/>
          <w:szCs w:val="24"/>
        </w:rPr>
        <w:t>al, civil and labour litigation</w:t>
      </w:r>
      <w:r w:rsidRPr="00A10AC4">
        <w:rPr>
          <w:rFonts w:ascii="Times New Roman" w:hAnsi="Times New Roman" w:cs="Times New Roman"/>
          <w:sz w:val="24"/>
          <w:szCs w:val="24"/>
        </w:rPr>
        <w:t xml:space="preserve"> services. The programme consists of the following three sub-programmes:</w:t>
      </w:r>
    </w:p>
    <w:p w14:paraId="7B0CFEF5" w14:textId="77777777" w:rsidR="00C64784" w:rsidRPr="00A10AC4" w:rsidRDefault="00C64784"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w:t>
      </w:r>
      <w:r w:rsidRPr="00A10AC4">
        <w:rPr>
          <w:rFonts w:ascii="Times New Roman" w:hAnsi="Times New Roman" w:cs="Times New Roman"/>
          <w:sz w:val="24"/>
          <w:szCs w:val="24"/>
        </w:rPr>
        <w:tab/>
        <w:t xml:space="preserve">Legal Support and Administration: The sub-programme manages the Directorate’s legal obligations by </w:t>
      </w:r>
      <w:r w:rsidR="00E21DBE" w:rsidRPr="00A10AC4">
        <w:rPr>
          <w:rFonts w:ascii="Times New Roman" w:hAnsi="Times New Roman" w:cs="Times New Roman"/>
          <w:sz w:val="24"/>
          <w:szCs w:val="24"/>
        </w:rPr>
        <w:t>developing, maintaining systems, procedures and standards to assist, guide,</w:t>
      </w:r>
      <w:r w:rsidRPr="00A10AC4">
        <w:rPr>
          <w:rFonts w:ascii="Times New Roman" w:hAnsi="Times New Roman" w:cs="Times New Roman"/>
          <w:sz w:val="24"/>
          <w:szCs w:val="24"/>
        </w:rPr>
        <w:t xml:space="preserve"> and direct legal support within the Directorate. </w:t>
      </w:r>
    </w:p>
    <w:p w14:paraId="3C9DED3F" w14:textId="77777777" w:rsidR="00C64784" w:rsidRPr="00A10AC4" w:rsidRDefault="00C64784"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w:t>
      </w:r>
      <w:r w:rsidRPr="00A10AC4">
        <w:rPr>
          <w:rFonts w:ascii="Times New Roman" w:hAnsi="Times New Roman" w:cs="Times New Roman"/>
          <w:sz w:val="24"/>
          <w:szCs w:val="24"/>
        </w:rPr>
        <w:tab/>
        <w:t>Litigation Advisory Services: The sub-programme coordinates civil and labour litigation, and grants policing powers. Other key activities and outputs include finalising contracts and service level agreements.</w:t>
      </w:r>
    </w:p>
    <w:p w14:paraId="11A367A0" w14:textId="77777777" w:rsidR="00C64784" w:rsidRPr="00A10AC4" w:rsidRDefault="00C64784"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The allocation of the Legal and Investigation Advisory Services Programme increased substantially in 2019/20 when compared to the previous financial year. In 2018/19, the Programme was allocated R5.8 million, which increased to R7.5 million in 2019/20 (29.3% nominal increase). This is mainly due to capacity constraints in the Legal and Investigation Advisory Services Programme. Despite these constraints, recruitment and capacity building will be focussed on the appointing Investigators in the Investigation and Information Management Programme (Programme 2) during 2019/20.</w:t>
      </w:r>
    </w:p>
    <w:p w14:paraId="44CB2184" w14:textId="77777777" w:rsidR="00BF6A8D" w:rsidRPr="00A10AC4" w:rsidRDefault="009B71FF"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The table below summarises the programme performance indicators and targets of the Legal and Advisory Services Programme:</w:t>
      </w:r>
    </w:p>
    <w:p w14:paraId="3FD1AE3A" w14:textId="77777777" w:rsidR="009B71FF" w:rsidRPr="00A10AC4" w:rsidRDefault="009B71FF" w:rsidP="00A10AC4">
      <w:pPr>
        <w:spacing w:after="0" w:line="276" w:lineRule="auto"/>
        <w:jc w:val="both"/>
        <w:rPr>
          <w:rFonts w:ascii="Times New Roman" w:eastAsia="Calibri" w:hAnsi="Times New Roman" w:cs="Times New Roman"/>
          <w:b/>
          <w:sz w:val="24"/>
          <w:szCs w:val="24"/>
        </w:rPr>
      </w:pPr>
      <w:r w:rsidRPr="00A10AC4">
        <w:rPr>
          <w:rFonts w:ascii="Times New Roman" w:eastAsia="Calibri" w:hAnsi="Times New Roman" w:cs="Times New Roman"/>
          <w:b/>
          <w:sz w:val="24"/>
          <w:szCs w:val="24"/>
        </w:rPr>
        <w:t xml:space="preserve">Table 4: Programme Performance Indicators and Targets: </w:t>
      </w:r>
      <w:r w:rsidRPr="00A10AC4">
        <w:rPr>
          <w:rFonts w:ascii="Times New Roman" w:eastAsia="Calibri" w:hAnsi="Times New Roman" w:cs="Times New Roman"/>
          <w:b/>
          <w:sz w:val="24"/>
          <w:szCs w:val="24"/>
          <w:lang w:eastAsia="en-ZA"/>
        </w:rPr>
        <w:t>Legal Services</w:t>
      </w:r>
    </w:p>
    <w:tbl>
      <w:tblPr>
        <w:tblStyle w:val="TableGrid2"/>
        <w:tblW w:w="9067" w:type="dxa"/>
        <w:tblLook w:val="04A0" w:firstRow="1" w:lastRow="0" w:firstColumn="1" w:lastColumn="0" w:noHBand="0" w:noVBand="1"/>
      </w:tblPr>
      <w:tblGrid>
        <w:gridCol w:w="7083"/>
        <w:gridCol w:w="1984"/>
      </w:tblGrid>
      <w:tr w:rsidR="009B71FF" w:rsidRPr="00A10AC4" w14:paraId="660D7755" w14:textId="77777777" w:rsidTr="00B71EE2">
        <w:trPr>
          <w:tblHeader/>
        </w:trPr>
        <w:tc>
          <w:tcPr>
            <w:tcW w:w="7083" w:type="dxa"/>
            <w:shd w:val="clear" w:color="auto" w:fill="F2F2F2" w:themeFill="background1" w:themeFillShade="F2"/>
            <w:vAlign w:val="center"/>
          </w:tcPr>
          <w:p w14:paraId="6A15C8C6" w14:textId="77777777" w:rsidR="009B71FF" w:rsidRPr="00A10AC4" w:rsidRDefault="009B71FF" w:rsidP="00A10AC4">
            <w:pPr>
              <w:spacing w:line="276" w:lineRule="auto"/>
              <w:jc w:val="both"/>
              <w:rPr>
                <w:rFonts w:ascii="Times New Roman" w:hAnsi="Times New Roman"/>
                <w:b/>
                <w:sz w:val="24"/>
                <w:szCs w:val="24"/>
              </w:rPr>
            </w:pPr>
            <w:r w:rsidRPr="00A10AC4">
              <w:rPr>
                <w:rFonts w:ascii="Times New Roman" w:hAnsi="Times New Roman"/>
                <w:b/>
                <w:sz w:val="24"/>
                <w:szCs w:val="24"/>
              </w:rPr>
              <w:t xml:space="preserve">Strategic objectives and Annual Targets </w:t>
            </w:r>
          </w:p>
        </w:tc>
        <w:tc>
          <w:tcPr>
            <w:tcW w:w="1984" w:type="dxa"/>
            <w:shd w:val="clear" w:color="auto" w:fill="F2F2F2" w:themeFill="background1" w:themeFillShade="F2"/>
            <w:vAlign w:val="center"/>
          </w:tcPr>
          <w:p w14:paraId="60C44EBC" w14:textId="77777777" w:rsidR="009B71FF" w:rsidRPr="00A10AC4" w:rsidRDefault="009B71FF" w:rsidP="00A10AC4">
            <w:pPr>
              <w:spacing w:line="276" w:lineRule="auto"/>
              <w:jc w:val="both"/>
              <w:rPr>
                <w:rFonts w:ascii="Times New Roman" w:hAnsi="Times New Roman"/>
                <w:b/>
                <w:sz w:val="24"/>
                <w:szCs w:val="24"/>
              </w:rPr>
            </w:pPr>
            <w:r w:rsidRPr="00A10AC4">
              <w:rPr>
                <w:rFonts w:ascii="Times New Roman" w:hAnsi="Times New Roman"/>
                <w:b/>
                <w:sz w:val="24"/>
                <w:szCs w:val="24"/>
              </w:rPr>
              <w:t>2019/20</w:t>
            </w:r>
          </w:p>
        </w:tc>
      </w:tr>
      <w:tr w:rsidR="009B71FF" w:rsidRPr="00A10AC4" w14:paraId="067A19E4" w14:textId="77777777" w:rsidTr="00B71EE2">
        <w:trPr>
          <w:tblHeader/>
        </w:trPr>
        <w:tc>
          <w:tcPr>
            <w:tcW w:w="7083" w:type="dxa"/>
            <w:shd w:val="clear" w:color="auto" w:fill="auto"/>
            <w:vAlign w:val="center"/>
          </w:tcPr>
          <w:p w14:paraId="2DA7ED71" w14:textId="77777777" w:rsidR="009B71FF" w:rsidRPr="00A10AC4" w:rsidRDefault="009B71FF" w:rsidP="00A10AC4">
            <w:pPr>
              <w:autoSpaceDE w:val="0"/>
              <w:autoSpaceDN w:val="0"/>
              <w:adjustRightInd w:val="0"/>
              <w:spacing w:line="276" w:lineRule="auto"/>
              <w:jc w:val="both"/>
              <w:rPr>
                <w:rFonts w:ascii="Times New Roman" w:hAnsi="Times New Roman"/>
                <w:b/>
                <w:sz w:val="24"/>
                <w:szCs w:val="24"/>
              </w:rPr>
            </w:pPr>
            <w:r w:rsidRPr="00A10AC4">
              <w:rPr>
                <w:rFonts w:ascii="Times New Roman" w:hAnsi="Times New Roman"/>
                <w:b/>
                <w:sz w:val="24"/>
                <w:szCs w:val="24"/>
              </w:rPr>
              <w:t>Strategic Objective: To provide investigation advisory services to investigators to ensure quality investigations</w:t>
            </w:r>
          </w:p>
        </w:tc>
        <w:tc>
          <w:tcPr>
            <w:tcW w:w="1984" w:type="dxa"/>
            <w:shd w:val="clear" w:color="auto" w:fill="auto"/>
            <w:vAlign w:val="center"/>
          </w:tcPr>
          <w:p w14:paraId="1E4CE1AB" w14:textId="77777777" w:rsidR="009B71FF" w:rsidRPr="00A10AC4" w:rsidRDefault="009B71FF" w:rsidP="00A10AC4">
            <w:pPr>
              <w:spacing w:line="276" w:lineRule="auto"/>
              <w:jc w:val="both"/>
              <w:rPr>
                <w:rFonts w:ascii="Times New Roman" w:hAnsi="Times New Roman"/>
                <w:b/>
                <w:sz w:val="24"/>
                <w:szCs w:val="24"/>
              </w:rPr>
            </w:pPr>
          </w:p>
        </w:tc>
      </w:tr>
      <w:tr w:rsidR="009B71FF" w:rsidRPr="00A10AC4" w14:paraId="4698EFBB" w14:textId="77777777" w:rsidTr="00B71EE2">
        <w:trPr>
          <w:tblHeader/>
        </w:trPr>
        <w:tc>
          <w:tcPr>
            <w:tcW w:w="7083" w:type="dxa"/>
            <w:shd w:val="clear" w:color="auto" w:fill="auto"/>
            <w:vAlign w:val="center"/>
          </w:tcPr>
          <w:p w14:paraId="153FFF38" w14:textId="77777777" w:rsidR="009B71FF" w:rsidRPr="00A10AC4" w:rsidRDefault="009B71FF" w:rsidP="00A10AC4">
            <w:pPr>
              <w:numPr>
                <w:ilvl w:val="0"/>
                <w:numId w:val="5"/>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 xml:space="preserve">Percentage of legal advice provided to investigators before and after investigations </w:t>
            </w:r>
          </w:p>
        </w:tc>
        <w:tc>
          <w:tcPr>
            <w:tcW w:w="1984" w:type="dxa"/>
            <w:shd w:val="clear" w:color="auto" w:fill="auto"/>
            <w:vAlign w:val="center"/>
          </w:tcPr>
          <w:p w14:paraId="532ED472"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 xml:space="preserve">90% </w:t>
            </w:r>
          </w:p>
        </w:tc>
      </w:tr>
      <w:tr w:rsidR="009B71FF" w:rsidRPr="00A10AC4" w14:paraId="24C50A7E" w14:textId="77777777" w:rsidTr="00B71EE2">
        <w:trPr>
          <w:tblHeader/>
        </w:trPr>
        <w:tc>
          <w:tcPr>
            <w:tcW w:w="7083" w:type="dxa"/>
            <w:shd w:val="clear" w:color="auto" w:fill="auto"/>
            <w:vAlign w:val="center"/>
          </w:tcPr>
          <w:p w14:paraId="7431BC5C" w14:textId="77777777" w:rsidR="009B71FF" w:rsidRPr="00A10AC4" w:rsidRDefault="009B71FF" w:rsidP="00A10AC4">
            <w:pPr>
              <w:spacing w:line="276" w:lineRule="auto"/>
              <w:jc w:val="both"/>
              <w:rPr>
                <w:rFonts w:ascii="Times New Roman" w:hAnsi="Times New Roman"/>
                <w:b/>
                <w:sz w:val="24"/>
                <w:szCs w:val="24"/>
              </w:rPr>
            </w:pPr>
            <w:r w:rsidRPr="00A10AC4">
              <w:rPr>
                <w:rFonts w:ascii="Times New Roman" w:hAnsi="Times New Roman"/>
                <w:b/>
                <w:sz w:val="24"/>
                <w:szCs w:val="24"/>
              </w:rPr>
              <w:t>Performance Indicator</w:t>
            </w:r>
          </w:p>
        </w:tc>
        <w:tc>
          <w:tcPr>
            <w:tcW w:w="1984" w:type="dxa"/>
            <w:shd w:val="clear" w:color="auto" w:fill="auto"/>
            <w:vAlign w:val="center"/>
          </w:tcPr>
          <w:p w14:paraId="3314170D" w14:textId="77777777" w:rsidR="009B71FF" w:rsidRPr="00A10AC4" w:rsidRDefault="009B71FF" w:rsidP="00A10AC4">
            <w:pPr>
              <w:spacing w:line="276" w:lineRule="auto"/>
              <w:jc w:val="both"/>
              <w:rPr>
                <w:rFonts w:ascii="Times New Roman" w:hAnsi="Times New Roman"/>
                <w:b/>
                <w:sz w:val="24"/>
                <w:szCs w:val="24"/>
              </w:rPr>
            </w:pPr>
          </w:p>
        </w:tc>
      </w:tr>
      <w:tr w:rsidR="009B71FF" w:rsidRPr="00A10AC4" w14:paraId="70F5F2BD" w14:textId="77777777" w:rsidTr="00B71EE2">
        <w:tc>
          <w:tcPr>
            <w:tcW w:w="7083" w:type="dxa"/>
            <w:vAlign w:val="center"/>
          </w:tcPr>
          <w:p w14:paraId="3630432A" w14:textId="77777777" w:rsidR="009B71FF" w:rsidRPr="00A10AC4" w:rsidRDefault="009B71FF" w:rsidP="00A10AC4">
            <w:pPr>
              <w:numPr>
                <w:ilvl w:val="0"/>
                <w:numId w:val="7"/>
              </w:numPr>
              <w:autoSpaceDE w:val="0"/>
              <w:autoSpaceDN w:val="0"/>
              <w:adjustRightInd w:val="0"/>
              <w:spacing w:line="276" w:lineRule="auto"/>
              <w:ind w:left="459" w:hanging="283"/>
              <w:contextualSpacing/>
              <w:jc w:val="both"/>
              <w:rPr>
                <w:rFonts w:ascii="Times New Roman" w:hAnsi="Times New Roman"/>
                <w:sz w:val="24"/>
                <w:szCs w:val="24"/>
              </w:rPr>
            </w:pPr>
            <w:r w:rsidRPr="00A10AC4">
              <w:rPr>
                <w:rFonts w:ascii="Times New Roman" w:hAnsi="Times New Roman"/>
                <w:sz w:val="24"/>
                <w:szCs w:val="24"/>
              </w:rPr>
              <w:t xml:space="preserve">Percentage of legal advice provided to the department on litigation matters within 12 working days of receipt of the action or application </w:t>
            </w:r>
            <w:r w:rsidRPr="00A10AC4">
              <w:rPr>
                <w:rFonts w:ascii="Times New Roman" w:hAnsi="Times New Roman"/>
                <w:b/>
                <w:i/>
                <w:sz w:val="24"/>
                <w:szCs w:val="24"/>
              </w:rPr>
              <w:t>(New indicator)</w:t>
            </w:r>
          </w:p>
        </w:tc>
        <w:tc>
          <w:tcPr>
            <w:tcW w:w="1984" w:type="dxa"/>
            <w:vAlign w:val="center"/>
          </w:tcPr>
          <w:p w14:paraId="748D6F5B"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100% (6)</w:t>
            </w:r>
          </w:p>
        </w:tc>
      </w:tr>
    </w:tbl>
    <w:tbl>
      <w:tblPr>
        <w:tblStyle w:val="TableGrid3"/>
        <w:tblW w:w="9067" w:type="dxa"/>
        <w:tblLook w:val="04A0" w:firstRow="1" w:lastRow="0" w:firstColumn="1" w:lastColumn="0" w:noHBand="0" w:noVBand="1"/>
      </w:tblPr>
      <w:tblGrid>
        <w:gridCol w:w="7083"/>
        <w:gridCol w:w="1984"/>
      </w:tblGrid>
      <w:tr w:rsidR="009B71FF" w:rsidRPr="00A10AC4" w14:paraId="35988940" w14:textId="77777777" w:rsidTr="00B71EE2">
        <w:tc>
          <w:tcPr>
            <w:tcW w:w="7083" w:type="dxa"/>
            <w:vAlign w:val="center"/>
          </w:tcPr>
          <w:p w14:paraId="266E2018" w14:textId="77777777" w:rsidR="009B71FF" w:rsidRPr="00A10AC4" w:rsidRDefault="009B71FF" w:rsidP="00A10AC4">
            <w:pPr>
              <w:numPr>
                <w:ilvl w:val="0"/>
                <w:numId w:val="8"/>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Percentage of written legal advice provided to the Department within 30 working days of the request</w:t>
            </w:r>
          </w:p>
        </w:tc>
        <w:tc>
          <w:tcPr>
            <w:tcW w:w="1984" w:type="dxa"/>
            <w:vAlign w:val="center"/>
          </w:tcPr>
          <w:p w14:paraId="69D1EDB1"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70% (8)</w:t>
            </w:r>
          </w:p>
        </w:tc>
      </w:tr>
      <w:tr w:rsidR="009B71FF" w:rsidRPr="00A10AC4" w14:paraId="4E8F14E6" w14:textId="77777777" w:rsidTr="00B71EE2">
        <w:tc>
          <w:tcPr>
            <w:tcW w:w="7083" w:type="dxa"/>
            <w:vAlign w:val="center"/>
          </w:tcPr>
          <w:p w14:paraId="37D62FF2" w14:textId="77777777" w:rsidR="009B71FF" w:rsidRPr="00A10AC4" w:rsidRDefault="009B71FF" w:rsidP="00A10AC4">
            <w:pPr>
              <w:numPr>
                <w:ilvl w:val="0"/>
                <w:numId w:val="8"/>
              </w:numPr>
              <w:autoSpaceDE w:val="0"/>
              <w:autoSpaceDN w:val="0"/>
              <w:adjustRightInd w:val="0"/>
              <w:spacing w:line="276" w:lineRule="auto"/>
              <w:ind w:left="459" w:hanging="283"/>
              <w:contextualSpacing/>
              <w:jc w:val="both"/>
              <w:rPr>
                <w:rFonts w:ascii="Times New Roman" w:hAnsi="Times New Roman"/>
                <w:sz w:val="24"/>
                <w:szCs w:val="24"/>
              </w:rPr>
            </w:pPr>
            <w:r w:rsidRPr="00A10AC4">
              <w:rPr>
                <w:rFonts w:ascii="Times New Roman" w:hAnsi="Times New Roman"/>
                <w:sz w:val="24"/>
                <w:szCs w:val="24"/>
              </w:rPr>
              <w:t>Percentage of written legal advice provided to investigators within 24 hours of request</w:t>
            </w:r>
          </w:p>
        </w:tc>
        <w:tc>
          <w:tcPr>
            <w:tcW w:w="1984" w:type="dxa"/>
            <w:vAlign w:val="center"/>
          </w:tcPr>
          <w:p w14:paraId="2EFA2CA2"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90% (2)</w:t>
            </w:r>
          </w:p>
        </w:tc>
      </w:tr>
      <w:tr w:rsidR="009B71FF" w:rsidRPr="00A10AC4" w14:paraId="48457DF8" w14:textId="77777777" w:rsidTr="00B71EE2">
        <w:tc>
          <w:tcPr>
            <w:tcW w:w="7083" w:type="dxa"/>
            <w:vAlign w:val="center"/>
          </w:tcPr>
          <w:p w14:paraId="6221916C" w14:textId="77777777" w:rsidR="009B71FF" w:rsidRPr="00A10AC4" w:rsidRDefault="009B71FF" w:rsidP="00A10AC4">
            <w:pPr>
              <w:numPr>
                <w:ilvl w:val="0"/>
                <w:numId w:val="8"/>
              </w:numPr>
              <w:autoSpaceDE w:val="0"/>
              <w:autoSpaceDN w:val="0"/>
              <w:adjustRightInd w:val="0"/>
              <w:spacing w:line="276" w:lineRule="auto"/>
              <w:ind w:left="459" w:hanging="283"/>
              <w:contextualSpacing/>
              <w:jc w:val="both"/>
              <w:rPr>
                <w:rFonts w:ascii="Times New Roman" w:hAnsi="Times New Roman"/>
                <w:sz w:val="24"/>
                <w:szCs w:val="24"/>
              </w:rPr>
            </w:pPr>
            <w:r w:rsidRPr="00A10AC4">
              <w:rPr>
                <w:rFonts w:ascii="Times New Roman" w:hAnsi="Times New Roman"/>
                <w:sz w:val="24"/>
                <w:szCs w:val="24"/>
              </w:rPr>
              <w:t>Percentage of written legal advice provided to investigators within 2 working days of request</w:t>
            </w:r>
          </w:p>
        </w:tc>
        <w:tc>
          <w:tcPr>
            <w:tcW w:w="1984" w:type="dxa"/>
            <w:vAlign w:val="center"/>
          </w:tcPr>
          <w:p w14:paraId="3CD4BC38"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90% (5)</w:t>
            </w:r>
          </w:p>
        </w:tc>
      </w:tr>
      <w:tr w:rsidR="009B71FF" w:rsidRPr="00A10AC4" w14:paraId="12A39578" w14:textId="77777777" w:rsidTr="00B71EE2">
        <w:tc>
          <w:tcPr>
            <w:tcW w:w="7083" w:type="dxa"/>
            <w:vAlign w:val="center"/>
          </w:tcPr>
          <w:p w14:paraId="2CFE73D4" w14:textId="77777777" w:rsidR="009B71FF" w:rsidRPr="00A10AC4" w:rsidRDefault="009B71FF" w:rsidP="00A10AC4">
            <w:pPr>
              <w:numPr>
                <w:ilvl w:val="0"/>
                <w:numId w:val="8"/>
              </w:numPr>
              <w:autoSpaceDE w:val="0"/>
              <w:autoSpaceDN w:val="0"/>
              <w:adjustRightInd w:val="0"/>
              <w:spacing w:line="276" w:lineRule="auto"/>
              <w:ind w:left="459" w:hanging="283"/>
              <w:contextualSpacing/>
              <w:jc w:val="both"/>
              <w:rPr>
                <w:rFonts w:ascii="Times New Roman" w:hAnsi="Times New Roman"/>
                <w:sz w:val="24"/>
                <w:szCs w:val="24"/>
              </w:rPr>
            </w:pPr>
            <w:r w:rsidRPr="00A10AC4">
              <w:rPr>
                <w:rFonts w:ascii="Times New Roman" w:hAnsi="Times New Roman"/>
                <w:sz w:val="24"/>
                <w:szCs w:val="24"/>
              </w:rPr>
              <w:t xml:space="preserve">Percentage of contracts/service level agreements finalised within 30 working days of the request per year. </w:t>
            </w:r>
          </w:p>
        </w:tc>
        <w:tc>
          <w:tcPr>
            <w:tcW w:w="1984" w:type="dxa"/>
            <w:vAlign w:val="center"/>
          </w:tcPr>
          <w:p w14:paraId="38AE5299"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1 000</w:t>
            </w:r>
          </w:p>
        </w:tc>
      </w:tr>
      <w:tr w:rsidR="009B71FF" w:rsidRPr="00A10AC4" w14:paraId="1B185DA9" w14:textId="77777777" w:rsidTr="00B71EE2">
        <w:tc>
          <w:tcPr>
            <w:tcW w:w="7083" w:type="dxa"/>
            <w:vAlign w:val="center"/>
          </w:tcPr>
          <w:p w14:paraId="28A9E6ED" w14:textId="77777777" w:rsidR="009B71FF" w:rsidRPr="00A10AC4" w:rsidRDefault="009B71FF" w:rsidP="00A10AC4">
            <w:pPr>
              <w:numPr>
                <w:ilvl w:val="0"/>
                <w:numId w:val="8"/>
              </w:numPr>
              <w:autoSpaceDE w:val="0"/>
              <w:autoSpaceDN w:val="0"/>
              <w:adjustRightInd w:val="0"/>
              <w:spacing w:line="276" w:lineRule="auto"/>
              <w:ind w:left="459" w:hanging="283"/>
              <w:contextualSpacing/>
              <w:jc w:val="both"/>
              <w:rPr>
                <w:rFonts w:ascii="Times New Roman" w:hAnsi="Times New Roman"/>
                <w:sz w:val="24"/>
                <w:szCs w:val="24"/>
              </w:rPr>
            </w:pPr>
            <w:r w:rsidRPr="00A10AC4">
              <w:rPr>
                <w:rFonts w:ascii="Times New Roman" w:hAnsi="Times New Roman"/>
                <w:sz w:val="24"/>
                <w:szCs w:val="24"/>
              </w:rPr>
              <w:t>Percentage of PAIA requests finalised within 30 days</w:t>
            </w:r>
          </w:p>
        </w:tc>
        <w:tc>
          <w:tcPr>
            <w:tcW w:w="1984" w:type="dxa"/>
            <w:vAlign w:val="center"/>
          </w:tcPr>
          <w:p w14:paraId="190CCCC5"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100% (95)</w:t>
            </w:r>
          </w:p>
        </w:tc>
      </w:tr>
      <w:tr w:rsidR="009B71FF" w:rsidRPr="00A10AC4" w14:paraId="77708421" w14:textId="77777777" w:rsidTr="00B71EE2">
        <w:tc>
          <w:tcPr>
            <w:tcW w:w="7083" w:type="dxa"/>
            <w:vAlign w:val="center"/>
          </w:tcPr>
          <w:p w14:paraId="10CDE9CC" w14:textId="77777777" w:rsidR="009B71FF" w:rsidRPr="00A10AC4" w:rsidRDefault="009B71FF" w:rsidP="00A10AC4">
            <w:pPr>
              <w:numPr>
                <w:ilvl w:val="0"/>
                <w:numId w:val="8"/>
              </w:numPr>
              <w:autoSpaceDE w:val="0"/>
              <w:autoSpaceDN w:val="0"/>
              <w:adjustRightInd w:val="0"/>
              <w:spacing w:line="276" w:lineRule="auto"/>
              <w:ind w:left="459" w:hanging="283"/>
              <w:contextualSpacing/>
              <w:jc w:val="both"/>
              <w:rPr>
                <w:rFonts w:ascii="Times New Roman" w:hAnsi="Times New Roman"/>
                <w:sz w:val="24"/>
                <w:szCs w:val="24"/>
              </w:rPr>
            </w:pPr>
            <w:r w:rsidRPr="00A10AC4">
              <w:rPr>
                <w:rFonts w:ascii="Times New Roman" w:hAnsi="Times New Roman"/>
                <w:sz w:val="24"/>
                <w:szCs w:val="24"/>
              </w:rPr>
              <w:t xml:space="preserve">Number of workshops conducted with investigators on practice notes produced per year </w:t>
            </w:r>
            <w:r w:rsidRPr="00A10AC4">
              <w:rPr>
                <w:rFonts w:ascii="Times New Roman" w:hAnsi="Times New Roman"/>
                <w:b/>
                <w:i/>
                <w:sz w:val="24"/>
                <w:szCs w:val="24"/>
              </w:rPr>
              <w:t>(New indicator)</w:t>
            </w:r>
          </w:p>
        </w:tc>
        <w:tc>
          <w:tcPr>
            <w:tcW w:w="1984" w:type="dxa"/>
            <w:vAlign w:val="center"/>
          </w:tcPr>
          <w:p w14:paraId="468F02F0"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3</w:t>
            </w:r>
          </w:p>
        </w:tc>
      </w:tr>
    </w:tbl>
    <w:p w14:paraId="3289E91D" w14:textId="77777777" w:rsidR="009B71FF" w:rsidRPr="00A10AC4" w:rsidRDefault="009B71FF" w:rsidP="00A10AC4">
      <w:pPr>
        <w:spacing w:after="0" w:line="276" w:lineRule="auto"/>
        <w:ind w:left="5040" w:firstLine="720"/>
        <w:jc w:val="both"/>
        <w:rPr>
          <w:rFonts w:ascii="Times New Roman" w:eastAsia="Calibri" w:hAnsi="Times New Roman" w:cs="Times New Roman"/>
          <w:sz w:val="24"/>
          <w:szCs w:val="24"/>
        </w:rPr>
      </w:pPr>
      <w:r w:rsidRPr="00A10AC4">
        <w:rPr>
          <w:rFonts w:ascii="Times New Roman" w:eastAsia="Calibri" w:hAnsi="Times New Roman" w:cs="Times New Roman"/>
          <w:sz w:val="24"/>
          <w:szCs w:val="24"/>
        </w:rPr>
        <w:t>Source: IPID 2019/20 APP</w:t>
      </w:r>
    </w:p>
    <w:p w14:paraId="6FC0D294" w14:textId="77777777" w:rsidR="009B71FF" w:rsidRPr="00A10AC4" w:rsidRDefault="009B71FF" w:rsidP="00A10AC4">
      <w:pPr>
        <w:spacing w:line="276" w:lineRule="auto"/>
        <w:jc w:val="both"/>
        <w:rPr>
          <w:rFonts w:ascii="Times New Roman" w:hAnsi="Times New Roman" w:cs="Times New Roman"/>
          <w:sz w:val="24"/>
          <w:szCs w:val="24"/>
        </w:rPr>
      </w:pPr>
    </w:p>
    <w:p w14:paraId="535B57D3" w14:textId="77777777" w:rsidR="009B71FF" w:rsidRPr="00A10AC4" w:rsidRDefault="00BF6A8D" w:rsidP="00A10AC4">
      <w:pPr>
        <w:spacing w:line="276" w:lineRule="auto"/>
        <w:jc w:val="both"/>
        <w:rPr>
          <w:rFonts w:ascii="Times New Roman" w:hAnsi="Times New Roman" w:cs="Times New Roman"/>
          <w:sz w:val="24"/>
          <w:szCs w:val="24"/>
        </w:rPr>
      </w:pPr>
      <w:r w:rsidRPr="00A10AC4">
        <w:rPr>
          <w:rFonts w:ascii="Times New Roman" w:hAnsi="Times New Roman" w:cs="Times New Roman"/>
          <w:b/>
          <w:sz w:val="24"/>
          <w:szCs w:val="24"/>
        </w:rPr>
        <w:t>3</w:t>
      </w:r>
      <w:r w:rsidR="009B71FF" w:rsidRPr="00A10AC4">
        <w:rPr>
          <w:rFonts w:ascii="Times New Roman" w:hAnsi="Times New Roman" w:cs="Times New Roman"/>
          <w:b/>
          <w:sz w:val="24"/>
          <w:szCs w:val="24"/>
        </w:rPr>
        <w:t>.4.</w:t>
      </w:r>
      <w:r w:rsidR="009B71FF" w:rsidRPr="00A10AC4">
        <w:rPr>
          <w:rFonts w:ascii="Times New Roman" w:hAnsi="Times New Roman" w:cs="Times New Roman"/>
          <w:b/>
          <w:sz w:val="24"/>
          <w:szCs w:val="24"/>
        </w:rPr>
        <w:tab/>
        <w:t>Programme 4: Compliance Monitoring and Stakeholder Management</w:t>
      </w:r>
      <w:r w:rsidR="009B71FF" w:rsidRPr="00A10AC4">
        <w:rPr>
          <w:rFonts w:ascii="Times New Roman" w:hAnsi="Times New Roman" w:cs="Times New Roman"/>
          <w:sz w:val="24"/>
          <w:szCs w:val="24"/>
        </w:rPr>
        <w:t xml:space="preserve"> </w:t>
      </w:r>
    </w:p>
    <w:p w14:paraId="72450E65" w14:textId="77777777" w:rsidR="009B71FF" w:rsidRPr="00A10AC4" w:rsidRDefault="009B71FF"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 xml:space="preserve">The purpose of the Compliance Monitoring and Stakeholder Management Programme is to safeguard the principles of cooperative governance and stakeholder relations. Monitor and evaluate the relevance and appropriateness of recommendations made to the South African Police Service and Municipal Police Services in terms of the Independent Police Investigative Directorate Act, 2011. The programme consists of the following two sub-programmes: </w:t>
      </w:r>
    </w:p>
    <w:p w14:paraId="5E46233D" w14:textId="77777777" w:rsidR="009B71FF" w:rsidRPr="00A10AC4" w:rsidRDefault="009B71FF" w:rsidP="00A10AC4">
      <w:pPr>
        <w:spacing w:line="276" w:lineRule="auto"/>
        <w:jc w:val="both"/>
        <w:rPr>
          <w:rFonts w:ascii="Times New Roman" w:hAnsi="Times New Roman" w:cs="Times New Roman"/>
          <w:sz w:val="24"/>
          <w:szCs w:val="24"/>
        </w:rPr>
      </w:pPr>
      <w:r w:rsidRPr="00A10AC4">
        <w:rPr>
          <w:rFonts w:ascii="Times New Roman" w:hAnsi="Times New Roman" w:cs="Times New Roman"/>
          <w:b/>
          <w:sz w:val="24"/>
          <w:szCs w:val="24"/>
        </w:rPr>
        <w:t>Compliance Monitoring:</w:t>
      </w:r>
      <w:r w:rsidRPr="00A10AC4">
        <w:rPr>
          <w:rFonts w:ascii="Times New Roman" w:hAnsi="Times New Roman" w:cs="Times New Roman"/>
          <w:sz w:val="24"/>
          <w:szCs w:val="24"/>
        </w:rPr>
        <w:t xml:space="preserve"> The Sub-programme monitors and evaluates the quality of recommendations made and responses received from on such recommendations from the South African Police Service, Municipal Police Services and National Prosecuting Authority in compliance with the reporting obligations in terms of the IPID Act, 2011. </w:t>
      </w:r>
    </w:p>
    <w:p w14:paraId="43C2C063" w14:textId="77777777" w:rsidR="009B71FF" w:rsidRPr="00A10AC4" w:rsidRDefault="009B71FF" w:rsidP="00A10AC4">
      <w:pPr>
        <w:spacing w:line="276" w:lineRule="auto"/>
        <w:jc w:val="both"/>
        <w:rPr>
          <w:rFonts w:ascii="Times New Roman" w:hAnsi="Times New Roman" w:cs="Times New Roman"/>
          <w:sz w:val="24"/>
          <w:szCs w:val="24"/>
        </w:rPr>
      </w:pPr>
      <w:r w:rsidRPr="00A10AC4">
        <w:rPr>
          <w:rFonts w:ascii="Times New Roman" w:hAnsi="Times New Roman" w:cs="Times New Roman"/>
          <w:b/>
          <w:sz w:val="24"/>
          <w:szCs w:val="24"/>
        </w:rPr>
        <w:t>Stakeholder Management:</w:t>
      </w:r>
      <w:r w:rsidRPr="00A10AC4">
        <w:rPr>
          <w:rFonts w:ascii="Times New Roman" w:hAnsi="Times New Roman" w:cs="Times New Roman"/>
          <w:sz w:val="24"/>
          <w:szCs w:val="24"/>
        </w:rPr>
        <w:t xml:space="preserve"> The Sub-programme manages relations and liaises with the Directorate’s key stakeholders such as the South African Police Serv</w:t>
      </w:r>
      <w:r w:rsidR="00B72E63" w:rsidRPr="00A10AC4">
        <w:rPr>
          <w:rFonts w:ascii="Times New Roman" w:hAnsi="Times New Roman" w:cs="Times New Roman"/>
          <w:sz w:val="24"/>
          <w:szCs w:val="24"/>
        </w:rPr>
        <w:t xml:space="preserve">ice, Municipal Police Services, </w:t>
      </w:r>
      <w:r w:rsidRPr="00A10AC4">
        <w:rPr>
          <w:rFonts w:ascii="Times New Roman" w:hAnsi="Times New Roman" w:cs="Times New Roman"/>
          <w:sz w:val="24"/>
          <w:szCs w:val="24"/>
        </w:rPr>
        <w:t>Civilian Secretariat for Police, National Prosecuting Authority, the Special Investigating Unit, the Public Protector of South Africa, the State Security Agency and civil society organisations, in line with the requirements of the IPID Act.</w:t>
      </w:r>
    </w:p>
    <w:p w14:paraId="215B7F04" w14:textId="77777777" w:rsidR="009B71FF" w:rsidRPr="00A10AC4" w:rsidRDefault="009B71FF"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The Compliance Monitoring and Stakeholder Management Programme received a main allocation of R15.6 million for the 2019/20 financial year, which is a substantial increase when compared to the previous financial year (R12.4 million). In nominal terms, the 2019/20 allocation increased by 25.81% when compared to 2018/19. The programme received 4.63% of the total Vote, which is the third largest proportion. The increased focus placed on the programme is illustrated by the slight increase in the portion of funds allocated to it as a p</w:t>
      </w:r>
      <w:r w:rsidR="00FF25AC">
        <w:rPr>
          <w:rFonts w:ascii="Times New Roman" w:hAnsi="Times New Roman" w:cs="Times New Roman"/>
          <w:sz w:val="24"/>
          <w:szCs w:val="24"/>
        </w:rPr>
        <w:t>e</w:t>
      </w:r>
      <w:r w:rsidRPr="00A10AC4">
        <w:rPr>
          <w:rFonts w:ascii="Times New Roman" w:hAnsi="Times New Roman" w:cs="Times New Roman"/>
          <w:sz w:val="24"/>
          <w:szCs w:val="24"/>
        </w:rPr>
        <w:t xml:space="preserve">rcentage of total Voted funds (3.94% in 2018/19 to 4.63% in 2019/20). </w:t>
      </w:r>
    </w:p>
    <w:p w14:paraId="4E248941" w14:textId="77777777" w:rsidR="005F5088" w:rsidRPr="00A10AC4" w:rsidRDefault="009B71FF" w:rsidP="003C1DC8">
      <w:pPr>
        <w:autoSpaceDE w:val="0"/>
        <w:autoSpaceDN w:val="0"/>
        <w:adjustRightInd w:val="0"/>
        <w:spacing w:after="0" w:line="276" w:lineRule="auto"/>
        <w:jc w:val="both"/>
        <w:rPr>
          <w:rFonts w:ascii="Times New Roman" w:eastAsia="Calibri" w:hAnsi="Times New Roman" w:cs="Times New Roman"/>
          <w:b/>
          <w:sz w:val="24"/>
          <w:szCs w:val="24"/>
        </w:rPr>
      </w:pPr>
      <w:r w:rsidRPr="00A10AC4">
        <w:rPr>
          <w:rFonts w:ascii="Times New Roman" w:eastAsia="Calibri" w:hAnsi="Times New Roman" w:cs="Times New Roman"/>
          <w:sz w:val="24"/>
          <w:szCs w:val="24"/>
        </w:rPr>
        <w:t xml:space="preserve">The table below summarises the programme performance indicators and targets of the Programme: </w:t>
      </w:r>
    </w:p>
    <w:p w14:paraId="6AB2636B" w14:textId="77777777" w:rsidR="005F5088" w:rsidRPr="00A10AC4" w:rsidRDefault="005F5088" w:rsidP="00A10AC4">
      <w:pPr>
        <w:spacing w:after="0" w:line="276" w:lineRule="auto"/>
        <w:jc w:val="both"/>
        <w:rPr>
          <w:rFonts w:ascii="Times New Roman" w:eastAsia="Calibri" w:hAnsi="Times New Roman" w:cs="Times New Roman"/>
          <w:b/>
          <w:sz w:val="24"/>
          <w:szCs w:val="24"/>
        </w:rPr>
      </w:pPr>
    </w:p>
    <w:p w14:paraId="589CF3C9" w14:textId="77777777" w:rsidR="009B71FF" w:rsidRPr="00A10AC4" w:rsidRDefault="009B71FF" w:rsidP="00A10AC4">
      <w:pPr>
        <w:spacing w:after="0" w:line="276" w:lineRule="auto"/>
        <w:jc w:val="both"/>
        <w:rPr>
          <w:rFonts w:ascii="Times New Roman" w:eastAsia="Calibri" w:hAnsi="Times New Roman" w:cs="Times New Roman"/>
          <w:b/>
          <w:sz w:val="24"/>
          <w:szCs w:val="24"/>
        </w:rPr>
      </w:pPr>
      <w:r w:rsidRPr="00A10AC4">
        <w:rPr>
          <w:rFonts w:ascii="Times New Roman" w:eastAsia="Calibri" w:hAnsi="Times New Roman" w:cs="Times New Roman"/>
          <w:b/>
          <w:sz w:val="24"/>
          <w:szCs w:val="24"/>
        </w:rPr>
        <w:t>Table 5: Programme Performance Indicators and Targets</w:t>
      </w:r>
    </w:p>
    <w:tbl>
      <w:tblPr>
        <w:tblStyle w:val="TableGrid4"/>
        <w:tblW w:w="9067" w:type="dxa"/>
        <w:tblLook w:val="04A0" w:firstRow="1" w:lastRow="0" w:firstColumn="1" w:lastColumn="0" w:noHBand="0" w:noVBand="1"/>
      </w:tblPr>
      <w:tblGrid>
        <w:gridCol w:w="7366"/>
        <w:gridCol w:w="1701"/>
      </w:tblGrid>
      <w:tr w:rsidR="009B71FF" w:rsidRPr="00A10AC4" w14:paraId="1012B2B9" w14:textId="77777777" w:rsidTr="00B71EE2">
        <w:trPr>
          <w:tblHeader/>
        </w:trPr>
        <w:tc>
          <w:tcPr>
            <w:tcW w:w="7366" w:type="dxa"/>
            <w:shd w:val="clear" w:color="auto" w:fill="F2F2F2" w:themeFill="background1" w:themeFillShade="F2"/>
            <w:vAlign w:val="center"/>
          </w:tcPr>
          <w:p w14:paraId="18413FC9" w14:textId="77777777" w:rsidR="009B71FF" w:rsidRPr="00A10AC4" w:rsidRDefault="009B71FF" w:rsidP="00A10AC4">
            <w:pPr>
              <w:spacing w:line="276" w:lineRule="auto"/>
              <w:jc w:val="both"/>
              <w:rPr>
                <w:rFonts w:ascii="Times New Roman" w:hAnsi="Times New Roman"/>
                <w:b/>
                <w:sz w:val="24"/>
                <w:szCs w:val="24"/>
              </w:rPr>
            </w:pPr>
            <w:r w:rsidRPr="00A10AC4">
              <w:rPr>
                <w:rFonts w:ascii="Times New Roman" w:hAnsi="Times New Roman"/>
                <w:b/>
                <w:sz w:val="24"/>
                <w:szCs w:val="24"/>
              </w:rPr>
              <w:t xml:space="preserve">Strategic objectives and Annual Targets </w:t>
            </w:r>
          </w:p>
        </w:tc>
        <w:tc>
          <w:tcPr>
            <w:tcW w:w="1701" w:type="dxa"/>
            <w:shd w:val="clear" w:color="auto" w:fill="F2F2F2" w:themeFill="background1" w:themeFillShade="F2"/>
            <w:vAlign w:val="center"/>
          </w:tcPr>
          <w:p w14:paraId="1A38CCBA" w14:textId="77777777" w:rsidR="009B71FF" w:rsidRPr="00A10AC4" w:rsidRDefault="009B71FF" w:rsidP="00A10AC4">
            <w:pPr>
              <w:spacing w:line="276" w:lineRule="auto"/>
              <w:jc w:val="both"/>
              <w:rPr>
                <w:rFonts w:ascii="Times New Roman" w:hAnsi="Times New Roman"/>
                <w:b/>
                <w:sz w:val="24"/>
                <w:szCs w:val="24"/>
              </w:rPr>
            </w:pPr>
            <w:r w:rsidRPr="00A10AC4">
              <w:rPr>
                <w:rFonts w:ascii="Times New Roman" w:hAnsi="Times New Roman"/>
                <w:b/>
                <w:sz w:val="24"/>
                <w:szCs w:val="24"/>
              </w:rPr>
              <w:t>2019/20</w:t>
            </w:r>
          </w:p>
        </w:tc>
      </w:tr>
      <w:tr w:rsidR="009B71FF" w:rsidRPr="00A10AC4" w14:paraId="37CB60C5" w14:textId="77777777" w:rsidTr="00B71EE2">
        <w:trPr>
          <w:tblHeader/>
        </w:trPr>
        <w:tc>
          <w:tcPr>
            <w:tcW w:w="7366" w:type="dxa"/>
            <w:shd w:val="clear" w:color="auto" w:fill="auto"/>
            <w:vAlign w:val="center"/>
          </w:tcPr>
          <w:p w14:paraId="385F0AB2" w14:textId="77777777" w:rsidR="009B71FF" w:rsidRPr="00A10AC4" w:rsidRDefault="009B71FF" w:rsidP="00A10AC4">
            <w:pPr>
              <w:autoSpaceDE w:val="0"/>
              <w:autoSpaceDN w:val="0"/>
              <w:adjustRightInd w:val="0"/>
              <w:spacing w:line="276" w:lineRule="auto"/>
              <w:jc w:val="both"/>
              <w:rPr>
                <w:rFonts w:ascii="Times New Roman" w:hAnsi="Times New Roman"/>
                <w:b/>
                <w:sz w:val="24"/>
                <w:szCs w:val="24"/>
              </w:rPr>
            </w:pPr>
            <w:r w:rsidRPr="00A10AC4">
              <w:rPr>
                <w:rFonts w:ascii="Times New Roman" w:hAnsi="Times New Roman"/>
                <w:b/>
                <w:sz w:val="24"/>
                <w:szCs w:val="24"/>
              </w:rPr>
              <w:t>Strategic Objective: Ensure an Integrated Communication and Stakeholder Engagement Strategy</w:t>
            </w:r>
          </w:p>
        </w:tc>
        <w:tc>
          <w:tcPr>
            <w:tcW w:w="1701" w:type="dxa"/>
            <w:shd w:val="clear" w:color="auto" w:fill="auto"/>
            <w:vAlign w:val="center"/>
          </w:tcPr>
          <w:p w14:paraId="312A1DF0" w14:textId="77777777" w:rsidR="009B71FF" w:rsidRPr="00A10AC4" w:rsidRDefault="009B71FF" w:rsidP="00A10AC4">
            <w:pPr>
              <w:spacing w:line="276" w:lineRule="auto"/>
              <w:jc w:val="both"/>
              <w:rPr>
                <w:rFonts w:ascii="Times New Roman" w:hAnsi="Times New Roman"/>
                <w:b/>
                <w:sz w:val="24"/>
                <w:szCs w:val="24"/>
              </w:rPr>
            </w:pPr>
          </w:p>
        </w:tc>
      </w:tr>
      <w:tr w:rsidR="009B71FF" w:rsidRPr="00A10AC4" w14:paraId="7C14A7FC" w14:textId="77777777" w:rsidTr="00B71EE2">
        <w:trPr>
          <w:tblHeader/>
        </w:trPr>
        <w:tc>
          <w:tcPr>
            <w:tcW w:w="7366" w:type="dxa"/>
            <w:shd w:val="clear" w:color="auto" w:fill="auto"/>
            <w:vAlign w:val="center"/>
          </w:tcPr>
          <w:p w14:paraId="104C4494" w14:textId="77777777" w:rsidR="009B71FF" w:rsidRPr="00A10AC4" w:rsidRDefault="009B71FF" w:rsidP="00A10AC4">
            <w:pPr>
              <w:numPr>
                <w:ilvl w:val="0"/>
                <w:numId w:val="5"/>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Percentage implementation of the Integrated Communication and Stakeholder Engagement Strategy</w:t>
            </w:r>
          </w:p>
        </w:tc>
        <w:tc>
          <w:tcPr>
            <w:tcW w:w="1701" w:type="dxa"/>
            <w:shd w:val="clear" w:color="auto" w:fill="auto"/>
            <w:vAlign w:val="center"/>
          </w:tcPr>
          <w:p w14:paraId="58EFA187"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 xml:space="preserve">90% (22) </w:t>
            </w:r>
          </w:p>
        </w:tc>
      </w:tr>
      <w:tr w:rsidR="009B71FF" w:rsidRPr="00A10AC4" w14:paraId="76C5F0B3" w14:textId="77777777" w:rsidTr="00B71EE2">
        <w:trPr>
          <w:tblHeader/>
        </w:trPr>
        <w:tc>
          <w:tcPr>
            <w:tcW w:w="7366" w:type="dxa"/>
            <w:shd w:val="clear" w:color="auto" w:fill="auto"/>
            <w:vAlign w:val="center"/>
          </w:tcPr>
          <w:p w14:paraId="3F7D569F" w14:textId="77777777" w:rsidR="009B71FF" w:rsidRPr="00A10AC4" w:rsidRDefault="009B71FF" w:rsidP="00A10AC4">
            <w:pPr>
              <w:spacing w:line="276" w:lineRule="auto"/>
              <w:jc w:val="both"/>
              <w:rPr>
                <w:rFonts w:ascii="Times New Roman" w:hAnsi="Times New Roman"/>
                <w:b/>
                <w:sz w:val="24"/>
                <w:szCs w:val="24"/>
              </w:rPr>
            </w:pPr>
            <w:r w:rsidRPr="00A10AC4">
              <w:rPr>
                <w:rFonts w:ascii="Times New Roman" w:hAnsi="Times New Roman"/>
                <w:b/>
                <w:sz w:val="24"/>
                <w:szCs w:val="24"/>
              </w:rPr>
              <w:t>Performance Indicator</w:t>
            </w:r>
          </w:p>
        </w:tc>
        <w:tc>
          <w:tcPr>
            <w:tcW w:w="1701" w:type="dxa"/>
            <w:shd w:val="clear" w:color="auto" w:fill="auto"/>
            <w:vAlign w:val="center"/>
          </w:tcPr>
          <w:p w14:paraId="4670F724" w14:textId="77777777" w:rsidR="009B71FF" w:rsidRPr="00A10AC4" w:rsidRDefault="009B71FF" w:rsidP="00A10AC4">
            <w:pPr>
              <w:spacing w:line="276" w:lineRule="auto"/>
              <w:jc w:val="both"/>
              <w:rPr>
                <w:rFonts w:ascii="Times New Roman" w:hAnsi="Times New Roman"/>
                <w:b/>
                <w:sz w:val="24"/>
                <w:szCs w:val="24"/>
              </w:rPr>
            </w:pPr>
          </w:p>
        </w:tc>
      </w:tr>
      <w:tr w:rsidR="009B71FF" w:rsidRPr="00A10AC4" w14:paraId="3E540C1F" w14:textId="77777777" w:rsidTr="00B71EE2">
        <w:tc>
          <w:tcPr>
            <w:tcW w:w="7366" w:type="dxa"/>
            <w:vAlign w:val="center"/>
          </w:tcPr>
          <w:p w14:paraId="22AFEDF4" w14:textId="77777777" w:rsidR="009B71FF" w:rsidRPr="00A10AC4" w:rsidRDefault="009B71FF" w:rsidP="00A10AC4">
            <w:pPr>
              <w:numPr>
                <w:ilvl w:val="0"/>
                <w:numId w:val="9"/>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Number of community outreach events conducted per year</w:t>
            </w:r>
          </w:p>
        </w:tc>
        <w:tc>
          <w:tcPr>
            <w:tcW w:w="1701" w:type="dxa"/>
            <w:vAlign w:val="center"/>
          </w:tcPr>
          <w:p w14:paraId="524864E8" w14:textId="77777777" w:rsidR="009B71FF" w:rsidRPr="00A10AC4" w:rsidRDefault="009B71FF" w:rsidP="003C1DC8">
            <w:pPr>
              <w:spacing w:line="276" w:lineRule="auto"/>
              <w:jc w:val="both"/>
              <w:rPr>
                <w:rFonts w:ascii="Times New Roman" w:hAnsi="Times New Roman"/>
                <w:sz w:val="24"/>
                <w:szCs w:val="24"/>
              </w:rPr>
            </w:pPr>
            <w:r w:rsidRPr="00A10AC4">
              <w:rPr>
                <w:rFonts w:ascii="Times New Roman" w:hAnsi="Times New Roman"/>
                <w:sz w:val="24"/>
                <w:szCs w:val="24"/>
              </w:rPr>
              <w:t>40</w:t>
            </w:r>
          </w:p>
        </w:tc>
      </w:tr>
      <w:tr w:rsidR="009B71FF" w:rsidRPr="00A10AC4" w14:paraId="1EF6E491" w14:textId="77777777" w:rsidTr="00B71EE2">
        <w:tc>
          <w:tcPr>
            <w:tcW w:w="7366" w:type="dxa"/>
            <w:vAlign w:val="center"/>
          </w:tcPr>
          <w:p w14:paraId="3961D40F" w14:textId="77777777" w:rsidR="009B71FF" w:rsidRPr="00A10AC4" w:rsidRDefault="009B71FF" w:rsidP="00A10AC4">
            <w:pPr>
              <w:numPr>
                <w:ilvl w:val="0"/>
                <w:numId w:val="9"/>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Number of formal engagements held with key stakeholders</w:t>
            </w:r>
          </w:p>
        </w:tc>
        <w:tc>
          <w:tcPr>
            <w:tcW w:w="1701" w:type="dxa"/>
            <w:vAlign w:val="center"/>
          </w:tcPr>
          <w:p w14:paraId="79111245"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128</w:t>
            </w:r>
          </w:p>
        </w:tc>
      </w:tr>
      <w:tr w:rsidR="009B71FF" w:rsidRPr="00A10AC4" w14:paraId="3840BCC3" w14:textId="77777777" w:rsidTr="00B71EE2">
        <w:tc>
          <w:tcPr>
            <w:tcW w:w="7366" w:type="dxa"/>
            <w:vAlign w:val="center"/>
          </w:tcPr>
          <w:p w14:paraId="00AB6021" w14:textId="77777777" w:rsidR="009B71FF" w:rsidRPr="00A10AC4" w:rsidRDefault="009B71FF" w:rsidP="00A10AC4">
            <w:pPr>
              <w:numPr>
                <w:ilvl w:val="0"/>
                <w:numId w:val="9"/>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Number of disciplinary recommendations referred to the SAPS and MPS that are analysed</w:t>
            </w:r>
          </w:p>
        </w:tc>
        <w:tc>
          <w:tcPr>
            <w:tcW w:w="1701" w:type="dxa"/>
            <w:vAlign w:val="center"/>
          </w:tcPr>
          <w:p w14:paraId="4993701C"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1 100</w:t>
            </w:r>
          </w:p>
        </w:tc>
      </w:tr>
      <w:tr w:rsidR="009B71FF" w:rsidRPr="00A10AC4" w14:paraId="25DCAAF6" w14:textId="77777777" w:rsidTr="00B71EE2">
        <w:tc>
          <w:tcPr>
            <w:tcW w:w="7366" w:type="dxa"/>
            <w:vAlign w:val="center"/>
          </w:tcPr>
          <w:p w14:paraId="26965AEF" w14:textId="77777777" w:rsidR="009B71FF" w:rsidRPr="00A10AC4" w:rsidRDefault="009B71FF" w:rsidP="00A10AC4">
            <w:pPr>
              <w:numPr>
                <w:ilvl w:val="0"/>
                <w:numId w:val="9"/>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Number of criminal referrals forwarded to the NPA that are analysed</w:t>
            </w:r>
          </w:p>
        </w:tc>
        <w:tc>
          <w:tcPr>
            <w:tcW w:w="1701" w:type="dxa"/>
            <w:vAlign w:val="center"/>
          </w:tcPr>
          <w:p w14:paraId="712B5159"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748</w:t>
            </w:r>
          </w:p>
        </w:tc>
      </w:tr>
      <w:tr w:rsidR="009B71FF" w:rsidRPr="00A10AC4" w14:paraId="56AABCA8" w14:textId="77777777" w:rsidTr="00B71EE2">
        <w:tc>
          <w:tcPr>
            <w:tcW w:w="7366" w:type="dxa"/>
            <w:vAlign w:val="center"/>
          </w:tcPr>
          <w:p w14:paraId="1D975AF0" w14:textId="77777777" w:rsidR="009B71FF" w:rsidRPr="00A10AC4" w:rsidRDefault="009B71FF" w:rsidP="00A10AC4">
            <w:pPr>
              <w:numPr>
                <w:ilvl w:val="0"/>
                <w:numId w:val="9"/>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Percentage of responses from SAPS and MPS that are analysed</w:t>
            </w:r>
          </w:p>
        </w:tc>
        <w:tc>
          <w:tcPr>
            <w:tcW w:w="1701" w:type="dxa"/>
            <w:vAlign w:val="center"/>
          </w:tcPr>
          <w:p w14:paraId="52886C2C" w14:textId="77777777" w:rsidR="009B71FF" w:rsidRPr="00A10AC4" w:rsidRDefault="009B71FF" w:rsidP="003C1DC8">
            <w:pPr>
              <w:spacing w:line="276" w:lineRule="auto"/>
              <w:jc w:val="both"/>
              <w:rPr>
                <w:rFonts w:ascii="Times New Roman" w:hAnsi="Times New Roman"/>
                <w:sz w:val="24"/>
                <w:szCs w:val="24"/>
              </w:rPr>
            </w:pPr>
            <w:r w:rsidRPr="00A10AC4">
              <w:rPr>
                <w:rFonts w:ascii="Times New Roman" w:hAnsi="Times New Roman"/>
                <w:sz w:val="24"/>
                <w:szCs w:val="24"/>
              </w:rPr>
              <w:t>70% (1 260)</w:t>
            </w:r>
          </w:p>
        </w:tc>
      </w:tr>
      <w:tr w:rsidR="009B71FF" w:rsidRPr="00A10AC4" w14:paraId="153E80F2" w14:textId="77777777" w:rsidTr="00B71EE2">
        <w:tc>
          <w:tcPr>
            <w:tcW w:w="7366" w:type="dxa"/>
            <w:vAlign w:val="center"/>
          </w:tcPr>
          <w:p w14:paraId="6F146FB7" w14:textId="77777777" w:rsidR="009B71FF" w:rsidRPr="00A10AC4" w:rsidRDefault="009B71FF" w:rsidP="00A10AC4">
            <w:pPr>
              <w:numPr>
                <w:ilvl w:val="0"/>
                <w:numId w:val="9"/>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Percentage of responses from NPA that are analysed</w:t>
            </w:r>
          </w:p>
        </w:tc>
        <w:tc>
          <w:tcPr>
            <w:tcW w:w="1701" w:type="dxa"/>
            <w:vAlign w:val="center"/>
          </w:tcPr>
          <w:p w14:paraId="7E0EB4E4" w14:textId="77777777" w:rsidR="009B71FF" w:rsidRPr="00A10AC4" w:rsidRDefault="009B71FF" w:rsidP="003C1DC8">
            <w:pPr>
              <w:spacing w:line="276" w:lineRule="auto"/>
              <w:jc w:val="both"/>
              <w:rPr>
                <w:rFonts w:ascii="Times New Roman" w:hAnsi="Times New Roman"/>
                <w:sz w:val="24"/>
                <w:szCs w:val="24"/>
              </w:rPr>
            </w:pPr>
            <w:r w:rsidRPr="00A10AC4">
              <w:rPr>
                <w:rFonts w:ascii="Times New Roman" w:hAnsi="Times New Roman"/>
                <w:sz w:val="24"/>
                <w:szCs w:val="24"/>
              </w:rPr>
              <w:t>70% (840)</w:t>
            </w:r>
          </w:p>
        </w:tc>
      </w:tr>
      <w:tr w:rsidR="009B71FF" w:rsidRPr="00A10AC4" w14:paraId="65F7CA86" w14:textId="77777777" w:rsidTr="00B71EE2">
        <w:tc>
          <w:tcPr>
            <w:tcW w:w="7366" w:type="dxa"/>
            <w:vAlign w:val="center"/>
          </w:tcPr>
          <w:p w14:paraId="19E58FF8" w14:textId="77777777" w:rsidR="009B71FF" w:rsidRPr="00A10AC4" w:rsidRDefault="009B71FF" w:rsidP="00A10AC4">
            <w:pPr>
              <w:numPr>
                <w:ilvl w:val="0"/>
                <w:numId w:val="9"/>
              </w:numPr>
              <w:autoSpaceDE w:val="0"/>
              <w:autoSpaceDN w:val="0"/>
              <w:adjustRightInd w:val="0"/>
              <w:spacing w:line="276" w:lineRule="auto"/>
              <w:contextualSpacing/>
              <w:jc w:val="both"/>
              <w:rPr>
                <w:rFonts w:ascii="Times New Roman" w:hAnsi="Times New Roman"/>
                <w:sz w:val="24"/>
                <w:szCs w:val="24"/>
              </w:rPr>
            </w:pPr>
            <w:r w:rsidRPr="00A10AC4">
              <w:rPr>
                <w:rFonts w:ascii="Times New Roman" w:hAnsi="Times New Roman"/>
                <w:sz w:val="24"/>
                <w:szCs w:val="24"/>
              </w:rPr>
              <w:t xml:space="preserve">Number of case docket inspections conducted per year </w:t>
            </w:r>
            <w:r w:rsidRPr="00A10AC4">
              <w:rPr>
                <w:rFonts w:ascii="Times New Roman" w:hAnsi="Times New Roman"/>
                <w:b/>
                <w:i/>
                <w:sz w:val="24"/>
                <w:szCs w:val="24"/>
              </w:rPr>
              <w:t>(New indicator)</w:t>
            </w:r>
          </w:p>
        </w:tc>
        <w:tc>
          <w:tcPr>
            <w:tcW w:w="1701" w:type="dxa"/>
            <w:vAlign w:val="center"/>
          </w:tcPr>
          <w:p w14:paraId="16D0DE95" w14:textId="77777777" w:rsidR="009B71FF" w:rsidRPr="00A10AC4" w:rsidRDefault="009B71FF" w:rsidP="00A10AC4">
            <w:pPr>
              <w:spacing w:line="276" w:lineRule="auto"/>
              <w:jc w:val="both"/>
              <w:rPr>
                <w:rFonts w:ascii="Times New Roman" w:hAnsi="Times New Roman"/>
                <w:sz w:val="24"/>
                <w:szCs w:val="24"/>
              </w:rPr>
            </w:pPr>
            <w:r w:rsidRPr="00A10AC4">
              <w:rPr>
                <w:rFonts w:ascii="Times New Roman" w:hAnsi="Times New Roman"/>
                <w:sz w:val="24"/>
                <w:szCs w:val="24"/>
              </w:rPr>
              <w:t>5</w:t>
            </w:r>
          </w:p>
        </w:tc>
      </w:tr>
    </w:tbl>
    <w:p w14:paraId="6E21730F" w14:textId="77777777" w:rsidR="00BF6A8D" w:rsidRDefault="00BF6A8D" w:rsidP="00A10AC4">
      <w:pPr>
        <w:spacing w:line="276" w:lineRule="auto"/>
        <w:jc w:val="both"/>
        <w:rPr>
          <w:rFonts w:ascii="Times New Roman" w:hAnsi="Times New Roman" w:cs="Times New Roman"/>
          <w:sz w:val="24"/>
          <w:szCs w:val="24"/>
        </w:rPr>
      </w:pPr>
    </w:p>
    <w:p w14:paraId="1447F45F" w14:textId="77777777" w:rsidR="00BF6A8D" w:rsidRPr="00A10AC4" w:rsidRDefault="00BF6A8D" w:rsidP="00A10AC4">
      <w:pPr>
        <w:spacing w:line="276" w:lineRule="auto"/>
        <w:jc w:val="both"/>
        <w:rPr>
          <w:rFonts w:ascii="Times New Roman" w:hAnsi="Times New Roman" w:cs="Times New Roman"/>
          <w:b/>
          <w:sz w:val="24"/>
          <w:szCs w:val="24"/>
        </w:rPr>
      </w:pPr>
      <w:r w:rsidRPr="00A10AC4">
        <w:rPr>
          <w:rFonts w:ascii="Times New Roman" w:hAnsi="Times New Roman" w:cs="Times New Roman"/>
          <w:b/>
          <w:sz w:val="24"/>
          <w:szCs w:val="24"/>
        </w:rPr>
        <w:t xml:space="preserve">4. </w:t>
      </w:r>
      <w:r w:rsidRPr="00A10AC4">
        <w:rPr>
          <w:rFonts w:ascii="Times New Roman" w:hAnsi="Times New Roman" w:cs="Times New Roman"/>
          <w:b/>
          <w:sz w:val="24"/>
          <w:szCs w:val="24"/>
        </w:rPr>
        <w:tab/>
        <w:t>Committee Observation</w:t>
      </w:r>
      <w:r w:rsidR="00C47CB7" w:rsidRPr="00A10AC4">
        <w:rPr>
          <w:rFonts w:ascii="Times New Roman" w:hAnsi="Times New Roman" w:cs="Times New Roman"/>
          <w:b/>
          <w:sz w:val="24"/>
          <w:szCs w:val="24"/>
        </w:rPr>
        <w:t>s</w:t>
      </w:r>
    </w:p>
    <w:p w14:paraId="2776A5F9" w14:textId="77777777" w:rsidR="00FA71FE" w:rsidRPr="00A10AC4" w:rsidRDefault="00FA71FE"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The Committee made the following observations during the 2019/20 budget hearings:</w:t>
      </w:r>
    </w:p>
    <w:p w14:paraId="0DCA038C" w14:textId="77777777" w:rsidR="00FA0237" w:rsidRPr="00A10AC4" w:rsidRDefault="00FA71FE"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4.1</w:t>
      </w:r>
      <w:r w:rsidRPr="00A10AC4">
        <w:rPr>
          <w:rFonts w:ascii="Times New Roman" w:hAnsi="Times New Roman" w:cs="Times New Roman"/>
          <w:sz w:val="24"/>
          <w:szCs w:val="24"/>
        </w:rPr>
        <w:tab/>
        <w:t>The Committee noted the challenges highlighted by the IPID with respect to managing their investigations with a budget that was constrained.</w:t>
      </w:r>
    </w:p>
    <w:p w14:paraId="19F6CD48" w14:textId="2D9D2BCC" w:rsidR="00FA71FE" w:rsidRPr="00A10AC4" w:rsidRDefault="00FA71FE"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 xml:space="preserve">4.2 </w:t>
      </w:r>
      <w:r w:rsidRPr="00A10AC4">
        <w:rPr>
          <w:rFonts w:ascii="Times New Roman" w:hAnsi="Times New Roman" w:cs="Times New Roman"/>
          <w:sz w:val="24"/>
          <w:szCs w:val="24"/>
        </w:rPr>
        <w:tab/>
      </w:r>
      <w:r w:rsidR="00FA0237" w:rsidRPr="00A10AC4">
        <w:rPr>
          <w:rFonts w:ascii="Times New Roman" w:hAnsi="Times New Roman" w:cs="Times New Roman"/>
          <w:sz w:val="24"/>
          <w:szCs w:val="24"/>
        </w:rPr>
        <w:t>The</w:t>
      </w:r>
      <w:r w:rsidR="009036FF" w:rsidRPr="00A10AC4">
        <w:rPr>
          <w:rFonts w:ascii="Times New Roman" w:hAnsi="Times New Roman" w:cs="Times New Roman"/>
          <w:sz w:val="24"/>
          <w:szCs w:val="24"/>
        </w:rPr>
        <w:t xml:space="preserve"> Co</w:t>
      </w:r>
      <w:r w:rsidR="002D240A" w:rsidRPr="00A10AC4">
        <w:rPr>
          <w:rFonts w:ascii="Times New Roman" w:hAnsi="Times New Roman" w:cs="Times New Roman"/>
          <w:sz w:val="24"/>
          <w:szCs w:val="24"/>
        </w:rPr>
        <w:t>mmittee was concerned about the</w:t>
      </w:r>
      <w:r w:rsidR="00FA0237" w:rsidRPr="00A10AC4">
        <w:rPr>
          <w:rFonts w:ascii="Times New Roman" w:hAnsi="Times New Roman" w:cs="Times New Roman"/>
          <w:sz w:val="24"/>
          <w:szCs w:val="24"/>
        </w:rPr>
        <w:t xml:space="preserve"> manner in which </w:t>
      </w:r>
      <w:r w:rsidR="009036FF" w:rsidRPr="00A10AC4">
        <w:rPr>
          <w:rFonts w:ascii="Times New Roman" w:hAnsi="Times New Roman" w:cs="Times New Roman"/>
          <w:sz w:val="24"/>
          <w:szCs w:val="24"/>
        </w:rPr>
        <w:t xml:space="preserve">the IPID reported </w:t>
      </w:r>
      <w:r w:rsidR="0015125C" w:rsidRPr="00A10AC4">
        <w:rPr>
          <w:rFonts w:ascii="Times New Roman" w:hAnsi="Times New Roman" w:cs="Times New Roman"/>
          <w:sz w:val="24"/>
          <w:szCs w:val="24"/>
        </w:rPr>
        <w:t>its cases</w:t>
      </w:r>
      <w:r w:rsidR="003321D7" w:rsidRPr="00A10AC4">
        <w:rPr>
          <w:rFonts w:ascii="Times New Roman" w:hAnsi="Times New Roman" w:cs="Times New Roman"/>
          <w:sz w:val="24"/>
          <w:szCs w:val="24"/>
        </w:rPr>
        <w:t xml:space="preserve"> and other investigations.</w:t>
      </w:r>
      <w:r w:rsidR="0015125C" w:rsidRPr="00A10AC4">
        <w:rPr>
          <w:rFonts w:ascii="Times New Roman" w:hAnsi="Times New Roman" w:cs="Times New Roman"/>
          <w:sz w:val="24"/>
          <w:szCs w:val="24"/>
        </w:rPr>
        <w:t xml:space="preserve"> </w:t>
      </w:r>
      <w:r w:rsidR="00A06FE6">
        <w:rPr>
          <w:rFonts w:ascii="Times New Roman" w:hAnsi="Times New Roman" w:cs="Times New Roman"/>
          <w:sz w:val="24"/>
          <w:szCs w:val="24"/>
        </w:rPr>
        <w:t xml:space="preserve">The Department </w:t>
      </w:r>
      <w:r w:rsidR="00EB3CB1" w:rsidRPr="00A10AC4">
        <w:rPr>
          <w:rFonts w:ascii="Times New Roman" w:hAnsi="Times New Roman" w:cs="Times New Roman"/>
          <w:sz w:val="24"/>
          <w:szCs w:val="24"/>
        </w:rPr>
        <w:t xml:space="preserve">indicated that the mandate of the IPID is derived from section 206(6) of the </w:t>
      </w:r>
      <w:r w:rsidR="00A06FE6">
        <w:rPr>
          <w:rFonts w:ascii="Times New Roman" w:hAnsi="Times New Roman" w:cs="Times New Roman"/>
          <w:sz w:val="24"/>
          <w:szCs w:val="24"/>
        </w:rPr>
        <w:t>C</w:t>
      </w:r>
      <w:r w:rsidR="00A06FE6" w:rsidRPr="00A10AC4">
        <w:rPr>
          <w:rFonts w:ascii="Times New Roman" w:hAnsi="Times New Roman" w:cs="Times New Roman"/>
          <w:sz w:val="24"/>
          <w:szCs w:val="24"/>
        </w:rPr>
        <w:t>onstitution</w:t>
      </w:r>
      <w:r w:rsidR="00CA4F5F" w:rsidRPr="00A10AC4">
        <w:rPr>
          <w:rFonts w:ascii="Times New Roman" w:hAnsi="Times New Roman" w:cs="Times New Roman"/>
          <w:sz w:val="24"/>
          <w:szCs w:val="24"/>
        </w:rPr>
        <w:t>, which</w:t>
      </w:r>
      <w:r w:rsidR="00EB3CB1" w:rsidRPr="00A10AC4">
        <w:rPr>
          <w:rFonts w:ascii="Times New Roman" w:hAnsi="Times New Roman" w:cs="Times New Roman"/>
          <w:sz w:val="24"/>
          <w:szCs w:val="24"/>
        </w:rPr>
        <w:t xml:space="preserve"> provides that an independent and impartial body must be established</w:t>
      </w:r>
      <w:r w:rsidR="00CA4F5F" w:rsidRPr="00A10AC4">
        <w:rPr>
          <w:rFonts w:ascii="Times New Roman" w:hAnsi="Times New Roman" w:cs="Times New Roman"/>
          <w:sz w:val="24"/>
          <w:szCs w:val="24"/>
        </w:rPr>
        <w:t xml:space="preserve"> to investigate allegations of misconduct or offences against members of the SAPS. The IPID Act then enables the IPID to implement section 206(6) of the constitution and the Act in </w:t>
      </w:r>
      <w:r w:rsidR="00A06FE6">
        <w:rPr>
          <w:rFonts w:ascii="Times New Roman" w:hAnsi="Times New Roman" w:cs="Times New Roman"/>
          <w:sz w:val="24"/>
          <w:szCs w:val="24"/>
        </w:rPr>
        <w:t>S</w:t>
      </w:r>
      <w:r w:rsidR="00A06FE6" w:rsidRPr="00A10AC4">
        <w:rPr>
          <w:rFonts w:ascii="Times New Roman" w:hAnsi="Times New Roman" w:cs="Times New Roman"/>
          <w:sz w:val="24"/>
          <w:szCs w:val="24"/>
        </w:rPr>
        <w:t xml:space="preserve">ection </w:t>
      </w:r>
      <w:r w:rsidR="00CA4F5F" w:rsidRPr="00A10AC4">
        <w:rPr>
          <w:rFonts w:ascii="Times New Roman" w:hAnsi="Times New Roman" w:cs="Times New Roman"/>
          <w:sz w:val="24"/>
          <w:szCs w:val="24"/>
        </w:rPr>
        <w:t>28 provides for the cases that the IPID must investigate.</w:t>
      </w:r>
    </w:p>
    <w:p w14:paraId="2C2DF835" w14:textId="77777777" w:rsidR="0025126B" w:rsidRPr="00A10AC4" w:rsidRDefault="00FA71FE"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4.3</w:t>
      </w:r>
      <w:r w:rsidRPr="00A10AC4">
        <w:rPr>
          <w:rFonts w:ascii="Times New Roman" w:hAnsi="Times New Roman" w:cs="Times New Roman"/>
          <w:sz w:val="24"/>
          <w:szCs w:val="24"/>
        </w:rPr>
        <w:tab/>
        <w:t>The Committee wanted to know what other efforts the IPID has made</w:t>
      </w:r>
      <w:r w:rsidR="00FA0237" w:rsidRPr="00A10AC4">
        <w:rPr>
          <w:rFonts w:ascii="Times New Roman" w:hAnsi="Times New Roman" w:cs="Times New Roman"/>
          <w:sz w:val="24"/>
          <w:szCs w:val="24"/>
        </w:rPr>
        <w:t xml:space="preserve"> in resolving the matter related to capacity constraints</w:t>
      </w:r>
      <w:r w:rsidR="004F24C0" w:rsidRPr="00A10AC4">
        <w:rPr>
          <w:rFonts w:ascii="Times New Roman" w:hAnsi="Times New Roman" w:cs="Times New Roman"/>
          <w:sz w:val="24"/>
          <w:szCs w:val="24"/>
        </w:rPr>
        <w:t xml:space="preserve"> and </w:t>
      </w:r>
      <w:r w:rsidR="003321D7" w:rsidRPr="00A10AC4">
        <w:rPr>
          <w:rFonts w:ascii="Times New Roman" w:hAnsi="Times New Roman" w:cs="Times New Roman"/>
          <w:sz w:val="24"/>
          <w:szCs w:val="24"/>
        </w:rPr>
        <w:t>whether these constraints</w:t>
      </w:r>
      <w:r w:rsidR="004F24C0" w:rsidRPr="00A10AC4">
        <w:rPr>
          <w:rFonts w:ascii="Times New Roman" w:hAnsi="Times New Roman" w:cs="Times New Roman"/>
          <w:sz w:val="24"/>
          <w:szCs w:val="24"/>
        </w:rPr>
        <w:t xml:space="preserve"> were quantitative or qualitative. They raised concerns about the </w:t>
      </w:r>
      <w:r w:rsidR="002129FF" w:rsidRPr="00A10AC4">
        <w:rPr>
          <w:rFonts w:ascii="Times New Roman" w:hAnsi="Times New Roman" w:cs="Times New Roman"/>
          <w:sz w:val="24"/>
          <w:szCs w:val="24"/>
        </w:rPr>
        <w:t xml:space="preserve">high </w:t>
      </w:r>
      <w:r w:rsidR="004F24C0" w:rsidRPr="00A10AC4">
        <w:rPr>
          <w:rFonts w:ascii="Times New Roman" w:hAnsi="Times New Roman" w:cs="Times New Roman"/>
          <w:sz w:val="24"/>
          <w:szCs w:val="24"/>
        </w:rPr>
        <w:t>vacancy rate</w:t>
      </w:r>
      <w:r w:rsidR="0025126B" w:rsidRPr="00A10AC4">
        <w:rPr>
          <w:rFonts w:ascii="Times New Roman" w:hAnsi="Times New Roman" w:cs="Times New Roman"/>
          <w:sz w:val="24"/>
          <w:szCs w:val="24"/>
        </w:rPr>
        <w:t xml:space="preserve"> in the department</w:t>
      </w:r>
      <w:r w:rsidR="004F24C0" w:rsidRPr="00A10AC4">
        <w:rPr>
          <w:rFonts w:ascii="Times New Roman" w:hAnsi="Times New Roman" w:cs="Times New Roman"/>
          <w:sz w:val="24"/>
          <w:szCs w:val="24"/>
        </w:rPr>
        <w:t xml:space="preserve"> and </w:t>
      </w:r>
      <w:r w:rsidR="002129FF" w:rsidRPr="00A10AC4">
        <w:rPr>
          <w:rFonts w:ascii="Times New Roman" w:hAnsi="Times New Roman" w:cs="Times New Roman"/>
          <w:sz w:val="24"/>
          <w:szCs w:val="24"/>
        </w:rPr>
        <w:t>requested the IPID to explain their action plan to fill the posts as matter of urgency. The Committee also encouraged the IPID</w:t>
      </w:r>
      <w:r w:rsidR="0025126B" w:rsidRPr="00A10AC4">
        <w:rPr>
          <w:rFonts w:ascii="Times New Roman" w:hAnsi="Times New Roman" w:cs="Times New Roman"/>
          <w:sz w:val="24"/>
          <w:szCs w:val="24"/>
        </w:rPr>
        <w:t xml:space="preserve"> to find a strategy to do away with acting personnel</w:t>
      </w:r>
      <w:r w:rsidR="00AA1A9D">
        <w:rPr>
          <w:rFonts w:ascii="Times New Roman" w:hAnsi="Times New Roman" w:cs="Times New Roman"/>
          <w:sz w:val="24"/>
          <w:szCs w:val="24"/>
        </w:rPr>
        <w:t>, especially in the Senior Management Structure</w:t>
      </w:r>
      <w:r w:rsidR="0025126B" w:rsidRPr="00A10AC4">
        <w:rPr>
          <w:rFonts w:ascii="Times New Roman" w:hAnsi="Times New Roman" w:cs="Times New Roman"/>
          <w:sz w:val="24"/>
          <w:szCs w:val="24"/>
        </w:rPr>
        <w:t>.</w:t>
      </w:r>
      <w:r w:rsidR="00034606" w:rsidRPr="00A10AC4">
        <w:rPr>
          <w:rFonts w:ascii="Times New Roman" w:hAnsi="Times New Roman" w:cs="Times New Roman"/>
          <w:sz w:val="24"/>
          <w:szCs w:val="24"/>
        </w:rPr>
        <w:t xml:space="preserve"> The response given wa</w:t>
      </w:r>
      <w:r w:rsidR="00206239" w:rsidRPr="00A10AC4">
        <w:rPr>
          <w:rFonts w:ascii="Times New Roman" w:hAnsi="Times New Roman" w:cs="Times New Roman"/>
          <w:sz w:val="24"/>
          <w:szCs w:val="24"/>
        </w:rPr>
        <w:t>s that the high vacancy rate was caused by budget cuts.</w:t>
      </w:r>
    </w:p>
    <w:p w14:paraId="7A97D3CE" w14:textId="58EAEA5D" w:rsidR="00FA71FE" w:rsidRPr="00A10AC4" w:rsidRDefault="009036FF"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 xml:space="preserve">4.4 </w:t>
      </w:r>
      <w:r w:rsidR="00C47CB7" w:rsidRPr="00A10AC4">
        <w:rPr>
          <w:rFonts w:ascii="Times New Roman" w:hAnsi="Times New Roman" w:cs="Times New Roman"/>
          <w:sz w:val="24"/>
          <w:szCs w:val="24"/>
        </w:rPr>
        <w:tab/>
      </w:r>
      <w:r w:rsidR="0025126B" w:rsidRPr="00A10AC4">
        <w:rPr>
          <w:rFonts w:ascii="Times New Roman" w:hAnsi="Times New Roman" w:cs="Times New Roman"/>
          <w:sz w:val="24"/>
          <w:szCs w:val="24"/>
        </w:rPr>
        <w:t xml:space="preserve">The Committee enquired about the method </w:t>
      </w:r>
      <w:r w:rsidRPr="00A10AC4">
        <w:rPr>
          <w:rFonts w:ascii="Times New Roman" w:hAnsi="Times New Roman" w:cs="Times New Roman"/>
          <w:sz w:val="24"/>
          <w:szCs w:val="24"/>
        </w:rPr>
        <w:t xml:space="preserve">used by </w:t>
      </w:r>
      <w:r w:rsidR="0025126B" w:rsidRPr="00A10AC4">
        <w:rPr>
          <w:rFonts w:ascii="Times New Roman" w:hAnsi="Times New Roman" w:cs="Times New Roman"/>
          <w:sz w:val="24"/>
          <w:szCs w:val="24"/>
        </w:rPr>
        <w:t>IPID to identify Stakeholders and the extent to which</w:t>
      </w:r>
      <w:r w:rsidR="002129FF" w:rsidRPr="00A10AC4">
        <w:rPr>
          <w:rFonts w:ascii="Times New Roman" w:hAnsi="Times New Roman" w:cs="Times New Roman"/>
          <w:sz w:val="24"/>
          <w:szCs w:val="24"/>
        </w:rPr>
        <w:t xml:space="preserve"> the IPID was known</w:t>
      </w:r>
      <w:r w:rsidR="002D240A" w:rsidRPr="00A10AC4">
        <w:rPr>
          <w:rFonts w:ascii="Times New Roman" w:hAnsi="Times New Roman" w:cs="Times New Roman"/>
          <w:sz w:val="24"/>
          <w:szCs w:val="24"/>
        </w:rPr>
        <w:t xml:space="preserve"> in </w:t>
      </w:r>
      <w:r w:rsidR="00206239" w:rsidRPr="00A10AC4">
        <w:rPr>
          <w:rFonts w:ascii="Times New Roman" w:hAnsi="Times New Roman" w:cs="Times New Roman"/>
          <w:sz w:val="24"/>
          <w:szCs w:val="24"/>
        </w:rPr>
        <w:t>provinces and by the public in general</w:t>
      </w:r>
      <w:r w:rsidR="002D240A" w:rsidRPr="00A10AC4">
        <w:rPr>
          <w:rFonts w:ascii="Times New Roman" w:hAnsi="Times New Roman" w:cs="Times New Roman"/>
          <w:sz w:val="24"/>
          <w:szCs w:val="24"/>
        </w:rPr>
        <w:t xml:space="preserve">. The </w:t>
      </w:r>
      <w:r w:rsidR="002129FF" w:rsidRPr="00A10AC4">
        <w:rPr>
          <w:rFonts w:ascii="Times New Roman" w:hAnsi="Times New Roman" w:cs="Times New Roman"/>
          <w:sz w:val="24"/>
          <w:szCs w:val="24"/>
        </w:rPr>
        <w:t xml:space="preserve">Committee </w:t>
      </w:r>
      <w:r w:rsidR="00AA1A9D">
        <w:rPr>
          <w:rFonts w:ascii="Times New Roman" w:hAnsi="Times New Roman" w:cs="Times New Roman"/>
          <w:sz w:val="24"/>
          <w:szCs w:val="24"/>
        </w:rPr>
        <w:t>was</w:t>
      </w:r>
      <w:r w:rsidR="00AA1A9D" w:rsidRPr="00A10AC4">
        <w:rPr>
          <w:rFonts w:ascii="Times New Roman" w:hAnsi="Times New Roman" w:cs="Times New Roman"/>
          <w:sz w:val="24"/>
          <w:szCs w:val="24"/>
        </w:rPr>
        <w:t xml:space="preserve"> </w:t>
      </w:r>
      <w:r w:rsidRPr="00A10AC4">
        <w:rPr>
          <w:rFonts w:ascii="Times New Roman" w:hAnsi="Times New Roman" w:cs="Times New Roman"/>
          <w:sz w:val="24"/>
          <w:szCs w:val="24"/>
        </w:rPr>
        <w:t>of the view that the IPID needs</w:t>
      </w:r>
      <w:r w:rsidR="00C47CB7" w:rsidRPr="00A10AC4">
        <w:rPr>
          <w:rFonts w:ascii="Times New Roman" w:hAnsi="Times New Roman" w:cs="Times New Roman"/>
          <w:sz w:val="24"/>
          <w:szCs w:val="24"/>
        </w:rPr>
        <w:t xml:space="preserve"> to put more effort in their </w:t>
      </w:r>
      <w:r w:rsidRPr="00A10AC4">
        <w:rPr>
          <w:rFonts w:ascii="Times New Roman" w:hAnsi="Times New Roman" w:cs="Times New Roman"/>
          <w:sz w:val="24"/>
          <w:szCs w:val="24"/>
        </w:rPr>
        <w:t>market</w:t>
      </w:r>
      <w:r w:rsidR="00C47CB7" w:rsidRPr="00A10AC4">
        <w:rPr>
          <w:rFonts w:ascii="Times New Roman" w:hAnsi="Times New Roman" w:cs="Times New Roman"/>
          <w:sz w:val="24"/>
          <w:szCs w:val="24"/>
        </w:rPr>
        <w:t>ing strategy in order to be more visible</w:t>
      </w:r>
      <w:r w:rsidRPr="00A10AC4">
        <w:rPr>
          <w:rFonts w:ascii="Times New Roman" w:hAnsi="Times New Roman" w:cs="Times New Roman"/>
          <w:sz w:val="24"/>
          <w:szCs w:val="24"/>
        </w:rPr>
        <w:t>.</w:t>
      </w:r>
      <w:r w:rsidR="005E720C" w:rsidRPr="00A10AC4">
        <w:rPr>
          <w:rFonts w:ascii="Times New Roman" w:hAnsi="Times New Roman" w:cs="Times New Roman"/>
          <w:sz w:val="24"/>
          <w:szCs w:val="24"/>
        </w:rPr>
        <w:t xml:space="preserve"> </w:t>
      </w:r>
      <w:r w:rsidR="00206239" w:rsidRPr="00A10AC4">
        <w:rPr>
          <w:rFonts w:ascii="Times New Roman" w:hAnsi="Times New Roman" w:cs="Times New Roman"/>
          <w:sz w:val="24"/>
          <w:szCs w:val="24"/>
        </w:rPr>
        <w:t>The</w:t>
      </w:r>
      <w:r w:rsidR="00034606" w:rsidRPr="00A10AC4">
        <w:rPr>
          <w:rFonts w:ascii="Times New Roman" w:hAnsi="Times New Roman" w:cs="Times New Roman"/>
          <w:sz w:val="24"/>
          <w:szCs w:val="24"/>
        </w:rPr>
        <w:t xml:space="preserve"> response was that the</w:t>
      </w:r>
      <w:r w:rsidR="00206239" w:rsidRPr="00A10AC4">
        <w:rPr>
          <w:rFonts w:ascii="Times New Roman" w:hAnsi="Times New Roman" w:cs="Times New Roman"/>
          <w:sz w:val="24"/>
          <w:szCs w:val="24"/>
        </w:rPr>
        <w:t xml:space="preserve"> department’s </w:t>
      </w:r>
      <w:r w:rsidR="00AA1A9D">
        <w:rPr>
          <w:rFonts w:ascii="Times New Roman" w:hAnsi="Times New Roman" w:cs="Times New Roman"/>
          <w:sz w:val="24"/>
          <w:szCs w:val="24"/>
        </w:rPr>
        <w:t>“</w:t>
      </w:r>
      <w:r w:rsidR="00206239" w:rsidRPr="00A10AC4">
        <w:rPr>
          <w:rFonts w:ascii="Times New Roman" w:hAnsi="Times New Roman" w:cs="Times New Roman"/>
          <w:sz w:val="24"/>
          <w:szCs w:val="24"/>
        </w:rPr>
        <w:t>invisibility</w:t>
      </w:r>
      <w:r w:rsidR="00AA1A9D">
        <w:rPr>
          <w:rFonts w:ascii="Times New Roman" w:hAnsi="Times New Roman" w:cs="Times New Roman"/>
          <w:sz w:val="24"/>
          <w:szCs w:val="24"/>
        </w:rPr>
        <w:t>”</w:t>
      </w:r>
      <w:r w:rsidR="00206239" w:rsidRPr="00A10AC4">
        <w:rPr>
          <w:rFonts w:ascii="Times New Roman" w:hAnsi="Times New Roman" w:cs="Times New Roman"/>
          <w:sz w:val="24"/>
          <w:szCs w:val="24"/>
        </w:rPr>
        <w:t xml:space="preserve"> is due to financial constraints but they have developed a</w:t>
      </w:r>
      <w:r w:rsidR="00DB1E96" w:rsidRPr="00A10AC4">
        <w:rPr>
          <w:rFonts w:ascii="Times New Roman" w:hAnsi="Times New Roman" w:cs="Times New Roman"/>
          <w:sz w:val="24"/>
          <w:szCs w:val="24"/>
        </w:rPr>
        <w:t>n expansion</w:t>
      </w:r>
      <w:r w:rsidR="004B7DF2" w:rsidRPr="00A10AC4">
        <w:rPr>
          <w:rFonts w:ascii="Times New Roman" w:hAnsi="Times New Roman" w:cs="Times New Roman"/>
          <w:sz w:val="24"/>
          <w:szCs w:val="24"/>
        </w:rPr>
        <w:t xml:space="preserve"> strategy that speaks to opening fully-fledged district or regional </w:t>
      </w:r>
      <w:r w:rsidR="00DB1E96" w:rsidRPr="00A10AC4">
        <w:rPr>
          <w:rFonts w:ascii="Times New Roman" w:hAnsi="Times New Roman" w:cs="Times New Roman"/>
          <w:sz w:val="24"/>
          <w:szCs w:val="24"/>
        </w:rPr>
        <w:t>offices where the communities are.</w:t>
      </w:r>
      <w:r w:rsidR="00206239" w:rsidRPr="00A10AC4">
        <w:rPr>
          <w:rFonts w:ascii="Times New Roman" w:hAnsi="Times New Roman" w:cs="Times New Roman"/>
          <w:sz w:val="24"/>
          <w:szCs w:val="24"/>
        </w:rPr>
        <w:t xml:space="preserve"> </w:t>
      </w:r>
    </w:p>
    <w:p w14:paraId="2DA57BC6" w14:textId="3A04BE39" w:rsidR="00036437" w:rsidRPr="00A10AC4" w:rsidRDefault="00FA71FE"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4.5</w:t>
      </w:r>
      <w:r w:rsidRPr="00A10AC4">
        <w:rPr>
          <w:rFonts w:ascii="Times New Roman" w:hAnsi="Times New Roman" w:cs="Times New Roman"/>
          <w:sz w:val="24"/>
          <w:szCs w:val="24"/>
        </w:rPr>
        <w:tab/>
      </w:r>
      <w:r w:rsidR="004F24C0" w:rsidRPr="00A10AC4">
        <w:rPr>
          <w:rFonts w:ascii="Times New Roman" w:hAnsi="Times New Roman" w:cs="Times New Roman"/>
          <w:sz w:val="24"/>
          <w:szCs w:val="24"/>
        </w:rPr>
        <w:t xml:space="preserve">The Committee wanted to know </w:t>
      </w:r>
      <w:r w:rsidR="00036437" w:rsidRPr="00A10AC4">
        <w:rPr>
          <w:rFonts w:ascii="Times New Roman" w:hAnsi="Times New Roman" w:cs="Times New Roman"/>
          <w:sz w:val="24"/>
          <w:szCs w:val="24"/>
        </w:rPr>
        <w:t>the recruitment criteria used</w:t>
      </w:r>
      <w:r w:rsidR="004F24C0" w:rsidRPr="00A10AC4">
        <w:rPr>
          <w:rFonts w:ascii="Times New Roman" w:hAnsi="Times New Roman" w:cs="Times New Roman"/>
          <w:sz w:val="24"/>
          <w:szCs w:val="24"/>
        </w:rPr>
        <w:t xml:space="preserve"> by the </w:t>
      </w:r>
      <w:r w:rsidR="00AA1A9D">
        <w:rPr>
          <w:rFonts w:ascii="Times New Roman" w:hAnsi="Times New Roman" w:cs="Times New Roman"/>
          <w:sz w:val="24"/>
          <w:szCs w:val="24"/>
        </w:rPr>
        <w:t>D</w:t>
      </w:r>
      <w:r w:rsidR="00AA1A9D" w:rsidRPr="00A10AC4">
        <w:rPr>
          <w:rFonts w:ascii="Times New Roman" w:hAnsi="Times New Roman" w:cs="Times New Roman"/>
          <w:sz w:val="24"/>
          <w:szCs w:val="24"/>
        </w:rPr>
        <w:t xml:space="preserve">epartment </w:t>
      </w:r>
      <w:r w:rsidR="00036437" w:rsidRPr="00A10AC4">
        <w:rPr>
          <w:rFonts w:ascii="Times New Roman" w:hAnsi="Times New Roman" w:cs="Times New Roman"/>
          <w:sz w:val="24"/>
          <w:szCs w:val="24"/>
        </w:rPr>
        <w:t>to employ</w:t>
      </w:r>
      <w:r w:rsidR="00034606" w:rsidRPr="00A10AC4">
        <w:rPr>
          <w:rFonts w:ascii="Times New Roman" w:hAnsi="Times New Roman" w:cs="Times New Roman"/>
          <w:sz w:val="24"/>
          <w:szCs w:val="24"/>
        </w:rPr>
        <w:t xml:space="preserve"> </w:t>
      </w:r>
      <w:r w:rsidR="004F24C0" w:rsidRPr="00A10AC4">
        <w:rPr>
          <w:rFonts w:ascii="Times New Roman" w:hAnsi="Times New Roman" w:cs="Times New Roman"/>
          <w:sz w:val="24"/>
          <w:szCs w:val="24"/>
        </w:rPr>
        <w:t>investigators</w:t>
      </w:r>
      <w:r w:rsidR="00036437" w:rsidRPr="00A10AC4">
        <w:rPr>
          <w:rFonts w:ascii="Times New Roman" w:hAnsi="Times New Roman" w:cs="Times New Roman"/>
          <w:sz w:val="24"/>
          <w:szCs w:val="24"/>
        </w:rPr>
        <w:t xml:space="preserve">. They also wanted to know what training is being offered to investigators and who is responsible for the training. </w:t>
      </w:r>
      <w:r w:rsidR="006142B6" w:rsidRPr="00A10AC4">
        <w:rPr>
          <w:rFonts w:ascii="Times New Roman" w:hAnsi="Times New Roman" w:cs="Times New Roman"/>
          <w:sz w:val="24"/>
          <w:szCs w:val="24"/>
        </w:rPr>
        <w:t xml:space="preserve"> </w:t>
      </w:r>
    </w:p>
    <w:p w14:paraId="408A312C" w14:textId="77777777" w:rsidR="00036437" w:rsidRPr="00A10AC4" w:rsidRDefault="00AF0409"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4.6</w:t>
      </w:r>
      <w:r w:rsidRPr="00A10AC4">
        <w:rPr>
          <w:rFonts w:ascii="Times New Roman" w:hAnsi="Times New Roman" w:cs="Times New Roman"/>
          <w:sz w:val="24"/>
          <w:szCs w:val="24"/>
        </w:rPr>
        <w:tab/>
      </w:r>
      <w:r w:rsidR="00A524F6" w:rsidRPr="00A10AC4">
        <w:rPr>
          <w:rFonts w:ascii="Times New Roman" w:hAnsi="Times New Roman" w:cs="Times New Roman"/>
          <w:sz w:val="24"/>
          <w:szCs w:val="24"/>
        </w:rPr>
        <w:t>The Committee questioned how</w:t>
      </w:r>
      <w:r w:rsidR="00034606" w:rsidRPr="00A10AC4">
        <w:rPr>
          <w:rFonts w:ascii="Times New Roman" w:hAnsi="Times New Roman" w:cs="Times New Roman"/>
          <w:sz w:val="24"/>
          <w:szCs w:val="24"/>
        </w:rPr>
        <w:t xml:space="preserve"> the IPID was</w:t>
      </w:r>
      <w:r w:rsidR="00A524F6" w:rsidRPr="00A10AC4">
        <w:rPr>
          <w:rFonts w:ascii="Times New Roman" w:hAnsi="Times New Roman" w:cs="Times New Roman"/>
          <w:sz w:val="24"/>
          <w:szCs w:val="24"/>
        </w:rPr>
        <w:t xml:space="preserve"> addressing the </w:t>
      </w:r>
      <w:r w:rsidR="00034606" w:rsidRPr="00A10AC4">
        <w:rPr>
          <w:rFonts w:ascii="Times New Roman" w:hAnsi="Times New Roman" w:cs="Times New Roman"/>
          <w:sz w:val="24"/>
          <w:szCs w:val="24"/>
        </w:rPr>
        <w:t xml:space="preserve">Auditor General </w:t>
      </w:r>
      <w:r w:rsidR="00AA1A9D">
        <w:rPr>
          <w:rFonts w:ascii="Times New Roman" w:hAnsi="Times New Roman" w:cs="Times New Roman"/>
          <w:sz w:val="24"/>
          <w:szCs w:val="24"/>
        </w:rPr>
        <w:t xml:space="preserve">of </w:t>
      </w:r>
      <w:r w:rsidR="00034606" w:rsidRPr="00A10AC4">
        <w:rPr>
          <w:rFonts w:ascii="Times New Roman" w:hAnsi="Times New Roman" w:cs="Times New Roman"/>
          <w:sz w:val="24"/>
          <w:szCs w:val="24"/>
        </w:rPr>
        <w:t>South Africa (</w:t>
      </w:r>
      <w:r w:rsidR="00A524F6" w:rsidRPr="00A10AC4">
        <w:rPr>
          <w:rFonts w:ascii="Times New Roman" w:hAnsi="Times New Roman" w:cs="Times New Roman"/>
          <w:sz w:val="24"/>
          <w:szCs w:val="24"/>
        </w:rPr>
        <w:t>AGSA</w:t>
      </w:r>
      <w:r w:rsidR="00034606" w:rsidRPr="00A10AC4">
        <w:rPr>
          <w:rFonts w:ascii="Times New Roman" w:hAnsi="Times New Roman" w:cs="Times New Roman"/>
          <w:sz w:val="24"/>
          <w:szCs w:val="24"/>
        </w:rPr>
        <w:t>)</w:t>
      </w:r>
      <w:r w:rsidR="00A524F6" w:rsidRPr="00A10AC4">
        <w:rPr>
          <w:rFonts w:ascii="Times New Roman" w:hAnsi="Times New Roman" w:cs="Times New Roman"/>
          <w:sz w:val="24"/>
          <w:szCs w:val="24"/>
        </w:rPr>
        <w:t xml:space="preserve"> audit findings</w:t>
      </w:r>
      <w:r w:rsidR="003321D7" w:rsidRPr="00A10AC4">
        <w:rPr>
          <w:rFonts w:ascii="Times New Roman" w:hAnsi="Times New Roman" w:cs="Times New Roman"/>
          <w:sz w:val="24"/>
          <w:szCs w:val="24"/>
        </w:rPr>
        <w:t xml:space="preserve"> </w:t>
      </w:r>
      <w:r w:rsidR="00036437" w:rsidRPr="00A10AC4">
        <w:rPr>
          <w:rFonts w:ascii="Times New Roman" w:hAnsi="Times New Roman" w:cs="Times New Roman"/>
          <w:sz w:val="24"/>
          <w:szCs w:val="24"/>
        </w:rPr>
        <w:t>and</w:t>
      </w:r>
      <w:r w:rsidR="00596179" w:rsidRPr="00A10AC4">
        <w:rPr>
          <w:rFonts w:ascii="Times New Roman" w:hAnsi="Times New Roman" w:cs="Times New Roman"/>
          <w:sz w:val="24"/>
          <w:szCs w:val="24"/>
        </w:rPr>
        <w:t xml:space="preserve"> what plan of action they h</w:t>
      </w:r>
      <w:r w:rsidR="003321D7" w:rsidRPr="00A10AC4">
        <w:rPr>
          <w:rFonts w:ascii="Times New Roman" w:hAnsi="Times New Roman" w:cs="Times New Roman"/>
          <w:sz w:val="24"/>
          <w:szCs w:val="24"/>
        </w:rPr>
        <w:t xml:space="preserve">ave in place in order for AGSA to be able to assist the department. They encouraged </w:t>
      </w:r>
      <w:r w:rsidR="00596179" w:rsidRPr="00A10AC4">
        <w:rPr>
          <w:rFonts w:ascii="Times New Roman" w:hAnsi="Times New Roman" w:cs="Times New Roman"/>
          <w:sz w:val="24"/>
          <w:szCs w:val="24"/>
        </w:rPr>
        <w:t xml:space="preserve">the </w:t>
      </w:r>
      <w:r w:rsidR="003321D7" w:rsidRPr="00A10AC4">
        <w:rPr>
          <w:rFonts w:ascii="Times New Roman" w:hAnsi="Times New Roman" w:cs="Times New Roman"/>
          <w:sz w:val="24"/>
          <w:szCs w:val="24"/>
        </w:rPr>
        <w:t>IPID</w:t>
      </w:r>
      <w:r w:rsidR="00036437" w:rsidRPr="00A10AC4">
        <w:rPr>
          <w:rFonts w:ascii="Times New Roman" w:hAnsi="Times New Roman" w:cs="Times New Roman"/>
          <w:sz w:val="24"/>
          <w:szCs w:val="24"/>
        </w:rPr>
        <w:t xml:space="preserve"> to </w:t>
      </w:r>
      <w:r w:rsidR="008F6719" w:rsidRPr="00A10AC4">
        <w:rPr>
          <w:rFonts w:ascii="Times New Roman" w:hAnsi="Times New Roman" w:cs="Times New Roman"/>
          <w:sz w:val="24"/>
          <w:szCs w:val="24"/>
        </w:rPr>
        <w:t xml:space="preserve">meet with </w:t>
      </w:r>
      <w:r w:rsidR="00036437" w:rsidRPr="00A10AC4">
        <w:rPr>
          <w:rFonts w:ascii="Times New Roman" w:hAnsi="Times New Roman" w:cs="Times New Roman"/>
          <w:sz w:val="24"/>
          <w:szCs w:val="24"/>
        </w:rPr>
        <w:t>AGSA on a regular basis to receive guidance regarding</w:t>
      </w:r>
      <w:r w:rsidR="00A524F6" w:rsidRPr="00A10AC4">
        <w:rPr>
          <w:rFonts w:ascii="Times New Roman" w:hAnsi="Times New Roman" w:cs="Times New Roman"/>
          <w:sz w:val="24"/>
          <w:szCs w:val="24"/>
        </w:rPr>
        <w:t xml:space="preserve"> </w:t>
      </w:r>
      <w:r w:rsidR="00596179" w:rsidRPr="00A10AC4">
        <w:rPr>
          <w:rFonts w:ascii="Times New Roman" w:hAnsi="Times New Roman" w:cs="Times New Roman"/>
          <w:sz w:val="24"/>
          <w:szCs w:val="24"/>
        </w:rPr>
        <w:t xml:space="preserve">the </w:t>
      </w:r>
      <w:r w:rsidR="003321D7" w:rsidRPr="00A10AC4">
        <w:rPr>
          <w:rFonts w:ascii="Times New Roman" w:hAnsi="Times New Roman" w:cs="Times New Roman"/>
          <w:sz w:val="24"/>
          <w:szCs w:val="24"/>
        </w:rPr>
        <w:t xml:space="preserve">audit </w:t>
      </w:r>
      <w:r w:rsidR="00036437" w:rsidRPr="00A10AC4">
        <w:rPr>
          <w:rFonts w:ascii="Times New Roman" w:hAnsi="Times New Roman" w:cs="Times New Roman"/>
          <w:sz w:val="24"/>
          <w:szCs w:val="24"/>
        </w:rPr>
        <w:t>findings</w:t>
      </w:r>
      <w:r w:rsidR="008F6719" w:rsidRPr="00A10AC4">
        <w:rPr>
          <w:rFonts w:ascii="Times New Roman" w:hAnsi="Times New Roman" w:cs="Times New Roman"/>
          <w:sz w:val="24"/>
          <w:szCs w:val="24"/>
        </w:rPr>
        <w:t xml:space="preserve"> and to be able to achieve</w:t>
      </w:r>
      <w:r w:rsidR="003321D7" w:rsidRPr="00A10AC4">
        <w:rPr>
          <w:rFonts w:ascii="Times New Roman" w:hAnsi="Times New Roman" w:cs="Times New Roman"/>
          <w:sz w:val="24"/>
          <w:szCs w:val="24"/>
        </w:rPr>
        <w:t xml:space="preserve"> the</w:t>
      </w:r>
      <w:r w:rsidR="008F6719" w:rsidRPr="00A10AC4">
        <w:rPr>
          <w:rFonts w:ascii="Times New Roman" w:hAnsi="Times New Roman" w:cs="Times New Roman"/>
          <w:sz w:val="24"/>
          <w:szCs w:val="24"/>
        </w:rPr>
        <w:t xml:space="preserve"> desire to receive a clean audit in the financial year 2022/23</w:t>
      </w:r>
      <w:r w:rsidR="00036437" w:rsidRPr="00A10AC4">
        <w:rPr>
          <w:rFonts w:ascii="Times New Roman" w:hAnsi="Times New Roman" w:cs="Times New Roman"/>
          <w:sz w:val="24"/>
          <w:szCs w:val="24"/>
        </w:rPr>
        <w:t>.</w:t>
      </w:r>
      <w:r w:rsidR="00B52015" w:rsidRPr="00A10AC4">
        <w:rPr>
          <w:rFonts w:ascii="Times New Roman" w:hAnsi="Times New Roman" w:cs="Times New Roman"/>
          <w:sz w:val="24"/>
          <w:szCs w:val="24"/>
        </w:rPr>
        <w:t xml:space="preserve"> The response was that the IPID management has developed an audit</w:t>
      </w:r>
      <w:r w:rsidR="006142B6" w:rsidRPr="00A10AC4">
        <w:rPr>
          <w:rFonts w:ascii="Times New Roman" w:hAnsi="Times New Roman" w:cs="Times New Roman"/>
          <w:sz w:val="24"/>
          <w:szCs w:val="24"/>
        </w:rPr>
        <w:t xml:space="preserve"> action plan that is monitored on a quarterly basis and reports to the audit</w:t>
      </w:r>
      <w:r w:rsidR="00B52015" w:rsidRPr="00A10AC4">
        <w:rPr>
          <w:rFonts w:ascii="Times New Roman" w:hAnsi="Times New Roman" w:cs="Times New Roman"/>
          <w:sz w:val="24"/>
          <w:szCs w:val="24"/>
        </w:rPr>
        <w:t xml:space="preserve"> committee</w:t>
      </w:r>
      <w:r w:rsidR="006142B6" w:rsidRPr="00A10AC4">
        <w:rPr>
          <w:rFonts w:ascii="Times New Roman" w:hAnsi="Times New Roman" w:cs="Times New Roman"/>
          <w:sz w:val="24"/>
          <w:szCs w:val="24"/>
        </w:rPr>
        <w:t xml:space="preserve"> as well as the Portfolio Committee on Police. Next time the IPID appears before the Committee they will report on the progress of the audit action plan</w:t>
      </w:r>
      <w:r w:rsidR="00B52015" w:rsidRPr="00A10AC4">
        <w:rPr>
          <w:rFonts w:ascii="Times New Roman" w:hAnsi="Times New Roman" w:cs="Times New Roman"/>
          <w:sz w:val="24"/>
          <w:szCs w:val="24"/>
        </w:rPr>
        <w:t xml:space="preserve"> </w:t>
      </w:r>
      <w:r w:rsidR="006142B6" w:rsidRPr="00A10AC4">
        <w:rPr>
          <w:rFonts w:ascii="Times New Roman" w:hAnsi="Times New Roman" w:cs="Times New Roman"/>
          <w:sz w:val="24"/>
          <w:szCs w:val="24"/>
        </w:rPr>
        <w:t>and they also meet regularly with AGSA.</w:t>
      </w:r>
    </w:p>
    <w:p w14:paraId="108D4173" w14:textId="7CA96F98" w:rsidR="00036437" w:rsidRPr="00A10AC4" w:rsidRDefault="00036437"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4.7</w:t>
      </w:r>
      <w:r w:rsidRPr="00A10AC4">
        <w:rPr>
          <w:rFonts w:ascii="Times New Roman" w:hAnsi="Times New Roman" w:cs="Times New Roman"/>
          <w:sz w:val="24"/>
          <w:szCs w:val="24"/>
        </w:rPr>
        <w:tab/>
        <w:t xml:space="preserve">The Committee raised concerns regarding </w:t>
      </w:r>
      <w:r w:rsidR="00AA1A9D">
        <w:rPr>
          <w:rFonts w:ascii="Times New Roman" w:hAnsi="Times New Roman" w:cs="Times New Roman"/>
          <w:sz w:val="24"/>
          <w:szCs w:val="24"/>
        </w:rPr>
        <w:t xml:space="preserve">case </w:t>
      </w:r>
      <w:r w:rsidR="002129FF" w:rsidRPr="00A10AC4">
        <w:rPr>
          <w:rFonts w:ascii="Times New Roman" w:hAnsi="Times New Roman" w:cs="Times New Roman"/>
          <w:sz w:val="24"/>
          <w:szCs w:val="24"/>
        </w:rPr>
        <w:t>bac</w:t>
      </w:r>
      <w:r w:rsidR="00596179" w:rsidRPr="00A10AC4">
        <w:rPr>
          <w:rFonts w:ascii="Times New Roman" w:hAnsi="Times New Roman" w:cs="Times New Roman"/>
          <w:sz w:val="24"/>
          <w:szCs w:val="24"/>
        </w:rPr>
        <w:t xml:space="preserve">klogs and the fact that </w:t>
      </w:r>
      <w:r w:rsidR="00AA1A9D">
        <w:rPr>
          <w:rFonts w:ascii="Times New Roman" w:hAnsi="Times New Roman" w:cs="Times New Roman"/>
          <w:sz w:val="24"/>
          <w:szCs w:val="24"/>
        </w:rPr>
        <w:t xml:space="preserve">the backlogs </w:t>
      </w:r>
      <w:r w:rsidRPr="00A10AC4">
        <w:rPr>
          <w:rFonts w:ascii="Times New Roman" w:hAnsi="Times New Roman" w:cs="Times New Roman"/>
          <w:sz w:val="24"/>
          <w:szCs w:val="24"/>
        </w:rPr>
        <w:t xml:space="preserve">are constantly growing. They </w:t>
      </w:r>
      <w:r w:rsidR="00596179" w:rsidRPr="00A10AC4">
        <w:rPr>
          <w:rFonts w:ascii="Times New Roman" w:hAnsi="Times New Roman" w:cs="Times New Roman"/>
          <w:sz w:val="24"/>
          <w:szCs w:val="24"/>
        </w:rPr>
        <w:t>asked what measures are in place to address</w:t>
      </w:r>
      <w:r w:rsidRPr="00A10AC4">
        <w:rPr>
          <w:rFonts w:ascii="Times New Roman" w:hAnsi="Times New Roman" w:cs="Times New Roman"/>
          <w:sz w:val="24"/>
          <w:szCs w:val="24"/>
        </w:rPr>
        <w:t xml:space="preserve"> the backlogs.</w:t>
      </w:r>
      <w:r w:rsidR="00206239" w:rsidRPr="00A10AC4">
        <w:rPr>
          <w:rFonts w:ascii="Times New Roman" w:hAnsi="Times New Roman" w:cs="Times New Roman"/>
          <w:sz w:val="24"/>
          <w:szCs w:val="24"/>
        </w:rPr>
        <w:t xml:space="preserve"> The</w:t>
      </w:r>
      <w:r w:rsidR="004B7DF2" w:rsidRPr="00A10AC4">
        <w:rPr>
          <w:rFonts w:ascii="Times New Roman" w:hAnsi="Times New Roman" w:cs="Times New Roman"/>
          <w:sz w:val="24"/>
          <w:szCs w:val="24"/>
        </w:rPr>
        <w:t xml:space="preserve"> explanation given by the IPID wa</w:t>
      </w:r>
      <w:r w:rsidR="00206239" w:rsidRPr="00A10AC4">
        <w:rPr>
          <w:rFonts w:ascii="Times New Roman" w:hAnsi="Times New Roman" w:cs="Times New Roman"/>
          <w:sz w:val="24"/>
          <w:szCs w:val="24"/>
        </w:rPr>
        <w:t>s that the bac</w:t>
      </w:r>
      <w:r w:rsidR="004B7DF2" w:rsidRPr="00A10AC4">
        <w:rPr>
          <w:rFonts w:ascii="Times New Roman" w:hAnsi="Times New Roman" w:cs="Times New Roman"/>
          <w:sz w:val="24"/>
          <w:szCs w:val="24"/>
        </w:rPr>
        <w:t>klogs are historic in nature and intricately tied</w:t>
      </w:r>
      <w:r w:rsidR="00206239" w:rsidRPr="00A10AC4">
        <w:rPr>
          <w:rFonts w:ascii="Times New Roman" w:hAnsi="Times New Roman" w:cs="Times New Roman"/>
          <w:sz w:val="24"/>
          <w:szCs w:val="24"/>
        </w:rPr>
        <w:t xml:space="preserve"> to lack of resources</w:t>
      </w:r>
      <w:r w:rsidR="004B7DF2" w:rsidRPr="00A10AC4">
        <w:rPr>
          <w:rFonts w:ascii="Times New Roman" w:hAnsi="Times New Roman" w:cs="Times New Roman"/>
          <w:sz w:val="24"/>
          <w:szCs w:val="24"/>
        </w:rPr>
        <w:t xml:space="preserve"> because when the Independent </w:t>
      </w:r>
      <w:r w:rsidR="00AA1A9D">
        <w:rPr>
          <w:rFonts w:ascii="Times New Roman" w:hAnsi="Times New Roman" w:cs="Times New Roman"/>
          <w:sz w:val="24"/>
          <w:szCs w:val="24"/>
        </w:rPr>
        <w:t xml:space="preserve">Complaints </w:t>
      </w:r>
      <w:r w:rsidR="004B7DF2" w:rsidRPr="00A10AC4">
        <w:rPr>
          <w:rFonts w:ascii="Times New Roman" w:hAnsi="Times New Roman" w:cs="Times New Roman"/>
          <w:sz w:val="24"/>
          <w:szCs w:val="24"/>
        </w:rPr>
        <w:t>Directorate (ICD) was established in 1997</w:t>
      </w:r>
      <w:r w:rsidR="00AA1A9D">
        <w:rPr>
          <w:rFonts w:ascii="Times New Roman" w:hAnsi="Times New Roman" w:cs="Times New Roman"/>
          <w:sz w:val="24"/>
          <w:szCs w:val="24"/>
        </w:rPr>
        <w:t xml:space="preserve"> and that</w:t>
      </w:r>
      <w:r w:rsidR="004B7DF2" w:rsidRPr="00A10AC4">
        <w:rPr>
          <w:rFonts w:ascii="Times New Roman" w:hAnsi="Times New Roman" w:cs="Times New Roman"/>
          <w:sz w:val="24"/>
          <w:szCs w:val="24"/>
        </w:rPr>
        <w:t xml:space="preserve"> the structure was supposed to consist of </w:t>
      </w:r>
      <w:r w:rsidR="00D01B25" w:rsidRPr="00A10AC4">
        <w:rPr>
          <w:rFonts w:ascii="Times New Roman" w:hAnsi="Times New Roman" w:cs="Times New Roman"/>
          <w:sz w:val="24"/>
          <w:szCs w:val="24"/>
        </w:rPr>
        <w:t>535 personnel and 20 years later the IPID still has a far less number of employees</w:t>
      </w:r>
      <w:r w:rsidR="00206239" w:rsidRPr="00A10AC4">
        <w:rPr>
          <w:rFonts w:ascii="Times New Roman" w:hAnsi="Times New Roman" w:cs="Times New Roman"/>
          <w:sz w:val="24"/>
          <w:szCs w:val="24"/>
        </w:rPr>
        <w:t>.</w:t>
      </w:r>
      <w:r w:rsidR="00D01B25" w:rsidRPr="00A10AC4">
        <w:rPr>
          <w:rFonts w:ascii="Times New Roman" w:hAnsi="Times New Roman" w:cs="Times New Roman"/>
          <w:sz w:val="24"/>
          <w:szCs w:val="24"/>
        </w:rPr>
        <w:t xml:space="preserve"> The IPID tries to set high targets for investigators in relation to backlogs in order to try </w:t>
      </w:r>
      <w:r w:rsidR="00AA1A9D">
        <w:rPr>
          <w:rFonts w:ascii="Times New Roman" w:hAnsi="Times New Roman" w:cs="Times New Roman"/>
          <w:sz w:val="24"/>
          <w:szCs w:val="24"/>
        </w:rPr>
        <w:t>to</w:t>
      </w:r>
      <w:r w:rsidR="00D01B25" w:rsidRPr="00A10AC4">
        <w:rPr>
          <w:rFonts w:ascii="Times New Roman" w:hAnsi="Times New Roman" w:cs="Times New Roman"/>
          <w:sz w:val="24"/>
          <w:szCs w:val="24"/>
        </w:rPr>
        <w:t xml:space="preserve"> reduce them as they are one of the priorities.</w:t>
      </w:r>
    </w:p>
    <w:p w14:paraId="161491CD" w14:textId="77777777" w:rsidR="00036437" w:rsidRPr="00A10AC4" w:rsidRDefault="00036437"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4.8</w:t>
      </w:r>
      <w:r w:rsidRPr="00A10AC4">
        <w:rPr>
          <w:rFonts w:ascii="Times New Roman" w:hAnsi="Times New Roman" w:cs="Times New Roman"/>
          <w:sz w:val="24"/>
          <w:szCs w:val="24"/>
        </w:rPr>
        <w:tab/>
        <w:t>The Committee enquired about</w:t>
      </w:r>
      <w:r w:rsidR="00173553" w:rsidRPr="00A10AC4">
        <w:rPr>
          <w:rFonts w:ascii="Times New Roman" w:hAnsi="Times New Roman" w:cs="Times New Roman"/>
          <w:sz w:val="24"/>
          <w:szCs w:val="24"/>
        </w:rPr>
        <w:t xml:space="preserve"> gaps in</w:t>
      </w:r>
      <w:r w:rsidRPr="00A10AC4">
        <w:rPr>
          <w:rFonts w:ascii="Times New Roman" w:hAnsi="Times New Roman" w:cs="Times New Roman"/>
          <w:sz w:val="24"/>
          <w:szCs w:val="24"/>
        </w:rPr>
        <w:t xml:space="preserve"> </w:t>
      </w:r>
      <w:r w:rsidR="00596179" w:rsidRPr="00A10AC4">
        <w:rPr>
          <w:rFonts w:ascii="Times New Roman" w:hAnsi="Times New Roman" w:cs="Times New Roman"/>
          <w:sz w:val="24"/>
          <w:szCs w:val="24"/>
        </w:rPr>
        <w:t xml:space="preserve">the </w:t>
      </w:r>
      <w:r w:rsidRPr="00A10AC4">
        <w:rPr>
          <w:rFonts w:ascii="Times New Roman" w:hAnsi="Times New Roman" w:cs="Times New Roman"/>
          <w:sz w:val="24"/>
          <w:szCs w:val="24"/>
        </w:rPr>
        <w:t>IPID’</w:t>
      </w:r>
      <w:r w:rsidR="00173553" w:rsidRPr="00A10AC4">
        <w:rPr>
          <w:rFonts w:ascii="Times New Roman" w:hAnsi="Times New Roman" w:cs="Times New Roman"/>
          <w:sz w:val="24"/>
          <w:szCs w:val="24"/>
        </w:rPr>
        <w:t>s ICT systems. They wanted to know the specific areas of concern as well as the divisions that were experiencing challenges.</w:t>
      </w:r>
    </w:p>
    <w:p w14:paraId="2E2A21B7" w14:textId="10ACC6E2" w:rsidR="009E3812" w:rsidRPr="00A10AC4" w:rsidRDefault="00173553"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4.9</w:t>
      </w:r>
      <w:r w:rsidR="004F24C0" w:rsidRPr="00A10AC4">
        <w:rPr>
          <w:rFonts w:ascii="Times New Roman" w:hAnsi="Times New Roman" w:cs="Times New Roman"/>
          <w:sz w:val="24"/>
          <w:szCs w:val="24"/>
        </w:rPr>
        <w:tab/>
      </w:r>
      <w:r w:rsidR="009E3812" w:rsidRPr="00A10AC4">
        <w:rPr>
          <w:rFonts w:ascii="Times New Roman" w:hAnsi="Times New Roman" w:cs="Times New Roman"/>
          <w:sz w:val="24"/>
          <w:szCs w:val="24"/>
        </w:rPr>
        <w:t xml:space="preserve">The Committee asked what led to the closure of the five satellite offices in various provinces and which satellite offices were closed down. They were concerned that the IPID offices are situated in </w:t>
      </w:r>
      <w:r w:rsidR="00AA1A9D">
        <w:rPr>
          <w:rFonts w:ascii="Times New Roman" w:hAnsi="Times New Roman" w:cs="Times New Roman"/>
          <w:sz w:val="24"/>
          <w:szCs w:val="24"/>
        </w:rPr>
        <w:t xml:space="preserve">areas that are not easily accessible to citizens. </w:t>
      </w:r>
      <w:r w:rsidR="009E3812" w:rsidRPr="00A10AC4">
        <w:rPr>
          <w:rFonts w:ascii="Times New Roman" w:hAnsi="Times New Roman" w:cs="Times New Roman"/>
          <w:sz w:val="24"/>
          <w:szCs w:val="24"/>
        </w:rPr>
        <w:t>The reason for closing five satellite offices was insufficient funding due to high accruals and high contractual obligations at the time and a directive from National Treasury to consider closing them down when the lease expired.</w:t>
      </w:r>
      <w:r w:rsidR="00B00C2B" w:rsidRPr="00A10AC4">
        <w:rPr>
          <w:rFonts w:ascii="Times New Roman" w:hAnsi="Times New Roman" w:cs="Times New Roman"/>
          <w:sz w:val="24"/>
          <w:szCs w:val="24"/>
        </w:rPr>
        <w:t xml:space="preserve"> After closing the satellite offices, the IPID realised that the intake in those provinces is still high especially in the areas where the satellite offices were closed. They looked at their budget to see if they had enough funds to be able to reopen some of the satellite offices.</w:t>
      </w:r>
      <w:r w:rsidR="00D01B25" w:rsidRPr="00A10AC4">
        <w:rPr>
          <w:rFonts w:ascii="Times New Roman" w:hAnsi="Times New Roman" w:cs="Times New Roman"/>
          <w:sz w:val="24"/>
          <w:szCs w:val="24"/>
        </w:rPr>
        <w:t xml:space="preserve"> The satellite offices that were closed are, Upington, Rustenburg, Empangeni and Mthatha  </w:t>
      </w:r>
      <w:r w:rsidR="00B00C2B" w:rsidRPr="00A10AC4">
        <w:rPr>
          <w:rFonts w:ascii="Times New Roman" w:hAnsi="Times New Roman" w:cs="Times New Roman"/>
          <w:sz w:val="24"/>
          <w:szCs w:val="24"/>
        </w:rPr>
        <w:t xml:space="preserve"> </w:t>
      </w:r>
      <w:r w:rsidR="008F6719" w:rsidRPr="00A10AC4">
        <w:rPr>
          <w:rFonts w:ascii="Times New Roman" w:hAnsi="Times New Roman" w:cs="Times New Roman"/>
          <w:sz w:val="24"/>
          <w:szCs w:val="24"/>
        </w:rPr>
        <w:t xml:space="preserve"> </w:t>
      </w:r>
    </w:p>
    <w:p w14:paraId="215C44D2" w14:textId="44664291" w:rsidR="008F6719" w:rsidRPr="00A10AC4" w:rsidRDefault="008F6719"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 xml:space="preserve">4.10 </w:t>
      </w:r>
      <w:r w:rsidR="00596179" w:rsidRPr="00A10AC4">
        <w:rPr>
          <w:rFonts w:ascii="Times New Roman" w:hAnsi="Times New Roman" w:cs="Times New Roman"/>
          <w:sz w:val="24"/>
          <w:szCs w:val="24"/>
        </w:rPr>
        <w:tab/>
        <w:t xml:space="preserve">The Committee </w:t>
      </w:r>
      <w:r w:rsidRPr="00A10AC4">
        <w:rPr>
          <w:rFonts w:ascii="Times New Roman" w:hAnsi="Times New Roman" w:cs="Times New Roman"/>
          <w:sz w:val="24"/>
          <w:szCs w:val="24"/>
        </w:rPr>
        <w:t>promised to make a recommendation to the Minister of Police to fast track the appointment process of the Executive Director</w:t>
      </w:r>
      <w:r w:rsidR="003321D7" w:rsidRPr="00A10AC4">
        <w:rPr>
          <w:rFonts w:ascii="Times New Roman" w:hAnsi="Times New Roman" w:cs="Times New Roman"/>
          <w:sz w:val="24"/>
          <w:szCs w:val="24"/>
        </w:rPr>
        <w:t>.</w:t>
      </w:r>
    </w:p>
    <w:p w14:paraId="6BC8EFDF" w14:textId="77777777" w:rsidR="00B52015" w:rsidRPr="00A10AC4" w:rsidRDefault="003321D7"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4.11</w:t>
      </w:r>
      <w:r w:rsidRPr="00A10AC4">
        <w:rPr>
          <w:rFonts w:ascii="Times New Roman" w:hAnsi="Times New Roman" w:cs="Times New Roman"/>
          <w:sz w:val="24"/>
          <w:szCs w:val="24"/>
        </w:rPr>
        <w:tab/>
        <w:t>The Committee wanted to know if there was</w:t>
      </w:r>
      <w:r w:rsidR="002129FF" w:rsidRPr="00A10AC4">
        <w:rPr>
          <w:rFonts w:ascii="Times New Roman" w:hAnsi="Times New Roman" w:cs="Times New Roman"/>
          <w:sz w:val="24"/>
          <w:szCs w:val="24"/>
        </w:rPr>
        <w:t xml:space="preserve"> any</w:t>
      </w:r>
      <w:r w:rsidRPr="00A10AC4">
        <w:rPr>
          <w:rFonts w:ascii="Times New Roman" w:hAnsi="Times New Roman" w:cs="Times New Roman"/>
          <w:sz w:val="24"/>
          <w:szCs w:val="24"/>
        </w:rPr>
        <w:t xml:space="preserve"> cooperation between </w:t>
      </w:r>
      <w:r w:rsidR="002129FF" w:rsidRPr="00A10AC4">
        <w:rPr>
          <w:rFonts w:ascii="Times New Roman" w:hAnsi="Times New Roman" w:cs="Times New Roman"/>
          <w:sz w:val="24"/>
          <w:szCs w:val="24"/>
        </w:rPr>
        <w:t xml:space="preserve">the IPID, </w:t>
      </w:r>
      <w:r w:rsidRPr="00A10AC4">
        <w:rPr>
          <w:rFonts w:ascii="Times New Roman" w:hAnsi="Times New Roman" w:cs="Times New Roman"/>
          <w:sz w:val="24"/>
          <w:szCs w:val="24"/>
        </w:rPr>
        <w:t>SAPS and Metro Police</w:t>
      </w:r>
      <w:r w:rsidR="00596179" w:rsidRPr="00A10AC4">
        <w:rPr>
          <w:rFonts w:ascii="Times New Roman" w:hAnsi="Times New Roman" w:cs="Times New Roman"/>
          <w:sz w:val="24"/>
          <w:szCs w:val="24"/>
        </w:rPr>
        <w:t xml:space="preserve"> officers</w:t>
      </w:r>
      <w:r w:rsidR="005E720C" w:rsidRPr="00A10AC4">
        <w:rPr>
          <w:rFonts w:ascii="Times New Roman" w:hAnsi="Times New Roman" w:cs="Times New Roman"/>
          <w:sz w:val="24"/>
          <w:szCs w:val="24"/>
        </w:rPr>
        <w:t>. They also asked h</w:t>
      </w:r>
      <w:r w:rsidRPr="00A10AC4">
        <w:rPr>
          <w:rFonts w:ascii="Times New Roman" w:hAnsi="Times New Roman" w:cs="Times New Roman"/>
          <w:sz w:val="24"/>
          <w:szCs w:val="24"/>
        </w:rPr>
        <w:t>ow far</w:t>
      </w:r>
      <w:r w:rsidR="005E720C" w:rsidRPr="00A10AC4">
        <w:rPr>
          <w:rFonts w:ascii="Times New Roman" w:hAnsi="Times New Roman" w:cs="Times New Roman"/>
          <w:sz w:val="24"/>
          <w:szCs w:val="24"/>
        </w:rPr>
        <w:t xml:space="preserve"> does SAPS</w:t>
      </w:r>
      <w:r w:rsidR="00596179" w:rsidRPr="00A10AC4">
        <w:rPr>
          <w:rFonts w:ascii="Times New Roman" w:hAnsi="Times New Roman" w:cs="Times New Roman"/>
          <w:sz w:val="24"/>
          <w:szCs w:val="24"/>
        </w:rPr>
        <w:t xml:space="preserve"> </w:t>
      </w:r>
      <w:r w:rsidRPr="00A10AC4">
        <w:rPr>
          <w:rFonts w:ascii="Times New Roman" w:hAnsi="Times New Roman" w:cs="Times New Roman"/>
          <w:sz w:val="24"/>
          <w:szCs w:val="24"/>
        </w:rPr>
        <w:t>implement the recommendations</w:t>
      </w:r>
      <w:r w:rsidR="005E720C" w:rsidRPr="00A10AC4">
        <w:rPr>
          <w:rFonts w:ascii="Times New Roman" w:hAnsi="Times New Roman" w:cs="Times New Roman"/>
          <w:sz w:val="24"/>
          <w:szCs w:val="24"/>
        </w:rPr>
        <w:t xml:space="preserve"> made by </w:t>
      </w:r>
      <w:r w:rsidR="00596179" w:rsidRPr="00A10AC4">
        <w:rPr>
          <w:rFonts w:ascii="Times New Roman" w:hAnsi="Times New Roman" w:cs="Times New Roman"/>
          <w:sz w:val="24"/>
          <w:szCs w:val="24"/>
        </w:rPr>
        <w:t xml:space="preserve">the </w:t>
      </w:r>
      <w:r w:rsidR="005E720C" w:rsidRPr="00A10AC4">
        <w:rPr>
          <w:rFonts w:ascii="Times New Roman" w:hAnsi="Times New Roman" w:cs="Times New Roman"/>
          <w:sz w:val="24"/>
          <w:szCs w:val="24"/>
        </w:rPr>
        <w:t>IPID and what steps are taken by</w:t>
      </w:r>
      <w:r w:rsidR="00596179" w:rsidRPr="00A10AC4">
        <w:rPr>
          <w:rFonts w:ascii="Times New Roman" w:hAnsi="Times New Roman" w:cs="Times New Roman"/>
          <w:sz w:val="24"/>
          <w:szCs w:val="24"/>
        </w:rPr>
        <w:t xml:space="preserve"> the</w:t>
      </w:r>
      <w:r w:rsidR="005E720C" w:rsidRPr="00A10AC4">
        <w:rPr>
          <w:rFonts w:ascii="Times New Roman" w:hAnsi="Times New Roman" w:cs="Times New Roman"/>
          <w:sz w:val="24"/>
          <w:szCs w:val="24"/>
        </w:rPr>
        <w:t xml:space="preserve"> IPID in ensuring that SAPS implement</w:t>
      </w:r>
      <w:r w:rsidR="00596179" w:rsidRPr="00A10AC4">
        <w:rPr>
          <w:rFonts w:ascii="Times New Roman" w:hAnsi="Times New Roman" w:cs="Times New Roman"/>
          <w:sz w:val="24"/>
          <w:szCs w:val="24"/>
        </w:rPr>
        <w:t>s</w:t>
      </w:r>
      <w:r w:rsidR="005E720C" w:rsidRPr="00A10AC4">
        <w:rPr>
          <w:rFonts w:ascii="Times New Roman" w:hAnsi="Times New Roman" w:cs="Times New Roman"/>
          <w:sz w:val="24"/>
          <w:szCs w:val="24"/>
        </w:rPr>
        <w:t xml:space="preserve"> their recommendation</w:t>
      </w:r>
      <w:r w:rsidR="009D3918" w:rsidRPr="00A10AC4">
        <w:rPr>
          <w:rFonts w:ascii="Times New Roman" w:hAnsi="Times New Roman" w:cs="Times New Roman"/>
          <w:sz w:val="24"/>
          <w:szCs w:val="24"/>
        </w:rPr>
        <w:t>s</w:t>
      </w:r>
      <w:r w:rsidR="005E720C" w:rsidRPr="00A10AC4">
        <w:rPr>
          <w:rFonts w:ascii="Times New Roman" w:hAnsi="Times New Roman" w:cs="Times New Roman"/>
          <w:sz w:val="24"/>
          <w:szCs w:val="24"/>
        </w:rPr>
        <w:t xml:space="preserve">. </w:t>
      </w:r>
      <w:r w:rsidR="00832752" w:rsidRPr="00A10AC4">
        <w:rPr>
          <w:rFonts w:ascii="Times New Roman" w:hAnsi="Times New Roman" w:cs="Times New Roman"/>
          <w:sz w:val="24"/>
          <w:szCs w:val="24"/>
        </w:rPr>
        <w:t xml:space="preserve"> The response was that the IPID makes both positive recommendations where the</w:t>
      </w:r>
      <w:r w:rsidR="009D3918" w:rsidRPr="00A10AC4">
        <w:rPr>
          <w:rFonts w:ascii="Times New Roman" w:hAnsi="Times New Roman" w:cs="Times New Roman"/>
          <w:sz w:val="24"/>
          <w:szCs w:val="24"/>
        </w:rPr>
        <w:t>re was no wrongdoing on the part of the SAPS as well as</w:t>
      </w:r>
      <w:r w:rsidR="00832752" w:rsidRPr="00A10AC4">
        <w:rPr>
          <w:rFonts w:ascii="Times New Roman" w:hAnsi="Times New Roman" w:cs="Times New Roman"/>
          <w:sz w:val="24"/>
          <w:szCs w:val="24"/>
        </w:rPr>
        <w:t xml:space="preserve"> negative recommendations</w:t>
      </w:r>
      <w:r w:rsidR="009D3918" w:rsidRPr="00A10AC4">
        <w:rPr>
          <w:rFonts w:ascii="Times New Roman" w:hAnsi="Times New Roman" w:cs="Times New Roman"/>
          <w:sz w:val="24"/>
          <w:szCs w:val="24"/>
        </w:rPr>
        <w:t xml:space="preserve"> where SAPS has acted unlawfully and must institute disciplinary measures against affected officers. </w:t>
      </w:r>
    </w:p>
    <w:p w14:paraId="16A73813" w14:textId="77777777" w:rsidR="003321D7" w:rsidRPr="00A10AC4" w:rsidRDefault="00596179"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 xml:space="preserve">4.12 </w:t>
      </w:r>
      <w:r w:rsidRPr="00A10AC4">
        <w:rPr>
          <w:rFonts w:ascii="Times New Roman" w:hAnsi="Times New Roman" w:cs="Times New Roman"/>
          <w:sz w:val="24"/>
          <w:szCs w:val="24"/>
        </w:rPr>
        <w:tab/>
        <w:t>The Committee</w:t>
      </w:r>
      <w:r w:rsidR="00B52015" w:rsidRPr="00A10AC4">
        <w:rPr>
          <w:rFonts w:ascii="Times New Roman" w:hAnsi="Times New Roman" w:cs="Times New Roman"/>
          <w:sz w:val="24"/>
          <w:szCs w:val="24"/>
        </w:rPr>
        <w:t xml:space="preserve"> not</w:t>
      </w:r>
      <w:r w:rsidR="00391E4D" w:rsidRPr="00A10AC4">
        <w:rPr>
          <w:rFonts w:ascii="Times New Roman" w:hAnsi="Times New Roman" w:cs="Times New Roman"/>
          <w:sz w:val="24"/>
          <w:szCs w:val="24"/>
        </w:rPr>
        <w:t xml:space="preserve">ed that some of the targets </w:t>
      </w:r>
      <w:r w:rsidR="00B52015" w:rsidRPr="00A10AC4">
        <w:rPr>
          <w:rFonts w:ascii="Times New Roman" w:hAnsi="Times New Roman" w:cs="Times New Roman"/>
          <w:sz w:val="24"/>
          <w:szCs w:val="24"/>
        </w:rPr>
        <w:t xml:space="preserve">were </w:t>
      </w:r>
      <w:r w:rsidR="00391E4D" w:rsidRPr="00A10AC4">
        <w:rPr>
          <w:rFonts w:ascii="Times New Roman" w:hAnsi="Times New Roman" w:cs="Times New Roman"/>
          <w:sz w:val="24"/>
          <w:szCs w:val="24"/>
        </w:rPr>
        <w:t>reduced and they wanted to know how the IPID set the targets that they set</w:t>
      </w:r>
      <w:r w:rsidR="00B52015" w:rsidRPr="00A10AC4">
        <w:rPr>
          <w:rFonts w:ascii="Times New Roman" w:hAnsi="Times New Roman" w:cs="Times New Roman"/>
          <w:sz w:val="24"/>
          <w:szCs w:val="24"/>
        </w:rPr>
        <w:t>.</w:t>
      </w:r>
      <w:r w:rsidR="00391E4D" w:rsidRPr="00A10AC4">
        <w:rPr>
          <w:rFonts w:ascii="Times New Roman" w:hAnsi="Times New Roman" w:cs="Times New Roman"/>
          <w:sz w:val="24"/>
          <w:szCs w:val="24"/>
        </w:rPr>
        <w:t xml:space="preserve"> T</w:t>
      </w:r>
      <w:r w:rsidR="00342B99" w:rsidRPr="00A10AC4">
        <w:rPr>
          <w:rFonts w:ascii="Times New Roman" w:hAnsi="Times New Roman" w:cs="Times New Roman"/>
          <w:sz w:val="24"/>
          <w:szCs w:val="24"/>
        </w:rPr>
        <w:t>he response was that the targets are determined</w:t>
      </w:r>
      <w:r w:rsidR="00391E4D" w:rsidRPr="00A10AC4">
        <w:rPr>
          <w:rFonts w:ascii="Times New Roman" w:hAnsi="Times New Roman" w:cs="Times New Roman"/>
          <w:sz w:val="24"/>
          <w:szCs w:val="24"/>
        </w:rPr>
        <w:t xml:space="preserve"> </w:t>
      </w:r>
      <w:r w:rsidR="00342B99" w:rsidRPr="00A10AC4">
        <w:rPr>
          <w:rFonts w:ascii="Times New Roman" w:hAnsi="Times New Roman" w:cs="Times New Roman"/>
          <w:sz w:val="24"/>
          <w:szCs w:val="24"/>
        </w:rPr>
        <w:t>f</w:t>
      </w:r>
      <w:r w:rsidR="00391E4D" w:rsidRPr="00A10AC4">
        <w:rPr>
          <w:rFonts w:ascii="Times New Roman" w:hAnsi="Times New Roman" w:cs="Times New Roman"/>
          <w:sz w:val="24"/>
          <w:szCs w:val="24"/>
        </w:rPr>
        <w:t xml:space="preserve">irstly </w:t>
      </w:r>
      <w:r w:rsidR="00342B99" w:rsidRPr="00A10AC4">
        <w:rPr>
          <w:rFonts w:ascii="Times New Roman" w:hAnsi="Times New Roman" w:cs="Times New Roman"/>
          <w:sz w:val="24"/>
          <w:szCs w:val="24"/>
        </w:rPr>
        <w:t>by</w:t>
      </w:r>
      <w:r w:rsidR="00391E4D" w:rsidRPr="00A10AC4">
        <w:rPr>
          <w:rFonts w:ascii="Times New Roman" w:hAnsi="Times New Roman" w:cs="Times New Roman"/>
          <w:sz w:val="24"/>
          <w:szCs w:val="24"/>
        </w:rPr>
        <w:t xml:space="preserve"> the mandate of the IPID as directed by the IPID Act</w:t>
      </w:r>
      <w:r w:rsidR="00342B99" w:rsidRPr="00A10AC4">
        <w:rPr>
          <w:rFonts w:ascii="Times New Roman" w:hAnsi="Times New Roman" w:cs="Times New Roman"/>
          <w:sz w:val="24"/>
          <w:szCs w:val="24"/>
        </w:rPr>
        <w:t>, funding received from National Treasury and the baseline information</w:t>
      </w:r>
      <w:r w:rsidR="00B00C2B" w:rsidRPr="00A10AC4">
        <w:rPr>
          <w:rFonts w:ascii="Times New Roman" w:hAnsi="Times New Roman" w:cs="Times New Roman"/>
          <w:sz w:val="24"/>
          <w:szCs w:val="24"/>
        </w:rPr>
        <w:t xml:space="preserve"> of each target</w:t>
      </w:r>
      <w:r w:rsidR="00B52015" w:rsidRPr="00A10AC4">
        <w:rPr>
          <w:rFonts w:ascii="Times New Roman" w:hAnsi="Times New Roman" w:cs="Times New Roman"/>
          <w:sz w:val="24"/>
          <w:szCs w:val="24"/>
        </w:rPr>
        <w:t xml:space="preserve"> </w:t>
      </w:r>
      <w:r w:rsidR="00B00C2B" w:rsidRPr="00A10AC4">
        <w:rPr>
          <w:rFonts w:ascii="Times New Roman" w:hAnsi="Times New Roman" w:cs="Times New Roman"/>
          <w:sz w:val="24"/>
          <w:szCs w:val="24"/>
        </w:rPr>
        <w:t>based on</w:t>
      </w:r>
      <w:r w:rsidR="00342B99" w:rsidRPr="00A10AC4">
        <w:rPr>
          <w:rFonts w:ascii="Times New Roman" w:hAnsi="Times New Roman" w:cs="Times New Roman"/>
          <w:sz w:val="24"/>
          <w:szCs w:val="24"/>
        </w:rPr>
        <w:t xml:space="preserve"> the spending trends of a particular target</w:t>
      </w:r>
    </w:p>
    <w:p w14:paraId="281EE055" w14:textId="77777777" w:rsidR="009E3812" w:rsidRPr="00A10AC4" w:rsidRDefault="0078244A"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4.13</w:t>
      </w:r>
      <w:r w:rsidRPr="00A10AC4">
        <w:rPr>
          <w:rFonts w:ascii="Times New Roman" w:hAnsi="Times New Roman" w:cs="Times New Roman"/>
          <w:sz w:val="24"/>
          <w:szCs w:val="24"/>
        </w:rPr>
        <w:tab/>
      </w:r>
      <w:r w:rsidR="009E3812" w:rsidRPr="00A10AC4">
        <w:rPr>
          <w:rFonts w:ascii="Times New Roman" w:hAnsi="Times New Roman" w:cs="Times New Roman"/>
          <w:sz w:val="24"/>
          <w:szCs w:val="24"/>
        </w:rPr>
        <w:t>T</w:t>
      </w:r>
      <w:r w:rsidR="00847A95" w:rsidRPr="00A10AC4">
        <w:rPr>
          <w:rFonts w:ascii="Times New Roman" w:hAnsi="Times New Roman" w:cs="Times New Roman"/>
          <w:sz w:val="24"/>
          <w:szCs w:val="24"/>
        </w:rPr>
        <w:t>he Committee wanted to know the</w:t>
      </w:r>
      <w:r w:rsidR="00EB3CB1" w:rsidRPr="00A10AC4">
        <w:rPr>
          <w:rFonts w:ascii="Times New Roman" w:hAnsi="Times New Roman" w:cs="Times New Roman"/>
          <w:sz w:val="24"/>
          <w:szCs w:val="24"/>
        </w:rPr>
        <w:t xml:space="preserve"> reasons for the IPID to plan moving from the current building they were occupying</w:t>
      </w:r>
      <w:r w:rsidR="00847A95" w:rsidRPr="00A10AC4">
        <w:rPr>
          <w:rFonts w:ascii="Times New Roman" w:hAnsi="Times New Roman" w:cs="Times New Roman"/>
          <w:sz w:val="24"/>
          <w:szCs w:val="24"/>
        </w:rPr>
        <w:t xml:space="preserve"> even though they had budget constraints. The response was that the relocation only relates to the national office</w:t>
      </w:r>
      <w:r w:rsidR="009E3812" w:rsidRPr="00A10AC4">
        <w:rPr>
          <w:rFonts w:ascii="Times New Roman" w:hAnsi="Times New Roman" w:cs="Times New Roman"/>
          <w:sz w:val="24"/>
          <w:szCs w:val="24"/>
        </w:rPr>
        <w:t xml:space="preserve"> </w:t>
      </w:r>
      <w:r w:rsidR="00847A95" w:rsidRPr="00A10AC4">
        <w:rPr>
          <w:rFonts w:ascii="Times New Roman" w:hAnsi="Times New Roman" w:cs="Times New Roman"/>
          <w:sz w:val="24"/>
          <w:szCs w:val="24"/>
        </w:rPr>
        <w:t>since the court declared the current lease invalid</w:t>
      </w:r>
      <w:r w:rsidR="00EB3CB1" w:rsidRPr="00A10AC4">
        <w:rPr>
          <w:rFonts w:ascii="Times New Roman" w:hAnsi="Times New Roman" w:cs="Times New Roman"/>
          <w:sz w:val="24"/>
          <w:szCs w:val="24"/>
        </w:rPr>
        <w:t xml:space="preserve"> and therefore the IPID was occupying it illegally. The IPID has been engaging with the Department of Public Works and Infrastructure to try to find an alternative building and this process has been ongoing since 2011</w:t>
      </w:r>
      <w:r w:rsidR="00AA1A9D">
        <w:rPr>
          <w:rFonts w:ascii="Times New Roman" w:hAnsi="Times New Roman" w:cs="Times New Roman"/>
          <w:sz w:val="24"/>
          <w:szCs w:val="24"/>
        </w:rPr>
        <w:t>.</w:t>
      </w:r>
      <w:r w:rsidR="00EB3CB1" w:rsidRPr="00A10AC4">
        <w:rPr>
          <w:rFonts w:ascii="Times New Roman" w:hAnsi="Times New Roman" w:cs="Times New Roman"/>
          <w:sz w:val="24"/>
          <w:szCs w:val="24"/>
        </w:rPr>
        <w:t xml:space="preserve">  </w:t>
      </w:r>
    </w:p>
    <w:p w14:paraId="4390F5E5" w14:textId="0A39094B" w:rsidR="009138E3" w:rsidRPr="00A10AC4" w:rsidRDefault="00C3515E"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4.14</w:t>
      </w:r>
      <w:r w:rsidRPr="00A10AC4">
        <w:rPr>
          <w:rFonts w:ascii="Times New Roman" w:hAnsi="Times New Roman" w:cs="Times New Roman"/>
          <w:sz w:val="24"/>
          <w:szCs w:val="24"/>
        </w:rPr>
        <w:tab/>
        <w:t xml:space="preserve">The Committee wanted </w:t>
      </w:r>
      <w:r w:rsidR="00CA4F5F" w:rsidRPr="00A10AC4">
        <w:rPr>
          <w:rFonts w:ascii="Times New Roman" w:hAnsi="Times New Roman" w:cs="Times New Roman"/>
          <w:sz w:val="24"/>
          <w:szCs w:val="24"/>
        </w:rPr>
        <w:t xml:space="preserve">the IPID to clarify how it got to the estimations of the targets </w:t>
      </w:r>
      <w:r w:rsidR="00832752" w:rsidRPr="00A10AC4">
        <w:rPr>
          <w:rFonts w:ascii="Times New Roman" w:hAnsi="Times New Roman" w:cs="Times New Roman"/>
          <w:sz w:val="24"/>
          <w:szCs w:val="24"/>
        </w:rPr>
        <w:t>projected i</w:t>
      </w:r>
      <w:r w:rsidR="00CA4F5F" w:rsidRPr="00A10AC4">
        <w:rPr>
          <w:rFonts w:ascii="Times New Roman" w:hAnsi="Times New Roman" w:cs="Times New Roman"/>
          <w:sz w:val="24"/>
          <w:szCs w:val="24"/>
        </w:rPr>
        <w:t xml:space="preserve">n the presentation and </w:t>
      </w:r>
      <w:r w:rsidR="000E3610" w:rsidRPr="00A10AC4">
        <w:rPr>
          <w:rFonts w:ascii="Times New Roman" w:hAnsi="Times New Roman" w:cs="Times New Roman"/>
          <w:sz w:val="24"/>
          <w:szCs w:val="24"/>
        </w:rPr>
        <w:t xml:space="preserve">where they get the numbers for the indicators. The response </w:t>
      </w:r>
      <w:r w:rsidR="00AA1A9D">
        <w:rPr>
          <w:rFonts w:ascii="Times New Roman" w:hAnsi="Times New Roman" w:cs="Times New Roman"/>
          <w:sz w:val="24"/>
          <w:szCs w:val="24"/>
        </w:rPr>
        <w:t>was</w:t>
      </w:r>
      <w:r w:rsidR="00AA1A9D" w:rsidRPr="00A10AC4">
        <w:rPr>
          <w:rFonts w:ascii="Times New Roman" w:hAnsi="Times New Roman" w:cs="Times New Roman"/>
          <w:sz w:val="24"/>
          <w:szCs w:val="24"/>
        </w:rPr>
        <w:t xml:space="preserve"> </w:t>
      </w:r>
      <w:r w:rsidR="000E3610" w:rsidRPr="00A10AC4">
        <w:rPr>
          <w:rFonts w:ascii="Times New Roman" w:hAnsi="Times New Roman" w:cs="Times New Roman"/>
          <w:sz w:val="24"/>
          <w:szCs w:val="24"/>
        </w:rPr>
        <w:t xml:space="preserve">that targets are set based on the budget allocation and the baseline performance of the previous year and the previous financial year informs the IPID to project the targets based on the allocation they receive. This </w:t>
      </w:r>
      <w:r w:rsidR="00AA1A9D">
        <w:rPr>
          <w:rFonts w:ascii="Times New Roman" w:hAnsi="Times New Roman" w:cs="Times New Roman"/>
          <w:sz w:val="24"/>
          <w:szCs w:val="24"/>
        </w:rPr>
        <w:t>was</w:t>
      </w:r>
      <w:r w:rsidR="00AA1A9D" w:rsidRPr="00A10AC4">
        <w:rPr>
          <w:rFonts w:ascii="Times New Roman" w:hAnsi="Times New Roman" w:cs="Times New Roman"/>
          <w:sz w:val="24"/>
          <w:szCs w:val="24"/>
        </w:rPr>
        <w:t xml:space="preserve"> </w:t>
      </w:r>
      <w:r w:rsidR="000E3610" w:rsidRPr="00A10AC4">
        <w:rPr>
          <w:rFonts w:ascii="Times New Roman" w:hAnsi="Times New Roman" w:cs="Times New Roman"/>
          <w:sz w:val="24"/>
          <w:szCs w:val="24"/>
        </w:rPr>
        <w:t xml:space="preserve">because both Treasury and </w:t>
      </w:r>
      <w:r w:rsidR="00832752" w:rsidRPr="00A10AC4">
        <w:rPr>
          <w:rFonts w:ascii="Times New Roman" w:hAnsi="Times New Roman" w:cs="Times New Roman"/>
          <w:sz w:val="24"/>
          <w:szCs w:val="24"/>
        </w:rPr>
        <w:t xml:space="preserve">the </w:t>
      </w:r>
      <w:r w:rsidR="000E3610" w:rsidRPr="00A10AC4">
        <w:rPr>
          <w:rFonts w:ascii="Times New Roman" w:hAnsi="Times New Roman" w:cs="Times New Roman"/>
          <w:sz w:val="24"/>
          <w:szCs w:val="24"/>
        </w:rPr>
        <w:t>Department of Public Administration expect the IPID to set achievable targets that are not out of line with the budget and human resources</w:t>
      </w:r>
      <w:r w:rsidR="00832752" w:rsidRPr="00A10AC4">
        <w:rPr>
          <w:rFonts w:ascii="Times New Roman" w:hAnsi="Times New Roman" w:cs="Times New Roman"/>
          <w:sz w:val="24"/>
          <w:szCs w:val="24"/>
        </w:rPr>
        <w:t>. The targets do not change much because the budget allocation does not provide for the IPID to do more.</w:t>
      </w:r>
    </w:p>
    <w:p w14:paraId="2B3623F1" w14:textId="127B7496" w:rsidR="00740CCC" w:rsidRPr="00A10AC4" w:rsidRDefault="00740CCC" w:rsidP="00A10AC4">
      <w:pPr>
        <w:spacing w:line="276" w:lineRule="auto"/>
        <w:ind w:left="720" w:hanging="720"/>
        <w:jc w:val="both"/>
        <w:rPr>
          <w:rFonts w:ascii="Times New Roman" w:hAnsi="Times New Roman" w:cs="Times New Roman"/>
          <w:sz w:val="24"/>
          <w:szCs w:val="24"/>
        </w:rPr>
      </w:pPr>
    </w:p>
    <w:p w14:paraId="570D8E8B" w14:textId="77777777" w:rsidR="009D3918" w:rsidRPr="00A10AC4" w:rsidRDefault="009D3918"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 xml:space="preserve">4.16 </w:t>
      </w:r>
      <w:r w:rsidR="00B71EE2" w:rsidRPr="00A10AC4">
        <w:rPr>
          <w:rFonts w:ascii="Times New Roman" w:hAnsi="Times New Roman" w:cs="Times New Roman"/>
          <w:sz w:val="24"/>
          <w:szCs w:val="24"/>
        </w:rPr>
        <w:tab/>
        <w:t>T</w:t>
      </w:r>
      <w:r w:rsidRPr="00A10AC4">
        <w:rPr>
          <w:rFonts w:ascii="Times New Roman" w:hAnsi="Times New Roman" w:cs="Times New Roman"/>
          <w:sz w:val="24"/>
          <w:szCs w:val="24"/>
        </w:rPr>
        <w:t>he Committee enquired why the Annual Performance Plan (APP) of the IPID does not speak to the convictions made.</w:t>
      </w:r>
      <w:r w:rsidR="00B71EE2" w:rsidRPr="00A10AC4">
        <w:rPr>
          <w:rFonts w:ascii="Times New Roman" w:hAnsi="Times New Roman" w:cs="Times New Roman"/>
          <w:sz w:val="24"/>
          <w:szCs w:val="24"/>
        </w:rPr>
        <w:t xml:space="preserve"> The response was that the mandate of the IPID is to investigate criminal misconduct by members of SAPS and investigations can come up with two outcomes; that a member has acted lawfully or unlawfully. </w:t>
      </w:r>
      <w:r w:rsidR="00F855FE" w:rsidRPr="00A10AC4">
        <w:rPr>
          <w:rFonts w:ascii="Times New Roman" w:hAnsi="Times New Roman" w:cs="Times New Roman"/>
          <w:sz w:val="24"/>
          <w:szCs w:val="24"/>
        </w:rPr>
        <w:t>Therefore, the t</w:t>
      </w:r>
      <w:r w:rsidR="00CC1B32">
        <w:rPr>
          <w:rFonts w:ascii="Times New Roman" w:hAnsi="Times New Roman" w:cs="Times New Roman"/>
          <w:sz w:val="24"/>
          <w:szCs w:val="24"/>
        </w:rPr>
        <w:t>h</w:t>
      </w:r>
      <w:r w:rsidR="00B71EE2" w:rsidRPr="00A10AC4">
        <w:rPr>
          <w:rFonts w:ascii="Times New Roman" w:hAnsi="Times New Roman" w:cs="Times New Roman"/>
          <w:sz w:val="24"/>
          <w:szCs w:val="24"/>
        </w:rPr>
        <w:t>rust of the IPID investigations is not about convictions but about getting the truth whether crime was committed or not.</w:t>
      </w:r>
    </w:p>
    <w:p w14:paraId="3E225AF7" w14:textId="77777777" w:rsidR="00F22B24" w:rsidRPr="00A10AC4" w:rsidRDefault="00F22B24"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 xml:space="preserve">4.17 </w:t>
      </w:r>
      <w:r w:rsidRPr="00A10AC4">
        <w:rPr>
          <w:rFonts w:ascii="Times New Roman" w:hAnsi="Times New Roman" w:cs="Times New Roman"/>
          <w:sz w:val="24"/>
          <w:szCs w:val="24"/>
        </w:rPr>
        <w:tab/>
        <w:t>The Committee wanted to know the number of high profile cases that the IPID dealt with and why there was a delay in prosecuting these cases. The response was that the IPID engages the National Prosecuting Authority (NPA) when dealing with such cases and the delay in the finalisation of these cases was part</w:t>
      </w:r>
      <w:r w:rsidR="004B7DF2" w:rsidRPr="00A10AC4">
        <w:rPr>
          <w:rFonts w:ascii="Times New Roman" w:hAnsi="Times New Roman" w:cs="Times New Roman"/>
          <w:sz w:val="24"/>
          <w:szCs w:val="24"/>
        </w:rPr>
        <w:t xml:space="preserve">ly due to the vacant position </w:t>
      </w:r>
      <w:r w:rsidRPr="00A10AC4">
        <w:rPr>
          <w:rFonts w:ascii="Times New Roman" w:hAnsi="Times New Roman" w:cs="Times New Roman"/>
          <w:sz w:val="24"/>
          <w:szCs w:val="24"/>
        </w:rPr>
        <w:t>of the National Director of Public Prosecutions</w:t>
      </w:r>
      <w:r w:rsidR="004B7DF2" w:rsidRPr="00A10AC4">
        <w:rPr>
          <w:rFonts w:ascii="Times New Roman" w:hAnsi="Times New Roman" w:cs="Times New Roman"/>
          <w:sz w:val="24"/>
          <w:szCs w:val="24"/>
        </w:rPr>
        <w:t xml:space="preserve"> (NDPP). S</w:t>
      </w:r>
      <w:r w:rsidRPr="00A10AC4">
        <w:rPr>
          <w:rFonts w:ascii="Times New Roman" w:hAnsi="Times New Roman" w:cs="Times New Roman"/>
          <w:sz w:val="24"/>
          <w:szCs w:val="24"/>
        </w:rPr>
        <w:t>in</w:t>
      </w:r>
      <w:r w:rsidR="004B7DF2" w:rsidRPr="00A10AC4">
        <w:rPr>
          <w:rFonts w:ascii="Times New Roman" w:hAnsi="Times New Roman" w:cs="Times New Roman"/>
          <w:sz w:val="24"/>
          <w:szCs w:val="24"/>
        </w:rPr>
        <w:t>ce the appointment of the National Director of Public Prosecutions,</w:t>
      </w:r>
      <w:r w:rsidRPr="00A10AC4">
        <w:rPr>
          <w:rFonts w:ascii="Times New Roman" w:hAnsi="Times New Roman" w:cs="Times New Roman"/>
          <w:sz w:val="24"/>
          <w:szCs w:val="24"/>
        </w:rPr>
        <w:t xml:space="preserve"> there has been some progress in ensuring a speedy resolution of these cases.</w:t>
      </w:r>
    </w:p>
    <w:p w14:paraId="470881DC" w14:textId="5B84924D" w:rsidR="00D01B25" w:rsidRPr="00A10AC4" w:rsidRDefault="00D01B25"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4.18</w:t>
      </w:r>
      <w:r w:rsidRPr="00A10AC4">
        <w:rPr>
          <w:rFonts w:ascii="Times New Roman" w:hAnsi="Times New Roman" w:cs="Times New Roman"/>
          <w:sz w:val="24"/>
          <w:szCs w:val="24"/>
        </w:rPr>
        <w:tab/>
        <w:t>The Committee asked how far the processing of the IPID Act</w:t>
      </w:r>
      <w:r w:rsidR="00CC1B32">
        <w:rPr>
          <w:rFonts w:ascii="Times New Roman" w:hAnsi="Times New Roman" w:cs="Times New Roman"/>
          <w:sz w:val="24"/>
          <w:szCs w:val="24"/>
        </w:rPr>
        <w:t>, 2011</w:t>
      </w:r>
      <w:r w:rsidRPr="00A10AC4">
        <w:rPr>
          <w:rFonts w:ascii="Times New Roman" w:hAnsi="Times New Roman" w:cs="Times New Roman"/>
          <w:sz w:val="24"/>
          <w:szCs w:val="24"/>
        </w:rPr>
        <w:t xml:space="preserve"> was. The response was that </w:t>
      </w:r>
      <w:r w:rsidR="00EA125D" w:rsidRPr="00A10AC4">
        <w:rPr>
          <w:rFonts w:ascii="Times New Roman" w:hAnsi="Times New Roman" w:cs="Times New Roman"/>
          <w:sz w:val="24"/>
          <w:szCs w:val="24"/>
        </w:rPr>
        <w:t xml:space="preserve">the IPID </w:t>
      </w:r>
      <w:r w:rsidR="00CC1B32">
        <w:rPr>
          <w:rFonts w:ascii="Times New Roman" w:hAnsi="Times New Roman" w:cs="Times New Roman"/>
          <w:sz w:val="24"/>
          <w:szCs w:val="24"/>
        </w:rPr>
        <w:t xml:space="preserve">Amendment Bill was initiated by the </w:t>
      </w:r>
      <w:r w:rsidR="00EA125D" w:rsidRPr="00A10AC4">
        <w:rPr>
          <w:rFonts w:ascii="Times New Roman" w:hAnsi="Times New Roman" w:cs="Times New Roman"/>
          <w:sz w:val="24"/>
          <w:szCs w:val="24"/>
        </w:rPr>
        <w:t xml:space="preserve">Portfolio Committee </w:t>
      </w:r>
      <w:r w:rsidR="00CC1B32">
        <w:rPr>
          <w:rFonts w:ascii="Times New Roman" w:hAnsi="Times New Roman" w:cs="Times New Roman"/>
          <w:sz w:val="24"/>
          <w:szCs w:val="24"/>
        </w:rPr>
        <w:t xml:space="preserve">on Police, as a Committee Bill </w:t>
      </w:r>
      <w:r w:rsidR="00EA125D" w:rsidRPr="00A10AC4">
        <w:rPr>
          <w:rFonts w:ascii="Times New Roman" w:hAnsi="Times New Roman" w:cs="Times New Roman"/>
          <w:sz w:val="24"/>
          <w:szCs w:val="24"/>
        </w:rPr>
        <w:t xml:space="preserve">in the </w:t>
      </w:r>
      <w:r w:rsidR="00CC1B32" w:rsidRPr="00A10AC4">
        <w:rPr>
          <w:rFonts w:ascii="Times New Roman" w:hAnsi="Times New Roman" w:cs="Times New Roman"/>
          <w:sz w:val="24"/>
          <w:szCs w:val="24"/>
        </w:rPr>
        <w:t>fifth</w:t>
      </w:r>
      <w:r w:rsidR="00EA125D" w:rsidRPr="00A10AC4">
        <w:rPr>
          <w:rFonts w:ascii="Times New Roman" w:hAnsi="Times New Roman" w:cs="Times New Roman"/>
          <w:sz w:val="24"/>
          <w:szCs w:val="24"/>
        </w:rPr>
        <w:t xml:space="preserve"> Parliament</w:t>
      </w:r>
      <w:r w:rsidR="00CC1B32">
        <w:rPr>
          <w:rFonts w:ascii="Times New Roman" w:hAnsi="Times New Roman" w:cs="Times New Roman"/>
          <w:sz w:val="24"/>
          <w:szCs w:val="24"/>
        </w:rPr>
        <w:t>.</w:t>
      </w:r>
      <w:r w:rsidR="00EA125D" w:rsidRPr="00A10AC4">
        <w:rPr>
          <w:rFonts w:ascii="Times New Roman" w:hAnsi="Times New Roman" w:cs="Times New Roman"/>
          <w:sz w:val="24"/>
          <w:szCs w:val="24"/>
        </w:rPr>
        <w:t xml:space="preserve"> </w:t>
      </w:r>
      <w:r w:rsidR="00CC1B32">
        <w:rPr>
          <w:rFonts w:ascii="Times New Roman" w:hAnsi="Times New Roman" w:cs="Times New Roman"/>
          <w:sz w:val="24"/>
          <w:szCs w:val="24"/>
        </w:rPr>
        <w:t xml:space="preserve">Unfortunately, the NCOP did not have time to consider the IPID Amendment Bill and as such it lapsed. </w:t>
      </w:r>
    </w:p>
    <w:p w14:paraId="2C6A9D61" w14:textId="77777777" w:rsidR="00036437" w:rsidRPr="00A10AC4" w:rsidRDefault="00036437" w:rsidP="00A10AC4">
      <w:pPr>
        <w:spacing w:line="276" w:lineRule="auto"/>
        <w:ind w:left="720" w:hanging="720"/>
        <w:jc w:val="both"/>
        <w:rPr>
          <w:rFonts w:ascii="Times New Roman" w:hAnsi="Times New Roman" w:cs="Times New Roman"/>
          <w:sz w:val="24"/>
          <w:szCs w:val="24"/>
        </w:rPr>
      </w:pPr>
    </w:p>
    <w:p w14:paraId="11245E85" w14:textId="77777777" w:rsidR="00BF6A8D" w:rsidRPr="00A10AC4" w:rsidRDefault="00BF6A8D" w:rsidP="00A10AC4">
      <w:pPr>
        <w:spacing w:line="276" w:lineRule="auto"/>
        <w:jc w:val="both"/>
        <w:rPr>
          <w:rFonts w:ascii="Times New Roman" w:hAnsi="Times New Roman" w:cs="Times New Roman"/>
          <w:b/>
          <w:sz w:val="24"/>
          <w:szCs w:val="24"/>
        </w:rPr>
      </w:pPr>
      <w:r w:rsidRPr="00A10AC4">
        <w:rPr>
          <w:rFonts w:ascii="Times New Roman" w:hAnsi="Times New Roman" w:cs="Times New Roman"/>
          <w:b/>
          <w:sz w:val="24"/>
          <w:szCs w:val="24"/>
        </w:rPr>
        <w:t xml:space="preserve">5. </w:t>
      </w:r>
      <w:r w:rsidRPr="00A10AC4">
        <w:rPr>
          <w:rFonts w:ascii="Times New Roman" w:hAnsi="Times New Roman" w:cs="Times New Roman"/>
          <w:b/>
          <w:sz w:val="24"/>
          <w:szCs w:val="24"/>
        </w:rPr>
        <w:tab/>
        <w:t>Committee Recommendations</w:t>
      </w:r>
    </w:p>
    <w:p w14:paraId="3B4AC459" w14:textId="77777777" w:rsidR="00807497" w:rsidRPr="00A10AC4" w:rsidRDefault="00807497" w:rsidP="00A10AC4">
      <w:pPr>
        <w:spacing w:line="276" w:lineRule="auto"/>
        <w:jc w:val="both"/>
        <w:rPr>
          <w:rFonts w:ascii="Times New Roman" w:hAnsi="Times New Roman" w:cs="Times New Roman"/>
          <w:b/>
          <w:sz w:val="24"/>
          <w:szCs w:val="24"/>
        </w:rPr>
      </w:pPr>
    </w:p>
    <w:p w14:paraId="3E5B4E5E" w14:textId="77777777" w:rsidR="00AF0409" w:rsidRPr="00A10AC4" w:rsidRDefault="00AF0409"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 xml:space="preserve">The Committee made the following recommendations </w:t>
      </w:r>
    </w:p>
    <w:p w14:paraId="4FDA434A" w14:textId="77777777" w:rsidR="00FA71FE" w:rsidRPr="00A10AC4" w:rsidRDefault="00FA71FE"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5.1</w:t>
      </w:r>
      <w:r w:rsidRPr="00A10AC4">
        <w:rPr>
          <w:rFonts w:ascii="Times New Roman" w:hAnsi="Times New Roman" w:cs="Times New Roman"/>
          <w:sz w:val="24"/>
          <w:szCs w:val="24"/>
        </w:rPr>
        <w:tab/>
        <w:t>The Committee recommends</w:t>
      </w:r>
      <w:r w:rsidR="00807497" w:rsidRPr="00A10AC4">
        <w:rPr>
          <w:rFonts w:ascii="Times New Roman" w:hAnsi="Times New Roman" w:cs="Times New Roman"/>
          <w:sz w:val="24"/>
          <w:szCs w:val="24"/>
        </w:rPr>
        <w:t xml:space="preserve"> that the Minister of Police should</w:t>
      </w:r>
      <w:r w:rsidRPr="00A10AC4">
        <w:rPr>
          <w:rFonts w:ascii="Times New Roman" w:hAnsi="Times New Roman" w:cs="Times New Roman"/>
          <w:sz w:val="24"/>
          <w:szCs w:val="24"/>
        </w:rPr>
        <w:t xml:space="preserve"> fast track the </w:t>
      </w:r>
      <w:r w:rsidR="00AF0409" w:rsidRPr="00A10AC4">
        <w:rPr>
          <w:rFonts w:ascii="Times New Roman" w:hAnsi="Times New Roman" w:cs="Times New Roman"/>
          <w:sz w:val="24"/>
          <w:szCs w:val="24"/>
        </w:rPr>
        <w:t>process of appointing</w:t>
      </w:r>
      <w:r w:rsidRPr="00A10AC4">
        <w:rPr>
          <w:rFonts w:ascii="Times New Roman" w:hAnsi="Times New Roman" w:cs="Times New Roman"/>
          <w:sz w:val="24"/>
          <w:szCs w:val="24"/>
        </w:rPr>
        <w:t xml:space="preserve"> the Executi</w:t>
      </w:r>
      <w:r w:rsidR="00AF0409" w:rsidRPr="00A10AC4">
        <w:rPr>
          <w:rFonts w:ascii="Times New Roman" w:hAnsi="Times New Roman" w:cs="Times New Roman"/>
          <w:sz w:val="24"/>
          <w:szCs w:val="24"/>
        </w:rPr>
        <w:t>ve Director.</w:t>
      </w:r>
    </w:p>
    <w:p w14:paraId="0354513E" w14:textId="77777777" w:rsidR="00FA71FE" w:rsidRPr="00A10AC4" w:rsidRDefault="00FA71FE"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 xml:space="preserve">5.2 </w:t>
      </w:r>
      <w:r w:rsidR="00AF0409" w:rsidRPr="00A10AC4">
        <w:rPr>
          <w:rFonts w:ascii="Times New Roman" w:hAnsi="Times New Roman" w:cs="Times New Roman"/>
          <w:sz w:val="24"/>
          <w:szCs w:val="24"/>
        </w:rPr>
        <w:tab/>
      </w:r>
      <w:r w:rsidRPr="00A10AC4">
        <w:rPr>
          <w:rFonts w:ascii="Times New Roman" w:hAnsi="Times New Roman" w:cs="Times New Roman"/>
          <w:sz w:val="24"/>
          <w:szCs w:val="24"/>
        </w:rPr>
        <w:t xml:space="preserve">The </w:t>
      </w:r>
      <w:r w:rsidR="00B52015" w:rsidRPr="00A10AC4">
        <w:rPr>
          <w:rFonts w:ascii="Times New Roman" w:hAnsi="Times New Roman" w:cs="Times New Roman"/>
          <w:sz w:val="24"/>
          <w:szCs w:val="24"/>
        </w:rPr>
        <w:t xml:space="preserve">Committee recommends </w:t>
      </w:r>
      <w:r w:rsidR="00807497" w:rsidRPr="00A10AC4">
        <w:rPr>
          <w:rFonts w:ascii="Times New Roman" w:hAnsi="Times New Roman" w:cs="Times New Roman"/>
          <w:sz w:val="24"/>
          <w:szCs w:val="24"/>
        </w:rPr>
        <w:t xml:space="preserve">that </w:t>
      </w:r>
      <w:r w:rsidR="00B52015" w:rsidRPr="00A10AC4">
        <w:rPr>
          <w:rFonts w:ascii="Times New Roman" w:hAnsi="Times New Roman" w:cs="Times New Roman"/>
          <w:sz w:val="24"/>
          <w:szCs w:val="24"/>
        </w:rPr>
        <w:t>the IPID should</w:t>
      </w:r>
      <w:r w:rsidRPr="00A10AC4">
        <w:rPr>
          <w:rFonts w:ascii="Times New Roman" w:hAnsi="Times New Roman" w:cs="Times New Roman"/>
          <w:sz w:val="24"/>
          <w:szCs w:val="24"/>
        </w:rPr>
        <w:t xml:space="preserve"> fill in the vacant positions as matter of urgency.</w:t>
      </w:r>
    </w:p>
    <w:p w14:paraId="54BD6574" w14:textId="77777777" w:rsidR="00BF6A8D" w:rsidRPr="00A10AC4" w:rsidRDefault="00AF0409"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5.3</w:t>
      </w:r>
      <w:r w:rsidRPr="00A10AC4">
        <w:rPr>
          <w:rFonts w:ascii="Times New Roman" w:hAnsi="Times New Roman" w:cs="Times New Roman"/>
          <w:sz w:val="24"/>
          <w:szCs w:val="24"/>
        </w:rPr>
        <w:tab/>
      </w:r>
      <w:r w:rsidR="00FA71FE" w:rsidRPr="00A10AC4">
        <w:rPr>
          <w:rFonts w:ascii="Times New Roman" w:hAnsi="Times New Roman" w:cs="Times New Roman"/>
          <w:sz w:val="24"/>
          <w:szCs w:val="24"/>
        </w:rPr>
        <w:t xml:space="preserve">The Committee recommends that the IPID management </w:t>
      </w:r>
      <w:r w:rsidR="00B52015" w:rsidRPr="00A10AC4">
        <w:rPr>
          <w:rFonts w:ascii="Times New Roman" w:hAnsi="Times New Roman" w:cs="Times New Roman"/>
          <w:sz w:val="24"/>
          <w:szCs w:val="24"/>
        </w:rPr>
        <w:t>must</w:t>
      </w:r>
      <w:r w:rsidRPr="00A10AC4">
        <w:rPr>
          <w:rFonts w:ascii="Times New Roman" w:hAnsi="Times New Roman" w:cs="Times New Roman"/>
          <w:sz w:val="24"/>
          <w:szCs w:val="24"/>
        </w:rPr>
        <w:t xml:space="preserve"> </w:t>
      </w:r>
      <w:r w:rsidR="00FA71FE" w:rsidRPr="00A10AC4">
        <w:rPr>
          <w:rFonts w:ascii="Times New Roman" w:hAnsi="Times New Roman" w:cs="Times New Roman"/>
          <w:sz w:val="24"/>
          <w:szCs w:val="24"/>
        </w:rPr>
        <w:t xml:space="preserve">engage with the Department of Public Works to </w:t>
      </w:r>
      <w:r w:rsidRPr="00A10AC4">
        <w:rPr>
          <w:rFonts w:ascii="Times New Roman" w:hAnsi="Times New Roman" w:cs="Times New Roman"/>
          <w:sz w:val="24"/>
          <w:szCs w:val="24"/>
        </w:rPr>
        <w:t>resolve the matter of</w:t>
      </w:r>
      <w:r w:rsidR="00FA71FE" w:rsidRPr="00A10AC4">
        <w:rPr>
          <w:rFonts w:ascii="Times New Roman" w:hAnsi="Times New Roman" w:cs="Times New Roman"/>
          <w:sz w:val="24"/>
          <w:szCs w:val="24"/>
        </w:rPr>
        <w:t xml:space="preserve"> </w:t>
      </w:r>
      <w:r w:rsidR="00A06FE6">
        <w:rPr>
          <w:rFonts w:ascii="Times New Roman" w:hAnsi="Times New Roman" w:cs="Times New Roman"/>
          <w:sz w:val="24"/>
          <w:szCs w:val="24"/>
        </w:rPr>
        <w:t xml:space="preserve">the </w:t>
      </w:r>
      <w:r w:rsidR="00FA71FE" w:rsidRPr="00A10AC4">
        <w:rPr>
          <w:rFonts w:ascii="Times New Roman" w:hAnsi="Times New Roman" w:cs="Times New Roman"/>
          <w:sz w:val="24"/>
          <w:szCs w:val="24"/>
        </w:rPr>
        <w:t>lease contract.</w:t>
      </w:r>
    </w:p>
    <w:p w14:paraId="00E9FA40" w14:textId="77777777" w:rsidR="00D1763C" w:rsidRPr="00A10AC4" w:rsidRDefault="00D1763C"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5.4</w:t>
      </w:r>
      <w:r w:rsidRPr="00A10AC4">
        <w:rPr>
          <w:rFonts w:ascii="Times New Roman" w:hAnsi="Times New Roman" w:cs="Times New Roman"/>
          <w:sz w:val="24"/>
          <w:szCs w:val="24"/>
        </w:rPr>
        <w:tab/>
        <w:t xml:space="preserve">The </w:t>
      </w:r>
      <w:r w:rsidR="004E7D12" w:rsidRPr="00A10AC4">
        <w:rPr>
          <w:rFonts w:ascii="Times New Roman" w:hAnsi="Times New Roman" w:cs="Times New Roman"/>
          <w:sz w:val="24"/>
          <w:szCs w:val="24"/>
        </w:rPr>
        <w:t>Committee</w:t>
      </w:r>
      <w:r w:rsidRPr="00A10AC4">
        <w:rPr>
          <w:rFonts w:ascii="Times New Roman" w:hAnsi="Times New Roman" w:cs="Times New Roman"/>
          <w:sz w:val="24"/>
          <w:szCs w:val="24"/>
        </w:rPr>
        <w:t xml:space="preserve"> recommends that the IPID must have a plan of action in place in order for A</w:t>
      </w:r>
      <w:r w:rsidR="00807497" w:rsidRPr="00A10AC4">
        <w:rPr>
          <w:rFonts w:ascii="Times New Roman" w:hAnsi="Times New Roman" w:cs="Times New Roman"/>
          <w:sz w:val="24"/>
          <w:szCs w:val="24"/>
        </w:rPr>
        <w:t xml:space="preserve">uditor </w:t>
      </w:r>
      <w:r w:rsidRPr="00A10AC4">
        <w:rPr>
          <w:rFonts w:ascii="Times New Roman" w:hAnsi="Times New Roman" w:cs="Times New Roman"/>
          <w:sz w:val="24"/>
          <w:szCs w:val="24"/>
        </w:rPr>
        <w:t>G</w:t>
      </w:r>
      <w:r w:rsidR="00807497" w:rsidRPr="00A10AC4">
        <w:rPr>
          <w:rFonts w:ascii="Times New Roman" w:hAnsi="Times New Roman" w:cs="Times New Roman"/>
          <w:sz w:val="24"/>
          <w:szCs w:val="24"/>
        </w:rPr>
        <w:t xml:space="preserve">eneral </w:t>
      </w:r>
      <w:r w:rsidR="00A06FE6">
        <w:rPr>
          <w:rFonts w:ascii="Times New Roman" w:hAnsi="Times New Roman" w:cs="Times New Roman"/>
          <w:sz w:val="24"/>
          <w:szCs w:val="24"/>
        </w:rPr>
        <w:t xml:space="preserve">of </w:t>
      </w:r>
      <w:r w:rsidRPr="00A10AC4">
        <w:rPr>
          <w:rFonts w:ascii="Times New Roman" w:hAnsi="Times New Roman" w:cs="Times New Roman"/>
          <w:sz w:val="24"/>
          <w:szCs w:val="24"/>
        </w:rPr>
        <w:t>S</w:t>
      </w:r>
      <w:r w:rsidR="00807497" w:rsidRPr="00A10AC4">
        <w:rPr>
          <w:rFonts w:ascii="Times New Roman" w:hAnsi="Times New Roman" w:cs="Times New Roman"/>
          <w:sz w:val="24"/>
          <w:szCs w:val="24"/>
        </w:rPr>
        <w:t xml:space="preserve">outh </w:t>
      </w:r>
      <w:r w:rsidRPr="00A10AC4">
        <w:rPr>
          <w:rFonts w:ascii="Times New Roman" w:hAnsi="Times New Roman" w:cs="Times New Roman"/>
          <w:sz w:val="24"/>
          <w:szCs w:val="24"/>
        </w:rPr>
        <w:t>A</w:t>
      </w:r>
      <w:r w:rsidR="00807497" w:rsidRPr="00A10AC4">
        <w:rPr>
          <w:rFonts w:ascii="Times New Roman" w:hAnsi="Times New Roman" w:cs="Times New Roman"/>
          <w:sz w:val="24"/>
          <w:szCs w:val="24"/>
        </w:rPr>
        <w:t>frica</w:t>
      </w:r>
      <w:r w:rsidRPr="00A10AC4">
        <w:rPr>
          <w:rFonts w:ascii="Times New Roman" w:hAnsi="Times New Roman" w:cs="Times New Roman"/>
          <w:sz w:val="24"/>
          <w:szCs w:val="24"/>
        </w:rPr>
        <w:t xml:space="preserve"> to be able to assist them with </w:t>
      </w:r>
      <w:r w:rsidR="00807497" w:rsidRPr="00A10AC4">
        <w:rPr>
          <w:rFonts w:ascii="Times New Roman" w:hAnsi="Times New Roman" w:cs="Times New Roman"/>
          <w:sz w:val="24"/>
          <w:szCs w:val="24"/>
        </w:rPr>
        <w:t xml:space="preserve">the </w:t>
      </w:r>
      <w:r w:rsidRPr="00A10AC4">
        <w:rPr>
          <w:rFonts w:ascii="Times New Roman" w:hAnsi="Times New Roman" w:cs="Times New Roman"/>
          <w:sz w:val="24"/>
          <w:szCs w:val="24"/>
        </w:rPr>
        <w:t>audit findings.</w:t>
      </w:r>
    </w:p>
    <w:p w14:paraId="2B320AF8" w14:textId="77777777" w:rsidR="00D1763C" w:rsidRPr="00A10AC4" w:rsidRDefault="00D1763C"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 xml:space="preserve">5.5 </w:t>
      </w:r>
      <w:r w:rsidRPr="00A10AC4">
        <w:rPr>
          <w:rFonts w:ascii="Times New Roman" w:hAnsi="Times New Roman" w:cs="Times New Roman"/>
          <w:sz w:val="24"/>
          <w:szCs w:val="24"/>
        </w:rPr>
        <w:tab/>
        <w:t xml:space="preserve">The </w:t>
      </w:r>
      <w:r w:rsidR="004E7D12" w:rsidRPr="00A10AC4">
        <w:rPr>
          <w:rFonts w:ascii="Times New Roman" w:hAnsi="Times New Roman" w:cs="Times New Roman"/>
          <w:sz w:val="24"/>
          <w:szCs w:val="24"/>
        </w:rPr>
        <w:t>Committee recommends that the IPID should</w:t>
      </w:r>
      <w:r w:rsidR="0024778E" w:rsidRPr="00A10AC4">
        <w:rPr>
          <w:rFonts w:ascii="Times New Roman" w:hAnsi="Times New Roman" w:cs="Times New Roman"/>
          <w:sz w:val="24"/>
          <w:szCs w:val="24"/>
        </w:rPr>
        <w:t xml:space="preserve"> have an upgraded ICT system</w:t>
      </w:r>
      <w:r w:rsidR="004E7D12" w:rsidRPr="00A10AC4">
        <w:rPr>
          <w:rFonts w:ascii="Times New Roman" w:hAnsi="Times New Roman" w:cs="Times New Roman"/>
          <w:sz w:val="24"/>
          <w:szCs w:val="24"/>
        </w:rPr>
        <w:t xml:space="preserve"> that will be aligned to an </w:t>
      </w:r>
      <w:r w:rsidR="0024778E" w:rsidRPr="00A10AC4">
        <w:rPr>
          <w:rFonts w:ascii="Times New Roman" w:hAnsi="Times New Roman" w:cs="Times New Roman"/>
          <w:sz w:val="24"/>
          <w:szCs w:val="24"/>
        </w:rPr>
        <w:t>integrated</w:t>
      </w:r>
      <w:r w:rsidR="004E7D12" w:rsidRPr="00A10AC4">
        <w:rPr>
          <w:rFonts w:ascii="Times New Roman" w:hAnsi="Times New Roman" w:cs="Times New Roman"/>
          <w:sz w:val="24"/>
          <w:szCs w:val="24"/>
        </w:rPr>
        <w:t xml:space="preserve"> criminal justice</w:t>
      </w:r>
      <w:r w:rsidR="0024778E" w:rsidRPr="00A10AC4">
        <w:rPr>
          <w:rFonts w:ascii="Times New Roman" w:hAnsi="Times New Roman" w:cs="Times New Roman"/>
          <w:sz w:val="24"/>
          <w:szCs w:val="24"/>
        </w:rPr>
        <w:t xml:space="preserve"> system where all elements speak to one another on a daily basis, because one of the priorities of the Committee in the sixth parliament </w:t>
      </w:r>
      <w:r w:rsidR="004E7D12" w:rsidRPr="00A10AC4">
        <w:rPr>
          <w:rFonts w:ascii="Times New Roman" w:hAnsi="Times New Roman" w:cs="Times New Roman"/>
          <w:sz w:val="24"/>
          <w:szCs w:val="24"/>
        </w:rPr>
        <w:t>will be to drive towards an integrated criminal justice system</w:t>
      </w:r>
      <w:r w:rsidR="0024778E" w:rsidRPr="00A10AC4">
        <w:rPr>
          <w:rFonts w:ascii="Times New Roman" w:hAnsi="Times New Roman" w:cs="Times New Roman"/>
          <w:sz w:val="24"/>
          <w:szCs w:val="24"/>
        </w:rPr>
        <w:t>.</w:t>
      </w:r>
    </w:p>
    <w:p w14:paraId="39DB9BE5" w14:textId="1100B063" w:rsidR="00EA125D" w:rsidRDefault="00EA125D" w:rsidP="00A10AC4">
      <w:pPr>
        <w:spacing w:line="276" w:lineRule="auto"/>
        <w:ind w:left="720" w:hanging="720"/>
        <w:jc w:val="both"/>
        <w:rPr>
          <w:rFonts w:ascii="Times New Roman" w:hAnsi="Times New Roman" w:cs="Times New Roman"/>
          <w:sz w:val="24"/>
          <w:szCs w:val="24"/>
        </w:rPr>
      </w:pPr>
      <w:r w:rsidRPr="00A10AC4">
        <w:rPr>
          <w:rFonts w:ascii="Times New Roman" w:hAnsi="Times New Roman" w:cs="Times New Roman"/>
          <w:sz w:val="24"/>
          <w:szCs w:val="24"/>
        </w:rPr>
        <w:t>5.6</w:t>
      </w:r>
      <w:r w:rsidRPr="00A10AC4">
        <w:rPr>
          <w:rFonts w:ascii="Times New Roman" w:hAnsi="Times New Roman" w:cs="Times New Roman"/>
          <w:sz w:val="24"/>
          <w:szCs w:val="24"/>
        </w:rPr>
        <w:tab/>
        <w:t xml:space="preserve">The Committee </w:t>
      </w:r>
      <w:r w:rsidR="00DB5663">
        <w:rPr>
          <w:rFonts w:ascii="Times New Roman" w:hAnsi="Times New Roman" w:cs="Times New Roman"/>
          <w:sz w:val="24"/>
          <w:szCs w:val="24"/>
        </w:rPr>
        <w:t xml:space="preserve">will </w:t>
      </w:r>
      <w:r w:rsidR="00DB5663" w:rsidRPr="00A10AC4">
        <w:rPr>
          <w:rFonts w:ascii="Times New Roman" w:hAnsi="Times New Roman" w:cs="Times New Roman"/>
          <w:sz w:val="24"/>
          <w:szCs w:val="24"/>
        </w:rPr>
        <w:t>monitor</w:t>
      </w:r>
      <w:r w:rsidR="00994D17">
        <w:rPr>
          <w:rFonts w:ascii="Times New Roman" w:hAnsi="Times New Roman" w:cs="Times New Roman"/>
          <w:sz w:val="24"/>
          <w:szCs w:val="24"/>
        </w:rPr>
        <w:t xml:space="preserve"> the progress </w:t>
      </w:r>
      <w:r w:rsidR="00301B3B">
        <w:rPr>
          <w:rFonts w:ascii="Times New Roman" w:hAnsi="Times New Roman" w:cs="Times New Roman"/>
          <w:sz w:val="24"/>
          <w:szCs w:val="24"/>
        </w:rPr>
        <w:t>o</w:t>
      </w:r>
      <w:r w:rsidR="00994D17">
        <w:rPr>
          <w:rFonts w:ascii="Times New Roman" w:hAnsi="Times New Roman" w:cs="Times New Roman"/>
          <w:sz w:val="24"/>
          <w:szCs w:val="24"/>
        </w:rPr>
        <w:t xml:space="preserve">f the IPID Amendment Bill to comply with the Constitutional Court deadline. </w:t>
      </w:r>
    </w:p>
    <w:p w14:paraId="38F87054" w14:textId="77777777" w:rsidR="003C1DC8" w:rsidRPr="00A10AC4" w:rsidRDefault="003C1DC8" w:rsidP="00A10AC4">
      <w:pPr>
        <w:spacing w:line="276" w:lineRule="auto"/>
        <w:ind w:left="720" w:hanging="720"/>
        <w:jc w:val="both"/>
        <w:rPr>
          <w:rFonts w:ascii="Times New Roman" w:hAnsi="Times New Roman" w:cs="Times New Roman"/>
          <w:sz w:val="24"/>
          <w:szCs w:val="24"/>
        </w:rPr>
      </w:pPr>
    </w:p>
    <w:p w14:paraId="2DFA174A" w14:textId="77777777" w:rsidR="00F905A0" w:rsidRPr="00A10AC4" w:rsidRDefault="00BF6A8D" w:rsidP="00A10AC4">
      <w:pPr>
        <w:spacing w:line="276" w:lineRule="auto"/>
        <w:jc w:val="both"/>
        <w:rPr>
          <w:rFonts w:ascii="Times New Roman" w:hAnsi="Times New Roman" w:cs="Times New Roman"/>
          <w:b/>
          <w:sz w:val="24"/>
          <w:szCs w:val="24"/>
        </w:rPr>
      </w:pPr>
      <w:r w:rsidRPr="00A10AC4">
        <w:rPr>
          <w:rFonts w:ascii="Times New Roman" w:hAnsi="Times New Roman" w:cs="Times New Roman"/>
          <w:b/>
          <w:sz w:val="24"/>
          <w:szCs w:val="24"/>
        </w:rPr>
        <w:t xml:space="preserve">6. </w:t>
      </w:r>
      <w:r w:rsidRPr="00A10AC4">
        <w:rPr>
          <w:rFonts w:ascii="Times New Roman" w:hAnsi="Times New Roman" w:cs="Times New Roman"/>
          <w:b/>
          <w:sz w:val="24"/>
          <w:szCs w:val="24"/>
        </w:rPr>
        <w:tab/>
        <w:t>Conclusion</w:t>
      </w:r>
    </w:p>
    <w:p w14:paraId="6E5C4460" w14:textId="11B0CB4F" w:rsidR="00F905A0" w:rsidRPr="00A10AC4" w:rsidRDefault="00F905A0" w:rsidP="00A10AC4">
      <w:pPr>
        <w:spacing w:line="276" w:lineRule="auto"/>
        <w:jc w:val="both"/>
        <w:rPr>
          <w:rFonts w:ascii="Times New Roman" w:hAnsi="Times New Roman" w:cs="Times New Roman"/>
          <w:sz w:val="24"/>
          <w:szCs w:val="24"/>
        </w:rPr>
      </w:pPr>
      <w:r w:rsidRPr="00A10AC4">
        <w:rPr>
          <w:rFonts w:ascii="Times New Roman" w:hAnsi="Times New Roman" w:cs="Times New Roman"/>
          <w:sz w:val="24"/>
          <w:szCs w:val="24"/>
        </w:rPr>
        <w:t xml:space="preserve">In conclusion, the </w:t>
      </w:r>
      <w:r w:rsidR="003C1DC8">
        <w:rPr>
          <w:rFonts w:ascii="Times New Roman" w:hAnsi="Times New Roman" w:cs="Times New Roman"/>
          <w:sz w:val="24"/>
          <w:szCs w:val="24"/>
        </w:rPr>
        <w:t>C</w:t>
      </w:r>
      <w:r w:rsidRPr="00A10AC4">
        <w:rPr>
          <w:rFonts w:ascii="Times New Roman" w:hAnsi="Times New Roman" w:cs="Times New Roman"/>
          <w:sz w:val="24"/>
          <w:szCs w:val="24"/>
        </w:rPr>
        <w:t>ommittee noted the work that the IPID is doing in trying to fulfil their mandate of in</w:t>
      </w:r>
      <w:r w:rsidR="00807497" w:rsidRPr="00A10AC4">
        <w:rPr>
          <w:rFonts w:ascii="Times New Roman" w:hAnsi="Times New Roman" w:cs="Times New Roman"/>
          <w:sz w:val="24"/>
          <w:szCs w:val="24"/>
        </w:rPr>
        <w:t>dependent oversight, but believe</w:t>
      </w:r>
      <w:r w:rsidR="00A06FE6">
        <w:rPr>
          <w:rFonts w:ascii="Times New Roman" w:hAnsi="Times New Roman" w:cs="Times New Roman"/>
          <w:sz w:val="24"/>
          <w:szCs w:val="24"/>
        </w:rPr>
        <w:t>s</w:t>
      </w:r>
      <w:r w:rsidRPr="00A10AC4">
        <w:rPr>
          <w:rFonts w:ascii="Times New Roman" w:hAnsi="Times New Roman" w:cs="Times New Roman"/>
          <w:sz w:val="24"/>
          <w:szCs w:val="24"/>
        </w:rPr>
        <w:t xml:space="preserve"> that they </w:t>
      </w:r>
      <w:r w:rsidR="00301B3B">
        <w:rPr>
          <w:rFonts w:ascii="Times New Roman" w:hAnsi="Times New Roman" w:cs="Times New Roman"/>
          <w:sz w:val="24"/>
          <w:szCs w:val="24"/>
        </w:rPr>
        <w:t>require</w:t>
      </w:r>
      <w:r w:rsidRPr="00A10AC4">
        <w:rPr>
          <w:rFonts w:ascii="Times New Roman" w:hAnsi="Times New Roman" w:cs="Times New Roman"/>
          <w:sz w:val="24"/>
          <w:szCs w:val="24"/>
        </w:rPr>
        <w:t xml:space="preserve"> additional budget in order to improve their footprint.</w:t>
      </w:r>
      <w:r w:rsidR="00740CCC" w:rsidRPr="00A10AC4">
        <w:rPr>
          <w:rFonts w:ascii="Times New Roman" w:hAnsi="Times New Roman" w:cs="Times New Roman"/>
          <w:sz w:val="24"/>
          <w:szCs w:val="24"/>
        </w:rPr>
        <w:t xml:space="preserve"> The Committee </w:t>
      </w:r>
      <w:r w:rsidR="00A06FE6">
        <w:rPr>
          <w:rFonts w:ascii="Times New Roman" w:hAnsi="Times New Roman" w:cs="Times New Roman"/>
          <w:sz w:val="24"/>
          <w:szCs w:val="24"/>
        </w:rPr>
        <w:t xml:space="preserve">indicated that the </w:t>
      </w:r>
      <w:r w:rsidR="00740CCC" w:rsidRPr="00A10AC4">
        <w:rPr>
          <w:rFonts w:ascii="Times New Roman" w:hAnsi="Times New Roman" w:cs="Times New Roman"/>
          <w:sz w:val="24"/>
          <w:szCs w:val="24"/>
        </w:rPr>
        <w:t xml:space="preserve">IPID </w:t>
      </w:r>
      <w:r w:rsidR="00A06FE6">
        <w:rPr>
          <w:rFonts w:ascii="Times New Roman" w:hAnsi="Times New Roman" w:cs="Times New Roman"/>
          <w:sz w:val="24"/>
          <w:szCs w:val="24"/>
        </w:rPr>
        <w:t xml:space="preserve">must </w:t>
      </w:r>
      <w:r w:rsidR="00740CCC" w:rsidRPr="00A10AC4">
        <w:rPr>
          <w:rFonts w:ascii="Times New Roman" w:hAnsi="Times New Roman" w:cs="Times New Roman"/>
          <w:sz w:val="24"/>
          <w:szCs w:val="24"/>
        </w:rPr>
        <w:t xml:space="preserve">fast track the process of filling vacancies in order to reduce backlogs and improve service delivery. The Committee </w:t>
      </w:r>
      <w:r w:rsidR="00A06FE6">
        <w:rPr>
          <w:rFonts w:ascii="Times New Roman" w:hAnsi="Times New Roman" w:cs="Times New Roman"/>
          <w:sz w:val="24"/>
          <w:szCs w:val="24"/>
        </w:rPr>
        <w:t>was</w:t>
      </w:r>
      <w:r w:rsidR="00A06FE6" w:rsidRPr="00A10AC4">
        <w:rPr>
          <w:rFonts w:ascii="Times New Roman" w:hAnsi="Times New Roman" w:cs="Times New Roman"/>
          <w:sz w:val="24"/>
          <w:szCs w:val="24"/>
        </w:rPr>
        <w:t xml:space="preserve"> </w:t>
      </w:r>
      <w:r w:rsidR="00740CCC" w:rsidRPr="00A10AC4">
        <w:rPr>
          <w:rFonts w:ascii="Times New Roman" w:hAnsi="Times New Roman" w:cs="Times New Roman"/>
          <w:sz w:val="24"/>
          <w:szCs w:val="24"/>
        </w:rPr>
        <w:t xml:space="preserve">concerned that the </w:t>
      </w:r>
      <w:r w:rsidR="00807497" w:rsidRPr="00A10AC4">
        <w:rPr>
          <w:rFonts w:ascii="Times New Roman" w:hAnsi="Times New Roman" w:cs="Times New Roman"/>
          <w:sz w:val="24"/>
          <w:szCs w:val="24"/>
        </w:rPr>
        <w:t>public</w:t>
      </w:r>
      <w:r w:rsidR="00740CCC" w:rsidRPr="00A10AC4">
        <w:rPr>
          <w:rFonts w:ascii="Times New Roman" w:hAnsi="Times New Roman" w:cs="Times New Roman"/>
          <w:sz w:val="24"/>
          <w:szCs w:val="24"/>
        </w:rPr>
        <w:t xml:space="preserve"> is not aware of the existence o</w:t>
      </w:r>
      <w:r w:rsidR="0015125C" w:rsidRPr="00A10AC4">
        <w:rPr>
          <w:rFonts w:ascii="Times New Roman" w:hAnsi="Times New Roman" w:cs="Times New Roman"/>
          <w:sz w:val="24"/>
          <w:szCs w:val="24"/>
        </w:rPr>
        <w:t>f the IPID and its mandate</w:t>
      </w:r>
      <w:r w:rsidR="00807497" w:rsidRPr="00A10AC4">
        <w:rPr>
          <w:rFonts w:ascii="Times New Roman" w:hAnsi="Times New Roman" w:cs="Times New Roman"/>
          <w:sz w:val="24"/>
          <w:szCs w:val="24"/>
        </w:rPr>
        <w:t>.</w:t>
      </w:r>
      <w:r w:rsidR="00740CCC" w:rsidRPr="00A10AC4">
        <w:rPr>
          <w:rFonts w:ascii="Times New Roman" w:hAnsi="Times New Roman" w:cs="Times New Roman"/>
          <w:sz w:val="24"/>
          <w:szCs w:val="24"/>
        </w:rPr>
        <w:t xml:space="preserve"> Therefore, the IPID needs to work hard to improve their marketing strategy and </w:t>
      </w:r>
      <w:r w:rsidR="009E40C4" w:rsidRPr="00A10AC4">
        <w:rPr>
          <w:rFonts w:ascii="Times New Roman" w:hAnsi="Times New Roman" w:cs="Times New Roman"/>
          <w:sz w:val="24"/>
          <w:szCs w:val="24"/>
        </w:rPr>
        <w:t>to bring their services to areas that will be accessible to communities.</w:t>
      </w:r>
      <w:r w:rsidR="00740CCC" w:rsidRPr="00A10AC4">
        <w:rPr>
          <w:rFonts w:ascii="Times New Roman" w:hAnsi="Times New Roman" w:cs="Times New Roman"/>
          <w:sz w:val="24"/>
          <w:szCs w:val="24"/>
        </w:rPr>
        <w:t xml:space="preserve"> </w:t>
      </w:r>
      <w:r w:rsidR="003C1DC8">
        <w:rPr>
          <w:rFonts w:ascii="Times New Roman" w:hAnsi="Times New Roman" w:cs="Times New Roman"/>
          <w:sz w:val="24"/>
          <w:szCs w:val="24"/>
        </w:rPr>
        <w:t xml:space="preserve">The Portfolio Committee thanked the Department for their co-operation in the annual budget hearings.  </w:t>
      </w:r>
    </w:p>
    <w:p w14:paraId="64B8168D" w14:textId="77777777" w:rsidR="00A10AC4" w:rsidRPr="00A10AC4" w:rsidRDefault="00A10AC4" w:rsidP="00A10AC4">
      <w:pPr>
        <w:jc w:val="both"/>
        <w:rPr>
          <w:rFonts w:ascii="Times New Roman" w:hAnsi="Times New Roman" w:cs="Times New Roman"/>
          <w:sz w:val="24"/>
          <w:szCs w:val="24"/>
        </w:rPr>
      </w:pPr>
      <w:r w:rsidRPr="00A10AC4">
        <w:rPr>
          <w:rFonts w:ascii="Times New Roman" w:hAnsi="Times New Roman" w:cs="Times New Roman"/>
          <w:sz w:val="24"/>
          <w:szCs w:val="24"/>
        </w:rPr>
        <w:t xml:space="preserve">The Portfolio Committee on Police supports the budget of the </w:t>
      </w:r>
      <w:r>
        <w:rPr>
          <w:rFonts w:ascii="Times New Roman" w:hAnsi="Times New Roman" w:cs="Times New Roman"/>
          <w:sz w:val="24"/>
          <w:szCs w:val="24"/>
        </w:rPr>
        <w:t xml:space="preserve">Independent Police Investigative Directorate (IPID) for </w:t>
      </w:r>
      <w:r w:rsidRPr="00A10AC4">
        <w:rPr>
          <w:rFonts w:ascii="Times New Roman" w:hAnsi="Times New Roman" w:cs="Times New Roman"/>
          <w:sz w:val="24"/>
          <w:szCs w:val="24"/>
        </w:rPr>
        <w:t>2019/20 and recommends that the Budget Vote 2</w:t>
      </w:r>
      <w:r>
        <w:rPr>
          <w:rFonts w:ascii="Times New Roman" w:hAnsi="Times New Roman" w:cs="Times New Roman"/>
          <w:sz w:val="24"/>
          <w:szCs w:val="24"/>
        </w:rPr>
        <w:t>0</w:t>
      </w:r>
      <w:r w:rsidRPr="00A10AC4">
        <w:rPr>
          <w:rFonts w:ascii="Times New Roman" w:hAnsi="Times New Roman" w:cs="Times New Roman"/>
          <w:sz w:val="24"/>
          <w:szCs w:val="24"/>
        </w:rPr>
        <w:t xml:space="preserve"> be adopted.</w:t>
      </w:r>
    </w:p>
    <w:p w14:paraId="05460CD9" w14:textId="79FD0247" w:rsidR="00BF6A8D" w:rsidRPr="00DB5663" w:rsidRDefault="00DB5663" w:rsidP="00DB5663">
      <w:pPr>
        <w:spacing w:line="276" w:lineRule="auto"/>
        <w:jc w:val="both"/>
        <w:rPr>
          <w:rFonts w:ascii="Times New Roman" w:hAnsi="Times New Roman" w:cs="Times New Roman"/>
          <w:sz w:val="24"/>
          <w:szCs w:val="24"/>
        </w:rPr>
      </w:pPr>
      <w:r w:rsidRPr="00DB5663">
        <w:rPr>
          <w:rFonts w:ascii="Times New Roman" w:hAnsi="Times New Roman" w:cs="Times New Roman"/>
          <w:sz w:val="24"/>
          <w:szCs w:val="24"/>
        </w:rPr>
        <w:t>The Democratic Alliance reserved its rights with respect to supporting or not supporting the budget vote.</w:t>
      </w:r>
    </w:p>
    <w:p w14:paraId="6B678A57" w14:textId="425092DC" w:rsidR="00BF6A8D" w:rsidRPr="00A10AC4" w:rsidRDefault="00BF6A8D" w:rsidP="00DB5663">
      <w:pPr>
        <w:tabs>
          <w:tab w:val="left" w:pos="4056"/>
          <w:tab w:val="left" w:pos="6444"/>
        </w:tabs>
        <w:spacing w:line="276" w:lineRule="auto"/>
        <w:jc w:val="both"/>
        <w:rPr>
          <w:rFonts w:ascii="Times New Roman" w:hAnsi="Times New Roman" w:cs="Times New Roman"/>
          <w:b/>
          <w:sz w:val="24"/>
          <w:szCs w:val="24"/>
        </w:rPr>
      </w:pPr>
      <w:r w:rsidRPr="00A10AC4">
        <w:rPr>
          <w:rFonts w:ascii="Times New Roman" w:hAnsi="Times New Roman" w:cs="Times New Roman"/>
          <w:b/>
          <w:sz w:val="24"/>
          <w:szCs w:val="24"/>
        </w:rPr>
        <w:t>Report to be considered.</w:t>
      </w:r>
      <w:r w:rsidR="00DB5663">
        <w:rPr>
          <w:rFonts w:ascii="Times New Roman" w:hAnsi="Times New Roman" w:cs="Times New Roman"/>
          <w:b/>
          <w:sz w:val="24"/>
          <w:szCs w:val="24"/>
        </w:rPr>
        <w:tab/>
      </w:r>
      <w:r w:rsidR="00DB5663">
        <w:rPr>
          <w:rFonts w:ascii="Times New Roman" w:hAnsi="Times New Roman" w:cs="Times New Roman"/>
          <w:b/>
          <w:sz w:val="24"/>
          <w:szCs w:val="24"/>
        </w:rPr>
        <w:tab/>
      </w:r>
    </w:p>
    <w:p w14:paraId="7E331D91" w14:textId="77777777" w:rsidR="00BF6A8D" w:rsidRPr="00A10AC4" w:rsidRDefault="00BF6A8D" w:rsidP="00A10AC4">
      <w:pPr>
        <w:spacing w:line="276" w:lineRule="auto"/>
        <w:jc w:val="both"/>
        <w:rPr>
          <w:rFonts w:ascii="Times New Roman" w:hAnsi="Times New Roman" w:cs="Times New Roman"/>
          <w:b/>
          <w:sz w:val="24"/>
          <w:szCs w:val="24"/>
        </w:rPr>
      </w:pPr>
    </w:p>
    <w:p w14:paraId="0A024E86" w14:textId="77777777" w:rsidR="00BF6A8D" w:rsidRPr="00A10AC4" w:rsidRDefault="00BF6A8D" w:rsidP="00A10AC4">
      <w:pPr>
        <w:spacing w:line="276" w:lineRule="auto"/>
        <w:jc w:val="both"/>
        <w:rPr>
          <w:rFonts w:ascii="Times New Roman" w:hAnsi="Times New Roman" w:cs="Times New Roman"/>
          <w:b/>
          <w:sz w:val="24"/>
          <w:szCs w:val="24"/>
        </w:rPr>
      </w:pPr>
    </w:p>
    <w:sectPr w:rsidR="00BF6A8D" w:rsidRPr="00A10AC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06C01" w14:textId="77777777" w:rsidR="003162D5" w:rsidRDefault="003162D5" w:rsidP="00C64784">
      <w:pPr>
        <w:spacing w:after="0" w:line="240" w:lineRule="auto"/>
      </w:pPr>
      <w:r>
        <w:separator/>
      </w:r>
    </w:p>
  </w:endnote>
  <w:endnote w:type="continuationSeparator" w:id="0">
    <w:p w14:paraId="5BFE1DD8" w14:textId="77777777" w:rsidR="003162D5" w:rsidRDefault="003162D5" w:rsidP="00C6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F0ED" w14:textId="7C103686" w:rsidR="00B71EE2" w:rsidRDefault="00B71EE2">
    <w:pPr>
      <w:pStyle w:val="Footer"/>
      <w:jc w:val="center"/>
      <w:rPr>
        <w:caps/>
        <w:noProof/>
        <w:color w:val="5B9BD5" w:themeColor="accent1"/>
      </w:rPr>
    </w:pPr>
    <w:r w:rsidRPr="00F905A0">
      <w:rPr>
        <w:caps/>
      </w:rPr>
      <w:fldChar w:fldCharType="begin"/>
    </w:r>
    <w:r w:rsidRPr="00F905A0">
      <w:rPr>
        <w:caps/>
      </w:rPr>
      <w:instrText xml:space="preserve"> PAGE   \* MERGEFORMAT </w:instrText>
    </w:r>
    <w:r w:rsidRPr="00F905A0">
      <w:rPr>
        <w:caps/>
      </w:rPr>
      <w:fldChar w:fldCharType="separate"/>
    </w:r>
    <w:r w:rsidR="005C708F">
      <w:rPr>
        <w:caps/>
        <w:noProof/>
      </w:rPr>
      <w:t>1</w:t>
    </w:r>
    <w:r w:rsidRPr="00F905A0">
      <w:rPr>
        <w:caps/>
        <w:noProof/>
      </w:rPr>
      <w:fldChar w:fldCharType="end"/>
    </w:r>
  </w:p>
  <w:p w14:paraId="26EE7510" w14:textId="77777777" w:rsidR="00B71EE2" w:rsidRDefault="00B71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63331" w14:textId="77777777" w:rsidR="003162D5" w:rsidRDefault="003162D5" w:rsidP="00C64784">
      <w:pPr>
        <w:spacing w:after="0" w:line="240" w:lineRule="auto"/>
      </w:pPr>
      <w:r>
        <w:separator/>
      </w:r>
    </w:p>
  </w:footnote>
  <w:footnote w:type="continuationSeparator" w:id="0">
    <w:p w14:paraId="57D0C3F9" w14:textId="77777777" w:rsidR="003162D5" w:rsidRDefault="003162D5" w:rsidP="00C6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50C0" w14:textId="163EC59A" w:rsidR="00B71EE2" w:rsidRDefault="00B71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F8FF" w14:textId="012F50DC" w:rsidR="00B71EE2" w:rsidRDefault="00B71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ADA9D" w14:textId="341EA222" w:rsidR="00B71EE2" w:rsidRDefault="00B71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2"/>
    <w:multiLevelType w:val="multilevel"/>
    <w:tmpl w:val="293087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E71706"/>
    <w:multiLevelType w:val="multilevel"/>
    <w:tmpl w:val="109C9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0E5FDE"/>
    <w:multiLevelType w:val="hybridMultilevel"/>
    <w:tmpl w:val="DE1458A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A774A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7252B7"/>
    <w:multiLevelType w:val="hybridMultilevel"/>
    <w:tmpl w:val="FACC09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AE7D98"/>
    <w:multiLevelType w:val="multilevel"/>
    <w:tmpl w:val="E80841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DA5684"/>
    <w:multiLevelType w:val="hybridMultilevel"/>
    <w:tmpl w:val="C2248F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214744"/>
    <w:multiLevelType w:val="multilevel"/>
    <w:tmpl w:val="715C7556"/>
    <w:lvl w:ilvl="0">
      <w:start w:val="3"/>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8">
    <w:nsid w:val="11842209"/>
    <w:multiLevelType w:val="hybridMultilevel"/>
    <w:tmpl w:val="E892A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E44392"/>
    <w:multiLevelType w:val="hybridMultilevel"/>
    <w:tmpl w:val="CF7696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6D4F16"/>
    <w:multiLevelType w:val="hybridMultilevel"/>
    <w:tmpl w:val="98BE2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1AB32C7"/>
    <w:multiLevelType w:val="hybridMultilevel"/>
    <w:tmpl w:val="6DEC966A"/>
    <w:lvl w:ilvl="0" w:tplc="DCCE686C">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7E900C0"/>
    <w:multiLevelType w:val="hybridMultilevel"/>
    <w:tmpl w:val="BDC6F3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1E214B5"/>
    <w:multiLevelType w:val="hybridMultilevel"/>
    <w:tmpl w:val="4CB668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3B3612"/>
    <w:multiLevelType w:val="hybridMultilevel"/>
    <w:tmpl w:val="1CB0D628"/>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A6D3F8A"/>
    <w:multiLevelType w:val="hybridMultilevel"/>
    <w:tmpl w:val="85101E7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454442D"/>
    <w:multiLevelType w:val="multilevel"/>
    <w:tmpl w:val="8D6AB8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5224F7"/>
    <w:multiLevelType w:val="multilevel"/>
    <w:tmpl w:val="90D26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D243CA1"/>
    <w:multiLevelType w:val="hybridMultilevel"/>
    <w:tmpl w:val="FACC09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0356EFF"/>
    <w:multiLevelType w:val="hybridMultilevel"/>
    <w:tmpl w:val="FACC09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56C02D9"/>
    <w:multiLevelType w:val="hybridMultilevel"/>
    <w:tmpl w:val="9F400BA0"/>
    <w:lvl w:ilvl="0" w:tplc="8180A4E6">
      <w:start w:val="3"/>
      <w:numFmt w:val="decimal"/>
      <w:lvlText w:val="%1."/>
      <w:lvlJc w:val="left"/>
      <w:pPr>
        <w:ind w:left="720" w:hanging="360"/>
      </w:pPr>
      <w:rPr>
        <w:rFonts w:eastAsia="Calibri"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3"/>
  </w:num>
  <w:num w:numId="5">
    <w:abstractNumId w:val="10"/>
  </w:num>
  <w:num w:numId="6">
    <w:abstractNumId w:val="14"/>
  </w:num>
  <w:num w:numId="7">
    <w:abstractNumId w:val="19"/>
  </w:num>
  <w:num w:numId="8">
    <w:abstractNumId w:val="18"/>
  </w:num>
  <w:num w:numId="9">
    <w:abstractNumId w:val="4"/>
  </w:num>
  <w:num w:numId="10">
    <w:abstractNumId w:val="0"/>
  </w:num>
  <w:num w:numId="11">
    <w:abstractNumId w:val="5"/>
  </w:num>
  <w:num w:numId="12">
    <w:abstractNumId w:val="17"/>
  </w:num>
  <w:num w:numId="13">
    <w:abstractNumId w:val="20"/>
  </w:num>
  <w:num w:numId="14">
    <w:abstractNumId w:val="7"/>
  </w:num>
  <w:num w:numId="15">
    <w:abstractNumId w:val="16"/>
  </w:num>
  <w:num w:numId="16">
    <w:abstractNumId w:val="1"/>
  </w:num>
  <w:num w:numId="17">
    <w:abstractNumId w:val="15"/>
  </w:num>
  <w:num w:numId="18">
    <w:abstractNumId w:val="13"/>
  </w:num>
  <w:num w:numId="19">
    <w:abstractNumId w:val="6"/>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69"/>
    <w:rsid w:val="00034606"/>
    <w:rsid w:val="00036437"/>
    <w:rsid w:val="000867C7"/>
    <w:rsid w:val="000C22A5"/>
    <w:rsid w:val="000E3610"/>
    <w:rsid w:val="001055EE"/>
    <w:rsid w:val="00145669"/>
    <w:rsid w:val="0015125C"/>
    <w:rsid w:val="00173553"/>
    <w:rsid w:val="001B46BF"/>
    <w:rsid w:val="001C1A9B"/>
    <w:rsid w:val="00206239"/>
    <w:rsid w:val="002129FF"/>
    <w:rsid w:val="0024778E"/>
    <w:rsid w:val="0025126B"/>
    <w:rsid w:val="002573FB"/>
    <w:rsid w:val="0027192A"/>
    <w:rsid w:val="002B025C"/>
    <w:rsid w:val="002D240A"/>
    <w:rsid w:val="002D730F"/>
    <w:rsid w:val="00301B3B"/>
    <w:rsid w:val="003120A6"/>
    <w:rsid w:val="003162D5"/>
    <w:rsid w:val="003321D7"/>
    <w:rsid w:val="00342B99"/>
    <w:rsid w:val="00344353"/>
    <w:rsid w:val="00387A01"/>
    <w:rsid w:val="00391E4D"/>
    <w:rsid w:val="003C1DC8"/>
    <w:rsid w:val="00487FC6"/>
    <w:rsid w:val="004B7DF2"/>
    <w:rsid w:val="004E7D12"/>
    <w:rsid w:val="004F24C0"/>
    <w:rsid w:val="00561437"/>
    <w:rsid w:val="00591A48"/>
    <w:rsid w:val="00596179"/>
    <w:rsid w:val="005C708F"/>
    <w:rsid w:val="005E720C"/>
    <w:rsid w:val="005F5088"/>
    <w:rsid w:val="00605392"/>
    <w:rsid w:val="006142B6"/>
    <w:rsid w:val="00735939"/>
    <w:rsid w:val="00740CCC"/>
    <w:rsid w:val="007561F6"/>
    <w:rsid w:val="0078244A"/>
    <w:rsid w:val="007B45DD"/>
    <w:rsid w:val="00807497"/>
    <w:rsid w:val="00812B72"/>
    <w:rsid w:val="00823137"/>
    <w:rsid w:val="00832752"/>
    <w:rsid w:val="00842EA9"/>
    <w:rsid w:val="00847A95"/>
    <w:rsid w:val="008F6719"/>
    <w:rsid w:val="009036FF"/>
    <w:rsid w:val="009138E3"/>
    <w:rsid w:val="00994D17"/>
    <w:rsid w:val="009B71FF"/>
    <w:rsid w:val="009D3918"/>
    <w:rsid w:val="009E3812"/>
    <w:rsid w:val="009E40C4"/>
    <w:rsid w:val="00A03685"/>
    <w:rsid w:val="00A06FE6"/>
    <w:rsid w:val="00A10AC4"/>
    <w:rsid w:val="00A524F6"/>
    <w:rsid w:val="00AA1A9D"/>
    <w:rsid w:val="00AF0409"/>
    <w:rsid w:val="00B00C2B"/>
    <w:rsid w:val="00B10AFB"/>
    <w:rsid w:val="00B52015"/>
    <w:rsid w:val="00B71EE2"/>
    <w:rsid w:val="00B72E63"/>
    <w:rsid w:val="00BC2702"/>
    <w:rsid w:val="00BF6A8D"/>
    <w:rsid w:val="00C3515E"/>
    <w:rsid w:val="00C47CB7"/>
    <w:rsid w:val="00C64784"/>
    <w:rsid w:val="00C7273E"/>
    <w:rsid w:val="00C809C7"/>
    <w:rsid w:val="00CA4F5F"/>
    <w:rsid w:val="00CC1B32"/>
    <w:rsid w:val="00D01B25"/>
    <w:rsid w:val="00D01FD7"/>
    <w:rsid w:val="00D1763C"/>
    <w:rsid w:val="00D53593"/>
    <w:rsid w:val="00DA72C3"/>
    <w:rsid w:val="00DB1E96"/>
    <w:rsid w:val="00DB5663"/>
    <w:rsid w:val="00E21DBE"/>
    <w:rsid w:val="00E43647"/>
    <w:rsid w:val="00EA125D"/>
    <w:rsid w:val="00EB18F0"/>
    <w:rsid w:val="00EB3CB1"/>
    <w:rsid w:val="00F1273D"/>
    <w:rsid w:val="00F22B24"/>
    <w:rsid w:val="00F855FE"/>
    <w:rsid w:val="00F905A0"/>
    <w:rsid w:val="00FA0237"/>
    <w:rsid w:val="00FA71FE"/>
    <w:rsid w:val="00FC4E67"/>
    <w:rsid w:val="00FE65AC"/>
    <w:rsid w:val="00FF25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C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4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01"/>
    <w:pPr>
      <w:ind w:left="720"/>
      <w:contextualSpacing/>
    </w:pPr>
  </w:style>
  <w:style w:type="paragraph" w:customStyle="1" w:styleId="Default">
    <w:name w:val="Default"/>
    <w:rsid w:val="002573F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4784"/>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64784"/>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C64784"/>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4784"/>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C64784"/>
    <w:rPr>
      <w:rFonts w:ascii="Arial" w:hAnsi="Arial"/>
      <w:sz w:val="20"/>
      <w:szCs w:val="20"/>
    </w:rPr>
  </w:style>
  <w:style w:type="character" w:styleId="FootnoteReference">
    <w:name w:val="footnote reference"/>
    <w:basedOn w:val="DefaultParagraphFont"/>
    <w:uiPriority w:val="99"/>
    <w:semiHidden/>
    <w:unhideWhenUsed/>
    <w:rsid w:val="00C64784"/>
    <w:rPr>
      <w:vertAlign w:val="superscript"/>
    </w:rPr>
  </w:style>
  <w:style w:type="table" w:customStyle="1" w:styleId="TableGrid2">
    <w:name w:val="Table Grid2"/>
    <w:basedOn w:val="TableNormal"/>
    <w:next w:val="TableGrid"/>
    <w:uiPriority w:val="39"/>
    <w:rsid w:val="009B71FF"/>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71FF"/>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71FF"/>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53"/>
  </w:style>
  <w:style w:type="paragraph" w:styleId="Footer">
    <w:name w:val="footer"/>
    <w:basedOn w:val="Normal"/>
    <w:link w:val="FooterChar"/>
    <w:uiPriority w:val="99"/>
    <w:unhideWhenUsed/>
    <w:rsid w:val="0017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553"/>
  </w:style>
  <w:style w:type="paragraph" w:styleId="BalloonText">
    <w:name w:val="Balloon Text"/>
    <w:basedOn w:val="Normal"/>
    <w:link w:val="BalloonTextChar"/>
    <w:uiPriority w:val="99"/>
    <w:semiHidden/>
    <w:unhideWhenUsed/>
    <w:rsid w:val="00A06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E6"/>
    <w:rPr>
      <w:rFonts w:ascii="Segoe UI" w:hAnsi="Segoe UI" w:cs="Segoe UI"/>
      <w:sz w:val="18"/>
      <w:szCs w:val="18"/>
    </w:rPr>
  </w:style>
  <w:style w:type="character" w:styleId="CommentReference">
    <w:name w:val="annotation reference"/>
    <w:basedOn w:val="DefaultParagraphFont"/>
    <w:uiPriority w:val="99"/>
    <w:semiHidden/>
    <w:unhideWhenUsed/>
    <w:rsid w:val="00A06FE6"/>
    <w:rPr>
      <w:sz w:val="16"/>
      <w:szCs w:val="16"/>
    </w:rPr>
  </w:style>
  <w:style w:type="paragraph" w:styleId="CommentText">
    <w:name w:val="annotation text"/>
    <w:basedOn w:val="Normal"/>
    <w:link w:val="CommentTextChar"/>
    <w:uiPriority w:val="99"/>
    <w:semiHidden/>
    <w:unhideWhenUsed/>
    <w:rsid w:val="00A06FE6"/>
    <w:pPr>
      <w:spacing w:line="240" w:lineRule="auto"/>
    </w:pPr>
    <w:rPr>
      <w:sz w:val="20"/>
      <w:szCs w:val="20"/>
    </w:rPr>
  </w:style>
  <w:style w:type="character" w:customStyle="1" w:styleId="CommentTextChar">
    <w:name w:val="Comment Text Char"/>
    <w:basedOn w:val="DefaultParagraphFont"/>
    <w:link w:val="CommentText"/>
    <w:uiPriority w:val="99"/>
    <w:semiHidden/>
    <w:rsid w:val="00A06FE6"/>
    <w:rPr>
      <w:sz w:val="20"/>
      <w:szCs w:val="20"/>
    </w:rPr>
  </w:style>
  <w:style w:type="paragraph" w:styleId="CommentSubject">
    <w:name w:val="annotation subject"/>
    <w:basedOn w:val="CommentText"/>
    <w:next w:val="CommentText"/>
    <w:link w:val="CommentSubjectChar"/>
    <w:uiPriority w:val="99"/>
    <w:semiHidden/>
    <w:unhideWhenUsed/>
    <w:rsid w:val="00A06FE6"/>
    <w:rPr>
      <w:b/>
      <w:bCs/>
    </w:rPr>
  </w:style>
  <w:style w:type="character" w:customStyle="1" w:styleId="CommentSubjectChar">
    <w:name w:val="Comment Subject Char"/>
    <w:basedOn w:val="CommentTextChar"/>
    <w:link w:val="CommentSubject"/>
    <w:uiPriority w:val="99"/>
    <w:semiHidden/>
    <w:rsid w:val="00A06F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4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01"/>
    <w:pPr>
      <w:ind w:left="720"/>
      <w:contextualSpacing/>
    </w:pPr>
  </w:style>
  <w:style w:type="paragraph" w:customStyle="1" w:styleId="Default">
    <w:name w:val="Default"/>
    <w:rsid w:val="002573F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4784"/>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64784"/>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C64784"/>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4784"/>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C64784"/>
    <w:rPr>
      <w:rFonts w:ascii="Arial" w:hAnsi="Arial"/>
      <w:sz w:val="20"/>
      <w:szCs w:val="20"/>
    </w:rPr>
  </w:style>
  <w:style w:type="character" w:styleId="FootnoteReference">
    <w:name w:val="footnote reference"/>
    <w:basedOn w:val="DefaultParagraphFont"/>
    <w:uiPriority w:val="99"/>
    <w:semiHidden/>
    <w:unhideWhenUsed/>
    <w:rsid w:val="00C64784"/>
    <w:rPr>
      <w:vertAlign w:val="superscript"/>
    </w:rPr>
  </w:style>
  <w:style w:type="table" w:customStyle="1" w:styleId="TableGrid2">
    <w:name w:val="Table Grid2"/>
    <w:basedOn w:val="TableNormal"/>
    <w:next w:val="TableGrid"/>
    <w:uiPriority w:val="39"/>
    <w:rsid w:val="009B71FF"/>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71FF"/>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71FF"/>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53"/>
  </w:style>
  <w:style w:type="paragraph" w:styleId="Footer">
    <w:name w:val="footer"/>
    <w:basedOn w:val="Normal"/>
    <w:link w:val="FooterChar"/>
    <w:uiPriority w:val="99"/>
    <w:unhideWhenUsed/>
    <w:rsid w:val="0017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553"/>
  </w:style>
  <w:style w:type="paragraph" w:styleId="BalloonText">
    <w:name w:val="Balloon Text"/>
    <w:basedOn w:val="Normal"/>
    <w:link w:val="BalloonTextChar"/>
    <w:uiPriority w:val="99"/>
    <w:semiHidden/>
    <w:unhideWhenUsed/>
    <w:rsid w:val="00A06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E6"/>
    <w:rPr>
      <w:rFonts w:ascii="Segoe UI" w:hAnsi="Segoe UI" w:cs="Segoe UI"/>
      <w:sz w:val="18"/>
      <w:szCs w:val="18"/>
    </w:rPr>
  </w:style>
  <w:style w:type="character" w:styleId="CommentReference">
    <w:name w:val="annotation reference"/>
    <w:basedOn w:val="DefaultParagraphFont"/>
    <w:uiPriority w:val="99"/>
    <w:semiHidden/>
    <w:unhideWhenUsed/>
    <w:rsid w:val="00A06FE6"/>
    <w:rPr>
      <w:sz w:val="16"/>
      <w:szCs w:val="16"/>
    </w:rPr>
  </w:style>
  <w:style w:type="paragraph" w:styleId="CommentText">
    <w:name w:val="annotation text"/>
    <w:basedOn w:val="Normal"/>
    <w:link w:val="CommentTextChar"/>
    <w:uiPriority w:val="99"/>
    <w:semiHidden/>
    <w:unhideWhenUsed/>
    <w:rsid w:val="00A06FE6"/>
    <w:pPr>
      <w:spacing w:line="240" w:lineRule="auto"/>
    </w:pPr>
    <w:rPr>
      <w:sz w:val="20"/>
      <w:szCs w:val="20"/>
    </w:rPr>
  </w:style>
  <w:style w:type="character" w:customStyle="1" w:styleId="CommentTextChar">
    <w:name w:val="Comment Text Char"/>
    <w:basedOn w:val="DefaultParagraphFont"/>
    <w:link w:val="CommentText"/>
    <w:uiPriority w:val="99"/>
    <w:semiHidden/>
    <w:rsid w:val="00A06FE6"/>
    <w:rPr>
      <w:sz w:val="20"/>
      <w:szCs w:val="20"/>
    </w:rPr>
  </w:style>
  <w:style w:type="paragraph" w:styleId="CommentSubject">
    <w:name w:val="annotation subject"/>
    <w:basedOn w:val="CommentText"/>
    <w:next w:val="CommentText"/>
    <w:link w:val="CommentSubjectChar"/>
    <w:uiPriority w:val="99"/>
    <w:semiHidden/>
    <w:unhideWhenUsed/>
    <w:rsid w:val="00A06FE6"/>
    <w:rPr>
      <w:b/>
      <w:bCs/>
    </w:rPr>
  </w:style>
  <w:style w:type="character" w:customStyle="1" w:styleId="CommentSubjectChar">
    <w:name w:val="Comment Subject Char"/>
    <w:basedOn w:val="CommentTextChar"/>
    <w:link w:val="CommentSubject"/>
    <w:uiPriority w:val="99"/>
    <w:semiHidden/>
    <w:rsid w:val="00A06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2879B-AFEC-48DB-9D28-F9FDE1F8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4315</Words>
  <Characters>24596</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Babalwa Mbengo</dc:creator>
  <cp:lastModifiedBy>Asanda</cp:lastModifiedBy>
  <cp:revision>2</cp:revision>
  <dcterms:created xsi:type="dcterms:W3CDTF">2019-07-10T10:34:00Z</dcterms:created>
  <dcterms:modified xsi:type="dcterms:W3CDTF">2019-07-10T10:34:00Z</dcterms:modified>
</cp:coreProperties>
</file>