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BABD5" w14:textId="77777777" w:rsidR="00A33469" w:rsidRPr="00E00554" w:rsidRDefault="00E00554" w:rsidP="00E00554">
      <w:pPr>
        <w:spacing w:line="240" w:lineRule="auto"/>
        <w:ind w:left="450" w:hanging="450"/>
        <w:jc w:val="both"/>
        <w:rPr>
          <w:rFonts w:ascii="Times New Roman" w:hAnsi="Times New Roman"/>
          <w:b/>
          <w:sz w:val="28"/>
          <w:szCs w:val="28"/>
        </w:rPr>
      </w:pPr>
      <w:bookmarkStart w:id="0" w:name="_GoBack"/>
      <w:bookmarkEnd w:id="0"/>
      <w:r w:rsidRPr="00E00554">
        <w:rPr>
          <w:rFonts w:ascii="Times New Roman" w:hAnsi="Times New Roman"/>
          <w:b/>
          <w:sz w:val="28"/>
          <w:szCs w:val="28"/>
        </w:rPr>
        <w:t xml:space="preserve">5. </w:t>
      </w:r>
      <w:r w:rsidRPr="00E00554">
        <w:rPr>
          <w:rFonts w:ascii="Times New Roman" w:hAnsi="Times New Roman"/>
          <w:b/>
          <w:sz w:val="28"/>
          <w:szCs w:val="28"/>
        </w:rPr>
        <w:tab/>
      </w:r>
      <w:r w:rsidR="00A33469" w:rsidRPr="00E00554">
        <w:rPr>
          <w:rFonts w:ascii="Times New Roman" w:hAnsi="Times New Roman"/>
          <w:b/>
          <w:sz w:val="28"/>
          <w:szCs w:val="28"/>
        </w:rPr>
        <w:t>R</w:t>
      </w:r>
      <w:r w:rsidRPr="00E00554">
        <w:rPr>
          <w:rFonts w:ascii="Times New Roman" w:hAnsi="Times New Roman"/>
          <w:b/>
          <w:sz w:val="28"/>
          <w:szCs w:val="28"/>
        </w:rPr>
        <w:t>eport of the Portfolio committee on Home Affairs on the Annual Performance Plans and Budget Vote 5 of the Department of Home Affairs, Dated 9 July</w:t>
      </w:r>
      <w:r w:rsidR="00A33469" w:rsidRPr="00E00554">
        <w:rPr>
          <w:rFonts w:ascii="Times New Roman" w:hAnsi="Times New Roman"/>
          <w:b/>
          <w:sz w:val="28"/>
          <w:szCs w:val="28"/>
        </w:rPr>
        <w:t xml:space="preserve"> 2019</w:t>
      </w:r>
    </w:p>
    <w:p w14:paraId="07BBCEB8" w14:textId="77777777" w:rsidR="00A33469" w:rsidRPr="00A33469" w:rsidRDefault="00A33469" w:rsidP="00A33469">
      <w:pPr>
        <w:spacing w:line="360" w:lineRule="auto"/>
        <w:jc w:val="both"/>
        <w:rPr>
          <w:rFonts w:ascii="Times New Roman" w:hAnsi="Times New Roman"/>
          <w:b/>
          <w:sz w:val="24"/>
          <w:szCs w:val="24"/>
        </w:rPr>
      </w:pPr>
    </w:p>
    <w:p w14:paraId="4AF60F22" w14:textId="77777777" w:rsidR="00A33469" w:rsidRPr="00A33469" w:rsidRDefault="00A33469" w:rsidP="00A33469">
      <w:pPr>
        <w:spacing w:line="360" w:lineRule="auto"/>
        <w:jc w:val="both"/>
        <w:rPr>
          <w:rFonts w:ascii="Times New Roman" w:hAnsi="Times New Roman"/>
          <w:sz w:val="24"/>
          <w:szCs w:val="24"/>
        </w:rPr>
      </w:pPr>
      <w:r w:rsidRPr="00A33469">
        <w:rPr>
          <w:rFonts w:ascii="Times New Roman" w:hAnsi="Times New Roman"/>
          <w:sz w:val="24"/>
          <w:szCs w:val="24"/>
        </w:rPr>
        <w:t>The Portfolio Committee on Home Affairs (the Committee) having met with the Department of Affairs (DHA) the Electoral Commission of South Africa (IEC) and the Government Printing Works (GPW) on their Annual Performance Plans (APPs) and budget for 2019/20 on 2 July 2019, reports as follows:</w:t>
      </w:r>
    </w:p>
    <w:p w14:paraId="5CAF5E39" w14:textId="77777777" w:rsidR="00652019" w:rsidRPr="00A33469" w:rsidRDefault="00652019" w:rsidP="00A33469">
      <w:pPr>
        <w:spacing w:line="360" w:lineRule="auto"/>
        <w:ind w:left="66"/>
        <w:jc w:val="both"/>
        <w:rPr>
          <w:rFonts w:ascii="Times New Roman" w:hAnsi="Times New Roman"/>
          <w:sz w:val="24"/>
          <w:szCs w:val="24"/>
        </w:rPr>
      </w:pPr>
    </w:p>
    <w:p w14:paraId="4EBE8680" w14:textId="77777777" w:rsidR="00652019" w:rsidRPr="00C56099" w:rsidRDefault="00C56099" w:rsidP="0056205B">
      <w:pPr>
        <w:pStyle w:val="ListParagraph"/>
        <w:numPr>
          <w:ilvl w:val="0"/>
          <w:numId w:val="1"/>
        </w:numPr>
        <w:spacing w:line="360" w:lineRule="auto"/>
        <w:ind w:left="426"/>
        <w:jc w:val="both"/>
        <w:rPr>
          <w:rFonts w:ascii="Times New Roman" w:hAnsi="Times New Roman"/>
          <w:b/>
          <w:sz w:val="28"/>
          <w:szCs w:val="28"/>
        </w:rPr>
      </w:pPr>
      <w:r>
        <w:rPr>
          <w:rFonts w:ascii="Times New Roman" w:hAnsi="Times New Roman"/>
          <w:b/>
          <w:sz w:val="28"/>
          <w:szCs w:val="28"/>
        </w:rPr>
        <w:t>The department of Home Affairs</w:t>
      </w:r>
    </w:p>
    <w:p w14:paraId="7E3AB583" w14:textId="77777777" w:rsidR="00E914DB" w:rsidRPr="00A33469" w:rsidRDefault="00E914DB" w:rsidP="00E914DB">
      <w:pPr>
        <w:pStyle w:val="ListParagraph"/>
        <w:spacing w:line="360" w:lineRule="auto"/>
        <w:ind w:left="426"/>
        <w:jc w:val="both"/>
        <w:rPr>
          <w:rFonts w:ascii="Times New Roman" w:hAnsi="Times New Roman"/>
          <w:b/>
          <w:sz w:val="24"/>
          <w:szCs w:val="24"/>
        </w:rPr>
      </w:pPr>
    </w:p>
    <w:p w14:paraId="2D525AB4" w14:textId="77777777" w:rsidR="003154A3" w:rsidRPr="00A33469" w:rsidRDefault="003154A3" w:rsidP="00A33469">
      <w:pPr>
        <w:spacing w:line="360" w:lineRule="auto"/>
        <w:ind w:left="66"/>
        <w:jc w:val="both"/>
        <w:rPr>
          <w:rFonts w:ascii="Times New Roman" w:hAnsi="Times New Roman"/>
          <w:sz w:val="24"/>
          <w:szCs w:val="24"/>
        </w:rPr>
      </w:pPr>
      <w:r w:rsidRPr="00A33469">
        <w:rPr>
          <w:rFonts w:ascii="Times New Roman" w:hAnsi="Times New Roman"/>
          <w:sz w:val="24"/>
          <w:szCs w:val="24"/>
        </w:rPr>
        <w:t xml:space="preserve">The Vision of the DHA is to ensure a safe, secure South Africa where all its people are proud of, and value, </w:t>
      </w:r>
      <w:r w:rsidR="00D46E39" w:rsidRPr="00A33469">
        <w:rPr>
          <w:rFonts w:ascii="Times New Roman" w:hAnsi="Times New Roman"/>
          <w:sz w:val="24"/>
          <w:szCs w:val="24"/>
        </w:rPr>
        <w:t>their</w:t>
      </w:r>
      <w:r w:rsidRPr="00A33469">
        <w:rPr>
          <w:rFonts w:ascii="Times New Roman" w:hAnsi="Times New Roman"/>
          <w:sz w:val="24"/>
          <w:szCs w:val="24"/>
        </w:rPr>
        <w:t xml:space="preserve"> identity and </w:t>
      </w:r>
      <w:r w:rsidR="00D46E39" w:rsidRPr="00A33469">
        <w:rPr>
          <w:rFonts w:ascii="Times New Roman" w:hAnsi="Times New Roman"/>
          <w:sz w:val="24"/>
          <w:szCs w:val="24"/>
        </w:rPr>
        <w:t>citizenship.</w:t>
      </w:r>
      <w:r w:rsidR="00E3485E" w:rsidRPr="00E3485E">
        <w:t xml:space="preserve"> </w:t>
      </w:r>
      <w:r w:rsidR="00E3485E" w:rsidRPr="00E3485E">
        <w:rPr>
          <w:rFonts w:ascii="Times New Roman" w:hAnsi="Times New Roman"/>
          <w:sz w:val="24"/>
          <w:szCs w:val="24"/>
        </w:rPr>
        <w:t>The primary mandate of the DHA is to secure and manage identity and international migration through the delivery of enabling services to all citizens, foreign nationals, go</w:t>
      </w:r>
      <w:r w:rsidR="00E3485E">
        <w:rPr>
          <w:rFonts w:ascii="Times New Roman" w:hAnsi="Times New Roman"/>
          <w:sz w:val="24"/>
          <w:szCs w:val="24"/>
        </w:rPr>
        <w:t>vernment and the private sector</w:t>
      </w:r>
      <w:r w:rsidR="00D46E39" w:rsidRPr="00A33469">
        <w:rPr>
          <w:rFonts w:ascii="Times New Roman" w:hAnsi="Times New Roman"/>
          <w:sz w:val="24"/>
          <w:szCs w:val="24"/>
        </w:rPr>
        <w:t>.</w:t>
      </w:r>
    </w:p>
    <w:p w14:paraId="4B6E6576" w14:textId="77777777" w:rsidR="00E3485E" w:rsidRDefault="00E3485E" w:rsidP="00E3485E">
      <w:pPr>
        <w:spacing w:line="360" w:lineRule="auto"/>
        <w:ind w:left="66"/>
        <w:jc w:val="both"/>
        <w:rPr>
          <w:rFonts w:ascii="Times New Roman" w:hAnsi="Times New Roman"/>
          <w:sz w:val="24"/>
          <w:szCs w:val="24"/>
        </w:rPr>
      </w:pPr>
    </w:p>
    <w:p w14:paraId="653730F0" w14:textId="77777777" w:rsidR="006504B3" w:rsidRDefault="006504B3" w:rsidP="006504B3">
      <w:pPr>
        <w:pStyle w:val="Heading1"/>
        <w:keepLines w:val="0"/>
        <w:suppressAutoHyphens w:val="0"/>
        <w:spacing w:before="0" w:line="360" w:lineRule="auto"/>
        <w:jc w:val="both"/>
        <w:rPr>
          <w:rFonts w:ascii="Times New Roman" w:eastAsia="Calibri" w:hAnsi="Times New Roman" w:cs="Times New Roman"/>
          <w:b/>
          <w:color w:val="000000" w:themeColor="text1"/>
          <w:spacing w:val="0"/>
          <w:sz w:val="24"/>
          <w:szCs w:val="24"/>
          <w:lang w:eastAsia="en-US"/>
        </w:rPr>
      </w:pPr>
      <w:bookmarkStart w:id="1" w:name="_Toc12526395"/>
      <w:bookmarkStart w:id="2" w:name="_Toc11245699"/>
      <w:r>
        <w:rPr>
          <w:rFonts w:ascii="Times New Roman" w:eastAsia="Calibri" w:hAnsi="Times New Roman" w:cs="Times New Roman"/>
          <w:b/>
          <w:color w:val="000000" w:themeColor="text1"/>
          <w:sz w:val="24"/>
          <w:szCs w:val="24"/>
          <w:lang w:eastAsia="en-US"/>
        </w:rPr>
        <w:t>Policy priorities for 2019/20 and alignment with national, regional, conti</w:t>
      </w:r>
      <w:r w:rsidR="00025457">
        <w:rPr>
          <w:rFonts w:ascii="Times New Roman" w:eastAsia="Calibri" w:hAnsi="Times New Roman" w:cs="Times New Roman"/>
          <w:b/>
          <w:color w:val="000000" w:themeColor="text1"/>
          <w:sz w:val="24"/>
          <w:szCs w:val="24"/>
          <w:lang w:eastAsia="en-US"/>
        </w:rPr>
        <w:t xml:space="preserve">nental and global agendas </w:t>
      </w:r>
      <w:bookmarkEnd w:id="1"/>
    </w:p>
    <w:p w14:paraId="115D558F" w14:textId="77777777" w:rsidR="006504B3" w:rsidRPr="006504B3" w:rsidRDefault="006504B3" w:rsidP="006504B3">
      <w:pPr>
        <w:rPr>
          <w:rFonts w:eastAsia="Calibri"/>
          <w:lang w:eastAsia="en-US"/>
        </w:rPr>
      </w:pPr>
    </w:p>
    <w:bookmarkEnd w:id="2"/>
    <w:p w14:paraId="44A817C8" w14:textId="77777777" w:rsidR="006504B3" w:rsidRDefault="006504B3" w:rsidP="006504B3">
      <w:pPr>
        <w:spacing w:line="360" w:lineRule="auto"/>
        <w:jc w:val="both"/>
        <w:rPr>
          <w:rFonts w:ascii="Times New Roman" w:eastAsia="Calibri" w:hAnsi="Times New Roman"/>
          <w:color w:val="auto"/>
          <w:spacing w:val="0"/>
          <w:sz w:val="24"/>
          <w:szCs w:val="24"/>
          <w:lang w:eastAsia="en-US"/>
        </w:rPr>
      </w:pPr>
      <w:r>
        <w:rPr>
          <w:rFonts w:ascii="Times New Roman" w:eastAsia="Calibri" w:hAnsi="Times New Roman"/>
          <w:color w:val="auto"/>
          <w:sz w:val="24"/>
          <w:szCs w:val="24"/>
          <w:lang w:eastAsia="en-US"/>
        </w:rPr>
        <w:t>In fulfilling its mandate</w:t>
      </w:r>
      <w:r>
        <w:rPr>
          <w:rFonts w:ascii="Times New Roman" w:eastAsia="Calibri" w:hAnsi="Times New Roman"/>
          <w:color w:val="auto"/>
          <w:spacing w:val="0"/>
          <w:sz w:val="24"/>
          <w:szCs w:val="24"/>
          <w:lang w:eastAsia="en-US"/>
        </w:rPr>
        <w:t xml:space="preserve">, the DHA contributes to the attainment of the </w:t>
      </w:r>
      <w:r>
        <w:rPr>
          <w:rFonts w:ascii="Times New Roman" w:eastAsia="Calibri" w:hAnsi="Times New Roman"/>
          <w:b/>
          <w:color w:val="auto"/>
          <w:spacing w:val="0"/>
          <w:sz w:val="24"/>
          <w:szCs w:val="24"/>
          <w:lang w:eastAsia="en-US"/>
        </w:rPr>
        <w:t>National Development Plan</w:t>
      </w:r>
      <w:r>
        <w:rPr>
          <w:rFonts w:ascii="Times New Roman" w:eastAsia="Calibri" w:hAnsi="Times New Roman"/>
          <w:color w:val="auto"/>
          <w:spacing w:val="0"/>
          <w:sz w:val="24"/>
          <w:szCs w:val="24"/>
          <w:lang w:eastAsia="en-US"/>
        </w:rPr>
        <w:t>’s (NDP) vision of building a South Africa that is safe and conducive to development. The DHA’s key functions include the issuing of enabling documents such as birth certificates, identity documents, passports, visas and permits; ensuring the secure entry and exit of persons through designated ports of entry; and enforcing immigration legislation. These key functions are closely aligned with Government’s 2014 – 2019 Medium Term Strategic Framework:</w:t>
      </w:r>
    </w:p>
    <w:p w14:paraId="7FA51C68" w14:textId="77777777" w:rsidR="006504B3" w:rsidRDefault="006504B3" w:rsidP="006504B3">
      <w:pPr>
        <w:spacing w:line="360" w:lineRule="auto"/>
        <w:jc w:val="both"/>
        <w:rPr>
          <w:rFonts w:ascii="Times New Roman" w:eastAsia="Calibri" w:hAnsi="Times New Roman"/>
          <w:color w:val="auto"/>
          <w:spacing w:val="0"/>
          <w:sz w:val="24"/>
          <w:szCs w:val="24"/>
          <w:lang w:eastAsia="en-US"/>
        </w:rPr>
      </w:pPr>
    </w:p>
    <w:p w14:paraId="7C3FD04B" w14:textId="77777777" w:rsidR="006504B3" w:rsidRDefault="006504B3" w:rsidP="001754B7">
      <w:pPr>
        <w:numPr>
          <w:ilvl w:val="0"/>
          <w:numId w:val="22"/>
        </w:numPr>
        <w:suppressAutoHyphens w:val="0"/>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 xml:space="preserve">Outcome 3: All people in South Africa are and feel safe; </w:t>
      </w:r>
    </w:p>
    <w:p w14:paraId="3726B9AB" w14:textId="77777777" w:rsidR="006504B3" w:rsidRDefault="006504B3" w:rsidP="001754B7">
      <w:pPr>
        <w:numPr>
          <w:ilvl w:val="0"/>
          <w:numId w:val="22"/>
        </w:numPr>
        <w:suppressAutoHyphens w:val="0"/>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 xml:space="preserve">Outcome 4: Descent employment through inclusive growth; and </w:t>
      </w:r>
    </w:p>
    <w:p w14:paraId="63ADA8AA" w14:textId="77777777" w:rsidR="006504B3" w:rsidRDefault="006504B3" w:rsidP="001754B7">
      <w:pPr>
        <w:numPr>
          <w:ilvl w:val="0"/>
          <w:numId w:val="22"/>
        </w:numPr>
        <w:suppressAutoHyphens w:val="0"/>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 xml:space="preserve">Outcome 12: An efficient, effective and development-oriented public services. </w:t>
      </w:r>
    </w:p>
    <w:p w14:paraId="182C6FE8" w14:textId="77777777" w:rsidR="006504B3" w:rsidRDefault="006504B3" w:rsidP="006504B3">
      <w:pPr>
        <w:spacing w:line="360" w:lineRule="auto"/>
        <w:jc w:val="both"/>
        <w:rPr>
          <w:rFonts w:ascii="Times New Roman" w:eastAsia="Calibri" w:hAnsi="Times New Roman"/>
          <w:color w:val="auto"/>
          <w:spacing w:val="0"/>
          <w:sz w:val="24"/>
          <w:szCs w:val="24"/>
          <w:lang w:eastAsia="en-US"/>
        </w:rPr>
      </w:pPr>
    </w:p>
    <w:p w14:paraId="7BCDCB34" w14:textId="77777777" w:rsidR="006504B3" w:rsidRDefault="006504B3" w:rsidP="006504B3">
      <w:pPr>
        <w:spacing w:line="360" w:lineRule="auto"/>
        <w:jc w:val="both"/>
        <w:rPr>
          <w:rFonts w:ascii="Times New Roman" w:eastAsia="Calibri" w:hAnsi="Times New Roman"/>
          <w:bCs/>
          <w:color w:val="auto"/>
          <w:spacing w:val="0"/>
          <w:sz w:val="24"/>
          <w:szCs w:val="24"/>
          <w:lang w:val="en-GB" w:eastAsia="en-US"/>
        </w:rPr>
      </w:pPr>
      <w:r>
        <w:rPr>
          <w:rFonts w:ascii="Times New Roman" w:eastAsia="Calibri" w:hAnsi="Times New Roman"/>
          <w:color w:val="auto"/>
          <w:spacing w:val="0"/>
          <w:sz w:val="24"/>
          <w:szCs w:val="24"/>
          <w:lang w:eastAsia="en-US"/>
        </w:rPr>
        <w:t xml:space="preserve">Whilst the DHA is not listed as a lead department in the </w:t>
      </w:r>
      <w:r>
        <w:rPr>
          <w:rFonts w:ascii="Times New Roman" w:eastAsia="Calibri" w:hAnsi="Times New Roman"/>
          <w:b/>
          <w:color w:val="auto"/>
          <w:spacing w:val="0"/>
          <w:sz w:val="24"/>
          <w:szCs w:val="24"/>
          <w:lang w:eastAsia="en-US"/>
        </w:rPr>
        <w:t>Nine Point Plan</w:t>
      </w:r>
      <w:r>
        <w:rPr>
          <w:rFonts w:ascii="Times New Roman" w:eastAsia="Calibri" w:hAnsi="Times New Roman"/>
          <w:color w:val="auto"/>
          <w:spacing w:val="0"/>
          <w:sz w:val="24"/>
          <w:szCs w:val="24"/>
          <w:lang w:eastAsia="en-US"/>
        </w:rPr>
        <w:t xml:space="preserve"> announced in the 2015 State of the Nation Address, it forms part of the departments that plays a significant role in </w:t>
      </w:r>
      <w:r>
        <w:rPr>
          <w:rFonts w:ascii="Times New Roman" w:eastAsia="Calibri" w:hAnsi="Times New Roman"/>
          <w:bCs/>
          <w:i/>
          <w:color w:val="auto"/>
          <w:spacing w:val="0"/>
          <w:sz w:val="24"/>
          <w:szCs w:val="24"/>
          <w:lang w:eastAsia="en-US"/>
        </w:rPr>
        <w:t>Operation Phakisa</w:t>
      </w:r>
      <w:r>
        <w:rPr>
          <w:rFonts w:ascii="Times New Roman" w:eastAsia="Calibri" w:hAnsi="Times New Roman"/>
          <w:bCs/>
          <w:color w:val="auto"/>
          <w:spacing w:val="0"/>
          <w:sz w:val="24"/>
          <w:szCs w:val="24"/>
          <w:lang w:eastAsia="en-US"/>
        </w:rPr>
        <w:t xml:space="preserve">, within the context of ocean economy. The ocean economy creates a platform for all stakeholders in the maritime and marine space to accelerate the growth of the </w:t>
      </w:r>
      <w:r>
        <w:rPr>
          <w:rFonts w:ascii="Times New Roman" w:eastAsia="Calibri" w:hAnsi="Times New Roman"/>
          <w:bCs/>
          <w:color w:val="auto"/>
          <w:spacing w:val="0"/>
          <w:sz w:val="24"/>
          <w:szCs w:val="24"/>
          <w:lang w:eastAsia="en-US"/>
        </w:rPr>
        <w:lastRenderedPageBreak/>
        <w:t>economy by 0.8 per cent in the short term, and 1 per cent in the medium to long term</w:t>
      </w:r>
      <w:r>
        <w:rPr>
          <w:rStyle w:val="FootnoteReference"/>
          <w:rFonts w:ascii="Times New Roman" w:eastAsia="Calibri" w:hAnsi="Times New Roman"/>
          <w:bCs/>
          <w:color w:val="auto"/>
          <w:spacing w:val="0"/>
          <w:sz w:val="24"/>
          <w:szCs w:val="24"/>
          <w:lang w:eastAsia="en-US"/>
        </w:rPr>
        <w:footnoteReference w:id="1"/>
      </w:r>
      <w:r>
        <w:rPr>
          <w:rFonts w:ascii="Times New Roman" w:eastAsia="Calibri" w:hAnsi="Times New Roman"/>
          <w:bCs/>
          <w:color w:val="auto"/>
          <w:spacing w:val="0"/>
          <w:sz w:val="24"/>
          <w:szCs w:val="24"/>
          <w:lang w:eastAsia="en-US"/>
        </w:rPr>
        <w:t>. DHA in this regard is tasked with cross syndicating all issues surrounding human movement within the context of maritime governance, of which Immigration Services are central.</w:t>
      </w:r>
    </w:p>
    <w:p w14:paraId="20F98560" w14:textId="77777777" w:rsidR="006504B3" w:rsidRDefault="006504B3" w:rsidP="006504B3">
      <w:pPr>
        <w:spacing w:line="360" w:lineRule="auto"/>
        <w:jc w:val="both"/>
        <w:rPr>
          <w:rFonts w:ascii="Times New Roman" w:eastAsia="Calibri" w:hAnsi="Times New Roman"/>
          <w:bCs/>
          <w:color w:val="auto"/>
          <w:spacing w:val="0"/>
          <w:sz w:val="24"/>
          <w:szCs w:val="24"/>
          <w:lang w:eastAsia="en-US"/>
        </w:rPr>
      </w:pPr>
    </w:p>
    <w:p w14:paraId="1F7E748A" w14:textId="77777777" w:rsidR="006504B3" w:rsidRDefault="006504B3" w:rsidP="006504B3">
      <w:pPr>
        <w:spacing w:line="360" w:lineRule="auto"/>
        <w:jc w:val="both"/>
        <w:rPr>
          <w:rFonts w:ascii="Times New Roman" w:eastAsia="Calibri" w:hAnsi="Times New Roman"/>
          <w:bCs/>
          <w:color w:val="auto"/>
          <w:spacing w:val="0"/>
          <w:sz w:val="24"/>
          <w:szCs w:val="24"/>
          <w:lang w:eastAsia="en-US"/>
        </w:rPr>
      </w:pPr>
      <w:r>
        <w:rPr>
          <w:rFonts w:ascii="Times New Roman" w:eastAsia="Calibri" w:hAnsi="Times New Roman"/>
          <w:bCs/>
          <w:color w:val="auto"/>
          <w:spacing w:val="0"/>
          <w:sz w:val="24"/>
          <w:szCs w:val="24"/>
          <w:lang w:eastAsia="en-US"/>
        </w:rPr>
        <w:t xml:space="preserve">The Southern Africa Development Community </w:t>
      </w:r>
      <w:r>
        <w:rPr>
          <w:rFonts w:ascii="Times New Roman" w:eastAsia="Calibri" w:hAnsi="Times New Roman"/>
          <w:b/>
          <w:bCs/>
          <w:color w:val="auto"/>
          <w:spacing w:val="0"/>
          <w:sz w:val="24"/>
          <w:szCs w:val="24"/>
          <w:lang w:eastAsia="en-US"/>
        </w:rPr>
        <w:t>(SADC) Protocol on the Facilitation of Movement of Persons</w:t>
      </w:r>
      <w:r>
        <w:rPr>
          <w:rFonts w:ascii="Times New Roman" w:eastAsia="Calibri" w:hAnsi="Times New Roman"/>
          <w:bCs/>
          <w:color w:val="auto"/>
          <w:spacing w:val="0"/>
          <w:sz w:val="24"/>
          <w:szCs w:val="24"/>
          <w:lang w:eastAsia="en-US"/>
        </w:rPr>
        <w:t xml:space="preserve"> was adopted in 2005 to facilitate the free movement of people, encompassing the right to visa-free entry, residence (temporary and permanent), and establishment (income generating activities). The main challenge with the implementation of the Protocol relates to the development of critical enabling conditions, such as compatible immigration policies, laws, systems and accurate population registers. Whilst the Protocol is not in operation as yet, it makes provision for Member States to conclude bilateral agreements for visa exemptions. South Africa has unilaterally or bilaterally adopted visa-free entry for nationals from 11 SADC countries. It also offers special permits to irregular migrants from neighbouring Zimbabwe and Lesotho.</w:t>
      </w:r>
    </w:p>
    <w:p w14:paraId="5149A29B" w14:textId="77777777" w:rsidR="006504B3" w:rsidRDefault="006504B3" w:rsidP="006504B3">
      <w:pPr>
        <w:spacing w:line="360" w:lineRule="auto"/>
        <w:jc w:val="both"/>
        <w:rPr>
          <w:rFonts w:ascii="Times New Roman" w:eastAsia="Calibri" w:hAnsi="Times New Roman"/>
          <w:bCs/>
          <w:color w:val="auto"/>
          <w:spacing w:val="0"/>
          <w:sz w:val="24"/>
          <w:szCs w:val="24"/>
          <w:lang w:eastAsia="en-US"/>
        </w:rPr>
      </w:pPr>
    </w:p>
    <w:p w14:paraId="10EFF14C" w14:textId="77777777" w:rsidR="006504B3" w:rsidRDefault="006504B3" w:rsidP="006504B3">
      <w:pPr>
        <w:spacing w:line="360" w:lineRule="auto"/>
        <w:jc w:val="both"/>
        <w:rPr>
          <w:rFonts w:ascii="Times New Roman" w:eastAsia="Calibri" w:hAnsi="Times New Roman"/>
          <w:bCs/>
          <w:color w:val="auto"/>
          <w:spacing w:val="0"/>
          <w:sz w:val="24"/>
          <w:szCs w:val="24"/>
          <w:lang w:eastAsia="en-US"/>
        </w:rPr>
      </w:pPr>
      <w:r>
        <w:rPr>
          <w:rFonts w:ascii="Times New Roman" w:eastAsia="Calibri" w:hAnsi="Times New Roman"/>
          <w:b/>
          <w:bCs/>
          <w:color w:val="auto"/>
          <w:spacing w:val="0"/>
          <w:sz w:val="24"/>
          <w:szCs w:val="24"/>
          <w:lang w:eastAsia="en-US"/>
        </w:rPr>
        <w:t>Agenda 2063</w:t>
      </w:r>
      <w:r>
        <w:rPr>
          <w:rFonts w:ascii="Times New Roman" w:eastAsia="Calibri" w:hAnsi="Times New Roman"/>
          <w:bCs/>
          <w:color w:val="auto"/>
          <w:spacing w:val="0"/>
          <w:sz w:val="24"/>
          <w:szCs w:val="24"/>
          <w:lang w:eastAsia="en-US"/>
        </w:rPr>
        <w:t xml:space="preserve"> is a fifty-year strategy for the African continent that was set in motion following the 50</w:t>
      </w:r>
      <w:r>
        <w:rPr>
          <w:rFonts w:ascii="Times New Roman" w:eastAsia="Calibri" w:hAnsi="Times New Roman"/>
          <w:bCs/>
          <w:color w:val="auto"/>
          <w:spacing w:val="0"/>
          <w:sz w:val="24"/>
          <w:szCs w:val="24"/>
          <w:vertAlign w:val="superscript"/>
          <w:lang w:eastAsia="en-US"/>
        </w:rPr>
        <w:t>th</w:t>
      </w:r>
      <w:r>
        <w:rPr>
          <w:rFonts w:ascii="Times New Roman" w:eastAsia="Calibri" w:hAnsi="Times New Roman"/>
          <w:bCs/>
          <w:color w:val="auto"/>
          <w:spacing w:val="0"/>
          <w:sz w:val="24"/>
          <w:szCs w:val="24"/>
          <w:lang w:eastAsia="en-US"/>
        </w:rPr>
        <w:t xml:space="preserve"> anniversary of the African Union (AU) in 2013. South Africa contributed to the formulation of Agenda 2063; therefore, the strategy is already aligned with South Africa’s development goals. The aspirations expressed in the strategy are consistent with the mandate of the DHA and South Africa’s International Immigration Policy finalised in 2018. The International Immigration Policy acknowledges at least two resolutions adopted by the Assembly, which set clear parameters for South Africa’s immigration policy, namely, the establishment of a Continental Free Trade Area (CFTA) and a continent-wide visa-free regime, including the issuing of visas on arrival at ports of entry for African citizens. As a result, visa-free entry should be the norm once bilateral return agreements are concluded. In fact, the DHA has been issuing 10-year multiple entry visas to frequent travellers from other African countries. Where visas are still required, entry is easy as possible for bona fide travellers.</w:t>
      </w:r>
    </w:p>
    <w:p w14:paraId="6008B40B" w14:textId="77777777" w:rsidR="006504B3" w:rsidRDefault="006504B3" w:rsidP="006504B3">
      <w:pPr>
        <w:spacing w:line="360" w:lineRule="auto"/>
        <w:jc w:val="both"/>
        <w:rPr>
          <w:rFonts w:ascii="Times New Roman" w:eastAsia="Calibri" w:hAnsi="Times New Roman"/>
          <w:bCs/>
          <w:color w:val="auto"/>
          <w:spacing w:val="0"/>
          <w:sz w:val="24"/>
          <w:szCs w:val="24"/>
          <w:lang w:eastAsia="en-US"/>
        </w:rPr>
      </w:pPr>
    </w:p>
    <w:p w14:paraId="48EFF61E" w14:textId="77777777" w:rsidR="006504B3" w:rsidRDefault="006504B3" w:rsidP="006504B3">
      <w:pPr>
        <w:spacing w:line="360" w:lineRule="auto"/>
        <w:jc w:val="both"/>
        <w:rPr>
          <w:rFonts w:ascii="Times New Roman" w:eastAsia="Calibri" w:hAnsi="Times New Roman"/>
          <w:bCs/>
          <w:color w:val="auto"/>
          <w:spacing w:val="0"/>
          <w:sz w:val="24"/>
          <w:szCs w:val="24"/>
          <w:lang w:eastAsia="en-US"/>
        </w:rPr>
      </w:pPr>
      <w:r>
        <w:rPr>
          <w:rFonts w:ascii="Times New Roman" w:eastAsia="Calibri" w:hAnsi="Times New Roman"/>
          <w:bCs/>
          <w:color w:val="auto"/>
          <w:spacing w:val="0"/>
          <w:sz w:val="24"/>
          <w:szCs w:val="24"/>
          <w:lang w:eastAsia="en-US"/>
        </w:rPr>
        <w:t xml:space="preserve">In September 2015, the United Nations (UN) member states agreed on a set of 17 </w:t>
      </w:r>
      <w:r>
        <w:rPr>
          <w:rFonts w:ascii="Times New Roman" w:eastAsia="Calibri" w:hAnsi="Times New Roman"/>
          <w:b/>
          <w:bCs/>
          <w:color w:val="auto"/>
          <w:spacing w:val="0"/>
          <w:sz w:val="24"/>
          <w:szCs w:val="24"/>
          <w:lang w:eastAsia="en-US"/>
        </w:rPr>
        <w:t xml:space="preserve">Sustainable Development Goals (SDGs), </w:t>
      </w:r>
      <w:r>
        <w:rPr>
          <w:rFonts w:ascii="Times New Roman" w:eastAsia="Calibri" w:hAnsi="Times New Roman"/>
          <w:bCs/>
          <w:color w:val="auto"/>
          <w:spacing w:val="0"/>
          <w:sz w:val="24"/>
          <w:szCs w:val="24"/>
          <w:lang w:eastAsia="en-US"/>
        </w:rPr>
        <w:t xml:space="preserve">which pays particular attention to the people, planet and prosperity.  The SDGs’ central reference to migration is made in target 10.7 to facilitate orderly, safe, regular and responsible migration and mobility of people, including through the implementation of planned and well-managed migration policies. South Africa is regarded as a leader on the African continent for recognising forcibly displaced persons (refugees) within its </w:t>
      </w:r>
      <w:r>
        <w:rPr>
          <w:rFonts w:ascii="Times New Roman" w:eastAsia="Calibri" w:hAnsi="Times New Roman"/>
          <w:bCs/>
          <w:color w:val="auto"/>
          <w:spacing w:val="0"/>
          <w:sz w:val="24"/>
          <w:szCs w:val="24"/>
          <w:lang w:eastAsia="en-US"/>
        </w:rPr>
        <w:lastRenderedPageBreak/>
        <w:t>territory. The South African Constitution, 1996 makes provisions for freedom of movement and the right to choose where to live, work, study and access to social services. These fundamental human rights are also afforded to refugees in the country.</w:t>
      </w:r>
    </w:p>
    <w:p w14:paraId="38C1BADC" w14:textId="77777777" w:rsidR="00E3485E" w:rsidRDefault="00E3485E" w:rsidP="00E3485E">
      <w:pPr>
        <w:spacing w:line="360" w:lineRule="auto"/>
        <w:jc w:val="both"/>
        <w:rPr>
          <w:rFonts w:ascii="Times New Roman" w:hAnsi="Times New Roman"/>
          <w:sz w:val="24"/>
          <w:szCs w:val="24"/>
        </w:rPr>
      </w:pPr>
    </w:p>
    <w:p w14:paraId="7B2A5B37" w14:textId="77777777" w:rsidR="005A5C34" w:rsidRPr="00A33469" w:rsidRDefault="00D46E39" w:rsidP="00E3485E">
      <w:pPr>
        <w:spacing w:line="360" w:lineRule="auto"/>
        <w:jc w:val="both"/>
        <w:rPr>
          <w:rFonts w:ascii="Times New Roman" w:hAnsi="Times New Roman"/>
          <w:sz w:val="24"/>
          <w:szCs w:val="24"/>
        </w:rPr>
      </w:pPr>
      <w:r w:rsidRPr="00A33469">
        <w:rPr>
          <w:rFonts w:ascii="Times New Roman" w:hAnsi="Times New Roman"/>
          <w:sz w:val="24"/>
          <w:szCs w:val="24"/>
        </w:rPr>
        <w:t>The</w:t>
      </w:r>
      <w:r w:rsidR="00E3485E">
        <w:rPr>
          <w:rFonts w:ascii="Times New Roman" w:hAnsi="Times New Roman"/>
          <w:sz w:val="24"/>
          <w:szCs w:val="24"/>
        </w:rPr>
        <w:t xml:space="preserve"> outcomes translate into </w:t>
      </w:r>
      <w:r w:rsidRPr="00A33469">
        <w:rPr>
          <w:rFonts w:ascii="Times New Roman" w:hAnsi="Times New Roman"/>
          <w:sz w:val="24"/>
          <w:szCs w:val="24"/>
        </w:rPr>
        <w:t>three</w:t>
      </w:r>
      <w:r w:rsidR="00E3485E">
        <w:rPr>
          <w:rFonts w:ascii="Times New Roman" w:hAnsi="Times New Roman"/>
          <w:sz w:val="24"/>
          <w:szCs w:val="24"/>
        </w:rPr>
        <w:t xml:space="preserve"> performance and budget</w:t>
      </w:r>
      <w:r w:rsidRPr="00A33469">
        <w:rPr>
          <w:rFonts w:ascii="Times New Roman" w:hAnsi="Times New Roman"/>
          <w:sz w:val="24"/>
          <w:szCs w:val="24"/>
        </w:rPr>
        <w:t xml:space="preserve"> programmes, namely Administration, Civic Services and Immigration Services. The core mandate of the DHA are Civic and Immigration Services. </w:t>
      </w:r>
    </w:p>
    <w:p w14:paraId="22FA5042" w14:textId="77777777" w:rsidR="005A5C34" w:rsidRPr="00A33469" w:rsidRDefault="005A5C34" w:rsidP="006504B3">
      <w:pPr>
        <w:spacing w:line="360" w:lineRule="auto"/>
        <w:jc w:val="both"/>
        <w:rPr>
          <w:rFonts w:ascii="Times New Roman" w:hAnsi="Times New Roman"/>
          <w:sz w:val="24"/>
          <w:szCs w:val="24"/>
        </w:rPr>
      </w:pPr>
    </w:p>
    <w:p w14:paraId="77E5B071" w14:textId="77777777" w:rsidR="00D46E39" w:rsidRPr="00A33469" w:rsidRDefault="00D46E39" w:rsidP="006504B3">
      <w:pPr>
        <w:spacing w:line="360" w:lineRule="auto"/>
        <w:jc w:val="both"/>
        <w:rPr>
          <w:rFonts w:ascii="Times New Roman" w:hAnsi="Times New Roman"/>
          <w:sz w:val="24"/>
          <w:szCs w:val="24"/>
        </w:rPr>
      </w:pPr>
      <w:r w:rsidRPr="00A33469">
        <w:rPr>
          <w:rFonts w:ascii="Times New Roman" w:hAnsi="Times New Roman"/>
          <w:sz w:val="24"/>
          <w:szCs w:val="24"/>
        </w:rPr>
        <w:t>The purpose of Civic Services is to ensure secure, efficient and accessible services and documents for citizens and</w:t>
      </w:r>
      <w:r w:rsidR="00657B23" w:rsidRPr="00A33469">
        <w:rPr>
          <w:rFonts w:ascii="Times New Roman" w:hAnsi="Times New Roman"/>
          <w:sz w:val="24"/>
          <w:szCs w:val="24"/>
        </w:rPr>
        <w:t xml:space="preserve"> ensure</w:t>
      </w:r>
      <w:r w:rsidRPr="00A33469">
        <w:rPr>
          <w:rFonts w:ascii="Times New Roman" w:hAnsi="Times New Roman"/>
          <w:sz w:val="24"/>
          <w:szCs w:val="24"/>
        </w:rPr>
        <w:t xml:space="preserve"> </w:t>
      </w:r>
      <w:r w:rsidR="005A5C34" w:rsidRPr="00A33469">
        <w:rPr>
          <w:rFonts w:ascii="Times New Roman" w:hAnsi="Times New Roman"/>
          <w:sz w:val="24"/>
          <w:szCs w:val="24"/>
        </w:rPr>
        <w:t>lawful</w:t>
      </w:r>
      <w:r w:rsidRPr="00A33469">
        <w:rPr>
          <w:rFonts w:ascii="Times New Roman" w:hAnsi="Times New Roman"/>
          <w:sz w:val="24"/>
          <w:szCs w:val="24"/>
        </w:rPr>
        <w:t xml:space="preserve"> documents </w:t>
      </w:r>
      <w:r w:rsidR="00657B23" w:rsidRPr="00A33469">
        <w:rPr>
          <w:rFonts w:ascii="Times New Roman" w:hAnsi="Times New Roman"/>
          <w:sz w:val="24"/>
          <w:szCs w:val="24"/>
        </w:rPr>
        <w:t xml:space="preserve">for </w:t>
      </w:r>
      <w:r w:rsidRPr="00A33469">
        <w:rPr>
          <w:rFonts w:ascii="Times New Roman" w:hAnsi="Times New Roman"/>
          <w:sz w:val="24"/>
          <w:szCs w:val="24"/>
        </w:rPr>
        <w:t xml:space="preserve">residents through </w:t>
      </w:r>
      <w:r w:rsidR="005A5C34" w:rsidRPr="00A33469">
        <w:rPr>
          <w:rFonts w:ascii="Times New Roman" w:hAnsi="Times New Roman"/>
          <w:sz w:val="24"/>
          <w:szCs w:val="24"/>
        </w:rPr>
        <w:t>the execution of the following core functions:</w:t>
      </w:r>
    </w:p>
    <w:p w14:paraId="41AECF4B" w14:textId="77777777" w:rsidR="005A5C34" w:rsidRPr="00A33469" w:rsidRDefault="005A5C34" w:rsidP="0056205B">
      <w:pPr>
        <w:pStyle w:val="ListParagraph"/>
        <w:numPr>
          <w:ilvl w:val="0"/>
          <w:numId w:val="2"/>
        </w:numPr>
        <w:spacing w:line="360" w:lineRule="auto"/>
        <w:ind w:left="567" w:hanging="425"/>
        <w:jc w:val="both"/>
        <w:rPr>
          <w:rFonts w:ascii="Times New Roman" w:hAnsi="Times New Roman"/>
          <w:sz w:val="24"/>
          <w:szCs w:val="24"/>
        </w:rPr>
      </w:pPr>
      <w:r w:rsidRPr="00A33469">
        <w:rPr>
          <w:rFonts w:ascii="Times New Roman" w:hAnsi="Times New Roman"/>
          <w:sz w:val="24"/>
          <w:szCs w:val="24"/>
        </w:rPr>
        <w:t xml:space="preserve">Management of legislation </w:t>
      </w:r>
      <w:r w:rsidR="00657B23" w:rsidRPr="00A33469">
        <w:rPr>
          <w:rFonts w:ascii="Times New Roman" w:hAnsi="Times New Roman"/>
          <w:sz w:val="24"/>
          <w:szCs w:val="24"/>
        </w:rPr>
        <w:t xml:space="preserve">and records </w:t>
      </w:r>
      <w:r w:rsidRPr="00A33469">
        <w:rPr>
          <w:rFonts w:ascii="Times New Roman" w:hAnsi="Times New Roman"/>
          <w:sz w:val="24"/>
          <w:szCs w:val="24"/>
        </w:rPr>
        <w:t>relating to issuance of identity documents; births</w:t>
      </w:r>
      <w:r w:rsidR="00614F79" w:rsidRPr="00A33469">
        <w:rPr>
          <w:rFonts w:ascii="Times New Roman" w:hAnsi="Times New Roman"/>
          <w:sz w:val="24"/>
          <w:szCs w:val="24"/>
        </w:rPr>
        <w:t>,</w:t>
      </w:r>
      <w:r w:rsidRPr="00A33469">
        <w:rPr>
          <w:rFonts w:ascii="Times New Roman" w:hAnsi="Times New Roman"/>
          <w:sz w:val="24"/>
          <w:szCs w:val="24"/>
        </w:rPr>
        <w:t xml:space="preserve"> </w:t>
      </w:r>
      <w:r w:rsidR="00657B23" w:rsidRPr="00A33469">
        <w:rPr>
          <w:rFonts w:ascii="Times New Roman" w:hAnsi="Times New Roman"/>
          <w:sz w:val="24"/>
          <w:szCs w:val="24"/>
        </w:rPr>
        <w:t xml:space="preserve">marriages </w:t>
      </w:r>
      <w:r w:rsidRPr="00A33469">
        <w:rPr>
          <w:rFonts w:ascii="Times New Roman" w:hAnsi="Times New Roman"/>
          <w:sz w:val="24"/>
          <w:szCs w:val="24"/>
        </w:rPr>
        <w:t>and deaths</w:t>
      </w:r>
      <w:r w:rsidR="00657B23" w:rsidRPr="00A33469">
        <w:rPr>
          <w:rFonts w:ascii="Times New Roman" w:hAnsi="Times New Roman"/>
          <w:sz w:val="24"/>
          <w:szCs w:val="24"/>
        </w:rPr>
        <w:t xml:space="preserve"> </w:t>
      </w:r>
      <w:r w:rsidRPr="00A33469">
        <w:rPr>
          <w:rFonts w:ascii="Times New Roman" w:hAnsi="Times New Roman"/>
          <w:sz w:val="24"/>
          <w:szCs w:val="24"/>
        </w:rPr>
        <w:t>(BMD); passports and travel documents.</w:t>
      </w:r>
    </w:p>
    <w:p w14:paraId="6A534DFB" w14:textId="77777777" w:rsidR="005A5C34" w:rsidRPr="00A33469" w:rsidRDefault="005A5C34" w:rsidP="0056205B">
      <w:pPr>
        <w:pStyle w:val="ListParagraph"/>
        <w:numPr>
          <w:ilvl w:val="0"/>
          <w:numId w:val="2"/>
        </w:numPr>
        <w:spacing w:line="360" w:lineRule="auto"/>
        <w:ind w:left="567" w:hanging="425"/>
        <w:jc w:val="both"/>
        <w:rPr>
          <w:rFonts w:ascii="Times New Roman" w:hAnsi="Times New Roman"/>
          <w:sz w:val="24"/>
          <w:szCs w:val="24"/>
        </w:rPr>
      </w:pPr>
      <w:r w:rsidRPr="00A33469">
        <w:rPr>
          <w:rFonts w:ascii="Times New Roman" w:hAnsi="Times New Roman"/>
          <w:sz w:val="24"/>
          <w:szCs w:val="24"/>
        </w:rPr>
        <w:t xml:space="preserve">Maintain secure, accurate and accessible systems such as the National Population Register (NPR), National Identity System (NIS) and </w:t>
      </w:r>
      <w:r w:rsidR="00657B23" w:rsidRPr="00A33469">
        <w:rPr>
          <w:rFonts w:ascii="Times New Roman" w:hAnsi="Times New Roman"/>
          <w:sz w:val="24"/>
          <w:szCs w:val="24"/>
        </w:rPr>
        <w:t xml:space="preserve">related </w:t>
      </w:r>
      <w:r w:rsidRPr="00A33469">
        <w:rPr>
          <w:rFonts w:ascii="Times New Roman" w:hAnsi="Times New Roman"/>
          <w:sz w:val="24"/>
          <w:szCs w:val="24"/>
        </w:rPr>
        <w:t>data.</w:t>
      </w:r>
    </w:p>
    <w:p w14:paraId="18E378F1" w14:textId="77777777" w:rsidR="005A5C34" w:rsidRPr="00A33469" w:rsidRDefault="004C6D19" w:rsidP="0056205B">
      <w:pPr>
        <w:pStyle w:val="ListParagraph"/>
        <w:numPr>
          <w:ilvl w:val="0"/>
          <w:numId w:val="2"/>
        </w:numPr>
        <w:spacing w:line="360" w:lineRule="auto"/>
        <w:ind w:left="567" w:hanging="425"/>
        <w:jc w:val="both"/>
        <w:rPr>
          <w:rFonts w:ascii="Times New Roman" w:hAnsi="Times New Roman"/>
          <w:sz w:val="24"/>
          <w:szCs w:val="24"/>
        </w:rPr>
      </w:pPr>
      <w:r w:rsidRPr="00A33469">
        <w:rPr>
          <w:rFonts w:ascii="Times New Roman" w:hAnsi="Times New Roman"/>
          <w:sz w:val="24"/>
          <w:szCs w:val="24"/>
        </w:rPr>
        <w:t>Affirm and</w:t>
      </w:r>
      <w:r w:rsidR="005A5C34" w:rsidRPr="00A33469">
        <w:rPr>
          <w:rFonts w:ascii="Times New Roman" w:hAnsi="Times New Roman"/>
          <w:sz w:val="24"/>
          <w:szCs w:val="24"/>
        </w:rPr>
        <w:t xml:space="preserve"> regulate official </w:t>
      </w:r>
      <w:r w:rsidRPr="00A33469">
        <w:rPr>
          <w:rFonts w:ascii="Times New Roman" w:hAnsi="Times New Roman"/>
          <w:sz w:val="24"/>
          <w:szCs w:val="24"/>
        </w:rPr>
        <w:t>identity,</w:t>
      </w:r>
      <w:r w:rsidR="005A5C34" w:rsidRPr="00A33469">
        <w:rPr>
          <w:rFonts w:ascii="Times New Roman" w:hAnsi="Times New Roman"/>
          <w:sz w:val="24"/>
          <w:szCs w:val="24"/>
        </w:rPr>
        <w:t xml:space="preserve"> civic status and the </w:t>
      </w:r>
      <w:r w:rsidRPr="00A33469">
        <w:rPr>
          <w:rFonts w:ascii="Times New Roman" w:hAnsi="Times New Roman"/>
          <w:sz w:val="24"/>
          <w:szCs w:val="24"/>
        </w:rPr>
        <w:t>acquisition</w:t>
      </w:r>
      <w:r w:rsidR="005A5C34" w:rsidRPr="00A33469">
        <w:rPr>
          <w:rFonts w:ascii="Times New Roman" w:hAnsi="Times New Roman"/>
          <w:sz w:val="24"/>
          <w:szCs w:val="24"/>
        </w:rPr>
        <w:t xml:space="preserve"> and loss of citizenship.</w:t>
      </w:r>
    </w:p>
    <w:p w14:paraId="69A37876" w14:textId="77777777" w:rsidR="005A5C34" w:rsidRPr="00A33469" w:rsidRDefault="005A5C34" w:rsidP="0056205B">
      <w:pPr>
        <w:pStyle w:val="ListParagraph"/>
        <w:numPr>
          <w:ilvl w:val="0"/>
          <w:numId w:val="2"/>
        </w:numPr>
        <w:spacing w:line="360" w:lineRule="auto"/>
        <w:ind w:left="567" w:hanging="425"/>
        <w:jc w:val="both"/>
        <w:rPr>
          <w:rFonts w:ascii="Times New Roman" w:hAnsi="Times New Roman"/>
          <w:sz w:val="24"/>
          <w:szCs w:val="24"/>
        </w:rPr>
      </w:pPr>
      <w:r w:rsidRPr="00A33469">
        <w:rPr>
          <w:rFonts w:ascii="Times New Roman" w:hAnsi="Times New Roman"/>
          <w:sz w:val="24"/>
          <w:szCs w:val="24"/>
        </w:rPr>
        <w:t xml:space="preserve">Provide access to </w:t>
      </w:r>
      <w:r w:rsidR="004C6D19" w:rsidRPr="00A33469">
        <w:rPr>
          <w:rFonts w:ascii="Times New Roman" w:hAnsi="Times New Roman"/>
          <w:sz w:val="24"/>
          <w:szCs w:val="24"/>
        </w:rPr>
        <w:t>secure</w:t>
      </w:r>
      <w:r w:rsidRPr="00A33469">
        <w:rPr>
          <w:rFonts w:ascii="Times New Roman" w:hAnsi="Times New Roman"/>
          <w:sz w:val="24"/>
          <w:szCs w:val="24"/>
        </w:rPr>
        <w:t xml:space="preserve"> and efficient services </w:t>
      </w:r>
      <w:r w:rsidR="00657B23" w:rsidRPr="00A33469">
        <w:rPr>
          <w:rFonts w:ascii="Times New Roman" w:hAnsi="Times New Roman"/>
          <w:sz w:val="24"/>
          <w:szCs w:val="24"/>
        </w:rPr>
        <w:t xml:space="preserve">through </w:t>
      </w:r>
      <w:r w:rsidRPr="00A33469">
        <w:rPr>
          <w:rFonts w:ascii="Times New Roman" w:hAnsi="Times New Roman"/>
          <w:sz w:val="24"/>
          <w:szCs w:val="24"/>
        </w:rPr>
        <w:t>enabling documents.</w:t>
      </w:r>
    </w:p>
    <w:p w14:paraId="3F512893" w14:textId="77777777" w:rsidR="005A5C34" w:rsidRPr="00A33469" w:rsidRDefault="005A5C34" w:rsidP="00A33469">
      <w:pPr>
        <w:spacing w:line="360" w:lineRule="auto"/>
        <w:jc w:val="both"/>
        <w:rPr>
          <w:rFonts w:ascii="Times New Roman" w:hAnsi="Times New Roman"/>
          <w:sz w:val="24"/>
          <w:szCs w:val="24"/>
        </w:rPr>
      </w:pPr>
    </w:p>
    <w:p w14:paraId="278E63D9" w14:textId="77777777" w:rsidR="004C6D19" w:rsidRPr="00A33469" w:rsidRDefault="004C6D19" w:rsidP="00A33469">
      <w:pPr>
        <w:spacing w:line="360" w:lineRule="auto"/>
        <w:ind w:left="66"/>
        <w:jc w:val="both"/>
        <w:rPr>
          <w:rFonts w:ascii="Times New Roman" w:hAnsi="Times New Roman"/>
          <w:sz w:val="24"/>
          <w:szCs w:val="24"/>
        </w:rPr>
      </w:pPr>
      <w:r w:rsidRPr="00A33469">
        <w:rPr>
          <w:rFonts w:ascii="Times New Roman" w:hAnsi="Times New Roman"/>
          <w:sz w:val="24"/>
          <w:szCs w:val="24"/>
        </w:rPr>
        <w:t>The core immigration mandate is to:</w:t>
      </w:r>
    </w:p>
    <w:p w14:paraId="1C994A82" w14:textId="77777777" w:rsidR="004C6D19" w:rsidRPr="00A33469" w:rsidRDefault="004C6D19" w:rsidP="0056205B">
      <w:pPr>
        <w:pStyle w:val="ListParagraph"/>
        <w:numPr>
          <w:ilvl w:val="0"/>
          <w:numId w:val="3"/>
        </w:numPr>
        <w:spacing w:line="360" w:lineRule="auto"/>
        <w:ind w:left="567" w:hanging="425"/>
        <w:jc w:val="both"/>
        <w:rPr>
          <w:rFonts w:ascii="Times New Roman" w:hAnsi="Times New Roman"/>
          <w:sz w:val="24"/>
          <w:szCs w:val="24"/>
        </w:rPr>
      </w:pPr>
      <w:r w:rsidRPr="00A33469">
        <w:rPr>
          <w:rFonts w:ascii="Times New Roman" w:hAnsi="Times New Roman"/>
          <w:sz w:val="24"/>
          <w:szCs w:val="24"/>
        </w:rPr>
        <w:t>Facilitate and regulate the secure movement of people through ports of entry into and out of the Republic of South Africa.</w:t>
      </w:r>
    </w:p>
    <w:p w14:paraId="3FCC2C6D" w14:textId="77777777" w:rsidR="004C6D19" w:rsidRPr="00A33469" w:rsidRDefault="004C6D19" w:rsidP="0056205B">
      <w:pPr>
        <w:pStyle w:val="ListParagraph"/>
        <w:numPr>
          <w:ilvl w:val="0"/>
          <w:numId w:val="3"/>
        </w:numPr>
        <w:spacing w:line="360" w:lineRule="auto"/>
        <w:ind w:left="567" w:hanging="425"/>
        <w:jc w:val="both"/>
        <w:rPr>
          <w:rFonts w:ascii="Times New Roman" w:hAnsi="Times New Roman"/>
          <w:sz w:val="24"/>
          <w:szCs w:val="24"/>
        </w:rPr>
      </w:pPr>
      <w:r w:rsidRPr="00A33469">
        <w:rPr>
          <w:rFonts w:ascii="Times New Roman" w:hAnsi="Times New Roman"/>
          <w:sz w:val="24"/>
          <w:szCs w:val="24"/>
        </w:rPr>
        <w:t>Confirm and provide documents to foreign visitors legally residing within the Republic of South Africa.</w:t>
      </w:r>
    </w:p>
    <w:p w14:paraId="16D12B37" w14:textId="77777777" w:rsidR="004C6D19" w:rsidRPr="00A33469" w:rsidRDefault="004C6D19" w:rsidP="0056205B">
      <w:pPr>
        <w:pStyle w:val="ListParagraph"/>
        <w:numPr>
          <w:ilvl w:val="0"/>
          <w:numId w:val="3"/>
        </w:numPr>
        <w:spacing w:line="360" w:lineRule="auto"/>
        <w:ind w:left="567" w:hanging="425"/>
        <w:jc w:val="both"/>
        <w:rPr>
          <w:rFonts w:ascii="Times New Roman" w:hAnsi="Times New Roman"/>
          <w:sz w:val="24"/>
          <w:szCs w:val="24"/>
        </w:rPr>
      </w:pPr>
      <w:r w:rsidRPr="00A33469">
        <w:rPr>
          <w:rFonts w:ascii="Times New Roman" w:hAnsi="Times New Roman"/>
          <w:sz w:val="24"/>
          <w:szCs w:val="24"/>
        </w:rPr>
        <w:t>Enforce immigration legislation and effect deportations.</w:t>
      </w:r>
    </w:p>
    <w:p w14:paraId="717399BF" w14:textId="77777777" w:rsidR="004C6D19" w:rsidRPr="00A33469" w:rsidRDefault="004C6D19" w:rsidP="0056205B">
      <w:pPr>
        <w:pStyle w:val="ListParagraph"/>
        <w:numPr>
          <w:ilvl w:val="0"/>
          <w:numId w:val="3"/>
        </w:numPr>
        <w:spacing w:line="360" w:lineRule="auto"/>
        <w:ind w:left="567" w:hanging="425"/>
        <w:jc w:val="both"/>
        <w:rPr>
          <w:rFonts w:ascii="Times New Roman" w:hAnsi="Times New Roman"/>
          <w:sz w:val="24"/>
          <w:szCs w:val="24"/>
        </w:rPr>
      </w:pPr>
      <w:r w:rsidRPr="00A33469">
        <w:rPr>
          <w:rFonts w:ascii="Times New Roman" w:hAnsi="Times New Roman"/>
          <w:sz w:val="24"/>
          <w:szCs w:val="24"/>
        </w:rPr>
        <w:t>Determine the status of asylum seekers and regulate refugee affairs.</w:t>
      </w:r>
    </w:p>
    <w:p w14:paraId="7ADE1A23" w14:textId="77777777" w:rsidR="004C6D19" w:rsidRPr="00A33469" w:rsidRDefault="004C6D19" w:rsidP="0056205B">
      <w:pPr>
        <w:pStyle w:val="ListParagraph"/>
        <w:numPr>
          <w:ilvl w:val="0"/>
          <w:numId w:val="3"/>
        </w:numPr>
        <w:spacing w:line="360" w:lineRule="auto"/>
        <w:ind w:left="567" w:hanging="425"/>
        <w:jc w:val="both"/>
        <w:rPr>
          <w:rFonts w:ascii="Times New Roman" w:hAnsi="Times New Roman"/>
          <w:sz w:val="24"/>
          <w:szCs w:val="24"/>
        </w:rPr>
      </w:pPr>
      <w:r w:rsidRPr="00A33469">
        <w:rPr>
          <w:rFonts w:ascii="Times New Roman" w:hAnsi="Times New Roman"/>
          <w:sz w:val="24"/>
          <w:szCs w:val="24"/>
        </w:rPr>
        <w:t xml:space="preserve">Contribute towards realising a positive migration trends into the Republic that </w:t>
      </w:r>
      <w:r w:rsidR="00D52754" w:rsidRPr="00A33469">
        <w:rPr>
          <w:rFonts w:ascii="Times New Roman" w:hAnsi="Times New Roman"/>
          <w:sz w:val="24"/>
          <w:szCs w:val="24"/>
        </w:rPr>
        <w:t xml:space="preserve">  </w:t>
      </w:r>
      <w:r w:rsidRPr="00A33469">
        <w:rPr>
          <w:rFonts w:ascii="Times New Roman" w:hAnsi="Times New Roman"/>
          <w:sz w:val="24"/>
          <w:szCs w:val="24"/>
        </w:rPr>
        <w:t>enhances the skills base and support foreign direct investment.</w:t>
      </w:r>
    </w:p>
    <w:p w14:paraId="359DA455" w14:textId="77777777" w:rsidR="00D52754" w:rsidRPr="00A33469" w:rsidRDefault="00D52754" w:rsidP="00A33469">
      <w:pPr>
        <w:spacing w:line="360" w:lineRule="auto"/>
        <w:jc w:val="both"/>
        <w:rPr>
          <w:rFonts w:ascii="Times New Roman" w:hAnsi="Times New Roman"/>
          <w:b/>
          <w:sz w:val="24"/>
          <w:szCs w:val="24"/>
        </w:rPr>
      </w:pPr>
    </w:p>
    <w:p w14:paraId="7BB60ED7" w14:textId="77777777" w:rsidR="003154A3" w:rsidRPr="00C56099" w:rsidRDefault="00657B23" w:rsidP="0056205B">
      <w:pPr>
        <w:pStyle w:val="ListParagraph"/>
        <w:numPr>
          <w:ilvl w:val="1"/>
          <w:numId w:val="1"/>
        </w:numPr>
        <w:spacing w:line="360" w:lineRule="auto"/>
        <w:ind w:left="567" w:hanging="567"/>
        <w:jc w:val="both"/>
        <w:rPr>
          <w:rFonts w:ascii="Times New Roman" w:hAnsi="Times New Roman"/>
          <w:b/>
          <w:sz w:val="28"/>
          <w:szCs w:val="28"/>
        </w:rPr>
      </w:pPr>
      <w:r w:rsidRPr="00C56099">
        <w:rPr>
          <w:rFonts w:ascii="Times New Roman" w:hAnsi="Times New Roman"/>
          <w:b/>
          <w:sz w:val="28"/>
          <w:szCs w:val="28"/>
        </w:rPr>
        <w:t xml:space="preserve">DHA </w:t>
      </w:r>
      <w:r w:rsidR="003154A3" w:rsidRPr="00C56099">
        <w:rPr>
          <w:rFonts w:ascii="Times New Roman" w:hAnsi="Times New Roman"/>
          <w:b/>
          <w:sz w:val="28"/>
          <w:szCs w:val="28"/>
        </w:rPr>
        <w:t xml:space="preserve">Annual Performance Plan for </w:t>
      </w:r>
      <w:r w:rsidR="00E3485E" w:rsidRPr="00C56099">
        <w:rPr>
          <w:rFonts w:ascii="Times New Roman" w:hAnsi="Times New Roman"/>
          <w:b/>
          <w:sz w:val="28"/>
          <w:szCs w:val="28"/>
        </w:rPr>
        <w:t>201</w:t>
      </w:r>
      <w:r w:rsidR="00E31DFD" w:rsidRPr="00C56099">
        <w:rPr>
          <w:rFonts w:ascii="Times New Roman" w:hAnsi="Times New Roman"/>
          <w:b/>
          <w:sz w:val="28"/>
          <w:szCs w:val="28"/>
        </w:rPr>
        <w:t>9</w:t>
      </w:r>
      <w:r w:rsidR="00E3485E" w:rsidRPr="00C56099">
        <w:rPr>
          <w:rFonts w:ascii="Times New Roman" w:hAnsi="Times New Roman"/>
          <w:b/>
          <w:sz w:val="28"/>
          <w:szCs w:val="28"/>
        </w:rPr>
        <w:t>/20</w:t>
      </w:r>
      <w:r w:rsidR="003154A3" w:rsidRPr="00C56099">
        <w:rPr>
          <w:rFonts w:ascii="Times New Roman" w:hAnsi="Times New Roman"/>
          <w:b/>
          <w:sz w:val="28"/>
          <w:szCs w:val="28"/>
        </w:rPr>
        <w:t xml:space="preserve"> Financial Year</w:t>
      </w:r>
    </w:p>
    <w:p w14:paraId="126456A1" w14:textId="77777777" w:rsidR="00B71A19" w:rsidRPr="00A33469" w:rsidRDefault="00657B23" w:rsidP="00A33469">
      <w:pPr>
        <w:pStyle w:val="ListParagraph"/>
        <w:spacing w:line="360" w:lineRule="auto"/>
        <w:ind w:left="0"/>
        <w:jc w:val="both"/>
        <w:rPr>
          <w:rFonts w:ascii="Times New Roman" w:hAnsi="Times New Roman"/>
          <w:sz w:val="24"/>
          <w:szCs w:val="24"/>
        </w:rPr>
      </w:pPr>
      <w:r w:rsidRPr="00A33469">
        <w:rPr>
          <w:rFonts w:ascii="Times New Roman" w:hAnsi="Times New Roman"/>
          <w:sz w:val="24"/>
          <w:szCs w:val="24"/>
        </w:rPr>
        <w:t xml:space="preserve">A </w:t>
      </w:r>
      <w:r w:rsidR="00B71A19" w:rsidRPr="00A33469">
        <w:rPr>
          <w:rFonts w:ascii="Times New Roman" w:hAnsi="Times New Roman"/>
          <w:sz w:val="24"/>
          <w:szCs w:val="24"/>
        </w:rPr>
        <w:t xml:space="preserve">delegation from the DHA was led </w:t>
      </w:r>
      <w:r w:rsidR="00E3485E">
        <w:rPr>
          <w:rFonts w:ascii="Times New Roman" w:hAnsi="Times New Roman"/>
          <w:sz w:val="24"/>
          <w:szCs w:val="24"/>
        </w:rPr>
        <w:t xml:space="preserve">and introduced </w:t>
      </w:r>
      <w:r w:rsidR="00B71A19" w:rsidRPr="00A33469">
        <w:rPr>
          <w:rFonts w:ascii="Times New Roman" w:hAnsi="Times New Roman"/>
          <w:sz w:val="24"/>
          <w:szCs w:val="24"/>
        </w:rPr>
        <w:t>by the</w:t>
      </w:r>
      <w:r w:rsidR="00E3485E">
        <w:rPr>
          <w:rFonts w:ascii="Times New Roman" w:hAnsi="Times New Roman"/>
          <w:sz w:val="24"/>
          <w:szCs w:val="24"/>
        </w:rPr>
        <w:t xml:space="preserve"> newly appointed</w:t>
      </w:r>
      <w:r w:rsidR="00B71A19" w:rsidRPr="00A33469">
        <w:rPr>
          <w:rFonts w:ascii="Times New Roman" w:hAnsi="Times New Roman"/>
          <w:sz w:val="24"/>
          <w:szCs w:val="24"/>
        </w:rPr>
        <w:t xml:space="preserve"> </w:t>
      </w:r>
      <w:r w:rsidR="00D52754" w:rsidRPr="00A33469">
        <w:rPr>
          <w:rFonts w:ascii="Times New Roman" w:hAnsi="Times New Roman"/>
          <w:sz w:val="24"/>
          <w:szCs w:val="24"/>
        </w:rPr>
        <w:t>Minister of Home</w:t>
      </w:r>
      <w:r w:rsidR="00ED768F" w:rsidRPr="00A33469">
        <w:rPr>
          <w:rFonts w:ascii="Times New Roman" w:hAnsi="Times New Roman"/>
          <w:sz w:val="24"/>
          <w:szCs w:val="24"/>
        </w:rPr>
        <w:t xml:space="preserve"> </w:t>
      </w:r>
      <w:r w:rsidR="00D52754" w:rsidRPr="00A33469">
        <w:rPr>
          <w:rFonts w:ascii="Times New Roman" w:hAnsi="Times New Roman"/>
          <w:sz w:val="24"/>
          <w:szCs w:val="24"/>
        </w:rPr>
        <w:t>Affairs</w:t>
      </w:r>
      <w:r w:rsidR="00B71A19" w:rsidRPr="00A33469">
        <w:rPr>
          <w:rFonts w:ascii="Times New Roman" w:hAnsi="Times New Roman"/>
          <w:sz w:val="24"/>
          <w:szCs w:val="24"/>
        </w:rPr>
        <w:t xml:space="preserve"> and the presentation was made by the</w:t>
      </w:r>
      <w:r w:rsidR="00E3485E">
        <w:rPr>
          <w:rFonts w:ascii="Times New Roman" w:hAnsi="Times New Roman"/>
          <w:sz w:val="24"/>
          <w:szCs w:val="24"/>
        </w:rPr>
        <w:t xml:space="preserve"> Acting</w:t>
      </w:r>
      <w:r w:rsidR="00B71A19" w:rsidRPr="00A33469">
        <w:rPr>
          <w:rFonts w:ascii="Times New Roman" w:hAnsi="Times New Roman"/>
          <w:sz w:val="24"/>
          <w:szCs w:val="24"/>
        </w:rPr>
        <w:t xml:space="preserve"> Director-General (DG)</w:t>
      </w:r>
      <w:r w:rsidR="00E3485E">
        <w:rPr>
          <w:rFonts w:ascii="Times New Roman" w:hAnsi="Times New Roman"/>
          <w:sz w:val="24"/>
          <w:szCs w:val="24"/>
        </w:rPr>
        <w:t>(Deputy Director General for Immigration).</w:t>
      </w:r>
    </w:p>
    <w:p w14:paraId="2E5C102B" w14:textId="77777777" w:rsidR="00ED768F" w:rsidRPr="00A33469" w:rsidRDefault="00ED768F" w:rsidP="00A33469">
      <w:pPr>
        <w:spacing w:line="360" w:lineRule="auto"/>
        <w:jc w:val="both"/>
        <w:rPr>
          <w:rFonts w:ascii="Times New Roman" w:hAnsi="Times New Roman"/>
          <w:sz w:val="24"/>
          <w:szCs w:val="24"/>
        </w:rPr>
      </w:pPr>
    </w:p>
    <w:p w14:paraId="1CE50582" w14:textId="77777777" w:rsidR="00970BB0" w:rsidRDefault="00D52754" w:rsidP="00A33469">
      <w:pPr>
        <w:spacing w:line="360" w:lineRule="auto"/>
        <w:jc w:val="both"/>
        <w:rPr>
          <w:rFonts w:ascii="Times New Roman" w:hAnsi="Times New Roman"/>
          <w:sz w:val="24"/>
          <w:szCs w:val="24"/>
        </w:rPr>
      </w:pPr>
      <w:r w:rsidRPr="00A33469">
        <w:rPr>
          <w:rFonts w:ascii="Times New Roman" w:hAnsi="Times New Roman"/>
          <w:sz w:val="24"/>
          <w:szCs w:val="24"/>
        </w:rPr>
        <w:lastRenderedPageBreak/>
        <w:t>The</w:t>
      </w:r>
      <w:r w:rsidR="00E3485E">
        <w:rPr>
          <w:rFonts w:ascii="Times New Roman" w:hAnsi="Times New Roman"/>
          <w:sz w:val="24"/>
          <w:szCs w:val="24"/>
        </w:rPr>
        <w:t xml:space="preserve"> Minister made an introduction indicating that the several acting positons in the DHA were outstanding including the DG since August 2018; the Deputy Director General Civic Services since August 2017 and DDG’s of Information Systems and Counter Corruption since late 2014.</w:t>
      </w:r>
      <w:r w:rsidR="00970BB0">
        <w:rPr>
          <w:rFonts w:ascii="Times New Roman" w:hAnsi="Times New Roman"/>
          <w:sz w:val="24"/>
          <w:szCs w:val="24"/>
        </w:rPr>
        <w:t xml:space="preserve"> The appointment of DG and DDG’s was in part due to a moratorium on appointment till after the 2019 elections and the latter two were due to not being able to find suitable candidates and will now be head hunted. </w:t>
      </w:r>
    </w:p>
    <w:p w14:paraId="1911156F" w14:textId="77777777" w:rsidR="00970BB0" w:rsidRDefault="00970BB0" w:rsidP="00A33469">
      <w:pPr>
        <w:spacing w:line="360" w:lineRule="auto"/>
        <w:jc w:val="both"/>
        <w:rPr>
          <w:rFonts w:ascii="Times New Roman" w:hAnsi="Times New Roman"/>
          <w:sz w:val="24"/>
          <w:szCs w:val="24"/>
        </w:rPr>
      </w:pPr>
      <w:r w:rsidRPr="00970BB0">
        <w:rPr>
          <w:rFonts w:ascii="Times New Roman" w:hAnsi="Times New Roman"/>
          <w:noProof/>
          <w:sz w:val="24"/>
          <w:szCs w:val="24"/>
          <w:lang w:eastAsia="en-ZA"/>
        </w:rPr>
        <w:drawing>
          <wp:anchor distT="0" distB="0" distL="114300" distR="114300" simplePos="0" relativeHeight="251675648" behindDoc="1" locked="0" layoutInCell="1" allowOverlap="1" wp14:anchorId="390A329C" wp14:editId="574469D4">
            <wp:simplePos x="0" y="0"/>
            <wp:positionH relativeFrom="margin">
              <wp:align>right</wp:align>
            </wp:positionH>
            <wp:positionV relativeFrom="paragraph">
              <wp:posOffset>266918</wp:posOffset>
            </wp:positionV>
            <wp:extent cx="5835650" cy="2559050"/>
            <wp:effectExtent l="0" t="0" r="0" b="0"/>
            <wp:wrapTight wrapText="bothSides">
              <wp:wrapPolygon edited="0">
                <wp:start x="0" y="0"/>
                <wp:lineTo x="0" y="21225"/>
                <wp:lineTo x="21506" y="21225"/>
                <wp:lineTo x="21506" y="0"/>
                <wp:lineTo x="0" y="0"/>
              </wp:wrapPolygon>
            </wp:wrapTight>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5835650" cy="2559050"/>
                    </a:xfrm>
                    <a:prstGeom prst="rect">
                      <a:avLst/>
                    </a:prstGeom>
                  </pic:spPr>
                </pic:pic>
              </a:graphicData>
            </a:graphic>
          </wp:anchor>
        </w:drawing>
      </w:r>
      <w:r>
        <w:rPr>
          <w:rFonts w:ascii="Times New Roman" w:hAnsi="Times New Roman"/>
          <w:sz w:val="24"/>
          <w:szCs w:val="24"/>
        </w:rPr>
        <w:t>The</w:t>
      </w:r>
      <w:r w:rsidR="00D52754" w:rsidRPr="00A33469">
        <w:rPr>
          <w:rFonts w:ascii="Times New Roman" w:hAnsi="Times New Roman"/>
          <w:sz w:val="24"/>
          <w:szCs w:val="24"/>
        </w:rPr>
        <w:t xml:space="preserve"> DG </w:t>
      </w:r>
      <w:r>
        <w:rPr>
          <w:rFonts w:ascii="Times New Roman" w:hAnsi="Times New Roman"/>
          <w:sz w:val="24"/>
          <w:szCs w:val="24"/>
        </w:rPr>
        <w:t xml:space="preserve">then </w:t>
      </w:r>
      <w:r w:rsidR="00D52754" w:rsidRPr="00A33469">
        <w:rPr>
          <w:rFonts w:ascii="Times New Roman" w:hAnsi="Times New Roman"/>
          <w:sz w:val="24"/>
          <w:szCs w:val="24"/>
        </w:rPr>
        <w:t>reported</w:t>
      </w:r>
      <w:r>
        <w:rPr>
          <w:rFonts w:ascii="Times New Roman" w:hAnsi="Times New Roman"/>
          <w:sz w:val="24"/>
          <w:szCs w:val="24"/>
        </w:rPr>
        <w:t xml:space="preserve"> on other vacancies in the DHA as follows:</w:t>
      </w:r>
    </w:p>
    <w:p w14:paraId="3F70088F" w14:textId="77777777" w:rsidR="00970BB0" w:rsidRDefault="00970BB0" w:rsidP="00A33469">
      <w:pPr>
        <w:spacing w:line="360" w:lineRule="auto"/>
        <w:jc w:val="both"/>
        <w:rPr>
          <w:rFonts w:ascii="Times New Roman" w:hAnsi="Times New Roman"/>
          <w:sz w:val="24"/>
          <w:szCs w:val="24"/>
        </w:rPr>
      </w:pPr>
    </w:p>
    <w:p w14:paraId="4805297E" w14:textId="77777777" w:rsidR="00970BB0" w:rsidRDefault="00970BB0" w:rsidP="00A33469">
      <w:pPr>
        <w:spacing w:line="360" w:lineRule="auto"/>
        <w:jc w:val="both"/>
        <w:rPr>
          <w:rFonts w:ascii="Times New Roman" w:hAnsi="Times New Roman"/>
          <w:sz w:val="24"/>
          <w:szCs w:val="24"/>
        </w:rPr>
      </w:pPr>
      <w:r>
        <w:rPr>
          <w:rFonts w:ascii="Times New Roman" w:hAnsi="Times New Roman"/>
          <w:sz w:val="24"/>
          <w:szCs w:val="24"/>
        </w:rPr>
        <w:t xml:space="preserve">The DG then gave an overview of the service delivery footprint as follows: </w:t>
      </w:r>
    </w:p>
    <w:p w14:paraId="0915B4EC" w14:textId="77777777" w:rsidR="00970BB0" w:rsidRDefault="00970BB0" w:rsidP="00A33469">
      <w:pPr>
        <w:spacing w:line="360" w:lineRule="auto"/>
        <w:jc w:val="both"/>
        <w:rPr>
          <w:rFonts w:ascii="Times New Roman" w:hAnsi="Times New Roman"/>
          <w:sz w:val="24"/>
          <w:szCs w:val="24"/>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361"/>
        <w:gridCol w:w="1843"/>
      </w:tblGrid>
      <w:tr w:rsidR="00970BB0" w:rsidRPr="00970BB0" w14:paraId="2443ED9E" w14:textId="77777777" w:rsidTr="00A27F8D">
        <w:trPr>
          <w:trHeight w:val="246"/>
        </w:trPr>
        <w:tc>
          <w:tcPr>
            <w:tcW w:w="7361" w:type="dxa"/>
            <w:shd w:val="clear" w:color="auto" w:fill="auto"/>
            <w:tcMar>
              <w:top w:w="15" w:type="dxa"/>
              <w:left w:w="108" w:type="dxa"/>
              <w:bottom w:w="0" w:type="dxa"/>
              <w:right w:w="108" w:type="dxa"/>
            </w:tcMar>
            <w:hideMark/>
          </w:tcPr>
          <w:p w14:paraId="20CA75A9"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b/>
                <w:bCs/>
                <w:sz w:val="24"/>
                <w:szCs w:val="24"/>
              </w:rPr>
              <w:t>Channel</w:t>
            </w:r>
          </w:p>
        </w:tc>
        <w:tc>
          <w:tcPr>
            <w:tcW w:w="1843" w:type="dxa"/>
            <w:shd w:val="clear" w:color="auto" w:fill="auto"/>
            <w:tcMar>
              <w:top w:w="15" w:type="dxa"/>
              <w:left w:w="108" w:type="dxa"/>
              <w:bottom w:w="0" w:type="dxa"/>
              <w:right w:w="108" w:type="dxa"/>
            </w:tcMar>
            <w:hideMark/>
          </w:tcPr>
          <w:p w14:paraId="1210A984"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b/>
                <w:bCs/>
                <w:sz w:val="24"/>
                <w:szCs w:val="24"/>
              </w:rPr>
              <w:t>Quantity</w:t>
            </w:r>
          </w:p>
        </w:tc>
      </w:tr>
      <w:tr w:rsidR="00970BB0" w:rsidRPr="00970BB0" w14:paraId="08158274" w14:textId="77777777" w:rsidTr="00A27F8D">
        <w:trPr>
          <w:trHeight w:val="356"/>
        </w:trPr>
        <w:tc>
          <w:tcPr>
            <w:tcW w:w="7361" w:type="dxa"/>
            <w:shd w:val="clear" w:color="auto" w:fill="auto"/>
            <w:tcMar>
              <w:top w:w="15" w:type="dxa"/>
              <w:left w:w="108" w:type="dxa"/>
              <w:bottom w:w="0" w:type="dxa"/>
              <w:right w:w="108" w:type="dxa"/>
            </w:tcMar>
            <w:hideMark/>
          </w:tcPr>
          <w:p w14:paraId="5CFF96DF"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t>Number of DHA offices (Small, Medium and Large Offices)</w:t>
            </w:r>
          </w:p>
          <w:p w14:paraId="544BC5FF" w14:textId="77777777" w:rsidR="00122B1D" w:rsidRPr="00970BB0" w:rsidRDefault="00122B1D" w:rsidP="001754B7">
            <w:pPr>
              <w:numPr>
                <w:ilvl w:val="0"/>
                <w:numId w:val="7"/>
              </w:numPr>
              <w:spacing w:line="360" w:lineRule="auto"/>
              <w:jc w:val="both"/>
              <w:rPr>
                <w:rFonts w:ascii="Times New Roman" w:hAnsi="Times New Roman"/>
                <w:sz w:val="24"/>
                <w:szCs w:val="24"/>
              </w:rPr>
            </w:pPr>
            <w:r w:rsidRPr="00970BB0">
              <w:rPr>
                <w:rFonts w:ascii="Times New Roman" w:hAnsi="Times New Roman"/>
                <w:sz w:val="24"/>
                <w:szCs w:val="24"/>
              </w:rPr>
              <w:t>Urban (164)</w:t>
            </w:r>
          </w:p>
          <w:p w14:paraId="79F7B16F" w14:textId="77777777" w:rsidR="00122B1D" w:rsidRPr="00970BB0" w:rsidRDefault="00122B1D" w:rsidP="001754B7">
            <w:pPr>
              <w:numPr>
                <w:ilvl w:val="0"/>
                <w:numId w:val="7"/>
              </w:numPr>
              <w:spacing w:line="360" w:lineRule="auto"/>
              <w:jc w:val="both"/>
              <w:rPr>
                <w:rFonts w:ascii="Times New Roman" w:hAnsi="Times New Roman"/>
                <w:sz w:val="24"/>
                <w:szCs w:val="24"/>
              </w:rPr>
            </w:pPr>
            <w:r w:rsidRPr="00970BB0">
              <w:rPr>
                <w:rFonts w:ascii="Times New Roman" w:hAnsi="Times New Roman"/>
                <w:sz w:val="24"/>
                <w:szCs w:val="24"/>
              </w:rPr>
              <w:t>Rural (248)</w:t>
            </w:r>
          </w:p>
        </w:tc>
        <w:tc>
          <w:tcPr>
            <w:tcW w:w="1843" w:type="dxa"/>
            <w:shd w:val="clear" w:color="auto" w:fill="auto"/>
            <w:tcMar>
              <w:top w:w="15" w:type="dxa"/>
              <w:left w:w="108" w:type="dxa"/>
              <w:bottom w:w="0" w:type="dxa"/>
              <w:right w:w="108" w:type="dxa"/>
            </w:tcMar>
            <w:hideMark/>
          </w:tcPr>
          <w:p w14:paraId="2E5EDB72"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t>412</w:t>
            </w:r>
          </w:p>
        </w:tc>
      </w:tr>
      <w:tr w:rsidR="00970BB0" w:rsidRPr="00970BB0" w14:paraId="498635F1" w14:textId="77777777" w:rsidTr="00A27F8D">
        <w:trPr>
          <w:trHeight w:val="356"/>
        </w:trPr>
        <w:tc>
          <w:tcPr>
            <w:tcW w:w="7361" w:type="dxa"/>
            <w:shd w:val="clear" w:color="auto" w:fill="auto"/>
            <w:tcMar>
              <w:top w:w="15" w:type="dxa"/>
              <w:left w:w="108" w:type="dxa"/>
              <w:bottom w:w="0" w:type="dxa"/>
              <w:right w:w="108" w:type="dxa"/>
            </w:tcMar>
            <w:hideMark/>
          </w:tcPr>
          <w:p w14:paraId="3C3A4E0B"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t>Number of modernised offices (live capture offices)</w:t>
            </w:r>
          </w:p>
          <w:p w14:paraId="23D0D4CA" w14:textId="77777777" w:rsidR="00122B1D" w:rsidRPr="00970BB0" w:rsidRDefault="00122B1D" w:rsidP="001754B7">
            <w:pPr>
              <w:numPr>
                <w:ilvl w:val="0"/>
                <w:numId w:val="8"/>
              </w:numPr>
              <w:spacing w:line="360" w:lineRule="auto"/>
              <w:jc w:val="both"/>
              <w:rPr>
                <w:rFonts w:ascii="Times New Roman" w:hAnsi="Times New Roman"/>
                <w:sz w:val="24"/>
                <w:szCs w:val="24"/>
              </w:rPr>
            </w:pPr>
            <w:r w:rsidRPr="00970BB0">
              <w:rPr>
                <w:rFonts w:ascii="Times New Roman" w:hAnsi="Times New Roman"/>
                <w:sz w:val="24"/>
                <w:szCs w:val="24"/>
              </w:rPr>
              <w:t>Rural (81)</w:t>
            </w:r>
          </w:p>
          <w:p w14:paraId="1D80063A" w14:textId="77777777" w:rsidR="00122B1D" w:rsidRPr="00970BB0" w:rsidRDefault="00122B1D" w:rsidP="001754B7">
            <w:pPr>
              <w:numPr>
                <w:ilvl w:val="0"/>
                <w:numId w:val="8"/>
              </w:numPr>
              <w:spacing w:line="360" w:lineRule="auto"/>
              <w:jc w:val="both"/>
              <w:rPr>
                <w:rFonts w:ascii="Times New Roman" w:hAnsi="Times New Roman"/>
                <w:sz w:val="24"/>
                <w:szCs w:val="24"/>
              </w:rPr>
            </w:pPr>
            <w:r w:rsidRPr="00970BB0">
              <w:rPr>
                <w:rFonts w:ascii="Times New Roman" w:hAnsi="Times New Roman"/>
                <w:sz w:val="24"/>
                <w:szCs w:val="24"/>
              </w:rPr>
              <w:t>Urban (112)</w:t>
            </w:r>
          </w:p>
        </w:tc>
        <w:tc>
          <w:tcPr>
            <w:tcW w:w="1843" w:type="dxa"/>
            <w:shd w:val="clear" w:color="auto" w:fill="auto"/>
            <w:tcMar>
              <w:top w:w="15" w:type="dxa"/>
              <w:left w:w="108" w:type="dxa"/>
              <w:bottom w:w="0" w:type="dxa"/>
              <w:right w:w="108" w:type="dxa"/>
            </w:tcMar>
            <w:hideMark/>
          </w:tcPr>
          <w:p w14:paraId="537BA56D"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t>193</w:t>
            </w:r>
          </w:p>
        </w:tc>
      </w:tr>
      <w:tr w:rsidR="00970BB0" w:rsidRPr="00970BB0" w14:paraId="151F3ED8" w14:textId="77777777" w:rsidTr="00A27F8D">
        <w:trPr>
          <w:trHeight w:val="356"/>
        </w:trPr>
        <w:tc>
          <w:tcPr>
            <w:tcW w:w="7361" w:type="dxa"/>
            <w:shd w:val="clear" w:color="auto" w:fill="auto"/>
            <w:tcMar>
              <w:top w:w="15" w:type="dxa"/>
              <w:left w:w="108" w:type="dxa"/>
              <w:bottom w:w="0" w:type="dxa"/>
              <w:right w:w="108" w:type="dxa"/>
            </w:tcMar>
            <w:hideMark/>
          </w:tcPr>
          <w:p w14:paraId="3CD0353E"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t>Banks hosting DHA service points using an online “e-Home Affairs”</w:t>
            </w:r>
          </w:p>
          <w:p w14:paraId="1A976B6F" w14:textId="77777777" w:rsidR="00122B1D" w:rsidRPr="00970BB0" w:rsidRDefault="00122B1D" w:rsidP="001754B7">
            <w:pPr>
              <w:numPr>
                <w:ilvl w:val="0"/>
                <w:numId w:val="9"/>
              </w:numPr>
              <w:spacing w:line="360" w:lineRule="auto"/>
              <w:jc w:val="both"/>
              <w:rPr>
                <w:rFonts w:ascii="Times New Roman" w:hAnsi="Times New Roman"/>
                <w:sz w:val="24"/>
                <w:szCs w:val="24"/>
              </w:rPr>
            </w:pPr>
            <w:r w:rsidRPr="00970BB0">
              <w:rPr>
                <w:rFonts w:ascii="Times New Roman" w:hAnsi="Times New Roman"/>
                <w:sz w:val="24"/>
                <w:szCs w:val="24"/>
              </w:rPr>
              <w:t>Gauteng (13)</w:t>
            </w:r>
          </w:p>
          <w:p w14:paraId="3E0147FB" w14:textId="77777777" w:rsidR="00122B1D" w:rsidRPr="00970BB0" w:rsidRDefault="00122B1D" w:rsidP="001754B7">
            <w:pPr>
              <w:numPr>
                <w:ilvl w:val="0"/>
                <w:numId w:val="9"/>
              </w:numPr>
              <w:spacing w:line="360" w:lineRule="auto"/>
              <w:jc w:val="both"/>
              <w:rPr>
                <w:rFonts w:ascii="Times New Roman" w:hAnsi="Times New Roman"/>
                <w:sz w:val="24"/>
                <w:szCs w:val="24"/>
              </w:rPr>
            </w:pPr>
            <w:r w:rsidRPr="00970BB0">
              <w:rPr>
                <w:rFonts w:ascii="Times New Roman" w:hAnsi="Times New Roman"/>
                <w:sz w:val="24"/>
                <w:szCs w:val="24"/>
              </w:rPr>
              <w:t>Western Cape (1)</w:t>
            </w:r>
          </w:p>
        </w:tc>
        <w:tc>
          <w:tcPr>
            <w:tcW w:w="1843" w:type="dxa"/>
            <w:shd w:val="clear" w:color="auto" w:fill="auto"/>
            <w:tcMar>
              <w:top w:w="15" w:type="dxa"/>
              <w:left w:w="108" w:type="dxa"/>
              <w:bottom w:w="0" w:type="dxa"/>
              <w:right w:w="108" w:type="dxa"/>
            </w:tcMar>
            <w:hideMark/>
          </w:tcPr>
          <w:p w14:paraId="52334D09"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t>14</w:t>
            </w:r>
          </w:p>
        </w:tc>
      </w:tr>
      <w:tr w:rsidR="00970BB0" w:rsidRPr="00970BB0" w14:paraId="1A81B19D" w14:textId="77777777" w:rsidTr="00A27F8D">
        <w:trPr>
          <w:trHeight w:val="356"/>
        </w:trPr>
        <w:tc>
          <w:tcPr>
            <w:tcW w:w="7361" w:type="dxa"/>
            <w:shd w:val="clear" w:color="auto" w:fill="auto"/>
            <w:tcMar>
              <w:top w:w="15" w:type="dxa"/>
              <w:left w:w="108" w:type="dxa"/>
              <w:bottom w:w="0" w:type="dxa"/>
              <w:right w:w="108" w:type="dxa"/>
            </w:tcMar>
            <w:hideMark/>
          </w:tcPr>
          <w:p w14:paraId="6ABA9F83"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t>Health facilities equipped for birth and death registration</w:t>
            </w:r>
          </w:p>
          <w:p w14:paraId="14864387" w14:textId="77777777" w:rsidR="00122B1D" w:rsidRPr="00970BB0" w:rsidRDefault="00122B1D" w:rsidP="001754B7">
            <w:pPr>
              <w:numPr>
                <w:ilvl w:val="0"/>
                <w:numId w:val="10"/>
              </w:numPr>
              <w:spacing w:line="360" w:lineRule="auto"/>
              <w:jc w:val="both"/>
              <w:rPr>
                <w:rFonts w:ascii="Times New Roman" w:hAnsi="Times New Roman"/>
                <w:sz w:val="24"/>
                <w:szCs w:val="24"/>
              </w:rPr>
            </w:pPr>
            <w:r w:rsidRPr="00970BB0">
              <w:rPr>
                <w:rFonts w:ascii="Times New Roman" w:hAnsi="Times New Roman"/>
                <w:sz w:val="24"/>
                <w:szCs w:val="24"/>
              </w:rPr>
              <w:t>Urban (203)</w:t>
            </w:r>
          </w:p>
          <w:p w14:paraId="7DD94AD6" w14:textId="77777777" w:rsidR="00122B1D" w:rsidRPr="00970BB0" w:rsidRDefault="00122B1D" w:rsidP="001754B7">
            <w:pPr>
              <w:numPr>
                <w:ilvl w:val="0"/>
                <w:numId w:val="10"/>
              </w:numPr>
              <w:spacing w:line="360" w:lineRule="auto"/>
              <w:jc w:val="both"/>
              <w:rPr>
                <w:rFonts w:ascii="Times New Roman" w:hAnsi="Times New Roman"/>
                <w:sz w:val="24"/>
                <w:szCs w:val="24"/>
              </w:rPr>
            </w:pPr>
            <w:r w:rsidRPr="00970BB0">
              <w:rPr>
                <w:rFonts w:ascii="Times New Roman" w:hAnsi="Times New Roman"/>
                <w:sz w:val="24"/>
                <w:szCs w:val="24"/>
              </w:rPr>
              <w:t>Rural (188)</w:t>
            </w:r>
          </w:p>
        </w:tc>
        <w:tc>
          <w:tcPr>
            <w:tcW w:w="1843" w:type="dxa"/>
            <w:shd w:val="clear" w:color="auto" w:fill="auto"/>
            <w:tcMar>
              <w:top w:w="15" w:type="dxa"/>
              <w:left w:w="108" w:type="dxa"/>
              <w:bottom w:w="0" w:type="dxa"/>
              <w:right w:w="108" w:type="dxa"/>
            </w:tcMar>
            <w:hideMark/>
          </w:tcPr>
          <w:p w14:paraId="1418E7CF"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t>391</w:t>
            </w:r>
          </w:p>
        </w:tc>
      </w:tr>
      <w:tr w:rsidR="00970BB0" w:rsidRPr="00970BB0" w14:paraId="0B9DDBC6" w14:textId="77777777" w:rsidTr="00A27F8D">
        <w:trPr>
          <w:trHeight w:val="356"/>
        </w:trPr>
        <w:tc>
          <w:tcPr>
            <w:tcW w:w="7361" w:type="dxa"/>
            <w:shd w:val="clear" w:color="auto" w:fill="auto"/>
            <w:tcMar>
              <w:top w:w="15" w:type="dxa"/>
              <w:left w:w="108" w:type="dxa"/>
              <w:bottom w:w="0" w:type="dxa"/>
              <w:right w:w="108" w:type="dxa"/>
            </w:tcMar>
            <w:hideMark/>
          </w:tcPr>
          <w:p w14:paraId="7C879D76"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t>Designated ports of entry (PoEs)</w:t>
            </w:r>
          </w:p>
        </w:tc>
        <w:tc>
          <w:tcPr>
            <w:tcW w:w="1843" w:type="dxa"/>
            <w:shd w:val="clear" w:color="auto" w:fill="auto"/>
            <w:tcMar>
              <w:top w:w="15" w:type="dxa"/>
              <w:left w:w="108" w:type="dxa"/>
              <w:bottom w:w="0" w:type="dxa"/>
              <w:right w:w="108" w:type="dxa"/>
            </w:tcMar>
            <w:hideMark/>
          </w:tcPr>
          <w:p w14:paraId="79B0B85E"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t>72</w:t>
            </w:r>
          </w:p>
        </w:tc>
      </w:tr>
      <w:tr w:rsidR="00970BB0" w:rsidRPr="00970BB0" w14:paraId="5AFFEAF6" w14:textId="77777777" w:rsidTr="00A27F8D">
        <w:trPr>
          <w:trHeight w:val="356"/>
        </w:trPr>
        <w:tc>
          <w:tcPr>
            <w:tcW w:w="7361" w:type="dxa"/>
            <w:shd w:val="clear" w:color="auto" w:fill="auto"/>
            <w:tcMar>
              <w:top w:w="15" w:type="dxa"/>
              <w:left w:w="108" w:type="dxa"/>
              <w:bottom w:w="0" w:type="dxa"/>
              <w:right w:w="108" w:type="dxa"/>
            </w:tcMar>
            <w:hideMark/>
          </w:tcPr>
          <w:p w14:paraId="4204E484"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lastRenderedPageBreak/>
              <w:t>DHA represented abroad at South African missions</w:t>
            </w:r>
          </w:p>
        </w:tc>
        <w:tc>
          <w:tcPr>
            <w:tcW w:w="1843" w:type="dxa"/>
            <w:shd w:val="clear" w:color="auto" w:fill="auto"/>
            <w:tcMar>
              <w:top w:w="15" w:type="dxa"/>
              <w:left w:w="108" w:type="dxa"/>
              <w:bottom w:w="0" w:type="dxa"/>
              <w:right w:w="108" w:type="dxa"/>
            </w:tcMar>
            <w:hideMark/>
          </w:tcPr>
          <w:p w14:paraId="50BF6E86"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t>30</w:t>
            </w:r>
          </w:p>
        </w:tc>
      </w:tr>
      <w:tr w:rsidR="00970BB0" w:rsidRPr="00970BB0" w14:paraId="38F68BA3" w14:textId="77777777" w:rsidTr="00A27F8D">
        <w:trPr>
          <w:trHeight w:val="356"/>
        </w:trPr>
        <w:tc>
          <w:tcPr>
            <w:tcW w:w="7361" w:type="dxa"/>
            <w:shd w:val="clear" w:color="auto" w:fill="auto"/>
            <w:tcMar>
              <w:top w:w="15" w:type="dxa"/>
              <w:left w:w="108" w:type="dxa"/>
              <w:bottom w:w="0" w:type="dxa"/>
              <w:right w:w="108" w:type="dxa"/>
            </w:tcMar>
            <w:hideMark/>
          </w:tcPr>
          <w:p w14:paraId="26E5C8DE"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t>Refugee Reception Centres</w:t>
            </w:r>
          </w:p>
        </w:tc>
        <w:tc>
          <w:tcPr>
            <w:tcW w:w="1843" w:type="dxa"/>
            <w:shd w:val="clear" w:color="auto" w:fill="auto"/>
            <w:tcMar>
              <w:top w:w="15" w:type="dxa"/>
              <w:left w:w="108" w:type="dxa"/>
              <w:bottom w:w="0" w:type="dxa"/>
              <w:right w:w="108" w:type="dxa"/>
            </w:tcMar>
            <w:hideMark/>
          </w:tcPr>
          <w:p w14:paraId="5857BCE5"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t>5</w:t>
            </w:r>
          </w:p>
        </w:tc>
      </w:tr>
      <w:tr w:rsidR="00970BB0" w:rsidRPr="00970BB0" w14:paraId="068DF685" w14:textId="77777777" w:rsidTr="00A27F8D">
        <w:trPr>
          <w:trHeight w:val="356"/>
        </w:trPr>
        <w:tc>
          <w:tcPr>
            <w:tcW w:w="7361" w:type="dxa"/>
            <w:shd w:val="clear" w:color="auto" w:fill="auto"/>
            <w:tcMar>
              <w:top w:w="15" w:type="dxa"/>
              <w:left w:w="108" w:type="dxa"/>
              <w:bottom w:w="0" w:type="dxa"/>
              <w:right w:w="108" w:type="dxa"/>
            </w:tcMar>
            <w:hideMark/>
          </w:tcPr>
          <w:p w14:paraId="6557BC03"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t>Repatriation Centre</w:t>
            </w:r>
          </w:p>
        </w:tc>
        <w:tc>
          <w:tcPr>
            <w:tcW w:w="1843" w:type="dxa"/>
            <w:shd w:val="clear" w:color="auto" w:fill="auto"/>
            <w:tcMar>
              <w:top w:w="15" w:type="dxa"/>
              <w:left w:w="108" w:type="dxa"/>
              <w:bottom w:w="0" w:type="dxa"/>
              <w:right w:w="108" w:type="dxa"/>
            </w:tcMar>
            <w:hideMark/>
          </w:tcPr>
          <w:p w14:paraId="71D4AA16"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t>1</w:t>
            </w:r>
          </w:p>
        </w:tc>
      </w:tr>
      <w:tr w:rsidR="00970BB0" w:rsidRPr="00970BB0" w14:paraId="5953FC64" w14:textId="77777777" w:rsidTr="00A27F8D">
        <w:trPr>
          <w:trHeight w:val="356"/>
        </w:trPr>
        <w:tc>
          <w:tcPr>
            <w:tcW w:w="7361" w:type="dxa"/>
            <w:shd w:val="clear" w:color="auto" w:fill="auto"/>
            <w:tcMar>
              <w:top w:w="15" w:type="dxa"/>
              <w:left w:w="108" w:type="dxa"/>
              <w:bottom w:w="0" w:type="dxa"/>
              <w:right w:w="108" w:type="dxa"/>
            </w:tcMar>
            <w:hideMark/>
          </w:tcPr>
          <w:p w14:paraId="0F370EC8"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t xml:space="preserve">Premium visa and permit centres  </w:t>
            </w:r>
          </w:p>
        </w:tc>
        <w:tc>
          <w:tcPr>
            <w:tcW w:w="1843" w:type="dxa"/>
            <w:shd w:val="clear" w:color="auto" w:fill="auto"/>
            <w:tcMar>
              <w:top w:w="15" w:type="dxa"/>
              <w:left w:w="108" w:type="dxa"/>
              <w:bottom w:w="0" w:type="dxa"/>
              <w:right w:w="108" w:type="dxa"/>
            </w:tcMar>
            <w:hideMark/>
          </w:tcPr>
          <w:p w14:paraId="4E3EC68D" w14:textId="77777777" w:rsidR="00970BB0" w:rsidRPr="00970BB0" w:rsidRDefault="00970BB0" w:rsidP="00970BB0">
            <w:pPr>
              <w:spacing w:line="360" w:lineRule="auto"/>
              <w:jc w:val="both"/>
              <w:rPr>
                <w:rFonts w:ascii="Times New Roman" w:hAnsi="Times New Roman"/>
                <w:sz w:val="24"/>
                <w:szCs w:val="24"/>
              </w:rPr>
            </w:pPr>
            <w:r w:rsidRPr="00970BB0">
              <w:rPr>
                <w:rFonts w:ascii="Times New Roman" w:hAnsi="Times New Roman"/>
                <w:sz w:val="24"/>
                <w:szCs w:val="24"/>
              </w:rPr>
              <w:t>4</w:t>
            </w:r>
          </w:p>
        </w:tc>
      </w:tr>
    </w:tbl>
    <w:p w14:paraId="06067B1F" w14:textId="77777777" w:rsidR="00970BB0" w:rsidRDefault="00970BB0" w:rsidP="00A33469">
      <w:pPr>
        <w:spacing w:line="360" w:lineRule="auto"/>
        <w:jc w:val="both"/>
        <w:rPr>
          <w:rFonts w:ascii="Times New Roman" w:hAnsi="Times New Roman"/>
          <w:sz w:val="24"/>
          <w:szCs w:val="24"/>
        </w:rPr>
      </w:pPr>
    </w:p>
    <w:p w14:paraId="41AE123A" w14:textId="77777777" w:rsidR="00970BB0" w:rsidRDefault="001F6DD6" w:rsidP="00A33469">
      <w:pPr>
        <w:spacing w:line="360" w:lineRule="auto"/>
        <w:jc w:val="both"/>
        <w:rPr>
          <w:rFonts w:ascii="Times New Roman" w:hAnsi="Times New Roman"/>
          <w:sz w:val="24"/>
          <w:szCs w:val="24"/>
        </w:rPr>
      </w:pPr>
      <w:r>
        <w:rPr>
          <w:rFonts w:ascii="Times New Roman" w:hAnsi="Times New Roman"/>
          <w:sz w:val="24"/>
          <w:szCs w:val="24"/>
        </w:rPr>
        <w:t>The DG mentioned that performance had gradually increased since 2013 where only 53% of annual targets were met to 2018 where 86% were met. A decline to 77% achievement against targets in 2019 was recorded but was as yet unaudited. The improvements were attributed to a number of factors:</w:t>
      </w:r>
    </w:p>
    <w:p w14:paraId="4DFE1D3A" w14:textId="77777777" w:rsidR="00122B1D" w:rsidRPr="001F6DD6" w:rsidRDefault="001F6DD6" w:rsidP="001754B7">
      <w:pPr>
        <w:numPr>
          <w:ilvl w:val="1"/>
          <w:numId w:val="11"/>
        </w:numPr>
        <w:tabs>
          <w:tab w:val="clear" w:pos="1440"/>
          <w:tab w:val="num" w:pos="1134"/>
        </w:tabs>
        <w:spacing w:line="360" w:lineRule="auto"/>
        <w:ind w:left="284" w:hanging="284"/>
        <w:jc w:val="both"/>
        <w:rPr>
          <w:rFonts w:ascii="Times New Roman" w:hAnsi="Times New Roman"/>
          <w:sz w:val="24"/>
          <w:szCs w:val="24"/>
        </w:rPr>
      </w:pPr>
      <w:r>
        <w:rPr>
          <w:rFonts w:ascii="Times New Roman" w:hAnsi="Times New Roman"/>
          <w:sz w:val="24"/>
          <w:szCs w:val="24"/>
          <w:lang w:val="en-US"/>
        </w:rPr>
        <w:t xml:space="preserve">Planning is more </w:t>
      </w:r>
      <w:r w:rsidR="00122B1D" w:rsidRPr="001F6DD6">
        <w:rPr>
          <w:rFonts w:ascii="Times New Roman" w:hAnsi="Times New Roman"/>
          <w:sz w:val="24"/>
          <w:szCs w:val="24"/>
          <w:lang w:val="en-US"/>
        </w:rPr>
        <w:t>outcomes-focused with emphasis on strategic priorities.</w:t>
      </w:r>
    </w:p>
    <w:p w14:paraId="28B411F7" w14:textId="77777777" w:rsidR="00122B1D" w:rsidRPr="001F6DD6" w:rsidRDefault="00122B1D" w:rsidP="001754B7">
      <w:pPr>
        <w:numPr>
          <w:ilvl w:val="1"/>
          <w:numId w:val="11"/>
        </w:numPr>
        <w:tabs>
          <w:tab w:val="clear" w:pos="1440"/>
          <w:tab w:val="num" w:pos="1134"/>
        </w:tabs>
        <w:spacing w:line="360" w:lineRule="auto"/>
        <w:ind w:left="284" w:hanging="284"/>
        <w:jc w:val="both"/>
        <w:rPr>
          <w:rFonts w:ascii="Times New Roman" w:hAnsi="Times New Roman"/>
          <w:sz w:val="24"/>
          <w:szCs w:val="24"/>
        </w:rPr>
      </w:pPr>
      <w:r w:rsidRPr="001F6DD6">
        <w:rPr>
          <w:rFonts w:ascii="Times New Roman" w:hAnsi="Times New Roman"/>
          <w:sz w:val="24"/>
          <w:szCs w:val="24"/>
          <w:lang w:val="en-US"/>
        </w:rPr>
        <w:t xml:space="preserve">Cascading of the DHA strategy throughout the </w:t>
      </w:r>
      <w:r w:rsidR="001F6DD6">
        <w:rPr>
          <w:rFonts w:ascii="Times New Roman" w:hAnsi="Times New Roman"/>
          <w:sz w:val="24"/>
          <w:szCs w:val="24"/>
          <w:lang w:val="en-US"/>
        </w:rPr>
        <w:t>organization and i</w:t>
      </w:r>
      <w:r w:rsidR="001F6DD6" w:rsidRPr="001F6DD6">
        <w:rPr>
          <w:rFonts w:ascii="Times New Roman" w:hAnsi="Times New Roman"/>
          <w:sz w:val="24"/>
          <w:szCs w:val="24"/>
          <w:lang w:val="en-US"/>
        </w:rPr>
        <w:t>ncreased emphasis on the importance of integrated planning to identify and address key dependencies and risks.</w:t>
      </w:r>
    </w:p>
    <w:p w14:paraId="1F21E6AE" w14:textId="77777777" w:rsidR="001F6DD6" w:rsidRPr="001F6DD6" w:rsidRDefault="001F6DD6" w:rsidP="001754B7">
      <w:pPr>
        <w:numPr>
          <w:ilvl w:val="1"/>
          <w:numId w:val="11"/>
        </w:numPr>
        <w:tabs>
          <w:tab w:val="clear" w:pos="1440"/>
          <w:tab w:val="num" w:pos="1134"/>
        </w:tabs>
        <w:spacing w:line="360" w:lineRule="auto"/>
        <w:ind w:left="284" w:hanging="284"/>
        <w:jc w:val="both"/>
        <w:rPr>
          <w:rFonts w:ascii="Times New Roman" w:hAnsi="Times New Roman"/>
          <w:sz w:val="24"/>
          <w:szCs w:val="24"/>
        </w:rPr>
      </w:pPr>
      <w:r w:rsidRPr="001F6DD6">
        <w:rPr>
          <w:rFonts w:ascii="Times New Roman" w:hAnsi="Times New Roman"/>
          <w:sz w:val="24"/>
          <w:szCs w:val="24"/>
          <w:lang w:val="en-US"/>
        </w:rPr>
        <w:t xml:space="preserve">Intensified monitoring of progress in achieving targets. </w:t>
      </w:r>
    </w:p>
    <w:p w14:paraId="729B72A8" w14:textId="77777777" w:rsidR="00122B1D" w:rsidRPr="001F6DD6" w:rsidRDefault="00122B1D" w:rsidP="001754B7">
      <w:pPr>
        <w:numPr>
          <w:ilvl w:val="1"/>
          <w:numId w:val="11"/>
        </w:numPr>
        <w:tabs>
          <w:tab w:val="clear" w:pos="1440"/>
          <w:tab w:val="num" w:pos="1134"/>
        </w:tabs>
        <w:spacing w:line="360" w:lineRule="auto"/>
        <w:ind w:left="284" w:hanging="284"/>
        <w:jc w:val="both"/>
        <w:rPr>
          <w:rFonts w:ascii="Times New Roman" w:hAnsi="Times New Roman"/>
          <w:sz w:val="24"/>
          <w:szCs w:val="24"/>
        </w:rPr>
      </w:pPr>
      <w:r w:rsidRPr="001F6DD6">
        <w:rPr>
          <w:rFonts w:ascii="Times New Roman" w:hAnsi="Times New Roman"/>
          <w:sz w:val="24"/>
          <w:szCs w:val="24"/>
          <w:lang w:val="en-US"/>
        </w:rPr>
        <w:t>Dev</w:t>
      </w:r>
      <w:r w:rsidR="001F6DD6">
        <w:rPr>
          <w:rFonts w:ascii="Times New Roman" w:hAnsi="Times New Roman"/>
          <w:sz w:val="24"/>
          <w:szCs w:val="24"/>
          <w:lang w:val="en-US"/>
        </w:rPr>
        <w:t>elopment of clear Planning and monitoring and eval</w:t>
      </w:r>
      <w:r w:rsidR="001F6DD6" w:rsidRPr="001F6DD6">
        <w:rPr>
          <w:rFonts w:ascii="Times New Roman" w:hAnsi="Times New Roman"/>
          <w:sz w:val="24"/>
          <w:szCs w:val="24"/>
          <w:lang w:val="en-US"/>
        </w:rPr>
        <w:t>uation</w:t>
      </w:r>
      <w:r w:rsidRPr="001F6DD6">
        <w:rPr>
          <w:rFonts w:ascii="Times New Roman" w:hAnsi="Times New Roman"/>
          <w:sz w:val="24"/>
          <w:szCs w:val="24"/>
          <w:lang w:val="en-US"/>
        </w:rPr>
        <w:t xml:space="preserve"> guidelines, tools and capacity building.</w:t>
      </w:r>
    </w:p>
    <w:p w14:paraId="508A81E1" w14:textId="77777777" w:rsidR="00122B1D" w:rsidRPr="001F6DD6" w:rsidRDefault="00122B1D" w:rsidP="001754B7">
      <w:pPr>
        <w:numPr>
          <w:ilvl w:val="1"/>
          <w:numId w:val="11"/>
        </w:numPr>
        <w:tabs>
          <w:tab w:val="clear" w:pos="1440"/>
          <w:tab w:val="num" w:pos="1134"/>
        </w:tabs>
        <w:spacing w:line="360" w:lineRule="auto"/>
        <w:ind w:left="284" w:hanging="284"/>
        <w:jc w:val="both"/>
        <w:rPr>
          <w:rFonts w:ascii="Times New Roman" w:hAnsi="Times New Roman"/>
          <w:sz w:val="24"/>
          <w:szCs w:val="24"/>
        </w:rPr>
      </w:pPr>
      <w:r w:rsidRPr="001F6DD6">
        <w:rPr>
          <w:rFonts w:ascii="Times New Roman" w:hAnsi="Times New Roman"/>
          <w:sz w:val="24"/>
          <w:szCs w:val="24"/>
          <w:lang w:val="en-US"/>
        </w:rPr>
        <w:t>Improved governance practices such as the formation of planning and performance related structures</w:t>
      </w:r>
      <w:r w:rsidR="001F6DD6">
        <w:rPr>
          <w:rFonts w:ascii="Times New Roman" w:hAnsi="Times New Roman"/>
          <w:sz w:val="24"/>
          <w:szCs w:val="24"/>
          <w:lang w:val="en-US"/>
        </w:rPr>
        <w:t xml:space="preserve"> </w:t>
      </w:r>
      <w:r w:rsidRPr="001F6DD6">
        <w:rPr>
          <w:rFonts w:ascii="Times New Roman" w:hAnsi="Times New Roman"/>
          <w:sz w:val="24"/>
          <w:szCs w:val="24"/>
          <w:lang w:val="en-US"/>
        </w:rPr>
        <w:t>and high level of visibility and accountability for APP targets (e.g. reporting at formal quarterly review meetings, reporting to Parliament, participation of Internal Audit in strategic management process,</w:t>
      </w:r>
    </w:p>
    <w:p w14:paraId="6CA56F79" w14:textId="77777777" w:rsidR="00970BB0" w:rsidRDefault="00970BB0" w:rsidP="00A33469">
      <w:pPr>
        <w:spacing w:line="360" w:lineRule="auto"/>
        <w:jc w:val="both"/>
        <w:rPr>
          <w:rFonts w:ascii="Times New Roman" w:hAnsi="Times New Roman"/>
          <w:sz w:val="24"/>
          <w:szCs w:val="24"/>
        </w:rPr>
      </w:pPr>
    </w:p>
    <w:p w14:paraId="21B273E3" w14:textId="77777777" w:rsidR="00D52754" w:rsidRPr="00A33469" w:rsidRDefault="00D52754" w:rsidP="00A33469">
      <w:pPr>
        <w:spacing w:line="360" w:lineRule="auto"/>
        <w:jc w:val="both"/>
        <w:rPr>
          <w:rFonts w:ascii="Times New Roman" w:hAnsi="Times New Roman"/>
          <w:sz w:val="24"/>
          <w:szCs w:val="24"/>
        </w:rPr>
      </w:pPr>
      <w:r w:rsidRPr="00A33469">
        <w:rPr>
          <w:rFonts w:ascii="Times New Roman" w:hAnsi="Times New Roman"/>
          <w:sz w:val="24"/>
          <w:szCs w:val="24"/>
        </w:rPr>
        <w:t>The DG reported that the following are the priorities of the DHA for 2014 – 2019 MTSF:</w:t>
      </w:r>
    </w:p>
    <w:p w14:paraId="561499EA" w14:textId="77777777" w:rsidR="007F47E2" w:rsidRPr="00A33469" w:rsidRDefault="007F47E2" w:rsidP="0056205B">
      <w:pPr>
        <w:pStyle w:val="ListParagraph"/>
        <w:numPr>
          <w:ilvl w:val="0"/>
          <w:numId w:val="4"/>
        </w:numPr>
        <w:spacing w:line="360" w:lineRule="auto"/>
        <w:ind w:left="426" w:hanging="426"/>
        <w:jc w:val="both"/>
        <w:rPr>
          <w:rFonts w:ascii="Times New Roman" w:hAnsi="Times New Roman"/>
          <w:sz w:val="24"/>
          <w:szCs w:val="24"/>
        </w:rPr>
      </w:pPr>
      <w:r w:rsidRPr="00A33469">
        <w:rPr>
          <w:rFonts w:ascii="Times New Roman" w:hAnsi="Times New Roman"/>
          <w:sz w:val="24"/>
          <w:szCs w:val="24"/>
        </w:rPr>
        <w:t>Establishment of the Bo</w:t>
      </w:r>
      <w:r w:rsidR="00413650" w:rsidRPr="00A33469">
        <w:rPr>
          <w:rFonts w:ascii="Times New Roman" w:hAnsi="Times New Roman"/>
          <w:sz w:val="24"/>
          <w:szCs w:val="24"/>
        </w:rPr>
        <w:t>rder Management Authority (BMA).</w:t>
      </w:r>
    </w:p>
    <w:p w14:paraId="6F6186AA" w14:textId="77777777" w:rsidR="007F47E2" w:rsidRPr="00A33469" w:rsidRDefault="007F47E2" w:rsidP="0056205B">
      <w:pPr>
        <w:pStyle w:val="ListParagraph"/>
        <w:numPr>
          <w:ilvl w:val="0"/>
          <w:numId w:val="4"/>
        </w:numPr>
        <w:spacing w:line="360" w:lineRule="auto"/>
        <w:ind w:left="426" w:hanging="426"/>
        <w:jc w:val="both"/>
        <w:rPr>
          <w:rFonts w:ascii="Times New Roman" w:hAnsi="Times New Roman"/>
          <w:sz w:val="24"/>
          <w:szCs w:val="24"/>
        </w:rPr>
      </w:pPr>
      <w:r w:rsidRPr="00A33469">
        <w:rPr>
          <w:rFonts w:ascii="Times New Roman" w:hAnsi="Times New Roman"/>
          <w:sz w:val="24"/>
          <w:szCs w:val="24"/>
        </w:rPr>
        <w:t>Compl</w:t>
      </w:r>
      <w:r w:rsidR="00413650" w:rsidRPr="00A33469">
        <w:rPr>
          <w:rFonts w:ascii="Times New Roman" w:hAnsi="Times New Roman"/>
          <w:sz w:val="24"/>
          <w:szCs w:val="24"/>
        </w:rPr>
        <w:t>ete the Modernisation Programme.</w:t>
      </w:r>
    </w:p>
    <w:p w14:paraId="0B780DBD" w14:textId="77777777" w:rsidR="007F47E2" w:rsidRPr="00A33469" w:rsidRDefault="00413650" w:rsidP="0056205B">
      <w:pPr>
        <w:pStyle w:val="ListParagraph"/>
        <w:numPr>
          <w:ilvl w:val="0"/>
          <w:numId w:val="4"/>
        </w:numPr>
        <w:spacing w:line="360" w:lineRule="auto"/>
        <w:ind w:left="426" w:hanging="426"/>
        <w:jc w:val="both"/>
        <w:rPr>
          <w:rFonts w:ascii="Times New Roman" w:hAnsi="Times New Roman"/>
          <w:sz w:val="24"/>
          <w:szCs w:val="24"/>
        </w:rPr>
      </w:pPr>
      <w:r w:rsidRPr="00A33469">
        <w:rPr>
          <w:rFonts w:ascii="Times New Roman" w:hAnsi="Times New Roman"/>
          <w:sz w:val="24"/>
          <w:szCs w:val="24"/>
        </w:rPr>
        <w:t>Upgrade key ports of entry (6).</w:t>
      </w:r>
    </w:p>
    <w:p w14:paraId="17B3C761" w14:textId="77777777" w:rsidR="007F47E2" w:rsidRPr="00A33469" w:rsidRDefault="007F47E2" w:rsidP="0056205B">
      <w:pPr>
        <w:pStyle w:val="ListParagraph"/>
        <w:numPr>
          <w:ilvl w:val="0"/>
          <w:numId w:val="4"/>
        </w:numPr>
        <w:spacing w:line="360" w:lineRule="auto"/>
        <w:ind w:left="426" w:hanging="426"/>
        <w:jc w:val="both"/>
        <w:rPr>
          <w:rFonts w:ascii="Times New Roman" w:hAnsi="Times New Roman"/>
          <w:sz w:val="24"/>
          <w:szCs w:val="24"/>
        </w:rPr>
      </w:pPr>
      <w:r w:rsidRPr="00A33469">
        <w:rPr>
          <w:rFonts w:ascii="Times New Roman" w:hAnsi="Times New Roman"/>
          <w:sz w:val="24"/>
          <w:szCs w:val="24"/>
        </w:rPr>
        <w:t>Comprehensive review of Immigration Policy; and</w:t>
      </w:r>
    </w:p>
    <w:p w14:paraId="66F4A529" w14:textId="77777777" w:rsidR="00D52754" w:rsidRPr="00A33469" w:rsidRDefault="007F47E2" w:rsidP="0056205B">
      <w:pPr>
        <w:pStyle w:val="ListParagraph"/>
        <w:numPr>
          <w:ilvl w:val="0"/>
          <w:numId w:val="4"/>
        </w:numPr>
        <w:spacing w:line="360" w:lineRule="auto"/>
        <w:ind w:left="426" w:hanging="426"/>
        <w:jc w:val="both"/>
        <w:rPr>
          <w:rFonts w:ascii="Times New Roman" w:hAnsi="Times New Roman"/>
          <w:sz w:val="24"/>
          <w:szCs w:val="24"/>
        </w:rPr>
      </w:pPr>
      <w:r w:rsidRPr="00A33469">
        <w:rPr>
          <w:rFonts w:ascii="Times New Roman" w:hAnsi="Times New Roman"/>
          <w:sz w:val="24"/>
          <w:szCs w:val="24"/>
        </w:rPr>
        <w:t>Improved client experience through leadership (Moetapele).</w:t>
      </w:r>
    </w:p>
    <w:p w14:paraId="5270F654" w14:textId="77777777" w:rsidR="00413650" w:rsidRPr="00A33469" w:rsidRDefault="00413650" w:rsidP="00A33469">
      <w:pPr>
        <w:spacing w:line="360" w:lineRule="auto"/>
        <w:jc w:val="both"/>
        <w:rPr>
          <w:rFonts w:ascii="Times New Roman" w:hAnsi="Times New Roman"/>
          <w:sz w:val="24"/>
          <w:szCs w:val="24"/>
        </w:rPr>
      </w:pPr>
    </w:p>
    <w:p w14:paraId="52A6C596" w14:textId="77777777" w:rsidR="00FC285C" w:rsidRDefault="00FC285C" w:rsidP="00A33469">
      <w:pPr>
        <w:spacing w:line="360" w:lineRule="auto"/>
        <w:jc w:val="both"/>
        <w:rPr>
          <w:rFonts w:ascii="Times New Roman" w:hAnsi="Times New Roman"/>
          <w:sz w:val="24"/>
          <w:szCs w:val="24"/>
        </w:rPr>
      </w:pPr>
      <w:r w:rsidRPr="00A33469">
        <w:rPr>
          <w:rFonts w:ascii="Times New Roman" w:hAnsi="Times New Roman"/>
          <w:sz w:val="24"/>
          <w:szCs w:val="24"/>
        </w:rPr>
        <w:t xml:space="preserve">The DG reported that the BMA </w:t>
      </w:r>
      <w:r w:rsidR="00346FC8" w:rsidRPr="00A33469">
        <w:rPr>
          <w:rFonts w:ascii="Times New Roman" w:hAnsi="Times New Roman"/>
          <w:sz w:val="24"/>
          <w:szCs w:val="24"/>
        </w:rPr>
        <w:t xml:space="preserve">Bill </w:t>
      </w:r>
      <w:r w:rsidRPr="00A33469">
        <w:rPr>
          <w:rFonts w:ascii="Times New Roman" w:hAnsi="Times New Roman"/>
          <w:sz w:val="24"/>
          <w:szCs w:val="24"/>
        </w:rPr>
        <w:t xml:space="preserve">was </w:t>
      </w:r>
      <w:r w:rsidR="00346FC8" w:rsidRPr="00A33469">
        <w:rPr>
          <w:rFonts w:ascii="Times New Roman" w:hAnsi="Times New Roman"/>
          <w:sz w:val="24"/>
          <w:szCs w:val="24"/>
        </w:rPr>
        <w:t xml:space="preserve">still with </w:t>
      </w:r>
      <w:r w:rsidRPr="00A33469">
        <w:rPr>
          <w:rFonts w:ascii="Times New Roman" w:hAnsi="Times New Roman"/>
          <w:sz w:val="24"/>
          <w:szCs w:val="24"/>
        </w:rPr>
        <w:t>Parliament</w:t>
      </w:r>
      <w:r w:rsidR="00346FC8" w:rsidRPr="00A33469">
        <w:rPr>
          <w:rFonts w:ascii="Times New Roman" w:hAnsi="Times New Roman"/>
          <w:sz w:val="24"/>
          <w:szCs w:val="24"/>
        </w:rPr>
        <w:t xml:space="preserve"> at</w:t>
      </w:r>
      <w:r w:rsidRPr="00A33469">
        <w:rPr>
          <w:rFonts w:ascii="Times New Roman" w:hAnsi="Times New Roman"/>
          <w:sz w:val="24"/>
          <w:szCs w:val="24"/>
        </w:rPr>
        <w:t xml:space="preserve"> the National Council of Provinces (NCOP). The BMA was supposed to be operational by </w:t>
      </w:r>
      <w:r w:rsidR="00E31DFD" w:rsidRPr="00A33469">
        <w:rPr>
          <w:rFonts w:ascii="Times New Roman" w:hAnsi="Times New Roman"/>
          <w:sz w:val="24"/>
          <w:szCs w:val="24"/>
        </w:rPr>
        <w:t>2017/18</w:t>
      </w:r>
      <w:r w:rsidRPr="00A33469">
        <w:rPr>
          <w:rFonts w:ascii="Times New Roman" w:hAnsi="Times New Roman"/>
          <w:sz w:val="24"/>
          <w:szCs w:val="24"/>
        </w:rPr>
        <w:t>.  This commitment has not been met.</w:t>
      </w:r>
      <w:r w:rsidR="002146B0" w:rsidRPr="00A33469">
        <w:rPr>
          <w:rFonts w:ascii="Times New Roman" w:hAnsi="Times New Roman"/>
          <w:sz w:val="24"/>
          <w:szCs w:val="24"/>
        </w:rPr>
        <w:t xml:space="preserve"> Th</w:t>
      </w:r>
      <w:r w:rsidR="001F6DD6">
        <w:rPr>
          <w:rFonts w:ascii="Times New Roman" w:hAnsi="Times New Roman"/>
          <w:sz w:val="24"/>
          <w:szCs w:val="24"/>
        </w:rPr>
        <w:t xml:space="preserve">e DHA </w:t>
      </w:r>
      <w:r w:rsidR="000C697B">
        <w:rPr>
          <w:rFonts w:ascii="Times New Roman" w:hAnsi="Times New Roman"/>
          <w:sz w:val="24"/>
          <w:szCs w:val="24"/>
        </w:rPr>
        <w:t>encourages Parliament to revive</w:t>
      </w:r>
      <w:r w:rsidR="001F6DD6">
        <w:rPr>
          <w:rFonts w:ascii="Times New Roman" w:hAnsi="Times New Roman"/>
          <w:sz w:val="24"/>
          <w:szCs w:val="24"/>
        </w:rPr>
        <w:t xml:space="preserve"> the BMA bill </w:t>
      </w:r>
      <w:r w:rsidR="000C697B">
        <w:rPr>
          <w:rFonts w:ascii="Times New Roman" w:hAnsi="Times New Roman"/>
          <w:sz w:val="24"/>
          <w:szCs w:val="24"/>
        </w:rPr>
        <w:t>in the 6</w:t>
      </w:r>
      <w:r w:rsidR="000C697B" w:rsidRPr="000C697B">
        <w:rPr>
          <w:rFonts w:ascii="Times New Roman" w:hAnsi="Times New Roman"/>
          <w:sz w:val="24"/>
          <w:szCs w:val="24"/>
          <w:vertAlign w:val="superscript"/>
        </w:rPr>
        <w:t>th</w:t>
      </w:r>
      <w:r w:rsidR="000C697B">
        <w:rPr>
          <w:rFonts w:ascii="Times New Roman" w:hAnsi="Times New Roman"/>
          <w:sz w:val="24"/>
          <w:szCs w:val="24"/>
        </w:rPr>
        <w:t xml:space="preserve"> Parliament</w:t>
      </w:r>
      <w:r w:rsidR="002146B0" w:rsidRPr="00A33469">
        <w:rPr>
          <w:rFonts w:ascii="Times New Roman" w:hAnsi="Times New Roman"/>
          <w:sz w:val="24"/>
          <w:szCs w:val="24"/>
        </w:rPr>
        <w:t>.</w:t>
      </w:r>
    </w:p>
    <w:p w14:paraId="62F6F9DC" w14:textId="77777777" w:rsidR="000C697B" w:rsidRDefault="000C697B" w:rsidP="00A33469">
      <w:pPr>
        <w:spacing w:line="360" w:lineRule="auto"/>
        <w:jc w:val="both"/>
        <w:rPr>
          <w:rFonts w:ascii="Times New Roman" w:hAnsi="Times New Roman"/>
          <w:sz w:val="24"/>
          <w:szCs w:val="24"/>
        </w:rPr>
      </w:pPr>
    </w:p>
    <w:p w14:paraId="37DC5C1E" w14:textId="77777777" w:rsidR="000C697B" w:rsidRDefault="00762ACD" w:rsidP="000C697B">
      <w:pPr>
        <w:spacing w:line="360" w:lineRule="auto"/>
        <w:jc w:val="both"/>
        <w:rPr>
          <w:rFonts w:ascii="Times New Roman" w:hAnsi="Times New Roman"/>
          <w:bCs/>
          <w:sz w:val="24"/>
          <w:szCs w:val="24"/>
          <w:lang w:val="en-GB"/>
        </w:rPr>
      </w:pPr>
      <w:r>
        <w:rPr>
          <w:rFonts w:ascii="Times New Roman" w:hAnsi="Times New Roman"/>
          <w:bCs/>
          <w:sz w:val="24"/>
          <w:szCs w:val="24"/>
          <w:lang w:val="en-GB"/>
        </w:rPr>
        <w:lastRenderedPageBreak/>
        <w:t>The DHA presentation</w:t>
      </w:r>
      <w:r w:rsidR="00122B1D">
        <w:rPr>
          <w:rFonts w:ascii="Times New Roman" w:hAnsi="Times New Roman"/>
          <w:bCs/>
          <w:sz w:val="24"/>
          <w:szCs w:val="24"/>
          <w:lang w:val="en-GB"/>
        </w:rPr>
        <w:t xml:space="preserve"> included some of </w:t>
      </w:r>
      <w:r>
        <w:rPr>
          <w:rFonts w:ascii="Times New Roman" w:hAnsi="Times New Roman"/>
          <w:bCs/>
          <w:sz w:val="24"/>
          <w:szCs w:val="24"/>
          <w:lang w:val="en-GB"/>
        </w:rPr>
        <w:t xml:space="preserve">the following </w:t>
      </w:r>
      <w:r w:rsidR="000C697B" w:rsidRPr="00762ACD">
        <w:rPr>
          <w:rFonts w:ascii="Times New Roman" w:hAnsi="Times New Roman"/>
          <w:bCs/>
          <w:sz w:val="24"/>
          <w:szCs w:val="24"/>
          <w:lang w:val="en-GB"/>
        </w:rPr>
        <w:t>Critical Challenges and Responses</w:t>
      </w:r>
      <w:r>
        <w:rPr>
          <w:rFonts w:ascii="Times New Roman" w:hAnsi="Times New Roman"/>
          <w:bCs/>
          <w:sz w:val="24"/>
          <w:szCs w:val="24"/>
          <w:lang w:val="en-GB"/>
        </w:rPr>
        <w:t>:</w:t>
      </w:r>
    </w:p>
    <w:p w14:paraId="1BC6B3A8" w14:textId="77777777" w:rsidR="00762ACD" w:rsidRDefault="00762ACD" w:rsidP="001754B7">
      <w:pPr>
        <w:pStyle w:val="ListParagraph"/>
        <w:numPr>
          <w:ilvl w:val="0"/>
          <w:numId w:val="12"/>
        </w:numPr>
        <w:spacing w:line="360" w:lineRule="auto"/>
        <w:ind w:left="426" w:hanging="426"/>
        <w:jc w:val="both"/>
        <w:rPr>
          <w:rFonts w:ascii="Times New Roman" w:hAnsi="Times New Roman"/>
          <w:bCs/>
          <w:sz w:val="24"/>
          <w:szCs w:val="24"/>
        </w:rPr>
      </w:pPr>
      <w:r w:rsidRPr="00762ACD">
        <w:rPr>
          <w:rFonts w:ascii="Times New Roman" w:hAnsi="Times New Roman"/>
          <w:bCs/>
          <w:sz w:val="24"/>
          <w:szCs w:val="24"/>
        </w:rPr>
        <w:t xml:space="preserve">Need for the effective and efficient </w:t>
      </w:r>
      <w:r w:rsidRPr="00762ACD">
        <w:rPr>
          <w:rFonts w:ascii="Times New Roman" w:hAnsi="Times New Roman"/>
          <w:bCs/>
          <w:sz w:val="24"/>
          <w:szCs w:val="24"/>
          <w:lang w:val="en-US"/>
        </w:rPr>
        <w:t xml:space="preserve">management of migration and the asylum seeker / refugee environment </w:t>
      </w:r>
      <w:r w:rsidRPr="00762ACD">
        <w:rPr>
          <w:rFonts w:ascii="Times New Roman" w:hAnsi="Times New Roman"/>
          <w:bCs/>
          <w:sz w:val="24"/>
          <w:szCs w:val="24"/>
        </w:rPr>
        <w:t>to embrace global opportunities while safeguarding our sovereignty and ensuring public safety and national security.</w:t>
      </w:r>
      <w:r>
        <w:rPr>
          <w:rFonts w:ascii="Times New Roman" w:hAnsi="Times New Roman"/>
          <w:bCs/>
          <w:sz w:val="24"/>
          <w:szCs w:val="24"/>
        </w:rPr>
        <w:t xml:space="preserve"> Current and Planned responses are:</w:t>
      </w:r>
      <w:r w:rsidRPr="00762ACD">
        <w:rPr>
          <w:rFonts w:ascii="Times New Roman" w:hAnsi="Times New Roman"/>
          <w:bCs/>
          <w:sz w:val="24"/>
          <w:szCs w:val="24"/>
        </w:rPr>
        <w:t xml:space="preserve">  </w:t>
      </w:r>
    </w:p>
    <w:p w14:paraId="30E6F5D2" w14:textId="77777777" w:rsidR="00122B1D" w:rsidRPr="00762ACD" w:rsidRDefault="00122B1D" w:rsidP="001754B7">
      <w:pPr>
        <w:pStyle w:val="ListParagraph"/>
        <w:numPr>
          <w:ilvl w:val="1"/>
          <w:numId w:val="13"/>
        </w:numPr>
        <w:spacing w:line="360" w:lineRule="auto"/>
        <w:ind w:left="851" w:hanging="425"/>
        <w:jc w:val="both"/>
        <w:rPr>
          <w:rFonts w:ascii="Times New Roman" w:hAnsi="Times New Roman"/>
          <w:bCs/>
          <w:sz w:val="24"/>
          <w:szCs w:val="24"/>
        </w:rPr>
      </w:pPr>
      <w:r w:rsidRPr="00762ACD">
        <w:rPr>
          <w:rFonts w:ascii="Times New Roman" w:hAnsi="Times New Roman"/>
          <w:bCs/>
          <w:sz w:val="24"/>
          <w:szCs w:val="24"/>
        </w:rPr>
        <w:t xml:space="preserve">New Policy on International Migration developed and amendment of relevant legislation in process; </w:t>
      </w:r>
    </w:p>
    <w:p w14:paraId="27713F33" w14:textId="77777777" w:rsidR="00122B1D" w:rsidRPr="00762ACD" w:rsidRDefault="00122B1D" w:rsidP="001754B7">
      <w:pPr>
        <w:pStyle w:val="ListParagraph"/>
        <w:numPr>
          <w:ilvl w:val="1"/>
          <w:numId w:val="13"/>
        </w:numPr>
        <w:spacing w:line="360" w:lineRule="auto"/>
        <w:ind w:left="851" w:hanging="425"/>
        <w:rPr>
          <w:rFonts w:ascii="Times New Roman" w:hAnsi="Times New Roman"/>
          <w:bCs/>
          <w:sz w:val="24"/>
          <w:szCs w:val="24"/>
        </w:rPr>
      </w:pPr>
      <w:r w:rsidRPr="00762ACD">
        <w:rPr>
          <w:rFonts w:ascii="Times New Roman" w:hAnsi="Times New Roman"/>
          <w:bCs/>
          <w:sz w:val="24"/>
          <w:szCs w:val="24"/>
        </w:rPr>
        <w:t xml:space="preserve">Use of technology as part of the modernisation programme; </w:t>
      </w:r>
    </w:p>
    <w:p w14:paraId="3E924D10" w14:textId="77777777" w:rsidR="00122B1D" w:rsidRPr="00762ACD" w:rsidRDefault="00122B1D" w:rsidP="001754B7">
      <w:pPr>
        <w:pStyle w:val="ListParagraph"/>
        <w:numPr>
          <w:ilvl w:val="1"/>
          <w:numId w:val="13"/>
        </w:numPr>
        <w:spacing w:line="360" w:lineRule="auto"/>
        <w:ind w:left="851" w:hanging="425"/>
        <w:rPr>
          <w:rFonts w:ascii="Times New Roman" w:hAnsi="Times New Roman"/>
          <w:bCs/>
          <w:sz w:val="24"/>
          <w:szCs w:val="24"/>
        </w:rPr>
      </w:pPr>
      <w:r w:rsidRPr="00762ACD">
        <w:rPr>
          <w:rFonts w:ascii="Times New Roman" w:hAnsi="Times New Roman"/>
          <w:bCs/>
          <w:sz w:val="24"/>
          <w:szCs w:val="24"/>
        </w:rPr>
        <w:t>Use of PPP process for relocation of refugee reception offices closer to the country’s border;</w:t>
      </w:r>
    </w:p>
    <w:p w14:paraId="0DA327DF" w14:textId="77777777" w:rsidR="00122B1D" w:rsidRPr="00762ACD" w:rsidRDefault="00122B1D" w:rsidP="001754B7">
      <w:pPr>
        <w:pStyle w:val="ListParagraph"/>
        <w:numPr>
          <w:ilvl w:val="1"/>
          <w:numId w:val="13"/>
        </w:numPr>
        <w:spacing w:line="360" w:lineRule="auto"/>
        <w:ind w:left="851" w:hanging="425"/>
        <w:rPr>
          <w:rFonts w:ascii="Times New Roman" w:hAnsi="Times New Roman"/>
          <w:bCs/>
          <w:sz w:val="24"/>
          <w:szCs w:val="24"/>
        </w:rPr>
      </w:pPr>
      <w:r w:rsidRPr="00762ACD">
        <w:rPr>
          <w:rFonts w:ascii="Times New Roman" w:hAnsi="Times New Roman"/>
          <w:bCs/>
          <w:sz w:val="24"/>
          <w:szCs w:val="24"/>
        </w:rPr>
        <w:t xml:space="preserve">Partner and share responsibilities with key stakeholders (“Whole-of-Government” and “Whole-of- Society” approach); </w:t>
      </w:r>
    </w:p>
    <w:p w14:paraId="473D4D4F" w14:textId="77777777" w:rsidR="00122B1D" w:rsidRPr="00762ACD" w:rsidRDefault="00122B1D" w:rsidP="001754B7">
      <w:pPr>
        <w:pStyle w:val="ListParagraph"/>
        <w:numPr>
          <w:ilvl w:val="1"/>
          <w:numId w:val="13"/>
        </w:numPr>
        <w:spacing w:line="360" w:lineRule="auto"/>
        <w:ind w:left="851" w:hanging="425"/>
        <w:rPr>
          <w:rFonts w:ascii="Times New Roman" w:hAnsi="Times New Roman"/>
          <w:bCs/>
          <w:sz w:val="24"/>
          <w:szCs w:val="24"/>
        </w:rPr>
      </w:pPr>
      <w:r w:rsidRPr="00762ACD">
        <w:rPr>
          <w:rFonts w:ascii="Times New Roman" w:hAnsi="Times New Roman"/>
          <w:bCs/>
          <w:sz w:val="24"/>
          <w:szCs w:val="24"/>
        </w:rPr>
        <w:t>Focused attention on law enforcement operations;</w:t>
      </w:r>
    </w:p>
    <w:p w14:paraId="15CBAB7D" w14:textId="77777777" w:rsidR="00122B1D" w:rsidRPr="00762ACD" w:rsidRDefault="00122B1D" w:rsidP="001754B7">
      <w:pPr>
        <w:pStyle w:val="ListParagraph"/>
        <w:numPr>
          <w:ilvl w:val="1"/>
          <w:numId w:val="13"/>
        </w:numPr>
        <w:spacing w:line="360" w:lineRule="auto"/>
        <w:ind w:left="851" w:hanging="425"/>
        <w:rPr>
          <w:rFonts w:ascii="Times New Roman" w:hAnsi="Times New Roman"/>
          <w:bCs/>
          <w:sz w:val="24"/>
          <w:szCs w:val="24"/>
        </w:rPr>
      </w:pPr>
      <w:r w:rsidRPr="00762ACD">
        <w:rPr>
          <w:rFonts w:ascii="Times New Roman" w:hAnsi="Times New Roman"/>
          <w:bCs/>
          <w:sz w:val="24"/>
          <w:szCs w:val="24"/>
        </w:rPr>
        <w:t>Use of CARA Funding (R70 million for the procurement of vehicles and equipment to strengthen the inspectorate function; biometric system functionality at ports of entry and record management at refugee reception centres);</w:t>
      </w:r>
    </w:p>
    <w:p w14:paraId="417EA171" w14:textId="77777777" w:rsidR="00122B1D" w:rsidRPr="00762ACD" w:rsidRDefault="00122B1D" w:rsidP="001754B7">
      <w:pPr>
        <w:pStyle w:val="ListParagraph"/>
        <w:numPr>
          <w:ilvl w:val="1"/>
          <w:numId w:val="13"/>
        </w:numPr>
        <w:spacing w:line="360" w:lineRule="auto"/>
        <w:ind w:left="851" w:hanging="425"/>
        <w:rPr>
          <w:rFonts w:ascii="Times New Roman" w:hAnsi="Times New Roman"/>
          <w:bCs/>
          <w:sz w:val="24"/>
          <w:szCs w:val="24"/>
        </w:rPr>
      </w:pPr>
      <w:r w:rsidRPr="00762ACD">
        <w:rPr>
          <w:rFonts w:ascii="Times New Roman" w:hAnsi="Times New Roman"/>
          <w:bCs/>
          <w:sz w:val="24"/>
          <w:szCs w:val="24"/>
        </w:rPr>
        <w:t>Significant improvements in the permitting environment in respect of efficiencies and the ease of facilitation of movement of bona fide foreign travellers; and</w:t>
      </w:r>
    </w:p>
    <w:p w14:paraId="32044D62" w14:textId="77777777" w:rsidR="00122B1D" w:rsidRPr="00762ACD" w:rsidRDefault="00122B1D" w:rsidP="001754B7">
      <w:pPr>
        <w:pStyle w:val="ListParagraph"/>
        <w:numPr>
          <w:ilvl w:val="1"/>
          <w:numId w:val="13"/>
        </w:numPr>
        <w:spacing w:line="360" w:lineRule="auto"/>
        <w:ind w:left="851" w:hanging="425"/>
        <w:rPr>
          <w:rFonts w:ascii="Times New Roman" w:hAnsi="Times New Roman"/>
          <w:bCs/>
          <w:sz w:val="24"/>
          <w:szCs w:val="24"/>
        </w:rPr>
      </w:pPr>
      <w:r w:rsidRPr="00762ACD">
        <w:rPr>
          <w:rFonts w:ascii="Times New Roman" w:hAnsi="Times New Roman"/>
          <w:bCs/>
          <w:sz w:val="24"/>
          <w:szCs w:val="24"/>
        </w:rPr>
        <w:t>Introduction of special dispensations.</w:t>
      </w:r>
    </w:p>
    <w:p w14:paraId="6A198091" w14:textId="77777777" w:rsidR="00762ACD" w:rsidRDefault="00762ACD" w:rsidP="001754B7">
      <w:pPr>
        <w:pStyle w:val="ListParagraph"/>
        <w:numPr>
          <w:ilvl w:val="0"/>
          <w:numId w:val="12"/>
        </w:numPr>
        <w:spacing w:line="360" w:lineRule="auto"/>
        <w:ind w:left="426" w:hanging="426"/>
        <w:jc w:val="both"/>
        <w:rPr>
          <w:rFonts w:ascii="Times New Roman" w:hAnsi="Times New Roman"/>
          <w:bCs/>
          <w:sz w:val="24"/>
          <w:szCs w:val="24"/>
        </w:rPr>
      </w:pPr>
      <w:r w:rsidRPr="00762ACD">
        <w:rPr>
          <w:rFonts w:ascii="Times New Roman" w:hAnsi="Times New Roman"/>
          <w:bCs/>
          <w:sz w:val="24"/>
          <w:szCs w:val="24"/>
          <w:lang w:val="en-US"/>
        </w:rPr>
        <w:t>Lack of an integrated approach to border management and inadequate provision of acceptable port infrastructure</w:t>
      </w:r>
      <w:r>
        <w:rPr>
          <w:rFonts w:ascii="Times New Roman" w:hAnsi="Times New Roman"/>
          <w:bCs/>
          <w:sz w:val="24"/>
          <w:szCs w:val="24"/>
          <w:lang w:val="en-US"/>
        </w:rPr>
        <w:t xml:space="preserve">. </w:t>
      </w:r>
      <w:r>
        <w:rPr>
          <w:rFonts w:ascii="Times New Roman" w:hAnsi="Times New Roman"/>
          <w:bCs/>
          <w:sz w:val="24"/>
          <w:szCs w:val="24"/>
        </w:rPr>
        <w:t>Current and Planned responses are:</w:t>
      </w:r>
      <w:r w:rsidRPr="00762ACD">
        <w:rPr>
          <w:rFonts w:ascii="Times New Roman" w:hAnsi="Times New Roman"/>
          <w:bCs/>
          <w:sz w:val="24"/>
          <w:szCs w:val="24"/>
        </w:rPr>
        <w:t xml:space="preserve">  </w:t>
      </w:r>
    </w:p>
    <w:p w14:paraId="6F661DF4" w14:textId="77777777" w:rsidR="00122B1D" w:rsidRPr="00762ACD" w:rsidRDefault="00122B1D" w:rsidP="001754B7">
      <w:pPr>
        <w:pStyle w:val="ListParagraph"/>
        <w:numPr>
          <w:ilvl w:val="1"/>
          <w:numId w:val="12"/>
        </w:numPr>
        <w:spacing w:line="360" w:lineRule="auto"/>
        <w:ind w:left="851" w:hanging="425"/>
        <w:rPr>
          <w:rFonts w:ascii="Times New Roman" w:hAnsi="Times New Roman"/>
          <w:bCs/>
          <w:sz w:val="24"/>
          <w:szCs w:val="24"/>
        </w:rPr>
      </w:pPr>
      <w:r w:rsidRPr="00762ACD">
        <w:rPr>
          <w:rFonts w:ascii="Times New Roman" w:hAnsi="Times New Roman"/>
          <w:bCs/>
          <w:sz w:val="24"/>
          <w:szCs w:val="24"/>
        </w:rPr>
        <w:t>Establish a Border Management Authority;</w:t>
      </w:r>
    </w:p>
    <w:p w14:paraId="3B980D55" w14:textId="77777777" w:rsidR="00122B1D" w:rsidRPr="00762ACD" w:rsidRDefault="00122B1D" w:rsidP="001754B7">
      <w:pPr>
        <w:pStyle w:val="ListParagraph"/>
        <w:numPr>
          <w:ilvl w:val="1"/>
          <w:numId w:val="12"/>
        </w:numPr>
        <w:spacing w:line="360" w:lineRule="auto"/>
        <w:ind w:left="851" w:hanging="425"/>
        <w:rPr>
          <w:rFonts w:ascii="Times New Roman" w:hAnsi="Times New Roman"/>
          <w:bCs/>
          <w:sz w:val="24"/>
          <w:szCs w:val="24"/>
        </w:rPr>
      </w:pPr>
      <w:r w:rsidRPr="00762ACD">
        <w:rPr>
          <w:rFonts w:ascii="Times New Roman" w:hAnsi="Times New Roman"/>
          <w:bCs/>
          <w:sz w:val="24"/>
          <w:szCs w:val="24"/>
        </w:rPr>
        <w:t>Redevelopment of 6 major land ports of entry infrastructure / relocation of refugee reception offices closer to the country’s border through the use of public-private partnerships; and</w:t>
      </w:r>
    </w:p>
    <w:p w14:paraId="53443ABD" w14:textId="77777777" w:rsidR="00122B1D" w:rsidRDefault="00122B1D" w:rsidP="001754B7">
      <w:pPr>
        <w:pStyle w:val="ListParagraph"/>
        <w:numPr>
          <w:ilvl w:val="1"/>
          <w:numId w:val="12"/>
        </w:numPr>
        <w:spacing w:line="360" w:lineRule="auto"/>
        <w:ind w:left="851" w:hanging="425"/>
        <w:rPr>
          <w:rFonts w:ascii="Times New Roman" w:hAnsi="Times New Roman"/>
          <w:bCs/>
          <w:sz w:val="24"/>
          <w:szCs w:val="24"/>
        </w:rPr>
      </w:pPr>
      <w:r w:rsidRPr="00762ACD">
        <w:rPr>
          <w:rFonts w:ascii="Times New Roman" w:hAnsi="Times New Roman"/>
          <w:bCs/>
          <w:sz w:val="24"/>
          <w:szCs w:val="24"/>
        </w:rPr>
        <w:t>Infrastructure development / improvement at selected ports of entry.</w:t>
      </w:r>
    </w:p>
    <w:p w14:paraId="7B8E3BB9" w14:textId="77777777" w:rsidR="00762ACD" w:rsidRDefault="00762ACD" w:rsidP="001754B7">
      <w:pPr>
        <w:pStyle w:val="ListParagraph"/>
        <w:numPr>
          <w:ilvl w:val="0"/>
          <w:numId w:val="14"/>
        </w:numPr>
        <w:spacing w:line="360" w:lineRule="auto"/>
        <w:ind w:left="426" w:hanging="426"/>
        <w:jc w:val="both"/>
        <w:textAlignment w:val="auto"/>
        <w:rPr>
          <w:rFonts w:ascii="Times New Roman" w:hAnsi="Times New Roman"/>
          <w:bCs/>
          <w:sz w:val="24"/>
          <w:szCs w:val="24"/>
        </w:rPr>
      </w:pPr>
      <w:r w:rsidRPr="00762ACD">
        <w:rPr>
          <w:rFonts w:ascii="Times New Roman" w:hAnsi="Times New Roman"/>
          <w:bCs/>
          <w:sz w:val="24"/>
          <w:szCs w:val="24"/>
          <w:lang w:val="en-US"/>
        </w:rPr>
        <w:t>Capacity and resource constraints resulting in poor</w:t>
      </w:r>
      <w:r>
        <w:rPr>
          <w:rFonts w:ascii="Times New Roman" w:hAnsi="Times New Roman"/>
          <w:bCs/>
          <w:sz w:val="24"/>
          <w:szCs w:val="24"/>
          <w:lang w:val="en-US"/>
        </w:rPr>
        <w:t xml:space="preserve"> service delivery in respect of </w:t>
      </w:r>
      <w:r w:rsidRPr="00762ACD">
        <w:rPr>
          <w:rFonts w:ascii="Times New Roman" w:hAnsi="Times New Roman"/>
          <w:bCs/>
          <w:sz w:val="24"/>
          <w:szCs w:val="24"/>
        </w:rPr>
        <w:t>historical</w:t>
      </w:r>
      <w:r w:rsidR="00122B1D" w:rsidRPr="00762ACD">
        <w:rPr>
          <w:rFonts w:ascii="Times New Roman" w:hAnsi="Times New Roman"/>
          <w:bCs/>
          <w:sz w:val="24"/>
          <w:szCs w:val="24"/>
        </w:rPr>
        <w:t xml:space="preserve"> under-funding of the DHA </w:t>
      </w:r>
      <w:r>
        <w:rPr>
          <w:rFonts w:ascii="Times New Roman" w:hAnsi="Times New Roman"/>
          <w:bCs/>
          <w:sz w:val="24"/>
          <w:szCs w:val="24"/>
        </w:rPr>
        <w:t xml:space="preserve">and slow </w:t>
      </w:r>
      <w:r>
        <w:rPr>
          <w:rFonts w:ascii="Times New Roman" w:hAnsi="Times New Roman"/>
          <w:bCs/>
          <w:sz w:val="24"/>
          <w:szCs w:val="24"/>
          <w:lang w:val="en-US"/>
        </w:rPr>
        <w:t>footprint and infrastructure growth.</w:t>
      </w:r>
      <w:r w:rsidRPr="00762ACD">
        <w:rPr>
          <w:rFonts w:ascii="Times New Roman" w:hAnsi="Times New Roman"/>
          <w:bCs/>
          <w:sz w:val="24"/>
          <w:szCs w:val="24"/>
        </w:rPr>
        <w:t xml:space="preserve"> </w:t>
      </w:r>
      <w:r>
        <w:rPr>
          <w:rFonts w:ascii="Times New Roman" w:hAnsi="Times New Roman"/>
          <w:bCs/>
          <w:sz w:val="24"/>
          <w:szCs w:val="24"/>
        </w:rPr>
        <w:t xml:space="preserve">Current and Planned responses are:  </w:t>
      </w:r>
    </w:p>
    <w:p w14:paraId="1A962AF6" w14:textId="77777777" w:rsidR="00122B1D" w:rsidRPr="00762ACD" w:rsidRDefault="00122B1D" w:rsidP="001754B7">
      <w:pPr>
        <w:pStyle w:val="ListParagraph"/>
        <w:numPr>
          <w:ilvl w:val="0"/>
          <w:numId w:val="15"/>
        </w:numPr>
        <w:spacing w:line="360" w:lineRule="auto"/>
        <w:ind w:left="851" w:hanging="425"/>
        <w:jc w:val="both"/>
        <w:rPr>
          <w:rFonts w:ascii="Times New Roman" w:hAnsi="Times New Roman"/>
          <w:bCs/>
          <w:sz w:val="24"/>
          <w:szCs w:val="24"/>
        </w:rPr>
      </w:pPr>
      <w:r w:rsidRPr="00762ACD">
        <w:rPr>
          <w:rFonts w:ascii="Times New Roman" w:hAnsi="Times New Roman"/>
          <w:bCs/>
          <w:sz w:val="24"/>
          <w:szCs w:val="24"/>
          <w:lang w:val="en-US"/>
        </w:rPr>
        <w:t xml:space="preserve">Repositioning of the DHA as a modern, secure and professional department, including new funding, operational and </w:t>
      </w:r>
      <w:r w:rsidR="00285CBC" w:rsidRPr="00762ACD">
        <w:rPr>
          <w:rFonts w:ascii="Times New Roman" w:hAnsi="Times New Roman"/>
          <w:bCs/>
          <w:sz w:val="24"/>
          <w:szCs w:val="24"/>
          <w:lang w:val="en-US"/>
        </w:rPr>
        <w:t>organizational</w:t>
      </w:r>
      <w:r w:rsidRPr="00762ACD">
        <w:rPr>
          <w:rFonts w:ascii="Times New Roman" w:hAnsi="Times New Roman"/>
          <w:bCs/>
          <w:sz w:val="24"/>
          <w:szCs w:val="24"/>
          <w:lang w:val="en-US"/>
        </w:rPr>
        <w:t xml:space="preserve"> models; </w:t>
      </w:r>
    </w:p>
    <w:p w14:paraId="0DFAD17F" w14:textId="77777777" w:rsidR="00122B1D" w:rsidRPr="00762ACD" w:rsidRDefault="00122B1D" w:rsidP="001754B7">
      <w:pPr>
        <w:pStyle w:val="ListParagraph"/>
        <w:numPr>
          <w:ilvl w:val="0"/>
          <w:numId w:val="15"/>
        </w:numPr>
        <w:spacing w:line="360" w:lineRule="auto"/>
        <w:ind w:left="851" w:hanging="425"/>
        <w:jc w:val="both"/>
        <w:rPr>
          <w:rFonts w:ascii="Times New Roman" w:hAnsi="Times New Roman"/>
          <w:bCs/>
          <w:sz w:val="24"/>
          <w:szCs w:val="24"/>
        </w:rPr>
      </w:pPr>
      <w:r w:rsidRPr="00762ACD">
        <w:rPr>
          <w:rFonts w:ascii="Times New Roman" w:hAnsi="Times New Roman"/>
          <w:bCs/>
          <w:sz w:val="24"/>
          <w:szCs w:val="24"/>
          <w:lang w:val="en-US"/>
        </w:rPr>
        <w:t>Proposed establishment of a project management capability to drive the repositioning programme;</w:t>
      </w:r>
    </w:p>
    <w:p w14:paraId="6A43BC77" w14:textId="77777777" w:rsidR="00122B1D" w:rsidRPr="00762ACD" w:rsidRDefault="00122B1D" w:rsidP="001754B7">
      <w:pPr>
        <w:pStyle w:val="ListParagraph"/>
        <w:numPr>
          <w:ilvl w:val="0"/>
          <w:numId w:val="15"/>
        </w:numPr>
        <w:spacing w:line="360" w:lineRule="auto"/>
        <w:ind w:left="851" w:hanging="425"/>
        <w:jc w:val="both"/>
        <w:rPr>
          <w:rFonts w:ascii="Times New Roman" w:hAnsi="Times New Roman"/>
          <w:bCs/>
          <w:sz w:val="24"/>
          <w:szCs w:val="24"/>
        </w:rPr>
      </w:pPr>
      <w:r w:rsidRPr="00762ACD">
        <w:rPr>
          <w:rFonts w:ascii="Times New Roman" w:hAnsi="Times New Roman"/>
          <w:bCs/>
          <w:sz w:val="24"/>
          <w:szCs w:val="24"/>
          <w:lang w:val="en-US"/>
        </w:rPr>
        <w:lastRenderedPageBreak/>
        <w:t xml:space="preserve">Strengthen and expand partnerships (PPP with banks and other </w:t>
      </w:r>
      <w:r w:rsidR="00285CBC" w:rsidRPr="00762ACD">
        <w:rPr>
          <w:rFonts w:ascii="Times New Roman" w:hAnsi="Times New Roman"/>
          <w:bCs/>
          <w:sz w:val="24"/>
          <w:szCs w:val="24"/>
          <w:lang w:val="en-US"/>
        </w:rPr>
        <w:t>organizations</w:t>
      </w:r>
      <w:r w:rsidRPr="00762ACD">
        <w:rPr>
          <w:rFonts w:ascii="Times New Roman" w:hAnsi="Times New Roman"/>
          <w:bCs/>
          <w:sz w:val="24"/>
          <w:szCs w:val="24"/>
          <w:lang w:val="en-US"/>
        </w:rPr>
        <w:t xml:space="preserve">) to deal with footprint limitations; </w:t>
      </w:r>
    </w:p>
    <w:p w14:paraId="43A21E70" w14:textId="77777777" w:rsidR="00122B1D" w:rsidRPr="00762ACD" w:rsidRDefault="00122B1D" w:rsidP="001754B7">
      <w:pPr>
        <w:pStyle w:val="ListParagraph"/>
        <w:numPr>
          <w:ilvl w:val="0"/>
          <w:numId w:val="15"/>
        </w:numPr>
        <w:spacing w:line="360" w:lineRule="auto"/>
        <w:ind w:left="851" w:hanging="425"/>
        <w:jc w:val="both"/>
        <w:rPr>
          <w:rFonts w:ascii="Times New Roman" w:hAnsi="Times New Roman"/>
          <w:bCs/>
          <w:sz w:val="24"/>
          <w:szCs w:val="24"/>
        </w:rPr>
      </w:pPr>
      <w:r w:rsidRPr="00762ACD">
        <w:rPr>
          <w:rFonts w:ascii="Times New Roman" w:hAnsi="Times New Roman"/>
          <w:bCs/>
          <w:sz w:val="24"/>
          <w:szCs w:val="24"/>
          <w:lang w:val="en-US"/>
        </w:rPr>
        <w:t xml:space="preserve">Initiatives to improve leadership and service delivery such as Moetapele and the “war-on-queues”; </w:t>
      </w:r>
    </w:p>
    <w:p w14:paraId="3D76762B" w14:textId="77777777" w:rsidR="00122B1D" w:rsidRPr="00762ACD" w:rsidRDefault="00122B1D" w:rsidP="001754B7">
      <w:pPr>
        <w:pStyle w:val="ListParagraph"/>
        <w:numPr>
          <w:ilvl w:val="0"/>
          <w:numId w:val="15"/>
        </w:numPr>
        <w:spacing w:line="360" w:lineRule="auto"/>
        <w:ind w:left="851" w:hanging="425"/>
        <w:jc w:val="both"/>
        <w:rPr>
          <w:rFonts w:ascii="Times New Roman" w:hAnsi="Times New Roman"/>
          <w:bCs/>
          <w:sz w:val="24"/>
          <w:szCs w:val="24"/>
        </w:rPr>
      </w:pPr>
      <w:r w:rsidRPr="00762ACD">
        <w:rPr>
          <w:rFonts w:ascii="Times New Roman" w:hAnsi="Times New Roman"/>
          <w:bCs/>
          <w:sz w:val="24"/>
          <w:szCs w:val="24"/>
          <w:lang w:val="en-US"/>
        </w:rPr>
        <w:t>Continued engagements and requests for additional funding from National Treasury; and</w:t>
      </w:r>
    </w:p>
    <w:p w14:paraId="04A03467" w14:textId="77777777" w:rsidR="00122B1D" w:rsidRDefault="00122B1D" w:rsidP="001754B7">
      <w:pPr>
        <w:pStyle w:val="ListParagraph"/>
        <w:numPr>
          <w:ilvl w:val="0"/>
          <w:numId w:val="15"/>
        </w:numPr>
        <w:spacing w:line="360" w:lineRule="auto"/>
        <w:ind w:left="851" w:hanging="425"/>
        <w:jc w:val="both"/>
        <w:rPr>
          <w:rFonts w:ascii="Times New Roman" w:hAnsi="Times New Roman"/>
          <w:bCs/>
          <w:sz w:val="24"/>
          <w:szCs w:val="24"/>
        </w:rPr>
      </w:pPr>
      <w:r w:rsidRPr="00762ACD">
        <w:rPr>
          <w:rFonts w:ascii="Times New Roman" w:hAnsi="Times New Roman"/>
          <w:bCs/>
          <w:sz w:val="24"/>
          <w:szCs w:val="24"/>
        </w:rPr>
        <w:t xml:space="preserve">Rationalisation of offices: Proposal to be developed due to funding and capacity constraints, including </w:t>
      </w:r>
      <w:r w:rsidR="00762ACD">
        <w:rPr>
          <w:rFonts w:ascii="Times New Roman" w:hAnsi="Times New Roman"/>
          <w:bCs/>
          <w:sz w:val="24"/>
          <w:szCs w:val="24"/>
        </w:rPr>
        <w:t>c</w:t>
      </w:r>
      <w:r w:rsidRPr="00762ACD">
        <w:rPr>
          <w:rFonts w:ascii="Times New Roman" w:hAnsi="Times New Roman"/>
          <w:bCs/>
          <w:sz w:val="24"/>
          <w:szCs w:val="24"/>
        </w:rPr>
        <w:t>ost-benefit analysis</w:t>
      </w:r>
      <w:r w:rsidR="00762ACD" w:rsidRPr="00762ACD">
        <w:rPr>
          <w:rFonts w:ascii="Times New Roman" w:hAnsi="Times New Roman"/>
          <w:bCs/>
          <w:sz w:val="24"/>
          <w:szCs w:val="24"/>
        </w:rPr>
        <w:t xml:space="preserve"> running an office</w:t>
      </w:r>
      <w:r w:rsidRPr="00762ACD">
        <w:rPr>
          <w:rFonts w:ascii="Times New Roman" w:hAnsi="Times New Roman"/>
          <w:bCs/>
          <w:sz w:val="24"/>
          <w:szCs w:val="24"/>
        </w:rPr>
        <w:t>, risk assessment of capacity constraints</w:t>
      </w:r>
      <w:r w:rsidR="00762ACD">
        <w:rPr>
          <w:rFonts w:ascii="Times New Roman" w:hAnsi="Times New Roman"/>
          <w:bCs/>
          <w:sz w:val="24"/>
          <w:szCs w:val="24"/>
        </w:rPr>
        <w:t>, s</w:t>
      </w:r>
      <w:r w:rsidRPr="00762ACD">
        <w:rPr>
          <w:rFonts w:ascii="Times New Roman" w:hAnsi="Times New Roman"/>
          <w:bCs/>
          <w:sz w:val="24"/>
          <w:szCs w:val="24"/>
        </w:rPr>
        <w:t>takeholder management</w:t>
      </w:r>
      <w:r w:rsidR="00762ACD">
        <w:rPr>
          <w:rFonts w:ascii="Times New Roman" w:hAnsi="Times New Roman"/>
          <w:bCs/>
          <w:sz w:val="24"/>
          <w:szCs w:val="24"/>
        </w:rPr>
        <w:t>, w</w:t>
      </w:r>
      <w:r w:rsidRPr="00762ACD">
        <w:rPr>
          <w:rFonts w:ascii="Times New Roman" w:hAnsi="Times New Roman"/>
          <w:bCs/>
          <w:sz w:val="24"/>
          <w:szCs w:val="24"/>
        </w:rPr>
        <w:t>orking hours</w:t>
      </w:r>
      <w:r w:rsidR="00762ACD">
        <w:rPr>
          <w:rFonts w:ascii="Times New Roman" w:hAnsi="Times New Roman"/>
          <w:bCs/>
          <w:sz w:val="24"/>
          <w:szCs w:val="24"/>
        </w:rPr>
        <w:t>, se</w:t>
      </w:r>
      <w:r w:rsidRPr="00762ACD">
        <w:rPr>
          <w:rFonts w:ascii="Times New Roman" w:hAnsi="Times New Roman"/>
          <w:bCs/>
          <w:sz w:val="24"/>
          <w:szCs w:val="24"/>
        </w:rPr>
        <w:t>rvice delivery model</w:t>
      </w:r>
      <w:r w:rsidR="00762ACD">
        <w:rPr>
          <w:rFonts w:ascii="Times New Roman" w:hAnsi="Times New Roman"/>
          <w:bCs/>
          <w:sz w:val="24"/>
          <w:szCs w:val="24"/>
        </w:rPr>
        <w:t>.</w:t>
      </w:r>
    </w:p>
    <w:p w14:paraId="110712A9" w14:textId="77777777" w:rsidR="00762ACD" w:rsidRDefault="00762ACD" w:rsidP="001754B7">
      <w:pPr>
        <w:pStyle w:val="ListParagraph"/>
        <w:numPr>
          <w:ilvl w:val="0"/>
          <w:numId w:val="16"/>
        </w:numPr>
        <w:spacing w:line="360" w:lineRule="auto"/>
        <w:ind w:left="426" w:hanging="426"/>
        <w:jc w:val="both"/>
        <w:textAlignment w:val="auto"/>
        <w:rPr>
          <w:rFonts w:ascii="Times New Roman" w:hAnsi="Times New Roman"/>
          <w:bCs/>
          <w:sz w:val="24"/>
          <w:szCs w:val="24"/>
        </w:rPr>
      </w:pPr>
      <w:r w:rsidRPr="00762ACD">
        <w:rPr>
          <w:rFonts w:ascii="Times New Roman" w:hAnsi="Times New Roman"/>
          <w:bCs/>
          <w:sz w:val="24"/>
          <w:szCs w:val="24"/>
          <w:lang w:val="en-US"/>
        </w:rPr>
        <w:t>Dependency on the Departments of Public Works</w:t>
      </w:r>
      <w:r w:rsidR="00122B1D">
        <w:rPr>
          <w:rFonts w:ascii="Times New Roman" w:hAnsi="Times New Roman"/>
          <w:bCs/>
          <w:sz w:val="24"/>
          <w:szCs w:val="24"/>
          <w:lang w:val="en-US"/>
        </w:rPr>
        <w:t xml:space="preserve"> (DPW)</w:t>
      </w:r>
      <w:r w:rsidRPr="00762ACD">
        <w:rPr>
          <w:rFonts w:ascii="Times New Roman" w:hAnsi="Times New Roman"/>
          <w:bCs/>
          <w:sz w:val="24"/>
          <w:szCs w:val="24"/>
          <w:lang w:val="en-US"/>
        </w:rPr>
        <w:t xml:space="preserve"> and SITA for timeous service delivery (Lack of DHA purpose-built infrastructure and unreliable networks)</w:t>
      </w:r>
      <w:r>
        <w:rPr>
          <w:rFonts w:ascii="Times New Roman" w:hAnsi="Times New Roman"/>
          <w:bCs/>
          <w:sz w:val="24"/>
          <w:szCs w:val="24"/>
          <w:lang w:val="en-US"/>
        </w:rPr>
        <w:t xml:space="preserve">. </w:t>
      </w:r>
      <w:r>
        <w:rPr>
          <w:rFonts w:ascii="Times New Roman" w:hAnsi="Times New Roman"/>
          <w:bCs/>
          <w:sz w:val="24"/>
          <w:szCs w:val="24"/>
        </w:rPr>
        <w:t xml:space="preserve">Current and Planned responses are:  </w:t>
      </w:r>
    </w:p>
    <w:p w14:paraId="57639C8F" w14:textId="77777777" w:rsidR="00122B1D" w:rsidRPr="00762ACD" w:rsidRDefault="00122B1D" w:rsidP="001754B7">
      <w:pPr>
        <w:pStyle w:val="ListParagraph"/>
        <w:numPr>
          <w:ilvl w:val="0"/>
          <w:numId w:val="17"/>
        </w:numPr>
        <w:spacing w:line="360" w:lineRule="auto"/>
        <w:ind w:left="851" w:hanging="425"/>
        <w:jc w:val="both"/>
        <w:rPr>
          <w:rFonts w:ascii="Times New Roman" w:hAnsi="Times New Roman"/>
          <w:bCs/>
          <w:sz w:val="24"/>
          <w:szCs w:val="24"/>
        </w:rPr>
      </w:pPr>
      <w:r w:rsidRPr="00762ACD">
        <w:rPr>
          <w:rFonts w:ascii="Times New Roman" w:hAnsi="Times New Roman"/>
          <w:bCs/>
          <w:sz w:val="24"/>
          <w:szCs w:val="24"/>
          <w:lang w:val="en-US"/>
        </w:rPr>
        <w:t>Sign M</w:t>
      </w:r>
      <w:r>
        <w:rPr>
          <w:rFonts w:ascii="Times New Roman" w:hAnsi="Times New Roman"/>
          <w:bCs/>
          <w:sz w:val="24"/>
          <w:szCs w:val="24"/>
          <w:lang w:val="en-US"/>
        </w:rPr>
        <w:t xml:space="preserve">emoranda </w:t>
      </w:r>
      <w:r w:rsidRPr="00762ACD">
        <w:rPr>
          <w:rFonts w:ascii="Times New Roman" w:hAnsi="Times New Roman"/>
          <w:bCs/>
          <w:sz w:val="24"/>
          <w:szCs w:val="24"/>
          <w:lang w:val="en-US"/>
        </w:rPr>
        <w:t>o</w:t>
      </w:r>
      <w:r>
        <w:rPr>
          <w:rFonts w:ascii="Times New Roman" w:hAnsi="Times New Roman"/>
          <w:bCs/>
          <w:sz w:val="24"/>
          <w:szCs w:val="24"/>
          <w:lang w:val="en-US"/>
        </w:rPr>
        <w:t xml:space="preserve">f </w:t>
      </w:r>
      <w:r w:rsidRPr="00762ACD">
        <w:rPr>
          <w:rFonts w:ascii="Times New Roman" w:hAnsi="Times New Roman"/>
          <w:bCs/>
          <w:sz w:val="24"/>
          <w:szCs w:val="24"/>
          <w:lang w:val="en-US"/>
        </w:rPr>
        <w:t>U</w:t>
      </w:r>
      <w:r>
        <w:rPr>
          <w:rFonts w:ascii="Times New Roman" w:hAnsi="Times New Roman"/>
          <w:bCs/>
          <w:sz w:val="24"/>
          <w:szCs w:val="24"/>
          <w:lang w:val="en-US"/>
        </w:rPr>
        <w:t>nderstanding</w:t>
      </w:r>
      <w:r w:rsidRPr="00762ACD">
        <w:rPr>
          <w:rFonts w:ascii="Times New Roman" w:hAnsi="Times New Roman"/>
          <w:bCs/>
          <w:sz w:val="24"/>
          <w:szCs w:val="24"/>
          <w:lang w:val="en-US"/>
        </w:rPr>
        <w:t xml:space="preserve"> with the Department of Public</w:t>
      </w:r>
      <w:r>
        <w:rPr>
          <w:rFonts w:ascii="Times New Roman" w:hAnsi="Times New Roman"/>
          <w:bCs/>
          <w:sz w:val="24"/>
          <w:szCs w:val="24"/>
          <w:lang w:val="en-US"/>
        </w:rPr>
        <w:t xml:space="preserve"> Works and State Information Technology Agency (SITA); and enter into </w:t>
      </w:r>
      <w:r w:rsidRPr="00762ACD">
        <w:rPr>
          <w:rFonts w:ascii="Times New Roman" w:hAnsi="Times New Roman"/>
          <w:bCs/>
          <w:sz w:val="24"/>
          <w:szCs w:val="24"/>
          <w:lang w:val="en-US"/>
        </w:rPr>
        <w:t>trilateral agreements with specific service providers.</w:t>
      </w:r>
    </w:p>
    <w:p w14:paraId="2379F883" w14:textId="77777777" w:rsidR="00122B1D" w:rsidRPr="009B3120" w:rsidRDefault="00122B1D" w:rsidP="001754B7">
      <w:pPr>
        <w:pStyle w:val="ListParagraph"/>
        <w:numPr>
          <w:ilvl w:val="0"/>
          <w:numId w:val="17"/>
        </w:numPr>
        <w:tabs>
          <w:tab w:val="left" w:pos="1206"/>
        </w:tabs>
        <w:spacing w:line="360" w:lineRule="auto"/>
        <w:ind w:left="851" w:hanging="425"/>
        <w:jc w:val="both"/>
      </w:pPr>
      <w:r w:rsidRPr="009B3120">
        <w:rPr>
          <w:rFonts w:ascii="Times New Roman" w:hAnsi="Times New Roman"/>
          <w:bCs/>
          <w:sz w:val="24"/>
          <w:szCs w:val="24"/>
        </w:rPr>
        <w:t>Future-fit DHA: Project team set up with DPW to deal with infrastructure issues – current pressing needs and long term plan.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42"/>
        <w:gridCol w:w="2927"/>
        <w:gridCol w:w="1839"/>
        <w:gridCol w:w="3610"/>
      </w:tblGrid>
      <w:tr w:rsidR="001C0957" w:rsidRPr="001C0957" w14:paraId="12C1761F" w14:textId="77777777" w:rsidTr="00A27F8D">
        <w:trPr>
          <w:trHeight w:val="365"/>
        </w:trPr>
        <w:tc>
          <w:tcPr>
            <w:tcW w:w="1542" w:type="dxa"/>
            <w:shd w:val="clear" w:color="auto" w:fill="auto"/>
            <w:tcMar>
              <w:top w:w="72" w:type="dxa"/>
              <w:left w:w="144" w:type="dxa"/>
              <w:bottom w:w="72" w:type="dxa"/>
              <w:right w:w="144" w:type="dxa"/>
            </w:tcMar>
            <w:hideMark/>
          </w:tcPr>
          <w:p w14:paraId="193F75E9"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
                <w:bCs/>
                <w:sz w:val="22"/>
                <w:szCs w:val="22"/>
              </w:rPr>
              <w:t>Outcome</w:t>
            </w:r>
          </w:p>
        </w:tc>
        <w:tc>
          <w:tcPr>
            <w:tcW w:w="2927" w:type="dxa"/>
            <w:shd w:val="clear" w:color="auto" w:fill="auto"/>
            <w:tcMar>
              <w:top w:w="72" w:type="dxa"/>
              <w:left w:w="144" w:type="dxa"/>
              <w:bottom w:w="72" w:type="dxa"/>
              <w:right w:w="144" w:type="dxa"/>
            </w:tcMar>
            <w:hideMark/>
          </w:tcPr>
          <w:p w14:paraId="329B2797"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
                <w:bCs/>
                <w:sz w:val="22"/>
                <w:szCs w:val="22"/>
              </w:rPr>
              <w:t>MTSF 2014 - 2019</w:t>
            </w:r>
          </w:p>
        </w:tc>
        <w:tc>
          <w:tcPr>
            <w:tcW w:w="1839" w:type="dxa"/>
            <w:shd w:val="clear" w:color="auto" w:fill="auto"/>
            <w:tcMar>
              <w:top w:w="72" w:type="dxa"/>
              <w:left w:w="144" w:type="dxa"/>
              <w:bottom w:w="72" w:type="dxa"/>
              <w:right w:w="144" w:type="dxa"/>
            </w:tcMar>
            <w:hideMark/>
          </w:tcPr>
          <w:p w14:paraId="054A8B53" w14:textId="77777777" w:rsidR="001C0957" w:rsidRPr="009B3120" w:rsidRDefault="009B3120" w:rsidP="009B3120">
            <w:pPr>
              <w:spacing w:line="240" w:lineRule="auto"/>
              <w:rPr>
                <w:rFonts w:ascii="Times New Roman" w:hAnsi="Times New Roman"/>
                <w:bCs/>
                <w:sz w:val="22"/>
                <w:szCs w:val="22"/>
              </w:rPr>
            </w:pPr>
            <w:r w:rsidRPr="009B3120">
              <w:rPr>
                <w:rFonts w:ascii="Times New Roman" w:hAnsi="Times New Roman"/>
                <w:b/>
                <w:bCs/>
                <w:sz w:val="22"/>
                <w:szCs w:val="22"/>
              </w:rPr>
              <w:t>MTSF 2019-2024</w:t>
            </w:r>
            <w:r w:rsidR="001C0957" w:rsidRPr="009B3120">
              <w:rPr>
                <w:rFonts w:ascii="Times New Roman" w:hAnsi="Times New Roman"/>
                <w:b/>
                <w:bCs/>
                <w:sz w:val="22"/>
                <w:szCs w:val="22"/>
              </w:rPr>
              <w:t>(Proposed)</w:t>
            </w:r>
          </w:p>
        </w:tc>
        <w:tc>
          <w:tcPr>
            <w:tcW w:w="3610" w:type="dxa"/>
            <w:shd w:val="clear" w:color="auto" w:fill="auto"/>
            <w:tcMar>
              <w:top w:w="72" w:type="dxa"/>
              <w:left w:w="144" w:type="dxa"/>
              <w:bottom w:w="72" w:type="dxa"/>
              <w:right w:w="144" w:type="dxa"/>
            </w:tcMar>
            <w:hideMark/>
          </w:tcPr>
          <w:p w14:paraId="17CF9CDD"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
                <w:bCs/>
                <w:sz w:val="22"/>
                <w:szCs w:val="22"/>
              </w:rPr>
              <w:t>Notes</w:t>
            </w:r>
          </w:p>
        </w:tc>
      </w:tr>
      <w:tr w:rsidR="001C0957" w:rsidRPr="001C0957" w14:paraId="77A3EE12" w14:textId="77777777" w:rsidTr="00A27F8D">
        <w:trPr>
          <w:trHeight w:val="756"/>
        </w:trPr>
        <w:tc>
          <w:tcPr>
            <w:tcW w:w="1542" w:type="dxa"/>
            <w:vMerge w:val="restart"/>
            <w:shd w:val="clear" w:color="auto" w:fill="auto"/>
            <w:tcMar>
              <w:top w:w="72" w:type="dxa"/>
              <w:left w:w="144" w:type="dxa"/>
              <w:bottom w:w="72" w:type="dxa"/>
              <w:right w:w="144" w:type="dxa"/>
            </w:tcMar>
            <w:hideMark/>
          </w:tcPr>
          <w:p w14:paraId="22DD40B4"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lang w:val="en-GB"/>
              </w:rPr>
              <w:t>3: All people in SA are and feel safe</w:t>
            </w:r>
          </w:p>
        </w:tc>
        <w:tc>
          <w:tcPr>
            <w:tcW w:w="2927" w:type="dxa"/>
            <w:shd w:val="clear" w:color="auto" w:fill="auto"/>
            <w:tcMar>
              <w:top w:w="72" w:type="dxa"/>
              <w:left w:w="144" w:type="dxa"/>
              <w:bottom w:w="72" w:type="dxa"/>
              <w:right w:w="144" w:type="dxa"/>
            </w:tcMar>
            <w:hideMark/>
          </w:tcPr>
          <w:p w14:paraId="1D081122" w14:textId="77777777" w:rsidR="001C0957" w:rsidRPr="009B3120" w:rsidRDefault="009B3120" w:rsidP="009B3120">
            <w:pPr>
              <w:spacing w:line="240" w:lineRule="auto"/>
              <w:rPr>
                <w:rFonts w:ascii="Times New Roman" w:hAnsi="Times New Roman"/>
                <w:bCs/>
                <w:sz w:val="22"/>
                <w:szCs w:val="22"/>
              </w:rPr>
            </w:pPr>
            <w:r w:rsidRPr="009B3120">
              <w:rPr>
                <w:rFonts w:ascii="Times New Roman" w:hAnsi="Times New Roman"/>
                <w:bCs/>
                <w:sz w:val="22"/>
                <w:szCs w:val="22"/>
              </w:rPr>
              <w:t>-</w:t>
            </w:r>
          </w:p>
        </w:tc>
        <w:tc>
          <w:tcPr>
            <w:tcW w:w="1839" w:type="dxa"/>
            <w:shd w:val="clear" w:color="auto" w:fill="auto"/>
            <w:tcMar>
              <w:top w:w="72" w:type="dxa"/>
              <w:left w:w="144" w:type="dxa"/>
              <w:bottom w:w="72" w:type="dxa"/>
              <w:right w:w="144" w:type="dxa"/>
            </w:tcMar>
            <w:hideMark/>
          </w:tcPr>
          <w:p w14:paraId="598613BA"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rPr>
              <w:t>National targ</w:t>
            </w:r>
            <w:r w:rsidR="009B3120" w:rsidRPr="009B3120">
              <w:rPr>
                <w:rFonts w:ascii="Times New Roman" w:hAnsi="Times New Roman"/>
                <w:bCs/>
                <w:sz w:val="22"/>
                <w:szCs w:val="22"/>
              </w:rPr>
              <w:t>eting Centre (NTC) operational</w:t>
            </w:r>
            <w:r w:rsidRPr="009B3120">
              <w:rPr>
                <w:rFonts w:ascii="Times New Roman" w:hAnsi="Times New Roman"/>
                <w:bCs/>
                <w:sz w:val="22"/>
                <w:szCs w:val="22"/>
              </w:rPr>
              <w:t xml:space="preserve"> </w:t>
            </w:r>
          </w:p>
        </w:tc>
        <w:tc>
          <w:tcPr>
            <w:tcW w:w="3610" w:type="dxa"/>
            <w:shd w:val="clear" w:color="auto" w:fill="auto"/>
            <w:tcMar>
              <w:top w:w="72" w:type="dxa"/>
              <w:left w:w="144" w:type="dxa"/>
              <w:bottom w:w="72" w:type="dxa"/>
              <w:right w:w="144" w:type="dxa"/>
            </w:tcMar>
            <w:hideMark/>
          </w:tcPr>
          <w:p w14:paraId="07AFA043"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rPr>
              <w:t>DHA Immigration priority driven by the BMA Project office to modernise and streamline admission and enforcement functions.</w:t>
            </w:r>
          </w:p>
        </w:tc>
      </w:tr>
      <w:tr w:rsidR="001C0957" w:rsidRPr="001C0957" w14:paraId="2DFED265" w14:textId="77777777" w:rsidTr="00A27F8D">
        <w:trPr>
          <w:trHeight w:val="397"/>
        </w:trPr>
        <w:tc>
          <w:tcPr>
            <w:tcW w:w="1542" w:type="dxa"/>
            <w:vMerge/>
            <w:shd w:val="clear" w:color="auto" w:fill="auto"/>
            <w:vAlign w:val="center"/>
            <w:hideMark/>
          </w:tcPr>
          <w:p w14:paraId="66F13088" w14:textId="77777777" w:rsidR="001C0957" w:rsidRPr="009B3120" w:rsidRDefault="001C0957" w:rsidP="009B3120">
            <w:pPr>
              <w:spacing w:line="240" w:lineRule="auto"/>
              <w:rPr>
                <w:rFonts w:ascii="Times New Roman" w:hAnsi="Times New Roman"/>
                <w:bCs/>
                <w:sz w:val="22"/>
                <w:szCs w:val="22"/>
              </w:rPr>
            </w:pPr>
          </w:p>
        </w:tc>
        <w:tc>
          <w:tcPr>
            <w:tcW w:w="2927" w:type="dxa"/>
            <w:shd w:val="clear" w:color="auto" w:fill="auto"/>
            <w:tcMar>
              <w:top w:w="72" w:type="dxa"/>
              <w:left w:w="144" w:type="dxa"/>
              <w:bottom w:w="72" w:type="dxa"/>
              <w:right w:w="144" w:type="dxa"/>
            </w:tcMar>
            <w:hideMark/>
          </w:tcPr>
          <w:p w14:paraId="4DDFC552"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rPr>
              <w:t>BMA established and operational  (2017/18)</w:t>
            </w:r>
          </w:p>
        </w:tc>
        <w:tc>
          <w:tcPr>
            <w:tcW w:w="1839" w:type="dxa"/>
            <w:shd w:val="clear" w:color="auto" w:fill="auto"/>
            <w:tcMar>
              <w:top w:w="72" w:type="dxa"/>
              <w:left w:w="144" w:type="dxa"/>
              <w:bottom w:w="72" w:type="dxa"/>
              <w:right w:w="144" w:type="dxa"/>
            </w:tcMar>
            <w:hideMark/>
          </w:tcPr>
          <w:p w14:paraId="1CA1B48E"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rPr>
              <w:t>BMA operational as per BMA Road Map (Phased approach)</w:t>
            </w:r>
          </w:p>
        </w:tc>
        <w:tc>
          <w:tcPr>
            <w:tcW w:w="3610" w:type="dxa"/>
            <w:shd w:val="clear" w:color="auto" w:fill="auto"/>
            <w:tcMar>
              <w:top w:w="72" w:type="dxa"/>
              <w:left w:w="144" w:type="dxa"/>
              <w:bottom w:w="72" w:type="dxa"/>
              <w:right w:w="144" w:type="dxa"/>
            </w:tcMar>
            <w:hideMark/>
          </w:tcPr>
          <w:p w14:paraId="0298764B"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lang w:val="en-US"/>
              </w:rPr>
              <w:t>Target is subject to the passing of legislation</w:t>
            </w:r>
          </w:p>
        </w:tc>
      </w:tr>
      <w:tr w:rsidR="001C0957" w:rsidRPr="001C0957" w14:paraId="5CE62EF0" w14:textId="77777777" w:rsidTr="00A27F8D">
        <w:trPr>
          <w:trHeight w:val="397"/>
        </w:trPr>
        <w:tc>
          <w:tcPr>
            <w:tcW w:w="1542" w:type="dxa"/>
            <w:vMerge/>
            <w:shd w:val="clear" w:color="auto" w:fill="auto"/>
            <w:vAlign w:val="center"/>
            <w:hideMark/>
          </w:tcPr>
          <w:p w14:paraId="23DA3A8C" w14:textId="77777777" w:rsidR="001C0957" w:rsidRPr="009B3120" w:rsidRDefault="001C0957" w:rsidP="009B3120">
            <w:pPr>
              <w:spacing w:line="240" w:lineRule="auto"/>
              <w:rPr>
                <w:rFonts w:ascii="Times New Roman" w:hAnsi="Times New Roman"/>
                <w:bCs/>
                <w:sz w:val="22"/>
                <w:szCs w:val="22"/>
              </w:rPr>
            </w:pPr>
          </w:p>
        </w:tc>
        <w:tc>
          <w:tcPr>
            <w:tcW w:w="2927" w:type="dxa"/>
            <w:shd w:val="clear" w:color="auto" w:fill="auto"/>
            <w:tcMar>
              <w:top w:w="72" w:type="dxa"/>
              <w:left w:w="144" w:type="dxa"/>
              <w:bottom w:w="72" w:type="dxa"/>
              <w:right w:w="144" w:type="dxa"/>
            </w:tcMar>
            <w:hideMark/>
          </w:tcPr>
          <w:p w14:paraId="0604CCC7"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lang w:val="en-US"/>
              </w:rPr>
              <w:t>IBMS fully implemented by 2018/19</w:t>
            </w:r>
          </w:p>
        </w:tc>
        <w:tc>
          <w:tcPr>
            <w:tcW w:w="1839" w:type="dxa"/>
            <w:shd w:val="clear" w:color="auto" w:fill="auto"/>
            <w:tcMar>
              <w:top w:w="72" w:type="dxa"/>
              <w:left w:w="144" w:type="dxa"/>
              <w:bottom w:w="72" w:type="dxa"/>
              <w:right w:w="144" w:type="dxa"/>
            </w:tcMar>
            <w:hideMark/>
          </w:tcPr>
          <w:p w14:paraId="01309F73"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rPr>
              <w:t>-</w:t>
            </w:r>
          </w:p>
        </w:tc>
        <w:tc>
          <w:tcPr>
            <w:tcW w:w="3610" w:type="dxa"/>
            <w:shd w:val="clear" w:color="auto" w:fill="auto"/>
            <w:tcMar>
              <w:top w:w="72" w:type="dxa"/>
              <w:left w:w="144" w:type="dxa"/>
              <w:bottom w:w="72" w:type="dxa"/>
              <w:right w:w="144" w:type="dxa"/>
            </w:tcMar>
            <w:hideMark/>
          </w:tcPr>
          <w:p w14:paraId="4161B83F"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lang w:val="en-US"/>
              </w:rPr>
              <w:t>Included in DHA Ops Plan for 2019/20.</w:t>
            </w:r>
          </w:p>
        </w:tc>
      </w:tr>
      <w:tr w:rsidR="001C0957" w:rsidRPr="001C0957" w14:paraId="2079E246" w14:textId="77777777" w:rsidTr="00A27F8D">
        <w:trPr>
          <w:trHeight w:val="558"/>
        </w:trPr>
        <w:tc>
          <w:tcPr>
            <w:tcW w:w="1542" w:type="dxa"/>
            <w:vMerge/>
            <w:shd w:val="clear" w:color="auto" w:fill="auto"/>
            <w:vAlign w:val="center"/>
            <w:hideMark/>
          </w:tcPr>
          <w:p w14:paraId="05A3A1A1" w14:textId="77777777" w:rsidR="001C0957" w:rsidRPr="009B3120" w:rsidRDefault="001C0957" w:rsidP="009B3120">
            <w:pPr>
              <w:spacing w:line="240" w:lineRule="auto"/>
              <w:rPr>
                <w:rFonts w:ascii="Times New Roman" w:hAnsi="Times New Roman"/>
                <w:bCs/>
                <w:sz w:val="22"/>
                <w:szCs w:val="22"/>
              </w:rPr>
            </w:pPr>
          </w:p>
        </w:tc>
        <w:tc>
          <w:tcPr>
            <w:tcW w:w="2927" w:type="dxa"/>
            <w:shd w:val="clear" w:color="auto" w:fill="auto"/>
            <w:tcMar>
              <w:top w:w="72" w:type="dxa"/>
              <w:left w:w="144" w:type="dxa"/>
              <w:bottom w:w="72" w:type="dxa"/>
              <w:right w:w="144" w:type="dxa"/>
            </w:tcMar>
            <w:hideMark/>
          </w:tcPr>
          <w:p w14:paraId="717C5B4D"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lang w:val="en-US"/>
              </w:rPr>
              <w:t>Immigration and Refugees Bills submitted to Parliament by 2018/19</w:t>
            </w:r>
          </w:p>
        </w:tc>
        <w:tc>
          <w:tcPr>
            <w:tcW w:w="1839" w:type="dxa"/>
            <w:shd w:val="clear" w:color="auto" w:fill="auto"/>
            <w:tcMar>
              <w:top w:w="72" w:type="dxa"/>
              <w:left w:w="144" w:type="dxa"/>
              <w:bottom w:w="72" w:type="dxa"/>
              <w:right w:w="144" w:type="dxa"/>
            </w:tcMar>
            <w:hideMark/>
          </w:tcPr>
          <w:p w14:paraId="4AC7938E"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lang w:val="en-US"/>
              </w:rPr>
              <w:t>New legislation implemented (2023/24)</w:t>
            </w:r>
          </w:p>
        </w:tc>
        <w:tc>
          <w:tcPr>
            <w:tcW w:w="3610" w:type="dxa"/>
            <w:shd w:val="clear" w:color="auto" w:fill="auto"/>
            <w:tcMar>
              <w:top w:w="72" w:type="dxa"/>
              <w:left w:w="144" w:type="dxa"/>
              <w:bottom w:w="72" w:type="dxa"/>
              <w:right w:w="144" w:type="dxa"/>
            </w:tcMar>
            <w:hideMark/>
          </w:tcPr>
          <w:p w14:paraId="65748EB8"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rPr>
              <w:t>Target rolled over from previous MTSF cycle.</w:t>
            </w:r>
          </w:p>
          <w:p w14:paraId="43940468"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rPr>
              <w:t>Need to factor in possible financial implications with implementation.</w:t>
            </w:r>
          </w:p>
        </w:tc>
      </w:tr>
      <w:tr w:rsidR="001C0957" w:rsidRPr="001C0957" w14:paraId="275E632A" w14:textId="77777777" w:rsidTr="00A27F8D">
        <w:trPr>
          <w:trHeight w:val="292"/>
        </w:trPr>
        <w:tc>
          <w:tcPr>
            <w:tcW w:w="1542" w:type="dxa"/>
            <w:vMerge/>
            <w:shd w:val="clear" w:color="auto" w:fill="auto"/>
            <w:vAlign w:val="center"/>
            <w:hideMark/>
          </w:tcPr>
          <w:p w14:paraId="7EEA5EC2" w14:textId="77777777" w:rsidR="001C0957" w:rsidRPr="009B3120" w:rsidRDefault="001C0957" w:rsidP="009B3120">
            <w:pPr>
              <w:spacing w:line="240" w:lineRule="auto"/>
              <w:rPr>
                <w:rFonts w:ascii="Times New Roman" w:hAnsi="Times New Roman"/>
                <w:bCs/>
                <w:sz w:val="22"/>
                <w:szCs w:val="22"/>
              </w:rPr>
            </w:pPr>
          </w:p>
        </w:tc>
        <w:tc>
          <w:tcPr>
            <w:tcW w:w="2927" w:type="dxa"/>
            <w:shd w:val="clear" w:color="auto" w:fill="auto"/>
            <w:tcMar>
              <w:top w:w="72" w:type="dxa"/>
              <w:left w:w="144" w:type="dxa"/>
              <w:bottom w:w="72" w:type="dxa"/>
              <w:right w:w="144" w:type="dxa"/>
            </w:tcMar>
            <w:hideMark/>
          </w:tcPr>
          <w:p w14:paraId="004235B0"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rPr>
              <w:t>74%  or 810 000 of all births captured within 30 days by 2018/19</w:t>
            </w:r>
          </w:p>
        </w:tc>
        <w:tc>
          <w:tcPr>
            <w:tcW w:w="1839" w:type="dxa"/>
            <w:shd w:val="clear" w:color="auto" w:fill="auto"/>
            <w:tcMar>
              <w:top w:w="72" w:type="dxa"/>
              <w:left w:w="144" w:type="dxa"/>
              <w:bottom w:w="72" w:type="dxa"/>
              <w:right w:w="144" w:type="dxa"/>
            </w:tcMar>
            <w:hideMark/>
          </w:tcPr>
          <w:p w14:paraId="07124222"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rPr>
              <w:t>810 000</w:t>
            </w:r>
          </w:p>
        </w:tc>
        <w:tc>
          <w:tcPr>
            <w:tcW w:w="3610" w:type="dxa"/>
            <w:shd w:val="clear" w:color="auto" w:fill="auto"/>
            <w:tcMar>
              <w:top w:w="72" w:type="dxa"/>
              <w:left w:w="144" w:type="dxa"/>
              <w:bottom w:w="72" w:type="dxa"/>
              <w:right w:w="144" w:type="dxa"/>
            </w:tcMar>
            <w:hideMark/>
          </w:tcPr>
          <w:p w14:paraId="627FD7BC"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lang w:val="en-US"/>
              </w:rPr>
              <w:t xml:space="preserve">Challenges: </w:t>
            </w:r>
          </w:p>
          <w:p w14:paraId="5D843727"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lang w:val="en-US"/>
              </w:rPr>
              <w:t xml:space="preserve">Inability to fill posts becoming vacant; </w:t>
            </w:r>
          </w:p>
          <w:p w14:paraId="3444CB5B"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lang w:val="en-US"/>
              </w:rPr>
              <w:t xml:space="preserve">Inability to work extended hours or over weekends; and </w:t>
            </w:r>
          </w:p>
          <w:p w14:paraId="4E3A2305"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lang w:val="en-US"/>
              </w:rPr>
              <w:t xml:space="preserve">Challenges with connectivity at </w:t>
            </w:r>
            <w:r w:rsidRPr="009B3120">
              <w:rPr>
                <w:rFonts w:ascii="Times New Roman" w:hAnsi="Times New Roman"/>
                <w:bCs/>
                <w:sz w:val="22"/>
                <w:szCs w:val="22"/>
                <w:lang w:val="en-US"/>
              </w:rPr>
              <w:lastRenderedPageBreak/>
              <w:t>health facilities.</w:t>
            </w:r>
          </w:p>
        </w:tc>
      </w:tr>
      <w:tr w:rsidR="001C0957" w:rsidRPr="001C0957" w14:paraId="67C28E6D" w14:textId="77777777" w:rsidTr="00A27F8D">
        <w:trPr>
          <w:trHeight w:val="292"/>
        </w:trPr>
        <w:tc>
          <w:tcPr>
            <w:tcW w:w="1542" w:type="dxa"/>
            <w:vMerge/>
            <w:shd w:val="clear" w:color="auto" w:fill="auto"/>
            <w:vAlign w:val="center"/>
            <w:hideMark/>
          </w:tcPr>
          <w:p w14:paraId="6B0F0EC2" w14:textId="77777777" w:rsidR="001C0957" w:rsidRPr="009B3120" w:rsidRDefault="001C0957" w:rsidP="009B3120">
            <w:pPr>
              <w:spacing w:line="240" w:lineRule="auto"/>
              <w:rPr>
                <w:rFonts w:ascii="Times New Roman" w:hAnsi="Times New Roman"/>
                <w:bCs/>
                <w:sz w:val="22"/>
                <w:szCs w:val="22"/>
              </w:rPr>
            </w:pPr>
          </w:p>
        </w:tc>
        <w:tc>
          <w:tcPr>
            <w:tcW w:w="2927" w:type="dxa"/>
            <w:shd w:val="clear" w:color="auto" w:fill="auto"/>
            <w:tcMar>
              <w:top w:w="72" w:type="dxa"/>
              <w:left w:w="144" w:type="dxa"/>
              <w:bottom w:w="72" w:type="dxa"/>
              <w:right w:w="144" w:type="dxa"/>
            </w:tcMar>
            <w:hideMark/>
          </w:tcPr>
          <w:p w14:paraId="3BB613C6"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rPr>
              <w:t>National Identity System (NIS) operational (2019/20)</w:t>
            </w:r>
          </w:p>
        </w:tc>
        <w:tc>
          <w:tcPr>
            <w:tcW w:w="1839" w:type="dxa"/>
            <w:shd w:val="clear" w:color="auto" w:fill="auto"/>
            <w:tcMar>
              <w:top w:w="72" w:type="dxa"/>
              <w:left w:w="144" w:type="dxa"/>
              <w:bottom w:w="72" w:type="dxa"/>
              <w:right w:w="144" w:type="dxa"/>
            </w:tcMar>
            <w:hideMark/>
          </w:tcPr>
          <w:p w14:paraId="532170F7"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lang w:val="en-US"/>
              </w:rPr>
              <w:t xml:space="preserve">NIS   operational </w:t>
            </w:r>
          </w:p>
        </w:tc>
        <w:tc>
          <w:tcPr>
            <w:tcW w:w="3610" w:type="dxa"/>
            <w:shd w:val="clear" w:color="auto" w:fill="auto"/>
            <w:tcMar>
              <w:top w:w="72" w:type="dxa"/>
              <w:left w:w="144" w:type="dxa"/>
              <w:bottom w:w="72" w:type="dxa"/>
              <w:right w:w="144" w:type="dxa"/>
            </w:tcMar>
            <w:hideMark/>
          </w:tcPr>
          <w:p w14:paraId="44F78BFF" w14:textId="77777777" w:rsidR="001C0957" w:rsidRPr="009B3120" w:rsidRDefault="001C0957" w:rsidP="009B3120">
            <w:pPr>
              <w:spacing w:line="240" w:lineRule="auto"/>
              <w:rPr>
                <w:rFonts w:ascii="Times New Roman" w:hAnsi="Times New Roman"/>
                <w:bCs/>
                <w:sz w:val="22"/>
                <w:szCs w:val="22"/>
              </w:rPr>
            </w:pPr>
            <w:r w:rsidRPr="009B3120">
              <w:rPr>
                <w:rFonts w:ascii="Times New Roman" w:hAnsi="Times New Roman"/>
                <w:bCs/>
                <w:sz w:val="22"/>
                <w:szCs w:val="22"/>
                <w:lang w:val="en-US"/>
              </w:rPr>
              <w:t>Need to re-scope the NIS based on new developments.</w:t>
            </w:r>
          </w:p>
        </w:tc>
      </w:tr>
      <w:tr w:rsidR="001C0957" w:rsidRPr="001C0957" w14:paraId="1351237E" w14:textId="77777777" w:rsidTr="00A27F8D">
        <w:trPr>
          <w:trHeight w:val="292"/>
        </w:trPr>
        <w:tc>
          <w:tcPr>
            <w:tcW w:w="1542" w:type="dxa"/>
            <w:vMerge/>
            <w:shd w:val="clear" w:color="auto" w:fill="auto"/>
          </w:tcPr>
          <w:p w14:paraId="2DDECECE" w14:textId="77777777" w:rsidR="001C0957" w:rsidRPr="009B3120" w:rsidRDefault="001C0957" w:rsidP="009B3120">
            <w:pPr>
              <w:pStyle w:val="NormalWeb"/>
              <w:spacing w:before="0" w:beforeAutospacing="0" w:after="0" w:afterAutospacing="0"/>
              <w:textAlignment w:val="baseline"/>
              <w:rPr>
                <w:sz w:val="22"/>
                <w:szCs w:val="22"/>
              </w:rPr>
            </w:pPr>
          </w:p>
        </w:tc>
        <w:tc>
          <w:tcPr>
            <w:tcW w:w="2927" w:type="dxa"/>
            <w:shd w:val="clear" w:color="auto" w:fill="auto"/>
            <w:tcMar>
              <w:top w:w="72" w:type="dxa"/>
              <w:left w:w="144" w:type="dxa"/>
              <w:bottom w:w="72" w:type="dxa"/>
              <w:right w:w="144" w:type="dxa"/>
            </w:tcMar>
          </w:tcPr>
          <w:p w14:paraId="57B07B31" w14:textId="77777777" w:rsidR="001C0957" w:rsidRPr="009B3120" w:rsidRDefault="001C0957" w:rsidP="009B3120">
            <w:pPr>
              <w:pStyle w:val="NormalWeb"/>
              <w:spacing w:before="0" w:beforeAutospacing="0" w:after="0" w:afterAutospacing="0"/>
              <w:textAlignment w:val="baseline"/>
              <w:rPr>
                <w:sz w:val="22"/>
                <w:szCs w:val="22"/>
              </w:rPr>
            </w:pPr>
            <w:r w:rsidRPr="009B3120">
              <w:rPr>
                <w:color w:val="000000"/>
                <w:kern w:val="24"/>
                <w:sz w:val="22"/>
                <w:szCs w:val="22"/>
              </w:rPr>
              <w:t>100% of all designated ports of entry equipped with bi</w:t>
            </w:r>
            <w:r w:rsidRPr="009B3120">
              <w:rPr>
                <w:color w:val="000000"/>
                <w:kern w:val="24"/>
                <w:sz w:val="22"/>
                <w:szCs w:val="22"/>
              </w:rPr>
              <w:t>o</w:t>
            </w:r>
            <w:r w:rsidRPr="009B3120">
              <w:rPr>
                <w:color w:val="000000"/>
                <w:kern w:val="24"/>
                <w:sz w:val="22"/>
                <w:szCs w:val="22"/>
              </w:rPr>
              <w:t>metric systems capable of processing 100% of travellers (for ports equipped with Electronic Movement Co</w:t>
            </w:r>
            <w:r w:rsidRPr="009B3120">
              <w:rPr>
                <w:color w:val="000000"/>
                <w:kern w:val="24"/>
                <w:sz w:val="22"/>
                <w:szCs w:val="22"/>
              </w:rPr>
              <w:t>n</w:t>
            </w:r>
            <w:r w:rsidRPr="009B3120">
              <w:rPr>
                <w:color w:val="000000"/>
                <w:kern w:val="24"/>
                <w:sz w:val="22"/>
                <w:szCs w:val="22"/>
              </w:rPr>
              <w:t>trol System) by 2018/19</w:t>
            </w:r>
          </w:p>
        </w:tc>
        <w:tc>
          <w:tcPr>
            <w:tcW w:w="1839" w:type="dxa"/>
            <w:shd w:val="clear" w:color="auto" w:fill="auto"/>
            <w:tcMar>
              <w:top w:w="72" w:type="dxa"/>
              <w:left w:w="144" w:type="dxa"/>
              <w:bottom w:w="72" w:type="dxa"/>
              <w:right w:w="144" w:type="dxa"/>
            </w:tcMar>
          </w:tcPr>
          <w:p w14:paraId="2872F625" w14:textId="77777777" w:rsidR="001C0957" w:rsidRPr="009B3120" w:rsidRDefault="001C0957" w:rsidP="009B3120">
            <w:pPr>
              <w:pStyle w:val="NormalWeb"/>
              <w:spacing w:before="0" w:beforeAutospacing="0" w:after="0" w:afterAutospacing="0"/>
              <w:textAlignment w:val="baseline"/>
              <w:rPr>
                <w:sz w:val="22"/>
                <w:szCs w:val="22"/>
              </w:rPr>
            </w:pPr>
            <w:r w:rsidRPr="009B3120">
              <w:rPr>
                <w:color w:val="000000" w:themeColor="text1"/>
                <w:kern w:val="24"/>
                <w:sz w:val="22"/>
                <w:szCs w:val="22"/>
                <w:lang w:val="en-US"/>
              </w:rPr>
              <w:t>100% of all de</w:t>
            </w:r>
            <w:r w:rsidRPr="009B3120">
              <w:rPr>
                <w:color w:val="000000" w:themeColor="text1"/>
                <w:kern w:val="24"/>
                <w:sz w:val="22"/>
                <w:szCs w:val="22"/>
                <w:lang w:val="en-US"/>
              </w:rPr>
              <w:t>s</w:t>
            </w:r>
            <w:r w:rsidRPr="009B3120">
              <w:rPr>
                <w:color w:val="000000" w:themeColor="text1"/>
                <w:kern w:val="24"/>
                <w:sz w:val="22"/>
                <w:szCs w:val="22"/>
                <w:lang w:val="en-US"/>
              </w:rPr>
              <w:t>ignated ports of entry equipped with biometric movement co</w:t>
            </w:r>
            <w:r w:rsidRPr="009B3120">
              <w:rPr>
                <w:color w:val="000000" w:themeColor="text1"/>
                <w:kern w:val="24"/>
                <w:sz w:val="22"/>
                <w:szCs w:val="22"/>
                <w:lang w:val="en-US"/>
              </w:rPr>
              <w:t>n</w:t>
            </w:r>
            <w:r w:rsidRPr="009B3120">
              <w:rPr>
                <w:color w:val="000000" w:themeColor="text1"/>
                <w:kern w:val="24"/>
                <w:sz w:val="22"/>
                <w:szCs w:val="22"/>
                <w:lang w:val="en-US"/>
              </w:rPr>
              <w:t>trol system</w:t>
            </w:r>
          </w:p>
        </w:tc>
        <w:tc>
          <w:tcPr>
            <w:tcW w:w="3610" w:type="dxa"/>
            <w:shd w:val="clear" w:color="auto" w:fill="auto"/>
            <w:tcMar>
              <w:top w:w="72" w:type="dxa"/>
              <w:left w:w="144" w:type="dxa"/>
              <w:bottom w:w="72" w:type="dxa"/>
              <w:right w:w="144" w:type="dxa"/>
            </w:tcMar>
          </w:tcPr>
          <w:p w14:paraId="5D59C022" w14:textId="77777777" w:rsidR="001C0957" w:rsidRPr="009B3120" w:rsidRDefault="001C0957" w:rsidP="009B3120">
            <w:pPr>
              <w:spacing w:line="240" w:lineRule="auto"/>
              <w:rPr>
                <w:rFonts w:ascii="Times New Roman" w:hAnsi="Times New Roman"/>
                <w:sz w:val="22"/>
                <w:szCs w:val="22"/>
              </w:rPr>
            </w:pPr>
            <w:r w:rsidRPr="009B3120">
              <w:rPr>
                <w:rFonts w:ascii="Times New Roman" w:hAnsi="Times New Roman"/>
                <w:sz w:val="22"/>
                <w:szCs w:val="22"/>
              </w:rPr>
              <w:t>Rollover from previous cycle</w:t>
            </w:r>
          </w:p>
          <w:p w14:paraId="572CB842" w14:textId="77777777" w:rsidR="001C0957" w:rsidRPr="009B3120" w:rsidRDefault="001C0957" w:rsidP="009B3120">
            <w:pPr>
              <w:spacing w:line="240" w:lineRule="auto"/>
              <w:rPr>
                <w:rFonts w:ascii="Times New Roman" w:hAnsi="Times New Roman"/>
                <w:sz w:val="22"/>
                <w:szCs w:val="22"/>
              </w:rPr>
            </w:pPr>
          </w:p>
          <w:p w14:paraId="69A5A8FF" w14:textId="77777777" w:rsidR="001C0957" w:rsidRPr="009B3120" w:rsidRDefault="001C0957" w:rsidP="009B3120">
            <w:pPr>
              <w:spacing w:line="240" w:lineRule="auto"/>
              <w:rPr>
                <w:rFonts w:ascii="Times New Roman" w:hAnsi="Times New Roman"/>
                <w:sz w:val="22"/>
                <w:szCs w:val="22"/>
              </w:rPr>
            </w:pPr>
            <w:r w:rsidRPr="009B3120">
              <w:rPr>
                <w:rFonts w:ascii="Times New Roman" w:hAnsi="Times New Roman"/>
                <w:sz w:val="22"/>
                <w:szCs w:val="22"/>
              </w:rPr>
              <w:t>Full scope biometrics.</w:t>
            </w:r>
          </w:p>
        </w:tc>
      </w:tr>
      <w:tr w:rsidR="009B3120" w:rsidRPr="001C0957" w14:paraId="0EEDE2DE" w14:textId="77777777" w:rsidTr="00A27F8D">
        <w:trPr>
          <w:trHeight w:val="292"/>
        </w:trPr>
        <w:tc>
          <w:tcPr>
            <w:tcW w:w="1542" w:type="dxa"/>
            <w:shd w:val="clear" w:color="auto" w:fill="auto"/>
          </w:tcPr>
          <w:p w14:paraId="2ACB5EFC" w14:textId="77777777" w:rsidR="001C0957" w:rsidRPr="009B3120" w:rsidRDefault="001C0957" w:rsidP="009B3120">
            <w:pPr>
              <w:pStyle w:val="NormalWeb"/>
              <w:spacing w:before="0" w:beforeAutospacing="0" w:after="0" w:afterAutospacing="0"/>
              <w:textAlignment w:val="baseline"/>
              <w:rPr>
                <w:sz w:val="22"/>
                <w:szCs w:val="22"/>
              </w:rPr>
            </w:pPr>
            <w:r w:rsidRPr="009B3120">
              <w:rPr>
                <w:color w:val="000000" w:themeColor="text1"/>
                <w:kern w:val="24"/>
                <w:sz w:val="22"/>
                <w:szCs w:val="22"/>
                <w:lang w:val="en-GB"/>
              </w:rPr>
              <w:t xml:space="preserve">4: </w:t>
            </w:r>
            <w:r w:rsidRPr="009B3120">
              <w:rPr>
                <w:color w:val="000000" w:themeColor="text1"/>
                <w:kern w:val="24"/>
                <w:sz w:val="22"/>
                <w:szCs w:val="22"/>
                <w:lang w:val="en-US"/>
              </w:rPr>
              <w:t>Decent e</w:t>
            </w:r>
            <w:r w:rsidRPr="009B3120">
              <w:rPr>
                <w:color w:val="000000" w:themeColor="text1"/>
                <w:kern w:val="24"/>
                <w:sz w:val="22"/>
                <w:szCs w:val="22"/>
                <w:lang w:val="en-US"/>
              </w:rPr>
              <w:t>m</w:t>
            </w:r>
            <w:r w:rsidRPr="009B3120">
              <w:rPr>
                <w:color w:val="000000" w:themeColor="text1"/>
                <w:kern w:val="24"/>
                <w:sz w:val="22"/>
                <w:szCs w:val="22"/>
                <w:lang w:val="en-US"/>
              </w:rPr>
              <w:t>ployment through incl</w:t>
            </w:r>
            <w:r w:rsidRPr="009B3120">
              <w:rPr>
                <w:color w:val="000000" w:themeColor="text1"/>
                <w:kern w:val="24"/>
                <w:sz w:val="22"/>
                <w:szCs w:val="22"/>
                <w:lang w:val="en-US"/>
              </w:rPr>
              <w:t>u</w:t>
            </w:r>
            <w:r w:rsidRPr="009B3120">
              <w:rPr>
                <w:color w:val="000000" w:themeColor="text1"/>
                <w:kern w:val="24"/>
                <w:sz w:val="22"/>
                <w:szCs w:val="22"/>
                <w:lang w:val="en-US"/>
              </w:rPr>
              <w:t>sive economic growth</w:t>
            </w:r>
          </w:p>
        </w:tc>
        <w:tc>
          <w:tcPr>
            <w:tcW w:w="2927" w:type="dxa"/>
            <w:shd w:val="clear" w:color="auto" w:fill="auto"/>
            <w:tcMar>
              <w:top w:w="72" w:type="dxa"/>
              <w:left w:w="144" w:type="dxa"/>
              <w:bottom w:w="72" w:type="dxa"/>
              <w:right w:w="144" w:type="dxa"/>
            </w:tcMar>
          </w:tcPr>
          <w:p w14:paraId="5707A497" w14:textId="77777777" w:rsidR="001C0957" w:rsidRPr="009B3120" w:rsidRDefault="001C0957" w:rsidP="009B3120">
            <w:pPr>
              <w:pStyle w:val="NormalWeb"/>
              <w:spacing w:before="0" w:beforeAutospacing="0" w:after="0" w:afterAutospacing="0"/>
              <w:textAlignment w:val="baseline"/>
              <w:rPr>
                <w:sz w:val="22"/>
                <w:szCs w:val="22"/>
              </w:rPr>
            </w:pPr>
            <w:r w:rsidRPr="009B3120">
              <w:rPr>
                <w:rFonts w:eastAsia="MS PGothic"/>
                <w:color w:val="000000"/>
                <w:kern w:val="24"/>
                <w:sz w:val="22"/>
                <w:szCs w:val="22"/>
              </w:rPr>
              <w:t xml:space="preserve">85% </w:t>
            </w:r>
            <w:r w:rsidRPr="009B3120">
              <w:rPr>
                <w:color w:val="000000" w:themeColor="text1"/>
                <w:kern w:val="24"/>
                <w:sz w:val="22"/>
                <w:szCs w:val="22"/>
                <w:lang w:val="en-GB"/>
              </w:rPr>
              <w:t xml:space="preserve">of critical skills visas </w:t>
            </w:r>
            <w:r w:rsidRPr="009B3120">
              <w:rPr>
                <w:color w:val="000000" w:themeColor="text1"/>
                <w:kern w:val="24"/>
                <w:sz w:val="22"/>
                <w:szCs w:val="22"/>
              </w:rPr>
              <w:t xml:space="preserve"> adjudicated  within 4 weeks for applications processed within the RSA </w:t>
            </w:r>
          </w:p>
        </w:tc>
        <w:tc>
          <w:tcPr>
            <w:tcW w:w="1839" w:type="dxa"/>
            <w:shd w:val="clear" w:color="auto" w:fill="auto"/>
            <w:tcMar>
              <w:top w:w="72" w:type="dxa"/>
              <w:left w:w="144" w:type="dxa"/>
              <w:bottom w:w="72" w:type="dxa"/>
              <w:right w:w="144" w:type="dxa"/>
            </w:tcMar>
          </w:tcPr>
          <w:p w14:paraId="5B4213CA" w14:textId="77777777" w:rsidR="001C0957" w:rsidRPr="009B3120" w:rsidRDefault="001C0957" w:rsidP="009B3120">
            <w:pPr>
              <w:pStyle w:val="NormalWeb"/>
              <w:spacing w:before="0" w:beforeAutospacing="0" w:after="0" w:afterAutospacing="0"/>
              <w:textAlignment w:val="baseline"/>
              <w:rPr>
                <w:sz w:val="22"/>
                <w:szCs w:val="22"/>
              </w:rPr>
            </w:pPr>
            <w:r w:rsidRPr="009B3120">
              <w:rPr>
                <w:rFonts w:eastAsia="MS PGothic"/>
                <w:color w:val="000000"/>
                <w:kern w:val="24"/>
                <w:sz w:val="22"/>
                <w:szCs w:val="22"/>
              </w:rPr>
              <w:t xml:space="preserve">85% </w:t>
            </w:r>
            <w:r w:rsidRPr="009B3120">
              <w:rPr>
                <w:color w:val="000000" w:themeColor="text1"/>
                <w:kern w:val="24"/>
                <w:sz w:val="22"/>
                <w:szCs w:val="22"/>
                <w:lang w:val="en-GB"/>
              </w:rPr>
              <w:t xml:space="preserve">of critical skills visas </w:t>
            </w:r>
            <w:r w:rsidRPr="009B3120">
              <w:rPr>
                <w:color w:val="000000" w:themeColor="text1"/>
                <w:kern w:val="24"/>
                <w:sz w:val="22"/>
                <w:szCs w:val="22"/>
              </w:rPr>
              <w:t xml:space="preserve"> a</w:t>
            </w:r>
            <w:r w:rsidRPr="009B3120">
              <w:rPr>
                <w:color w:val="000000" w:themeColor="text1"/>
                <w:kern w:val="24"/>
                <w:sz w:val="22"/>
                <w:szCs w:val="22"/>
              </w:rPr>
              <w:t>d</w:t>
            </w:r>
            <w:r w:rsidRPr="009B3120">
              <w:rPr>
                <w:color w:val="000000" w:themeColor="text1"/>
                <w:kern w:val="24"/>
                <w:sz w:val="22"/>
                <w:szCs w:val="22"/>
              </w:rPr>
              <w:t>judicated  within 4 weeks for a</w:t>
            </w:r>
            <w:r w:rsidRPr="009B3120">
              <w:rPr>
                <w:color w:val="000000" w:themeColor="text1"/>
                <w:kern w:val="24"/>
                <w:sz w:val="22"/>
                <w:szCs w:val="22"/>
              </w:rPr>
              <w:t>p</w:t>
            </w:r>
            <w:r w:rsidRPr="009B3120">
              <w:rPr>
                <w:color w:val="000000" w:themeColor="text1"/>
                <w:kern w:val="24"/>
                <w:sz w:val="22"/>
                <w:szCs w:val="22"/>
              </w:rPr>
              <w:t>plications pr</w:t>
            </w:r>
            <w:r w:rsidRPr="009B3120">
              <w:rPr>
                <w:color w:val="000000" w:themeColor="text1"/>
                <w:kern w:val="24"/>
                <w:sz w:val="22"/>
                <w:szCs w:val="22"/>
              </w:rPr>
              <w:t>o</w:t>
            </w:r>
            <w:r w:rsidRPr="009B3120">
              <w:rPr>
                <w:color w:val="000000" w:themeColor="text1"/>
                <w:kern w:val="24"/>
                <w:sz w:val="22"/>
                <w:szCs w:val="22"/>
              </w:rPr>
              <w:t xml:space="preserve">cessed within the RSA </w:t>
            </w:r>
          </w:p>
        </w:tc>
        <w:tc>
          <w:tcPr>
            <w:tcW w:w="3610" w:type="dxa"/>
            <w:shd w:val="clear" w:color="auto" w:fill="auto"/>
            <w:tcMar>
              <w:top w:w="72" w:type="dxa"/>
              <w:left w:w="144" w:type="dxa"/>
              <w:bottom w:w="72" w:type="dxa"/>
              <w:right w:w="144" w:type="dxa"/>
            </w:tcMar>
          </w:tcPr>
          <w:p w14:paraId="10FE0B8C" w14:textId="77777777" w:rsidR="001C0957" w:rsidRPr="009B3120" w:rsidRDefault="001C0957" w:rsidP="009B3120">
            <w:pPr>
              <w:spacing w:line="240" w:lineRule="auto"/>
              <w:rPr>
                <w:rFonts w:ascii="Times New Roman" w:hAnsi="Times New Roman"/>
                <w:sz w:val="22"/>
                <w:szCs w:val="22"/>
              </w:rPr>
            </w:pPr>
            <w:r w:rsidRPr="009B3120">
              <w:rPr>
                <w:rFonts w:ascii="Times New Roman" w:hAnsi="Times New Roman"/>
                <w:sz w:val="22"/>
                <w:szCs w:val="22"/>
              </w:rPr>
              <w:t>Achieved in previous cycle.</w:t>
            </w:r>
          </w:p>
          <w:p w14:paraId="7D0DA131" w14:textId="77777777" w:rsidR="001C0957" w:rsidRPr="009B3120" w:rsidRDefault="001C0957" w:rsidP="009B3120">
            <w:pPr>
              <w:spacing w:line="240" w:lineRule="auto"/>
              <w:rPr>
                <w:rFonts w:ascii="Times New Roman" w:hAnsi="Times New Roman"/>
                <w:sz w:val="22"/>
                <w:szCs w:val="22"/>
              </w:rPr>
            </w:pPr>
            <w:r w:rsidRPr="009B3120">
              <w:rPr>
                <w:rFonts w:ascii="Times New Roman" w:hAnsi="Times New Roman"/>
                <w:sz w:val="22"/>
                <w:szCs w:val="22"/>
              </w:rPr>
              <w:t>DHA has a teaming agreement with DTI for the creation of one-stop service centres.</w:t>
            </w:r>
          </w:p>
        </w:tc>
      </w:tr>
      <w:tr w:rsidR="009B3120" w:rsidRPr="001C0957" w14:paraId="318B3CA0" w14:textId="77777777" w:rsidTr="00A27F8D">
        <w:trPr>
          <w:trHeight w:val="292"/>
        </w:trPr>
        <w:tc>
          <w:tcPr>
            <w:tcW w:w="1542" w:type="dxa"/>
            <w:shd w:val="clear" w:color="auto" w:fill="auto"/>
          </w:tcPr>
          <w:p w14:paraId="5725211C" w14:textId="77777777" w:rsidR="001C0957" w:rsidRPr="009B3120" w:rsidRDefault="001C0957" w:rsidP="009B3120">
            <w:pPr>
              <w:pStyle w:val="NormalWeb"/>
              <w:spacing w:before="0" w:beforeAutospacing="0" w:after="0" w:afterAutospacing="0"/>
              <w:textAlignment w:val="baseline"/>
              <w:rPr>
                <w:sz w:val="22"/>
                <w:szCs w:val="22"/>
              </w:rPr>
            </w:pPr>
            <w:r w:rsidRPr="009B3120">
              <w:rPr>
                <w:color w:val="000000" w:themeColor="text1"/>
                <w:kern w:val="24"/>
                <w:sz w:val="22"/>
                <w:szCs w:val="22"/>
                <w:lang w:val="en-GB"/>
              </w:rPr>
              <w:t xml:space="preserve">12: </w:t>
            </w:r>
            <w:r w:rsidRPr="009B3120">
              <w:rPr>
                <w:color w:val="000000" w:themeColor="text1"/>
                <w:kern w:val="24"/>
                <w:sz w:val="22"/>
                <w:szCs w:val="22"/>
                <w:lang w:val="en-US"/>
              </w:rPr>
              <w:t>An efficient, effective and development oriented public service</w:t>
            </w:r>
          </w:p>
        </w:tc>
        <w:tc>
          <w:tcPr>
            <w:tcW w:w="2927" w:type="dxa"/>
            <w:shd w:val="clear" w:color="auto" w:fill="auto"/>
            <w:tcMar>
              <w:top w:w="72" w:type="dxa"/>
              <w:left w:w="144" w:type="dxa"/>
              <w:bottom w:w="72" w:type="dxa"/>
              <w:right w:w="144" w:type="dxa"/>
            </w:tcMar>
          </w:tcPr>
          <w:p w14:paraId="46740D6E" w14:textId="77777777" w:rsidR="001C0957" w:rsidRPr="009B3120" w:rsidRDefault="001C0957" w:rsidP="009B3120">
            <w:pPr>
              <w:pStyle w:val="NormalWeb"/>
              <w:spacing w:before="0" w:beforeAutospacing="0" w:after="0" w:afterAutospacing="0"/>
              <w:textAlignment w:val="baseline"/>
              <w:rPr>
                <w:sz w:val="22"/>
                <w:szCs w:val="22"/>
              </w:rPr>
            </w:pPr>
            <w:r w:rsidRPr="009B3120">
              <w:rPr>
                <w:color w:val="000000" w:themeColor="text1"/>
                <w:kern w:val="24"/>
                <w:sz w:val="22"/>
                <w:szCs w:val="22"/>
                <w:lang w:val="en-US"/>
              </w:rPr>
              <w:t>Establishment of the DHA Contact Centre (2015/16)</w:t>
            </w:r>
          </w:p>
        </w:tc>
        <w:tc>
          <w:tcPr>
            <w:tcW w:w="1839" w:type="dxa"/>
            <w:shd w:val="clear" w:color="auto" w:fill="auto"/>
            <w:tcMar>
              <w:top w:w="72" w:type="dxa"/>
              <w:left w:w="144" w:type="dxa"/>
              <w:bottom w:w="72" w:type="dxa"/>
              <w:right w:w="144" w:type="dxa"/>
            </w:tcMar>
          </w:tcPr>
          <w:p w14:paraId="6D342221" w14:textId="77777777" w:rsidR="001C0957" w:rsidRPr="009B3120" w:rsidRDefault="001C0957" w:rsidP="009B3120">
            <w:pPr>
              <w:pStyle w:val="NormalWeb"/>
              <w:spacing w:before="0" w:beforeAutospacing="0" w:after="0" w:afterAutospacing="0"/>
              <w:textAlignment w:val="baseline"/>
              <w:rPr>
                <w:sz w:val="22"/>
                <w:szCs w:val="22"/>
              </w:rPr>
            </w:pPr>
            <w:r w:rsidRPr="009B3120">
              <w:rPr>
                <w:color w:val="000000" w:themeColor="text1"/>
                <w:kern w:val="24"/>
                <w:sz w:val="22"/>
                <w:szCs w:val="22"/>
              </w:rPr>
              <w:t>-</w:t>
            </w:r>
          </w:p>
        </w:tc>
        <w:tc>
          <w:tcPr>
            <w:tcW w:w="3610" w:type="dxa"/>
            <w:shd w:val="clear" w:color="auto" w:fill="auto"/>
            <w:tcMar>
              <w:top w:w="72" w:type="dxa"/>
              <w:left w:w="144" w:type="dxa"/>
              <w:bottom w:w="72" w:type="dxa"/>
              <w:right w:w="144" w:type="dxa"/>
            </w:tcMar>
          </w:tcPr>
          <w:p w14:paraId="040E3EC8" w14:textId="77777777" w:rsidR="001C0957" w:rsidRPr="009B3120" w:rsidRDefault="001C0957" w:rsidP="009B3120">
            <w:pPr>
              <w:rPr>
                <w:rFonts w:ascii="Times New Roman" w:hAnsi="Times New Roman"/>
                <w:sz w:val="22"/>
                <w:szCs w:val="22"/>
              </w:rPr>
            </w:pPr>
            <w:r w:rsidRPr="009B3120">
              <w:rPr>
                <w:rFonts w:ascii="Times New Roman" w:hAnsi="Times New Roman"/>
                <w:sz w:val="22"/>
                <w:szCs w:val="22"/>
              </w:rPr>
              <w:t>Achieved in previous cycle.</w:t>
            </w:r>
          </w:p>
        </w:tc>
      </w:tr>
    </w:tbl>
    <w:p w14:paraId="45A181EB" w14:textId="77777777" w:rsidR="009B3120" w:rsidRDefault="009B3120" w:rsidP="00122B1D">
      <w:pPr>
        <w:spacing w:line="360" w:lineRule="auto"/>
        <w:jc w:val="both"/>
        <w:rPr>
          <w:rFonts w:ascii="Times New Roman" w:hAnsi="Times New Roman"/>
          <w:bCs/>
          <w:sz w:val="24"/>
          <w:szCs w:val="24"/>
        </w:rPr>
      </w:pPr>
    </w:p>
    <w:p w14:paraId="6001EC43" w14:textId="77777777" w:rsidR="00122B1D" w:rsidRDefault="00122B1D" w:rsidP="00122B1D">
      <w:pPr>
        <w:spacing w:line="360" w:lineRule="auto"/>
        <w:jc w:val="both"/>
        <w:rPr>
          <w:rFonts w:ascii="Times New Roman" w:hAnsi="Times New Roman"/>
          <w:bCs/>
          <w:sz w:val="24"/>
          <w:szCs w:val="24"/>
        </w:rPr>
      </w:pPr>
      <w:r>
        <w:rPr>
          <w:rFonts w:ascii="Times New Roman" w:hAnsi="Times New Roman"/>
          <w:bCs/>
          <w:sz w:val="24"/>
          <w:szCs w:val="24"/>
        </w:rPr>
        <w:t>The following were reported in terms of p</w:t>
      </w:r>
      <w:r w:rsidRPr="00122B1D">
        <w:rPr>
          <w:rFonts w:ascii="Times New Roman" w:hAnsi="Times New Roman"/>
          <w:bCs/>
          <w:sz w:val="24"/>
          <w:szCs w:val="24"/>
        </w:rPr>
        <w:t>rogress on M</w:t>
      </w:r>
      <w:r>
        <w:rPr>
          <w:rFonts w:ascii="Times New Roman" w:hAnsi="Times New Roman"/>
          <w:bCs/>
          <w:sz w:val="24"/>
          <w:szCs w:val="24"/>
        </w:rPr>
        <w:t xml:space="preserve">edium </w:t>
      </w:r>
      <w:r w:rsidRPr="00122B1D">
        <w:rPr>
          <w:rFonts w:ascii="Times New Roman" w:hAnsi="Times New Roman"/>
          <w:bCs/>
          <w:sz w:val="24"/>
          <w:szCs w:val="24"/>
        </w:rPr>
        <w:t>T</w:t>
      </w:r>
      <w:r>
        <w:rPr>
          <w:rFonts w:ascii="Times New Roman" w:hAnsi="Times New Roman"/>
          <w:bCs/>
          <w:sz w:val="24"/>
          <w:szCs w:val="24"/>
        </w:rPr>
        <w:t xml:space="preserve">erm </w:t>
      </w:r>
      <w:r w:rsidRPr="00122B1D">
        <w:rPr>
          <w:rFonts w:ascii="Times New Roman" w:hAnsi="Times New Roman"/>
          <w:bCs/>
          <w:sz w:val="24"/>
          <w:szCs w:val="24"/>
        </w:rPr>
        <w:t>S</w:t>
      </w:r>
      <w:r>
        <w:rPr>
          <w:rFonts w:ascii="Times New Roman" w:hAnsi="Times New Roman"/>
          <w:bCs/>
          <w:sz w:val="24"/>
          <w:szCs w:val="24"/>
        </w:rPr>
        <w:t xml:space="preserve">trategic </w:t>
      </w:r>
      <w:r w:rsidRPr="00122B1D">
        <w:rPr>
          <w:rFonts w:ascii="Times New Roman" w:hAnsi="Times New Roman"/>
          <w:bCs/>
          <w:sz w:val="24"/>
          <w:szCs w:val="24"/>
        </w:rPr>
        <w:t>F</w:t>
      </w:r>
      <w:r>
        <w:rPr>
          <w:rFonts w:ascii="Times New Roman" w:hAnsi="Times New Roman"/>
          <w:bCs/>
          <w:sz w:val="24"/>
          <w:szCs w:val="24"/>
        </w:rPr>
        <w:t>ramework</w:t>
      </w:r>
      <w:r w:rsidRPr="00122B1D">
        <w:rPr>
          <w:rFonts w:ascii="Times New Roman" w:hAnsi="Times New Roman"/>
          <w:bCs/>
          <w:sz w:val="24"/>
          <w:szCs w:val="24"/>
        </w:rPr>
        <w:t xml:space="preserve"> </w:t>
      </w:r>
      <w:r>
        <w:rPr>
          <w:rFonts w:ascii="Times New Roman" w:hAnsi="Times New Roman"/>
          <w:bCs/>
          <w:sz w:val="24"/>
          <w:szCs w:val="24"/>
        </w:rPr>
        <w:t>Outcomes for</w:t>
      </w:r>
      <w:r w:rsidRPr="00122B1D">
        <w:rPr>
          <w:rFonts w:ascii="Times New Roman" w:hAnsi="Times New Roman"/>
          <w:bCs/>
          <w:sz w:val="24"/>
          <w:szCs w:val="24"/>
        </w:rPr>
        <w:t xml:space="preserve"> 2014 to 2019</w:t>
      </w:r>
      <w:r>
        <w:rPr>
          <w:rFonts w:ascii="Times New Roman" w:hAnsi="Times New Roman"/>
          <w:bCs/>
          <w:sz w:val="24"/>
          <w:szCs w:val="24"/>
        </w:rPr>
        <w:t xml:space="preserve">: </w:t>
      </w:r>
    </w:p>
    <w:p w14:paraId="44D1A2A7" w14:textId="77777777" w:rsidR="00122B1D" w:rsidRDefault="00122B1D" w:rsidP="00122B1D">
      <w:pPr>
        <w:spacing w:line="360" w:lineRule="auto"/>
        <w:jc w:val="both"/>
        <w:rPr>
          <w:rFonts w:ascii="Times New Roman" w:hAnsi="Times New Roman"/>
          <w:bCs/>
          <w:sz w:val="24"/>
          <w:szCs w:val="24"/>
        </w:rPr>
      </w:pPr>
    </w:p>
    <w:p w14:paraId="3959B21E" w14:textId="77777777" w:rsidR="00BE77C5" w:rsidRDefault="00BE77C5" w:rsidP="00122B1D">
      <w:pPr>
        <w:spacing w:line="360" w:lineRule="auto"/>
        <w:jc w:val="both"/>
        <w:rPr>
          <w:rFonts w:ascii="Times New Roman" w:hAnsi="Times New Roman"/>
          <w:bCs/>
          <w:sz w:val="24"/>
          <w:szCs w:val="24"/>
        </w:rPr>
      </w:pPr>
      <w:r>
        <w:rPr>
          <w:rFonts w:ascii="Times New Roman" w:hAnsi="Times New Roman"/>
          <w:bCs/>
          <w:sz w:val="24"/>
          <w:szCs w:val="24"/>
        </w:rPr>
        <w:t xml:space="preserve">The DHA </w:t>
      </w:r>
      <w:r w:rsidR="00E914DB">
        <w:rPr>
          <w:rFonts w:ascii="Times New Roman" w:hAnsi="Times New Roman"/>
          <w:bCs/>
          <w:sz w:val="24"/>
          <w:szCs w:val="24"/>
        </w:rPr>
        <w:t>indicated</w:t>
      </w:r>
      <w:r>
        <w:rPr>
          <w:rFonts w:ascii="Times New Roman" w:hAnsi="Times New Roman"/>
          <w:bCs/>
          <w:sz w:val="24"/>
          <w:szCs w:val="24"/>
        </w:rPr>
        <w:t xml:space="preserve"> that the overall targets in the APP for 2019/20 had been reduced from 31 to 26 for the following reasons:</w:t>
      </w:r>
    </w:p>
    <w:p w14:paraId="4112ED62" w14:textId="77777777" w:rsidR="00BE77C5" w:rsidRDefault="00BE77C5" w:rsidP="001754B7">
      <w:pPr>
        <w:pStyle w:val="ListParagraph"/>
        <w:numPr>
          <w:ilvl w:val="0"/>
          <w:numId w:val="16"/>
        </w:numPr>
        <w:spacing w:line="360" w:lineRule="auto"/>
        <w:ind w:left="284" w:hanging="284"/>
        <w:jc w:val="both"/>
        <w:rPr>
          <w:rFonts w:ascii="Times New Roman" w:hAnsi="Times New Roman"/>
          <w:bCs/>
          <w:sz w:val="24"/>
          <w:szCs w:val="24"/>
        </w:rPr>
      </w:pPr>
      <w:r w:rsidRPr="00BE77C5">
        <w:rPr>
          <w:rFonts w:ascii="Times New Roman" w:hAnsi="Times New Roman"/>
          <w:bCs/>
          <w:sz w:val="24"/>
          <w:szCs w:val="24"/>
        </w:rPr>
        <w:t>The Request for</w:t>
      </w:r>
      <w:r w:rsidR="00E914DB">
        <w:rPr>
          <w:rFonts w:ascii="Times New Roman" w:hAnsi="Times New Roman"/>
          <w:bCs/>
          <w:sz w:val="24"/>
          <w:szCs w:val="24"/>
        </w:rPr>
        <w:t xml:space="preserve"> Proposal</w:t>
      </w:r>
      <w:r w:rsidRPr="00BE77C5">
        <w:rPr>
          <w:rFonts w:ascii="Times New Roman" w:hAnsi="Times New Roman"/>
          <w:bCs/>
          <w:sz w:val="24"/>
          <w:szCs w:val="24"/>
        </w:rPr>
        <w:t xml:space="preserve"> submitted to National Treasury for approval for Refugee Reception Centres) was removed from the APP due to funding constraints. One selected refugee reception centre with improved infrastructure was shifted to Property Management and placed in DHA Ops Plan and thus not allocated as earmarked funding in 2019/20.</w:t>
      </w:r>
    </w:p>
    <w:p w14:paraId="0E29A331" w14:textId="77777777" w:rsidR="00BE77C5" w:rsidRDefault="00BE77C5" w:rsidP="001754B7">
      <w:pPr>
        <w:pStyle w:val="ListParagraph"/>
        <w:numPr>
          <w:ilvl w:val="0"/>
          <w:numId w:val="16"/>
        </w:numPr>
        <w:spacing w:line="360" w:lineRule="auto"/>
        <w:ind w:left="284" w:hanging="284"/>
        <w:jc w:val="both"/>
        <w:rPr>
          <w:rFonts w:ascii="Times New Roman" w:hAnsi="Times New Roman"/>
          <w:bCs/>
          <w:sz w:val="24"/>
          <w:szCs w:val="24"/>
        </w:rPr>
      </w:pPr>
      <w:r w:rsidRPr="00BE77C5">
        <w:rPr>
          <w:rFonts w:ascii="Times New Roman" w:hAnsi="Times New Roman"/>
          <w:bCs/>
          <w:sz w:val="24"/>
          <w:szCs w:val="24"/>
        </w:rPr>
        <w:t>Three</w:t>
      </w:r>
      <w:r>
        <w:rPr>
          <w:rFonts w:ascii="Times New Roman" w:hAnsi="Times New Roman"/>
          <w:bCs/>
          <w:sz w:val="24"/>
          <w:szCs w:val="24"/>
        </w:rPr>
        <w:t xml:space="preserve"> selected ports of entry with</w:t>
      </w:r>
      <w:r w:rsidRPr="00BE77C5">
        <w:rPr>
          <w:rFonts w:ascii="Times New Roman" w:hAnsi="Times New Roman"/>
          <w:bCs/>
          <w:sz w:val="24"/>
          <w:szCs w:val="24"/>
        </w:rPr>
        <w:t xml:space="preserve"> improved infrastructure </w:t>
      </w:r>
      <w:r>
        <w:rPr>
          <w:rFonts w:ascii="Times New Roman" w:hAnsi="Times New Roman"/>
          <w:bCs/>
          <w:sz w:val="24"/>
          <w:szCs w:val="24"/>
        </w:rPr>
        <w:t>were also</w:t>
      </w:r>
      <w:r w:rsidRPr="00BE77C5">
        <w:rPr>
          <w:rFonts w:ascii="Times New Roman" w:hAnsi="Times New Roman"/>
          <w:bCs/>
          <w:sz w:val="24"/>
          <w:szCs w:val="24"/>
        </w:rPr>
        <w:t xml:space="preserve"> shifted to Property Management and placed in DHA Op</w:t>
      </w:r>
      <w:r w:rsidR="00EB30C8">
        <w:rPr>
          <w:rFonts w:ascii="Times New Roman" w:hAnsi="Times New Roman"/>
          <w:bCs/>
          <w:sz w:val="24"/>
          <w:szCs w:val="24"/>
        </w:rPr>
        <w:t>erations</w:t>
      </w:r>
      <w:r w:rsidRPr="00BE77C5">
        <w:rPr>
          <w:rFonts w:ascii="Times New Roman" w:hAnsi="Times New Roman"/>
          <w:bCs/>
          <w:sz w:val="24"/>
          <w:szCs w:val="24"/>
        </w:rPr>
        <w:t xml:space="preserve"> Plan and thus not allocated as earmarked funding in 19/20.</w:t>
      </w:r>
    </w:p>
    <w:p w14:paraId="6E66596D" w14:textId="77777777" w:rsidR="00BE77C5" w:rsidRDefault="00BE77C5" w:rsidP="001754B7">
      <w:pPr>
        <w:pStyle w:val="ListParagraph"/>
        <w:numPr>
          <w:ilvl w:val="0"/>
          <w:numId w:val="16"/>
        </w:numPr>
        <w:spacing w:line="360" w:lineRule="auto"/>
        <w:ind w:left="284" w:hanging="284"/>
        <w:jc w:val="both"/>
        <w:rPr>
          <w:rFonts w:ascii="Times New Roman" w:hAnsi="Times New Roman"/>
          <w:bCs/>
          <w:sz w:val="24"/>
          <w:szCs w:val="24"/>
        </w:rPr>
      </w:pPr>
      <w:r w:rsidRPr="00BE77C5">
        <w:rPr>
          <w:rFonts w:ascii="Times New Roman" w:hAnsi="Times New Roman"/>
          <w:bCs/>
          <w:sz w:val="24"/>
          <w:szCs w:val="24"/>
        </w:rPr>
        <w:t>Integrated Border Management Strategy (IBMS)</w:t>
      </w:r>
      <w:r>
        <w:rPr>
          <w:rFonts w:ascii="Times New Roman" w:hAnsi="Times New Roman"/>
          <w:bCs/>
          <w:sz w:val="24"/>
          <w:szCs w:val="24"/>
        </w:rPr>
        <w:t xml:space="preserve"> was</w:t>
      </w:r>
      <w:r w:rsidRPr="00BE77C5">
        <w:rPr>
          <w:rFonts w:ascii="Times New Roman" w:hAnsi="Times New Roman"/>
          <w:bCs/>
          <w:sz w:val="24"/>
          <w:szCs w:val="24"/>
        </w:rPr>
        <w:t xml:space="preserve"> p</w:t>
      </w:r>
      <w:r w:rsidR="00EB30C8">
        <w:rPr>
          <w:rFonts w:ascii="Times New Roman" w:hAnsi="Times New Roman"/>
          <w:bCs/>
          <w:sz w:val="24"/>
          <w:szCs w:val="24"/>
        </w:rPr>
        <w:t>laced in DHA Operations</w:t>
      </w:r>
      <w:r>
        <w:rPr>
          <w:rFonts w:ascii="Times New Roman" w:hAnsi="Times New Roman"/>
          <w:bCs/>
          <w:sz w:val="24"/>
          <w:szCs w:val="24"/>
        </w:rPr>
        <w:t xml:space="preserve"> Plan and </w:t>
      </w:r>
      <w:r w:rsidRPr="00BE77C5">
        <w:rPr>
          <w:rFonts w:ascii="Times New Roman" w:hAnsi="Times New Roman"/>
          <w:bCs/>
          <w:sz w:val="24"/>
          <w:szCs w:val="24"/>
        </w:rPr>
        <w:t xml:space="preserve">implementation </w:t>
      </w:r>
      <w:r>
        <w:rPr>
          <w:rFonts w:ascii="Times New Roman" w:hAnsi="Times New Roman"/>
          <w:bCs/>
          <w:sz w:val="24"/>
          <w:szCs w:val="24"/>
        </w:rPr>
        <w:t>is underway but with</w:t>
      </w:r>
      <w:r w:rsidRPr="00BE77C5">
        <w:rPr>
          <w:rFonts w:ascii="Times New Roman" w:hAnsi="Times New Roman"/>
          <w:bCs/>
          <w:sz w:val="24"/>
          <w:szCs w:val="24"/>
        </w:rPr>
        <w:t xml:space="preserve"> numerous dependencies.</w:t>
      </w:r>
    </w:p>
    <w:p w14:paraId="6781A780" w14:textId="77777777" w:rsidR="00BE77C5" w:rsidRDefault="00BE77C5" w:rsidP="001754B7">
      <w:pPr>
        <w:pStyle w:val="ListParagraph"/>
        <w:numPr>
          <w:ilvl w:val="0"/>
          <w:numId w:val="16"/>
        </w:numPr>
        <w:spacing w:line="360" w:lineRule="auto"/>
        <w:ind w:left="284" w:hanging="284"/>
        <w:jc w:val="both"/>
        <w:rPr>
          <w:rFonts w:ascii="Times New Roman" w:hAnsi="Times New Roman"/>
          <w:bCs/>
          <w:sz w:val="24"/>
          <w:szCs w:val="24"/>
        </w:rPr>
      </w:pPr>
      <w:r>
        <w:rPr>
          <w:rFonts w:ascii="Times New Roman" w:hAnsi="Times New Roman"/>
          <w:bCs/>
          <w:sz w:val="24"/>
          <w:szCs w:val="24"/>
        </w:rPr>
        <w:t xml:space="preserve">The Passport indicator experienced a </w:t>
      </w:r>
      <w:r w:rsidRPr="00BE77C5">
        <w:rPr>
          <w:rFonts w:ascii="Times New Roman" w:hAnsi="Times New Roman"/>
          <w:bCs/>
          <w:sz w:val="24"/>
          <w:szCs w:val="24"/>
        </w:rPr>
        <w:t>change</w:t>
      </w:r>
      <w:r>
        <w:rPr>
          <w:rFonts w:ascii="Times New Roman" w:hAnsi="Times New Roman"/>
          <w:bCs/>
          <w:sz w:val="24"/>
          <w:szCs w:val="24"/>
        </w:rPr>
        <w:t>d</w:t>
      </w:r>
      <w:r w:rsidRPr="00BE77C5">
        <w:rPr>
          <w:rFonts w:ascii="Times New Roman" w:hAnsi="Times New Roman"/>
          <w:bCs/>
          <w:sz w:val="24"/>
          <w:szCs w:val="24"/>
        </w:rPr>
        <w:t xml:space="preserve"> formulation due to insertion of parent’s details in child passports and </w:t>
      </w:r>
      <w:r>
        <w:rPr>
          <w:rFonts w:ascii="Times New Roman" w:hAnsi="Times New Roman"/>
          <w:bCs/>
          <w:sz w:val="24"/>
          <w:szCs w:val="24"/>
        </w:rPr>
        <w:t xml:space="preserve">is </w:t>
      </w:r>
      <w:r w:rsidRPr="00BE77C5">
        <w:rPr>
          <w:rFonts w:ascii="Times New Roman" w:hAnsi="Times New Roman"/>
          <w:bCs/>
          <w:sz w:val="24"/>
          <w:szCs w:val="24"/>
        </w:rPr>
        <w:t>focus now on adult passports in APP.</w:t>
      </w:r>
    </w:p>
    <w:p w14:paraId="7403D1E8" w14:textId="77777777" w:rsidR="00EB30C8" w:rsidRDefault="00EB30C8" w:rsidP="001754B7">
      <w:pPr>
        <w:pStyle w:val="ListParagraph"/>
        <w:numPr>
          <w:ilvl w:val="0"/>
          <w:numId w:val="16"/>
        </w:numPr>
        <w:spacing w:line="360" w:lineRule="auto"/>
        <w:ind w:left="284" w:hanging="284"/>
        <w:jc w:val="both"/>
        <w:rPr>
          <w:rFonts w:ascii="Times New Roman" w:hAnsi="Times New Roman"/>
          <w:bCs/>
          <w:sz w:val="24"/>
          <w:szCs w:val="24"/>
        </w:rPr>
      </w:pPr>
      <w:r>
        <w:rPr>
          <w:rFonts w:ascii="Times New Roman" w:hAnsi="Times New Roman"/>
          <w:bCs/>
          <w:sz w:val="24"/>
          <w:szCs w:val="24"/>
        </w:rPr>
        <w:lastRenderedPageBreak/>
        <w:t>N</w:t>
      </w:r>
      <w:r w:rsidRPr="00BE77C5">
        <w:rPr>
          <w:rFonts w:ascii="Times New Roman" w:hAnsi="Times New Roman"/>
          <w:bCs/>
          <w:sz w:val="24"/>
          <w:szCs w:val="24"/>
        </w:rPr>
        <w:t xml:space="preserve">ew target added </w:t>
      </w:r>
      <w:r>
        <w:rPr>
          <w:rFonts w:ascii="Times New Roman" w:hAnsi="Times New Roman"/>
          <w:bCs/>
          <w:sz w:val="24"/>
          <w:szCs w:val="24"/>
        </w:rPr>
        <w:t xml:space="preserve">of </w:t>
      </w:r>
      <w:r w:rsidR="00E914DB">
        <w:rPr>
          <w:rFonts w:ascii="Times New Roman" w:hAnsi="Times New Roman"/>
          <w:bCs/>
          <w:sz w:val="24"/>
          <w:szCs w:val="24"/>
        </w:rPr>
        <w:t>Official Identity Management</w:t>
      </w:r>
      <w:r w:rsidR="00BE77C5" w:rsidRPr="00BE77C5">
        <w:rPr>
          <w:rFonts w:ascii="Times New Roman" w:hAnsi="Times New Roman"/>
          <w:bCs/>
          <w:sz w:val="24"/>
          <w:szCs w:val="24"/>
        </w:rPr>
        <w:t xml:space="preserve"> Policy </w:t>
      </w:r>
      <w:r>
        <w:rPr>
          <w:rFonts w:ascii="Times New Roman" w:hAnsi="Times New Roman"/>
          <w:bCs/>
          <w:sz w:val="24"/>
          <w:szCs w:val="24"/>
        </w:rPr>
        <w:t>to be</w:t>
      </w:r>
      <w:r w:rsidR="00BE77C5" w:rsidRPr="00BE77C5">
        <w:rPr>
          <w:rFonts w:ascii="Times New Roman" w:hAnsi="Times New Roman"/>
          <w:bCs/>
          <w:sz w:val="24"/>
          <w:szCs w:val="24"/>
        </w:rPr>
        <w:t xml:space="preserve"> submitted to Cabinet for approval for public consultation </w:t>
      </w:r>
    </w:p>
    <w:p w14:paraId="5198AD83" w14:textId="77777777" w:rsidR="00BE77C5" w:rsidRDefault="00BE77C5" w:rsidP="001754B7">
      <w:pPr>
        <w:pStyle w:val="ListParagraph"/>
        <w:numPr>
          <w:ilvl w:val="0"/>
          <w:numId w:val="16"/>
        </w:numPr>
        <w:spacing w:line="360" w:lineRule="auto"/>
        <w:ind w:left="284" w:hanging="284"/>
        <w:jc w:val="both"/>
        <w:rPr>
          <w:rFonts w:ascii="Times New Roman" w:hAnsi="Times New Roman"/>
          <w:bCs/>
          <w:sz w:val="24"/>
          <w:szCs w:val="24"/>
        </w:rPr>
      </w:pPr>
      <w:r w:rsidRPr="00EB30C8">
        <w:rPr>
          <w:rFonts w:ascii="Times New Roman" w:hAnsi="Times New Roman"/>
          <w:bCs/>
          <w:sz w:val="24"/>
          <w:szCs w:val="24"/>
        </w:rPr>
        <w:t xml:space="preserve">Target on networks Architecture Design and Investment Plan </w:t>
      </w:r>
      <w:r w:rsidR="00EB30C8">
        <w:rPr>
          <w:rFonts w:ascii="Times New Roman" w:hAnsi="Times New Roman"/>
          <w:bCs/>
          <w:sz w:val="24"/>
          <w:szCs w:val="24"/>
        </w:rPr>
        <w:t xml:space="preserve">was </w:t>
      </w:r>
      <w:r w:rsidRPr="00EB30C8">
        <w:rPr>
          <w:rFonts w:ascii="Times New Roman" w:hAnsi="Times New Roman"/>
          <w:bCs/>
          <w:sz w:val="24"/>
          <w:szCs w:val="24"/>
        </w:rPr>
        <w:t xml:space="preserve">placed in DHA </w:t>
      </w:r>
      <w:r w:rsidR="00EB30C8">
        <w:rPr>
          <w:rFonts w:ascii="Times New Roman" w:hAnsi="Times New Roman"/>
          <w:bCs/>
          <w:sz w:val="24"/>
          <w:szCs w:val="24"/>
        </w:rPr>
        <w:t>Operations</w:t>
      </w:r>
      <w:r w:rsidRPr="00EB30C8">
        <w:rPr>
          <w:rFonts w:ascii="Times New Roman" w:hAnsi="Times New Roman"/>
          <w:bCs/>
          <w:sz w:val="24"/>
          <w:szCs w:val="24"/>
        </w:rPr>
        <w:t xml:space="preserve"> Plan</w:t>
      </w:r>
      <w:r w:rsidR="00EB30C8">
        <w:rPr>
          <w:rFonts w:ascii="Times New Roman" w:hAnsi="Times New Roman"/>
          <w:bCs/>
          <w:sz w:val="24"/>
          <w:szCs w:val="24"/>
        </w:rPr>
        <w:t>.</w:t>
      </w:r>
    </w:p>
    <w:p w14:paraId="69455AB8" w14:textId="77777777" w:rsidR="00EB30C8" w:rsidRDefault="00EB30C8" w:rsidP="00EB30C8">
      <w:pPr>
        <w:spacing w:line="360" w:lineRule="auto"/>
        <w:jc w:val="both"/>
        <w:rPr>
          <w:rFonts w:ascii="Times New Roman" w:hAnsi="Times New Roman"/>
          <w:bCs/>
          <w:sz w:val="24"/>
          <w:szCs w:val="24"/>
        </w:rPr>
      </w:pPr>
    </w:p>
    <w:p w14:paraId="24B646C5" w14:textId="77777777" w:rsidR="00905321" w:rsidRDefault="00905321" w:rsidP="00EB30C8">
      <w:pPr>
        <w:spacing w:line="360" w:lineRule="auto"/>
        <w:jc w:val="both"/>
        <w:rPr>
          <w:rFonts w:ascii="Times New Roman" w:hAnsi="Times New Roman"/>
          <w:bCs/>
          <w:sz w:val="24"/>
          <w:szCs w:val="24"/>
        </w:rPr>
      </w:pPr>
      <w:r>
        <w:rPr>
          <w:rFonts w:ascii="Times New Roman" w:hAnsi="Times New Roman"/>
          <w:bCs/>
          <w:sz w:val="24"/>
          <w:szCs w:val="24"/>
        </w:rPr>
        <w:t>The DHA indicated the following</w:t>
      </w:r>
      <w:r w:rsidR="00EC1F04">
        <w:rPr>
          <w:rFonts w:ascii="Times New Roman" w:hAnsi="Times New Roman"/>
          <w:bCs/>
          <w:sz w:val="24"/>
          <w:szCs w:val="24"/>
        </w:rPr>
        <w:t xml:space="preserve"> 2019/20 annual</w:t>
      </w:r>
      <w:r>
        <w:rPr>
          <w:rFonts w:ascii="Times New Roman" w:hAnsi="Times New Roman"/>
          <w:bCs/>
          <w:sz w:val="24"/>
          <w:szCs w:val="24"/>
        </w:rPr>
        <w:t xml:space="preserve"> targets summarised by budget programme/branch:</w:t>
      </w:r>
    </w:p>
    <w:p w14:paraId="7FC5CC0E" w14:textId="77777777" w:rsidR="00905321" w:rsidRPr="00C56099" w:rsidRDefault="00905321" w:rsidP="001754B7">
      <w:pPr>
        <w:pStyle w:val="ListParagraph"/>
        <w:numPr>
          <w:ilvl w:val="0"/>
          <w:numId w:val="18"/>
        </w:numPr>
        <w:spacing w:line="360" w:lineRule="auto"/>
        <w:ind w:left="284" w:hanging="142"/>
        <w:jc w:val="both"/>
        <w:rPr>
          <w:rFonts w:ascii="Times New Roman" w:hAnsi="Times New Roman"/>
          <w:b/>
          <w:bCs/>
          <w:sz w:val="28"/>
          <w:szCs w:val="28"/>
        </w:rPr>
      </w:pPr>
      <w:r w:rsidRPr="00C56099">
        <w:rPr>
          <w:rFonts w:ascii="Times New Roman" w:hAnsi="Times New Roman"/>
          <w:b/>
          <w:bCs/>
          <w:sz w:val="28"/>
          <w:szCs w:val="28"/>
        </w:rPr>
        <w:t>Administration</w:t>
      </w:r>
      <w:r w:rsidR="00EB30C8" w:rsidRPr="00C56099">
        <w:rPr>
          <w:rFonts w:ascii="Times New Roman" w:hAnsi="Times New Roman"/>
          <w:b/>
          <w:bCs/>
          <w:sz w:val="28"/>
          <w:szCs w:val="28"/>
        </w:rPr>
        <w:t xml:space="preserve"> Services Targets</w:t>
      </w:r>
    </w:p>
    <w:p w14:paraId="623222C7" w14:textId="77777777" w:rsidR="00905321" w:rsidRPr="00905321" w:rsidRDefault="00905321" w:rsidP="001754B7">
      <w:pPr>
        <w:numPr>
          <w:ilvl w:val="0"/>
          <w:numId w:val="20"/>
        </w:numPr>
        <w:spacing w:line="360" w:lineRule="auto"/>
        <w:ind w:left="709" w:hanging="436"/>
        <w:jc w:val="both"/>
        <w:rPr>
          <w:rFonts w:ascii="Times New Roman" w:hAnsi="Times New Roman"/>
          <w:bCs/>
          <w:sz w:val="24"/>
          <w:szCs w:val="24"/>
        </w:rPr>
      </w:pPr>
      <w:r w:rsidRPr="00905321">
        <w:rPr>
          <w:rFonts w:ascii="Times New Roman" w:hAnsi="Times New Roman"/>
          <w:bCs/>
          <w:sz w:val="24"/>
          <w:szCs w:val="24"/>
        </w:rPr>
        <w:t>NIS developed in respect of: Request for Proposal published</w:t>
      </w:r>
    </w:p>
    <w:p w14:paraId="386D2980" w14:textId="77777777" w:rsidR="00905321" w:rsidRPr="00905321" w:rsidRDefault="00905321" w:rsidP="001754B7">
      <w:pPr>
        <w:numPr>
          <w:ilvl w:val="0"/>
          <w:numId w:val="20"/>
        </w:numPr>
        <w:spacing w:line="360" w:lineRule="auto"/>
        <w:ind w:left="709" w:hanging="436"/>
        <w:jc w:val="both"/>
        <w:rPr>
          <w:rFonts w:ascii="Times New Roman" w:hAnsi="Times New Roman"/>
          <w:bCs/>
          <w:sz w:val="24"/>
          <w:szCs w:val="24"/>
        </w:rPr>
      </w:pPr>
      <w:r w:rsidRPr="00905321">
        <w:rPr>
          <w:rFonts w:ascii="Times New Roman" w:hAnsi="Times New Roman"/>
          <w:bCs/>
          <w:sz w:val="24"/>
          <w:szCs w:val="24"/>
        </w:rPr>
        <w:t xml:space="preserve">Biometric MCS (full biometric solution) piloted at </w:t>
      </w:r>
      <w:r>
        <w:rPr>
          <w:rFonts w:ascii="Times New Roman" w:hAnsi="Times New Roman"/>
          <w:bCs/>
          <w:sz w:val="24"/>
          <w:szCs w:val="24"/>
        </w:rPr>
        <w:t xml:space="preserve">additional 2 ports of entry </w:t>
      </w:r>
    </w:p>
    <w:p w14:paraId="4EDDDAFB" w14:textId="77777777" w:rsidR="00905321" w:rsidRPr="00905321" w:rsidRDefault="00905321" w:rsidP="001754B7">
      <w:pPr>
        <w:numPr>
          <w:ilvl w:val="0"/>
          <w:numId w:val="20"/>
        </w:numPr>
        <w:spacing w:line="360" w:lineRule="auto"/>
        <w:ind w:left="709" w:hanging="436"/>
        <w:jc w:val="both"/>
        <w:rPr>
          <w:rFonts w:ascii="Times New Roman" w:hAnsi="Times New Roman"/>
          <w:bCs/>
          <w:sz w:val="24"/>
          <w:szCs w:val="24"/>
        </w:rPr>
      </w:pPr>
      <w:r w:rsidRPr="00905321">
        <w:rPr>
          <w:rFonts w:ascii="Times New Roman" w:hAnsi="Times New Roman"/>
          <w:bCs/>
          <w:sz w:val="24"/>
          <w:szCs w:val="24"/>
        </w:rPr>
        <w:t>E-gate</w:t>
      </w:r>
      <w:r>
        <w:rPr>
          <w:rFonts w:ascii="Times New Roman" w:hAnsi="Times New Roman"/>
          <w:bCs/>
          <w:sz w:val="24"/>
          <w:szCs w:val="24"/>
        </w:rPr>
        <w:t xml:space="preserve"> piloted at 1 port of entry </w:t>
      </w:r>
    </w:p>
    <w:p w14:paraId="3026B3F7" w14:textId="77777777" w:rsidR="00905321" w:rsidRPr="00905321" w:rsidRDefault="00905321" w:rsidP="001754B7">
      <w:pPr>
        <w:numPr>
          <w:ilvl w:val="0"/>
          <w:numId w:val="20"/>
        </w:numPr>
        <w:spacing w:line="360" w:lineRule="auto"/>
        <w:ind w:left="709" w:hanging="436"/>
        <w:jc w:val="both"/>
        <w:rPr>
          <w:rFonts w:ascii="Times New Roman" w:hAnsi="Times New Roman"/>
          <w:bCs/>
          <w:sz w:val="24"/>
          <w:szCs w:val="24"/>
        </w:rPr>
      </w:pPr>
      <w:r w:rsidRPr="00905321">
        <w:rPr>
          <w:rFonts w:ascii="Times New Roman" w:hAnsi="Times New Roman"/>
          <w:bCs/>
          <w:sz w:val="24"/>
          <w:szCs w:val="24"/>
        </w:rPr>
        <w:t>E-permit system (phase 1</w:t>
      </w:r>
      <w:r>
        <w:rPr>
          <w:rFonts w:ascii="Times New Roman" w:hAnsi="Times New Roman"/>
          <w:bCs/>
          <w:sz w:val="24"/>
          <w:szCs w:val="24"/>
        </w:rPr>
        <w:t xml:space="preserve">) rolled out to 6 missions </w:t>
      </w:r>
    </w:p>
    <w:p w14:paraId="57D2C9F8" w14:textId="77777777" w:rsidR="00905321" w:rsidRPr="00905321" w:rsidRDefault="00905321" w:rsidP="001754B7">
      <w:pPr>
        <w:numPr>
          <w:ilvl w:val="0"/>
          <w:numId w:val="20"/>
        </w:numPr>
        <w:spacing w:line="360" w:lineRule="auto"/>
        <w:ind w:left="709" w:hanging="436"/>
        <w:jc w:val="both"/>
        <w:rPr>
          <w:rFonts w:ascii="Times New Roman" w:hAnsi="Times New Roman"/>
          <w:bCs/>
          <w:sz w:val="24"/>
          <w:szCs w:val="24"/>
        </w:rPr>
      </w:pPr>
      <w:r w:rsidRPr="00905321">
        <w:rPr>
          <w:rFonts w:ascii="Times New Roman" w:hAnsi="Times New Roman"/>
          <w:bCs/>
          <w:sz w:val="24"/>
          <w:szCs w:val="24"/>
        </w:rPr>
        <w:t xml:space="preserve">500 </w:t>
      </w:r>
      <w:r>
        <w:rPr>
          <w:rFonts w:ascii="Times New Roman" w:hAnsi="Times New Roman"/>
          <w:bCs/>
          <w:sz w:val="24"/>
          <w:szCs w:val="24"/>
          <w:lang w:val="en-US"/>
        </w:rPr>
        <w:t xml:space="preserve">managers </w:t>
      </w:r>
      <w:r w:rsidRPr="00905321">
        <w:rPr>
          <w:rFonts w:ascii="Times New Roman" w:hAnsi="Times New Roman"/>
          <w:bCs/>
          <w:sz w:val="24"/>
          <w:szCs w:val="24"/>
          <w:lang w:val="en-US"/>
        </w:rPr>
        <w:t xml:space="preserve">trained in leadership and </w:t>
      </w:r>
      <w:r w:rsidR="00025457">
        <w:rPr>
          <w:rFonts w:ascii="Times New Roman" w:hAnsi="Times New Roman"/>
          <w:bCs/>
          <w:sz w:val="24"/>
          <w:szCs w:val="24"/>
          <w:lang w:val="en-US"/>
        </w:rPr>
        <w:t>management development program</w:t>
      </w:r>
      <w:r w:rsidRPr="00905321">
        <w:rPr>
          <w:rFonts w:ascii="Times New Roman" w:hAnsi="Times New Roman"/>
          <w:bCs/>
          <w:sz w:val="24"/>
          <w:szCs w:val="24"/>
          <w:lang w:val="en-US"/>
        </w:rPr>
        <w:t>s</w:t>
      </w:r>
    </w:p>
    <w:p w14:paraId="4C9B149F" w14:textId="77777777" w:rsidR="00905321" w:rsidRPr="00905321" w:rsidRDefault="00905321" w:rsidP="001754B7">
      <w:pPr>
        <w:numPr>
          <w:ilvl w:val="0"/>
          <w:numId w:val="20"/>
        </w:numPr>
        <w:spacing w:line="360" w:lineRule="auto"/>
        <w:ind w:left="709" w:hanging="436"/>
        <w:jc w:val="both"/>
        <w:rPr>
          <w:rFonts w:ascii="Times New Roman" w:hAnsi="Times New Roman"/>
          <w:bCs/>
          <w:sz w:val="24"/>
          <w:szCs w:val="24"/>
        </w:rPr>
      </w:pPr>
      <w:r w:rsidRPr="00905321">
        <w:rPr>
          <w:rFonts w:ascii="Times New Roman" w:hAnsi="Times New Roman"/>
          <w:bCs/>
          <w:sz w:val="24"/>
          <w:szCs w:val="24"/>
          <w:lang w:val="en-US"/>
        </w:rPr>
        <w:t xml:space="preserve">Vacancy rate maintained at 10% or below </w:t>
      </w:r>
    </w:p>
    <w:p w14:paraId="7472F651" w14:textId="77777777" w:rsidR="00905321" w:rsidRPr="00905321" w:rsidRDefault="00905321" w:rsidP="001754B7">
      <w:pPr>
        <w:numPr>
          <w:ilvl w:val="0"/>
          <w:numId w:val="20"/>
        </w:numPr>
        <w:spacing w:line="360" w:lineRule="auto"/>
        <w:ind w:left="709" w:hanging="436"/>
        <w:jc w:val="both"/>
        <w:rPr>
          <w:rFonts w:ascii="Times New Roman" w:hAnsi="Times New Roman"/>
          <w:bCs/>
          <w:sz w:val="24"/>
          <w:szCs w:val="24"/>
        </w:rPr>
      </w:pPr>
      <w:r w:rsidRPr="00905321">
        <w:rPr>
          <w:rFonts w:ascii="Times New Roman" w:hAnsi="Times New Roman"/>
          <w:bCs/>
          <w:sz w:val="24"/>
          <w:szCs w:val="24"/>
        </w:rPr>
        <w:t xml:space="preserve">70% of reported misconduct cases submitted to a presiding officer for consideration </w:t>
      </w:r>
    </w:p>
    <w:p w14:paraId="79608A77" w14:textId="77777777" w:rsidR="00905321" w:rsidRPr="00905321" w:rsidRDefault="00905321" w:rsidP="001754B7">
      <w:pPr>
        <w:numPr>
          <w:ilvl w:val="0"/>
          <w:numId w:val="20"/>
        </w:numPr>
        <w:spacing w:line="360" w:lineRule="auto"/>
        <w:ind w:left="709" w:hanging="436"/>
        <w:jc w:val="both"/>
        <w:rPr>
          <w:rFonts w:ascii="Times New Roman" w:hAnsi="Times New Roman"/>
          <w:bCs/>
          <w:sz w:val="24"/>
          <w:szCs w:val="24"/>
        </w:rPr>
      </w:pPr>
      <w:r w:rsidRPr="00905321">
        <w:rPr>
          <w:rFonts w:ascii="Times New Roman" w:hAnsi="Times New Roman"/>
          <w:bCs/>
          <w:sz w:val="24"/>
          <w:szCs w:val="24"/>
        </w:rPr>
        <w:t>Official Identity Man</w:t>
      </w:r>
      <w:r>
        <w:rPr>
          <w:rFonts w:ascii="Times New Roman" w:hAnsi="Times New Roman"/>
          <w:bCs/>
          <w:sz w:val="24"/>
          <w:szCs w:val="24"/>
        </w:rPr>
        <w:t xml:space="preserve">agement Policy </w:t>
      </w:r>
      <w:r w:rsidRPr="00905321">
        <w:rPr>
          <w:rFonts w:ascii="Times New Roman" w:hAnsi="Times New Roman"/>
          <w:bCs/>
          <w:sz w:val="24"/>
          <w:szCs w:val="24"/>
        </w:rPr>
        <w:t xml:space="preserve">submitted to Cabinet for approval for public consultation </w:t>
      </w:r>
    </w:p>
    <w:p w14:paraId="07ACFFFA" w14:textId="77777777" w:rsidR="00905321" w:rsidRPr="00905321" w:rsidRDefault="00905321" w:rsidP="001754B7">
      <w:pPr>
        <w:numPr>
          <w:ilvl w:val="0"/>
          <w:numId w:val="20"/>
        </w:numPr>
        <w:spacing w:line="360" w:lineRule="auto"/>
        <w:ind w:left="709" w:hanging="436"/>
        <w:jc w:val="both"/>
        <w:rPr>
          <w:rFonts w:ascii="Times New Roman" w:hAnsi="Times New Roman"/>
          <w:bCs/>
          <w:sz w:val="24"/>
          <w:szCs w:val="24"/>
        </w:rPr>
      </w:pPr>
      <w:r w:rsidRPr="00905321">
        <w:rPr>
          <w:rFonts w:ascii="Times New Roman" w:hAnsi="Times New Roman"/>
          <w:bCs/>
          <w:sz w:val="24"/>
          <w:szCs w:val="24"/>
        </w:rPr>
        <w:t>Final draft of the DHA Bill submitted to Cabinet for approval for public consultation</w:t>
      </w:r>
    </w:p>
    <w:p w14:paraId="12E4E055" w14:textId="77777777" w:rsidR="00905321" w:rsidRDefault="00905321" w:rsidP="001754B7">
      <w:pPr>
        <w:numPr>
          <w:ilvl w:val="0"/>
          <w:numId w:val="20"/>
        </w:numPr>
        <w:spacing w:line="360" w:lineRule="auto"/>
        <w:ind w:left="709" w:hanging="436"/>
        <w:jc w:val="both"/>
        <w:rPr>
          <w:rFonts w:ascii="Times New Roman" w:hAnsi="Times New Roman"/>
          <w:bCs/>
          <w:sz w:val="24"/>
          <w:szCs w:val="24"/>
        </w:rPr>
      </w:pPr>
      <w:r w:rsidRPr="00905321">
        <w:rPr>
          <w:rFonts w:ascii="Times New Roman" w:hAnsi="Times New Roman"/>
          <w:bCs/>
          <w:sz w:val="24"/>
          <w:szCs w:val="24"/>
        </w:rPr>
        <w:t xml:space="preserve">Revised DHA Access Model approved by </w:t>
      </w:r>
      <w:r>
        <w:rPr>
          <w:rFonts w:ascii="Times New Roman" w:hAnsi="Times New Roman"/>
          <w:bCs/>
          <w:sz w:val="24"/>
          <w:szCs w:val="24"/>
        </w:rPr>
        <w:t xml:space="preserve">Minister’s Management Meeting </w:t>
      </w:r>
    </w:p>
    <w:p w14:paraId="717ECD6E" w14:textId="77777777" w:rsidR="00905321" w:rsidRPr="00905321" w:rsidRDefault="00905321" w:rsidP="001754B7">
      <w:pPr>
        <w:numPr>
          <w:ilvl w:val="0"/>
          <w:numId w:val="20"/>
        </w:numPr>
        <w:spacing w:line="360" w:lineRule="auto"/>
        <w:ind w:left="709" w:hanging="436"/>
        <w:jc w:val="both"/>
        <w:rPr>
          <w:rFonts w:ascii="Times New Roman" w:hAnsi="Times New Roman"/>
          <w:bCs/>
          <w:sz w:val="24"/>
          <w:szCs w:val="24"/>
        </w:rPr>
      </w:pPr>
      <w:r w:rsidRPr="00905321">
        <w:rPr>
          <w:rFonts w:ascii="Times New Roman" w:hAnsi="Times New Roman"/>
          <w:bCs/>
          <w:sz w:val="24"/>
          <w:szCs w:val="24"/>
        </w:rPr>
        <w:t xml:space="preserve">20 </w:t>
      </w:r>
      <w:r w:rsidRPr="00905321">
        <w:rPr>
          <w:rFonts w:ascii="Times New Roman" w:hAnsi="Times New Roman"/>
          <w:bCs/>
          <w:sz w:val="24"/>
          <w:szCs w:val="24"/>
          <w:lang w:val="en-US"/>
        </w:rPr>
        <w:t xml:space="preserve">awareness initiatives on ethics, fraud prevention &amp; counter corruption conducted </w:t>
      </w:r>
    </w:p>
    <w:p w14:paraId="289BE9C7" w14:textId="77777777" w:rsidR="00905321" w:rsidRPr="00905321" w:rsidRDefault="00905321" w:rsidP="001754B7">
      <w:pPr>
        <w:numPr>
          <w:ilvl w:val="0"/>
          <w:numId w:val="20"/>
        </w:numPr>
        <w:spacing w:line="360" w:lineRule="auto"/>
        <w:ind w:left="709" w:hanging="436"/>
        <w:jc w:val="both"/>
        <w:rPr>
          <w:rFonts w:ascii="Times New Roman" w:hAnsi="Times New Roman"/>
          <w:bCs/>
          <w:sz w:val="24"/>
          <w:szCs w:val="24"/>
        </w:rPr>
      </w:pPr>
      <w:r w:rsidRPr="00905321">
        <w:rPr>
          <w:rFonts w:ascii="Times New Roman" w:hAnsi="Times New Roman"/>
          <w:bCs/>
          <w:sz w:val="24"/>
          <w:szCs w:val="24"/>
        </w:rPr>
        <w:t xml:space="preserve">166% of </w:t>
      </w:r>
      <w:r>
        <w:rPr>
          <w:rFonts w:ascii="Times New Roman" w:hAnsi="Times New Roman"/>
          <w:bCs/>
          <w:sz w:val="24"/>
          <w:szCs w:val="24"/>
          <w:lang w:val="en-US"/>
        </w:rPr>
        <w:t xml:space="preserve">reported </w:t>
      </w:r>
      <w:r w:rsidRPr="00905321">
        <w:rPr>
          <w:rFonts w:ascii="Times New Roman" w:hAnsi="Times New Roman"/>
          <w:bCs/>
          <w:sz w:val="24"/>
          <w:szCs w:val="24"/>
          <w:lang w:val="en-US"/>
        </w:rPr>
        <w:t xml:space="preserve">cases on fraud &amp; corruption finalised within 90 working days </w:t>
      </w:r>
    </w:p>
    <w:p w14:paraId="006431AB" w14:textId="77777777" w:rsidR="00905321" w:rsidRPr="00905321" w:rsidRDefault="00905321" w:rsidP="001754B7">
      <w:pPr>
        <w:numPr>
          <w:ilvl w:val="0"/>
          <w:numId w:val="20"/>
        </w:numPr>
        <w:spacing w:line="360" w:lineRule="auto"/>
        <w:ind w:left="709" w:hanging="436"/>
        <w:jc w:val="both"/>
        <w:rPr>
          <w:rFonts w:ascii="Times New Roman" w:hAnsi="Times New Roman"/>
          <w:bCs/>
          <w:sz w:val="24"/>
          <w:szCs w:val="24"/>
        </w:rPr>
      </w:pPr>
      <w:r w:rsidRPr="00905321">
        <w:rPr>
          <w:rFonts w:ascii="Times New Roman" w:hAnsi="Times New Roman"/>
          <w:bCs/>
          <w:sz w:val="24"/>
          <w:szCs w:val="24"/>
          <w:lang w:val="en-US"/>
        </w:rPr>
        <w:t>6</w:t>
      </w:r>
      <w:r>
        <w:rPr>
          <w:rFonts w:ascii="Times New Roman" w:hAnsi="Times New Roman"/>
          <w:bCs/>
          <w:sz w:val="24"/>
          <w:szCs w:val="24"/>
          <w:lang w:val="en-US"/>
        </w:rPr>
        <w:t>0 Threat &amp; Risk Assessments</w:t>
      </w:r>
      <w:r w:rsidRPr="00905321">
        <w:rPr>
          <w:rFonts w:ascii="Times New Roman" w:hAnsi="Times New Roman"/>
          <w:bCs/>
          <w:sz w:val="24"/>
          <w:szCs w:val="24"/>
          <w:lang w:val="en-US"/>
        </w:rPr>
        <w:t xml:space="preserve"> conducted </w:t>
      </w:r>
    </w:p>
    <w:p w14:paraId="1ED20D58" w14:textId="77777777" w:rsidR="00905321" w:rsidRDefault="00905321" w:rsidP="001754B7">
      <w:pPr>
        <w:numPr>
          <w:ilvl w:val="0"/>
          <w:numId w:val="20"/>
        </w:numPr>
        <w:spacing w:line="360" w:lineRule="auto"/>
        <w:ind w:left="709" w:hanging="436"/>
        <w:jc w:val="both"/>
        <w:rPr>
          <w:rFonts w:ascii="Times New Roman" w:hAnsi="Times New Roman"/>
          <w:bCs/>
          <w:sz w:val="24"/>
          <w:szCs w:val="24"/>
        </w:rPr>
      </w:pPr>
      <w:r w:rsidRPr="00905321">
        <w:rPr>
          <w:rFonts w:ascii="Times New Roman" w:hAnsi="Times New Roman"/>
          <w:bCs/>
          <w:sz w:val="24"/>
          <w:szCs w:val="24"/>
        </w:rPr>
        <w:t xml:space="preserve">416 vetting files referred to SSA </w:t>
      </w:r>
    </w:p>
    <w:p w14:paraId="7B56A07D" w14:textId="77777777" w:rsidR="00EB30C8" w:rsidRPr="00EC1F04" w:rsidRDefault="00905321" w:rsidP="001754B7">
      <w:pPr>
        <w:numPr>
          <w:ilvl w:val="0"/>
          <w:numId w:val="20"/>
        </w:numPr>
        <w:spacing w:line="360" w:lineRule="auto"/>
        <w:ind w:left="709" w:hanging="436"/>
        <w:jc w:val="both"/>
        <w:rPr>
          <w:rFonts w:ascii="Times New Roman" w:hAnsi="Times New Roman"/>
          <w:bCs/>
          <w:sz w:val="24"/>
          <w:szCs w:val="24"/>
        </w:rPr>
      </w:pPr>
      <w:r w:rsidRPr="00905321">
        <w:rPr>
          <w:rFonts w:ascii="Times New Roman" w:hAnsi="Times New Roman"/>
          <w:bCs/>
          <w:sz w:val="24"/>
          <w:szCs w:val="24"/>
        </w:rPr>
        <w:t xml:space="preserve">Communication strategy &amp; action plan implemented – 28 media engagements, 3 campaigns and 6 izimbizo </w:t>
      </w:r>
    </w:p>
    <w:p w14:paraId="4557DA7D" w14:textId="77777777" w:rsidR="00EC1F04" w:rsidRPr="00C56099" w:rsidRDefault="00EC1F04" w:rsidP="001754B7">
      <w:pPr>
        <w:pStyle w:val="ListParagraph"/>
        <w:numPr>
          <w:ilvl w:val="0"/>
          <w:numId w:val="18"/>
        </w:numPr>
        <w:spacing w:line="360" w:lineRule="auto"/>
        <w:ind w:left="284" w:hanging="284"/>
        <w:jc w:val="both"/>
        <w:rPr>
          <w:rFonts w:ascii="Times New Roman" w:hAnsi="Times New Roman"/>
          <w:b/>
          <w:bCs/>
          <w:sz w:val="28"/>
          <w:szCs w:val="28"/>
        </w:rPr>
      </w:pPr>
      <w:r w:rsidRPr="00C56099">
        <w:rPr>
          <w:rFonts w:ascii="Times New Roman" w:hAnsi="Times New Roman"/>
          <w:b/>
          <w:bCs/>
          <w:sz w:val="28"/>
          <w:szCs w:val="28"/>
        </w:rPr>
        <w:t>Civic Services Target</w:t>
      </w:r>
    </w:p>
    <w:p w14:paraId="5665C9A5" w14:textId="77777777" w:rsidR="00EC1F04" w:rsidRDefault="00EC1F04" w:rsidP="001754B7">
      <w:pPr>
        <w:pStyle w:val="ListParagraph"/>
        <w:numPr>
          <w:ilvl w:val="0"/>
          <w:numId w:val="21"/>
        </w:numPr>
        <w:spacing w:line="360" w:lineRule="auto"/>
        <w:ind w:left="709" w:hanging="425"/>
        <w:jc w:val="both"/>
        <w:rPr>
          <w:rFonts w:ascii="Times New Roman" w:hAnsi="Times New Roman"/>
          <w:bCs/>
          <w:sz w:val="24"/>
          <w:szCs w:val="24"/>
        </w:rPr>
      </w:pPr>
      <w:r w:rsidRPr="00EC1F04">
        <w:rPr>
          <w:rFonts w:ascii="Times New Roman" w:hAnsi="Times New Roman"/>
          <w:bCs/>
          <w:sz w:val="24"/>
          <w:szCs w:val="24"/>
        </w:rPr>
        <w:t>Early Birth registration</w:t>
      </w:r>
      <w:r>
        <w:rPr>
          <w:rFonts w:ascii="Times New Roman" w:hAnsi="Times New Roman"/>
          <w:bCs/>
          <w:sz w:val="24"/>
          <w:szCs w:val="24"/>
        </w:rPr>
        <w:t>: 810 000 registered within 30 days</w:t>
      </w:r>
    </w:p>
    <w:p w14:paraId="19F5AFC9" w14:textId="77777777" w:rsidR="00EC1F04" w:rsidRDefault="00EC1F04" w:rsidP="001754B7">
      <w:pPr>
        <w:pStyle w:val="ListParagraph"/>
        <w:numPr>
          <w:ilvl w:val="0"/>
          <w:numId w:val="21"/>
        </w:numPr>
        <w:spacing w:line="360" w:lineRule="auto"/>
        <w:ind w:left="709" w:hanging="425"/>
        <w:jc w:val="both"/>
        <w:rPr>
          <w:rFonts w:ascii="Times New Roman" w:hAnsi="Times New Roman"/>
          <w:bCs/>
          <w:sz w:val="24"/>
          <w:szCs w:val="24"/>
        </w:rPr>
      </w:pPr>
      <w:r>
        <w:rPr>
          <w:rFonts w:ascii="Times New Roman" w:hAnsi="Times New Roman"/>
          <w:bCs/>
          <w:sz w:val="24"/>
          <w:szCs w:val="24"/>
        </w:rPr>
        <w:t>Smart ID cards: 3 million issued to citizens 16 years old and above</w:t>
      </w:r>
    </w:p>
    <w:p w14:paraId="01657AA1" w14:textId="77777777" w:rsidR="00EC1F04" w:rsidRPr="00EC1F04" w:rsidRDefault="00EC1F04" w:rsidP="001754B7">
      <w:pPr>
        <w:pStyle w:val="ListParagraph"/>
        <w:numPr>
          <w:ilvl w:val="0"/>
          <w:numId w:val="21"/>
        </w:numPr>
        <w:spacing w:line="360" w:lineRule="auto"/>
        <w:ind w:left="709" w:hanging="425"/>
        <w:jc w:val="both"/>
        <w:rPr>
          <w:rFonts w:ascii="Times New Roman" w:hAnsi="Times New Roman"/>
          <w:bCs/>
          <w:sz w:val="24"/>
          <w:szCs w:val="24"/>
        </w:rPr>
      </w:pPr>
      <w:r>
        <w:rPr>
          <w:rFonts w:ascii="Times New Roman" w:hAnsi="Times New Roman"/>
          <w:bCs/>
          <w:sz w:val="24"/>
          <w:szCs w:val="24"/>
        </w:rPr>
        <w:t>Adult Passports: 90% of new machine readable passports issued within 13 working days.</w:t>
      </w:r>
    </w:p>
    <w:p w14:paraId="2D1E2657" w14:textId="77777777" w:rsidR="00EB30C8" w:rsidRPr="00C56099" w:rsidRDefault="00EB30C8" w:rsidP="001754B7">
      <w:pPr>
        <w:pStyle w:val="ListParagraph"/>
        <w:numPr>
          <w:ilvl w:val="0"/>
          <w:numId w:val="18"/>
        </w:numPr>
        <w:spacing w:line="360" w:lineRule="auto"/>
        <w:ind w:left="284" w:hanging="284"/>
        <w:jc w:val="both"/>
        <w:rPr>
          <w:rFonts w:ascii="Times New Roman" w:hAnsi="Times New Roman"/>
          <w:bCs/>
          <w:sz w:val="28"/>
          <w:szCs w:val="28"/>
        </w:rPr>
      </w:pPr>
      <w:r w:rsidRPr="00C56099">
        <w:rPr>
          <w:rFonts w:ascii="Times New Roman" w:hAnsi="Times New Roman"/>
          <w:b/>
          <w:bCs/>
          <w:sz w:val="28"/>
          <w:szCs w:val="28"/>
          <w:lang w:val="en-GB"/>
        </w:rPr>
        <w:t>Immigration S</w:t>
      </w:r>
      <w:r w:rsidR="00EC1F04" w:rsidRPr="00C56099">
        <w:rPr>
          <w:rFonts w:ascii="Times New Roman" w:hAnsi="Times New Roman"/>
          <w:b/>
          <w:bCs/>
          <w:sz w:val="28"/>
          <w:szCs w:val="28"/>
          <w:lang w:val="en-GB"/>
        </w:rPr>
        <w:t>ervices and BMA Targets</w:t>
      </w:r>
    </w:p>
    <w:p w14:paraId="78B1A5C1" w14:textId="77777777" w:rsidR="009E5E36" w:rsidRPr="00EB30C8" w:rsidRDefault="0056205B" w:rsidP="001754B7">
      <w:pPr>
        <w:numPr>
          <w:ilvl w:val="0"/>
          <w:numId w:val="19"/>
        </w:numPr>
        <w:spacing w:line="360" w:lineRule="auto"/>
        <w:ind w:hanging="436"/>
        <w:jc w:val="both"/>
        <w:rPr>
          <w:rFonts w:ascii="Times New Roman" w:hAnsi="Times New Roman"/>
          <w:bCs/>
          <w:sz w:val="24"/>
          <w:szCs w:val="24"/>
        </w:rPr>
      </w:pPr>
      <w:r w:rsidRPr="00EB30C8">
        <w:rPr>
          <w:rFonts w:ascii="Times New Roman" w:hAnsi="Times New Roman"/>
          <w:bCs/>
          <w:sz w:val="24"/>
          <w:szCs w:val="24"/>
          <w:lang w:val="en-US"/>
        </w:rPr>
        <w:lastRenderedPageBreak/>
        <w:t>Draft Immigration Bill (including amendments to the Refugees Act) submitted to Minister for approval</w:t>
      </w:r>
      <w:r w:rsidR="00EB30C8">
        <w:rPr>
          <w:rFonts w:ascii="Times New Roman" w:hAnsi="Times New Roman"/>
          <w:bCs/>
          <w:sz w:val="24"/>
          <w:szCs w:val="24"/>
          <w:lang w:val="en-US"/>
        </w:rPr>
        <w:t>.</w:t>
      </w:r>
    </w:p>
    <w:p w14:paraId="5230D3C3" w14:textId="77777777" w:rsidR="009E5E36" w:rsidRPr="00EB30C8" w:rsidRDefault="0056205B" w:rsidP="001754B7">
      <w:pPr>
        <w:numPr>
          <w:ilvl w:val="0"/>
          <w:numId w:val="19"/>
        </w:numPr>
        <w:spacing w:line="360" w:lineRule="auto"/>
        <w:ind w:hanging="436"/>
        <w:jc w:val="both"/>
        <w:rPr>
          <w:rFonts w:ascii="Times New Roman" w:hAnsi="Times New Roman"/>
          <w:bCs/>
          <w:sz w:val="24"/>
          <w:szCs w:val="24"/>
        </w:rPr>
      </w:pPr>
      <w:r w:rsidRPr="00EB30C8">
        <w:rPr>
          <w:rFonts w:ascii="Times New Roman" w:hAnsi="Times New Roman"/>
          <w:bCs/>
          <w:sz w:val="24"/>
          <w:szCs w:val="24"/>
        </w:rPr>
        <w:t>160 L</w:t>
      </w:r>
      <w:r w:rsidRPr="00EB30C8">
        <w:rPr>
          <w:rFonts w:ascii="Times New Roman" w:hAnsi="Times New Roman"/>
          <w:bCs/>
          <w:sz w:val="24"/>
          <w:szCs w:val="24"/>
          <w:lang w:val="en-US"/>
        </w:rPr>
        <w:t>aw enforcement operations/ inspections conducted to ensure compliance with immigration and departmental legislation</w:t>
      </w:r>
      <w:r w:rsidR="00EB30C8">
        <w:rPr>
          <w:rFonts w:ascii="Times New Roman" w:hAnsi="Times New Roman"/>
          <w:bCs/>
          <w:sz w:val="24"/>
          <w:szCs w:val="24"/>
          <w:lang w:val="en-US"/>
        </w:rPr>
        <w:t>.</w:t>
      </w:r>
    </w:p>
    <w:p w14:paraId="3638BEA0" w14:textId="77777777" w:rsidR="009E5E36" w:rsidRPr="00EB30C8" w:rsidRDefault="0056205B" w:rsidP="001754B7">
      <w:pPr>
        <w:numPr>
          <w:ilvl w:val="0"/>
          <w:numId w:val="19"/>
        </w:numPr>
        <w:spacing w:line="360" w:lineRule="auto"/>
        <w:ind w:hanging="436"/>
        <w:jc w:val="both"/>
        <w:rPr>
          <w:rFonts w:ascii="Times New Roman" w:hAnsi="Times New Roman"/>
          <w:bCs/>
          <w:sz w:val="24"/>
          <w:szCs w:val="24"/>
        </w:rPr>
      </w:pPr>
      <w:r w:rsidRPr="00EB30C8">
        <w:rPr>
          <w:rFonts w:ascii="Times New Roman" w:hAnsi="Times New Roman"/>
          <w:bCs/>
          <w:sz w:val="24"/>
          <w:szCs w:val="24"/>
        </w:rPr>
        <w:t>8</w:t>
      </w:r>
      <w:r w:rsidRPr="00EB30C8">
        <w:rPr>
          <w:rFonts w:ascii="Times New Roman" w:hAnsi="Times New Roman"/>
          <w:bCs/>
          <w:sz w:val="24"/>
          <w:szCs w:val="24"/>
          <w:lang w:val="en-US"/>
        </w:rPr>
        <w:t>5% of permanent residence applications adjudicated within 8 months (selected categories for applications collected within the RSA)</w:t>
      </w:r>
      <w:r w:rsidR="00EB30C8">
        <w:rPr>
          <w:rFonts w:ascii="Times New Roman" w:hAnsi="Times New Roman"/>
          <w:bCs/>
          <w:sz w:val="24"/>
          <w:szCs w:val="24"/>
          <w:lang w:val="en-US"/>
        </w:rPr>
        <w:t>.</w:t>
      </w:r>
    </w:p>
    <w:p w14:paraId="39F5D159" w14:textId="77777777" w:rsidR="009E5E36" w:rsidRPr="00EB30C8" w:rsidRDefault="0056205B" w:rsidP="001754B7">
      <w:pPr>
        <w:numPr>
          <w:ilvl w:val="0"/>
          <w:numId w:val="19"/>
        </w:numPr>
        <w:spacing w:line="360" w:lineRule="auto"/>
        <w:ind w:hanging="436"/>
        <w:jc w:val="both"/>
        <w:rPr>
          <w:rFonts w:ascii="Times New Roman" w:hAnsi="Times New Roman"/>
          <w:bCs/>
          <w:sz w:val="24"/>
          <w:szCs w:val="24"/>
        </w:rPr>
      </w:pPr>
      <w:r w:rsidRPr="00EB30C8">
        <w:rPr>
          <w:rFonts w:ascii="Times New Roman" w:hAnsi="Times New Roman"/>
          <w:bCs/>
          <w:sz w:val="24"/>
          <w:szCs w:val="24"/>
        </w:rPr>
        <w:t xml:space="preserve">90% of </w:t>
      </w:r>
      <w:r w:rsidRPr="00EB30C8">
        <w:rPr>
          <w:rFonts w:ascii="Times New Roman" w:hAnsi="Times New Roman"/>
          <w:bCs/>
          <w:sz w:val="24"/>
          <w:szCs w:val="24"/>
          <w:lang w:val="en-US"/>
        </w:rPr>
        <w:t>business and general work visas adjudicated within 8 weeks (applications processed within the RSA)</w:t>
      </w:r>
      <w:r w:rsidR="00EB30C8">
        <w:rPr>
          <w:rFonts w:ascii="Times New Roman" w:hAnsi="Times New Roman"/>
          <w:bCs/>
          <w:sz w:val="24"/>
          <w:szCs w:val="24"/>
          <w:lang w:val="en-US"/>
        </w:rPr>
        <w:t>.</w:t>
      </w:r>
    </w:p>
    <w:p w14:paraId="266D1947" w14:textId="77777777" w:rsidR="009E5E36" w:rsidRPr="00EB30C8" w:rsidRDefault="0056205B" w:rsidP="001754B7">
      <w:pPr>
        <w:numPr>
          <w:ilvl w:val="0"/>
          <w:numId w:val="19"/>
        </w:numPr>
        <w:spacing w:line="360" w:lineRule="auto"/>
        <w:ind w:hanging="436"/>
        <w:jc w:val="both"/>
        <w:rPr>
          <w:rFonts w:ascii="Times New Roman" w:hAnsi="Times New Roman"/>
          <w:bCs/>
          <w:sz w:val="24"/>
          <w:szCs w:val="24"/>
        </w:rPr>
      </w:pPr>
      <w:r w:rsidRPr="00EB30C8">
        <w:rPr>
          <w:rFonts w:ascii="Times New Roman" w:hAnsi="Times New Roman"/>
          <w:bCs/>
          <w:sz w:val="24"/>
          <w:szCs w:val="24"/>
        </w:rPr>
        <w:t xml:space="preserve">85% of </w:t>
      </w:r>
      <w:r w:rsidRPr="00EB30C8">
        <w:rPr>
          <w:rFonts w:ascii="Times New Roman" w:hAnsi="Times New Roman"/>
          <w:bCs/>
          <w:sz w:val="24"/>
          <w:szCs w:val="24"/>
          <w:lang w:val="en-US"/>
        </w:rPr>
        <w:t>critical skills visas adjudicated within 4 weeks (applications processed within the RSA)</w:t>
      </w:r>
      <w:r w:rsidR="00EB30C8">
        <w:rPr>
          <w:rFonts w:ascii="Times New Roman" w:hAnsi="Times New Roman"/>
          <w:bCs/>
          <w:sz w:val="24"/>
          <w:szCs w:val="24"/>
          <w:lang w:val="en-US"/>
        </w:rPr>
        <w:t>.</w:t>
      </w:r>
      <w:r w:rsidRPr="00EB30C8">
        <w:rPr>
          <w:rFonts w:ascii="Times New Roman" w:hAnsi="Times New Roman"/>
          <w:bCs/>
          <w:sz w:val="24"/>
          <w:szCs w:val="24"/>
          <w:lang w:val="en-US"/>
        </w:rPr>
        <w:t xml:space="preserve"> </w:t>
      </w:r>
    </w:p>
    <w:p w14:paraId="426F7962" w14:textId="77777777" w:rsidR="009E5E36" w:rsidRPr="00EB30C8" w:rsidRDefault="0056205B" w:rsidP="001754B7">
      <w:pPr>
        <w:numPr>
          <w:ilvl w:val="0"/>
          <w:numId w:val="19"/>
        </w:numPr>
        <w:spacing w:line="360" w:lineRule="auto"/>
        <w:ind w:hanging="436"/>
        <w:jc w:val="both"/>
        <w:rPr>
          <w:rFonts w:ascii="Times New Roman" w:hAnsi="Times New Roman"/>
          <w:bCs/>
          <w:sz w:val="24"/>
          <w:szCs w:val="24"/>
        </w:rPr>
      </w:pPr>
      <w:r w:rsidRPr="00EB30C8">
        <w:rPr>
          <w:rFonts w:ascii="Times New Roman" w:hAnsi="Times New Roman"/>
          <w:bCs/>
          <w:sz w:val="24"/>
          <w:szCs w:val="24"/>
        </w:rPr>
        <w:t xml:space="preserve">National Targeting </w:t>
      </w:r>
      <w:r w:rsidR="00285CBC" w:rsidRPr="00EB30C8">
        <w:rPr>
          <w:rFonts w:ascii="Times New Roman" w:hAnsi="Times New Roman"/>
          <w:bCs/>
          <w:sz w:val="24"/>
          <w:szCs w:val="24"/>
        </w:rPr>
        <w:t>Centre business</w:t>
      </w:r>
      <w:r w:rsidRPr="00EB30C8">
        <w:rPr>
          <w:rFonts w:ascii="Times New Roman" w:hAnsi="Times New Roman"/>
          <w:bCs/>
          <w:sz w:val="24"/>
          <w:szCs w:val="24"/>
        </w:rPr>
        <w:t xml:space="preserve"> case sub</w:t>
      </w:r>
      <w:r w:rsidR="00EB30C8">
        <w:rPr>
          <w:rFonts w:ascii="Times New Roman" w:hAnsi="Times New Roman"/>
          <w:bCs/>
          <w:sz w:val="24"/>
          <w:szCs w:val="24"/>
        </w:rPr>
        <w:t>mitted to Minister for approval.</w:t>
      </w:r>
    </w:p>
    <w:p w14:paraId="49906E1B" w14:textId="77777777" w:rsidR="009E5E36" w:rsidRPr="00EB30C8" w:rsidRDefault="0056205B" w:rsidP="001754B7">
      <w:pPr>
        <w:numPr>
          <w:ilvl w:val="0"/>
          <w:numId w:val="19"/>
        </w:numPr>
        <w:spacing w:line="360" w:lineRule="auto"/>
        <w:ind w:hanging="436"/>
        <w:jc w:val="both"/>
        <w:rPr>
          <w:rFonts w:ascii="Times New Roman" w:hAnsi="Times New Roman"/>
          <w:bCs/>
          <w:sz w:val="24"/>
          <w:szCs w:val="24"/>
        </w:rPr>
      </w:pPr>
      <w:r w:rsidRPr="00EB30C8">
        <w:rPr>
          <w:rFonts w:ascii="Times New Roman" w:hAnsi="Times New Roman"/>
          <w:bCs/>
          <w:sz w:val="24"/>
          <w:szCs w:val="24"/>
          <w:lang w:val="en-US"/>
        </w:rPr>
        <w:t>Draft Request for Proposal (RfP) submitted to National Treasury</w:t>
      </w:r>
      <w:r w:rsidR="00EB30C8">
        <w:rPr>
          <w:rFonts w:ascii="Times New Roman" w:hAnsi="Times New Roman"/>
          <w:bCs/>
          <w:sz w:val="24"/>
          <w:szCs w:val="24"/>
          <w:lang w:val="en-US"/>
        </w:rPr>
        <w:t>.</w:t>
      </w:r>
      <w:r w:rsidRPr="00EB30C8">
        <w:rPr>
          <w:rFonts w:ascii="Times New Roman" w:hAnsi="Times New Roman"/>
          <w:bCs/>
          <w:sz w:val="24"/>
          <w:szCs w:val="24"/>
          <w:lang w:val="en-US"/>
        </w:rPr>
        <w:t xml:space="preserve"> </w:t>
      </w:r>
    </w:p>
    <w:p w14:paraId="44DCE2EA" w14:textId="77777777" w:rsidR="009E5E36" w:rsidRPr="00EB30C8" w:rsidRDefault="0056205B" w:rsidP="001754B7">
      <w:pPr>
        <w:numPr>
          <w:ilvl w:val="0"/>
          <w:numId w:val="19"/>
        </w:numPr>
        <w:spacing w:line="360" w:lineRule="auto"/>
        <w:ind w:hanging="436"/>
        <w:jc w:val="both"/>
        <w:rPr>
          <w:rFonts w:ascii="Times New Roman" w:hAnsi="Times New Roman"/>
          <w:bCs/>
          <w:sz w:val="24"/>
          <w:szCs w:val="24"/>
        </w:rPr>
      </w:pPr>
      <w:r w:rsidRPr="00EB30C8">
        <w:rPr>
          <w:rFonts w:ascii="Times New Roman" w:hAnsi="Times New Roman"/>
          <w:bCs/>
          <w:sz w:val="24"/>
          <w:szCs w:val="24"/>
        </w:rPr>
        <w:t xml:space="preserve">BMA operational as per </w:t>
      </w:r>
      <w:r w:rsidR="00EB30C8">
        <w:rPr>
          <w:rFonts w:ascii="Times New Roman" w:hAnsi="Times New Roman"/>
          <w:bCs/>
          <w:sz w:val="24"/>
          <w:szCs w:val="24"/>
        </w:rPr>
        <w:t>BMA Road Map (Phased Approach).</w:t>
      </w:r>
    </w:p>
    <w:p w14:paraId="68FA146E" w14:textId="77777777" w:rsidR="00EB30C8" w:rsidRPr="00EB30C8" w:rsidRDefault="00EB30C8" w:rsidP="00905321">
      <w:pPr>
        <w:spacing w:line="360" w:lineRule="auto"/>
        <w:ind w:hanging="436"/>
        <w:jc w:val="both"/>
        <w:rPr>
          <w:rFonts w:ascii="Times New Roman" w:hAnsi="Times New Roman"/>
          <w:bCs/>
          <w:sz w:val="24"/>
          <w:szCs w:val="24"/>
        </w:rPr>
      </w:pPr>
    </w:p>
    <w:p w14:paraId="5CEEAF9A" w14:textId="77777777" w:rsidR="00ED768F" w:rsidRPr="00C56099" w:rsidRDefault="00EB30C8" w:rsidP="00EC1F04">
      <w:pPr>
        <w:spacing w:line="360" w:lineRule="auto"/>
        <w:jc w:val="both"/>
        <w:rPr>
          <w:rFonts w:ascii="Times New Roman" w:hAnsi="Times New Roman"/>
          <w:b/>
          <w:sz w:val="28"/>
          <w:szCs w:val="28"/>
        </w:rPr>
      </w:pPr>
      <w:r w:rsidRPr="00C56099">
        <w:rPr>
          <w:rFonts w:ascii="Times New Roman" w:hAnsi="Times New Roman"/>
          <w:b/>
          <w:sz w:val="28"/>
          <w:szCs w:val="28"/>
        </w:rPr>
        <w:t>1</w:t>
      </w:r>
      <w:r w:rsidR="00EC1F04" w:rsidRPr="00C56099">
        <w:rPr>
          <w:rFonts w:ascii="Times New Roman" w:hAnsi="Times New Roman"/>
          <w:b/>
          <w:sz w:val="28"/>
          <w:szCs w:val="28"/>
        </w:rPr>
        <w:t xml:space="preserve">.2. </w:t>
      </w:r>
      <w:r w:rsidR="00EC1F04" w:rsidRPr="00C56099">
        <w:rPr>
          <w:rFonts w:ascii="Times New Roman" w:hAnsi="Times New Roman"/>
          <w:b/>
          <w:sz w:val="28"/>
          <w:szCs w:val="28"/>
        </w:rPr>
        <w:tab/>
        <w:t xml:space="preserve">DHA 2019/20 </w:t>
      </w:r>
      <w:r w:rsidR="00ED768F" w:rsidRPr="00C56099">
        <w:rPr>
          <w:rFonts w:ascii="Times New Roman" w:hAnsi="Times New Roman"/>
          <w:b/>
          <w:sz w:val="28"/>
          <w:szCs w:val="28"/>
        </w:rPr>
        <w:t>Budget</w:t>
      </w:r>
    </w:p>
    <w:p w14:paraId="4BD39983"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The DHA has received a voted allocation of R7.9 billion in 2018/19. This represented a real increase of</w:t>
      </w:r>
      <w:r w:rsidRPr="00EC1F04">
        <w:rPr>
          <w:rFonts w:ascii="Times New Roman" w:hAnsi="Times New Roman"/>
          <w:color w:val="auto"/>
          <w:sz w:val="24"/>
          <w:szCs w:val="24"/>
        </w:rPr>
        <w:t xml:space="preserve"> </w:t>
      </w:r>
      <w:r w:rsidRPr="00EC1F04">
        <w:rPr>
          <w:rFonts w:ascii="Times New Roman" w:eastAsia="Calibri" w:hAnsi="Times New Roman"/>
          <w:color w:val="auto"/>
          <w:spacing w:val="0"/>
          <w:sz w:val="24"/>
          <w:szCs w:val="24"/>
          <w:lang w:eastAsia="en-US"/>
        </w:rPr>
        <w:t>10.7 per cent above inflation from R8 4 billion in the 2017/18 financial year. The 2018/19 voted allocation, was subsequently increased to R9.047 billion during the adjusted appropriation in September of the same year.</w:t>
      </w:r>
    </w:p>
    <w:p w14:paraId="0FB50604"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p>
    <w:p w14:paraId="2EB48F9C"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The DHA programme structure is along the following three main programmes: Administration, Citizen Affairs, and Immigration Affairs. The Citizen Affairs programme                                                                                                                                                                                                                                                                                                          the biggest of the three main programmes, constituting 57 percent of the overall departmental expenditure. The DHA’s 2018/19 budget increase, especially the allocation to the Electoral Commission, can be attributed to preparations towards the general elections held in June 2019.</w:t>
      </w:r>
    </w:p>
    <w:p w14:paraId="5FF62A70"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p>
    <w:p w14:paraId="01C6F191"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It should be noted that the 2018/19 annual report of the Department, covering the full financial year ending 31 March 2019, will be available at the end of September 2019. Thus, the focus on this analysis is on the financial year performance as at 31 December 2018 (third quarter). The third quarter expenditure report indicates that at the end of December 2018 the DHA had spent R6.37 billion or 70.4 per cent of its R9.047 billion allocated to DHA. This was in line with what was projected for the third quarter – actual expenditure was only 0.2 per cent less that was projected by the Department.</w:t>
      </w:r>
    </w:p>
    <w:p w14:paraId="482E0A36"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p>
    <w:p w14:paraId="294A9ED9"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lastRenderedPageBreak/>
        <w:t xml:space="preserve">The DHA’s 2018/19 third quarter spending was well on par with its performance in 2017/18 when it managed to spend 70.6 per cent for the same period. The DHA has a solid record of managing its budget well, and spending 100 per cent of its allocated budget by the end of each financial year. </w:t>
      </w:r>
    </w:p>
    <w:p w14:paraId="2EBCC486"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p>
    <w:p w14:paraId="1ACC0C6B" w14:textId="77777777" w:rsidR="00EC1F04" w:rsidRPr="00EC1F04" w:rsidRDefault="00EC1F04" w:rsidP="00EC1F04">
      <w:pPr>
        <w:spacing w:line="360" w:lineRule="auto"/>
        <w:jc w:val="both"/>
        <w:rPr>
          <w:rFonts w:ascii="Times New Roman" w:eastAsia="Calibri" w:hAnsi="Times New Roman"/>
          <w:bCs/>
          <w:color w:val="auto"/>
          <w:spacing w:val="0"/>
          <w:sz w:val="24"/>
          <w:szCs w:val="24"/>
          <w:lang w:eastAsia="en-US"/>
        </w:rPr>
      </w:pPr>
      <w:r w:rsidRPr="00EC1F04">
        <w:rPr>
          <w:rFonts w:ascii="Times New Roman" w:eastAsia="Calibri" w:hAnsi="Times New Roman"/>
          <w:bCs/>
          <w:color w:val="auto"/>
          <w:spacing w:val="0"/>
          <w:sz w:val="24"/>
          <w:szCs w:val="24"/>
          <w:lang w:eastAsia="en-US"/>
        </w:rPr>
        <w:t>Over the medium term, the DHA will focus on repositioning itself as a modern and secure organisation; improving and expanding client interfaces and service delivery imperatives; establishing and operationalising a border management agency; streamlining and securing international migration; and establishing public private partnership (PPP) in support of key infrastructure projects.</w:t>
      </w:r>
    </w:p>
    <w:p w14:paraId="21052024" w14:textId="77777777" w:rsidR="00EC1F04" w:rsidRPr="00EC1F04" w:rsidRDefault="00EC1F04" w:rsidP="00EC1F04">
      <w:pPr>
        <w:spacing w:line="360" w:lineRule="auto"/>
        <w:jc w:val="both"/>
        <w:rPr>
          <w:rFonts w:ascii="Times New Roman" w:eastAsia="Calibri" w:hAnsi="Times New Roman"/>
          <w:bCs/>
          <w:color w:val="auto"/>
          <w:spacing w:val="0"/>
          <w:sz w:val="24"/>
          <w:szCs w:val="24"/>
          <w:lang w:eastAsia="en-US"/>
        </w:rPr>
      </w:pPr>
    </w:p>
    <w:p w14:paraId="5CAED28D" w14:textId="77777777" w:rsidR="00EC1F04" w:rsidRPr="00EC1F04" w:rsidRDefault="00EC1F04" w:rsidP="00EC1F04">
      <w:pPr>
        <w:spacing w:line="360" w:lineRule="auto"/>
        <w:jc w:val="both"/>
        <w:rPr>
          <w:rFonts w:ascii="Times New Roman" w:eastAsia="Calibri" w:hAnsi="Times New Roman"/>
          <w:bCs/>
          <w:color w:val="auto"/>
          <w:spacing w:val="0"/>
          <w:sz w:val="24"/>
          <w:szCs w:val="24"/>
          <w:lang w:eastAsia="en-US"/>
        </w:rPr>
      </w:pPr>
      <w:r w:rsidRPr="00EC1F04">
        <w:rPr>
          <w:rFonts w:ascii="Times New Roman" w:eastAsia="Calibri" w:hAnsi="Times New Roman"/>
          <w:bCs/>
          <w:color w:val="auto"/>
          <w:spacing w:val="0"/>
          <w:sz w:val="24"/>
          <w:szCs w:val="24"/>
          <w:lang w:eastAsia="en-US"/>
        </w:rPr>
        <w:t>The 2019/20 budget supports the long-standing policy priorities of the DHA. Some of the ke</w:t>
      </w:r>
      <w:r w:rsidR="00E914DB">
        <w:rPr>
          <w:rFonts w:ascii="Times New Roman" w:eastAsia="Calibri" w:hAnsi="Times New Roman"/>
          <w:bCs/>
          <w:color w:val="auto"/>
          <w:spacing w:val="0"/>
          <w:sz w:val="24"/>
          <w:szCs w:val="24"/>
          <w:lang w:eastAsia="en-US"/>
        </w:rPr>
        <w:t>y highlights of Vote 5 include:</w:t>
      </w:r>
    </w:p>
    <w:p w14:paraId="39D06462" w14:textId="77777777" w:rsidR="00EC1F04" w:rsidRPr="00EC1F04" w:rsidRDefault="00EC1F04" w:rsidP="001754B7">
      <w:pPr>
        <w:numPr>
          <w:ilvl w:val="0"/>
          <w:numId w:val="23"/>
        </w:numPr>
        <w:suppressAutoHyphens w:val="0"/>
        <w:autoSpaceDN/>
        <w:spacing w:line="360" w:lineRule="auto"/>
        <w:jc w:val="both"/>
        <w:textAlignment w:val="auto"/>
        <w:rPr>
          <w:rFonts w:ascii="Times New Roman" w:eastAsia="Calibri" w:hAnsi="Times New Roman"/>
          <w:bCs/>
          <w:color w:val="auto"/>
          <w:spacing w:val="0"/>
          <w:sz w:val="24"/>
          <w:szCs w:val="24"/>
          <w:lang w:eastAsia="en-US"/>
        </w:rPr>
      </w:pPr>
      <w:r w:rsidRPr="00EC1F04">
        <w:rPr>
          <w:rFonts w:ascii="Times New Roman" w:eastAsia="Calibri" w:hAnsi="Times New Roman"/>
          <w:bCs/>
          <w:color w:val="auto"/>
          <w:spacing w:val="0"/>
          <w:sz w:val="24"/>
          <w:szCs w:val="24"/>
          <w:lang w:eastAsia="en-US"/>
        </w:rPr>
        <w:t>The modernisation programme of DHA is allocated an estimated amount of R1.8 billion over the medium term.</w:t>
      </w:r>
    </w:p>
    <w:p w14:paraId="0AA7D26E" w14:textId="77777777" w:rsidR="00EC1F04" w:rsidRPr="00EC1F04" w:rsidRDefault="00EC1F04" w:rsidP="001754B7">
      <w:pPr>
        <w:numPr>
          <w:ilvl w:val="0"/>
          <w:numId w:val="23"/>
        </w:numPr>
        <w:suppressAutoHyphens w:val="0"/>
        <w:autoSpaceDN/>
        <w:spacing w:line="360" w:lineRule="auto"/>
        <w:jc w:val="both"/>
        <w:textAlignment w:val="auto"/>
        <w:rPr>
          <w:rFonts w:ascii="Times New Roman" w:eastAsia="Calibri" w:hAnsi="Times New Roman"/>
          <w:bCs/>
          <w:color w:val="auto"/>
          <w:spacing w:val="0"/>
          <w:sz w:val="24"/>
          <w:szCs w:val="24"/>
          <w:lang w:eastAsia="en-US"/>
        </w:rPr>
      </w:pPr>
      <w:r w:rsidRPr="00EC1F04">
        <w:rPr>
          <w:rFonts w:ascii="Times New Roman" w:eastAsia="Calibri" w:hAnsi="Times New Roman"/>
          <w:bCs/>
          <w:color w:val="auto"/>
          <w:spacing w:val="0"/>
          <w:sz w:val="24"/>
          <w:szCs w:val="24"/>
          <w:lang w:eastAsia="en-US"/>
        </w:rPr>
        <w:t xml:space="preserve">Improving and expanding client interface an amount of R2.2 billion over the medium term for issuing of an estimated 11.9 smart Identity (ID) cards. </w:t>
      </w:r>
    </w:p>
    <w:p w14:paraId="63407CBB" w14:textId="77777777" w:rsidR="00EC1F04" w:rsidRPr="00EC1F04" w:rsidRDefault="00EC1F04" w:rsidP="001754B7">
      <w:pPr>
        <w:numPr>
          <w:ilvl w:val="0"/>
          <w:numId w:val="23"/>
        </w:numPr>
        <w:suppressAutoHyphens w:val="0"/>
        <w:autoSpaceDN/>
        <w:spacing w:line="360" w:lineRule="auto"/>
        <w:jc w:val="both"/>
        <w:textAlignment w:val="auto"/>
        <w:rPr>
          <w:rFonts w:ascii="Times New Roman" w:eastAsia="Calibri" w:hAnsi="Times New Roman"/>
          <w:bCs/>
          <w:color w:val="auto"/>
          <w:spacing w:val="0"/>
          <w:sz w:val="24"/>
          <w:szCs w:val="24"/>
          <w:lang w:eastAsia="en-US"/>
        </w:rPr>
      </w:pPr>
      <w:r w:rsidRPr="00EC1F04">
        <w:rPr>
          <w:rFonts w:ascii="Times New Roman" w:eastAsia="Calibri" w:hAnsi="Times New Roman"/>
          <w:bCs/>
          <w:color w:val="auto"/>
          <w:spacing w:val="0"/>
          <w:sz w:val="24"/>
          <w:szCs w:val="24"/>
          <w:lang w:eastAsia="en-US"/>
        </w:rPr>
        <w:t xml:space="preserve">To improve and expand client interface, the DHA requires adequate and skilled personnel. Therefore, R7.1 billion is set aside over the medium term for expenditure on compensation of employees.  </w:t>
      </w:r>
    </w:p>
    <w:p w14:paraId="3BFE09AB" w14:textId="77777777" w:rsidR="00EC1F04" w:rsidRPr="00EC1F04" w:rsidRDefault="00EC1F04" w:rsidP="001754B7">
      <w:pPr>
        <w:numPr>
          <w:ilvl w:val="0"/>
          <w:numId w:val="23"/>
        </w:numPr>
        <w:suppressAutoHyphens w:val="0"/>
        <w:autoSpaceDN/>
        <w:spacing w:line="360" w:lineRule="auto"/>
        <w:jc w:val="both"/>
        <w:textAlignment w:val="auto"/>
        <w:rPr>
          <w:rFonts w:ascii="Times New Roman" w:eastAsia="Calibri" w:hAnsi="Times New Roman"/>
          <w:bCs/>
          <w:color w:val="auto"/>
          <w:spacing w:val="0"/>
          <w:sz w:val="24"/>
          <w:szCs w:val="24"/>
          <w:lang w:eastAsia="en-US"/>
        </w:rPr>
      </w:pPr>
      <w:r w:rsidRPr="00EC1F04">
        <w:rPr>
          <w:rFonts w:ascii="Times New Roman" w:eastAsia="Calibri" w:hAnsi="Times New Roman"/>
          <w:bCs/>
          <w:color w:val="auto"/>
          <w:spacing w:val="0"/>
          <w:sz w:val="24"/>
          <w:szCs w:val="24"/>
          <w:lang w:eastAsia="en-US"/>
        </w:rPr>
        <w:t xml:space="preserve">The DHA is still planning to establish the Border Management Agency (BMA). The BMA Bill was set to be finalised by 2019/20. </w:t>
      </w:r>
      <w:r w:rsidR="00285CBC" w:rsidRPr="00EC1F04">
        <w:rPr>
          <w:rFonts w:ascii="Times New Roman" w:eastAsia="Calibri" w:hAnsi="Times New Roman"/>
          <w:bCs/>
          <w:color w:val="auto"/>
          <w:spacing w:val="0"/>
          <w:sz w:val="24"/>
          <w:szCs w:val="24"/>
          <w:lang w:eastAsia="en-US"/>
        </w:rPr>
        <w:t>However,</w:t>
      </w:r>
      <w:r w:rsidRPr="00EC1F04">
        <w:rPr>
          <w:rFonts w:ascii="Times New Roman" w:eastAsia="Calibri" w:hAnsi="Times New Roman"/>
          <w:bCs/>
          <w:color w:val="auto"/>
          <w:spacing w:val="0"/>
          <w:sz w:val="24"/>
          <w:szCs w:val="24"/>
          <w:lang w:eastAsia="en-US"/>
        </w:rPr>
        <w:t xml:space="preserve"> the BMA Bill lapsed before the Select Committee on Social Services due to contention with National Treasury on the BMA taking over customs payments at border posts. To establish the Agency, amounts of R16 million in 2019/20, R28 million in 2020/21 and R40 million in 2021/22 have been earmarked. These allocations are earmarked for compensation of employees, system development, and various goods and services items.</w:t>
      </w:r>
    </w:p>
    <w:p w14:paraId="1BC5C901" w14:textId="77777777" w:rsidR="00EC1F04" w:rsidRPr="00EC1F04" w:rsidRDefault="00EC1F04" w:rsidP="001754B7">
      <w:pPr>
        <w:numPr>
          <w:ilvl w:val="0"/>
          <w:numId w:val="23"/>
        </w:numPr>
        <w:suppressAutoHyphens w:val="0"/>
        <w:autoSpaceDN/>
        <w:spacing w:line="360" w:lineRule="auto"/>
        <w:jc w:val="both"/>
        <w:textAlignment w:val="auto"/>
        <w:rPr>
          <w:rFonts w:ascii="Times New Roman" w:eastAsia="Calibri" w:hAnsi="Times New Roman"/>
          <w:bCs/>
          <w:color w:val="auto"/>
          <w:spacing w:val="0"/>
          <w:sz w:val="24"/>
          <w:szCs w:val="24"/>
          <w:lang w:eastAsia="en-US"/>
        </w:rPr>
      </w:pPr>
      <w:r w:rsidRPr="00EC1F04">
        <w:rPr>
          <w:rFonts w:ascii="Times New Roman" w:eastAsia="Calibri" w:hAnsi="Times New Roman"/>
          <w:bCs/>
          <w:color w:val="auto"/>
          <w:spacing w:val="0"/>
          <w:sz w:val="24"/>
          <w:szCs w:val="24"/>
          <w:lang w:eastAsia="en-US"/>
        </w:rPr>
        <w:t xml:space="preserve">The DHA aims to streamline and secure international migration. In this regard, the DHA is introducing an advanced passenger processing system, which would enable passenger screening at the point of departure, instead of arrival. Over the medium term, an estimated R498 million will be spent mainly on service fees for the </w:t>
      </w:r>
      <w:r w:rsidR="00285CBC" w:rsidRPr="00EC1F04">
        <w:rPr>
          <w:rFonts w:ascii="Times New Roman" w:eastAsia="Calibri" w:hAnsi="Times New Roman"/>
          <w:bCs/>
          <w:color w:val="auto"/>
          <w:spacing w:val="0"/>
          <w:sz w:val="24"/>
          <w:szCs w:val="24"/>
          <w:lang w:eastAsia="en-US"/>
        </w:rPr>
        <w:t>DHA ‘</w:t>
      </w:r>
      <w:r w:rsidRPr="00EC1F04">
        <w:rPr>
          <w:rFonts w:ascii="Times New Roman" w:eastAsia="Calibri" w:hAnsi="Times New Roman"/>
          <w:bCs/>
          <w:color w:val="auto"/>
          <w:spacing w:val="0"/>
          <w:sz w:val="24"/>
          <w:szCs w:val="24"/>
          <w:lang w:eastAsia="en-US"/>
        </w:rPr>
        <w:t>s use of the system.</w:t>
      </w:r>
    </w:p>
    <w:p w14:paraId="0DBCE3B6" w14:textId="77777777" w:rsidR="00EC1F04" w:rsidRPr="00EC1F04" w:rsidRDefault="00EC1F04" w:rsidP="001754B7">
      <w:pPr>
        <w:numPr>
          <w:ilvl w:val="0"/>
          <w:numId w:val="23"/>
        </w:numPr>
        <w:suppressAutoHyphens w:val="0"/>
        <w:autoSpaceDN/>
        <w:spacing w:line="360" w:lineRule="auto"/>
        <w:jc w:val="both"/>
        <w:textAlignment w:val="auto"/>
        <w:rPr>
          <w:rFonts w:ascii="Times New Roman" w:eastAsia="Calibri" w:hAnsi="Times New Roman"/>
          <w:bCs/>
          <w:color w:val="auto"/>
          <w:spacing w:val="0"/>
          <w:sz w:val="24"/>
          <w:szCs w:val="24"/>
          <w:lang w:eastAsia="en-US"/>
        </w:rPr>
      </w:pPr>
      <w:r w:rsidRPr="00EC1F04">
        <w:rPr>
          <w:rFonts w:ascii="Times New Roman" w:eastAsia="Calibri" w:hAnsi="Times New Roman"/>
          <w:bCs/>
          <w:color w:val="auto"/>
          <w:spacing w:val="0"/>
          <w:sz w:val="24"/>
          <w:szCs w:val="24"/>
          <w:lang w:eastAsia="en-US"/>
        </w:rPr>
        <w:t>Over the medium term, DHA will continue its infrastructure projects of the redevelopment and modernisation of 6 ports of entry, as well as moving the refugee reception centres closer to the country’s borders. Amounts of R72.1 million in 2019/20, R76.6 million in 2020/21, and R80.4 million in 2021/22 have been allocated for the improvement of residential and office accommodation at ports of entry and refugee reception offices.</w:t>
      </w:r>
    </w:p>
    <w:p w14:paraId="22788760" w14:textId="77777777" w:rsidR="00EC1F04" w:rsidRPr="00EC1F04" w:rsidRDefault="00EC1F04" w:rsidP="00EC1F04">
      <w:pPr>
        <w:spacing w:line="360" w:lineRule="auto"/>
        <w:rPr>
          <w:rFonts w:ascii="Times New Roman" w:eastAsia="Calibri" w:hAnsi="Times New Roman"/>
          <w:sz w:val="24"/>
          <w:szCs w:val="24"/>
          <w:lang w:eastAsia="en-US"/>
        </w:rPr>
      </w:pPr>
    </w:p>
    <w:p w14:paraId="04EE2194" w14:textId="77777777" w:rsidR="00EC1F04" w:rsidRPr="009B3120" w:rsidRDefault="00EC1F04" w:rsidP="009B3120">
      <w:pPr>
        <w:pStyle w:val="Caption"/>
        <w:spacing w:line="360" w:lineRule="auto"/>
        <w:rPr>
          <w:rFonts w:ascii="Times New Roman" w:eastAsia="Calibri" w:hAnsi="Times New Roman"/>
          <w:b w:val="0"/>
          <w:color w:val="000000" w:themeColor="text1"/>
          <w:sz w:val="24"/>
          <w:szCs w:val="24"/>
          <w:lang w:val="en-ZA" w:eastAsia="en-US"/>
        </w:rPr>
      </w:pPr>
      <w:r w:rsidRPr="006504B3">
        <w:rPr>
          <w:rFonts w:ascii="Times New Roman" w:hAnsi="Times New Roman"/>
          <w:b w:val="0"/>
          <w:color w:val="000000" w:themeColor="text1"/>
          <w:sz w:val="24"/>
          <w:szCs w:val="24"/>
        </w:rPr>
        <w:t xml:space="preserve">Table </w:t>
      </w:r>
      <w:r w:rsidRPr="006504B3">
        <w:rPr>
          <w:rFonts w:ascii="Times New Roman" w:hAnsi="Times New Roman"/>
          <w:b w:val="0"/>
          <w:color w:val="000000" w:themeColor="text1"/>
          <w:sz w:val="24"/>
          <w:szCs w:val="24"/>
        </w:rPr>
        <w:fldChar w:fldCharType="begin"/>
      </w:r>
      <w:r w:rsidRPr="006504B3">
        <w:rPr>
          <w:rFonts w:ascii="Times New Roman" w:hAnsi="Times New Roman"/>
          <w:b w:val="0"/>
          <w:color w:val="000000" w:themeColor="text1"/>
          <w:sz w:val="24"/>
          <w:szCs w:val="24"/>
        </w:rPr>
        <w:instrText xml:space="preserve"> SEQ Figure \* ARABIC </w:instrText>
      </w:r>
      <w:r w:rsidRPr="006504B3">
        <w:rPr>
          <w:rFonts w:ascii="Times New Roman" w:hAnsi="Times New Roman"/>
          <w:b w:val="0"/>
          <w:color w:val="000000" w:themeColor="text1"/>
          <w:sz w:val="24"/>
          <w:szCs w:val="24"/>
        </w:rPr>
        <w:fldChar w:fldCharType="separate"/>
      </w:r>
      <w:r w:rsidRPr="006504B3">
        <w:rPr>
          <w:rFonts w:ascii="Times New Roman" w:hAnsi="Times New Roman"/>
          <w:b w:val="0"/>
          <w:noProof/>
          <w:color w:val="000000" w:themeColor="text1"/>
          <w:sz w:val="24"/>
          <w:szCs w:val="24"/>
        </w:rPr>
        <w:t>1</w:t>
      </w:r>
      <w:r w:rsidRPr="006504B3">
        <w:rPr>
          <w:rFonts w:ascii="Times New Roman" w:hAnsi="Times New Roman"/>
          <w:b w:val="0"/>
          <w:color w:val="000000" w:themeColor="text1"/>
          <w:sz w:val="24"/>
          <w:szCs w:val="24"/>
        </w:rPr>
        <w:fldChar w:fldCharType="end"/>
      </w:r>
      <w:r w:rsidRPr="006504B3">
        <w:rPr>
          <w:rFonts w:ascii="Times New Roman" w:hAnsi="Times New Roman"/>
          <w:b w:val="0"/>
          <w:color w:val="000000" w:themeColor="text1"/>
          <w:sz w:val="24"/>
          <w:szCs w:val="24"/>
        </w:rPr>
        <w:t>: overall budget of DHA 2019/20</w:t>
      </w:r>
    </w:p>
    <w:tbl>
      <w:tblPr>
        <w:tblStyle w:val="TableGrid"/>
        <w:tblW w:w="0" w:type="auto"/>
        <w:tblLook w:val="04A0" w:firstRow="1" w:lastRow="0" w:firstColumn="1" w:lastColumn="0" w:noHBand="0" w:noVBand="1"/>
      </w:tblPr>
      <w:tblGrid>
        <w:gridCol w:w="1720"/>
        <w:gridCol w:w="872"/>
        <w:gridCol w:w="872"/>
        <w:gridCol w:w="872"/>
        <w:gridCol w:w="872"/>
        <w:gridCol w:w="1035"/>
        <w:gridCol w:w="951"/>
        <w:gridCol w:w="1035"/>
        <w:gridCol w:w="951"/>
      </w:tblGrid>
      <w:tr w:rsidR="009F5140" w:rsidRPr="009F5140" w14:paraId="393F06C3" w14:textId="77777777" w:rsidTr="00BD6D83">
        <w:tc>
          <w:tcPr>
            <w:tcW w:w="1720" w:type="dxa"/>
          </w:tcPr>
          <w:p w14:paraId="3E8AEAFB" w14:textId="77777777" w:rsidR="009F5140" w:rsidRPr="009F5140" w:rsidRDefault="009F5140" w:rsidP="00EC1F04">
            <w:pPr>
              <w:spacing w:line="360" w:lineRule="auto"/>
              <w:jc w:val="both"/>
              <w:rPr>
                <w:rFonts w:ascii="Times New Roman" w:eastAsia="Calibri" w:hAnsi="Times New Roman"/>
                <w:b/>
                <w:bCs/>
                <w:color w:val="000000" w:themeColor="text1"/>
                <w:spacing w:val="0"/>
                <w:sz w:val="22"/>
                <w:szCs w:val="22"/>
                <w:lang w:val="en-GB" w:eastAsia="en-US"/>
              </w:rPr>
            </w:pPr>
            <w:r w:rsidRPr="009F5140">
              <w:rPr>
                <w:rFonts w:ascii="Times New Roman" w:eastAsia="Calibri" w:hAnsi="Times New Roman"/>
                <w:b/>
                <w:bCs/>
                <w:color w:val="000000" w:themeColor="text1"/>
                <w:spacing w:val="0"/>
                <w:sz w:val="22"/>
                <w:szCs w:val="22"/>
                <w:lang w:val="en-GB" w:eastAsia="en-US"/>
              </w:rPr>
              <w:t>Programme</w:t>
            </w:r>
          </w:p>
        </w:tc>
        <w:tc>
          <w:tcPr>
            <w:tcW w:w="3488" w:type="dxa"/>
            <w:gridSpan w:val="4"/>
          </w:tcPr>
          <w:p w14:paraId="72656C35" w14:textId="77777777" w:rsidR="009F5140" w:rsidRPr="009F5140" w:rsidRDefault="009F5140" w:rsidP="00EC1F04">
            <w:pPr>
              <w:spacing w:line="360" w:lineRule="auto"/>
              <w:jc w:val="both"/>
              <w:rPr>
                <w:rFonts w:ascii="Times New Roman" w:eastAsia="Calibri" w:hAnsi="Times New Roman"/>
                <w:b/>
                <w:bCs/>
                <w:color w:val="000000" w:themeColor="text1"/>
                <w:spacing w:val="0"/>
                <w:sz w:val="22"/>
                <w:szCs w:val="22"/>
                <w:lang w:val="en-GB" w:eastAsia="en-US"/>
              </w:rPr>
            </w:pPr>
            <w:r w:rsidRPr="009F5140">
              <w:rPr>
                <w:rFonts w:ascii="Times New Roman" w:eastAsia="Calibri" w:hAnsi="Times New Roman"/>
                <w:b/>
                <w:bCs/>
                <w:color w:val="000000" w:themeColor="text1"/>
                <w:spacing w:val="0"/>
                <w:sz w:val="22"/>
                <w:szCs w:val="22"/>
                <w:lang w:val="en-GB" w:eastAsia="en-US"/>
              </w:rPr>
              <w:t>Budget</w:t>
            </w:r>
          </w:p>
        </w:tc>
        <w:tc>
          <w:tcPr>
            <w:tcW w:w="1035" w:type="dxa"/>
          </w:tcPr>
          <w:p w14:paraId="37F522F8" w14:textId="77777777" w:rsidR="009F5140" w:rsidRPr="009F5140" w:rsidRDefault="009F5140" w:rsidP="00EC1F04">
            <w:pPr>
              <w:spacing w:line="360" w:lineRule="auto"/>
              <w:jc w:val="both"/>
              <w:rPr>
                <w:rFonts w:ascii="Times New Roman" w:eastAsia="Calibri" w:hAnsi="Times New Roman"/>
                <w:b/>
                <w:bCs/>
                <w:color w:val="000000" w:themeColor="text1"/>
                <w:spacing w:val="0"/>
                <w:sz w:val="22"/>
                <w:szCs w:val="22"/>
                <w:lang w:val="en-GB" w:eastAsia="en-US"/>
              </w:rPr>
            </w:pPr>
            <w:r w:rsidRPr="009F5140">
              <w:rPr>
                <w:rFonts w:ascii="Times New Roman" w:eastAsia="Calibri" w:hAnsi="Times New Roman"/>
                <w:b/>
                <w:bCs/>
                <w:color w:val="000000" w:themeColor="text1"/>
                <w:spacing w:val="0"/>
                <w:sz w:val="22"/>
                <w:szCs w:val="22"/>
                <w:lang w:val="en-GB" w:eastAsia="en-US"/>
              </w:rPr>
              <w:t>Nominal Rand Change</w:t>
            </w:r>
          </w:p>
        </w:tc>
        <w:tc>
          <w:tcPr>
            <w:tcW w:w="951" w:type="dxa"/>
          </w:tcPr>
          <w:p w14:paraId="524B455B" w14:textId="77777777" w:rsidR="009F5140" w:rsidRPr="009F5140" w:rsidRDefault="009F5140" w:rsidP="00EC1F04">
            <w:pPr>
              <w:spacing w:line="360" w:lineRule="auto"/>
              <w:jc w:val="both"/>
              <w:rPr>
                <w:rFonts w:ascii="Times New Roman" w:eastAsia="Calibri" w:hAnsi="Times New Roman"/>
                <w:b/>
                <w:bCs/>
                <w:color w:val="000000" w:themeColor="text1"/>
                <w:spacing w:val="0"/>
                <w:sz w:val="22"/>
                <w:szCs w:val="22"/>
                <w:lang w:val="en-GB" w:eastAsia="en-US"/>
              </w:rPr>
            </w:pPr>
            <w:r w:rsidRPr="009F5140">
              <w:rPr>
                <w:rFonts w:ascii="Times New Roman" w:eastAsia="Calibri" w:hAnsi="Times New Roman"/>
                <w:b/>
                <w:bCs/>
                <w:color w:val="000000" w:themeColor="text1"/>
                <w:spacing w:val="0"/>
                <w:sz w:val="22"/>
                <w:szCs w:val="22"/>
                <w:lang w:val="en-GB" w:eastAsia="en-US"/>
              </w:rPr>
              <w:t>Real Rand Change</w:t>
            </w:r>
          </w:p>
        </w:tc>
        <w:tc>
          <w:tcPr>
            <w:tcW w:w="1035" w:type="dxa"/>
          </w:tcPr>
          <w:p w14:paraId="2CB095EB" w14:textId="77777777" w:rsidR="009F5140" w:rsidRPr="009F5140" w:rsidRDefault="009F5140" w:rsidP="00EC1F04">
            <w:pPr>
              <w:spacing w:line="360" w:lineRule="auto"/>
              <w:jc w:val="both"/>
              <w:rPr>
                <w:rFonts w:ascii="Times New Roman" w:eastAsia="Calibri" w:hAnsi="Times New Roman"/>
                <w:b/>
                <w:bCs/>
                <w:color w:val="000000" w:themeColor="text1"/>
                <w:spacing w:val="0"/>
                <w:sz w:val="22"/>
                <w:szCs w:val="22"/>
                <w:lang w:val="en-GB" w:eastAsia="en-US"/>
              </w:rPr>
            </w:pPr>
            <w:r w:rsidRPr="009F5140">
              <w:rPr>
                <w:rFonts w:ascii="Times New Roman" w:eastAsia="Calibri" w:hAnsi="Times New Roman"/>
                <w:b/>
                <w:bCs/>
                <w:color w:val="000000" w:themeColor="text1"/>
                <w:spacing w:val="0"/>
                <w:sz w:val="22"/>
                <w:szCs w:val="22"/>
                <w:lang w:val="en-GB" w:eastAsia="en-US"/>
              </w:rPr>
              <w:t>Nominal % Change</w:t>
            </w:r>
          </w:p>
        </w:tc>
        <w:tc>
          <w:tcPr>
            <w:tcW w:w="951" w:type="dxa"/>
          </w:tcPr>
          <w:p w14:paraId="0D741464" w14:textId="77777777" w:rsidR="009F5140" w:rsidRPr="009F5140" w:rsidRDefault="009F5140" w:rsidP="00EC1F04">
            <w:pPr>
              <w:spacing w:line="360" w:lineRule="auto"/>
              <w:jc w:val="both"/>
              <w:rPr>
                <w:rFonts w:ascii="Times New Roman" w:eastAsia="Calibri" w:hAnsi="Times New Roman"/>
                <w:b/>
                <w:bCs/>
                <w:color w:val="000000" w:themeColor="text1"/>
                <w:spacing w:val="0"/>
                <w:sz w:val="22"/>
                <w:szCs w:val="22"/>
                <w:lang w:val="en-GB" w:eastAsia="en-US"/>
              </w:rPr>
            </w:pPr>
            <w:r w:rsidRPr="009F5140">
              <w:rPr>
                <w:rFonts w:ascii="Times New Roman" w:eastAsia="Calibri" w:hAnsi="Times New Roman"/>
                <w:b/>
                <w:bCs/>
                <w:color w:val="000000" w:themeColor="text1"/>
                <w:spacing w:val="0"/>
                <w:sz w:val="22"/>
                <w:szCs w:val="22"/>
                <w:lang w:val="en-GB" w:eastAsia="en-US"/>
              </w:rPr>
              <w:t>Real % Change</w:t>
            </w:r>
          </w:p>
        </w:tc>
      </w:tr>
      <w:tr w:rsidR="009F5140" w14:paraId="291AB5D3" w14:textId="77777777" w:rsidTr="00BD6D83">
        <w:tc>
          <w:tcPr>
            <w:tcW w:w="1720" w:type="dxa"/>
          </w:tcPr>
          <w:p w14:paraId="41F336CA" w14:textId="77777777" w:rsidR="009F5140" w:rsidRPr="009F5140" w:rsidRDefault="009F5140" w:rsidP="009F5140">
            <w:pPr>
              <w:spacing w:line="360" w:lineRule="auto"/>
              <w:rPr>
                <w:rFonts w:ascii="Times New Roman" w:eastAsia="Calibri" w:hAnsi="Times New Roman"/>
                <w:bCs/>
                <w:color w:val="000000" w:themeColor="text1"/>
                <w:spacing w:val="0"/>
                <w:sz w:val="22"/>
                <w:szCs w:val="22"/>
                <w:lang w:val="en-GB" w:eastAsia="en-US"/>
              </w:rPr>
            </w:pPr>
            <w:r w:rsidRPr="009F5140">
              <w:rPr>
                <w:rFonts w:ascii="Times New Roman" w:eastAsia="Calibri" w:hAnsi="Times New Roman"/>
                <w:bCs/>
                <w:color w:val="000000" w:themeColor="text1"/>
                <w:spacing w:val="0"/>
                <w:sz w:val="22"/>
                <w:szCs w:val="22"/>
                <w:lang w:val="en-GB" w:eastAsia="en-US"/>
              </w:rPr>
              <w:t>R Million</w:t>
            </w:r>
          </w:p>
        </w:tc>
        <w:tc>
          <w:tcPr>
            <w:tcW w:w="872" w:type="dxa"/>
          </w:tcPr>
          <w:p w14:paraId="2A89B5F5" w14:textId="77777777" w:rsidR="009F5140" w:rsidRPr="009F5140" w:rsidRDefault="009F5140" w:rsidP="00EC1F04">
            <w:pPr>
              <w:spacing w:line="360" w:lineRule="auto"/>
              <w:jc w:val="both"/>
              <w:rPr>
                <w:rFonts w:ascii="Times New Roman" w:eastAsia="Calibri" w:hAnsi="Times New Roman"/>
                <w:bCs/>
                <w:color w:val="000000" w:themeColor="text1"/>
                <w:spacing w:val="0"/>
                <w:sz w:val="20"/>
                <w:szCs w:val="20"/>
                <w:lang w:val="en-GB" w:eastAsia="en-US"/>
              </w:rPr>
            </w:pPr>
            <w:r w:rsidRPr="009F5140">
              <w:rPr>
                <w:rFonts w:ascii="Times New Roman" w:eastAsia="Calibri" w:hAnsi="Times New Roman"/>
                <w:bCs/>
                <w:color w:val="000000" w:themeColor="text1"/>
                <w:spacing w:val="0"/>
                <w:sz w:val="20"/>
                <w:szCs w:val="20"/>
                <w:lang w:val="en-GB" w:eastAsia="en-US"/>
              </w:rPr>
              <w:t>2018/18</w:t>
            </w:r>
          </w:p>
        </w:tc>
        <w:tc>
          <w:tcPr>
            <w:tcW w:w="872" w:type="dxa"/>
          </w:tcPr>
          <w:p w14:paraId="001631ED" w14:textId="77777777" w:rsidR="009F5140" w:rsidRPr="009F5140" w:rsidRDefault="009F5140" w:rsidP="00EC1F04">
            <w:pPr>
              <w:spacing w:line="360" w:lineRule="auto"/>
              <w:jc w:val="both"/>
              <w:rPr>
                <w:rFonts w:ascii="Times New Roman" w:eastAsia="Calibri" w:hAnsi="Times New Roman"/>
                <w:bCs/>
                <w:color w:val="000000" w:themeColor="text1"/>
                <w:spacing w:val="0"/>
                <w:sz w:val="20"/>
                <w:szCs w:val="20"/>
                <w:lang w:val="en-GB" w:eastAsia="en-US"/>
              </w:rPr>
            </w:pPr>
            <w:r w:rsidRPr="009F5140">
              <w:rPr>
                <w:rFonts w:ascii="Times New Roman" w:eastAsia="Calibri" w:hAnsi="Times New Roman"/>
                <w:bCs/>
                <w:color w:val="000000" w:themeColor="text1"/>
                <w:spacing w:val="0"/>
                <w:sz w:val="20"/>
                <w:szCs w:val="20"/>
                <w:lang w:val="en-GB" w:eastAsia="en-US"/>
              </w:rPr>
              <w:t>2019/20</w:t>
            </w:r>
          </w:p>
        </w:tc>
        <w:tc>
          <w:tcPr>
            <w:tcW w:w="872" w:type="dxa"/>
          </w:tcPr>
          <w:p w14:paraId="6E86143B" w14:textId="77777777" w:rsidR="009F5140" w:rsidRPr="009F5140" w:rsidRDefault="009F5140" w:rsidP="00EC1F04">
            <w:pPr>
              <w:spacing w:line="360" w:lineRule="auto"/>
              <w:jc w:val="both"/>
              <w:rPr>
                <w:rFonts w:ascii="Times New Roman" w:eastAsia="Calibri" w:hAnsi="Times New Roman"/>
                <w:bCs/>
                <w:color w:val="000000" w:themeColor="text1"/>
                <w:spacing w:val="0"/>
                <w:sz w:val="20"/>
                <w:szCs w:val="20"/>
                <w:lang w:val="en-GB" w:eastAsia="en-US"/>
              </w:rPr>
            </w:pPr>
            <w:r w:rsidRPr="009F5140">
              <w:rPr>
                <w:rFonts w:ascii="Times New Roman" w:eastAsia="Calibri" w:hAnsi="Times New Roman"/>
                <w:bCs/>
                <w:color w:val="000000" w:themeColor="text1"/>
                <w:spacing w:val="0"/>
                <w:sz w:val="20"/>
                <w:szCs w:val="20"/>
                <w:lang w:val="en-GB" w:eastAsia="en-US"/>
              </w:rPr>
              <w:t>2020/21</w:t>
            </w:r>
          </w:p>
        </w:tc>
        <w:tc>
          <w:tcPr>
            <w:tcW w:w="872" w:type="dxa"/>
          </w:tcPr>
          <w:p w14:paraId="28C3120C" w14:textId="77777777" w:rsidR="009F5140" w:rsidRPr="009F5140" w:rsidRDefault="009F5140" w:rsidP="00EC1F04">
            <w:pPr>
              <w:spacing w:line="360" w:lineRule="auto"/>
              <w:jc w:val="both"/>
              <w:rPr>
                <w:rFonts w:ascii="Times New Roman" w:eastAsia="Calibri" w:hAnsi="Times New Roman"/>
                <w:bCs/>
                <w:color w:val="000000" w:themeColor="text1"/>
                <w:spacing w:val="0"/>
                <w:sz w:val="20"/>
                <w:szCs w:val="20"/>
                <w:lang w:val="en-GB" w:eastAsia="en-US"/>
              </w:rPr>
            </w:pPr>
            <w:r w:rsidRPr="009F5140">
              <w:rPr>
                <w:rFonts w:ascii="Times New Roman" w:eastAsia="Calibri" w:hAnsi="Times New Roman"/>
                <w:bCs/>
                <w:color w:val="000000" w:themeColor="text1"/>
                <w:spacing w:val="0"/>
                <w:sz w:val="20"/>
                <w:szCs w:val="20"/>
                <w:lang w:val="en-GB" w:eastAsia="en-US"/>
              </w:rPr>
              <w:t>2021/22</w:t>
            </w:r>
          </w:p>
        </w:tc>
        <w:tc>
          <w:tcPr>
            <w:tcW w:w="1986" w:type="dxa"/>
            <w:gridSpan w:val="2"/>
          </w:tcPr>
          <w:p w14:paraId="5E982C27" w14:textId="77777777" w:rsidR="009F5140" w:rsidRPr="009F5140" w:rsidRDefault="009F5140" w:rsidP="00EC1F04">
            <w:pPr>
              <w:spacing w:line="360" w:lineRule="auto"/>
              <w:jc w:val="both"/>
              <w:rPr>
                <w:rFonts w:ascii="Times New Roman" w:eastAsia="Calibri" w:hAnsi="Times New Roman"/>
                <w:bCs/>
                <w:color w:val="000000" w:themeColor="text1"/>
                <w:spacing w:val="0"/>
                <w:sz w:val="20"/>
                <w:szCs w:val="20"/>
                <w:lang w:val="en-GB" w:eastAsia="en-US"/>
              </w:rPr>
            </w:pPr>
            <w:r w:rsidRPr="009F5140">
              <w:rPr>
                <w:rFonts w:ascii="Times New Roman" w:eastAsia="Calibri" w:hAnsi="Times New Roman"/>
                <w:bCs/>
                <w:color w:val="000000" w:themeColor="text1"/>
                <w:spacing w:val="0"/>
                <w:sz w:val="20"/>
                <w:szCs w:val="20"/>
                <w:lang w:val="en-GB" w:eastAsia="en-US"/>
              </w:rPr>
              <w:t>2018/19 -2019/20</w:t>
            </w:r>
          </w:p>
        </w:tc>
        <w:tc>
          <w:tcPr>
            <w:tcW w:w="1986" w:type="dxa"/>
            <w:gridSpan w:val="2"/>
          </w:tcPr>
          <w:p w14:paraId="0EE2AD30" w14:textId="77777777" w:rsidR="009F5140" w:rsidRPr="009F5140" w:rsidRDefault="009F5140" w:rsidP="00EC1F04">
            <w:pPr>
              <w:spacing w:line="360" w:lineRule="auto"/>
              <w:jc w:val="both"/>
              <w:rPr>
                <w:rFonts w:ascii="Times New Roman" w:eastAsia="Calibri" w:hAnsi="Times New Roman"/>
                <w:bCs/>
                <w:color w:val="000000" w:themeColor="text1"/>
                <w:spacing w:val="0"/>
                <w:sz w:val="20"/>
                <w:szCs w:val="20"/>
                <w:lang w:val="en-GB" w:eastAsia="en-US"/>
              </w:rPr>
            </w:pPr>
            <w:r w:rsidRPr="009F5140">
              <w:rPr>
                <w:rFonts w:ascii="Times New Roman" w:eastAsia="Calibri" w:hAnsi="Times New Roman"/>
                <w:bCs/>
                <w:color w:val="000000" w:themeColor="text1"/>
                <w:spacing w:val="0"/>
                <w:sz w:val="20"/>
                <w:szCs w:val="20"/>
                <w:lang w:val="en-GB" w:eastAsia="en-US"/>
              </w:rPr>
              <w:t>2018/19-2019/20</w:t>
            </w:r>
          </w:p>
        </w:tc>
      </w:tr>
      <w:tr w:rsidR="009F5140" w14:paraId="63C78D2C" w14:textId="77777777" w:rsidTr="00BD6D83">
        <w:tc>
          <w:tcPr>
            <w:tcW w:w="1720" w:type="dxa"/>
          </w:tcPr>
          <w:p w14:paraId="00BE19A7" w14:textId="77777777" w:rsidR="009F5140" w:rsidRPr="009F5140" w:rsidRDefault="009F5140" w:rsidP="001754B7">
            <w:pPr>
              <w:pStyle w:val="ListParagraph"/>
              <w:numPr>
                <w:ilvl w:val="2"/>
                <w:numId w:val="13"/>
              </w:numPr>
              <w:spacing w:line="360" w:lineRule="auto"/>
              <w:ind w:left="171" w:hanging="284"/>
              <w:rPr>
                <w:rFonts w:ascii="Times New Roman" w:eastAsia="Calibri" w:hAnsi="Times New Roman"/>
                <w:bCs/>
                <w:color w:val="000000" w:themeColor="text1"/>
                <w:spacing w:val="0"/>
                <w:sz w:val="22"/>
                <w:szCs w:val="22"/>
                <w:lang w:val="en-GB" w:eastAsia="en-US"/>
              </w:rPr>
            </w:pPr>
            <w:r w:rsidRPr="009F5140">
              <w:rPr>
                <w:rFonts w:ascii="Times New Roman" w:eastAsia="Calibri" w:hAnsi="Times New Roman"/>
                <w:bCs/>
                <w:color w:val="000000" w:themeColor="text1"/>
                <w:spacing w:val="0"/>
                <w:sz w:val="22"/>
                <w:szCs w:val="22"/>
                <w:lang w:val="en-GB" w:eastAsia="en-US"/>
              </w:rPr>
              <w:t>Administration</w:t>
            </w:r>
          </w:p>
        </w:tc>
        <w:tc>
          <w:tcPr>
            <w:tcW w:w="872" w:type="dxa"/>
          </w:tcPr>
          <w:p w14:paraId="17EABF69"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2525,1</w:t>
            </w:r>
          </w:p>
        </w:tc>
        <w:tc>
          <w:tcPr>
            <w:tcW w:w="872" w:type="dxa"/>
          </w:tcPr>
          <w:p w14:paraId="23BDEB46"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2340,2</w:t>
            </w:r>
          </w:p>
        </w:tc>
        <w:tc>
          <w:tcPr>
            <w:tcW w:w="872" w:type="dxa"/>
          </w:tcPr>
          <w:p w14:paraId="47F7B063"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2490,5</w:t>
            </w:r>
          </w:p>
        </w:tc>
        <w:tc>
          <w:tcPr>
            <w:tcW w:w="872" w:type="dxa"/>
          </w:tcPr>
          <w:p w14:paraId="0436A0E5"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2694,5</w:t>
            </w:r>
          </w:p>
        </w:tc>
        <w:tc>
          <w:tcPr>
            <w:tcW w:w="1035" w:type="dxa"/>
          </w:tcPr>
          <w:p w14:paraId="3EC72198"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-184,9</w:t>
            </w:r>
          </w:p>
        </w:tc>
        <w:tc>
          <w:tcPr>
            <w:tcW w:w="951" w:type="dxa"/>
          </w:tcPr>
          <w:p w14:paraId="7860AB18" w14:textId="77777777" w:rsidR="009F5140" w:rsidRPr="009F5140" w:rsidRDefault="00BD6D83"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-300,6</w:t>
            </w:r>
          </w:p>
        </w:tc>
        <w:tc>
          <w:tcPr>
            <w:tcW w:w="1035" w:type="dxa"/>
          </w:tcPr>
          <w:p w14:paraId="2F90A09F" w14:textId="77777777" w:rsidR="009F5140" w:rsidRPr="009F5140" w:rsidRDefault="00BD6D83"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-7,32</w:t>
            </w:r>
          </w:p>
        </w:tc>
        <w:tc>
          <w:tcPr>
            <w:tcW w:w="951" w:type="dxa"/>
          </w:tcPr>
          <w:p w14:paraId="5A6EB2A0" w14:textId="77777777" w:rsidR="009F5140" w:rsidRPr="009F5140" w:rsidRDefault="00BD6D83"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-11,9</w:t>
            </w:r>
          </w:p>
        </w:tc>
      </w:tr>
      <w:tr w:rsidR="009F5140" w14:paraId="2154260A" w14:textId="77777777" w:rsidTr="00BD6D83">
        <w:tc>
          <w:tcPr>
            <w:tcW w:w="1720" w:type="dxa"/>
          </w:tcPr>
          <w:p w14:paraId="797FC425" w14:textId="77777777" w:rsidR="009F5140" w:rsidRPr="009F5140" w:rsidRDefault="009F5140" w:rsidP="001754B7">
            <w:pPr>
              <w:pStyle w:val="ListParagraph"/>
              <w:numPr>
                <w:ilvl w:val="2"/>
                <w:numId w:val="13"/>
              </w:numPr>
              <w:spacing w:line="360" w:lineRule="auto"/>
              <w:ind w:left="171" w:hanging="284"/>
              <w:rPr>
                <w:rFonts w:ascii="Times New Roman" w:eastAsia="Calibri" w:hAnsi="Times New Roman"/>
                <w:bCs/>
                <w:color w:val="000000" w:themeColor="text1"/>
                <w:spacing w:val="0"/>
                <w:sz w:val="22"/>
                <w:szCs w:val="22"/>
                <w:lang w:val="en-GB" w:eastAsia="en-US"/>
              </w:rPr>
            </w:pPr>
            <w:r w:rsidRPr="009F5140">
              <w:rPr>
                <w:rFonts w:ascii="Times New Roman" w:eastAsia="Calibri" w:hAnsi="Times New Roman"/>
                <w:bCs/>
                <w:color w:val="000000" w:themeColor="text1"/>
                <w:spacing w:val="0"/>
                <w:sz w:val="22"/>
                <w:szCs w:val="22"/>
                <w:lang w:val="en-GB" w:eastAsia="en-US"/>
              </w:rPr>
              <w:t>Citizen Affairs</w:t>
            </w:r>
          </w:p>
        </w:tc>
        <w:tc>
          <w:tcPr>
            <w:tcW w:w="872" w:type="dxa"/>
          </w:tcPr>
          <w:p w14:paraId="3594C69D"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5448,7</w:t>
            </w:r>
          </w:p>
        </w:tc>
        <w:tc>
          <w:tcPr>
            <w:tcW w:w="872" w:type="dxa"/>
          </w:tcPr>
          <w:p w14:paraId="27944296"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4736,7</w:t>
            </w:r>
          </w:p>
        </w:tc>
        <w:tc>
          <w:tcPr>
            <w:tcW w:w="872" w:type="dxa"/>
          </w:tcPr>
          <w:p w14:paraId="7DCB4E41"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4922,4</w:t>
            </w:r>
          </w:p>
        </w:tc>
        <w:tc>
          <w:tcPr>
            <w:tcW w:w="872" w:type="dxa"/>
          </w:tcPr>
          <w:p w14:paraId="7B8604AD"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5535,1</w:t>
            </w:r>
          </w:p>
        </w:tc>
        <w:tc>
          <w:tcPr>
            <w:tcW w:w="1035" w:type="dxa"/>
          </w:tcPr>
          <w:p w14:paraId="5F6E64CB"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-712</w:t>
            </w:r>
          </w:p>
        </w:tc>
        <w:tc>
          <w:tcPr>
            <w:tcW w:w="951" w:type="dxa"/>
          </w:tcPr>
          <w:p w14:paraId="291DBB01" w14:textId="77777777" w:rsidR="009F5140" w:rsidRPr="009F5140" w:rsidRDefault="00BD6D83"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-946,1</w:t>
            </w:r>
          </w:p>
        </w:tc>
        <w:tc>
          <w:tcPr>
            <w:tcW w:w="1035" w:type="dxa"/>
          </w:tcPr>
          <w:p w14:paraId="749BE77B" w14:textId="77777777" w:rsidR="009F5140" w:rsidRPr="009F5140" w:rsidRDefault="00BD6D83"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-13,07</w:t>
            </w:r>
          </w:p>
        </w:tc>
        <w:tc>
          <w:tcPr>
            <w:tcW w:w="951" w:type="dxa"/>
          </w:tcPr>
          <w:p w14:paraId="1C0C5CE3" w14:textId="77777777" w:rsidR="009F5140" w:rsidRPr="009F5140" w:rsidRDefault="00BD6D83"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-17,36</w:t>
            </w:r>
          </w:p>
        </w:tc>
      </w:tr>
      <w:tr w:rsidR="009F5140" w14:paraId="2747EA77" w14:textId="77777777" w:rsidTr="00BD6D83">
        <w:tc>
          <w:tcPr>
            <w:tcW w:w="1720" w:type="dxa"/>
          </w:tcPr>
          <w:p w14:paraId="3444229A" w14:textId="77777777" w:rsidR="009F5140" w:rsidRPr="009F5140" w:rsidRDefault="009F5140" w:rsidP="001754B7">
            <w:pPr>
              <w:pStyle w:val="ListParagraph"/>
              <w:numPr>
                <w:ilvl w:val="2"/>
                <w:numId w:val="13"/>
              </w:numPr>
              <w:spacing w:line="360" w:lineRule="auto"/>
              <w:ind w:left="171" w:hanging="284"/>
              <w:rPr>
                <w:rFonts w:ascii="Times New Roman" w:eastAsia="Calibri" w:hAnsi="Times New Roman"/>
                <w:bCs/>
                <w:color w:val="000000" w:themeColor="text1"/>
                <w:spacing w:val="0"/>
                <w:sz w:val="22"/>
                <w:szCs w:val="22"/>
                <w:lang w:val="en-GB" w:eastAsia="en-US"/>
              </w:rPr>
            </w:pPr>
            <w:r w:rsidRPr="009F5140">
              <w:rPr>
                <w:rFonts w:ascii="Times New Roman" w:eastAsia="Calibri" w:hAnsi="Times New Roman"/>
                <w:bCs/>
                <w:color w:val="000000" w:themeColor="text1"/>
                <w:spacing w:val="0"/>
                <w:sz w:val="22"/>
                <w:szCs w:val="22"/>
                <w:lang w:val="en-GB" w:eastAsia="en-US"/>
              </w:rPr>
              <w:t>Immigration Affairs</w:t>
            </w:r>
          </w:p>
        </w:tc>
        <w:tc>
          <w:tcPr>
            <w:tcW w:w="872" w:type="dxa"/>
          </w:tcPr>
          <w:p w14:paraId="34F04709"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1073,6</w:t>
            </w:r>
          </w:p>
        </w:tc>
        <w:tc>
          <w:tcPr>
            <w:tcW w:w="872" w:type="dxa"/>
          </w:tcPr>
          <w:p w14:paraId="00E1FCFD"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1262,8</w:t>
            </w:r>
          </w:p>
        </w:tc>
        <w:tc>
          <w:tcPr>
            <w:tcW w:w="872" w:type="dxa"/>
          </w:tcPr>
          <w:p w14:paraId="78B32BC8"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1330,6</w:t>
            </w:r>
          </w:p>
        </w:tc>
        <w:tc>
          <w:tcPr>
            <w:tcW w:w="872" w:type="dxa"/>
          </w:tcPr>
          <w:p w14:paraId="0CA38881"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1383,1</w:t>
            </w:r>
          </w:p>
        </w:tc>
        <w:tc>
          <w:tcPr>
            <w:tcW w:w="1035" w:type="dxa"/>
          </w:tcPr>
          <w:p w14:paraId="78B86AA4"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189,2</w:t>
            </w:r>
          </w:p>
        </w:tc>
        <w:tc>
          <w:tcPr>
            <w:tcW w:w="951" w:type="dxa"/>
          </w:tcPr>
          <w:p w14:paraId="55E0151B" w14:textId="77777777" w:rsidR="009F5140" w:rsidRPr="009F5140" w:rsidRDefault="00BD6D83"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126,8</w:t>
            </w:r>
          </w:p>
        </w:tc>
        <w:tc>
          <w:tcPr>
            <w:tcW w:w="1035" w:type="dxa"/>
          </w:tcPr>
          <w:p w14:paraId="10968CA5" w14:textId="77777777" w:rsidR="009F5140" w:rsidRPr="009F5140" w:rsidRDefault="00BD6D83"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17,62</w:t>
            </w:r>
          </w:p>
        </w:tc>
        <w:tc>
          <w:tcPr>
            <w:tcW w:w="951" w:type="dxa"/>
          </w:tcPr>
          <w:p w14:paraId="7A9E55A1" w14:textId="77777777" w:rsidR="009F5140" w:rsidRPr="009F5140" w:rsidRDefault="00BD6D83"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11,81</w:t>
            </w:r>
          </w:p>
        </w:tc>
      </w:tr>
      <w:tr w:rsidR="009F5140" w14:paraId="175989D2" w14:textId="77777777" w:rsidTr="00BD6D83">
        <w:tc>
          <w:tcPr>
            <w:tcW w:w="1720" w:type="dxa"/>
          </w:tcPr>
          <w:p w14:paraId="0CFA9D24"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sidRPr="009F5140">
              <w:rPr>
                <w:rFonts w:ascii="Times New Roman" w:eastAsia="Calibri" w:hAnsi="Times New Roman"/>
                <w:bCs/>
                <w:color w:val="000000" w:themeColor="text1"/>
                <w:spacing w:val="0"/>
                <w:sz w:val="22"/>
                <w:szCs w:val="22"/>
                <w:lang w:val="en-GB" w:eastAsia="en-US"/>
              </w:rPr>
              <w:t>Total</w:t>
            </w:r>
          </w:p>
        </w:tc>
        <w:tc>
          <w:tcPr>
            <w:tcW w:w="872" w:type="dxa"/>
          </w:tcPr>
          <w:p w14:paraId="056B339E"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9047,4</w:t>
            </w:r>
          </w:p>
        </w:tc>
        <w:tc>
          <w:tcPr>
            <w:tcW w:w="872" w:type="dxa"/>
          </w:tcPr>
          <w:p w14:paraId="7CA7D716"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8339,7</w:t>
            </w:r>
          </w:p>
        </w:tc>
        <w:tc>
          <w:tcPr>
            <w:tcW w:w="872" w:type="dxa"/>
          </w:tcPr>
          <w:p w14:paraId="4DF36B04"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8743,5</w:t>
            </w:r>
          </w:p>
        </w:tc>
        <w:tc>
          <w:tcPr>
            <w:tcW w:w="872" w:type="dxa"/>
          </w:tcPr>
          <w:p w14:paraId="0E5D5465"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9612,7</w:t>
            </w:r>
          </w:p>
        </w:tc>
        <w:tc>
          <w:tcPr>
            <w:tcW w:w="1035" w:type="dxa"/>
          </w:tcPr>
          <w:p w14:paraId="2D7B554C" w14:textId="77777777" w:rsidR="009F5140" w:rsidRPr="009F5140" w:rsidRDefault="009F5140"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-707,7</w:t>
            </w:r>
          </w:p>
        </w:tc>
        <w:tc>
          <w:tcPr>
            <w:tcW w:w="951" w:type="dxa"/>
          </w:tcPr>
          <w:p w14:paraId="6F841DB2" w14:textId="77777777" w:rsidR="009F5140" w:rsidRPr="009F5140" w:rsidRDefault="00BD6D83"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-1119,9</w:t>
            </w:r>
          </w:p>
        </w:tc>
        <w:tc>
          <w:tcPr>
            <w:tcW w:w="1035" w:type="dxa"/>
          </w:tcPr>
          <w:p w14:paraId="3A7434BE" w14:textId="77777777" w:rsidR="009F5140" w:rsidRPr="009F5140" w:rsidRDefault="00BD6D83"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-7,82</w:t>
            </w:r>
          </w:p>
        </w:tc>
        <w:tc>
          <w:tcPr>
            <w:tcW w:w="951" w:type="dxa"/>
          </w:tcPr>
          <w:p w14:paraId="17183943" w14:textId="77777777" w:rsidR="009F5140" w:rsidRPr="009F5140" w:rsidRDefault="00BD6D83" w:rsidP="00EC1F04">
            <w:pPr>
              <w:spacing w:line="360" w:lineRule="auto"/>
              <w:jc w:val="both"/>
              <w:rPr>
                <w:rFonts w:ascii="Times New Roman" w:eastAsia="Calibri" w:hAnsi="Times New Roman"/>
                <w:bCs/>
                <w:color w:val="000000" w:themeColor="text1"/>
                <w:spacing w:val="0"/>
                <w:sz w:val="22"/>
                <w:szCs w:val="22"/>
                <w:lang w:val="en-GB" w:eastAsia="en-US"/>
              </w:rPr>
            </w:pPr>
            <w:r>
              <w:rPr>
                <w:rFonts w:ascii="Times New Roman" w:eastAsia="Calibri" w:hAnsi="Times New Roman"/>
                <w:bCs/>
                <w:color w:val="000000" w:themeColor="text1"/>
                <w:spacing w:val="0"/>
                <w:sz w:val="22"/>
                <w:szCs w:val="22"/>
                <w:lang w:val="en-GB" w:eastAsia="en-US"/>
              </w:rPr>
              <w:t>-12,38</w:t>
            </w:r>
          </w:p>
        </w:tc>
      </w:tr>
    </w:tbl>
    <w:p w14:paraId="610905E5" w14:textId="77777777" w:rsidR="00EC1F04" w:rsidRPr="006504B3" w:rsidRDefault="00EC1F04" w:rsidP="00EC1F04">
      <w:pPr>
        <w:spacing w:line="360" w:lineRule="auto"/>
        <w:jc w:val="both"/>
        <w:rPr>
          <w:rFonts w:ascii="Times New Roman" w:eastAsia="Calibri" w:hAnsi="Times New Roman"/>
          <w:b/>
          <w:bCs/>
          <w:color w:val="000000" w:themeColor="text1"/>
          <w:spacing w:val="0"/>
          <w:sz w:val="24"/>
          <w:szCs w:val="24"/>
          <w:lang w:eastAsia="en-US"/>
        </w:rPr>
      </w:pPr>
    </w:p>
    <w:p w14:paraId="3233FC68" w14:textId="77777777" w:rsidR="00EC1F04" w:rsidRPr="00C56099" w:rsidRDefault="00BD6D83" w:rsidP="00EC1F04">
      <w:pPr>
        <w:spacing w:line="360" w:lineRule="auto"/>
        <w:jc w:val="both"/>
        <w:rPr>
          <w:rFonts w:ascii="Times New Roman" w:eastAsia="Calibri" w:hAnsi="Times New Roman"/>
          <w:b/>
          <w:bCs/>
          <w:color w:val="000000" w:themeColor="text1"/>
          <w:spacing w:val="0"/>
          <w:sz w:val="28"/>
          <w:szCs w:val="28"/>
          <w:lang w:eastAsia="en-US"/>
        </w:rPr>
      </w:pPr>
      <w:r w:rsidRPr="00C56099">
        <w:rPr>
          <w:rFonts w:ascii="Times New Roman" w:eastAsia="Calibri" w:hAnsi="Times New Roman"/>
          <w:b/>
          <w:bCs/>
          <w:color w:val="000000" w:themeColor="text1"/>
          <w:spacing w:val="0"/>
          <w:sz w:val="28"/>
          <w:szCs w:val="28"/>
          <w:lang w:eastAsia="en-US"/>
        </w:rPr>
        <w:t xml:space="preserve">1.2.1 </w:t>
      </w:r>
      <w:r w:rsidR="00EC1F04" w:rsidRPr="00C56099">
        <w:rPr>
          <w:rFonts w:ascii="Times New Roman" w:eastAsia="Calibri" w:hAnsi="Times New Roman"/>
          <w:b/>
          <w:bCs/>
          <w:color w:val="000000" w:themeColor="text1"/>
          <w:spacing w:val="0"/>
          <w:sz w:val="28"/>
          <w:szCs w:val="28"/>
          <w:lang w:eastAsia="en-US"/>
        </w:rPr>
        <w:t xml:space="preserve">Main programme allocations </w:t>
      </w:r>
    </w:p>
    <w:p w14:paraId="0F66EFEF" w14:textId="77777777" w:rsidR="00EC1F04" w:rsidRPr="00EC1F04" w:rsidRDefault="00EC1F04" w:rsidP="00EC1F04">
      <w:pPr>
        <w:spacing w:line="360" w:lineRule="auto"/>
        <w:jc w:val="both"/>
        <w:rPr>
          <w:rFonts w:ascii="Times New Roman" w:eastAsia="Calibri" w:hAnsi="Times New Roman"/>
          <w:bCs/>
          <w:color w:val="auto"/>
          <w:spacing w:val="0"/>
          <w:sz w:val="24"/>
          <w:szCs w:val="24"/>
          <w:lang w:eastAsia="en-US"/>
        </w:rPr>
      </w:pPr>
      <w:r w:rsidRPr="00EC1F04">
        <w:rPr>
          <w:rFonts w:ascii="Times New Roman" w:eastAsia="Calibri" w:hAnsi="Times New Roman"/>
          <w:bCs/>
          <w:color w:val="auto"/>
          <w:spacing w:val="0"/>
          <w:sz w:val="24"/>
          <w:szCs w:val="24"/>
          <w:lang w:eastAsia="en-US"/>
        </w:rPr>
        <w:t xml:space="preserve">The DHA plays a crucial role in safeguarding the identity and status of citizens and regulate immigration to ensure security, promote development and fulfil South Africa’s international obligations. However, its budget is relatively small taking into account the growing demand from citizens for DHA services.  </w:t>
      </w:r>
    </w:p>
    <w:p w14:paraId="7B0F689B" w14:textId="77777777" w:rsidR="00EC1F04" w:rsidRPr="00EC1F04" w:rsidRDefault="00EC1F04" w:rsidP="00EC1F04">
      <w:pPr>
        <w:spacing w:line="360" w:lineRule="auto"/>
        <w:jc w:val="both"/>
        <w:rPr>
          <w:rFonts w:ascii="Times New Roman" w:eastAsia="Calibri" w:hAnsi="Times New Roman"/>
          <w:bCs/>
          <w:color w:val="auto"/>
          <w:spacing w:val="0"/>
          <w:sz w:val="24"/>
          <w:szCs w:val="24"/>
          <w:lang w:eastAsia="en-US"/>
        </w:rPr>
      </w:pPr>
    </w:p>
    <w:p w14:paraId="192CF8C6"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 xml:space="preserve">The voted budget allocation for the 2019/20 financial year is R8.339 billion. In comparison with the 2018/19 adjusted allocation of R9.047 billion, in Rand value, it shows a nominal decrease of R707.7 million (but when the cost of inflation is taken into consideration, the budget shows a real decrease of R1.119 billion). It should be noted, however, that over the past five years (2014/15 – 2018/19), there has been a trend for the DHA voted allocation to invariably be adjusted upward in the adjusted allocation during September.  </w:t>
      </w:r>
    </w:p>
    <w:p w14:paraId="6D507E26"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p>
    <w:p w14:paraId="440456D0"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 xml:space="preserve">Table 1 above, illustrates that, with inflation, the DHA 2019/20 voted budget declines with 12.38 per cent from the adjusted budget the previous year. Of its three main programmes, only the </w:t>
      </w:r>
      <w:r w:rsidRPr="00EC1F04">
        <w:rPr>
          <w:rFonts w:ascii="Times New Roman" w:eastAsia="Calibri" w:hAnsi="Times New Roman"/>
          <w:i/>
          <w:color w:val="auto"/>
          <w:spacing w:val="0"/>
          <w:sz w:val="24"/>
          <w:szCs w:val="24"/>
          <w:lang w:eastAsia="en-US"/>
        </w:rPr>
        <w:t>Immigration Affairs</w:t>
      </w:r>
      <w:r w:rsidRPr="00EC1F04">
        <w:rPr>
          <w:rFonts w:ascii="Times New Roman" w:eastAsia="Calibri" w:hAnsi="Times New Roman"/>
          <w:color w:val="auto"/>
          <w:spacing w:val="0"/>
          <w:sz w:val="24"/>
          <w:szCs w:val="24"/>
          <w:lang w:eastAsia="en-US"/>
        </w:rPr>
        <w:t xml:space="preserve"> programme increases in both nominal and in real terms. In nominal terms (before inflation is taken into account), the </w:t>
      </w:r>
      <w:r w:rsidRPr="00EC1F04">
        <w:rPr>
          <w:rFonts w:ascii="Times New Roman" w:eastAsia="Calibri" w:hAnsi="Times New Roman"/>
          <w:i/>
          <w:color w:val="auto"/>
          <w:spacing w:val="0"/>
          <w:sz w:val="24"/>
          <w:szCs w:val="24"/>
          <w:lang w:eastAsia="en-US"/>
        </w:rPr>
        <w:t>Immigration Affairs</w:t>
      </w:r>
      <w:r w:rsidRPr="00EC1F04">
        <w:rPr>
          <w:rFonts w:ascii="Times New Roman" w:eastAsia="Calibri" w:hAnsi="Times New Roman"/>
          <w:color w:val="auto"/>
          <w:spacing w:val="0"/>
          <w:sz w:val="24"/>
          <w:szCs w:val="24"/>
          <w:lang w:eastAsia="en-US"/>
        </w:rPr>
        <w:t xml:space="preserve"> increases by R189.2 million (17.62 per cent). However, with the inflationary effect (real terms), this increase translates into R126.8 million (11.81 per cent).</w:t>
      </w:r>
    </w:p>
    <w:p w14:paraId="75834FB0"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p>
    <w:p w14:paraId="499502E1"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 xml:space="preserve">The </w:t>
      </w:r>
      <w:r w:rsidRPr="00EC1F04">
        <w:rPr>
          <w:rFonts w:ascii="Times New Roman" w:eastAsia="Calibri" w:hAnsi="Times New Roman"/>
          <w:i/>
          <w:color w:val="auto"/>
          <w:spacing w:val="0"/>
          <w:sz w:val="24"/>
          <w:szCs w:val="24"/>
          <w:lang w:eastAsia="en-US"/>
        </w:rPr>
        <w:t>Administration</w:t>
      </w:r>
      <w:r w:rsidRPr="00EC1F04">
        <w:rPr>
          <w:rFonts w:ascii="Times New Roman" w:eastAsia="Calibri" w:hAnsi="Times New Roman"/>
          <w:color w:val="auto"/>
          <w:spacing w:val="0"/>
          <w:sz w:val="24"/>
          <w:szCs w:val="24"/>
          <w:lang w:eastAsia="en-US"/>
        </w:rPr>
        <w:t xml:space="preserve"> and </w:t>
      </w:r>
      <w:r w:rsidRPr="00EC1F04">
        <w:rPr>
          <w:rFonts w:ascii="Times New Roman" w:eastAsia="Calibri" w:hAnsi="Times New Roman"/>
          <w:i/>
          <w:color w:val="auto"/>
          <w:spacing w:val="0"/>
          <w:sz w:val="24"/>
          <w:szCs w:val="24"/>
          <w:lang w:eastAsia="en-US"/>
        </w:rPr>
        <w:t>Citizen Affairs</w:t>
      </w:r>
      <w:r w:rsidRPr="00EC1F04">
        <w:rPr>
          <w:rFonts w:ascii="Times New Roman" w:eastAsia="Calibri" w:hAnsi="Times New Roman"/>
          <w:color w:val="auto"/>
          <w:spacing w:val="0"/>
          <w:sz w:val="24"/>
          <w:szCs w:val="24"/>
          <w:lang w:eastAsia="en-US"/>
        </w:rPr>
        <w:t xml:space="preserve"> programmes experience decreases in their respective allocations in both nominal and real terms. </w:t>
      </w:r>
    </w:p>
    <w:p w14:paraId="749C59F6"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p>
    <w:p w14:paraId="2D34259C" w14:textId="77777777" w:rsidR="00EC1F04" w:rsidRPr="00BD6D83" w:rsidRDefault="00BD6D83" w:rsidP="00EC1F04">
      <w:pPr>
        <w:spacing w:line="360" w:lineRule="auto"/>
        <w:jc w:val="both"/>
        <w:rPr>
          <w:rFonts w:ascii="Times New Roman" w:eastAsia="Calibri" w:hAnsi="Times New Roman"/>
          <w:color w:val="000000" w:themeColor="text1"/>
          <w:spacing w:val="0"/>
          <w:sz w:val="24"/>
          <w:szCs w:val="24"/>
          <w:lang w:eastAsia="en-US"/>
        </w:rPr>
      </w:pPr>
      <w:r w:rsidRPr="00BD6D83">
        <w:rPr>
          <w:rFonts w:ascii="Times New Roman" w:eastAsia="Calibri" w:hAnsi="Times New Roman"/>
          <w:color w:val="000000" w:themeColor="text1"/>
          <w:spacing w:val="0"/>
          <w:sz w:val="24"/>
          <w:szCs w:val="24"/>
          <w:lang w:eastAsia="en-US"/>
        </w:rPr>
        <w:t xml:space="preserve">1.2.2 </w:t>
      </w:r>
      <w:r w:rsidR="00EC1F04" w:rsidRPr="00BD6D83">
        <w:rPr>
          <w:rFonts w:ascii="Times New Roman" w:eastAsia="Calibri" w:hAnsi="Times New Roman"/>
          <w:color w:val="000000" w:themeColor="text1"/>
          <w:spacing w:val="0"/>
          <w:sz w:val="24"/>
          <w:szCs w:val="24"/>
          <w:lang w:eastAsia="en-US"/>
        </w:rPr>
        <w:t>Economic classification</w:t>
      </w:r>
    </w:p>
    <w:p w14:paraId="4493933C" w14:textId="77777777" w:rsidR="00EC1F04" w:rsidRPr="00BD6D83" w:rsidRDefault="00EC1F04" w:rsidP="00EC1F04">
      <w:pPr>
        <w:spacing w:line="360" w:lineRule="auto"/>
        <w:jc w:val="both"/>
        <w:rPr>
          <w:rFonts w:ascii="Times New Roman" w:eastAsia="Calibri" w:hAnsi="Times New Roman"/>
          <w:color w:val="auto"/>
          <w:spacing w:val="0"/>
          <w:sz w:val="24"/>
          <w:szCs w:val="24"/>
          <w:lang w:val="en-GB" w:eastAsia="en-US"/>
        </w:rPr>
      </w:pPr>
      <w:r w:rsidRPr="00EC1F04">
        <w:rPr>
          <w:rFonts w:ascii="Times New Roman" w:eastAsia="Calibri" w:hAnsi="Times New Roman"/>
          <w:color w:val="auto"/>
          <w:spacing w:val="0"/>
          <w:sz w:val="24"/>
          <w:szCs w:val="24"/>
          <w:lang w:eastAsia="en-US"/>
        </w:rPr>
        <w:t>About</w:t>
      </w:r>
      <w:r w:rsidRPr="00EC1F04">
        <w:rPr>
          <w:rFonts w:ascii="Times New Roman" w:eastAsia="Calibri" w:hAnsi="Times New Roman"/>
          <w:b/>
          <w:color w:val="auto"/>
          <w:spacing w:val="0"/>
          <w:sz w:val="24"/>
          <w:szCs w:val="24"/>
          <w:lang w:eastAsia="en-US"/>
        </w:rPr>
        <w:t xml:space="preserve"> </w:t>
      </w:r>
      <w:r w:rsidRPr="00EC1F04">
        <w:rPr>
          <w:rFonts w:ascii="Times New Roman" w:eastAsia="Calibri" w:hAnsi="Times New Roman"/>
          <w:color w:val="auto"/>
          <w:spacing w:val="0"/>
          <w:sz w:val="24"/>
          <w:szCs w:val="24"/>
          <w:lang w:eastAsia="en-US"/>
        </w:rPr>
        <w:t>26.1 per cent of the DHA budget is in the form of</w:t>
      </w:r>
      <w:r w:rsidRPr="00EC1F04">
        <w:rPr>
          <w:rFonts w:ascii="Times New Roman" w:eastAsia="Calibri" w:hAnsi="Times New Roman"/>
          <w:b/>
          <w:color w:val="auto"/>
          <w:spacing w:val="0"/>
          <w:sz w:val="24"/>
          <w:szCs w:val="24"/>
          <w:lang w:eastAsia="en-US"/>
        </w:rPr>
        <w:t xml:space="preserve"> transfers and subsidies, </w:t>
      </w:r>
      <w:r w:rsidRPr="00EC1F04">
        <w:rPr>
          <w:rFonts w:ascii="Times New Roman" w:eastAsia="Calibri" w:hAnsi="Times New Roman"/>
          <w:color w:val="auto"/>
          <w:spacing w:val="0"/>
          <w:sz w:val="24"/>
          <w:szCs w:val="24"/>
          <w:lang w:eastAsia="en-US"/>
        </w:rPr>
        <w:t xml:space="preserve">totalling R2 .176.2 billion. This is primarily transfers to the </w:t>
      </w:r>
      <w:r w:rsidRPr="00EC1F04">
        <w:rPr>
          <w:rFonts w:ascii="Times New Roman" w:eastAsia="Calibri" w:hAnsi="Times New Roman"/>
          <w:i/>
          <w:color w:val="auto"/>
          <w:spacing w:val="0"/>
          <w:sz w:val="24"/>
          <w:szCs w:val="24"/>
          <w:lang w:eastAsia="en-US"/>
        </w:rPr>
        <w:t>Independent Electoral Commission</w:t>
      </w:r>
      <w:r w:rsidRPr="00EC1F04">
        <w:rPr>
          <w:rFonts w:ascii="Times New Roman" w:eastAsia="Calibri" w:hAnsi="Times New Roman"/>
          <w:color w:val="auto"/>
          <w:spacing w:val="0"/>
          <w:sz w:val="24"/>
          <w:szCs w:val="24"/>
          <w:lang w:eastAsia="en-US"/>
        </w:rPr>
        <w:t xml:space="preserve"> (IEC) (R2.012 billion) and to the </w:t>
      </w:r>
      <w:r w:rsidRPr="00EC1F04">
        <w:rPr>
          <w:rFonts w:ascii="Times New Roman" w:eastAsia="Calibri" w:hAnsi="Times New Roman"/>
          <w:i/>
          <w:color w:val="auto"/>
          <w:spacing w:val="0"/>
          <w:sz w:val="24"/>
          <w:szCs w:val="24"/>
          <w:lang w:eastAsia="en-US"/>
        </w:rPr>
        <w:t>Represented Political Parties’ Fund</w:t>
      </w:r>
      <w:r w:rsidRPr="00EC1F04">
        <w:rPr>
          <w:rFonts w:ascii="Times New Roman" w:eastAsia="Calibri" w:hAnsi="Times New Roman"/>
          <w:color w:val="auto"/>
          <w:spacing w:val="0"/>
          <w:sz w:val="24"/>
          <w:szCs w:val="24"/>
          <w:lang w:eastAsia="en-US"/>
        </w:rPr>
        <w:t xml:space="preserve"> (R157.7 million). </w:t>
      </w:r>
    </w:p>
    <w:p w14:paraId="6C843C29"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p>
    <w:p w14:paraId="2804E928"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r w:rsidRPr="00EC1F04">
        <w:rPr>
          <w:rFonts w:ascii="Times New Roman" w:eastAsia="Calibri" w:hAnsi="Times New Roman"/>
          <w:b/>
          <w:color w:val="auto"/>
          <w:spacing w:val="0"/>
          <w:sz w:val="24"/>
          <w:szCs w:val="24"/>
          <w:lang w:eastAsia="en-US"/>
        </w:rPr>
        <w:t>Capital assets</w:t>
      </w:r>
      <w:r w:rsidRPr="00EC1F04">
        <w:rPr>
          <w:rFonts w:ascii="Times New Roman" w:eastAsia="Calibri" w:hAnsi="Times New Roman"/>
          <w:color w:val="auto"/>
          <w:spacing w:val="0"/>
          <w:sz w:val="24"/>
          <w:szCs w:val="24"/>
          <w:lang w:eastAsia="en-US"/>
        </w:rPr>
        <w:t xml:space="preserve"> (machinery and equipment) constitutes 0.15 per cent of the DHA budget, and totals R12.6 million in 2019/20.</w:t>
      </w:r>
    </w:p>
    <w:p w14:paraId="5F716B89"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 xml:space="preserve">The DHA budget is dominated by </w:t>
      </w:r>
      <w:r w:rsidRPr="00EC1F04">
        <w:rPr>
          <w:rFonts w:ascii="Times New Roman" w:eastAsia="Calibri" w:hAnsi="Times New Roman"/>
          <w:b/>
          <w:color w:val="auto"/>
          <w:spacing w:val="0"/>
          <w:sz w:val="24"/>
          <w:szCs w:val="24"/>
          <w:lang w:eastAsia="en-US"/>
        </w:rPr>
        <w:t>current payments</w:t>
      </w:r>
      <w:r w:rsidRPr="00EC1F04">
        <w:rPr>
          <w:rFonts w:ascii="Times New Roman" w:eastAsia="Calibri" w:hAnsi="Times New Roman"/>
          <w:color w:val="auto"/>
          <w:spacing w:val="0"/>
          <w:sz w:val="24"/>
          <w:szCs w:val="24"/>
          <w:lang w:eastAsia="en-US"/>
        </w:rPr>
        <w:t>, which totals R6.15 billion. This represents 73.75 per cent of the Department’s voted budget, which caters for compensation of employees, as well as goods and services. Compensation increases from R3.3 billion previously, to R3.55 billion in 2019/20. This represents an above inflation increase (real terms) of 2.27 per cent. On the other hand, the DHA’s budget for goods and services declines with 31.1 per cent in real terms. Goods and services decreases to R2.59 billion, from R3.6 billion in 2018/19.</w:t>
      </w:r>
    </w:p>
    <w:p w14:paraId="1D3755F7"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p>
    <w:p w14:paraId="6EE9AD7C"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The significant decline in goods and services are directed by amongst others:</w:t>
      </w:r>
    </w:p>
    <w:p w14:paraId="15B15633" w14:textId="77777777" w:rsidR="00EC1F04" w:rsidRPr="00EC1F04" w:rsidRDefault="00EC1F04" w:rsidP="001754B7">
      <w:pPr>
        <w:numPr>
          <w:ilvl w:val="0"/>
          <w:numId w:val="2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Stationary, printing and office supplies: from R902 million previously to R73.75 million in 2019/20.</w:t>
      </w:r>
    </w:p>
    <w:p w14:paraId="4F44A896" w14:textId="77777777" w:rsidR="00EC1F04" w:rsidRPr="00EC1F04" w:rsidRDefault="00EC1F04" w:rsidP="001754B7">
      <w:pPr>
        <w:numPr>
          <w:ilvl w:val="0"/>
          <w:numId w:val="2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Travel and subsistence: from R499.98 million previously to R83.16 million in 2019/20.</w:t>
      </w:r>
    </w:p>
    <w:p w14:paraId="180455F7" w14:textId="77777777" w:rsidR="00EC1F04" w:rsidRPr="00EC1F04" w:rsidRDefault="00EC1F04" w:rsidP="001754B7">
      <w:pPr>
        <w:numPr>
          <w:ilvl w:val="0"/>
          <w:numId w:val="2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Property payments: from R397.32 million previously to R181.25 million in 2019/20.</w:t>
      </w:r>
    </w:p>
    <w:p w14:paraId="7962A58A" w14:textId="77777777" w:rsidR="00EC1F04" w:rsidRPr="00EC1F04" w:rsidRDefault="00EC1F04" w:rsidP="001754B7">
      <w:pPr>
        <w:numPr>
          <w:ilvl w:val="0"/>
          <w:numId w:val="2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Operating payments: from R65.96 million previously to R22 million in 2019/20.</w:t>
      </w:r>
    </w:p>
    <w:p w14:paraId="5875A3E8" w14:textId="77777777" w:rsidR="00EC1F04" w:rsidRPr="00EC1F04" w:rsidRDefault="00EC1F04" w:rsidP="001754B7">
      <w:pPr>
        <w:numPr>
          <w:ilvl w:val="0"/>
          <w:numId w:val="2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Computer services: from R848 million previously to R696.14 million in 2019/20.</w:t>
      </w:r>
    </w:p>
    <w:p w14:paraId="341DD007" w14:textId="77777777" w:rsidR="00EC1F04" w:rsidRPr="00EC1F04" w:rsidRDefault="00EC1F04" w:rsidP="00EC1F04">
      <w:pPr>
        <w:spacing w:line="360" w:lineRule="auto"/>
        <w:ind w:left="720"/>
        <w:jc w:val="both"/>
        <w:rPr>
          <w:rFonts w:ascii="Times New Roman" w:eastAsia="Calibri" w:hAnsi="Times New Roman"/>
          <w:color w:val="auto"/>
          <w:spacing w:val="0"/>
          <w:sz w:val="24"/>
          <w:szCs w:val="24"/>
          <w:lang w:eastAsia="en-US"/>
        </w:rPr>
      </w:pPr>
    </w:p>
    <w:p w14:paraId="76C260BA" w14:textId="77777777" w:rsidR="00EC1F04" w:rsidRPr="00EC1F04" w:rsidRDefault="00EC1F04" w:rsidP="00EC1F04">
      <w:pPr>
        <w:spacing w:line="360" w:lineRule="auto"/>
        <w:jc w:val="both"/>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In contrast, the following items increases significantly in 2019/20:</w:t>
      </w:r>
    </w:p>
    <w:p w14:paraId="1A05A4A7" w14:textId="77777777" w:rsidR="00EC1F04" w:rsidRPr="00EC1F04" w:rsidRDefault="00EC1F04" w:rsidP="001754B7">
      <w:pPr>
        <w:numPr>
          <w:ilvl w:val="0"/>
          <w:numId w:val="2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Minor assets: from R32.7 million previously to R152.48 million in 2019/20.</w:t>
      </w:r>
    </w:p>
    <w:p w14:paraId="658A4F7E" w14:textId="77777777" w:rsidR="00EC1F04" w:rsidRPr="00EC1F04" w:rsidRDefault="00EC1F04" w:rsidP="001754B7">
      <w:pPr>
        <w:numPr>
          <w:ilvl w:val="0"/>
          <w:numId w:val="2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Contractors: from R96.4 million previously to R341.87 million in 2019/20.</w:t>
      </w:r>
    </w:p>
    <w:p w14:paraId="061870CA" w14:textId="77777777" w:rsidR="00EC1F04" w:rsidRPr="00EC1F04" w:rsidRDefault="00EC1F04" w:rsidP="001754B7">
      <w:pPr>
        <w:numPr>
          <w:ilvl w:val="0"/>
          <w:numId w:val="2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Agency and support/ outsourced services: from R40.37 million previously to R120.77 million in 2019/20.</w:t>
      </w:r>
    </w:p>
    <w:p w14:paraId="72ABAAF4" w14:textId="77777777" w:rsidR="00EC1F04" w:rsidRPr="00EC1F04" w:rsidRDefault="00EC1F04" w:rsidP="001754B7">
      <w:pPr>
        <w:numPr>
          <w:ilvl w:val="0"/>
          <w:numId w:val="2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Fleet services: from R14.48 million previously to R46.77 million in 2019/20.</w:t>
      </w:r>
    </w:p>
    <w:p w14:paraId="3ECA4DF9" w14:textId="77777777" w:rsidR="00EC1F04" w:rsidRPr="00EC1F04" w:rsidRDefault="00EC1F04" w:rsidP="001754B7">
      <w:pPr>
        <w:numPr>
          <w:ilvl w:val="0"/>
          <w:numId w:val="2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EC1F04">
        <w:rPr>
          <w:rFonts w:ascii="Times New Roman" w:eastAsia="Calibri" w:hAnsi="Times New Roman"/>
          <w:color w:val="auto"/>
          <w:spacing w:val="0"/>
          <w:sz w:val="24"/>
          <w:szCs w:val="24"/>
          <w:lang w:eastAsia="en-US"/>
        </w:rPr>
        <w:t>Operating leases: from R333.74 million previously to R464.67 million in 2019/20.</w:t>
      </w:r>
    </w:p>
    <w:p w14:paraId="721E22B2" w14:textId="77777777" w:rsidR="00EC1F04" w:rsidRPr="00EC1F04" w:rsidRDefault="00EC1F04" w:rsidP="00EC1F04">
      <w:pPr>
        <w:spacing w:line="360" w:lineRule="auto"/>
        <w:rPr>
          <w:rFonts w:ascii="Times New Roman" w:eastAsia="Calibri" w:hAnsi="Times New Roman"/>
          <w:sz w:val="24"/>
          <w:szCs w:val="24"/>
          <w:lang w:eastAsia="en-US"/>
        </w:rPr>
      </w:pPr>
    </w:p>
    <w:p w14:paraId="0925ED52" w14:textId="77777777" w:rsidR="00EC1F04" w:rsidRPr="00BD6D83" w:rsidRDefault="00BD6D83" w:rsidP="00EC1F04">
      <w:pPr>
        <w:pStyle w:val="Caption"/>
        <w:spacing w:line="360" w:lineRule="auto"/>
        <w:rPr>
          <w:rFonts w:ascii="Times New Roman" w:eastAsia="Calibri" w:hAnsi="Times New Roman"/>
          <w:b w:val="0"/>
          <w:color w:val="000000" w:themeColor="text1"/>
          <w:sz w:val="24"/>
          <w:szCs w:val="24"/>
          <w:lang w:eastAsia="en-US"/>
        </w:rPr>
      </w:pPr>
      <w:r w:rsidRPr="00EC1F04">
        <w:rPr>
          <w:rFonts w:ascii="Times New Roman" w:hAnsi="Times New Roman"/>
          <w:noProof/>
          <w:sz w:val="24"/>
          <w:szCs w:val="24"/>
          <w:lang w:val="en-ZA" w:eastAsia="en-ZA"/>
        </w:rPr>
        <w:drawing>
          <wp:anchor distT="0" distB="0" distL="114300" distR="114300" simplePos="0" relativeHeight="251678720" behindDoc="1" locked="0" layoutInCell="1" allowOverlap="1" wp14:anchorId="769CDE14" wp14:editId="7B008CF7">
            <wp:simplePos x="0" y="0"/>
            <wp:positionH relativeFrom="column">
              <wp:posOffset>2896870</wp:posOffset>
            </wp:positionH>
            <wp:positionV relativeFrom="paragraph">
              <wp:posOffset>283210</wp:posOffset>
            </wp:positionV>
            <wp:extent cx="3202940" cy="1864360"/>
            <wp:effectExtent l="0" t="0" r="0" b="2540"/>
            <wp:wrapTight wrapText="bothSides">
              <wp:wrapPolygon edited="0">
                <wp:start x="0" y="0"/>
                <wp:lineTo x="0" y="21409"/>
                <wp:lineTo x="21454" y="21409"/>
                <wp:lineTo x="21454"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2940" cy="1864360"/>
                    </a:xfrm>
                    <a:prstGeom prst="rect">
                      <a:avLst/>
                    </a:prstGeom>
                    <a:noFill/>
                  </pic:spPr>
                </pic:pic>
              </a:graphicData>
            </a:graphic>
            <wp14:sizeRelH relativeFrom="page">
              <wp14:pctWidth>0</wp14:pctWidth>
            </wp14:sizeRelH>
            <wp14:sizeRelV relativeFrom="page">
              <wp14:pctHeight>0</wp14:pctHeight>
            </wp14:sizeRelV>
          </wp:anchor>
        </w:drawing>
      </w:r>
      <w:r w:rsidR="00EC1F04" w:rsidRPr="00BD6D83">
        <w:rPr>
          <w:rFonts w:ascii="Times New Roman" w:hAnsi="Times New Roman"/>
          <w:b w:val="0"/>
          <w:color w:val="000000" w:themeColor="text1"/>
          <w:sz w:val="24"/>
          <w:szCs w:val="24"/>
        </w:rPr>
        <w:t xml:space="preserve">Figure 1: Proportional comparison of three main programmes, 2018/19 and 2019/20  </w:t>
      </w:r>
    </w:p>
    <w:p w14:paraId="0F0E1093" w14:textId="77777777" w:rsidR="00EC1F04" w:rsidRPr="00EC1F04" w:rsidRDefault="00EC1F04" w:rsidP="00EC1F04">
      <w:pPr>
        <w:spacing w:line="360" w:lineRule="auto"/>
        <w:rPr>
          <w:rFonts w:ascii="Times New Roman" w:eastAsia="Calibri" w:hAnsi="Times New Roman"/>
          <w:sz w:val="24"/>
          <w:szCs w:val="24"/>
          <w:lang w:eastAsia="en-US"/>
        </w:rPr>
      </w:pPr>
      <w:r w:rsidRPr="00EC1F04">
        <w:rPr>
          <w:rFonts w:ascii="Times New Roman" w:hAnsi="Times New Roman"/>
          <w:noProof/>
          <w:sz w:val="24"/>
          <w:szCs w:val="24"/>
          <w:lang w:eastAsia="en-ZA"/>
        </w:rPr>
        <w:drawing>
          <wp:anchor distT="0" distB="0" distL="114300" distR="114300" simplePos="0" relativeHeight="251677696" behindDoc="1" locked="0" layoutInCell="1" allowOverlap="1" wp14:anchorId="5F2CC88E" wp14:editId="5416CDEB">
            <wp:simplePos x="0" y="0"/>
            <wp:positionH relativeFrom="column">
              <wp:posOffset>0</wp:posOffset>
            </wp:positionH>
            <wp:positionV relativeFrom="paragraph">
              <wp:posOffset>21590</wp:posOffset>
            </wp:positionV>
            <wp:extent cx="2786380" cy="1853565"/>
            <wp:effectExtent l="0" t="0" r="0" b="0"/>
            <wp:wrapTight wrapText="bothSides">
              <wp:wrapPolygon edited="0">
                <wp:start x="0" y="0"/>
                <wp:lineTo x="0" y="21311"/>
                <wp:lineTo x="21413" y="21311"/>
                <wp:lineTo x="21413"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6380" cy="1853565"/>
                    </a:xfrm>
                    <a:prstGeom prst="rect">
                      <a:avLst/>
                    </a:prstGeom>
                    <a:noFill/>
                  </pic:spPr>
                </pic:pic>
              </a:graphicData>
            </a:graphic>
            <wp14:sizeRelH relativeFrom="page">
              <wp14:pctWidth>0</wp14:pctWidth>
            </wp14:sizeRelH>
            <wp14:sizeRelV relativeFrom="page">
              <wp14:pctHeight>0</wp14:pctHeight>
            </wp14:sizeRelV>
          </wp:anchor>
        </w:drawing>
      </w:r>
    </w:p>
    <w:p w14:paraId="299E8A35" w14:textId="77777777" w:rsidR="00EC1F04" w:rsidRPr="00EC1F04" w:rsidRDefault="00EC1F04" w:rsidP="00EC1F04">
      <w:pPr>
        <w:spacing w:line="360" w:lineRule="auto"/>
        <w:jc w:val="both"/>
        <w:rPr>
          <w:rFonts w:ascii="Times New Roman" w:eastAsia="Calibri" w:hAnsi="Times New Roman"/>
          <w:color w:val="auto"/>
          <w:sz w:val="24"/>
          <w:szCs w:val="24"/>
          <w:lang w:eastAsia="en-US"/>
        </w:rPr>
      </w:pPr>
      <w:r w:rsidRPr="00EC1F04">
        <w:rPr>
          <w:rFonts w:ascii="Times New Roman" w:eastAsia="Calibri" w:hAnsi="Times New Roman"/>
          <w:color w:val="auto"/>
          <w:sz w:val="24"/>
          <w:szCs w:val="24"/>
          <w:lang w:eastAsia="en-US"/>
        </w:rPr>
        <w:t xml:space="preserve">Figure 2 allows comparison of the proportional allocations per main programme between 2018/19 adjusted and 2019/20 voted funds. </w:t>
      </w:r>
      <w:r w:rsidR="00B84151">
        <w:rPr>
          <w:rFonts w:ascii="Times New Roman" w:eastAsia="Calibri" w:hAnsi="Times New Roman"/>
          <w:color w:val="auto"/>
          <w:sz w:val="24"/>
          <w:szCs w:val="24"/>
          <w:lang w:eastAsia="en-US"/>
        </w:rPr>
        <w:t xml:space="preserve"> </w:t>
      </w:r>
      <w:r w:rsidRPr="00EC1F04">
        <w:rPr>
          <w:rFonts w:ascii="Times New Roman" w:eastAsia="Calibri" w:hAnsi="Times New Roman"/>
          <w:color w:val="auto"/>
          <w:sz w:val="24"/>
          <w:szCs w:val="24"/>
          <w:lang w:eastAsia="en-US"/>
        </w:rPr>
        <w:t xml:space="preserve">While </w:t>
      </w:r>
      <w:r w:rsidRPr="00EC1F04">
        <w:rPr>
          <w:rFonts w:ascii="Times New Roman" w:eastAsia="Calibri" w:hAnsi="Times New Roman"/>
          <w:i/>
          <w:color w:val="auto"/>
          <w:sz w:val="24"/>
          <w:szCs w:val="24"/>
          <w:lang w:eastAsia="en-US"/>
        </w:rPr>
        <w:t>Administration</w:t>
      </w:r>
      <w:r w:rsidRPr="00EC1F04">
        <w:rPr>
          <w:rFonts w:ascii="Times New Roman" w:eastAsia="Calibri" w:hAnsi="Times New Roman"/>
          <w:color w:val="auto"/>
          <w:sz w:val="24"/>
          <w:szCs w:val="24"/>
          <w:lang w:eastAsia="en-US"/>
        </w:rPr>
        <w:t xml:space="preserve"> retains 28 per cent of the DHA allocation in both years, there is a 3 per cent shift between the </w:t>
      </w:r>
      <w:r w:rsidRPr="00EC1F04">
        <w:rPr>
          <w:rFonts w:ascii="Times New Roman" w:eastAsia="Calibri" w:hAnsi="Times New Roman"/>
          <w:i/>
          <w:color w:val="auto"/>
          <w:sz w:val="24"/>
          <w:szCs w:val="24"/>
          <w:lang w:eastAsia="en-US"/>
        </w:rPr>
        <w:t>Immigration</w:t>
      </w:r>
      <w:r w:rsidRPr="00EC1F04">
        <w:rPr>
          <w:rFonts w:ascii="Times New Roman" w:eastAsia="Calibri" w:hAnsi="Times New Roman"/>
          <w:color w:val="auto"/>
          <w:sz w:val="24"/>
          <w:szCs w:val="24"/>
          <w:lang w:eastAsia="en-US"/>
        </w:rPr>
        <w:t xml:space="preserve"> and </w:t>
      </w:r>
      <w:r w:rsidRPr="00EC1F04">
        <w:rPr>
          <w:rFonts w:ascii="Times New Roman" w:eastAsia="Calibri" w:hAnsi="Times New Roman"/>
          <w:i/>
          <w:color w:val="auto"/>
          <w:sz w:val="24"/>
          <w:szCs w:val="24"/>
          <w:lang w:eastAsia="en-US"/>
        </w:rPr>
        <w:t>Citizen</w:t>
      </w:r>
      <w:r w:rsidRPr="00EC1F04">
        <w:rPr>
          <w:rFonts w:ascii="Times New Roman" w:eastAsia="Calibri" w:hAnsi="Times New Roman"/>
          <w:color w:val="auto"/>
          <w:sz w:val="24"/>
          <w:szCs w:val="24"/>
          <w:lang w:eastAsia="en-US"/>
        </w:rPr>
        <w:t xml:space="preserve"> functions. In 2019/20, the </w:t>
      </w:r>
      <w:r w:rsidRPr="00EC1F04">
        <w:rPr>
          <w:rFonts w:ascii="Times New Roman" w:eastAsia="Calibri" w:hAnsi="Times New Roman"/>
          <w:i/>
          <w:color w:val="auto"/>
          <w:sz w:val="24"/>
          <w:szCs w:val="24"/>
          <w:lang w:eastAsia="en-US"/>
        </w:rPr>
        <w:t>Immigration</w:t>
      </w:r>
      <w:r w:rsidRPr="00EC1F04">
        <w:rPr>
          <w:rFonts w:ascii="Times New Roman" w:eastAsia="Calibri" w:hAnsi="Times New Roman"/>
          <w:color w:val="auto"/>
          <w:sz w:val="24"/>
          <w:szCs w:val="24"/>
          <w:lang w:eastAsia="en-US"/>
        </w:rPr>
        <w:t xml:space="preserve"> programme proportionally increases with 3 per cent, while the Citizen function declines with 3 per cent.   </w:t>
      </w:r>
    </w:p>
    <w:p w14:paraId="4228CC93" w14:textId="77777777" w:rsidR="00B84151" w:rsidRDefault="00B84151" w:rsidP="00EC1F04">
      <w:pPr>
        <w:pStyle w:val="Heading3"/>
        <w:spacing w:line="360" w:lineRule="auto"/>
        <w:jc w:val="both"/>
        <w:rPr>
          <w:rFonts w:ascii="Times New Roman" w:eastAsia="Calibri" w:hAnsi="Times New Roman" w:cs="Times New Roman"/>
          <w:b/>
          <w:color w:val="000000" w:themeColor="text1"/>
          <w:lang w:eastAsia="en-US"/>
        </w:rPr>
      </w:pPr>
      <w:bookmarkStart w:id="3" w:name="_Toc12526399"/>
    </w:p>
    <w:p w14:paraId="323CFB85" w14:textId="77777777" w:rsidR="00EC1F04" w:rsidRPr="00C56099" w:rsidRDefault="00EC1F04" w:rsidP="00B84151">
      <w:pPr>
        <w:pStyle w:val="Heading3"/>
        <w:spacing w:line="360" w:lineRule="auto"/>
        <w:jc w:val="both"/>
        <w:rPr>
          <w:rFonts w:ascii="Times New Roman" w:eastAsia="Calibri" w:hAnsi="Times New Roman" w:cs="Times New Roman"/>
          <w:b/>
          <w:color w:val="000000" w:themeColor="text1"/>
          <w:sz w:val="28"/>
          <w:szCs w:val="28"/>
          <w:lang w:eastAsia="en-US"/>
        </w:rPr>
      </w:pPr>
      <w:r w:rsidRPr="00C56099">
        <w:rPr>
          <w:rFonts w:ascii="Times New Roman" w:eastAsia="Calibri" w:hAnsi="Times New Roman" w:cs="Times New Roman"/>
          <w:b/>
          <w:color w:val="000000" w:themeColor="text1"/>
          <w:sz w:val="28"/>
          <w:szCs w:val="28"/>
          <w:lang w:eastAsia="en-US"/>
        </w:rPr>
        <w:t>Programme 1 Administration</w:t>
      </w:r>
      <w:bookmarkEnd w:id="3"/>
      <w:r w:rsidRPr="00C56099">
        <w:rPr>
          <w:rFonts w:ascii="Times New Roman" w:eastAsia="Calibri" w:hAnsi="Times New Roman" w:cs="Times New Roman"/>
          <w:b/>
          <w:color w:val="000000" w:themeColor="text1"/>
          <w:sz w:val="28"/>
          <w:szCs w:val="28"/>
          <w:lang w:eastAsia="en-US"/>
        </w:rPr>
        <w:t xml:space="preserve"> </w:t>
      </w:r>
    </w:p>
    <w:p w14:paraId="6889E82B" w14:textId="77777777" w:rsidR="00EC1F04" w:rsidRPr="00B84151" w:rsidRDefault="00EC1F04" w:rsidP="00EC1F04">
      <w:pPr>
        <w:pStyle w:val="Caption"/>
        <w:spacing w:line="360" w:lineRule="auto"/>
        <w:rPr>
          <w:rFonts w:ascii="Times New Roman" w:hAnsi="Times New Roman"/>
          <w:b w:val="0"/>
          <w:color w:val="000000" w:themeColor="text1"/>
          <w:sz w:val="24"/>
          <w:szCs w:val="24"/>
          <w:lang w:val="en-ZA"/>
        </w:rPr>
      </w:pPr>
      <w:r w:rsidRPr="00B84151">
        <w:rPr>
          <w:rFonts w:ascii="Times New Roman" w:hAnsi="Times New Roman"/>
          <w:b w:val="0"/>
          <w:color w:val="000000" w:themeColor="text1"/>
          <w:sz w:val="24"/>
          <w:szCs w:val="24"/>
        </w:rPr>
        <w:t>Figure 2: Administration sub-programme expenditure</w:t>
      </w:r>
    </w:p>
    <w:p w14:paraId="0D9CA512" w14:textId="77777777" w:rsidR="00EC1F04" w:rsidRPr="00B84151" w:rsidRDefault="00EC1F04" w:rsidP="00EC1F04">
      <w:pPr>
        <w:spacing w:line="360" w:lineRule="auto"/>
        <w:rPr>
          <w:rFonts w:ascii="Times New Roman" w:hAnsi="Times New Roman"/>
          <w:noProof/>
          <w:color w:val="000000" w:themeColor="text1"/>
          <w:sz w:val="24"/>
          <w:szCs w:val="24"/>
        </w:rPr>
      </w:pPr>
      <w:r w:rsidRPr="00B84151">
        <w:rPr>
          <w:rFonts w:ascii="Times New Roman" w:hAnsi="Times New Roman"/>
          <w:noProof/>
          <w:color w:val="000000" w:themeColor="text1"/>
          <w:sz w:val="24"/>
          <w:szCs w:val="24"/>
          <w:lang w:eastAsia="en-ZA"/>
        </w:rPr>
        <w:drawing>
          <wp:anchor distT="0" distB="0" distL="114300" distR="114300" simplePos="0" relativeHeight="251682816" behindDoc="1" locked="0" layoutInCell="1" allowOverlap="1" wp14:anchorId="09E6A483" wp14:editId="7041FDE5">
            <wp:simplePos x="0" y="0"/>
            <wp:positionH relativeFrom="column">
              <wp:posOffset>0</wp:posOffset>
            </wp:positionH>
            <wp:positionV relativeFrom="paragraph">
              <wp:posOffset>56515</wp:posOffset>
            </wp:positionV>
            <wp:extent cx="6083300" cy="2908300"/>
            <wp:effectExtent l="0" t="0" r="0" b="6350"/>
            <wp:wrapTight wrapText="bothSides">
              <wp:wrapPolygon edited="0">
                <wp:start x="0" y="0"/>
                <wp:lineTo x="0" y="21506"/>
                <wp:lineTo x="21510" y="21506"/>
                <wp:lineTo x="2151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3300" cy="2908300"/>
                    </a:xfrm>
                    <a:prstGeom prst="rect">
                      <a:avLst/>
                    </a:prstGeom>
                    <a:noFill/>
                  </pic:spPr>
                </pic:pic>
              </a:graphicData>
            </a:graphic>
            <wp14:sizeRelH relativeFrom="page">
              <wp14:pctWidth>0</wp14:pctWidth>
            </wp14:sizeRelH>
            <wp14:sizeRelV relativeFrom="page">
              <wp14:pctHeight>0</wp14:pctHeight>
            </wp14:sizeRelV>
          </wp:anchor>
        </w:drawing>
      </w:r>
      <w:r w:rsidRPr="00B84151">
        <w:rPr>
          <w:rFonts w:ascii="Times New Roman" w:hAnsi="Times New Roman"/>
          <w:noProof/>
          <w:color w:val="000000" w:themeColor="text1"/>
          <w:sz w:val="24"/>
          <w:szCs w:val="24"/>
        </w:rPr>
        <w:t>Source: Calculated by Research Unit from National Treasury (2019b)</w:t>
      </w:r>
    </w:p>
    <w:p w14:paraId="4D756926" w14:textId="77777777" w:rsidR="00EC1F04" w:rsidRPr="00EC1F04" w:rsidRDefault="00EC1F04" w:rsidP="00EC1F04">
      <w:pPr>
        <w:spacing w:line="360" w:lineRule="auto"/>
        <w:jc w:val="both"/>
        <w:rPr>
          <w:rFonts w:ascii="Times New Roman" w:hAnsi="Times New Roman"/>
          <w:color w:val="auto"/>
          <w:sz w:val="24"/>
          <w:szCs w:val="24"/>
        </w:rPr>
      </w:pPr>
      <w:r w:rsidRPr="00EC1F04">
        <w:rPr>
          <w:rFonts w:ascii="Times New Roman" w:hAnsi="Times New Roman"/>
          <w:color w:val="auto"/>
          <w:sz w:val="24"/>
          <w:szCs w:val="24"/>
        </w:rPr>
        <w:t xml:space="preserve"> </w:t>
      </w:r>
    </w:p>
    <w:p w14:paraId="2C4FA6D4" w14:textId="77777777" w:rsidR="00EC1F04" w:rsidRPr="00EC1F04" w:rsidRDefault="00EC1F04" w:rsidP="00EC1F04">
      <w:pPr>
        <w:spacing w:line="360" w:lineRule="auto"/>
        <w:jc w:val="both"/>
        <w:rPr>
          <w:rFonts w:ascii="Times New Roman" w:hAnsi="Times New Roman"/>
          <w:color w:val="auto"/>
          <w:sz w:val="24"/>
          <w:szCs w:val="24"/>
        </w:rPr>
      </w:pPr>
      <w:r w:rsidRPr="00EC1F04">
        <w:rPr>
          <w:rFonts w:ascii="Times New Roman" w:hAnsi="Times New Roman"/>
          <w:color w:val="auto"/>
          <w:sz w:val="24"/>
          <w:szCs w:val="24"/>
        </w:rPr>
        <w:t xml:space="preserve">Taking into account the costs of inflation, the </w:t>
      </w:r>
      <w:r w:rsidRPr="00EC1F04">
        <w:rPr>
          <w:rFonts w:ascii="Times New Roman" w:hAnsi="Times New Roman"/>
          <w:i/>
          <w:color w:val="auto"/>
          <w:sz w:val="24"/>
          <w:szCs w:val="24"/>
        </w:rPr>
        <w:t>Administration</w:t>
      </w:r>
      <w:r w:rsidRPr="00EC1F04">
        <w:rPr>
          <w:rFonts w:ascii="Times New Roman" w:hAnsi="Times New Roman"/>
          <w:color w:val="auto"/>
          <w:sz w:val="24"/>
          <w:szCs w:val="24"/>
        </w:rPr>
        <w:t xml:space="preserve"> programme decreases by R300.6 million (11.9 per cent). While its adjusted budget was R2.525 billion in 2018/19, it is reduced to R2.34 billion currently.</w:t>
      </w:r>
    </w:p>
    <w:p w14:paraId="06BFEC8F" w14:textId="77777777" w:rsidR="00EC1F04" w:rsidRPr="00EC1F04" w:rsidRDefault="00EC1F04" w:rsidP="00EC1F04">
      <w:pPr>
        <w:spacing w:line="360" w:lineRule="auto"/>
        <w:rPr>
          <w:rFonts w:ascii="Times New Roman" w:hAnsi="Times New Roman"/>
          <w:color w:val="auto"/>
          <w:sz w:val="24"/>
          <w:szCs w:val="24"/>
        </w:rPr>
      </w:pPr>
    </w:p>
    <w:p w14:paraId="0BE2DFC0" w14:textId="77777777" w:rsidR="00EC1F04" w:rsidRPr="00EC1F04" w:rsidRDefault="00EC1F04" w:rsidP="00EC1F04">
      <w:pPr>
        <w:spacing w:line="360" w:lineRule="auto"/>
        <w:jc w:val="both"/>
        <w:rPr>
          <w:rFonts w:ascii="Times New Roman" w:hAnsi="Times New Roman"/>
          <w:color w:val="auto"/>
          <w:sz w:val="24"/>
          <w:szCs w:val="24"/>
        </w:rPr>
      </w:pPr>
      <w:r w:rsidRPr="00EC1F04">
        <w:rPr>
          <w:rFonts w:ascii="Times New Roman" w:hAnsi="Times New Roman"/>
          <w:color w:val="auto"/>
          <w:sz w:val="24"/>
          <w:szCs w:val="24"/>
        </w:rPr>
        <w:t xml:space="preserve">Of its five sub-programmes, </w:t>
      </w:r>
      <w:r w:rsidRPr="00EC1F04">
        <w:rPr>
          <w:rFonts w:ascii="Times New Roman" w:hAnsi="Times New Roman"/>
          <w:i/>
          <w:color w:val="auto"/>
          <w:sz w:val="24"/>
          <w:szCs w:val="24"/>
        </w:rPr>
        <w:t>Transversal Information</w:t>
      </w:r>
      <w:r w:rsidRPr="00EC1F04">
        <w:rPr>
          <w:rFonts w:ascii="Times New Roman" w:hAnsi="Times New Roman"/>
          <w:color w:val="auto"/>
          <w:sz w:val="24"/>
          <w:szCs w:val="24"/>
        </w:rPr>
        <w:t xml:space="preserve"> continues to dominate the expenditure, but shows strong decline in expenditure from the previous year. Since 2017/18 financial year, this sub-programme’s budget has been in decline.</w:t>
      </w:r>
    </w:p>
    <w:p w14:paraId="19AE8C43" w14:textId="77777777" w:rsidR="00EC1F04" w:rsidRPr="00EC1F04" w:rsidRDefault="00EC1F04" w:rsidP="00EC1F04">
      <w:pPr>
        <w:spacing w:line="360" w:lineRule="auto"/>
        <w:jc w:val="both"/>
        <w:rPr>
          <w:rFonts w:ascii="Times New Roman" w:hAnsi="Times New Roman"/>
          <w:color w:val="auto"/>
          <w:sz w:val="24"/>
          <w:szCs w:val="24"/>
        </w:rPr>
      </w:pPr>
    </w:p>
    <w:p w14:paraId="5847B311" w14:textId="77777777" w:rsidR="00EC1F04" w:rsidRPr="00EC1F04" w:rsidRDefault="00EC1F04" w:rsidP="00EC1F04">
      <w:pPr>
        <w:spacing w:line="360" w:lineRule="auto"/>
        <w:jc w:val="both"/>
        <w:rPr>
          <w:rFonts w:ascii="Times New Roman" w:eastAsia="Calibri" w:hAnsi="Times New Roman"/>
          <w:color w:val="auto"/>
          <w:sz w:val="24"/>
          <w:szCs w:val="24"/>
        </w:rPr>
      </w:pPr>
      <w:r w:rsidRPr="00EC1F04">
        <w:rPr>
          <w:rFonts w:ascii="Times New Roman" w:hAnsi="Times New Roman"/>
          <w:color w:val="auto"/>
          <w:sz w:val="24"/>
          <w:szCs w:val="24"/>
        </w:rPr>
        <w:t xml:space="preserve">The </w:t>
      </w:r>
      <w:r w:rsidRPr="00EC1F04">
        <w:rPr>
          <w:rFonts w:ascii="Times New Roman" w:hAnsi="Times New Roman"/>
          <w:i/>
          <w:color w:val="auto"/>
          <w:sz w:val="24"/>
          <w:szCs w:val="24"/>
        </w:rPr>
        <w:t>Corporate Services</w:t>
      </w:r>
      <w:r w:rsidRPr="00EC1F04">
        <w:rPr>
          <w:rFonts w:ascii="Times New Roman" w:hAnsi="Times New Roman"/>
          <w:color w:val="auto"/>
          <w:sz w:val="24"/>
          <w:szCs w:val="24"/>
        </w:rPr>
        <w:t xml:space="preserve"> sub-programmes shows strong decline, from R845.9 million in 2018/19, to R670.7 million at present.  </w:t>
      </w:r>
      <w:r w:rsidRPr="00EC1F04">
        <w:rPr>
          <w:rFonts w:ascii="Times New Roman" w:hAnsi="Times New Roman"/>
          <w:i/>
          <w:color w:val="auto"/>
          <w:sz w:val="24"/>
          <w:szCs w:val="24"/>
        </w:rPr>
        <w:t>Office Accommodation</w:t>
      </w:r>
      <w:r w:rsidRPr="00EC1F04">
        <w:rPr>
          <w:rFonts w:ascii="Times New Roman" w:hAnsi="Times New Roman"/>
          <w:color w:val="auto"/>
          <w:sz w:val="24"/>
          <w:szCs w:val="24"/>
        </w:rPr>
        <w:t xml:space="preserve"> continues to grow in both nominal and in real terms. Since 2018/19, it nominally increases with 5.6 per cent. </w:t>
      </w:r>
    </w:p>
    <w:p w14:paraId="51AD6D04" w14:textId="77777777" w:rsidR="00EC1F04" w:rsidRPr="00EC1F04" w:rsidRDefault="00EC1F04" w:rsidP="00EC1F04">
      <w:pPr>
        <w:spacing w:line="360" w:lineRule="auto"/>
        <w:jc w:val="both"/>
        <w:rPr>
          <w:rFonts w:ascii="Times New Roman" w:hAnsi="Times New Roman"/>
          <w:sz w:val="24"/>
          <w:szCs w:val="24"/>
          <w:lang w:val="en-GB"/>
        </w:rPr>
      </w:pPr>
    </w:p>
    <w:p w14:paraId="053C0421" w14:textId="77777777" w:rsidR="00EC1F04" w:rsidRPr="00EC1F04" w:rsidRDefault="00EC1F04" w:rsidP="00EC1F04">
      <w:pPr>
        <w:spacing w:line="360" w:lineRule="auto"/>
        <w:jc w:val="both"/>
        <w:rPr>
          <w:rFonts w:ascii="Times New Roman" w:hAnsi="Times New Roman"/>
          <w:sz w:val="24"/>
          <w:szCs w:val="24"/>
        </w:rPr>
      </w:pPr>
      <w:r w:rsidRPr="00EC1F04">
        <w:rPr>
          <w:rFonts w:ascii="Times New Roman" w:hAnsi="Times New Roman"/>
          <w:sz w:val="24"/>
          <w:szCs w:val="24"/>
        </w:rPr>
        <w:t xml:space="preserve">After inflation, the following </w:t>
      </w:r>
      <w:r w:rsidRPr="00EC1F04">
        <w:rPr>
          <w:rFonts w:ascii="Times New Roman" w:hAnsi="Times New Roman"/>
          <w:b/>
          <w:sz w:val="24"/>
          <w:szCs w:val="24"/>
        </w:rPr>
        <w:t>real</w:t>
      </w:r>
      <w:r w:rsidRPr="00EC1F04">
        <w:rPr>
          <w:rFonts w:ascii="Times New Roman" w:hAnsi="Times New Roman"/>
          <w:sz w:val="24"/>
          <w:szCs w:val="24"/>
        </w:rPr>
        <w:t xml:space="preserve"> increases/ decreases are recorded per sub-programme:</w:t>
      </w:r>
    </w:p>
    <w:p w14:paraId="6A771903" w14:textId="77777777" w:rsidR="00EC1F04" w:rsidRPr="00EC1F04" w:rsidRDefault="00EC1F04" w:rsidP="001754B7">
      <w:pPr>
        <w:numPr>
          <w:ilvl w:val="0"/>
          <w:numId w:val="25"/>
        </w:numPr>
        <w:suppressAutoHyphens w:val="0"/>
        <w:autoSpaceDN/>
        <w:spacing w:line="360" w:lineRule="auto"/>
        <w:jc w:val="both"/>
        <w:textAlignment w:val="auto"/>
        <w:rPr>
          <w:rFonts w:ascii="Times New Roman" w:hAnsi="Times New Roman"/>
          <w:sz w:val="24"/>
          <w:szCs w:val="24"/>
        </w:rPr>
      </w:pPr>
      <w:r w:rsidRPr="00EC1F04">
        <w:rPr>
          <w:rFonts w:ascii="Times New Roman" w:hAnsi="Times New Roman"/>
          <w:i/>
          <w:sz w:val="24"/>
          <w:szCs w:val="24"/>
        </w:rPr>
        <w:t>Ministry</w:t>
      </w:r>
      <w:r w:rsidRPr="00EC1F04">
        <w:rPr>
          <w:rFonts w:ascii="Times New Roman" w:hAnsi="Times New Roman"/>
          <w:sz w:val="24"/>
          <w:szCs w:val="24"/>
        </w:rPr>
        <w:t xml:space="preserve">: 12.36 per cent </w:t>
      </w:r>
      <w:r w:rsidRPr="00EC1F04">
        <w:rPr>
          <w:rFonts w:ascii="Times New Roman" w:hAnsi="Times New Roman"/>
          <w:b/>
          <w:sz w:val="24"/>
          <w:szCs w:val="24"/>
        </w:rPr>
        <w:t>decrease</w:t>
      </w:r>
      <w:r w:rsidRPr="00EC1F04">
        <w:rPr>
          <w:rFonts w:ascii="Times New Roman" w:hAnsi="Times New Roman"/>
          <w:sz w:val="24"/>
          <w:szCs w:val="24"/>
        </w:rPr>
        <w:t>.</w:t>
      </w:r>
    </w:p>
    <w:p w14:paraId="76077CAD" w14:textId="77777777" w:rsidR="00EC1F04" w:rsidRPr="00EC1F04" w:rsidRDefault="00EC1F04" w:rsidP="001754B7">
      <w:pPr>
        <w:numPr>
          <w:ilvl w:val="0"/>
          <w:numId w:val="25"/>
        </w:numPr>
        <w:suppressAutoHyphens w:val="0"/>
        <w:autoSpaceDN/>
        <w:spacing w:line="360" w:lineRule="auto"/>
        <w:jc w:val="both"/>
        <w:textAlignment w:val="auto"/>
        <w:rPr>
          <w:rFonts w:ascii="Times New Roman" w:hAnsi="Times New Roman"/>
          <w:sz w:val="24"/>
          <w:szCs w:val="24"/>
        </w:rPr>
      </w:pPr>
      <w:r w:rsidRPr="00EC1F04">
        <w:rPr>
          <w:rFonts w:ascii="Times New Roman" w:hAnsi="Times New Roman"/>
          <w:i/>
          <w:sz w:val="24"/>
          <w:szCs w:val="24"/>
        </w:rPr>
        <w:t>Management Support Services</w:t>
      </w:r>
      <w:r w:rsidRPr="00EC1F04">
        <w:rPr>
          <w:rFonts w:ascii="Times New Roman" w:hAnsi="Times New Roman"/>
          <w:sz w:val="24"/>
          <w:szCs w:val="24"/>
        </w:rPr>
        <w:t xml:space="preserve">: 11.91 per cent </w:t>
      </w:r>
      <w:r w:rsidRPr="00EC1F04">
        <w:rPr>
          <w:rFonts w:ascii="Times New Roman" w:hAnsi="Times New Roman"/>
          <w:b/>
          <w:sz w:val="24"/>
          <w:szCs w:val="24"/>
        </w:rPr>
        <w:t>decrease</w:t>
      </w:r>
      <w:r w:rsidRPr="00EC1F04">
        <w:rPr>
          <w:rFonts w:ascii="Times New Roman" w:hAnsi="Times New Roman"/>
          <w:sz w:val="24"/>
          <w:szCs w:val="24"/>
        </w:rPr>
        <w:t>.</w:t>
      </w:r>
    </w:p>
    <w:p w14:paraId="1846EAF7" w14:textId="77777777" w:rsidR="00EC1F04" w:rsidRPr="00EC1F04" w:rsidRDefault="00EC1F04" w:rsidP="001754B7">
      <w:pPr>
        <w:numPr>
          <w:ilvl w:val="0"/>
          <w:numId w:val="25"/>
        </w:numPr>
        <w:suppressAutoHyphens w:val="0"/>
        <w:autoSpaceDN/>
        <w:spacing w:line="360" w:lineRule="auto"/>
        <w:jc w:val="both"/>
        <w:textAlignment w:val="auto"/>
        <w:rPr>
          <w:rFonts w:ascii="Times New Roman" w:hAnsi="Times New Roman"/>
          <w:sz w:val="24"/>
          <w:szCs w:val="24"/>
        </w:rPr>
      </w:pPr>
      <w:r w:rsidRPr="00EC1F04">
        <w:rPr>
          <w:rFonts w:ascii="Times New Roman" w:hAnsi="Times New Roman"/>
          <w:i/>
          <w:sz w:val="24"/>
          <w:szCs w:val="24"/>
        </w:rPr>
        <w:t>Corporate Services:</w:t>
      </w:r>
      <w:r w:rsidRPr="00EC1F04">
        <w:rPr>
          <w:rFonts w:ascii="Times New Roman" w:hAnsi="Times New Roman"/>
          <w:sz w:val="24"/>
          <w:szCs w:val="24"/>
        </w:rPr>
        <w:t xml:space="preserve"> 24.63 per cent </w:t>
      </w:r>
      <w:r w:rsidRPr="00EC1F04">
        <w:rPr>
          <w:rFonts w:ascii="Times New Roman" w:hAnsi="Times New Roman"/>
          <w:b/>
          <w:sz w:val="24"/>
          <w:szCs w:val="24"/>
        </w:rPr>
        <w:t>decrease</w:t>
      </w:r>
      <w:r w:rsidRPr="00EC1F04">
        <w:rPr>
          <w:rFonts w:ascii="Times New Roman" w:hAnsi="Times New Roman"/>
          <w:sz w:val="24"/>
          <w:szCs w:val="24"/>
        </w:rPr>
        <w:t>.</w:t>
      </w:r>
    </w:p>
    <w:p w14:paraId="73B0D1C8" w14:textId="77777777" w:rsidR="00EC1F04" w:rsidRPr="00EC1F04" w:rsidRDefault="00EC1F04" w:rsidP="001754B7">
      <w:pPr>
        <w:numPr>
          <w:ilvl w:val="0"/>
          <w:numId w:val="25"/>
        </w:numPr>
        <w:suppressAutoHyphens w:val="0"/>
        <w:autoSpaceDN/>
        <w:spacing w:line="360" w:lineRule="auto"/>
        <w:jc w:val="both"/>
        <w:textAlignment w:val="auto"/>
        <w:rPr>
          <w:rFonts w:ascii="Times New Roman" w:hAnsi="Times New Roman"/>
          <w:sz w:val="24"/>
          <w:szCs w:val="24"/>
        </w:rPr>
      </w:pPr>
      <w:r w:rsidRPr="00EC1F04">
        <w:rPr>
          <w:rFonts w:ascii="Times New Roman" w:hAnsi="Times New Roman"/>
          <w:i/>
          <w:sz w:val="24"/>
          <w:szCs w:val="24"/>
        </w:rPr>
        <w:t>Transversal Information</w:t>
      </w:r>
      <w:r w:rsidRPr="00EC1F04">
        <w:rPr>
          <w:rFonts w:ascii="Times New Roman" w:hAnsi="Times New Roman"/>
          <w:sz w:val="24"/>
          <w:szCs w:val="24"/>
        </w:rPr>
        <w:t xml:space="preserve">: 7.13 per cent </w:t>
      </w:r>
      <w:r w:rsidRPr="00EC1F04">
        <w:rPr>
          <w:rFonts w:ascii="Times New Roman" w:hAnsi="Times New Roman"/>
          <w:b/>
          <w:sz w:val="24"/>
          <w:szCs w:val="24"/>
        </w:rPr>
        <w:t>decrease.</w:t>
      </w:r>
    </w:p>
    <w:p w14:paraId="616CCD81" w14:textId="77777777" w:rsidR="00EC1F04" w:rsidRPr="00EC1F04" w:rsidRDefault="00EC1F04" w:rsidP="001754B7">
      <w:pPr>
        <w:numPr>
          <w:ilvl w:val="0"/>
          <w:numId w:val="25"/>
        </w:numPr>
        <w:suppressAutoHyphens w:val="0"/>
        <w:autoSpaceDN/>
        <w:spacing w:line="360" w:lineRule="auto"/>
        <w:jc w:val="both"/>
        <w:textAlignment w:val="auto"/>
        <w:rPr>
          <w:rFonts w:ascii="Times New Roman" w:hAnsi="Times New Roman"/>
          <w:sz w:val="24"/>
          <w:szCs w:val="24"/>
        </w:rPr>
      </w:pPr>
      <w:r w:rsidRPr="00EC1F04">
        <w:rPr>
          <w:rFonts w:ascii="Times New Roman" w:hAnsi="Times New Roman"/>
          <w:i/>
          <w:sz w:val="24"/>
          <w:szCs w:val="24"/>
        </w:rPr>
        <w:t>Office Accommodation</w:t>
      </w:r>
      <w:r w:rsidRPr="00EC1F04">
        <w:rPr>
          <w:rFonts w:ascii="Times New Roman" w:hAnsi="Times New Roman"/>
          <w:sz w:val="24"/>
          <w:szCs w:val="24"/>
        </w:rPr>
        <w:t xml:space="preserve">: 0.38 per cent </w:t>
      </w:r>
      <w:r w:rsidRPr="00EC1F04">
        <w:rPr>
          <w:rFonts w:ascii="Times New Roman" w:hAnsi="Times New Roman"/>
          <w:b/>
          <w:sz w:val="24"/>
          <w:szCs w:val="24"/>
        </w:rPr>
        <w:t>increase</w:t>
      </w:r>
      <w:r w:rsidRPr="00EC1F04">
        <w:rPr>
          <w:rFonts w:ascii="Times New Roman" w:hAnsi="Times New Roman"/>
          <w:sz w:val="24"/>
          <w:szCs w:val="24"/>
        </w:rPr>
        <w:t>.</w:t>
      </w:r>
    </w:p>
    <w:p w14:paraId="2614C4C7" w14:textId="77777777" w:rsidR="00EC1F04" w:rsidRPr="00EC1F04" w:rsidRDefault="00EC1F04" w:rsidP="00EC1F04">
      <w:pPr>
        <w:pStyle w:val="Heading3"/>
        <w:spacing w:line="360" w:lineRule="auto"/>
        <w:jc w:val="both"/>
        <w:rPr>
          <w:rFonts w:ascii="Times New Roman" w:hAnsi="Times New Roman" w:cs="Times New Roman"/>
        </w:rPr>
      </w:pPr>
    </w:p>
    <w:p w14:paraId="05CDC3E3" w14:textId="77777777" w:rsidR="00EC1F04" w:rsidRPr="00C56099" w:rsidRDefault="00EC1F04" w:rsidP="00B84151">
      <w:pPr>
        <w:pStyle w:val="Heading3"/>
        <w:spacing w:line="360" w:lineRule="auto"/>
        <w:jc w:val="both"/>
        <w:rPr>
          <w:rFonts w:ascii="Times New Roman" w:hAnsi="Times New Roman" w:cs="Times New Roman"/>
          <w:b/>
          <w:color w:val="000000" w:themeColor="text1"/>
          <w:sz w:val="28"/>
          <w:szCs w:val="28"/>
        </w:rPr>
      </w:pPr>
      <w:bookmarkStart w:id="4" w:name="_Toc12526400"/>
      <w:r w:rsidRPr="00C56099">
        <w:rPr>
          <w:rFonts w:ascii="Times New Roman" w:hAnsi="Times New Roman" w:cs="Times New Roman"/>
          <w:b/>
          <w:color w:val="000000" w:themeColor="text1"/>
          <w:sz w:val="28"/>
          <w:szCs w:val="28"/>
        </w:rPr>
        <w:t>Programme 2: Citizen Affairs</w:t>
      </w:r>
      <w:bookmarkEnd w:id="4"/>
    </w:p>
    <w:p w14:paraId="41E09AC8" w14:textId="77777777" w:rsidR="00EC1F04" w:rsidRPr="00B84151" w:rsidRDefault="00B84151" w:rsidP="00B84151">
      <w:pPr>
        <w:spacing w:line="360" w:lineRule="auto"/>
        <w:jc w:val="both"/>
        <w:rPr>
          <w:rFonts w:ascii="Times New Roman" w:hAnsi="Times New Roman"/>
          <w:color w:val="000000" w:themeColor="text1"/>
          <w:sz w:val="24"/>
          <w:szCs w:val="24"/>
        </w:rPr>
      </w:pPr>
      <w:r w:rsidRPr="00B84151">
        <w:rPr>
          <w:rFonts w:ascii="Times New Roman" w:hAnsi="Times New Roman"/>
          <w:color w:val="000000" w:themeColor="text1"/>
          <w:sz w:val="24"/>
          <w:szCs w:val="24"/>
        </w:rPr>
        <w:t>Citizen Affairs provides secure, efficient and accessible services and documents to citizens and lawful residents. The budget of this programme is allocated to 6 sub-programmes, namely: Citizen Affairs Management, Status Services, Identification Services, and Service Delivery to Provinces, Electoral Commission, and Represented Political Parties’ Fund.</w:t>
      </w:r>
    </w:p>
    <w:p w14:paraId="609EB0CA" w14:textId="77777777" w:rsidR="00EC1F04" w:rsidRPr="00B84151" w:rsidRDefault="00EC1F04" w:rsidP="00EC1F04">
      <w:pPr>
        <w:spacing w:line="360" w:lineRule="auto"/>
        <w:jc w:val="both"/>
        <w:rPr>
          <w:rFonts w:ascii="Times New Roman" w:hAnsi="Times New Roman"/>
          <w:color w:val="000000" w:themeColor="text1"/>
          <w:sz w:val="24"/>
          <w:szCs w:val="24"/>
        </w:rPr>
      </w:pPr>
    </w:p>
    <w:p w14:paraId="42F10FD2" w14:textId="77777777" w:rsidR="00EC1F04" w:rsidRPr="00B84151" w:rsidRDefault="00EC1F04" w:rsidP="00EC1F04">
      <w:pPr>
        <w:pStyle w:val="Caption"/>
        <w:spacing w:line="360" w:lineRule="auto"/>
        <w:jc w:val="both"/>
        <w:rPr>
          <w:rFonts w:ascii="Times New Roman" w:hAnsi="Times New Roman"/>
          <w:b w:val="0"/>
          <w:color w:val="000000" w:themeColor="text1"/>
          <w:sz w:val="24"/>
          <w:szCs w:val="24"/>
        </w:rPr>
      </w:pPr>
      <w:r w:rsidRPr="00B84151">
        <w:rPr>
          <w:rFonts w:ascii="Times New Roman" w:hAnsi="Times New Roman"/>
          <w:noProof/>
          <w:color w:val="000000" w:themeColor="text1"/>
          <w:sz w:val="24"/>
          <w:szCs w:val="24"/>
          <w:lang w:val="en-ZA" w:eastAsia="en-ZA"/>
        </w:rPr>
        <w:drawing>
          <wp:anchor distT="0" distB="0" distL="114300" distR="114300" simplePos="0" relativeHeight="251679744" behindDoc="1" locked="0" layoutInCell="1" allowOverlap="1" wp14:anchorId="2EB61EE5" wp14:editId="1BCC15D4">
            <wp:simplePos x="0" y="0"/>
            <wp:positionH relativeFrom="column">
              <wp:posOffset>23495</wp:posOffset>
            </wp:positionH>
            <wp:positionV relativeFrom="paragraph">
              <wp:posOffset>221615</wp:posOffset>
            </wp:positionV>
            <wp:extent cx="6104255" cy="2586990"/>
            <wp:effectExtent l="0" t="0" r="0" b="3810"/>
            <wp:wrapTight wrapText="bothSides">
              <wp:wrapPolygon edited="0">
                <wp:start x="0" y="0"/>
                <wp:lineTo x="0" y="21473"/>
                <wp:lineTo x="21503" y="21473"/>
                <wp:lineTo x="21503"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4255" cy="2586990"/>
                    </a:xfrm>
                    <a:prstGeom prst="rect">
                      <a:avLst/>
                    </a:prstGeom>
                    <a:noFill/>
                  </pic:spPr>
                </pic:pic>
              </a:graphicData>
            </a:graphic>
            <wp14:sizeRelH relativeFrom="page">
              <wp14:pctWidth>0</wp14:pctWidth>
            </wp14:sizeRelH>
            <wp14:sizeRelV relativeFrom="page">
              <wp14:pctHeight>0</wp14:pctHeight>
            </wp14:sizeRelV>
          </wp:anchor>
        </w:drawing>
      </w:r>
      <w:r w:rsidRPr="00B84151">
        <w:rPr>
          <w:rFonts w:ascii="Times New Roman" w:hAnsi="Times New Roman"/>
          <w:b w:val="0"/>
          <w:color w:val="000000" w:themeColor="text1"/>
          <w:sz w:val="24"/>
          <w:szCs w:val="24"/>
        </w:rPr>
        <w:t>Figure 3: Citizen Affairs sub-programme expenditure</w:t>
      </w:r>
    </w:p>
    <w:p w14:paraId="34F8CE58" w14:textId="77777777" w:rsidR="00EC1F04" w:rsidRPr="00B84151" w:rsidRDefault="00EC1F04" w:rsidP="00EC1F04">
      <w:pPr>
        <w:spacing w:line="360" w:lineRule="auto"/>
        <w:jc w:val="both"/>
        <w:rPr>
          <w:rFonts w:ascii="Times New Roman" w:hAnsi="Times New Roman"/>
          <w:color w:val="000000" w:themeColor="text1"/>
          <w:sz w:val="24"/>
          <w:szCs w:val="24"/>
        </w:rPr>
      </w:pPr>
      <w:r w:rsidRPr="00B84151">
        <w:rPr>
          <w:rFonts w:ascii="Times New Roman" w:hAnsi="Times New Roman"/>
          <w:noProof/>
          <w:color w:val="000000" w:themeColor="text1"/>
          <w:sz w:val="24"/>
          <w:szCs w:val="24"/>
        </w:rPr>
        <w:t>Source: Calculated by Research Unit from National Treasury (2019b)</w:t>
      </w:r>
    </w:p>
    <w:p w14:paraId="4810E4C1" w14:textId="77777777" w:rsidR="00EC1F04" w:rsidRPr="00EC1F04" w:rsidRDefault="00EC1F04" w:rsidP="00EC1F04">
      <w:pPr>
        <w:spacing w:line="360" w:lineRule="auto"/>
        <w:jc w:val="both"/>
        <w:rPr>
          <w:rFonts w:ascii="Times New Roman" w:hAnsi="Times New Roman"/>
          <w:sz w:val="24"/>
          <w:szCs w:val="24"/>
        </w:rPr>
      </w:pPr>
    </w:p>
    <w:p w14:paraId="4B249156" w14:textId="77777777" w:rsidR="00EC1F04" w:rsidRPr="00EC1F04" w:rsidRDefault="00EC1F04" w:rsidP="00EC1F04">
      <w:pPr>
        <w:spacing w:line="360" w:lineRule="auto"/>
        <w:jc w:val="both"/>
        <w:rPr>
          <w:rFonts w:ascii="Times New Roman" w:hAnsi="Times New Roman"/>
          <w:sz w:val="24"/>
          <w:szCs w:val="24"/>
        </w:rPr>
      </w:pPr>
      <w:r w:rsidRPr="00EC1F04">
        <w:rPr>
          <w:rFonts w:ascii="Times New Roman" w:hAnsi="Times New Roman"/>
          <w:sz w:val="24"/>
          <w:szCs w:val="24"/>
        </w:rPr>
        <w:t xml:space="preserve">The </w:t>
      </w:r>
      <w:r w:rsidRPr="00EC1F04">
        <w:rPr>
          <w:rFonts w:ascii="Times New Roman" w:hAnsi="Times New Roman"/>
          <w:i/>
          <w:sz w:val="24"/>
          <w:szCs w:val="24"/>
        </w:rPr>
        <w:t>Citizen Affairs</w:t>
      </w:r>
      <w:r w:rsidRPr="00EC1F04">
        <w:rPr>
          <w:rFonts w:ascii="Times New Roman" w:hAnsi="Times New Roman"/>
          <w:sz w:val="24"/>
          <w:szCs w:val="24"/>
        </w:rPr>
        <w:t xml:space="preserve"> programme remains the biggest of the three main programmes in the DHA, constituting 57 per cent of the overall departmental expenditure. This programme receives an allocation of R4.736 billion for 2019/20, compared to the allocation of R5.448 billion in 2018/19. This represent a nominal decrease of R711.9 million or 13.1 per cent (before cost of inflation). After cost of inflation, it represents a real decrease of R946.1 million or 17.36 per cent.  </w:t>
      </w:r>
    </w:p>
    <w:p w14:paraId="54E8662F" w14:textId="77777777" w:rsidR="00EC1F04" w:rsidRPr="00EC1F04" w:rsidRDefault="00EC1F04" w:rsidP="00EC1F04">
      <w:pPr>
        <w:spacing w:line="360" w:lineRule="auto"/>
        <w:jc w:val="both"/>
        <w:rPr>
          <w:rFonts w:ascii="Times New Roman" w:hAnsi="Times New Roman"/>
          <w:sz w:val="24"/>
          <w:szCs w:val="24"/>
        </w:rPr>
      </w:pPr>
    </w:p>
    <w:p w14:paraId="72A50006" w14:textId="77777777" w:rsidR="00EC1F04" w:rsidRPr="00EC1F04" w:rsidRDefault="00EC1F04" w:rsidP="00EC1F04">
      <w:pPr>
        <w:spacing w:line="360" w:lineRule="auto"/>
        <w:jc w:val="both"/>
        <w:rPr>
          <w:rFonts w:ascii="Times New Roman" w:hAnsi="Times New Roman"/>
          <w:sz w:val="24"/>
          <w:szCs w:val="24"/>
        </w:rPr>
      </w:pPr>
      <w:r w:rsidRPr="00EC1F04">
        <w:rPr>
          <w:rFonts w:ascii="Times New Roman" w:hAnsi="Times New Roman"/>
          <w:sz w:val="24"/>
          <w:szCs w:val="24"/>
        </w:rPr>
        <w:t xml:space="preserve">The </w:t>
      </w:r>
      <w:r w:rsidRPr="00EC1F04">
        <w:rPr>
          <w:rFonts w:ascii="Times New Roman" w:hAnsi="Times New Roman"/>
          <w:i/>
          <w:sz w:val="24"/>
          <w:szCs w:val="24"/>
        </w:rPr>
        <w:t>Identification Services</w:t>
      </w:r>
      <w:r w:rsidRPr="00EC1F04">
        <w:rPr>
          <w:rFonts w:ascii="Times New Roman" w:hAnsi="Times New Roman"/>
          <w:sz w:val="24"/>
          <w:szCs w:val="24"/>
        </w:rPr>
        <w:t xml:space="preserve"> sub-programme receives a solid budget increase in both nominal and real terms. The budget share of this sub-programme shows a nominal increase of R72.2 million (or 29.58 per cent). Calculating for inflation, it shows a real increase of R56.5 million (or 23.18 per cent). </w:t>
      </w:r>
    </w:p>
    <w:p w14:paraId="3EFED60C" w14:textId="77777777" w:rsidR="00EC1F04" w:rsidRPr="00EC1F04" w:rsidRDefault="00EC1F04" w:rsidP="00EC1F04">
      <w:pPr>
        <w:spacing w:line="360" w:lineRule="auto"/>
        <w:jc w:val="both"/>
        <w:rPr>
          <w:rFonts w:ascii="Times New Roman" w:hAnsi="Times New Roman"/>
          <w:sz w:val="24"/>
          <w:szCs w:val="24"/>
        </w:rPr>
      </w:pPr>
    </w:p>
    <w:p w14:paraId="51666B8A" w14:textId="77777777" w:rsidR="00EC1F04" w:rsidRPr="00EC1F04" w:rsidRDefault="00EC1F04" w:rsidP="00EC1F04">
      <w:pPr>
        <w:spacing w:line="360" w:lineRule="auto"/>
        <w:jc w:val="both"/>
        <w:rPr>
          <w:rFonts w:ascii="Times New Roman" w:hAnsi="Times New Roman"/>
          <w:sz w:val="24"/>
          <w:szCs w:val="24"/>
        </w:rPr>
      </w:pPr>
      <w:r w:rsidRPr="00EC1F04">
        <w:rPr>
          <w:rFonts w:ascii="Times New Roman" w:hAnsi="Times New Roman"/>
          <w:sz w:val="24"/>
          <w:szCs w:val="24"/>
        </w:rPr>
        <w:t xml:space="preserve">As in the previous financial year, the </w:t>
      </w:r>
      <w:r w:rsidRPr="00EC1F04">
        <w:rPr>
          <w:rFonts w:ascii="Times New Roman" w:hAnsi="Times New Roman"/>
          <w:i/>
          <w:sz w:val="24"/>
          <w:szCs w:val="24"/>
        </w:rPr>
        <w:t>Electoral Commission</w:t>
      </w:r>
      <w:r w:rsidRPr="00EC1F04">
        <w:rPr>
          <w:rFonts w:ascii="Times New Roman" w:hAnsi="Times New Roman"/>
          <w:sz w:val="24"/>
          <w:szCs w:val="24"/>
        </w:rPr>
        <w:t xml:space="preserve"> allocation shows a marginal real increase – for 2019/20, it increases with 0.38 per cent. The increase can be attributed to preparations towards the general elections held in May 2019.   </w:t>
      </w:r>
    </w:p>
    <w:p w14:paraId="61387D86" w14:textId="77777777" w:rsidR="00EC1F04" w:rsidRPr="00EC1F04" w:rsidRDefault="00EC1F04" w:rsidP="00EC1F04">
      <w:pPr>
        <w:spacing w:line="360" w:lineRule="auto"/>
        <w:jc w:val="both"/>
        <w:rPr>
          <w:rFonts w:ascii="Times New Roman" w:hAnsi="Times New Roman"/>
          <w:sz w:val="24"/>
          <w:szCs w:val="24"/>
        </w:rPr>
      </w:pPr>
    </w:p>
    <w:p w14:paraId="4F346934" w14:textId="77777777" w:rsidR="00EC1F04" w:rsidRPr="00EC1F04" w:rsidRDefault="00EC1F04" w:rsidP="00B84151">
      <w:pPr>
        <w:spacing w:line="360" w:lineRule="auto"/>
        <w:jc w:val="both"/>
        <w:rPr>
          <w:rFonts w:ascii="Times New Roman" w:hAnsi="Times New Roman"/>
          <w:sz w:val="24"/>
          <w:szCs w:val="24"/>
        </w:rPr>
      </w:pPr>
      <w:r w:rsidRPr="00EC1F04">
        <w:rPr>
          <w:rFonts w:ascii="Times New Roman" w:hAnsi="Times New Roman"/>
          <w:sz w:val="24"/>
          <w:szCs w:val="24"/>
        </w:rPr>
        <w:t>After inflation (calculated at 5.2 percent), the following real increases/ decreases are recorded per sub-programme:</w:t>
      </w:r>
    </w:p>
    <w:p w14:paraId="28B4BC78" w14:textId="77777777" w:rsidR="00EC1F04" w:rsidRPr="00EC1F04" w:rsidRDefault="00EC1F04" w:rsidP="001754B7">
      <w:pPr>
        <w:numPr>
          <w:ilvl w:val="0"/>
          <w:numId w:val="26"/>
        </w:numPr>
        <w:suppressAutoHyphens w:val="0"/>
        <w:autoSpaceDN/>
        <w:spacing w:line="360" w:lineRule="auto"/>
        <w:jc w:val="both"/>
        <w:textAlignment w:val="auto"/>
        <w:rPr>
          <w:rFonts w:ascii="Times New Roman" w:hAnsi="Times New Roman"/>
          <w:sz w:val="24"/>
          <w:szCs w:val="24"/>
        </w:rPr>
      </w:pPr>
      <w:r w:rsidRPr="00EC1F04">
        <w:rPr>
          <w:rFonts w:ascii="Times New Roman" w:hAnsi="Times New Roman"/>
          <w:i/>
          <w:sz w:val="24"/>
          <w:szCs w:val="24"/>
        </w:rPr>
        <w:t>Citizen Affairs Management</w:t>
      </w:r>
      <w:r w:rsidRPr="00EC1F04">
        <w:rPr>
          <w:rFonts w:ascii="Times New Roman" w:hAnsi="Times New Roman"/>
          <w:sz w:val="24"/>
          <w:szCs w:val="24"/>
        </w:rPr>
        <w:t xml:space="preserve">: 36.22 per cent </w:t>
      </w:r>
      <w:r w:rsidRPr="00EC1F04">
        <w:rPr>
          <w:rFonts w:ascii="Times New Roman" w:hAnsi="Times New Roman"/>
          <w:b/>
          <w:sz w:val="24"/>
          <w:szCs w:val="24"/>
        </w:rPr>
        <w:t>decrease</w:t>
      </w:r>
    </w:p>
    <w:p w14:paraId="38AF137F" w14:textId="77777777" w:rsidR="00EC1F04" w:rsidRPr="00EC1F04" w:rsidRDefault="00EC1F04" w:rsidP="001754B7">
      <w:pPr>
        <w:numPr>
          <w:ilvl w:val="0"/>
          <w:numId w:val="26"/>
        </w:numPr>
        <w:suppressAutoHyphens w:val="0"/>
        <w:autoSpaceDN/>
        <w:spacing w:line="360" w:lineRule="auto"/>
        <w:jc w:val="both"/>
        <w:textAlignment w:val="auto"/>
        <w:rPr>
          <w:rFonts w:ascii="Times New Roman" w:hAnsi="Times New Roman"/>
          <w:sz w:val="24"/>
          <w:szCs w:val="24"/>
        </w:rPr>
      </w:pPr>
      <w:r w:rsidRPr="00EC1F04">
        <w:rPr>
          <w:rFonts w:ascii="Times New Roman" w:hAnsi="Times New Roman"/>
          <w:i/>
          <w:sz w:val="24"/>
          <w:szCs w:val="24"/>
        </w:rPr>
        <w:t>Status Services</w:t>
      </w:r>
      <w:r w:rsidRPr="00EC1F04">
        <w:rPr>
          <w:rFonts w:ascii="Times New Roman" w:hAnsi="Times New Roman"/>
          <w:sz w:val="24"/>
          <w:szCs w:val="24"/>
        </w:rPr>
        <w:t xml:space="preserve">: 88.38 per cent </w:t>
      </w:r>
      <w:r w:rsidRPr="00EC1F04">
        <w:rPr>
          <w:rFonts w:ascii="Times New Roman" w:hAnsi="Times New Roman"/>
          <w:b/>
          <w:sz w:val="24"/>
          <w:szCs w:val="24"/>
        </w:rPr>
        <w:t>decrease</w:t>
      </w:r>
    </w:p>
    <w:p w14:paraId="2F8BC90D" w14:textId="77777777" w:rsidR="00EC1F04" w:rsidRPr="00EC1F04" w:rsidRDefault="00EC1F04" w:rsidP="001754B7">
      <w:pPr>
        <w:numPr>
          <w:ilvl w:val="0"/>
          <w:numId w:val="26"/>
        </w:numPr>
        <w:suppressAutoHyphens w:val="0"/>
        <w:autoSpaceDN/>
        <w:spacing w:line="360" w:lineRule="auto"/>
        <w:jc w:val="both"/>
        <w:textAlignment w:val="auto"/>
        <w:rPr>
          <w:rFonts w:ascii="Times New Roman" w:hAnsi="Times New Roman"/>
          <w:sz w:val="24"/>
          <w:szCs w:val="24"/>
        </w:rPr>
      </w:pPr>
      <w:r w:rsidRPr="00EC1F04">
        <w:rPr>
          <w:rFonts w:ascii="Times New Roman" w:hAnsi="Times New Roman"/>
          <w:i/>
          <w:sz w:val="24"/>
          <w:szCs w:val="24"/>
        </w:rPr>
        <w:t>Identification Services</w:t>
      </w:r>
      <w:r w:rsidRPr="00EC1F04">
        <w:rPr>
          <w:rFonts w:ascii="Times New Roman" w:hAnsi="Times New Roman"/>
          <w:sz w:val="24"/>
          <w:szCs w:val="24"/>
        </w:rPr>
        <w:t xml:space="preserve">: 23.18 per cent </w:t>
      </w:r>
      <w:r w:rsidRPr="00EC1F04">
        <w:rPr>
          <w:rFonts w:ascii="Times New Roman" w:hAnsi="Times New Roman"/>
          <w:b/>
          <w:sz w:val="24"/>
          <w:szCs w:val="24"/>
        </w:rPr>
        <w:t>increase</w:t>
      </w:r>
    </w:p>
    <w:p w14:paraId="20ACD05D" w14:textId="77777777" w:rsidR="00EC1F04" w:rsidRPr="00EC1F04" w:rsidRDefault="00EC1F04" w:rsidP="001754B7">
      <w:pPr>
        <w:numPr>
          <w:ilvl w:val="0"/>
          <w:numId w:val="26"/>
        </w:numPr>
        <w:suppressAutoHyphens w:val="0"/>
        <w:autoSpaceDN/>
        <w:spacing w:line="360" w:lineRule="auto"/>
        <w:jc w:val="both"/>
        <w:textAlignment w:val="auto"/>
        <w:rPr>
          <w:rFonts w:ascii="Times New Roman" w:hAnsi="Times New Roman"/>
          <w:sz w:val="24"/>
          <w:szCs w:val="24"/>
        </w:rPr>
      </w:pPr>
      <w:r w:rsidRPr="00EC1F04">
        <w:rPr>
          <w:rFonts w:ascii="Times New Roman" w:hAnsi="Times New Roman"/>
          <w:i/>
          <w:sz w:val="24"/>
          <w:szCs w:val="24"/>
        </w:rPr>
        <w:t>Service Delivery to Provinces</w:t>
      </w:r>
      <w:r w:rsidRPr="00EC1F04">
        <w:rPr>
          <w:rFonts w:ascii="Times New Roman" w:hAnsi="Times New Roman"/>
          <w:sz w:val="24"/>
          <w:szCs w:val="24"/>
        </w:rPr>
        <w:t xml:space="preserve">: 0.64 per cent </w:t>
      </w:r>
      <w:r w:rsidRPr="00EC1F04">
        <w:rPr>
          <w:rFonts w:ascii="Times New Roman" w:hAnsi="Times New Roman"/>
          <w:b/>
          <w:sz w:val="24"/>
          <w:szCs w:val="24"/>
        </w:rPr>
        <w:t>decrease</w:t>
      </w:r>
    </w:p>
    <w:p w14:paraId="20C2550E" w14:textId="77777777" w:rsidR="00EC1F04" w:rsidRPr="00EC1F04" w:rsidRDefault="00EC1F04" w:rsidP="001754B7">
      <w:pPr>
        <w:numPr>
          <w:ilvl w:val="0"/>
          <w:numId w:val="26"/>
        </w:numPr>
        <w:suppressAutoHyphens w:val="0"/>
        <w:autoSpaceDN/>
        <w:spacing w:line="360" w:lineRule="auto"/>
        <w:jc w:val="both"/>
        <w:textAlignment w:val="auto"/>
        <w:rPr>
          <w:rFonts w:ascii="Times New Roman" w:hAnsi="Times New Roman"/>
          <w:sz w:val="24"/>
          <w:szCs w:val="24"/>
        </w:rPr>
      </w:pPr>
      <w:r w:rsidRPr="00EC1F04">
        <w:rPr>
          <w:rFonts w:ascii="Times New Roman" w:hAnsi="Times New Roman"/>
          <w:i/>
          <w:sz w:val="24"/>
          <w:szCs w:val="24"/>
        </w:rPr>
        <w:t>Electoral Commission</w:t>
      </w:r>
      <w:r w:rsidRPr="00EC1F04">
        <w:rPr>
          <w:rFonts w:ascii="Times New Roman" w:hAnsi="Times New Roman"/>
          <w:sz w:val="24"/>
          <w:szCs w:val="24"/>
        </w:rPr>
        <w:t xml:space="preserve">: 2.63 per cent </w:t>
      </w:r>
      <w:r w:rsidRPr="00EC1F04">
        <w:rPr>
          <w:rFonts w:ascii="Times New Roman" w:hAnsi="Times New Roman"/>
          <w:b/>
          <w:sz w:val="24"/>
          <w:szCs w:val="24"/>
        </w:rPr>
        <w:t>decrease</w:t>
      </w:r>
    </w:p>
    <w:p w14:paraId="5A45C8AF" w14:textId="77777777" w:rsidR="009B3120" w:rsidRDefault="00EC1F04" w:rsidP="001754B7">
      <w:pPr>
        <w:numPr>
          <w:ilvl w:val="0"/>
          <w:numId w:val="26"/>
        </w:numPr>
        <w:suppressAutoHyphens w:val="0"/>
        <w:autoSpaceDN/>
        <w:spacing w:line="360" w:lineRule="auto"/>
        <w:jc w:val="both"/>
        <w:textAlignment w:val="auto"/>
        <w:rPr>
          <w:rFonts w:ascii="Times New Roman" w:hAnsi="Times New Roman"/>
          <w:sz w:val="24"/>
          <w:szCs w:val="24"/>
        </w:rPr>
      </w:pPr>
      <w:r w:rsidRPr="00EC1F04">
        <w:rPr>
          <w:rFonts w:ascii="Times New Roman" w:hAnsi="Times New Roman"/>
          <w:i/>
          <w:sz w:val="24"/>
          <w:szCs w:val="24"/>
        </w:rPr>
        <w:t>Represented Political Parties’ Fund</w:t>
      </w:r>
      <w:r w:rsidRPr="00EC1F04">
        <w:rPr>
          <w:rFonts w:ascii="Times New Roman" w:hAnsi="Times New Roman"/>
          <w:sz w:val="24"/>
          <w:szCs w:val="24"/>
        </w:rPr>
        <w:t xml:space="preserve">: 0.38 per cent </w:t>
      </w:r>
      <w:r w:rsidRPr="00EC1F04">
        <w:rPr>
          <w:rFonts w:ascii="Times New Roman" w:hAnsi="Times New Roman"/>
          <w:b/>
          <w:sz w:val="24"/>
          <w:szCs w:val="24"/>
        </w:rPr>
        <w:t>increase</w:t>
      </w:r>
    </w:p>
    <w:p w14:paraId="4230D02B" w14:textId="77777777" w:rsidR="009B3120" w:rsidRPr="009B3120" w:rsidRDefault="009B3120" w:rsidP="001754B7">
      <w:pPr>
        <w:numPr>
          <w:ilvl w:val="0"/>
          <w:numId w:val="26"/>
        </w:numPr>
        <w:suppressAutoHyphens w:val="0"/>
        <w:autoSpaceDN/>
        <w:spacing w:line="360" w:lineRule="auto"/>
        <w:jc w:val="both"/>
        <w:textAlignment w:val="auto"/>
        <w:rPr>
          <w:rFonts w:ascii="Times New Roman" w:hAnsi="Times New Roman"/>
          <w:sz w:val="24"/>
          <w:szCs w:val="24"/>
        </w:rPr>
      </w:pPr>
    </w:p>
    <w:p w14:paraId="65AEDF5B" w14:textId="77777777" w:rsidR="00EC1F04" w:rsidRPr="00EC1F04" w:rsidRDefault="00EC1F04" w:rsidP="00EC1F04">
      <w:pPr>
        <w:spacing w:line="360" w:lineRule="auto"/>
        <w:jc w:val="both"/>
        <w:rPr>
          <w:rFonts w:ascii="Times New Roman" w:hAnsi="Times New Roman"/>
          <w:sz w:val="24"/>
          <w:szCs w:val="24"/>
        </w:rPr>
      </w:pPr>
      <w:r w:rsidRPr="00EC1F04">
        <w:rPr>
          <w:rFonts w:ascii="Times New Roman" w:hAnsi="Times New Roman"/>
          <w:sz w:val="24"/>
          <w:szCs w:val="24"/>
        </w:rPr>
        <w:t xml:space="preserve">The real decrease recorded for the </w:t>
      </w:r>
      <w:r w:rsidRPr="00EC1F04">
        <w:rPr>
          <w:rFonts w:ascii="Times New Roman" w:hAnsi="Times New Roman"/>
          <w:i/>
          <w:sz w:val="24"/>
          <w:szCs w:val="24"/>
        </w:rPr>
        <w:t>Service Delivery to Provinces</w:t>
      </w:r>
      <w:r w:rsidRPr="00EC1F04">
        <w:rPr>
          <w:rFonts w:ascii="Times New Roman" w:hAnsi="Times New Roman"/>
          <w:sz w:val="24"/>
          <w:szCs w:val="24"/>
        </w:rPr>
        <w:t xml:space="preserve"> sub-programme may pose a challenge with respect to the DHA priority of maintaining its footprint, which requires adequate and skilled personnel. In addition, functions such as client interface are funded under this sub-programme. </w:t>
      </w:r>
    </w:p>
    <w:p w14:paraId="00BB88D1" w14:textId="77777777" w:rsidR="00EC1F04" w:rsidRPr="00EC1F04" w:rsidRDefault="00EC1F04" w:rsidP="00EC1F04">
      <w:pPr>
        <w:spacing w:line="360" w:lineRule="auto"/>
        <w:jc w:val="both"/>
        <w:rPr>
          <w:rFonts w:ascii="Times New Roman" w:hAnsi="Times New Roman"/>
          <w:sz w:val="24"/>
          <w:szCs w:val="24"/>
        </w:rPr>
      </w:pPr>
    </w:p>
    <w:p w14:paraId="357C7CD6" w14:textId="77777777" w:rsidR="00EC1F04" w:rsidRPr="00EC1F04" w:rsidRDefault="00EC1F04" w:rsidP="00EC1F04">
      <w:pPr>
        <w:spacing w:line="360" w:lineRule="auto"/>
        <w:jc w:val="both"/>
        <w:rPr>
          <w:rFonts w:ascii="Times New Roman" w:hAnsi="Times New Roman"/>
          <w:sz w:val="24"/>
          <w:szCs w:val="24"/>
        </w:rPr>
      </w:pPr>
      <w:r w:rsidRPr="00EC1F04">
        <w:rPr>
          <w:rFonts w:ascii="Times New Roman" w:hAnsi="Times New Roman"/>
          <w:sz w:val="24"/>
          <w:szCs w:val="24"/>
        </w:rPr>
        <w:t xml:space="preserve">The </w:t>
      </w:r>
      <w:r w:rsidRPr="00EC1F04">
        <w:rPr>
          <w:rFonts w:ascii="Times New Roman" w:hAnsi="Times New Roman"/>
          <w:i/>
          <w:sz w:val="24"/>
          <w:szCs w:val="24"/>
        </w:rPr>
        <w:t>Status Services</w:t>
      </w:r>
      <w:r w:rsidRPr="00EC1F04">
        <w:rPr>
          <w:rFonts w:ascii="Times New Roman" w:hAnsi="Times New Roman"/>
          <w:sz w:val="24"/>
          <w:szCs w:val="24"/>
        </w:rPr>
        <w:t xml:space="preserve"> sub-programme continues to experiences major decline in its funding – as was the case the previous year. For 2019/20, it declines with 88.38 per cent (real terms), while 2018/19 financial year recorded 88.92 per cent real decline. This sub-programme is tasked with one of the main mandates of the DHA. This include maintaining an accurate register of all citizens and immigrants who have acquired the right to permanent residence; registering births, deaths and marriages; providing travel and citizenship documents; providing financial assistance to citizens abroad who wish to return to South Africa, but have no means of doing so; and determining and granting citizenship.</w:t>
      </w:r>
    </w:p>
    <w:p w14:paraId="03CDFF74" w14:textId="77777777" w:rsidR="00EC1F04" w:rsidRPr="00EC1F04" w:rsidRDefault="00EC1F04" w:rsidP="00EC1F04">
      <w:pPr>
        <w:pStyle w:val="NoSpacing"/>
        <w:spacing w:line="360" w:lineRule="auto"/>
        <w:rPr>
          <w:rFonts w:ascii="Times New Roman" w:hAnsi="Times New Roman"/>
          <w:sz w:val="24"/>
          <w:szCs w:val="24"/>
        </w:rPr>
      </w:pPr>
    </w:p>
    <w:p w14:paraId="10CDBEB0" w14:textId="77777777" w:rsidR="00EC1F04" w:rsidRPr="00C56099" w:rsidRDefault="00EC1F04" w:rsidP="00EC1F04">
      <w:pPr>
        <w:pStyle w:val="Heading3"/>
        <w:spacing w:line="360" w:lineRule="auto"/>
        <w:jc w:val="both"/>
        <w:rPr>
          <w:rFonts w:ascii="Times New Roman" w:hAnsi="Times New Roman" w:cs="Times New Roman"/>
          <w:b/>
          <w:color w:val="000000" w:themeColor="text1"/>
          <w:sz w:val="28"/>
          <w:szCs w:val="28"/>
        </w:rPr>
      </w:pPr>
      <w:bookmarkStart w:id="5" w:name="_Toc12526401"/>
      <w:r w:rsidRPr="00C56099">
        <w:rPr>
          <w:rFonts w:ascii="Times New Roman" w:hAnsi="Times New Roman" w:cs="Times New Roman"/>
          <w:b/>
          <w:color w:val="000000" w:themeColor="text1"/>
          <w:sz w:val="28"/>
          <w:szCs w:val="28"/>
        </w:rPr>
        <w:t>Programme 3: Immigration Affairs</w:t>
      </w:r>
      <w:bookmarkEnd w:id="5"/>
    </w:p>
    <w:p w14:paraId="40192C98" w14:textId="77777777" w:rsidR="00EC1F04" w:rsidRPr="00B84151" w:rsidRDefault="00B84151" w:rsidP="00B84151">
      <w:pPr>
        <w:spacing w:line="360" w:lineRule="auto"/>
        <w:jc w:val="both"/>
        <w:rPr>
          <w:rFonts w:ascii="Times New Roman" w:hAnsi="Times New Roman"/>
          <w:sz w:val="24"/>
          <w:szCs w:val="24"/>
        </w:rPr>
      </w:pPr>
      <w:r w:rsidRPr="00B84151">
        <w:rPr>
          <w:rFonts w:ascii="Times New Roman" w:hAnsi="Times New Roman"/>
          <w:sz w:val="24"/>
          <w:szCs w:val="24"/>
        </w:rPr>
        <w:t>This programme is responsible for facilitating and regulating the secure movement of people through the ports of entry into and out of South Africa. It is also responsible for determining the status of asylum seekers and regulate refugee affairs. Spending on compensation of employees is the main cost driver in the programme, accounting for an estimated 63.5 percent (R2.5 billion) of its total budget over the medium term.</w:t>
      </w:r>
    </w:p>
    <w:p w14:paraId="20D0A813" w14:textId="77777777" w:rsidR="00EC1F04" w:rsidRPr="00EC1F04" w:rsidRDefault="00EC1F04" w:rsidP="00EC1F04">
      <w:pPr>
        <w:spacing w:line="360" w:lineRule="auto"/>
        <w:jc w:val="both"/>
        <w:rPr>
          <w:rFonts w:ascii="Times New Roman" w:hAnsi="Times New Roman"/>
          <w:sz w:val="24"/>
          <w:szCs w:val="24"/>
        </w:rPr>
      </w:pPr>
    </w:p>
    <w:p w14:paraId="7FCCA71B" w14:textId="77777777" w:rsidR="00EC1F04" w:rsidRPr="00EC1F04" w:rsidRDefault="00EC1F04" w:rsidP="00EC1F04">
      <w:pPr>
        <w:spacing w:line="360" w:lineRule="auto"/>
        <w:jc w:val="both"/>
        <w:rPr>
          <w:rFonts w:ascii="Times New Roman" w:hAnsi="Times New Roman"/>
          <w:sz w:val="24"/>
          <w:szCs w:val="24"/>
        </w:rPr>
      </w:pPr>
      <w:r w:rsidRPr="00EC1F04">
        <w:rPr>
          <w:rFonts w:ascii="Times New Roman" w:hAnsi="Times New Roman"/>
          <w:sz w:val="24"/>
          <w:szCs w:val="24"/>
        </w:rPr>
        <w:t xml:space="preserve">The </w:t>
      </w:r>
      <w:r w:rsidRPr="00EC1F04">
        <w:rPr>
          <w:rFonts w:ascii="Times New Roman" w:hAnsi="Times New Roman"/>
          <w:i/>
          <w:sz w:val="24"/>
          <w:szCs w:val="24"/>
        </w:rPr>
        <w:t>Immigration Affairs</w:t>
      </w:r>
      <w:r w:rsidRPr="00EC1F04">
        <w:rPr>
          <w:rFonts w:ascii="Times New Roman" w:hAnsi="Times New Roman"/>
          <w:sz w:val="24"/>
          <w:szCs w:val="24"/>
        </w:rPr>
        <w:t xml:space="preserve"> programme is the smallest of the three main programmes in terms of budgetary size. Unlike in the previous financial year when it experienced a real decrease of 16.62 per cent, the programme grows with 11.8 per cent. In monetary terms, </w:t>
      </w:r>
      <w:r w:rsidRPr="00EC1F04">
        <w:rPr>
          <w:rFonts w:ascii="Times New Roman" w:hAnsi="Times New Roman"/>
          <w:i/>
          <w:sz w:val="24"/>
          <w:szCs w:val="24"/>
        </w:rPr>
        <w:t>Immigration Affairs</w:t>
      </w:r>
      <w:r w:rsidRPr="00EC1F04">
        <w:rPr>
          <w:rFonts w:ascii="Times New Roman" w:hAnsi="Times New Roman"/>
          <w:sz w:val="24"/>
          <w:szCs w:val="24"/>
        </w:rPr>
        <w:t xml:space="preserve"> increases in real terms with R126.7 million. Its budget allocation grows from R1.073 billion in 2018/19 to R1.262 billion in the current year. </w:t>
      </w:r>
    </w:p>
    <w:p w14:paraId="6933BE94" w14:textId="77777777" w:rsidR="00EC1F04" w:rsidRPr="00EC1F04" w:rsidRDefault="00EC1F04" w:rsidP="00EC1F04">
      <w:pPr>
        <w:spacing w:line="360" w:lineRule="auto"/>
        <w:jc w:val="both"/>
        <w:rPr>
          <w:rFonts w:ascii="Times New Roman" w:hAnsi="Times New Roman"/>
          <w:sz w:val="24"/>
          <w:szCs w:val="24"/>
        </w:rPr>
      </w:pPr>
    </w:p>
    <w:p w14:paraId="012312B4" w14:textId="77777777" w:rsidR="00EC1F04" w:rsidRPr="00EC1F04" w:rsidRDefault="00EC1F04" w:rsidP="00EC1F04">
      <w:pPr>
        <w:spacing w:line="360" w:lineRule="auto"/>
        <w:jc w:val="both"/>
        <w:rPr>
          <w:rFonts w:ascii="Times New Roman" w:hAnsi="Times New Roman"/>
          <w:sz w:val="24"/>
          <w:szCs w:val="24"/>
        </w:rPr>
      </w:pPr>
      <w:r w:rsidRPr="00EC1F04">
        <w:rPr>
          <w:rFonts w:ascii="Times New Roman" w:hAnsi="Times New Roman"/>
          <w:sz w:val="24"/>
          <w:szCs w:val="24"/>
        </w:rPr>
        <w:t>The budget under the programme is shared amongst the 4 sub-programme as outlined in the pie chart below.</w:t>
      </w:r>
    </w:p>
    <w:p w14:paraId="39913C30" w14:textId="77777777" w:rsidR="00EC1F04" w:rsidRPr="00EC1F04" w:rsidRDefault="00EC1F04" w:rsidP="00EC1F04">
      <w:pPr>
        <w:spacing w:line="360" w:lineRule="auto"/>
        <w:jc w:val="both"/>
        <w:rPr>
          <w:rFonts w:ascii="Times New Roman" w:hAnsi="Times New Roman"/>
          <w:sz w:val="24"/>
          <w:szCs w:val="24"/>
        </w:rPr>
      </w:pPr>
    </w:p>
    <w:p w14:paraId="13BECB24" w14:textId="77777777" w:rsidR="00EC1F04" w:rsidRPr="00B84151" w:rsidRDefault="00EC1F04" w:rsidP="00EC1F04">
      <w:pPr>
        <w:pStyle w:val="Caption"/>
        <w:spacing w:line="360" w:lineRule="auto"/>
        <w:jc w:val="both"/>
        <w:rPr>
          <w:rFonts w:ascii="Times New Roman" w:hAnsi="Times New Roman"/>
          <w:b w:val="0"/>
          <w:color w:val="000000" w:themeColor="text1"/>
          <w:sz w:val="24"/>
          <w:szCs w:val="24"/>
        </w:rPr>
      </w:pPr>
      <w:r w:rsidRPr="00B84151">
        <w:rPr>
          <w:rFonts w:ascii="Times New Roman" w:hAnsi="Times New Roman"/>
          <w:noProof/>
          <w:color w:val="000000" w:themeColor="text1"/>
          <w:sz w:val="24"/>
          <w:szCs w:val="24"/>
          <w:lang w:val="en-ZA" w:eastAsia="en-ZA"/>
        </w:rPr>
        <w:drawing>
          <wp:anchor distT="0" distB="0" distL="114300" distR="114300" simplePos="0" relativeHeight="251680768" behindDoc="1" locked="0" layoutInCell="1" allowOverlap="1" wp14:anchorId="7F6E294C" wp14:editId="40334D28">
            <wp:simplePos x="0" y="0"/>
            <wp:positionH relativeFrom="margin">
              <wp:align>left</wp:align>
            </wp:positionH>
            <wp:positionV relativeFrom="paragraph">
              <wp:posOffset>229235</wp:posOffset>
            </wp:positionV>
            <wp:extent cx="6038215" cy="2719070"/>
            <wp:effectExtent l="0" t="0" r="635" b="5080"/>
            <wp:wrapTight wrapText="bothSides">
              <wp:wrapPolygon edited="0">
                <wp:start x="0" y="0"/>
                <wp:lineTo x="0" y="21489"/>
                <wp:lineTo x="21534" y="21489"/>
                <wp:lineTo x="21534"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8215" cy="2719070"/>
                    </a:xfrm>
                    <a:prstGeom prst="rect">
                      <a:avLst/>
                    </a:prstGeom>
                    <a:noFill/>
                  </pic:spPr>
                </pic:pic>
              </a:graphicData>
            </a:graphic>
            <wp14:sizeRelH relativeFrom="page">
              <wp14:pctWidth>0</wp14:pctWidth>
            </wp14:sizeRelH>
            <wp14:sizeRelV relativeFrom="page">
              <wp14:pctHeight>0</wp14:pctHeight>
            </wp14:sizeRelV>
          </wp:anchor>
        </w:drawing>
      </w:r>
      <w:r w:rsidRPr="00B84151">
        <w:rPr>
          <w:rFonts w:ascii="Times New Roman" w:hAnsi="Times New Roman"/>
          <w:b w:val="0"/>
          <w:color w:val="000000" w:themeColor="text1"/>
          <w:sz w:val="24"/>
          <w:szCs w:val="24"/>
        </w:rPr>
        <w:t xml:space="preserve"> Figure 4: immigration affairs sub-programmes </w:t>
      </w:r>
    </w:p>
    <w:p w14:paraId="1983F0E2" w14:textId="77777777" w:rsidR="00EC1F04" w:rsidRPr="00EC1F04" w:rsidRDefault="00EC1F04" w:rsidP="00EC1F04">
      <w:pPr>
        <w:spacing w:line="360" w:lineRule="auto"/>
        <w:jc w:val="both"/>
        <w:rPr>
          <w:rFonts w:ascii="Times New Roman" w:hAnsi="Times New Roman"/>
          <w:sz w:val="24"/>
          <w:szCs w:val="24"/>
        </w:rPr>
      </w:pPr>
      <w:r w:rsidRPr="00EC1F04">
        <w:rPr>
          <w:rFonts w:ascii="Times New Roman" w:hAnsi="Times New Roman"/>
          <w:sz w:val="24"/>
          <w:szCs w:val="24"/>
        </w:rPr>
        <w:t>Figure 4 demonstrates the DHA’s commitment to managing international migration.</w:t>
      </w:r>
    </w:p>
    <w:p w14:paraId="75BCC88B" w14:textId="77777777" w:rsidR="00EC1F04" w:rsidRPr="00EC1F04" w:rsidRDefault="00EC1F04" w:rsidP="00EC1F04">
      <w:pPr>
        <w:spacing w:line="360" w:lineRule="auto"/>
        <w:jc w:val="both"/>
        <w:rPr>
          <w:rFonts w:ascii="Times New Roman" w:hAnsi="Times New Roman"/>
          <w:sz w:val="24"/>
          <w:szCs w:val="24"/>
        </w:rPr>
      </w:pPr>
    </w:p>
    <w:p w14:paraId="66667068" w14:textId="77777777" w:rsidR="00EC1F04" w:rsidRPr="00EC1F04" w:rsidRDefault="00EC1F04" w:rsidP="00EC1F04">
      <w:pPr>
        <w:spacing w:line="360" w:lineRule="auto"/>
        <w:jc w:val="both"/>
        <w:rPr>
          <w:rFonts w:ascii="Times New Roman" w:hAnsi="Times New Roman"/>
          <w:sz w:val="24"/>
          <w:szCs w:val="24"/>
        </w:rPr>
      </w:pPr>
      <w:r w:rsidRPr="00EC1F04">
        <w:rPr>
          <w:rFonts w:ascii="Times New Roman" w:hAnsi="Times New Roman"/>
          <w:sz w:val="24"/>
          <w:szCs w:val="24"/>
        </w:rPr>
        <w:t xml:space="preserve">The </w:t>
      </w:r>
      <w:r w:rsidRPr="00EC1F04">
        <w:rPr>
          <w:rFonts w:ascii="Times New Roman" w:hAnsi="Times New Roman"/>
          <w:i/>
          <w:sz w:val="24"/>
          <w:szCs w:val="24"/>
        </w:rPr>
        <w:t>Admission Services</w:t>
      </w:r>
      <w:r w:rsidRPr="00EC1F04">
        <w:rPr>
          <w:rFonts w:ascii="Times New Roman" w:hAnsi="Times New Roman"/>
          <w:sz w:val="24"/>
          <w:szCs w:val="24"/>
        </w:rPr>
        <w:t xml:space="preserve"> sub-programme continues to dominate the budget share of this programme; i.e. 61 per cent. Its allocation in 2019/20 is R768.7 million, up from R609.2 million previously. The sub-programme’s allocation should be viewed in the context of past concerns about the turnaround times for processing of permits and visas.</w:t>
      </w:r>
      <w:r w:rsidR="009B3120">
        <w:rPr>
          <w:rFonts w:ascii="Times New Roman" w:hAnsi="Times New Roman"/>
          <w:sz w:val="24"/>
          <w:szCs w:val="24"/>
        </w:rPr>
        <w:t xml:space="preserve"> </w:t>
      </w:r>
      <w:r w:rsidRPr="00EC1F04">
        <w:rPr>
          <w:rFonts w:ascii="Times New Roman" w:hAnsi="Times New Roman"/>
          <w:sz w:val="24"/>
          <w:szCs w:val="24"/>
        </w:rPr>
        <w:t>After inflation, the following real increases/ decreases are recorded per sub-programme for 2019/20 financial year:</w:t>
      </w:r>
    </w:p>
    <w:p w14:paraId="02F345FD" w14:textId="77777777" w:rsidR="00EC1F04" w:rsidRPr="009B3120" w:rsidRDefault="00EC1F04" w:rsidP="001754B7">
      <w:pPr>
        <w:numPr>
          <w:ilvl w:val="0"/>
          <w:numId w:val="27"/>
        </w:numPr>
        <w:suppressAutoHyphens w:val="0"/>
        <w:autoSpaceDN/>
        <w:spacing w:line="360" w:lineRule="auto"/>
        <w:jc w:val="both"/>
        <w:textAlignment w:val="auto"/>
        <w:rPr>
          <w:rFonts w:ascii="Times New Roman" w:hAnsi="Times New Roman"/>
          <w:sz w:val="22"/>
          <w:szCs w:val="22"/>
        </w:rPr>
      </w:pPr>
      <w:r w:rsidRPr="009B3120">
        <w:rPr>
          <w:rFonts w:ascii="Times New Roman" w:hAnsi="Times New Roman"/>
          <w:i/>
          <w:sz w:val="22"/>
          <w:szCs w:val="22"/>
        </w:rPr>
        <w:t>Immigration Affairs</w:t>
      </w:r>
      <w:r w:rsidRPr="009B3120">
        <w:rPr>
          <w:rFonts w:ascii="Times New Roman" w:hAnsi="Times New Roman"/>
          <w:sz w:val="22"/>
          <w:szCs w:val="22"/>
        </w:rPr>
        <w:t xml:space="preserve">: 14.65 per cent </w:t>
      </w:r>
      <w:r w:rsidRPr="009B3120">
        <w:rPr>
          <w:rFonts w:ascii="Times New Roman" w:hAnsi="Times New Roman"/>
          <w:b/>
          <w:sz w:val="22"/>
          <w:szCs w:val="22"/>
        </w:rPr>
        <w:t>decline</w:t>
      </w:r>
      <w:r w:rsidRPr="009B3120">
        <w:rPr>
          <w:rFonts w:ascii="Times New Roman" w:hAnsi="Times New Roman"/>
          <w:sz w:val="22"/>
          <w:szCs w:val="22"/>
        </w:rPr>
        <w:t xml:space="preserve"> (compared to 4.04 per cent decline in 2018/19).</w:t>
      </w:r>
    </w:p>
    <w:p w14:paraId="49D0A638" w14:textId="77777777" w:rsidR="00EC1F04" w:rsidRPr="009B3120" w:rsidRDefault="00EC1F04" w:rsidP="001754B7">
      <w:pPr>
        <w:numPr>
          <w:ilvl w:val="0"/>
          <w:numId w:val="27"/>
        </w:numPr>
        <w:suppressAutoHyphens w:val="0"/>
        <w:autoSpaceDN/>
        <w:spacing w:line="360" w:lineRule="auto"/>
        <w:jc w:val="both"/>
        <w:textAlignment w:val="auto"/>
        <w:rPr>
          <w:rFonts w:ascii="Times New Roman" w:hAnsi="Times New Roman"/>
          <w:sz w:val="22"/>
          <w:szCs w:val="22"/>
        </w:rPr>
      </w:pPr>
      <w:r w:rsidRPr="009B3120">
        <w:rPr>
          <w:rFonts w:ascii="Times New Roman" w:hAnsi="Times New Roman"/>
          <w:i/>
          <w:sz w:val="22"/>
          <w:szCs w:val="22"/>
        </w:rPr>
        <w:t>Admission Services</w:t>
      </w:r>
      <w:r w:rsidRPr="009B3120">
        <w:rPr>
          <w:rFonts w:ascii="Times New Roman" w:hAnsi="Times New Roman"/>
          <w:sz w:val="22"/>
          <w:szCs w:val="22"/>
        </w:rPr>
        <w:t xml:space="preserve">: 19.95 per cent </w:t>
      </w:r>
      <w:r w:rsidRPr="009B3120">
        <w:rPr>
          <w:rFonts w:ascii="Times New Roman" w:hAnsi="Times New Roman"/>
          <w:b/>
          <w:sz w:val="22"/>
          <w:szCs w:val="22"/>
        </w:rPr>
        <w:t>increase</w:t>
      </w:r>
      <w:r w:rsidRPr="009B3120">
        <w:rPr>
          <w:rFonts w:ascii="Times New Roman" w:hAnsi="Times New Roman"/>
          <w:sz w:val="22"/>
          <w:szCs w:val="22"/>
        </w:rPr>
        <w:t xml:space="preserve"> (compared to 25.85 per cent decline in 2018/19).</w:t>
      </w:r>
    </w:p>
    <w:p w14:paraId="64858BBC" w14:textId="77777777" w:rsidR="00EC1F04" w:rsidRPr="009B3120" w:rsidRDefault="00EC1F04" w:rsidP="001754B7">
      <w:pPr>
        <w:numPr>
          <w:ilvl w:val="0"/>
          <w:numId w:val="27"/>
        </w:numPr>
        <w:suppressAutoHyphens w:val="0"/>
        <w:autoSpaceDN/>
        <w:spacing w:line="360" w:lineRule="auto"/>
        <w:jc w:val="both"/>
        <w:textAlignment w:val="auto"/>
        <w:rPr>
          <w:rFonts w:ascii="Times New Roman" w:hAnsi="Times New Roman"/>
          <w:sz w:val="22"/>
          <w:szCs w:val="22"/>
        </w:rPr>
      </w:pPr>
      <w:r w:rsidRPr="009B3120">
        <w:rPr>
          <w:rFonts w:ascii="Times New Roman" w:hAnsi="Times New Roman"/>
          <w:i/>
          <w:sz w:val="22"/>
          <w:szCs w:val="22"/>
        </w:rPr>
        <w:t>Immigration Services</w:t>
      </w:r>
      <w:r w:rsidRPr="009B3120">
        <w:rPr>
          <w:rFonts w:ascii="Times New Roman" w:hAnsi="Times New Roman"/>
          <w:sz w:val="22"/>
          <w:szCs w:val="22"/>
        </w:rPr>
        <w:t xml:space="preserve">: 0.78 per cent </w:t>
      </w:r>
      <w:r w:rsidRPr="009B3120">
        <w:rPr>
          <w:rFonts w:ascii="Times New Roman" w:hAnsi="Times New Roman"/>
          <w:b/>
          <w:sz w:val="22"/>
          <w:szCs w:val="22"/>
        </w:rPr>
        <w:t>increase</w:t>
      </w:r>
      <w:r w:rsidRPr="009B3120">
        <w:rPr>
          <w:rFonts w:ascii="Times New Roman" w:hAnsi="Times New Roman"/>
          <w:sz w:val="22"/>
          <w:szCs w:val="22"/>
        </w:rPr>
        <w:t xml:space="preserve"> (compared to 2.23 per cent decline in 2018/19.</w:t>
      </w:r>
    </w:p>
    <w:p w14:paraId="724E9086" w14:textId="77777777" w:rsidR="00EC1F04" w:rsidRPr="009B3120" w:rsidRDefault="00EC1F04" w:rsidP="001754B7">
      <w:pPr>
        <w:numPr>
          <w:ilvl w:val="0"/>
          <w:numId w:val="27"/>
        </w:numPr>
        <w:suppressAutoHyphens w:val="0"/>
        <w:autoSpaceDN/>
        <w:spacing w:line="360" w:lineRule="auto"/>
        <w:jc w:val="both"/>
        <w:textAlignment w:val="auto"/>
        <w:rPr>
          <w:rFonts w:ascii="Times New Roman" w:hAnsi="Times New Roman"/>
          <w:sz w:val="22"/>
          <w:szCs w:val="22"/>
        </w:rPr>
      </w:pPr>
      <w:r w:rsidRPr="009B3120">
        <w:rPr>
          <w:rFonts w:ascii="Times New Roman" w:hAnsi="Times New Roman"/>
          <w:i/>
          <w:sz w:val="22"/>
          <w:szCs w:val="22"/>
        </w:rPr>
        <w:t>Asylum Seekers</w:t>
      </w:r>
      <w:r w:rsidRPr="009B3120">
        <w:rPr>
          <w:rFonts w:ascii="Times New Roman" w:hAnsi="Times New Roman"/>
          <w:sz w:val="22"/>
          <w:szCs w:val="22"/>
        </w:rPr>
        <w:t>: 14.06 percent</w:t>
      </w:r>
      <w:r w:rsidRPr="009B3120">
        <w:rPr>
          <w:rFonts w:ascii="Times New Roman" w:hAnsi="Times New Roman"/>
          <w:b/>
          <w:sz w:val="22"/>
          <w:szCs w:val="22"/>
        </w:rPr>
        <w:t xml:space="preserve"> increase</w:t>
      </w:r>
      <w:r w:rsidRPr="009B3120">
        <w:rPr>
          <w:rFonts w:ascii="Times New Roman" w:hAnsi="Times New Roman"/>
          <w:sz w:val="22"/>
          <w:szCs w:val="22"/>
        </w:rPr>
        <w:t xml:space="preserve"> (compared to 3.49 percent increase in 2018/19).</w:t>
      </w:r>
    </w:p>
    <w:p w14:paraId="4B0B4DBB" w14:textId="77777777" w:rsidR="00EC1F04" w:rsidRPr="00EC1F04" w:rsidRDefault="00EC1F04" w:rsidP="00EC1F04">
      <w:pPr>
        <w:spacing w:line="360" w:lineRule="auto"/>
        <w:jc w:val="both"/>
        <w:rPr>
          <w:rFonts w:ascii="Times New Roman" w:hAnsi="Times New Roman"/>
          <w:sz w:val="24"/>
          <w:szCs w:val="24"/>
        </w:rPr>
      </w:pPr>
    </w:p>
    <w:p w14:paraId="0BB1CBE3" w14:textId="77777777" w:rsidR="00EC1F04" w:rsidRPr="00EC1F04" w:rsidRDefault="00EC1F04" w:rsidP="00EC1F04">
      <w:pPr>
        <w:spacing w:line="360" w:lineRule="auto"/>
        <w:jc w:val="both"/>
        <w:rPr>
          <w:rFonts w:ascii="Times New Roman" w:hAnsi="Times New Roman"/>
          <w:sz w:val="24"/>
          <w:szCs w:val="24"/>
        </w:rPr>
      </w:pPr>
      <w:r w:rsidRPr="00EC1F04">
        <w:rPr>
          <w:rFonts w:ascii="Times New Roman" w:hAnsi="Times New Roman"/>
          <w:sz w:val="24"/>
          <w:szCs w:val="24"/>
        </w:rPr>
        <w:t xml:space="preserve">The increases in Asylum seekers, Admission Services, and Immigration Services sub-programmes is commendable given the current challenges with regard to asylum seekers and refugee management in the Department. </w:t>
      </w:r>
    </w:p>
    <w:p w14:paraId="3EE78BD9" w14:textId="77777777" w:rsidR="00B84151" w:rsidRPr="00A33469" w:rsidRDefault="00B84151" w:rsidP="00A33469">
      <w:pPr>
        <w:spacing w:line="360" w:lineRule="auto"/>
        <w:jc w:val="both"/>
        <w:rPr>
          <w:rFonts w:ascii="Times New Roman" w:hAnsi="Times New Roman"/>
          <w:sz w:val="24"/>
          <w:szCs w:val="24"/>
        </w:rPr>
      </w:pPr>
    </w:p>
    <w:p w14:paraId="53ECC924" w14:textId="77777777" w:rsidR="00A43239" w:rsidRPr="00C56099" w:rsidRDefault="00A43239" w:rsidP="001754B7">
      <w:pPr>
        <w:pStyle w:val="ListParagraph"/>
        <w:numPr>
          <w:ilvl w:val="0"/>
          <w:numId w:val="6"/>
        </w:numPr>
        <w:spacing w:line="360" w:lineRule="auto"/>
        <w:ind w:left="284" w:hanging="284"/>
        <w:jc w:val="both"/>
        <w:rPr>
          <w:rFonts w:ascii="Times New Roman" w:hAnsi="Times New Roman"/>
          <w:b/>
          <w:sz w:val="28"/>
          <w:szCs w:val="28"/>
        </w:rPr>
      </w:pPr>
      <w:r w:rsidRPr="00C56099">
        <w:rPr>
          <w:rFonts w:ascii="Times New Roman" w:hAnsi="Times New Roman"/>
          <w:b/>
          <w:sz w:val="28"/>
          <w:szCs w:val="28"/>
        </w:rPr>
        <w:t>The Electoral Commission of South Africa</w:t>
      </w:r>
      <w:r w:rsidR="005E576F" w:rsidRPr="00C56099">
        <w:rPr>
          <w:rFonts w:ascii="Times New Roman" w:hAnsi="Times New Roman"/>
          <w:b/>
          <w:sz w:val="28"/>
          <w:szCs w:val="28"/>
        </w:rPr>
        <w:t xml:space="preserve"> </w:t>
      </w:r>
      <w:r w:rsidRPr="00C56099">
        <w:rPr>
          <w:rFonts w:ascii="Times New Roman" w:hAnsi="Times New Roman"/>
          <w:b/>
          <w:sz w:val="28"/>
          <w:szCs w:val="28"/>
        </w:rPr>
        <w:t>(IEC)</w:t>
      </w:r>
    </w:p>
    <w:p w14:paraId="3DED4498" w14:textId="77777777" w:rsidR="00E914DB" w:rsidRPr="00E914DB" w:rsidRDefault="00E914DB" w:rsidP="00E914DB">
      <w:pPr>
        <w:spacing w:line="360" w:lineRule="auto"/>
        <w:jc w:val="both"/>
        <w:rPr>
          <w:rFonts w:ascii="Times New Roman" w:hAnsi="Times New Roman"/>
          <w:b/>
          <w:sz w:val="24"/>
          <w:szCs w:val="24"/>
        </w:rPr>
      </w:pPr>
    </w:p>
    <w:p w14:paraId="526D3EE1" w14:textId="77777777" w:rsidR="001E5FEB" w:rsidRPr="001E5FEB" w:rsidRDefault="00FC104A" w:rsidP="00FC104A">
      <w:pPr>
        <w:spacing w:line="360" w:lineRule="auto"/>
        <w:jc w:val="both"/>
        <w:rPr>
          <w:rFonts w:ascii="Times New Roman" w:hAnsi="Times New Roman"/>
          <w:sz w:val="24"/>
          <w:szCs w:val="24"/>
        </w:rPr>
      </w:pPr>
      <w:r>
        <w:rPr>
          <w:rFonts w:ascii="Times New Roman" w:hAnsi="Times New Roman"/>
          <w:bCs/>
          <w:sz w:val="24"/>
          <w:szCs w:val="24"/>
        </w:rPr>
        <w:t>The vision of the IEC is t</w:t>
      </w:r>
      <w:r w:rsidR="001E5FEB" w:rsidRPr="001E5FEB">
        <w:rPr>
          <w:rFonts w:ascii="Times New Roman" w:hAnsi="Times New Roman"/>
          <w:sz w:val="24"/>
          <w:szCs w:val="24"/>
        </w:rPr>
        <w:t>o be a pre-eminent leader in electoral democracy.</w:t>
      </w:r>
      <w:r>
        <w:rPr>
          <w:rFonts w:ascii="Times New Roman" w:hAnsi="Times New Roman"/>
          <w:sz w:val="24"/>
          <w:szCs w:val="24"/>
        </w:rPr>
        <w:t xml:space="preserve"> Its mission is to be</w:t>
      </w:r>
      <w:r w:rsidR="001E5FEB" w:rsidRPr="001E5FEB">
        <w:rPr>
          <w:rFonts w:ascii="Times New Roman" w:hAnsi="Times New Roman"/>
          <w:sz w:val="24"/>
          <w:szCs w:val="24"/>
        </w:rPr>
        <w:t xml:space="preserve"> an independent constitutional body which manages free and fair elections of legislative bodies and institutions through the participation of citizens, political parties and civil society in deepening electoral democracy.</w:t>
      </w:r>
    </w:p>
    <w:p w14:paraId="44121867" w14:textId="77777777" w:rsidR="00D56642" w:rsidRDefault="00D56642" w:rsidP="00A33469">
      <w:pPr>
        <w:spacing w:line="360" w:lineRule="auto"/>
        <w:jc w:val="both"/>
        <w:rPr>
          <w:rFonts w:ascii="Times New Roman" w:hAnsi="Times New Roman"/>
          <w:sz w:val="24"/>
          <w:szCs w:val="24"/>
        </w:rPr>
      </w:pPr>
    </w:p>
    <w:p w14:paraId="053EF905" w14:textId="77777777" w:rsidR="001E5FEB" w:rsidRPr="001E5FEB" w:rsidRDefault="001E5FEB" w:rsidP="001E5FEB">
      <w:pPr>
        <w:spacing w:line="360" w:lineRule="auto"/>
        <w:jc w:val="both"/>
        <w:rPr>
          <w:rFonts w:ascii="Times New Roman" w:hAnsi="Times New Roman"/>
          <w:sz w:val="24"/>
          <w:szCs w:val="24"/>
        </w:rPr>
      </w:pPr>
      <w:r w:rsidRPr="001E5FEB">
        <w:rPr>
          <w:rFonts w:ascii="Times New Roman" w:hAnsi="Times New Roman"/>
          <w:sz w:val="24"/>
          <w:szCs w:val="24"/>
        </w:rPr>
        <w:t>In terms of Section 190 of the Constitution of the Republic of South Africa (108 of 1996), the Electoral Commission must -</w:t>
      </w:r>
    </w:p>
    <w:p w14:paraId="5BE3E0DF" w14:textId="77777777" w:rsidR="00FD4480" w:rsidRPr="001E5FEB" w:rsidRDefault="00FD4480" w:rsidP="001754B7">
      <w:pPr>
        <w:numPr>
          <w:ilvl w:val="0"/>
          <w:numId w:val="29"/>
        </w:numPr>
        <w:tabs>
          <w:tab w:val="clear" w:pos="720"/>
          <w:tab w:val="num" w:pos="426"/>
        </w:tabs>
        <w:spacing w:line="360" w:lineRule="auto"/>
        <w:ind w:left="284" w:hanging="284"/>
        <w:jc w:val="both"/>
        <w:rPr>
          <w:rFonts w:ascii="Times New Roman" w:hAnsi="Times New Roman"/>
          <w:sz w:val="24"/>
          <w:szCs w:val="24"/>
        </w:rPr>
      </w:pPr>
      <w:r w:rsidRPr="001E5FEB">
        <w:rPr>
          <w:rFonts w:ascii="Times New Roman" w:hAnsi="Times New Roman"/>
          <w:sz w:val="24"/>
          <w:szCs w:val="24"/>
        </w:rPr>
        <w:t xml:space="preserve">manage elections of national, provincial and municipal legislative bodies in accordance with national legislation; </w:t>
      </w:r>
    </w:p>
    <w:p w14:paraId="5036C3B8" w14:textId="77777777" w:rsidR="00FD4480" w:rsidRPr="001E5FEB" w:rsidRDefault="00FD4480" w:rsidP="001754B7">
      <w:pPr>
        <w:numPr>
          <w:ilvl w:val="0"/>
          <w:numId w:val="29"/>
        </w:numPr>
        <w:tabs>
          <w:tab w:val="clear" w:pos="720"/>
          <w:tab w:val="num" w:pos="426"/>
        </w:tabs>
        <w:spacing w:line="360" w:lineRule="auto"/>
        <w:ind w:left="284" w:hanging="284"/>
        <w:jc w:val="both"/>
        <w:rPr>
          <w:rFonts w:ascii="Times New Roman" w:hAnsi="Times New Roman"/>
          <w:sz w:val="24"/>
          <w:szCs w:val="24"/>
        </w:rPr>
      </w:pPr>
      <w:r w:rsidRPr="001E5FEB">
        <w:rPr>
          <w:rFonts w:ascii="Times New Roman" w:hAnsi="Times New Roman"/>
          <w:sz w:val="24"/>
          <w:szCs w:val="24"/>
        </w:rPr>
        <w:t>ensure that those elections are free and fair; and</w:t>
      </w:r>
    </w:p>
    <w:p w14:paraId="5FFF5B95" w14:textId="77777777" w:rsidR="00FD4480" w:rsidRPr="001E5FEB" w:rsidRDefault="00FD4480" w:rsidP="001754B7">
      <w:pPr>
        <w:numPr>
          <w:ilvl w:val="0"/>
          <w:numId w:val="29"/>
        </w:numPr>
        <w:tabs>
          <w:tab w:val="clear" w:pos="720"/>
          <w:tab w:val="num" w:pos="426"/>
        </w:tabs>
        <w:spacing w:line="360" w:lineRule="auto"/>
        <w:ind w:left="284" w:hanging="284"/>
        <w:jc w:val="both"/>
        <w:rPr>
          <w:rFonts w:ascii="Times New Roman" w:hAnsi="Times New Roman"/>
          <w:sz w:val="24"/>
          <w:szCs w:val="24"/>
        </w:rPr>
      </w:pPr>
      <w:r w:rsidRPr="001E5FEB">
        <w:rPr>
          <w:rFonts w:ascii="Times New Roman" w:hAnsi="Times New Roman"/>
          <w:sz w:val="24"/>
          <w:szCs w:val="24"/>
        </w:rPr>
        <w:t>declare the results of those elections within a period that is prescribed by national legislation and that is as short as reasonably possible.</w:t>
      </w:r>
    </w:p>
    <w:p w14:paraId="626958FD" w14:textId="77777777" w:rsidR="001E5FEB" w:rsidRDefault="001E5FEB" w:rsidP="001E5FEB">
      <w:pPr>
        <w:spacing w:line="360" w:lineRule="auto"/>
        <w:jc w:val="both"/>
        <w:rPr>
          <w:rFonts w:ascii="Times New Roman" w:hAnsi="Times New Roman"/>
          <w:sz w:val="24"/>
          <w:szCs w:val="24"/>
        </w:rPr>
      </w:pPr>
    </w:p>
    <w:p w14:paraId="7E87D765" w14:textId="77777777" w:rsidR="001E5FEB" w:rsidRPr="001E5FEB" w:rsidRDefault="00FC104A" w:rsidP="001E5FEB">
      <w:pPr>
        <w:spacing w:line="360" w:lineRule="auto"/>
        <w:jc w:val="both"/>
        <w:rPr>
          <w:rFonts w:ascii="Times New Roman" w:hAnsi="Times New Roman"/>
          <w:sz w:val="24"/>
          <w:szCs w:val="24"/>
        </w:rPr>
      </w:pPr>
      <w:r>
        <w:rPr>
          <w:rFonts w:ascii="Times New Roman" w:hAnsi="Times New Roman"/>
          <w:sz w:val="24"/>
          <w:szCs w:val="24"/>
        </w:rPr>
        <w:t>The IEC Chairperson led the delegation and mentioned that the key challenge for the institution is t</w:t>
      </w:r>
      <w:r w:rsidR="001E5FEB" w:rsidRPr="001E5FEB">
        <w:rPr>
          <w:rFonts w:ascii="Times New Roman" w:hAnsi="Times New Roman"/>
          <w:sz w:val="24"/>
          <w:szCs w:val="24"/>
        </w:rPr>
        <w:t>he ruling by the Constitutional Court in June 2016 (Electoral Commission v Mhlope and Others). Two aspects of the judgment especially continue to have a very significant impact on the operational and strategic imperatives for the period covered by this Strategic Plan, they are:</w:t>
      </w:r>
    </w:p>
    <w:p w14:paraId="3C5F36B3" w14:textId="77777777" w:rsidR="00FD4480" w:rsidRPr="001E5FEB" w:rsidRDefault="00FD4480" w:rsidP="001754B7">
      <w:pPr>
        <w:numPr>
          <w:ilvl w:val="0"/>
          <w:numId w:val="30"/>
        </w:numPr>
        <w:tabs>
          <w:tab w:val="clear" w:pos="720"/>
          <w:tab w:val="num" w:pos="567"/>
        </w:tabs>
        <w:spacing w:line="360" w:lineRule="auto"/>
        <w:ind w:left="426"/>
        <w:jc w:val="both"/>
        <w:rPr>
          <w:rFonts w:ascii="Times New Roman" w:hAnsi="Times New Roman"/>
          <w:sz w:val="24"/>
          <w:szCs w:val="24"/>
        </w:rPr>
      </w:pPr>
      <w:r w:rsidRPr="001E5FEB">
        <w:rPr>
          <w:rFonts w:ascii="Times New Roman" w:hAnsi="Times New Roman"/>
          <w:sz w:val="24"/>
          <w:szCs w:val="24"/>
        </w:rPr>
        <w:t>That the Electoral Commission must by 30 November 2019 have obtained and recorded on the national common voters’ roll all addresses of voters that were reasonably available as at 17 December 2003; and</w:t>
      </w:r>
    </w:p>
    <w:p w14:paraId="2BC2585B" w14:textId="77777777" w:rsidR="00FD4480" w:rsidRDefault="00FD4480" w:rsidP="001754B7">
      <w:pPr>
        <w:numPr>
          <w:ilvl w:val="0"/>
          <w:numId w:val="30"/>
        </w:numPr>
        <w:tabs>
          <w:tab w:val="clear" w:pos="720"/>
          <w:tab w:val="num" w:pos="567"/>
        </w:tabs>
        <w:spacing w:line="360" w:lineRule="auto"/>
        <w:ind w:left="426"/>
        <w:jc w:val="both"/>
        <w:rPr>
          <w:rFonts w:ascii="Times New Roman" w:hAnsi="Times New Roman"/>
          <w:sz w:val="24"/>
          <w:szCs w:val="24"/>
        </w:rPr>
      </w:pPr>
      <w:r w:rsidRPr="001E5FEB">
        <w:rPr>
          <w:rFonts w:ascii="Times New Roman" w:hAnsi="Times New Roman"/>
          <w:sz w:val="24"/>
          <w:szCs w:val="24"/>
        </w:rPr>
        <w:t>The Electoral Commission must obtain and record all available addresses on the voters’ roll for the relevant ward segments of the voters’ roll for purposes of municipal by-elections.</w:t>
      </w:r>
    </w:p>
    <w:p w14:paraId="59C4610A" w14:textId="77777777" w:rsidR="00E914DB" w:rsidRDefault="00E914DB" w:rsidP="00E914DB">
      <w:pPr>
        <w:spacing w:line="360" w:lineRule="auto"/>
        <w:jc w:val="both"/>
        <w:rPr>
          <w:rFonts w:ascii="Times New Roman" w:hAnsi="Times New Roman"/>
          <w:b/>
          <w:sz w:val="24"/>
          <w:szCs w:val="24"/>
        </w:rPr>
      </w:pPr>
    </w:p>
    <w:p w14:paraId="5DCBAF7F" w14:textId="77777777" w:rsidR="00C56099" w:rsidRDefault="00C56099" w:rsidP="00E914DB">
      <w:pPr>
        <w:spacing w:line="360" w:lineRule="auto"/>
        <w:jc w:val="both"/>
        <w:rPr>
          <w:rFonts w:ascii="Times New Roman" w:hAnsi="Times New Roman"/>
          <w:b/>
          <w:sz w:val="24"/>
          <w:szCs w:val="24"/>
        </w:rPr>
      </w:pPr>
    </w:p>
    <w:p w14:paraId="6A18866F" w14:textId="77777777" w:rsidR="00C56099" w:rsidRDefault="00C56099" w:rsidP="00E914DB">
      <w:pPr>
        <w:spacing w:line="360" w:lineRule="auto"/>
        <w:jc w:val="both"/>
        <w:rPr>
          <w:rFonts w:ascii="Times New Roman" w:hAnsi="Times New Roman"/>
          <w:b/>
          <w:sz w:val="24"/>
          <w:szCs w:val="24"/>
        </w:rPr>
      </w:pPr>
    </w:p>
    <w:p w14:paraId="49EA2E5C" w14:textId="77777777" w:rsidR="00C56099" w:rsidRDefault="00C56099" w:rsidP="00E914DB">
      <w:pPr>
        <w:spacing w:line="360" w:lineRule="auto"/>
        <w:jc w:val="both"/>
        <w:rPr>
          <w:rFonts w:ascii="Times New Roman" w:hAnsi="Times New Roman"/>
          <w:b/>
          <w:sz w:val="24"/>
          <w:szCs w:val="24"/>
        </w:rPr>
      </w:pPr>
    </w:p>
    <w:p w14:paraId="380157B0" w14:textId="77777777" w:rsidR="003809B8" w:rsidRDefault="003809B8">
      <w:pPr>
        <w:suppressAutoHyphens w:val="0"/>
        <w:autoSpaceDN/>
        <w:spacing w:line="240" w:lineRule="auto"/>
        <w:textAlignment w:val="auto"/>
        <w:rPr>
          <w:rFonts w:ascii="Times New Roman" w:hAnsi="Times New Roman"/>
          <w:b/>
          <w:sz w:val="24"/>
          <w:szCs w:val="24"/>
        </w:rPr>
      </w:pPr>
      <w:r>
        <w:rPr>
          <w:rFonts w:ascii="Times New Roman" w:hAnsi="Times New Roman"/>
          <w:b/>
          <w:sz w:val="24"/>
          <w:szCs w:val="24"/>
        </w:rPr>
        <w:br w:type="page"/>
      </w:r>
    </w:p>
    <w:p w14:paraId="268DD3BB" w14:textId="77777777" w:rsidR="00E914DB" w:rsidRPr="00C56099" w:rsidRDefault="00E914DB" w:rsidP="00E914DB">
      <w:pPr>
        <w:spacing w:line="360" w:lineRule="auto"/>
        <w:jc w:val="both"/>
        <w:rPr>
          <w:rFonts w:ascii="Times New Roman" w:hAnsi="Times New Roman"/>
          <w:b/>
          <w:sz w:val="28"/>
          <w:szCs w:val="28"/>
        </w:rPr>
      </w:pPr>
      <w:r>
        <w:rPr>
          <w:rFonts w:ascii="Times New Roman" w:hAnsi="Times New Roman"/>
          <w:b/>
          <w:sz w:val="24"/>
          <w:szCs w:val="24"/>
        </w:rPr>
        <w:t>2</w:t>
      </w:r>
      <w:r w:rsidRPr="00C56099">
        <w:rPr>
          <w:rFonts w:ascii="Times New Roman" w:hAnsi="Times New Roman"/>
          <w:b/>
          <w:sz w:val="28"/>
          <w:szCs w:val="28"/>
        </w:rPr>
        <w:t>.1 IEC Annual Performance Plan for 2019/20 Financial Year</w:t>
      </w:r>
    </w:p>
    <w:p w14:paraId="2A0069C7" w14:textId="77777777" w:rsidR="001E5FEB" w:rsidRDefault="001E5FEB" w:rsidP="001E5FEB">
      <w:pPr>
        <w:spacing w:line="360" w:lineRule="auto"/>
        <w:jc w:val="both"/>
        <w:rPr>
          <w:rFonts w:ascii="Times New Roman" w:hAnsi="Times New Roman"/>
          <w:sz w:val="24"/>
          <w:szCs w:val="24"/>
          <w:lang w:val="en-US"/>
        </w:rPr>
      </w:pPr>
    </w:p>
    <w:p w14:paraId="6CE6BDA6" w14:textId="77777777" w:rsidR="001E5FEB" w:rsidRPr="001E5FEB" w:rsidRDefault="001E5FEB" w:rsidP="001E5FEB">
      <w:pPr>
        <w:spacing w:line="360" w:lineRule="auto"/>
        <w:jc w:val="both"/>
        <w:rPr>
          <w:rFonts w:ascii="Times New Roman" w:hAnsi="Times New Roman"/>
          <w:sz w:val="24"/>
          <w:szCs w:val="24"/>
        </w:rPr>
      </w:pPr>
      <w:r w:rsidRPr="001E5FEB">
        <w:rPr>
          <w:rFonts w:ascii="Times New Roman" w:hAnsi="Times New Roman"/>
          <w:sz w:val="24"/>
          <w:szCs w:val="24"/>
          <w:lang w:val="en-US"/>
        </w:rPr>
        <w:t>T</w:t>
      </w:r>
      <w:r w:rsidRPr="001E5FEB">
        <w:rPr>
          <w:rFonts w:ascii="Times New Roman" w:hAnsi="Times New Roman"/>
          <w:sz w:val="24"/>
          <w:szCs w:val="24"/>
        </w:rPr>
        <w:t>he</w:t>
      </w:r>
      <w:r w:rsidR="00E914DB">
        <w:rPr>
          <w:rFonts w:ascii="Times New Roman" w:hAnsi="Times New Roman"/>
          <w:sz w:val="24"/>
          <w:szCs w:val="24"/>
        </w:rPr>
        <w:t xml:space="preserve"> Acting Chief Electoral Officer</w:t>
      </w:r>
      <w:r w:rsidR="00FC104A">
        <w:rPr>
          <w:rFonts w:ascii="Times New Roman" w:hAnsi="Times New Roman"/>
          <w:sz w:val="24"/>
          <w:szCs w:val="24"/>
        </w:rPr>
        <w:t xml:space="preserve"> (CEO) made the presentation indicating that the </w:t>
      </w:r>
      <w:r w:rsidRPr="001E5FEB">
        <w:rPr>
          <w:rFonts w:ascii="Times New Roman" w:hAnsi="Times New Roman"/>
          <w:sz w:val="24"/>
          <w:szCs w:val="24"/>
        </w:rPr>
        <w:t>Political Party Funding Bill was approved by Parliament in July 2018. The President assented to the Act on 23 January 2019.</w:t>
      </w:r>
    </w:p>
    <w:p w14:paraId="6B0678A5" w14:textId="77777777" w:rsidR="001E5FEB" w:rsidRPr="001E5FEB" w:rsidRDefault="001E5FEB" w:rsidP="001754B7">
      <w:pPr>
        <w:numPr>
          <w:ilvl w:val="0"/>
          <w:numId w:val="31"/>
        </w:numPr>
        <w:tabs>
          <w:tab w:val="clear" w:pos="720"/>
        </w:tabs>
        <w:spacing w:line="360" w:lineRule="auto"/>
        <w:ind w:left="426" w:hanging="426"/>
        <w:jc w:val="both"/>
        <w:rPr>
          <w:rFonts w:ascii="Times New Roman" w:hAnsi="Times New Roman"/>
          <w:sz w:val="24"/>
          <w:szCs w:val="24"/>
        </w:rPr>
      </w:pPr>
      <w:r w:rsidRPr="001E5FEB">
        <w:rPr>
          <w:rFonts w:ascii="Times New Roman" w:hAnsi="Times New Roman"/>
          <w:sz w:val="24"/>
          <w:szCs w:val="24"/>
        </w:rPr>
        <w:t>The Act provides for the regulation of the funding of political parties including requiring the disclosure of sources of party funding. The Electoral Commission will have to table a report on party funding annually to Parliament.</w:t>
      </w:r>
    </w:p>
    <w:p w14:paraId="724F4F25" w14:textId="77777777" w:rsidR="001E5FEB" w:rsidRPr="001E5FEB" w:rsidRDefault="001E5FEB" w:rsidP="001754B7">
      <w:pPr>
        <w:numPr>
          <w:ilvl w:val="0"/>
          <w:numId w:val="31"/>
        </w:numPr>
        <w:tabs>
          <w:tab w:val="clear" w:pos="720"/>
        </w:tabs>
        <w:spacing w:line="360" w:lineRule="auto"/>
        <w:ind w:left="426" w:hanging="426"/>
        <w:jc w:val="both"/>
        <w:rPr>
          <w:rFonts w:ascii="Times New Roman" w:hAnsi="Times New Roman"/>
          <w:sz w:val="24"/>
          <w:szCs w:val="24"/>
        </w:rPr>
      </w:pPr>
      <w:r w:rsidRPr="001E5FEB">
        <w:rPr>
          <w:rFonts w:ascii="Times New Roman" w:hAnsi="Times New Roman"/>
          <w:sz w:val="24"/>
          <w:szCs w:val="24"/>
        </w:rPr>
        <w:t xml:space="preserve">The Act mandates the Electoral Commission to implement this legislation and regulations. </w:t>
      </w:r>
    </w:p>
    <w:p w14:paraId="679C2C5C" w14:textId="77777777" w:rsidR="001E5FEB" w:rsidRDefault="001E5FEB" w:rsidP="001754B7">
      <w:pPr>
        <w:numPr>
          <w:ilvl w:val="0"/>
          <w:numId w:val="31"/>
        </w:numPr>
        <w:tabs>
          <w:tab w:val="clear" w:pos="720"/>
        </w:tabs>
        <w:spacing w:line="360" w:lineRule="auto"/>
        <w:ind w:left="426" w:hanging="426"/>
        <w:jc w:val="both"/>
        <w:rPr>
          <w:rFonts w:ascii="Times New Roman" w:hAnsi="Times New Roman"/>
          <w:sz w:val="24"/>
          <w:szCs w:val="24"/>
        </w:rPr>
      </w:pPr>
      <w:r w:rsidRPr="001E5FEB">
        <w:rPr>
          <w:rFonts w:ascii="Times New Roman" w:hAnsi="Times New Roman"/>
          <w:sz w:val="24"/>
          <w:szCs w:val="24"/>
        </w:rPr>
        <w:t>Public hearings on the draft regulations are scheduled for early August 2019 on conclusion of the regulations the Electoral Commission will publish the commencement date of the new party funding regime.</w:t>
      </w:r>
    </w:p>
    <w:p w14:paraId="6D5EB13E" w14:textId="77777777" w:rsidR="00FC104A" w:rsidRDefault="00FC104A" w:rsidP="001E5FEB">
      <w:pPr>
        <w:spacing w:line="360" w:lineRule="auto"/>
        <w:jc w:val="both"/>
        <w:rPr>
          <w:rFonts w:ascii="Times New Roman" w:hAnsi="Times New Roman"/>
          <w:sz w:val="24"/>
          <w:szCs w:val="24"/>
          <w:lang w:val="en-US"/>
        </w:rPr>
      </w:pPr>
    </w:p>
    <w:p w14:paraId="64C27FF9" w14:textId="77777777" w:rsidR="001E5FEB" w:rsidRPr="001E5FEB" w:rsidRDefault="001E5FEB" w:rsidP="001E5FEB">
      <w:pPr>
        <w:spacing w:line="360" w:lineRule="auto"/>
        <w:jc w:val="both"/>
        <w:rPr>
          <w:rFonts w:ascii="Times New Roman" w:hAnsi="Times New Roman"/>
          <w:sz w:val="24"/>
          <w:szCs w:val="24"/>
        </w:rPr>
      </w:pPr>
      <w:r w:rsidRPr="001E5FEB">
        <w:rPr>
          <w:rFonts w:ascii="Times New Roman" w:hAnsi="Times New Roman"/>
          <w:sz w:val="24"/>
          <w:szCs w:val="24"/>
          <w:lang w:val="en-US"/>
        </w:rPr>
        <w:t>The</w:t>
      </w:r>
      <w:r w:rsidR="00FC104A">
        <w:rPr>
          <w:rFonts w:ascii="Times New Roman" w:hAnsi="Times New Roman"/>
          <w:sz w:val="24"/>
          <w:szCs w:val="24"/>
          <w:lang w:val="en-US"/>
        </w:rPr>
        <w:t xml:space="preserve"> CEO</w:t>
      </w:r>
      <w:r w:rsidRPr="001E5FEB">
        <w:rPr>
          <w:rFonts w:ascii="Times New Roman" w:hAnsi="Times New Roman"/>
          <w:sz w:val="24"/>
          <w:szCs w:val="24"/>
          <w:lang w:val="en-US"/>
        </w:rPr>
        <w:t xml:space="preserve"> </w:t>
      </w:r>
      <w:r w:rsidR="00FC104A">
        <w:rPr>
          <w:rFonts w:ascii="Times New Roman" w:hAnsi="Times New Roman"/>
          <w:sz w:val="24"/>
          <w:szCs w:val="24"/>
          <w:lang w:val="en-US"/>
        </w:rPr>
        <w:t xml:space="preserve">added that the </w:t>
      </w:r>
      <w:r w:rsidRPr="001E5FEB">
        <w:rPr>
          <w:rFonts w:ascii="Times New Roman" w:hAnsi="Times New Roman"/>
          <w:sz w:val="24"/>
          <w:szCs w:val="24"/>
          <w:lang w:val="en-US"/>
        </w:rPr>
        <w:t>following are some of the key challenges facing the Electoral Commission in the medium term:</w:t>
      </w:r>
    </w:p>
    <w:p w14:paraId="14B45564" w14:textId="77777777" w:rsidR="001E5FEB" w:rsidRPr="001E5FEB" w:rsidRDefault="001E5FEB" w:rsidP="001E5FEB">
      <w:pPr>
        <w:spacing w:line="360" w:lineRule="auto"/>
        <w:jc w:val="both"/>
        <w:rPr>
          <w:rFonts w:ascii="Times New Roman" w:hAnsi="Times New Roman"/>
          <w:sz w:val="24"/>
          <w:szCs w:val="24"/>
        </w:rPr>
      </w:pPr>
      <w:r w:rsidRPr="001E5FEB">
        <w:rPr>
          <w:rFonts w:ascii="Times New Roman" w:hAnsi="Times New Roman"/>
          <w:b/>
          <w:bCs/>
          <w:sz w:val="24"/>
          <w:szCs w:val="24"/>
          <w:lang w:val="en-GB"/>
        </w:rPr>
        <w:t xml:space="preserve">Voters’ roll clean up: </w:t>
      </w:r>
      <w:r w:rsidRPr="001E5FEB">
        <w:rPr>
          <w:rFonts w:ascii="Times New Roman" w:hAnsi="Times New Roman"/>
          <w:sz w:val="24"/>
          <w:szCs w:val="24"/>
          <w:lang w:val="en-GB"/>
        </w:rPr>
        <w:t>Since March 2016, the Electoral Commission has made significant headway in updating the voters’ roll to include the addresses of all voters and has</w:t>
      </w:r>
      <w:r w:rsidRPr="001E5FEB">
        <w:rPr>
          <w:rFonts w:ascii="Times New Roman" w:hAnsi="Times New Roman"/>
          <w:sz w:val="24"/>
          <w:szCs w:val="24"/>
          <w:lang w:val="en-US"/>
        </w:rPr>
        <w:t xml:space="preserve"> continued to work to narrow this gap by the November 2019 deadline.</w:t>
      </w:r>
    </w:p>
    <w:p w14:paraId="653CA050" w14:textId="77777777" w:rsidR="001E5FEB" w:rsidRDefault="001E5FEB" w:rsidP="001E5FEB">
      <w:pPr>
        <w:spacing w:line="360" w:lineRule="auto"/>
        <w:jc w:val="both"/>
        <w:rPr>
          <w:rFonts w:ascii="Times New Roman" w:hAnsi="Times New Roman"/>
          <w:sz w:val="24"/>
          <w:szCs w:val="24"/>
          <w:lang w:val="en-GB"/>
        </w:rPr>
      </w:pPr>
      <w:r w:rsidRPr="001E5FEB">
        <w:rPr>
          <w:rFonts w:ascii="Times New Roman" w:hAnsi="Times New Roman"/>
          <w:b/>
          <w:bCs/>
          <w:sz w:val="24"/>
          <w:szCs w:val="24"/>
          <w:lang w:val="en-GB"/>
        </w:rPr>
        <w:t>Funding shortages:</w:t>
      </w:r>
      <w:r w:rsidRPr="001E5FEB">
        <w:rPr>
          <w:rFonts w:ascii="Times New Roman" w:hAnsi="Times New Roman"/>
          <w:sz w:val="24"/>
          <w:szCs w:val="24"/>
          <w:lang w:val="en-GB"/>
        </w:rPr>
        <w:t xml:space="preserve"> The current fiscal challenges and austerity measures come at a very difficult time for the Electoral Commission which is facing its most significant budget demands since inception.</w:t>
      </w:r>
      <w:r>
        <w:rPr>
          <w:rFonts w:ascii="Times New Roman" w:hAnsi="Times New Roman"/>
          <w:sz w:val="24"/>
          <w:szCs w:val="24"/>
        </w:rPr>
        <w:t xml:space="preserve"> </w:t>
      </w:r>
      <w:r w:rsidRPr="001E5FEB">
        <w:rPr>
          <w:rFonts w:ascii="Times New Roman" w:hAnsi="Times New Roman"/>
          <w:sz w:val="24"/>
          <w:szCs w:val="24"/>
          <w:lang w:val="en-GB"/>
        </w:rPr>
        <w:t xml:space="preserve">Among the funding requirements facing </w:t>
      </w:r>
      <w:r>
        <w:rPr>
          <w:rFonts w:ascii="Times New Roman" w:hAnsi="Times New Roman"/>
          <w:sz w:val="24"/>
          <w:szCs w:val="24"/>
          <w:lang w:val="en-GB"/>
        </w:rPr>
        <w:t xml:space="preserve">the Electoral </w:t>
      </w:r>
      <w:r w:rsidRPr="001E5FEB">
        <w:rPr>
          <w:rFonts w:ascii="Times New Roman" w:hAnsi="Times New Roman"/>
          <w:sz w:val="24"/>
          <w:szCs w:val="24"/>
          <w:lang w:val="en-GB"/>
        </w:rPr>
        <w:t>Commission in the medium term are:</w:t>
      </w:r>
    </w:p>
    <w:p w14:paraId="61DF05BC" w14:textId="77777777" w:rsidR="00FD4480" w:rsidRPr="001E5FEB" w:rsidRDefault="00FD4480" w:rsidP="001754B7">
      <w:pPr>
        <w:numPr>
          <w:ilvl w:val="0"/>
          <w:numId w:val="28"/>
        </w:numPr>
        <w:spacing w:line="360" w:lineRule="auto"/>
        <w:ind w:left="567" w:hanging="425"/>
        <w:jc w:val="both"/>
        <w:rPr>
          <w:rFonts w:ascii="Times New Roman" w:hAnsi="Times New Roman"/>
          <w:sz w:val="24"/>
          <w:szCs w:val="24"/>
        </w:rPr>
      </w:pPr>
      <w:r w:rsidRPr="001E5FEB">
        <w:rPr>
          <w:rFonts w:ascii="Times New Roman" w:hAnsi="Times New Roman"/>
          <w:sz w:val="24"/>
          <w:szCs w:val="24"/>
          <w:lang w:val="en-US"/>
        </w:rPr>
        <w:t>the replacement of the outdated zip-zip machines with new online voter registration technology;</w:t>
      </w:r>
    </w:p>
    <w:p w14:paraId="43EBF3FC" w14:textId="77777777" w:rsidR="00FD4480" w:rsidRPr="001E5FEB" w:rsidRDefault="00FD4480" w:rsidP="001754B7">
      <w:pPr>
        <w:numPr>
          <w:ilvl w:val="0"/>
          <w:numId w:val="28"/>
        </w:numPr>
        <w:spacing w:line="360" w:lineRule="auto"/>
        <w:ind w:left="567" w:hanging="425"/>
        <w:jc w:val="both"/>
        <w:rPr>
          <w:rFonts w:ascii="Times New Roman" w:hAnsi="Times New Roman"/>
          <w:sz w:val="24"/>
          <w:szCs w:val="24"/>
        </w:rPr>
      </w:pPr>
      <w:r w:rsidRPr="001E5FEB">
        <w:rPr>
          <w:rFonts w:ascii="Times New Roman" w:hAnsi="Times New Roman"/>
          <w:sz w:val="24"/>
          <w:szCs w:val="24"/>
          <w:lang w:val="en-US"/>
        </w:rPr>
        <w:t>deployment of technology to facilitate real time live voters’ roll</w:t>
      </w:r>
    </w:p>
    <w:p w14:paraId="4DFBD998" w14:textId="77777777" w:rsidR="00FD4480" w:rsidRPr="001E5FEB" w:rsidRDefault="00FD4480" w:rsidP="001754B7">
      <w:pPr>
        <w:numPr>
          <w:ilvl w:val="0"/>
          <w:numId w:val="28"/>
        </w:numPr>
        <w:spacing w:line="360" w:lineRule="auto"/>
        <w:ind w:left="567" w:hanging="425"/>
        <w:jc w:val="both"/>
        <w:rPr>
          <w:rFonts w:ascii="Times New Roman" w:hAnsi="Times New Roman"/>
          <w:sz w:val="24"/>
          <w:szCs w:val="24"/>
        </w:rPr>
      </w:pPr>
      <w:r w:rsidRPr="001E5FEB">
        <w:rPr>
          <w:rFonts w:ascii="Times New Roman" w:hAnsi="Times New Roman"/>
          <w:sz w:val="24"/>
          <w:szCs w:val="24"/>
          <w:lang w:val="en-US"/>
        </w:rPr>
        <w:t>intensified social media response mechanism. Additional resources to rebut false information on social media;</w:t>
      </w:r>
    </w:p>
    <w:p w14:paraId="51D78E42" w14:textId="77777777" w:rsidR="00FD4480" w:rsidRPr="001E5FEB" w:rsidRDefault="00FD4480" w:rsidP="001754B7">
      <w:pPr>
        <w:numPr>
          <w:ilvl w:val="0"/>
          <w:numId w:val="28"/>
        </w:numPr>
        <w:spacing w:line="360" w:lineRule="auto"/>
        <w:ind w:left="567" w:hanging="425"/>
        <w:jc w:val="both"/>
        <w:rPr>
          <w:rFonts w:ascii="Times New Roman" w:hAnsi="Times New Roman"/>
          <w:sz w:val="24"/>
          <w:szCs w:val="24"/>
        </w:rPr>
      </w:pPr>
      <w:r w:rsidRPr="001E5FEB">
        <w:rPr>
          <w:rFonts w:ascii="Times New Roman" w:hAnsi="Times New Roman"/>
          <w:sz w:val="24"/>
          <w:szCs w:val="24"/>
          <w:lang w:val="en-US"/>
        </w:rPr>
        <w:t>improved results and recon processes to minimize mistakes as a result of staff fatigue;</w:t>
      </w:r>
    </w:p>
    <w:p w14:paraId="55796559" w14:textId="77777777" w:rsidR="00FD4480" w:rsidRDefault="00FD4480" w:rsidP="001754B7">
      <w:pPr>
        <w:numPr>
          <w:ilvl w:val="0"/>
          <w:numId w:val="28"/>
        </w:numPr>
        <w:spacing w:line="360" w:lineRule="auto"/>
        <w:ind w:left="567" w:hanging="425"/>
        <w:jc w:val="both"/>
        <w:rPr>
          <w:rFonts w:ascii="Times New Roman" w:hAnsi="Times New Roman"/>
          <w:sz w:val="24"/>
          <w:szCs w:val="24"/>
        </w:rPr>
      </w:pPr>
      <w:r w:rsidRPr="001E5FEB">
        <w:rPr>
          <w:rFonts w:ascii="Times New Roman" w:hAnsi="Times New Roman"/>
          <w:sz w:val="24"/>
          <w:szCs w:val="24"/>
        </w:rPr>
        <w:t>enhanced training requirements for election staff and party agents – introduce e-learning, videos, etc;</w:t>
      </w:r>
    </w:p>
    <w:p w14:paraId="2D31EC56" w14:textId="77777777" w:rsidR="00FD4480" w:rsidRPr="001E5FEB" w:rsidRDefault="00FD4480" w:rsidP="001754B7">
      <w:pPr>
        <w:numPr>
          <w:ilvl w:val="0"/>
          <w:numId w:val="28"/>
        </w:numPr>
        <w:spacing w:line="360" w:lineRule="auto"/>
        <w:ind w:left="567" w:hanging="425"/>
        <w:jc w:val="both"/>
        <w:rPr>
          <w:rFonts w:ascii="Times New Roman" w:hAnsi="Times New Roman"/>
          <w:sz w:val="24"/>
          <w:szCs w:val="24"/>
        </w:rPr>
      </w:pPr>
      <w:r w:rsidRPr="001E5FEB">
        <w:rPr>
          <w:rFonts w:ascii="Times New Roman" w:hAnsi="Times New Roman"/>
          <w:sz w:val="24"/>
          <w:szCs w:val="24"/>
        </w:rPr>
        <w:t>new strategies for outreach and democracy development and</w:t>
      </w:r>
    </w:p>
    <w:p w14:paraId="6F447362" w14:textId="77777777" w:rsidR="00FD4480" w:rsidRPr="001E5FEB" w:rsidRDefault="00FD4480" w:rsidP="001754B7">
      <w:pPr>
        <w:numPr>
          <w:ilvl w:val="0"/>
          <w:numId w:val="28"/>
        </w:numPr>
        <w:spacing w:line="360" w:lineRule="auto"/>
        <w:ind w:left="567" w:hanging="425"/>
        <w:jc w:val="both"/>
        <w:rPr>
          <w:rFonts w:ascii="Times New Roman" w:hAnsi="Times New Roman"/>
          <w:sz w:val="24"/>
          <w:szCs w:val="24"/>
        </w:rPr>
      </w:pPr>
      <w:r w:rsidRPr="001E5FEB">
        <w:rPr>
          <w:rFonts w:ascii="Times New Roman" w:hAnsi="Times New Roman"/>
          <w:sz w:val="24"/>
          <w:szCs w:val="24"/>
        </w:rPr>
        <w:t>implementation of party funding legislation and regulations</w:t>
      </w:r>
      <w:r w:rsidR="00FC104A">
        <w:rPr>
          <w:rFonts w:ascii="Times New Roman" w:hAnsi="Times New Roman"/>
          <w:sz w:val="24"/>
          <w:szCs w:val="24"/>
        </w:rPr>
        <w:t>.</w:t>
      </w:r>
    </w:p>
    <w:p w14:paraId="300B7621" w14:textId="77777777" w:rsidR="00FD4480" w:rsidRDefault="00FD4480" w:rsidP="00FC104A">
      <w:pPr>
        <w:spacing w:line="360" w:lineRule="auto"/>
        <w:ind w:left="142"/>
        <w:jc w:val="both"/>
        <w:rPr>
          <w:rFonts w:ascii="Times New Roman" w:hAnsi="Times New Roman"/>
          <w:sz w:val="24"/>
          <w:szCs w:val="24"/>
        </w:rPr>
      </w:pPr>
    </w:p>
    <w:p w14:paraId="42BFAFD2" w14:textId="77777777" w:rsidR="001E5FEB" w:rsidRDefault="00FD4480" w:rsidP="00FC104A">
      <w:pPr>
        <w:spacing w:line="360" w:lineRule="auto"/>
        <w:ind w:left="142"/>
        <w:jc w:val="both"/>
        <w:rPr>
          <w:rFonts w:ascii="Times New Roman" w:hAnsi="Times New Roman"/>
          <w:sz w:val="24"/>
          <w:szCs w:val="24"/>
        </w:rPr>
      </w:pPr>
      <w:r>
        <w:rPr>
          <w:rFonts w:ascii="Times New Roman" w:hAnsi="Times New Roman"/>
          <w:sz w:val="24"/>
          <w:szCs w:val="24"/>
        </w:rPr>
        <w:t>The Following are the summarised strategic goals and related objectives of the IEC for the 2019/20 financial year:</w:t>
      </w:r>
    </w:p>
    <w:p w14:paraId="4EC8F157" w14:textId="77777777" w:rsidR="00FD4480" w:rsidRPr="00C56099" w:rsidRDefault="00FD4480" w:rsidP="00FD4480">
      <w:pPr>
        <w:spacing w:line="360" w:lineRule="auto"/>
        <w:ind w:left="142"/>
        <w:jc w:val="both"/>
        <w:rPr>
          <w:rFonts w:ascii="Times New Roman" w:hAnsi="Times New Roman"/>
          <w:sz w:val="28"/>
          <w:szCs w:val="28"/>
        </w:rPr>
      </w:pPr>
      <w:r w:rsidRPr="00C56099">
        <w:rPr>
          <w:rFonts w:ascii="Times New Roman" w:hAnsi="Times New Roman"/>
          <w:b/>
          <w:bCs/>
          <w:sz w:val="28"/>
          <w:szCs w:val="28"/>
          <w:lang w:val="en-US"/>
        </w:rPr>
        <w:t>Strategic Goal 1: Strengthening governance, institutional excellence, professionalism and enabling busine</w:t>
      </w:r>
      <w:r w:rsidR="00F322F6" w:rsidRPr="00C56099">
        <w:rPr>
          <w:rFonts w:ascii="Times New Roman" w:hAnsi="Times New Roman"/>
          <w:b/>
          <w:bCs/>
          <w:sz w:val="28"/>
          <w:szCs w:val="28"/>
          <w:lang w:val="en-US"/>
        </w:rPr>
        <w:t xml:space="preserve">ss processes, at all levels of </w:t>
      </w:r>
      <w:r w:rsidRPr="00C56099">
        <w:rPr>
          <w:rFonts w:ascii="Times New Roman" w:hAnsi="Times New Roman"/>
          <w:b/>
          <w:bCs/>
          <w:sz w:val="28"/>
          <w:szCs w:val="28"/>
          <w:lang w:val="en-US"/>
        </w:rPr>
        <w:t xml:space="preserve">the </w:t>
      </w:r>
      <w:r w:rsidR="00285CBC" w:rsidRPr="00C56099">
        <w:rPr>
          <w:rFonts w:ascii="Times New Roman" w:hAnsi="Times New Roman"/>
          <w:b/>
          <w:bCs/>
          <w:sz w:val="28"/>
          <w:szCs w:val="28"/>
          <w:lang w:val="en-US"/>
        </w:rPr>
        <w:t>organization</w:t>
      </w:r>
      <w:r w:rsidRPr="00C56099">
        <w:rPr>
          <w:rFonts w:ascii="Times New Roman" w:hAnsi="Times New Roman"/>
          <w:b/>
          <w:bCs/>
          <w:sz w:val="28"/>
          <w:szCs w:val="28"/>
          <w:lang w:val="en-US"/>
        </w:rPr>
        <w:t>.</w:t>
      </w:r>
    </w:p>
    <w:p w14:paraId="0DDF7F95" w14:textId="77777777" w:rsidR="00FD4480" w:rsidRPr="00FD4480" w:rsidRDefault="00FD4480" w:rsidP="00FD4480">
      <w:pPr>
        <w:spacing w:line="360" w:lineRule="auto"/>
        <w:ind w:left="142"/>
        <w:jc w:val="both"/>
        <w:rPr>
          <w:rFonts w:ascii="Times New Roman" w:hAnsi="Times New Roman"/>
          <w:sz w:val="24"/>
          <w:szCs w:val="24"/>
          <w:u w:val="single"/>
        </w:rPr>
      </w:pPr>
      <w:r w:rsidRPr="00FD4480">
        <w:rPr>
          <w:rFonts w:ascii="Times New Roman" w:hAnsi="Times New Roman"/>
          <w:bCs/>
          <w:sz w:val="24"/>
          <w:szCs w:val="24"/>
          <w:u w:val="single"/>
        </w:rPr>
        <w:t>Strategic objectives</w:t>
      </w:r>
    </w:p>
    <w:p w14:paraId="522E3CF6" w14:textId="77777777" w:rsidR="00FD4480" w:rsidRPr="00FD4480" w:rsidRDefault="00FD4480" w:rsidP="00FD4480">
      <w:pPr>
        <w:spacing w:line="360" w:lineRule="auto"/>
        <w:ind w:left="567" w:hanging="425"/>
        <w:jc w:val="both"/>
        <w:rPr>
          <w:rFonts w:ascii="Times New Roman" w:hAnsi="Times New Roman"/>
          <w:sz w:val="24"/>
          <w:szCs w:val="24"/>
        </w:rPr>
      </w:pPr>
      <w:r w:rsidRPr="00FD4480">
        <w:rPr>
          <w:rFonts w:ascii="Times New Roman" w:hAnsi="Times New Roman"/>
          <w:sz w:val="24"/>
          <w:szCs w:val="24"/>
        </w:rPr>
        <w:t>1.1</w:t>
      </w:r>
      <w:r w:rsidRPr="00FD4480">
        <w:rPr>
          <w:rFonts w:ascii="Times New Roman" w:hAnsi="Times New Roman"/>
          <w:sz w:val="24"/>
          <w:szCs w:val="24"/>
        </w:rPr>
        <w:tab/>
      </w:r>
      <w:r w:rsidRPr="00FD4480">
        <w:rPr>
          <w:rFonts w:ascii="Times New Roman" w:hAnsi="Times New Roman"/>
          <w:sz w:val="24"/>
          <w:szCs w:val="24"/>
          <w:lang w:val="en-US"/>
        </w:rPr>
        <w:t>Exercising oversight (monitoring, evaluation and leadership) to ensure the effective implementation of the Electoral Commission’s core mandate, strategic goals and objectives, aligned with the corresponding budget allocation.</w:t>
      </w:r>
    </w:p>
    <w:p w14:paraId="52E58E4B" w14:textId="77777777" w:rsidR="00FD4480" w:rsidRPr="00FD4480" w:rsidRDefault="00FD4480" w:rsidP="00FD4480">
      <w:pPr>
        <w:spacing w:line="360" w:lineRule="auto"/>
        <w:ind w:left="567" w:hanging="425"/>
        <w:jc w:val="both"/>
        <w:rPr>
          <w:rFonts w:ascii="Times New Roman" w:hAnsi="Times New Roman"/>
          <w:sz w:val="24"/>
          <w:szCs w:val="24"/>
        </w:rPr>
      </w:pPr>
      <w:r w:rsidRPr="00FD4480">
        <w:rPr>
          <w:rFonts w:ascii="Times New Roman" w:hAnsi="Times New Roman"/>
          <w:sz w:val="24"/>
          <w:szCs w:val="24"/>
          <w:lang w:val="en-US"/>
        </w:rPr>
        <w:t>1.2</w:t>
      </w:r>
      <w:r w:rsidRPr="00FD4480">
        <w:rPr>
          <w:rFonts w:ascii="Times New Roman" w:hAnsi="Times New Roman"/>
          <w:sz w:val="24"/>
          <w:szCs w:val="24"/>
          <w:lang w:val="en-US"/>
        </w:rPr>
        <w:tab/>
        <w:t>Exercise efficient oversight (monitoring, evaluation and support) by the provisioning of assurance and risk management services.</w:t>
      </w:r>
    </w:p>
    <w:p w14:paraId="4B90C6C9" w14:textId="77777777" w:rsidR="00FD4480" w:rsidRDefault="00FD4480" w:rsidP="00FD4480">
      <w:pPr>
        <w:spacing w:line="360" w:lineRule="auto"/>
        <w:ind w:left="567" w:hanging="425"/>
        <w:jc w:val="both"/>
        <w:rPr>
          <w:rFonts w:ascii="Times New Roman" w:hAnsi="Times New Roman"/>
          <w:sz w:val="24"/>
          <w:szCs w:val="24"/>
        </w:rPr>
      </w:pPr>
      <w:r w:rsidRPr="00FD4480">
        <w:rPr>
          <w:rFonts w:ascii="Times New Roman" w:hAnsi="Times New Roman"/>
          <w:sz w:val="24"/>
          <w:szCs w:val="24"/>
          <w:lang w:val="en-US"/>
        </w:rPr>
        <w:t>1.3</w:t>
      </w:r>
      <w:r w:rsidRPr="00FD4480">
        <w:rPr>
          <w:rFonts w:ascii="Times New Roman" w:hAnsi="Times New Roman"/>
          <w:sz w:val="24"/>
          <w:szCs w:val="24"/>
          <w:lang w:val="en-US"/>
        </w:rPr>
        <w:tab/>
      </w:r>
      <w:r w:rsidRPr="00FD4480">
        <w:rPr>
          <w:rFonts w:ascii="Times New Roman" w:hAnsi="Times New Roman"/>
          <w:sz w:val="24"/>
          <w:szCs w:val="24"/>
        </w:rPr>
        <w:t>Build institutional capacity to enable the Electoral Commission to deliver on its constitutional mandate.</w:t>
      </w:r>
    </w:p>
    <w:p w14:paraId="0C26EA4F" w14:textId="77777777" w:rsidR="00FD4480" w:rsidRPr="00FD4480" w:rsidRDefault="00FD4480" w:rsidP="00FD4480">
      <w:pPr>
        <w:spacing w:line="360" w:lineRule="auto"/>
        <w:ind w:left="567" w:hanging="425"/>
        <w:jc w:val="both"/>
        <w:rPr>
          <w:rFonts w:ascii="Times New Roman" w:hAnsi="Times New Roman"/>
          <w:sz w:val="24"/>
          <w:szCs w:val="24"/>
        </w:rPr>
      </w:pPr>
      <w:r w:rsidRPr="00FD4480">
        <w:rPr>
          <w:rFonts w:ascii="Times New Roman" w:hAnsi="Times New Roman"/>
          <w:sz w:val="24"/>
          <w:szCs w:val="24"/>
        </w:rPr>
        <w:t>1.4</w:t>
      </w:r>
      <w:r w:rsidRPr="00FD4480">
        <w:rPr>
          <w:rFonts w:ascii="Times New Roman" w:hAnsi="Times New Roman"/>
          <w:sz w:val="24"/>
          <w:szCs w:val="24"/>
        </w:rPr>
        <w:tab/>
      </w:r>
      <w:r w:rsidRPr="00FD4480">
        <w:rPr>
          <w:rFonts w:ascii="Times New Roman" w:hAnsi="Times New Roman"/>
          <w:sz w:val="24"/>
          <w:szCs w:val="24"/>
          <w:lang w:val="en-US"/>
        </w:rPr>
        <w:t>Manage financial resources efficiently to protect the public image of the Electoral Commission as an accountable institution.</w:t>
      </w:r>
    </w:p>
    <w:p w14:paraId="4BF791A5" w14:textId="77777777" w:rsidR="00FD4480" w:rsidRDefault="00FD4480" w:rsidP="00FD4480">
      <w:pPr>
        <w:spacing w:line="360" w:lineRule="auto"/>
        <w:ind w:left="567" w:hanging="425"/>
        <w:jc w:val="both"/>
        <w:rPr>
          <w:rFonts w:ascii="Times New Roman" w:hAnsi="Times New Roman"/>
          <w:sz w:val="24"/>
          <w:szCs w:val="24"/>
        </w:rPr>
      </w:pPr>
      <w:r w:rsidRPr="00FD4480">
        <w:rPr>
          <w:rFonts w:ascii="Times New Roman" w:hAnsi="Times New Roman"/>
          <w:sz w:val="24"/>
          <w:szCs w:val="24"/>
          <w:lang w:val="en-US"/>
        </w:rPr>
        <w:t>1.5</w:t>
      </w:r>
      <w:r w:rsidRPr="00FD4480">
        <w:rPr>
          <w:rFonts w:ascii="Times New Roman" w:hAnsi="Times New Roman"/>
          <w:sz w:val="24"/>
          <w:szCs w:val="24"/>
          <w:lang w:val="en-US"/>
        </w:rPr>
        <w:tab/>
      </w:r>
      <w:r w:rsidRPr="00FD4480">
        <w:rPr>
          <w:rFonts w:ascii="Times New Roman" w:hAnsi="Times New Roman"/>
          <w:sz w:val="24"/>
          <w:szCs w:val="24"/>
        </w:rPr>
        <w:t>Provide and maintain a stable, secure and scalable ICT environment that meets the functional needs of the Electoral Commission to ensure the credibility of electronic electoral processes.</w:t>
      </w:r>
    </w:p>
    <w:p w14:paraId="739B4293" w14:textId="77777777" w:rsidR="00FD4480" w:rsidRDefault="00FD4480" w:rsidP="00FD4480">
      <w:pPr>
        <w:spacing w:line="360" w:lineRule="auto"/>
        <w:ind w:left="142"/>
        <w:jc w:val="both"/>
        <w:rPr>
          <w:rFonts w:ascii="Times New Roman" w:hAnsi="Times New Roman"/>
          <w:sz w:val="24"/>
          <w:szCs w:val="24"/>
        </w:rPr>
      </w:pPr>
    </w:p>
    <w:p w14:paraId="2656073A" w14:textId="77777777" w:rsidR="00FD4480" w:rsidRPr="00C56099" w:rsidRDefault="00FD4480" w:rsidP="00FD4480">
      <w:pPr>
        <w:spacing w:line="360" w:lineRule="auto"/>
        <w:ind w:left="142"/>
        <w:jc w:val="both"/>
        <w:rPr>
          <w:rFonts w:ascii="Times New Roman" w:hAnsi="Times New Roman"/>
          <w:sz w:val="28"/>
          <w:szCs w:val="28"/>
        </w:rPr>
      </w:pPr>
      <w:r w:rsidRPr="00C56099">
        <w:rPr>
          <w:rFonts w:ascii="Times New Roman" w:hAnsi="Times New Roman"/>
          <w:b/>
          <w:bCs/>
          <w:sz w:val="28"/>
          <w:szCs w:val="28"/>
        </w:rPr>
        <w:t xml:space="preserve">Strategic Goal 2: </w:t>
      </w:r>
      <w:r w:rsidRPr="00C56099">
        <w:rPr>
          <w:rFonts w:ascii="Times New Roman" w:hAnsi="Times New Roman"/>
          <w:b/>
          <w:bCs/>
          <w:sz w:val="28"/>
          <w:szCs w:val="28"/>
          <w:lang w:val="en-US"/>
        </w:rPr>
        <w:t>Achieving pre-eminence in the area of managing elections and referenda, including the strengthening of a cooperative relationship with political parties</w:t>
      </w:r>
    </w:p>
    <w:p w14:paraId="4D5FFF6E" w14:textId="77777777" w:rsidR="00FD4480" w:rsidRPr="00FD4480" w:rsidRDefault="00FD4480" w:rsidP="00FD4480">
      <w:pPr>
        <w:spacing w:line="360" w:lineRule="auto"/>
        <w:ind w:left="142"/>
        <w:rPr>
          <w:rFonts w:ascii="Times New Roman" w:hAnsi="Times New Roman"/>
          <w:sz w:val="24"/>
          <w:szCs w:val="24"/>
          <w:u w:val="single"/>
        </w:rPr>
      </w:pPr>
      <w:r w:rsidRPr="00FD4480">
        <w:rPr>
          <w:rFonts w:ascii="Times New Roman" w:hAnsi="Times New Roman"/>
          <w:bCs/>
          <w:sz w:val="24"/>
          <w:szCs w:val="24"/>
          <w:u w:val="single"/>
        </w:rPr>
        <w:t>Strategic objectives</w:t>
      </w:r>
    </w:p>
    <w:p w14:paraId="76D7041C" w14:textId="77777777" w:rsidR="00FD4480" w:rsidRPr="00FD4480" w:rsidRDefault="00FD4480" w:rsidP="00FD4480">
      <w:pPr>
        <w:spacing w:line="360" w:lineRule="auto"/>
        <w:ind w:left="567" w:hanging="425"/>
        <w:jc w:val="both"/>
        <w:rPr>
          <w:rFonts w:ascii="Times New Roman" w:hAnsi="Times New Roman"/>
          <w:sz w:val="24"/>
          <w:szCs w:val="24"/>
        </w:rPr>
      </w:pPr>
      <w:r w:rsidRPr="00FD4480">
        <w:rPr>
          <w:rFonts w:ascii="Times New Roman" w:hAnsi="Times New Roman"/>
          <w:sz w:val="24"/>
          <w:szCs w:val="24"/>
        </w:rPr>
        <w:t>2.1</w:t>
      </w:r>
      <w:r w:rsidRPr="00FD4480">
        <w:rPr>
          <w:rFonts w:ascii="Times New Roman" w:hAnsi="Times New Roman"/>
          <w:sz w:val="24"/>
          <w:szCs w:val="24"/>
        </w:rPr>
        <w:tab/>
      </w:r>
      <w:r w:rsidRPr="00FD4480">
        <w:rPr>
          <w:rFonts w:ascii="Times New Roman" w:hAnsi="Times New Roman"/>
          <w:sz w:val="24"/>
          <w:szCs w:val="24"/>
          <w:lang w:val="en-US"/>
        </w:rPr>
        <w:t>Manage free and fair elections in accordance with the applicable electoral timetables to ensure the efficient and credible execution of the mandate of the Electoral Commission;</w:t>
      </w:r>
    </w:p>
    <w:p w14:paraId="31C5AE9E" w14:textId="77777777" w:rsidR="00FD4480" w:rsidRPr="00FD4480" w:rsidRDefault="00FD4480" w:rsidP="00FD4480">
      <w:pPr>
        <w:spacing w:line="360" w:lineRule="auto"/>
        <w:ind w:left="567" w:hanging="425"/>
        <w:jc w:val="both"/>
        <w:rPr>
          <w:rFonts w:ascii="Times New Roman" w:hAnsi="Times New Roman"/>
          <w:sz w:val="24"/>
          <w:szCs w:val="24"/>
        </w:rPr>
      </w:pPr>
      <w:r w:rsidRPr="00FD4480">
        <w:rPr>
          <w:rFonts w:ascii="Times New Roman" w:hAnsi="Times New Roman"/>
          <w:sz w:val="24"/>
          <w:szCs w:val="24"/>
          <w:lang w:val="en-US"/>
        </w:rPr>
        <w:t>2.2</w:t>
      </w:r>
      <w:r w:rsidRPr="00FD4480">
        <w:rPr>
          <w:rFonts w:ascii="Times New Roman" w:hAnsi="Times New Roman"/>
          <w:sz w:val="24"/>
          <w:szCs w:val="24"/>
          <w:lang w:val="en-US"/>
        </w:rPr>
        <w:tab/>
        <w:t>Maintain an accurate national common voters roll to ensure the credibility of elections;</w:t>
      </w:r>
    </w:p>
    <w:p w14:paraId="07C8B466" w14:textId="77777777" w:rsidR="00FD4480" w:rsidRPr="00FD4480" w:rsidRDefault="00FD4480" w:rsidP="00FD4480">
      <w:pPr>
        <w:spacing w:line="360" w:lineRule="auto"/>
        <w:ind w:left="567" w:hanging="425"/>
        <w:jc w:val="both"/>
        <w:rPr>
          <w:rFonts w:ascii="Times New Roman" w:hAnsi="Times New Roman"/>
          <w:sz w:val="24"/>
          <w:szCs w:val="24"/>
        </w:rPr>
      </w:pPr>
      <w:r w:rsidRPr="00FD4480">
        <w:rPr>
          <w:rFonts w:ascii="Times New Roman" w:hAnsi="Times New Roman"/>
          <w:sz w:val="24"/>
          <w:szCs w:val="24"/>
          <w:lang w:val="en-US"/>
        </w:rPr>
        <w:t>2.3</w:t>
      </w:r>
      <w:r w:rsidRPr="00FD4480">
        <w:rPr>
          <w:rFonts w:ascii="Times New Roman" w:hAnsi="Times New Roman"/>
          <w:sz w:val="24"/>
          <w:szCs w:val="24"/>
          <w:lang w:val="en-US"/>
        </w:rPr>
        <w:tab/>
      </w:r>
      <w:r w:rsidRPr="00FD4480">
        <w:rPr>
          <w:rFonts w:ascii="Times New Roman" w:hAnsi="Times New Roman"/>
          <w:sz w:val="24"/>
          <w:szCs w:val="24"/>
        </w:rPr>
        <w:t>Ensure efficient election delivery by the timely establishment of accessible and suitable voting facilities and processes and by applying infrastructure and logistical resources to meet operational demands for main electoral events</w:t>
      </w:r>
      <w:r w:rsidRPr="00FD4480">
        <w:rPr>
          <w:rFonts w:ascii="Times New Roman" w:hAnsi="Times New Roman"/>
          <w:sz w:val="24"/>
          <w:szCs w:val="24"/>
          <w:lang w:val="en-US"/>
        </w:rPr>
        <w:t>;</w:t>
      </w:r>
    </w:p>
    <w:p w14:paraId="39BD6E18" w14:textId="77777777" w:rsidR="00FD4480" w:rsidRDefault="00FD4480" w:rsidP="00FD4480">
      <w:pPr>
        <w:spacing w:line="360" w:lineRule="auto"/>
        <w:ind w:left="142"/>
        <w:jc w:val="both"/>
        <w:rPr>
          <w:rFonts w:ascii="Times New Roman" w:hAnsi="Times New Roman"/>
          <w:sz w:val="24"/>
          <w:szCs w:val="24"/>
        </w:rPr>
      </w:pPr>
    </w:p>
    <w:p w14:paraId="33355BAC" w14:textId="77777777" w:rsidR="003809B8" w:rsidRDefault="003809B8">
      <w:pPr>
        <w:suppressAutoHyphens w:val="0"/>
        <w:autoSpaceDN/>
        <w:spacing w:line="240" w:lineRule="auto"/>
        <w:textAlignment w:val="auto"/>
        <w:rPr>
          <w:rFonts w:ascii="Times New Roman" w:hAnsi="Times New Roman"/>
          <w:b/>
          <w:bCs/>
          <w:sz w:val="32"/>
          <w:szCs w:val="32"/>
        </w:rPr>
      </w:pPr>
      <w:r>
        <w:rPr>
          <w:rFonts w:ascii="Times New Roman" w:hAnsi="Times New Roman"/>
          <w:b/>
          <w:bCs/>
          <w:sz w:val="32"/>
          <w:szCs w:val="32"/>
        </w:rPr>
        <w:br w:type="page"/>
      </w:r>
    </w:p>
    <w:p w14:paraId="210A9DDE" w14:textId="77777777" w:rsidR="00FD4480" w:rsidRPr="00C56099" w:rsidRDefault="00FD4480" w:rsidP="00FD4480">
      <w:pPr>
        <w:spacing w:line="360" w:lineRule="auto"/>
        <w:jc w:val="both"/>
        <w:rPr>
          <w:rFonts w:ascii="Times New Roman" w:hAnsi="Times New Roman"/>
          <w:sz w:val="32"/>
          <w:szCs w:val="32"/>
        </w:rPr>
      </w:pPr>
      <w:r w:rsidRPr="00C56099">
        <w:rPr>
          <w:rFonts w:ascii="Times New Roman" w:hAnsi="Times New Roman"/>
          <w:b/>
          <w:bCs/>
          <w:sz w:val="32"/>
          <w:szCs w:val="32"/>
        </w:rPr>
        <w:t xml:space="preserve">Strategic Goal 3: </w:t>
      </w:r>
      <w:r w:rsidRPr="00C56099">
        <w:rPr>
          <w:rFonts w:ascii="Times New Roman" w:hAnsi="Times New Roman"/>
          <w:b/>
          <w:bCs/>
          <w:sz w:val="32"/>
          <w:szCs w:val="32"/>
          <w:lang w:val="en-US"/>
        </w:rPr>
        <w:t>Strengthening electoral democracy</w:t>
      </w:r>
    </w:p>
    <w:p w14:paraId="2F5712F5" w14:textId="77777777" w:rsidR="00FD4480" w:rsidRPr="00FD4480" w:rsidRDefault="00FD4480" w:rsidP="00FD4480">
      <w:pPr>
        <w:spacing w:line="360" w:lineRule="auto"/>
        <w:rPr>
          <w:rFonts w:ascii="Times New Roman" w:hAnsi="Times New Roman"/>
          <w:sz w:val="24"/>
          <w:szCs w:val="24"/>
          <w:u w:val="single"/>
        </w:rPr>
      </w:pPr>
      <w:r w:rsidRPr="00FD4480">
        <w:rPr>
          <w:rFonts w:ascii="Times New Roman" w:hAnsi="Times New Roman"/>
          <w:bCs/>
          <w:sz w:val="24"/>
          <w:szCs w:val="24"/>
          <w:u w:val="single"/>
        </w:rPr>
        <w:t>Strategic objectives</w:t>
      </w:r>
    </w:p>
    <w:p w14:paraId="3A7F1B85" w14:textId="77777777" w:rsidR="00FD4480" w:rsidRPr="00FD4480" w:rsidRDefault="00FD4480" w:rsidP="00FD4480">
      <w:pPr>
        <w:spacing w:line="360" w:lineRule="auto"/>
        <w:ind w:left="567" w:hanging="425"/>
        <w:jc w:val="both"/>
        <w:rPr>
          <w:rFonts w:ascii="Times New Roman" w:hAnsi="Times New Roman"/>
          <w:sz w:val="24"/>
          <w:szCs w:val="24"/>
        </w:rPr>
      </w:pPr>
      <w:r w:rsidRPr="00FD4480">
        <w:rPr>
          <w:rFonts w:ascii="Times New Roman" w:hAnsi="Times New Roman"/>
          <w:sz w:val="24"/>
          <w:szCs w:val="24"/>
        </w:rPr>
        <w:t xml:space="preserve">3.1 </w:t>
      </w:r>
      <w:r w:rsidRPr="00FD4480">
        <w:rPr>
          <w:rFonts w:ascii="Times New Roman" w:hAnsi="Times New Roman"/>
          <w:sz w:val="24"/>
          <w:szCs w:val="24"/>
        </w:rPr>
        <w:tab/>
      </w:r>
      <w:r w:rsidRPr="00FD4480">
        <w:rPr>
          <w:rFonts w:ascii="Times New Roman" w:hAnsi="Times New Roman"/>
          <w:sz w:val="24"/>
          <w:szCs w:val="24"/>
          <w:lang w:val="en-US"/>
        </w:rPr>
        <w:t>Encourage the electorate’s engagement with, and participation in, electoral processes in order to facilitate the right to vote as enshrined in the Constitution</w:t>
      </w:r>
      <w:r w:rsidRPr="00FD4480">
        <w:rPr>
          <w:rFonts w:ascii="Times New Roman" w:hAnsi="Times New Roman"/>
          <w:sz w:val="24"/>
          <w:szCs w:val="24"/>
        </w:rPr>
        <w:t>;</w:t>
      </w:r>
    </w:p>
    <w:p w14:paraId="394F80FA" w14:textId="77777777" w:rsidR="00FD4480" w:rsidRPr="00FD4480" w:rsidRDefault="00FD4480" w:rsidP="00FD4480">
      <w:pPr>
        <w:spacing w:line="360" w:lineRule="auto"/>
        <w:ind w:left="567" w:hanging="425"/>
        <w:jc w:val="both"/>
        <w:rPr>
          <w:rFonts w:ascii="Times New Roman" w:hAnsi="Times New Roman"/>
          <w:sz w:val="24"/>
          <w:szCs w:val="24"/>
        </w:rPr>
      </w:pPr>
      <w:r w:rsidRPr="00FD4480">
        <w:rPr>
          <w:rFonts w:ascii="Times New Roman" w:hAnsi="Times New Roman"/>
          <w:sz w:val="24"/>
          <w:szCs w:val="24"/>
          <w:lang w:val="en-US"/>
        </w:rPr>
        <w:t>3.2</w:t>
      </w:r>
      <w:r w:rsidRPr="00FD4480">
        <w:rPr>
          <w:rFonts w:ascii="Times New Roman" w:hAnsi="Times New Roman"/>
          <w:sz w:val="24"/>
          <w:szCs w:val="24"/>
          <w:lang w:val="en-US"/>
        </w:rPr>
        <w:tab/>
        <w:t>Achieve a low rate of spoilt ballots as a measure of the effectiveness of balloting education;</w:t>
      </w:r>
    </w:p>
    <w:p w14:paraId="3A13D17C" w14:textId="77777777" w:rsidR="00FD4480" w:rsidRPr="00FD4480" w:rsidRDefault="00FD4480" w:rsidP="00FD4480">
      <w:pPr>
        <w:spacing w:line="360" w:lineRule="auto"/>
        <w:ind w:left="567" w:hanging="425"/>
        <w:jc w:val="both"/>
        <w:rPr>
          <w:rFonts w:ascii="Times New Roman" w:hAnsi="Times New Roman"/>
          <w:sz w:val="24"/>
          <w:szCs w:val="24"/>
        </w:rPr>
      </w:pPr>
      <w:r w:rsidRPr="00FD4480">
        <w:rPr>
          <w:rFonts w:ascii="Times New Roman" w:hAnsi="Times New Roman"/>
          <w:sz w:val="24"/>
          <w:szCs w:val="24"/>
          <w:lang w:val="en-US"/>
        </w:rPr>
        <w:t>3.3</w:t>
      </w:r>
      <w:r w:rsidRPr="00FD4480">
        <w:rPr>
          <w:rFonts w:ascii="Times New Roman" w:hAnsi="Times New Roman"/>
          <w:sz w:val="24"/>
          <w:szCs w:val="24"/>
          <w:lang w:val="en-US"/>
        </w:rPr>
        <w:tab/>
      </w:r>
      <w:r w:rsidRPr="00FD4480">
        <w:rPr>
          <w:rFonts w:ascii="Times New Roman" w:hAnsi="Times New Roman"/>
          <w:sz w:val="24"/>
          <w:szCs w:val="24"/>
        </w:rPr>
        <w:t>Enhance the Electoral Commission’s reputation as a credible and trustworthy Electoral Management Body;</w:t>
      </w:r>
    </w:p>
    <w:p w14:paraId="255853A5" w14:textId="77777777" w:rsidR="00FD4480" w:rsidRPr="00FD4480" w:rsidRDefault="00FD4480" w:rsidP="00FD4480">
      <w:pPr>
        <w:spacing w:line="360" w:lineRule="auto"/>
        <w:ind w:left="567" w:hanging="425"/>
        <w:jc w:val="both"/>
        <w:rPr>
          <w:rFonts w:ascii="Times New Roman" w:hAnsi="Times New Roman"/>
          <w:sz w:val="24"/>
          <w:szCs w:val="24"/>
        </w:rPr>
      </w:pPr>
      <w:r w:rsidRPr="00FD4480">
        <w:rPr>
          <w:rFonts w:ascii="Times New Roman" w:hAnsi="Times New Roman"/>
          <w:sz w:val="24"/>
          <w:szCs w:val="24"/>
          <w:lang w:val="en-US"/>
        </w:rPr>
        <w:t>3.4</w:t>
      </w:r>
      <w:r w:rsidRPr="00FD4480">
        <w:rPr>
          <w:rFonts w:ascii="Times New Roman" w:hAnsi="Times New Roman"/>
          <w:sz w:val="24"/>
          <w:szCs w:val="24"/>
          <w:lang w:val="en-US"/>
        </w:rPr>
        <w:tab/>
      </w:r>
      <w:r w:rsidRPr="00FD4480">
        <w:rPr>
          <w:rFonts w:ascii="Times New Roman" w:hAnsi="Times New Roman"/>
          <w:sz w:val="24"/>
          <w:szCs w:val="24"/>
        </w:rPr>
        <w:t>Provide thought leadership in the field of electoral management and related fields as per Vision 2018 in order to strengthen electoral democracy.</w:t>
      </w:r>
    </w:p>
    <w:p w14:paraId="488DB35D" w14:textId="77777777" w:rsidR="00E914DB" w:rsidRDefault="00E914DB" w:rsidP="002064C3">
      <w:pPr>
        <w:spacing w:line="360" w:lineRule="auto"/>
        <w:jc w:val="both"/>
        <w:rPr>
          <w:rFonts w:ascii="Times New Roman" w:hAnsi="Times New Roman"/>
          <w:sz w:val="24"/>
          <w:szCs w:val="24"/>
        </w:rPr>
      </w:pPr>
    </w:p>
    <w:p w14:paraId="7F26C921" w14:textId="77777777" w:rsidR="00E914DB" w:rsidRPr="00C56099" w:rsidRDefault="00E914DB" w:rsidP="00E914DB">
      <w:pPr>
        <w:spacing w:line="360" w:lineRule="auto"/>
        <w:jc w:val="both"/>
        <w:rPr>
          <w:rFonts w:ascii="Times New Roman" w:hAnsi="Times New Roman"/>
          <w:b/>
          <w:sz w:val="28"/>
          <w:szCs w:val="28"/>
        </w:rPr>
      </w:pPr>
      <w:r w:rsidRPr="00C56099">
        <w:rPr>
          <w:rFonts w:ascii="Times New Roman" w:hAnsi="Times New Roman"/>
          <w:b/>
          <w:sz w:val="28"/>
          <w:szCs w:val="28"/>
        </w:rPr>
        <w:t>2.2 Electoral Commission Budget 2019/20</w:t>
      </w:r>
    </w:p>
    <w:p w14:paraId="0DFEE8BC" w14:textId="77777777" w:rsidR="002004FB" w:rsidRPr="002004FB" w:rsidRDefault="00E914DB" w:rsidP="002004FB">
      <w:pPr>
        <w:spacing w:line="360" w:lineRule="auto"/>
        <w:jc w:val="both"/>
        <w:rPr>
          <w:rFonts w:ascii="Times New Roman" w:hAnsi="Times New Roman"/>
          <w:sz w:val="22"/>
          <w:szCs w:val="22"/>
        </w:rPr>
      </w:pPr>
      <w:r>
        <w:rPr>
          <w:rFonts w:ascii="Times New Roman" w:hAnsi="Times New Roman"/>
          <w:sz w:val="24"/>
          <w:szCs w:val="24"/>
        </w:rPr>
        <w:t xml:space="preserve">The IEC received an allocation of R2,052 billion for 2019/20 compared to R1,963 billion in 2018/19. The </w:t>
      </w:r>
      <w:r w:rsidRPr="00E914DB">
        <w:rPr>
          <w:rFonts w:ascii="Times New Roman" w:hAnsi="Times New Roman"/>
          <w:sz w:val="24"/>
          <w:szCs w:val="24"/>
        </w:rPr>
        <w:t>Electoral Commission</w:t>
      </w:r>
      <w:r w:rsidRPr="00EC1F04">
        <w:rPr>
          <w:rFonts w:ascii="Times New Roman" w:hAnsi="Times New Roman"/>
          <w:sz w:val="24"/>
          <w:szCs w:val="24"/>
        </w:rPr>
        <w:t xml:space="preserve"> allocation shows a marginal real increase – for 2019/20, it increases with 0.38 per cent. The increase can be attributed to preparations </w:t>
      </w:r>
      <w:r w:rsidRPr="00E914DB">
        <w:rPr>
          <w:rFonts w:ascii="Times New Roman" w:hAnsi="Times New Roman"/>
          <w:sz w:val="22"/>
          <w:szCs w:val="22"/>
        </w:rPr>
        <w:t xml:space="preserve">towards the general elections held in May 2019. </w:t>
      </w:r>
      <w:r w:rsidR="002004FB">
        <w:rPr>
          <w:rFonts w:ascii="Times New Roman" w:hAnsi="Times New Roman"/>
          <w:color w:val="auto"/>
          <w:spacing w:val="0"/>
          <w:sz w:val="24"/>
          <w:szCs w:val="24"/>
          <w:lang w:eastAsia="en-ZA"/>
        </w:rPr>
        <w:t>In 2019/20 IEC expenditure</w:t>
      </w:r>
      <w:r w:rsidR="002004FB" w:rsidRPr="002004FB">
        <w:rPr>
          <w:rFonts w:ascii="Times New Roman" w:hAnsi="Times New Roman"/>
          <w:color w:val="auto"/>
          <w:spacing w:val="0"/>
          <w:sz w:val="24"/>
          <w:szCs w:val="24"/>
          <w:lang w:eastAsia="en-ZA"/>
        </w:rPr>
        <w:t xml:space="preserve"> </w:t>
      </w:r>
      <w:r w:rsidR="002004FB">
        <w:rPr>
          <w:rFonts w:ascii="Times New Roman" w:hAnsi="Times New Roman"/>
          <w:color w:val="auto"/>
          <w:spacing w:val="0"/>
          <w:sz w:val="24"/>
          <w:szCs w:val="24"/>
          <w:lang w:eastAsia="en-ZA"/>
        </w:rPr>
        <w:t>focused</w:t>
      </w:r>
      <w:r w:rsidR="002004FB" w:rsidRPr="002004FB">
        <w:rPr>
          <w:rFonts w:ascii="Times New Roman" w:hAnsi="Times New Roman"/>
          <w:color w:val="auto"/>
          <w:spacing w:val="0"/>
          <w:sz w:val="24"/>
          <w:szCs w:val="24"/>
          <w:lang w:eastAsia="en-ZA"/>
        </w:rPr>
        <w:t xml:space="preserve"> on its preparations for the 2019 national and provincial elections, and </w:t>
      </w:r>
      <w:r w:rsidR="002004FB">
        <w:rPr>
          <w:rFonts w:ascii="Times New Roman" w:hAnsi="Times New Roman"/>
          <w:color w:val="auto"/>
          <w:spacing w:val="0"/>
          <w:sz w:val="24"/>
          <w:szCs w:val="24"/>
          <w:lang w:eastAsia="en-ZA"/>
        </w:rPr>
        <w:t xml:space="preserve">in the medium term it prepares for </w:t>
      </w:r>
      <w:r w:rsidR="002004FB" w:rsidRPr="002004FB">
        <w:rPr>
          <w:rFonts w:ascii="Times New Roman" w:hAnsi="Times New Roman"/>
          <w:color w:val="auto"/>
          <w:spacing w:val="0"/>
          <w:sz w:val="24"/>
          <w:szCs w:val="24"/>
          <w:lang w:eastAsia="en-ZA"/>
        </w:rPr>
        <w:t xml:space="preserve">the 2021 local government elections. </w:t>
      </w:r>
    </w:p>
    <w:p w14:paraId="07331D96" w14:textId="77777777" w:rsidR="002004FB" w:rsidRDefault="002004FB" w:rsidP="002004FB">
      <w:pPr>
        <w:spacing w:line="360" w:lineRule="auto"/>
        <w:jc w:val="both"/>
        <w:rPr>
          <w:rFonts w:ascii="Times New Roman" w:hAnsi="Times New Roman"/>
          <w:color w:val="auto"/>
          <w:spacing w:val="0"/>
          <w:sz w:val="24"/>
          <w:szCs w:val="24"/>
          <w:lang w:eastAsia="en-ZA"/>
        </w:rPr>
      </w:pPr>
    </w:p>
    <w:p w14:paraId="4F02BA30" w14:textId="77777777" w:rsidR="002004FB" w:rsidRDefault="002004FB" w:rsidP="002004FB">
      <w:pPr>
        <w:spacing w:line="360" w:lineRule="auto"/>
        <w:jc w:val="both"/>
        <w:rPr>
          <w:rFonts w:ascii="Times New Roman" w:hAnsi="Times New Roman"/>
          <w:color w:val="auto"/>
          <w:spacing w:val="0"/>
          <w:sz w:val="24"/>
          <w:szCs w:val="24"/>
          <w:lang w:eastAsia="en-ZA"/>
        </w:rPr>
      </w:pPr>
      <w:r>
        <w:rPr>
          <w:rFonts w:ascii="Times New Roman" w:hAnsi="Times New Roman"/>
          <w:color w:val="auto"/>
          <w:spacing w:val="0"/>
          <w:sz w:val="24"/>
          <w:szCs w:val="24"/>
          <w:lang w:eastAsia="en-ZA"/>
        </w:rPr>
        <w:t>O</w:t>
      </w:r>
      <w:r w:rsidRPr="002004FB">
        <w:rPr>
          <w:rFonts w:ascii="Times New Roman" w:hAnsi="Times New Roman"/>
          <w:color w:val="auto"/>
          <w:spacing w:val="0"/>
          <w:sz w:val="24"/>
          <w:szCs w:val="24"/>
          <w:lang w:eastAsia="en-ZA"/>
        </w:rPr>
        <w:t xml:space="preserve">ver the </w:t>
      </w:r>
      <w:r>
        <w:rPr>
          <w:rFonts w:ascii="Times New Roman" w:hAnsi="Times New Roman"/>
          <w:color w:val="auto"/>
          <w:spacing w:val="0"/>
          <w:sz w:val="24"/>
          <w:szCs w:val="24"/>
          <w:lang w:eastAsia="en-ZA"/>
        </w:rPr>
        <w:t>MTEF period, as</w:t>
      </w:r>
      <w:r w:rsidRPr="002004FB">
        <w:rPr>
          <w:rFonts w:ascii="Times New Roman" w:hAnsi="Times New Roman"/>
          <w:color w:val="auto"/>
          <w:spacing w:val="0"/>
          <w:sz w:val="24"/>
          <w:szCs w:val="24"/>
          <w:lang w:eastAsia="en-ZA"/>
        </w:rPr>
        <w:t xml:space="preserve"> part of the commission’s </w:t>
      </w:r>
      <w:r w:rsidRPr="002004FB">
        <w:rPr>
          <w:rFonts w:ascii="Times New Roman" w:hAnsi="Times New Roman"/>
          <w:i/>
          <w:iCs/>
          <w:color w:val="auto"/>
          <w:spacing w:val="0"/>
          <w:sz w:val="24"/>
          <w:szCs w:val="24"/>
          <w:lang w:eastAsia="en-ZA"/>
        </w:rPr>
        <w:t xml:space="preserve">Electoral operations </w:t>
      </w:r>
      <w:r w:rsidRPr="002004FB">
        <w:rPr>
          <w:rFonts w:ascii="Times New Roman" w:hAnsi="Times New Roman"/>
          <w:color w:val="auto"/>
          <w:spacing w:val="0"/>
          <w:sz w:val="24"/>
          <w:szCs w:val="24"/>
          <w:lang w:eastAsia="en-ZA"/>
        </w:rPr>
        <w:t xml:space="preserve">programme, the </w:t>
      </w:r>
      <w:r>
        <w:rPr>
          <w:rFonts w:ascii="Times New Roman" w:hAnsi="Times New Roman"/>
          <w:color w:val="auto"/>
          <w:spacing w:val="0"/>
          <w:sz w:val="24"/>
          <w:szCs w:val="24"/>
          <w:lang w:eastAsia="en-ZA"/>
        </w:rPr>
        <w:t xml:space="preserve">IEC indicated that it will be involved in </w:t>
      </w:r>
      <w:r w:rsidRPr="002004FB">
        <w:rPr>
          <w:rFonts w:ascii="Times New Roman" w:hAnsi="Times New Roman"/>
          <w:color w:val="auto"/>
          <w:spacing w:val="0"/>
          <w:sz w:val="24"/>
          <w:szCs w:val="24"/>
          <w:lang w:eastAsia="en-ZA"/>
        </w:rPr>
        <w:t xml:space="preserve">updating </w:t>
      </w:r>
      <w:r>
        <w:rPr>
          <w:rFonts w:ascii="Times New Roman" w:hAnsi="Times New Roman"/>
          <w:color w:val="auto"/>
          <w:spacing w:val="0"/>
          <w:sz w:val="24"/>
          <w:szCs w:val="24"/>
          <w:lang w:eastAsia="en-ZA"/>
        </w:rPr>
        <w:t xml:space="preserve">of addresses on the voters </w:t>
      </w:r>
      <w:r w:rsidR="00285CBC">
        <w:rPr>
          <w:rFonts w:ascii="Times New Roman" w:hAnsi="Times New Roman"/>
          <w:color w:val="auto"/>
          <w:spacing w:val="0"/>
          <w:sz w:val="24"/>
          <w:szCs w:val="24"/>
          <w:lang w:eastAsia="en-ZA"/>
        </w:rPr>
        <w:t>roll in</w:t>
      </w:r>
      <w:r w:rsidRPr="002004FB">
        <w:rPr>
          <w:rFonts w:ascii="Times New Roman" w:hAnsi="Times New Roman"/>
          <w:color w:val="auto"/>
          <w:spacing w:val="0"/>
          <w:sz w:val="24"/>
          <w:szCs w:val="24"/>
          <w:lang w:eastAsia="en-ZA"/>
        </w:rPr>
        <w:t xml:space="preserve"> line with court judgments, the registration of new voters, and the procurement of ballot papers, ballot boxes and stationery</w:t>
      </w:r>
      <w:r>
        <w:rPr>
          <w:rFonts w:ascii="Times New Roman" w:hAnsi="Times New Roman"/>
          <w:color w:val="auto"/>
          <w:spacing w:val="0"/>
          <w:sz w:val="24"/>
          <w:szCs w:val="24"/>
          <w:lang w:eastAsia="en-ZA"/>
        </w:rPr>
        <w:t>. This</w:t>
      </w:r>
      <w:r w:rsidRPr="002004FB">
        <w:rPr>
          <w:rFonts w:ascii="Times New Roman" w:hAnsi="Times New Roman"/>
          <w:color w:val="auto"/>
          <w:spacing w:val="0"/>
          <w:sz w:val="24"/>
          <w:szCs w:val="24"/>
          <w:lang w:eastAsia="en-ZA"/>
        </w:rPr>
        <w:t xml:space="preserve"> is expected to result in spending of R541 million</w:t>
      </w:r>
      <w:r>
        <w:rPr>
          <w:rFonts w:ascii="Times New Roman" w:hAnsi="Times New Roman"/>
          <w:color w:val="auto"/>
          <w:spacing w:val="0"/>
          <w:sz w:val="24"/>
          <w:szCs w:val="24"/>
          <w:lang w:eastAsia="en-ZA"/>
        </w:rPr>
        <w:t>.</w:t>
      </w:r>
      <w:r w:rsidRPr="002004FB">
        <w:rPr>
          <w:rFonts w:ascii="Times New Roman" w:hAnsi="Times New Roman"/>
          <w:color w:val="auto"/>
          <w:spacing w:val="0"/>
          <w:sz w:val="24"/>
          <w:szCs w:val="24"/>
          <w:lang w:eastAsia="en-ZA"/>
        </w:rPr>
        <w:t xml:space="preserve"> An additional R126 million has been allocated in the </w:t>
      </w:r>
      <w:r w:rsidRPr="002004FB">
        <w:rPr>
          <w:rFonts w:ascii="Times New Roman" w:hAnsi="Times New Roman"/>
          <w:i/>
          <w:iCs/>
          <w:color w:val="auto"/>
          <w:spacing w:val="0"/>
          <w:sz w:val="24"/>
          <w:szCs w:val="24"/>
          <w:lang w:eastAsia="en-ZA"/>
        </w:rPr>
        <w:t xml:space="preserve">Administration </w:t>
      </w:r>
      <w:r w:rsidRPr="002004FB">
        <w:rPr>
          <w:rFonts w:ascii="Times New Roman" w:hAnsi="Times New Roman"/>
          <w:color w:val="auto"/>
          <w:spacing w:val="0"/>
          <w:sz w:val="24"/>
          <w:szCs w:val="24"/>
          <w:lang w:eastAsia="en-ZA"/>
        </w:rPr>
        <w:t>programme to update databases in line with electoral requirements, update and roll out the commission’s IT infrastructure, and erect 15 prefabricated offices for commission staff, increasing the number of these offices from 28 in 2018/19 to 43 in 2021/22</w:t>
      </w:r>
      <w:r>
        <w:rPr>
          <w:rFonts w:ascii="Times New Roman" w:hAnsi="Times New Roman"/>
          <w:color w:val="auto"/>
          <w:spacing w:val="0"/>
          <w:sz w:val="24"/>
          <w:szCs w:val="24"/>
          <w:lang w:eastAsia="en-ZA"/>
        </w:rPr>
        <w:t>. The</w:t>
      </w:r>
      <w:r w:rsidRPr="002004FB">
        <w:rPr>
          <w:rFonts w:ascii="Times New Roman" w:hAnsi="Times New Roman"/>
          <w:color w:val="auto"/>
          <w:spacing w:val="0"/>
          <w:sz w:val="24"/>
          <w:szCs w:val="24"/>
          <w:lang w:eastAsia="en-ZA"/>
        </w:rPr>
        <w:t xml:space="preserve"> </w:t>
      </w:r>
      <w:r>
        <w:rPr>
          <w:rFonts w:ascii="Times New Roman" w:hAnsi="Times New Roman"/>
          <w:color w:val="auto"/>
          <w:spacing w:val="0"/>
          <w:sz w:val="24"/>
          <w:szCs w:val="24"/>
          <w:lang w:eastAsia="en-ZA"/>
        </w:rPr>
        <w:t>has</w:t>
      </w:r>
      <w:r w:rsidRPr="002004FB">
        <w:rPr>
          <w:rFonts w:ascii="Times New Roman" w:hAnsi="Times New Roman"/>
          <w:color w:val="auto"/>
          <w:spacing w:val="0"/>
          <w:sz w:val="24"/>
          <w:szCs w:val="24"/>
          <w:lang w:eastAsia="en-ZA"/>
        </w:rPr>
        <w:t xml:space="preserve"> enter into a finance lease agreement to the value of R510 million to replace its zip-zip machines (voting registration devices) as they have exceeded their lifespan and are not compatible with smart ID cards. </w:t>
      </w:r>
    </w:p>
    <w:p w14:paraId="36ADB435" w14:textId="77777777" w:rsidR="002004FB" w:rsidRDefault="002004FB" w:rsidP="002004FB">
      <w:pPr>
        <w:spacing w:line="360" w:lineRule="auto"/>
        <w:jc w:val="both"/>
        <w:rPr>
          <w:rFonts w:ascii="Times New Roman" w:hAnsi="Times New Roman"/>
          <w:color w:val="auto"/>
          <w:spacing w:val="0"/>
          <w:sz w:val="24"/>
          <w:szCs w:val="24"/>
          <w:lang w:eastAsia="en-ZA"/>
        </w:rPr>
      </w:pPr>
    </w:p>
    <w:p w14:paraId="40E716E4" w14:textId="77777777" w:rsidR="002004FB" w:rsidRDefault="002004FB" w:rsidP="002004FB">
      <w:pPr>
        <w:spacing w:line="360" w:lineRule="auto"/>
        <w:jc w:val="both"/>
        <w:rPr>
          <w:rFonts w:ascii="Times New Roman" w:hAnsi="Times New Roman"/>
          <w:color w:val="auto"/>
          <w:spacing w:val="0"/>
          <w:sz w:val="24"/>
          <w:szCs w:val="24"/>
          <w:lang w:eastAsia="en-ZA"/>
        </w:rPr>
      </w:pPr>
      <w:r w:rsidRPr="002004FB">
        <w:rPr>
          <w:rFonts w:ascii="Times New Roman" w:hAnsi="Times New Roman"/>
          <w:color w:val="auto"/>
          <w:spacing w:val="0"/>
          <w:sz w:val="24"/>
          <w:szCs w:val="24"/>
          <w:lang w:eastAsia="en-ZA"/>
        </w:rPr>
        <w:t>In preparation for the</w:t>
      </w:r>
      <w:r>
        <w:rPr>
          <w:rFonts w:ascii="Times New Roman" w:hAnsi="Times New Roman"/>
          <w:color w:val="auto"/>
          <w:spacing w:val="0"/>
          <w:sz w:val="24"/>
          <w:szCs w:val="24"/>
          <w:lang w:eastAsia="en-ZA"/>
        </w:rPr>
        <w:t xml:space="preserve"> August</w:t>
      </w:r>
      <w:r w:rsidRPr="002004FB">
        <w:rPr>
          <w:rFonts w:ascii="Times New Roman" w:hAnsi="Times New Roman"/>
          <w:color w:val="auto"/>
          <w:spacing w:val="0"/>
          <w:sz w:val="24"/>
          <w:szCs w:val="24"/>
          <w:lang w:eastAsia="en-ZA"/>
        </w:rPr>
        <w:t xml:space="preserve"> 2021 local government elections, the </w:t>
      </w:r>
      <w:r>
        <w:rPr>
          <w:rFonts w:ascii="Times New Roman" w:hAnsi="Times New Roman"/>
          <w:color w:val="auto"/>
          <w:spacing w:val="0"/>
          <w:sz w:val="24"/>
          <w:szCs w:val="24"/>
          <w:lang w:eastAsia="en-ZA"/>
        </w:rPr>
        <w:t xml:space="preserve">IEC </w:t>
      </w:r>
      <w:r w:rsidRPr="002004FB">
        <w:rPr>
          <w:rFonts w:ascii="Times New Roman" w:hAnsi="Times New Roman"/>
          <w:color w:val="auto"/>
          <w:spacing w:val="0"/>
          <w:sz w:val="24"/>
          <w:szCs w:val="24"/>
          <w:lang w:eastAsia="en-ZA"/>
        </w:rPr>
        <w:t>will conduct</w:t>
      </w:r>
      <w:r>
        <w:rPr>
          <w:rFonts w:ascii="Times New Roman" w:hAnsi="Times New Roman"/>
          <w:color w:val="auto"/>
          <w:spacing w:val="0"/>
          <w:sz w:val="24"/>
          <w:szCs w:val="24"/>
          <w:lang w:eastAsia="en-ZA"/>
        </w:rPr>
        <w:t xml:space="preserve"> two</w:t>
      </w:r>
      <w:r w:rsidRPr="002004FB">
        <w:rPr>
          <w:rFonts w:ascii="Times New Roman" w:hAnsi="Times New Roman"/>
          <w:color w:val="auto"/>
          <w:spacing w:val="0"/>
          <w:sz w:val="24"/>
          <w:szCs w:val="24"/>
          <w:lang w:eastAsia="en-ZA"/>
        </w:rPr>
        <w:t xml:space="preserve"> registration weekends aimed at increasing the number of voters, particularly young people between the ages of 18 and 25. R295 million additional funding has been allocated in 2020/21 for this purpose. </w:t>
      </w:r>
      <w:r>
        <w:rPr>
          <w:rFonts w:ascii="Times New Roman" w:hAnsi="Times New Roman"/>
          <w:color w:val="auto"/>
          <w:spacing w:val="0"/>
          <w:sz w:val="24"/>
          <w:szCs w:val="24"/>
          <w:lang w:eastAsia="en-ZA"/>
        </w:rPr>
        <w:t>This includes c</w:t>
      </w:r>
      <w:r w:rsidRPr="002004FB">
        <w:rPr>
          <w:rFonts w:ascii="Times New Roman" w:hAnsi="Times New Roman"/>
          <w:color w:val="auto"/>
          <w:spacing w:val="0"/>
          <w:sz w:val="24"/>
          <w:szCs w:val="24"/>
          <w:lang w:eastAsia="en-ZA"/>
        </w:rPr>
        <w:t xml:space="preserve">ompensation of about 488 000 permanent, fixed-term and temporary electoral employees to work on election days at an estimated 23 000 voting stations during the main electoral events. About 68 000 of these employees are to be compensated for registration activities as well. This allocation is expected to enable commission to improve the quality of training it provides through its </w:t>
      </w:r>
      <w:r w:rsidRPr="002004FB">
        <w:rPr>
          <w:rFonts w:ascii="Times New Roman" w:hAnsi="Times New Roman"/>
          <w:i/>
          <w:iCs/>
          <w:color w:val="auto"/>
          <w:spacing w:val="0"/>
          <w:sz w:val="24"/>
          <w:szCs w:val="24"/>
          <w:lang w:eastAsia="en-ZA"/>
        </w:rPr>
        <w:t xml:space="preserve">Electoral operations </w:t>
      </w:r>
      <w:r w:rsidRPr="002004FB">
        <w:rPr>
          <w:rFonts w:ascii="Times New Roman" w:hAnsi="Times New Roman"/>
          <w:color w:val="auto"/>
          <w:spacing w:val="0"/>
          <w:sz w:val="24"/>
          <w:szCs w:val="24"/>
          <w:lang w:eastAsia="en-ZA"/>
        </w:rPr>
        <w:t xml:space="preserve">programme by increasing the number of training days for electoral staff from 2 to 3. Spending on the compensation of employees is expected to increase at an average annual rate of 5.4 per cent, from R780.4 million in 2018/19 to R913.5 million in 2021/22. </w:t>
      </w:r>
    </w:p>
    <w:p w14:paraId="7C660729" w14:textId="77777777" w:rsidR="002004FB" w:rsidRDefault="002004FB" w:rsidP="002004FB">
      <w:pPr>
        <w:spacing w:line="360" w:lineRule="auto"/>
        <w:jc w:val="both"/>
        <w:rPr>
          <w:rFonts w:ascii="Times New Roman" w:hAnsi="Times New Roman"/>
          <w:color w:val="auto"/>
          <w:spacing w:val="0"/>
          <w:sz w:val="24"/>
          <w:szCs w:val="24"/>
          <w:lang w:eastAsia="en-ZA"/>
        </w:rPr>
      </w:pPr>
    </w:p>
    <w:p w14:paraId="712DA408" w14:textId="77777777" w:rsidR="002004FB" w:rsidRDefault="002004FB" w:rsidP="002004FB">
      <w:pPr>
        <w:spacing w:line="360" w:lineRule="auto"/>
        <w:jc w:val="both"/>
        <w:rPr>
          <w:rFonts w:ascii="Times New Roman" w:hAnsi="Times New Roman"/>
          <w:color w:val="auto"/>
          <w:spacing w:val="0"/>
          <w:sz w:val="24"/>
          <w:szCs w:val="24"/>
          <w:lang w:eastAsia="en-ZA"/>
        </w:rPr>
      </w:pPr>
      <w:r w:rsidRPr="002004FB">
        <w:rPr>
          <w:rFonts w:ascii="Times New Roman" w:hAnsi="Times New Roman"/>
          <w:color w:val="auto"/>
          <w:spacing w:val="0"/>
          <w:sz w:val="24"/>
          <w:szCs w:val="24"/>
          <w:lang w:eastAsia="en-ZA"/>
        </w:rPr>
        <w:t>The commission undertakes extensive civic and democracy education and communication campaigns to protect the credibility and integrity of electoral processes. Through these campaigns, the commission keeps the electorate informed and aims to attain high</w:t>
      </w:r>
      <w:r>
        <w:rPr>
          <w:rFonts w:ascii="Times New Roman" w:hAnsi="Times New Roman"/>
          <w:color w:val="auto"/>
          <w:spacing w:val="0"/>
          <w:sz w:val="24"/>
          <w:szCs w:val="24"/>
          <w:lang w:eastAsia="en-ZA"/>
        </w:rPr>
        <w:t>er</w:t>
      </w:r>
      <w:r w:rsidRPr="002004FB">
        <w:rPr>
          <w:rFonts w:ascii="Times New Roman" w:hAnsi="Times New Roman"/>
          <w:color w:val="auto"/>
          <w:spacing w:val="0"/>
          <w:sz w:val="24"/>
          <w:szCs w:val="24"/>
          <w:lang w:eastAsia="en-ZA"/>
        </w:rPr>
        <w:t xml:space="preserve"> voter turnouts on election days. For these campaigns, R655.7 million over the MTEF period has been allocated in the </w:t>
      </w:r>
      <w:r w:rsidRPr="002004FB">
        <w:rPr>
          <w:rFonts w:ascii="Times New Roman" w:hAnsi="Times New Roman"/>
          <w:i/>
          <w:iCs/>
          <w:color w:val="auto"/>
          <w:spacing w:val="0"/>
          <w:sz w:val="24"/>
          <w:szCs w:val="24"/>
          <w:lang w:eastAsia="en-ZA"/>
        </w:rPr>
        <w:t xml:space="preserve">Outreach </w:t>
      </w:r>
      <w:r w:rsidRPr="002004FB">
        <w:rPr>
          <w:rFonts w:ascii="Times New Roman" w:hAnsi="Times New Roman"/>
          <w:color w:val="auto"/>
          <w:spacing w:val="0"/>
          <w:sz w:val="24"/>
          <w:szCs w:val="24"/>
          <w:lang w:eastAsia="en-ZA"/>
        </w:rPr>
        <w:t xml:space="preserve">programme. </w:t>
      </w:r>
    </w:p>
    <w:p w14:paraId="7EFAB5B9" w14:textId="77777777" w:rsidR="002004FB" w:rsidRDefault="002004FB" w:rsidP="002004FB">
      <w:pPr>
        <w:spacing w:line="360" w:lineRule="auto"/>
        <w:jc w:val="both"/>
        <w:rPr>
          <w:rFonts w:ascii="Times New Roman" w:hAnsi="Times New Roman"/>
          <w:color w:val="auto"/>
          <w:spacing w:val="0"/>
          <w:sz w:val="24"/>
          <w:szCs w:val="24"/>
          <w:lang w:eastAsia="en-ZA"/>
        </w:rPr>
      </w:pPr>
    </w:p>
    <w:p w14:paraId="731A6CEB" w14:textId="77777777" w:rsidR="00983E98" w:rsidRDefault="002004FB" w:rsidP="002004FB">
      <w:pPr>
        <w:spacing w:line="360" w:lineRule="auto"/>
        <w:jc w:val="both"/>
        <w:rPr>
          <w:rFonts w:ascii="Times New Roman" w:hAnsi="Times New Roman"/>
          <w:color w:val="auto"/>
          <w:spacing w:val="0"/>
          <w:sz w:val="24"/>
          <w:szCs w:val="24"/>
          <w:lang w:eastAsia="en-ZA"/>
        </w:rPr>
      </w:pPr>
      <w:r>
        <w:rPr>
          <w:rFonts w:ascii="Times New Roman" w:hAnsi="Times New Roman"/>
          <w:color w:val="auto"/>
          <w:spacing w:val="0"/>
          <w:sz w:val="24"/>
          <w:szCs w:val="24"/>
          <w:lang w:eastAsia="en-ZA"/>
        </w:rPr>
        <w:t>Transfers to the IEC include</w:t>
      </w:r>
      <w:r w:rsidRPr="002004FB">
        <w:rPr>
          <w:rFonts w:ascii="Times New Roman" w:hAnsi="Times New Roman"/>
          <w:color w:val="auto"/>
          <w:spacing w:val="0"/>
          <w:sz w:val="24"/>
          <w:szCs w:val="24"/>
          <w:lang w:eastAsia="en-ZA"/>
        </w:rPr>
        <w:t xml:space="preserve"> an additional R72.1 million allocated over the MTEF period to fund a new unit to administer the Political Party Funding Bill to regulate private funding to political parties, which is expected to be </w:t>
      </w:r>
      <w:r w:rsidR="00983E98">
        <w:rPr>
          <w:rFonts w:ascii="Times New Roman" w:hAnsi="Times New Roman"/>
          <w:color w:val="auto"/>
          <w:spacing w:val="0"/>
          <w:sz w:val="24"/>
          <w:szCs w:val="24"/>
          <w:lang w:eastAsia="en-ZA"/>
        </w:rPr>
        <w:t>finalised in 2019/20</w:t>
      </w:r>
      <w:r w:rsidRPr="002004FB">
        <w:rPr>
          <w:rFonts w:ascii="Times New Roman" w:hAnsi="Times New Roman"/>
          <w:color w:val="auto"/>
          <w:spacing w:val="0"/>
          <w:sz w:val="24"/>
          <w:szCs w:val="24"/>
          <w:lang w:eastAsia="en-ZA"/>
        </w:rPr>
        <w:t xml:space="preserve">. </w:t>
      </w:r>
    </w:p>
    <w:p w14:paraId="57D1772B" w14:textId="77777777" w:rsidR="00983E98" w:rsidRDefault="00983E98" w:rsidP="002004FB">
      <w:pPr>
        <w:spacing w:line="360" w:lineRule="auto"/>
        <w:jc w:val="both"/>
        <w:rPr>
          <w:rFonts w:ascii="Times New Roman" w:hAnsi="Times New Roman"/>
          <w:color w:val="auto"/>
          <w:spacing w:val="0"/>
          <w:sz w:val="24"/>
          <w:szCs w:val="24"/>
          <w:lang w:eastAsia="en-ZA"/>
        </w:rPr>
      </w:pPr>
    </w:p>
    <w:p w14:paraId="19D599F2" w14:textId="77777777" w:rsidR="002004FB" w:rsidRDefault="00983E98" w:rsidP="002004FB">
      <w:pPr>
        <w:spacing w:line="360" w:lineRule="auto"/>
        <w:jc w:val="both"/>
        <w:rPr>
          <w:rFonts w:ascii="Times New Roman" w:hAnsi="Times New Roman"/>
          <w:color w:val="auto"/>
          <w:spacing w:val="0"/>
          <w:sz w:val="24"/>
          <w:szCs w:val="24"/>
          <w:lang w:eastAsia="en-ZA"/>
        </w:rPr>
      </w:pPr>
      <w:r>
        <w:rPr>
          <w:rFonts w:ascii="Times New Roman" w:hAnsi="Times New Roman"/>
          <w:color w:val="auto"/>
          <w:spacing w:val="0"/>
          <w:sz w:val="24"/>
          <w:szCs w:val="24"/>
          <w:lang w:eastAsia="en-ZA"/>
        </w:rPr>
        <w:t xml:space="preserve">The commission </w:t>
      </w:r>
      <w:r w:rsidR="002004FB" w:rsidRPr="002004FB">
        <w:rPr>
          <w:rFonts w:ascii="Times New Roman" w:hAnsi="Times New Roman"/>
          <w:color w:val="auto"/>
          <w:spacing w:val="0"/>
          <w:sz w:val="24"/>
          <w:szCs w:val="24"/>
          <w:lang w:eastAsia="en-ZA"/>
        </w:rPr>
        <w:t>expects to generate R15 million per year over the MTEF period though the sale of goods and services, and interest on investments.</w:t>
      </w:r>
    </w:p>
    <w:p w14:paraId="327F8CEA" w14:textId="77777777" w:rsidR="00983E98" w:rsidRPr="002004FB" w:rsidRDefault="00983E98" w:rsidP="002004FB">
      <w:pPr>
        <w:spacing w:line="360" w:lineRule="auto"/>
        <w:jc w:val="both"/>
        <w:rPr>
          <w:rFonts w:ascii="Times New Roman" w:hAnsi="Times New Roman"/>
          <w:sz w:val="24"/>
          <w:szCs w:val="24"/>
        </w:rPr>
      </w:pPr>
    </w:p>
    <w:tbl>
      <w:tblPr>
        <w:tblW w:w="9022" w:type="dxa"/>
        <w:tblCellMar>
          <w:left w:w="0" w:type="dxa"/>
          <w:right w:w="0" w:type="dxa"/>
        </w:tblCellMar>
        <w:tblLook w:val="04A0" w:firstRow="1" w:lastRow="0" w:firstColumn="1" w:lastColumn="0" w:noHBand="0" w:noVBand="1"/>
      </w:tblPr>
      <w:tblGrid>
        <w:gridCol w:w="1970"/>
        <w:gridCol w:w="966"/>
        <w:gridCol w:w="966"/>
        <w:gridCol w:w="966"/>
        <w:gridCol w:w="1263"/>
        <w:gridCol w:w="959"/>
        <w:gridCol w:w="966"/>
        <w:gridCol w:w="966"/>
      </w:tblGrid>
      <w:tr w:rsidR="00A27F8D" w:rsidRPr="00E914DB" w14:paraId="134E3215" w14:textId="77777777" w:rsidTr="00A27F8D">
        <w:trPr>
          <w:trHeight w:val="275"/>
        </w:trPr>
        <w:tc>
          <w:tcPr>
            <w:tcW w:w="2133"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24DC918"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Sub-programmes (R'000)</w:t>
            </w:r>
          </w:p>
        </w:tc>
        <w:tc>
          <w:tcPr>
            <w:tcW w:w="290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D28809F"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Audited Outcome</w:t>
            </w:r>
          </w:p>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5DB4AF8"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Unaudited</w:t>
            </w:r>
          </w:p>
        </w:tc>
        <w:tc>
          <w:tcPr>
            <w:tcW w:w="2653"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8D80BEB"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2019 MTEF</w:t>
            </w:r>
          </w:p>
        </w:tc>
      </w:tr>
      <w:tr w:rsidR="00E914DB" w:rsidRPr="00E914DB" w14:paraId="068C3E61" w14:textId="77777777" w:rsidTr="00A27F8D">
        <w:trPr>
          <w:trHeight w:val="275"/>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E3FEE9" w14:textId="77777777" w:rsidR="00E914DB" w:rsidRPr="00E914DB" w:rsidRDefault="00E914DB" w:rsidP="00E914DB">
            <w:pPr>
              <w:spacing w:line="360" w:lineRule="auto"/>
              <w:jc w:val="both"/>
              <w:rPr>
                <w:rFonts w:ascii="Times New Roman" w:hAnsi="Times New Roman"/>
                <w:sz w:val="22"/>
                <w:szCs w:val="22"/>
              </w:rPr>
            </w:pP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AB6FBB8"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2015/16</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8E3C232"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2016/17</w:t>
            </w:r>
          </w:p>
        </w:tc>
        <w:tc>
          <w:tcPr>
            <w:tcW w:w="96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49DD7D9"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2017/18</w:t>
            </w:r>
          </w:p>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66E77F3"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2018/19</w:t>
            </w: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6FC7021"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2019/20</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D668D6F"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2020/21</w:t>
            </w:r>
          </w:p>
        </w:tc>
        <w:tc>
          <w:tcPr>
            <w:tcW w:w="96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24CC771"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2021/22</w:t>
            </w:r>
          </w:p>
        </w:tc>
      </w:tr>
      <w:tr w:rsidR="00E914DB" w:rsidRPr="00E914DB" w14:paraId="7B115B0F" w14:textId="77777777" w:rsidTr="00A27F8D">
        <w:trPr>
          <w:trHeight w:val="488"/>
        </w:trPr>
        <w:tc>
          <w:tcPr>
            <w:tcW w:w="213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D41BA52" w14:textId="77777777" w:rsidR="00E914DB" w:rsidRPr="00E914DB" w:rsidRDefault="00E914DB" w:rsidP="00E914DB">
            <w:pPr>
              <w:spacing w:line="360" w:lineRule="auto"/>
              <w:rPr>
                <w:rFonts w:ascii="Times New Roman" w:hAnsi="Times New Roman"/>
                <w:sz w:val="22"/>
                <w:szCs w:val="22"/>
              </w:rPr>
            </w:pPr>
            <w:r w:rsidRPr="00E914DB">
              <w:rPr>
                <w:rFonts w:ascii="Times New Roman" w:hAnsi="Times New Roman"/>
                <w:b/>
                <w:bCs/>
                <w:sz w:val="22"/>
                <w:szCs w:val="22"/>
              </w:rPr>
              <w:t>Programme 1: administration</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D95C6A2"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496,057</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5F235CE"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597,820</w:t>
            </w:r>
          </w:p>
        </w:tc>
        <w:tc>
          <w:tcPr>
            <w:tcW w:w="96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806EA8A"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537,463</w:t>
            </w:r>
          </w:p>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C608DA5"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618,832</w:t>
            </w: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F26C0CB"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714,136</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CBEFB05"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698,206</w:t>
            </w:r>
          </w:p>
        </w:tc>
        <w:tc>
          <w:tcPr>
            <w:tcW w:w="96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5B0CF66"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795,910</w:t>
            </w:r>
          </w:p>
        </w:tc>
      </w:tr>
      <w:tr w:rsidR="00E914DB" w:rsidRPr="00E914DB" w14:paraId="1F7A074C" w14:textId="77777777" w:rsidTr="00A27F8D">
        <w:trPr>
          <w:trHeight w:val="622"/>
        </w:trPr>
        <w:tc>
          <w:tcPr>
            <w:tcW w:w="213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3DF5AF0" w14:textId="77777777" w:rsidR="00E914DB" w:rsidRPr="00E914DB" w:rsidRDefault="00E914DB" w:rsidP="00E914DB">
            <w:pPr>
              <w:spacing w:line="360" w:lineRule="auto"/>
              <w:rPr>
                <w:rFonts w:ascii="Times New Roman" w:hAnsi="Times New Roman"/>
                <w:sz w:val="22"/>
                <w:szCs w:val="22"/>
              </w:rPr>
            </w:pPr>
            <w:r w:rsidRPr="00E914DB">
              <w:rPr>
                <w:rFonts w:ascii="Times New Roman" w:hAnsi="Times New Roman"/>
                <w:b/>
                <w:bCs/>
                <w:sz w:val="22"/>
                <w:szCs w:val="22"/>
              </w:rPr>
              <w:t>Programme 2: electoral operations</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AB09935"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664,188</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3F24EEF"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1,205,108</w:t>
            </w:r>
          </w:p>
        </w:tc>
        <w:tc>
          <w:tcPr>
            <w:tcW w:w="96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1CB0801"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649,697</w:t>
            </w:r>
          </w:p>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4FEFEC2"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1,099,951</w:t>
            </w: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5801DA3"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1,154,647</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EFDC2CA"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1,042,041</w:t>
            </w:r>
          </w:p>
        </w:tc>
        <w:tc>
          <w:tcPr>
            <w:tcW w:w="96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826B1A7"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1,432,979</w:t>
            </w:r>
          </w:p>
        </w:tc>
      </w:tr>
      <w:tr w:rsidR="00E914DB" w:rsidRPr="00E914DB" w14:paraId="36A13A10" w14:textId="77777777" w:rsidTr="00A27F8D">
        <w:trPr>
          <w:trHeight w:val="418"/>
        </w:trPr>
        <w:tc>
          <w:tcPr>
            <w:tcW w:w="213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776A7DB" w14:textId="77777777" w:rsidR="00E914DB" w:rsidRPr="00E914DB" w:rsidRDefault="00E914DB" w:rsidP="00E914DB">
            <w:pPr>
              <w:spacing w:line="360" w:lineRule="auto"/>
              <w:rPr>
                <w:rFonts w:ascii="Times New Roman" w:hAnsi="Times New Roman"/>
                <w:sz w:val="22"/>
                <w:szCs w:val="22"/>
              </w:rPr>
            </w:pPr>
            <w:r w:rsidRPr="00E914DB">
              <w:rPr>
                <w:rFonts w:ascii="Times New Roman" w:hAnsi="Times New Roman"/>
                <w:b/>
                <w:bCs/>
                <w:sz w:val="22"/>
                <w:szCs w:val="22"/>
              </w:rPr>
              <w:t>Programme 3: outreach</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E124DB6"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255,029</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F3BE7BA"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214,931</w:t>
            </w:r>
          </w:p>
        </w:tc>
        <w:tc>
          <w:tcPr>
            <w:tcW w:w="96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835B5A4"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108,644</w:t>
            </w:r>
          </w:p>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F864425"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244,301</w:t>
            </w: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CF12B0B"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183,402</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B0CF22E"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271,581</w:t>
            </w:r>
          </w:p>
        </w:tc>
        <w:tc>
          <w:tcPr>
            <w:tcW w:w="96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AB3967E"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sz w:val="22"/>
                <w:szCs w:val="22"/>
              </w:rPr>
              <w:t>200,704</w:t>
            </w:r>
          </w:p>
        </w:tc>
      </w:tr>
      <w:tr w:rsidR="00E914DB" w:rsidRPr="00E914DB" w14:paraId="10B838EF" w14:textId="77777777" w:rsidTr="00A27F8D">
        <w:trPr>
          <w:trHeight w:val="275"/>
        </w:trPr>
        <w:tc>
          <w:tcPr>
            <w:tcW w:w="213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23D4CEE"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TOTAL</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4BD2D7C"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1,415,274</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886E4E2"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2,017,859</w:t>
            </w:r>
          </w:p>
        </w:tc>
        <w:tc>
          <w:tcPr>
            <w:tcW w:w="96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A078F16"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1,295,804</w:t>
            </w:r>
          </w:p>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F0928CB"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1,963,084</w:t>
            </w: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D6EB980"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2,052,185</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BCF67D3"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2,011,828</w:t>
            </w:r>
          </w:p>
        </w:tc>
        <w:tc>
          <w:tcPr>
            <w:tcW w:w="96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ECEDB19" w14:textId="77777777" w:rsidR="00E914DB" w:rsidRPr="00E914DB" w:rsidRDefault="00E914DB" w:rsidP="00E914DB">
            <w:pPr>
              <w:spacing w:line="360" w:lineRule="auto"/>
              <w:jc w:val="both"/>
              <w:rPr>
                <w:rFonts w:ascii="Times New Roman" w:hAnsi="Times New Roman"/>
                <w:sz w:val="22"/>
                <w:szCs w:val="22"/>
              </w:rPr>
            </w:pPr>
            <w:r w:rsidRPr="00E914DB">
              <w:rPr>
                <w:rFonts w:ascii="Times New Roman" w:hAnsi="Times New Roman"/>
                <w:b/>
                <w:bCs/>
                <w:sz w:val="22"/>
                <w:szCs w:val="22"/>
              </w:rPr>
              <w:t>2,429,593</w:t>
            </w:r>
          </w:p>
        </w:tc>
      </w:tr>
    </w:tbl>
    <w:p w14:paraId="066CDD34" w14:textId="77777777" w:rsidR="001E5FEB" w:rsidRPr="00A33469" w:rsidRDefault="00983E98" w:rsidP="00A33469">
      <w:pPr>
        <w:spacing w:line="360" w:lineRule="auto"/>
        <w:jc w:val="both"/>
        <w:rPr>
          <w:rFonts w:ascii="Times New Roman" w:hAnsi="Times New Roman"/>
          <w:sz w:val="24"/>
          <w:szCs w:val="24"/>
        </w:rPr>
      </w:pPr>
      <w:r>
        <w:rPr>
          <w:rFonts w:ascii="Times New Roman" w:hAnsi="Times New Roman"/>
          <w:sz w:val="24"/>
          <w:szCs w:val="24"/>
        </w:rPr>
        <w:t xml:space="preserve">  </w:t>
      </w:r>
    </w:p>
    <w:p w14:paraId="196EC618" w14:textId="77777777" w:rsidR="00A43239" w:rsidRPr="00C56099" w:rsidRDefault="00A43239" w:rsidP="001754B7">
      <w:pPr>
        <w:pStyle w:val="ListParagraph"/>
        <w:numPr>
          <w:ilvl w:val="0"/>
          <w:numId w:val="6"/>
        </w:numPr>
        <w:spacing w:line="360" w:lineRule="auto"/>
        <w:ind w:left="284" w:hanging="284"/>
        <w:jc w:val="both"/>
        <w:rPr>
          <w:rFonts w:ascii="Times New Roman" w:hAnsi="Times New Roman"/>
          <w:b/>
          <w:sz w:val="28"/>
          <w:szCs w:val="28"/>
        </w:rPr>
      </w:pPr>
      <w:r w:rsidRPr="00C56099">
        <w:rPr>
          <w:rFonts w:ascii="Times New Roman" w:hAnsi="Times New Roman"/>
          <w:b/>
          <w:sz w:val="28"/>
          <w:szCs w:val="28"/>
        </w:rPr>
        <w:t>The Government Printing Works (GPW)</w:t>
      </w:r>
    </w:p>
    <w:p w14:paraId="49B25505" w14:textId="77777777" w:rsidR="00A6541E" w:rsidRPr="00C56099" w:rsidRDefault="00E914DB" w:rsidP="00A33469">
      <w:pPr>
        <w:spacing w:line="360" w:lineRule="auto"/>
        <w:jc w:val="both"/>
        <w:rPr>
          <w:rFonts w:ascii="Times New Roman" w:hAnsi="Times New Roman"/>
          <w:sz w:val="28"/>
          <w:szCs w:val="28"/>
        </w:rPr>
      </w:pPr>
      <w:r w:rsidRPr="00C56099">
        <w:rPr>
          <w:rFonts w:ascii="Times New Roman" w:hAnsi="Times New Roman"/>
          <w:b/>
          <w:sz w:val="28"/>
          <w:szCs w:val="28"/>
        </w:rPr>
        <w:t>3</w:t>
      </w:r>
      <w:r w:rsidR="00A6541E" w:rsidRPr="00C56099">
        <w:rPr>
          <w:rFonts w:ascii="Times New Roman" w:hAnsi="Times New Roman"/>
          <w:b/>
          <w:sz w:val="28"/>
          <w:szCs w:val="28"/>
        </w:rPr>
        <w:t>.1 Annual Performance Plan</w:t>
      </w:r>
      <w:r w:rsidR="00A6541E" w:rsidRPr="00C56099">
        <w:rPr>
          <w:rFonts w:ascii="Times New Roman" w:hAnsi="Times New Roman"/>
          <w:sz w:val="28"/>
          <w:szCs w:val="28"/>
        </w:rPr>
        <w:t xml:space="preserve"> </w:t>
      </w:r>
    </w:p>
    <w:p w14:paraId="59747389" w14:textId="77777777" w:rsidR="005E0E3B" w:rsidRDefault="00E914DB" w:rsidP="00A27F8D">
      <w:pPr>
        <w:spacing w:line="360" w:lineRule="auto"/>
        <w:jc w:val="both"/>
        <w:rPr>
          <w:rFonts w:ascii="Times New Roman" w:hAnsi="Times New Roman"/>
          <w:sz w:val="24"/>
          <w:szCs w:val="24"/>
        </w:rPr>
      </w:pPr>
      <w:r>
        <w:rPr>
          <w:rFonts w:ascii="Times New Roman" w:hAnsi="Times New Roman"/>
          <w:sz w:val="24"/>
          <w:szCs w:val="24"/>
        </w:rPr>
        <w:t xml:space="preserve">The Acting CEO </w:t>
      </w:r>
      <w:r w:rsidR="005E0E3B" w:rsidRPr="00A33469">
        <w:rPr>
          <w:rFonts w:ascii="Times New Roman" w:hAnsi="Times New Roman"/>
          <w:sz w:val="24"/>
          <w:szCs w:val="24"/>
        </w:rPr>
        <w:t>made the presentation indicating the mission and vision of the GPW was still the same and that ICT is a critical element of GPW. GPW will procure eight new high tech pieces of equipment in the current</w:t>
      </w:r>
      <w:r>
        <w:rPr>
          <w:rFonts w:ascii="Times New Roman" w:hAnsi="Times New Roman"/>
          <w:sz w:val="24"/>
          <w:szCs w:val="24"/>
        </w:rPr>
        <w:t xml:space="preserve"> and next</w:t>
      </w:r>
      <w:r w:rsidR="005E0E3B" w:rsidRPr="00A33469">
        <w:rPr>
          <w:rFonts w:ascii="Times New Roman" w:hAnsi="Times New Roman"/>
          <w:sz w:val="24"/>
          <w:szCs w:val="24"/>
        </w:rPr>
        <w:t xml:space="preserve"> financial year. The GPW was also producing the Smart ID Cards in relation to client (</w:t>
      </w:r>
      <w:r w:rsidR="00D56642" w:rsidRPr="00A33469">
        <w:rPr>
          <w:rFonts w:ascii="Times New Roman" w:hAnsi="Times New Roman"/>
          <w:sz w:val="24"/>
          <w:szCs w:val="24"/>
        </w:rPr>
        <w:t>DHA</w:t>
      </w:r>
      <w:r w:rsidR="005E0E3B" w:rsidRPr="00A33469">
        <w:rPr>
          <w:rFonts w:ascii="Times New Roman" w:hAnsi="Times New Roman"/>
          <w:sz w:val="24"/>
          <w:szCs w:val="24"/>
        </w:rPr>
        <w:t>) specifications. Government Gazettes</w:t>
      </w:r>
      <w:r w:rsidR="00D56642" w:rsidRPr="00A33469">
        <w:rPr>
          <w:rFonts w:ascii="Times New Roman" w:hAnsi="Times New Roman"/>
          <w:sz w:val="24"/>
          <w:szCs w:val="24"/>
        </w:rPr>
        <w:t>,</w:t>
      </w:r>
      <w:r w:rsidR="005E0E3B" w:rsidRPr="00A33469">
        <w:rPr>
          <w:rFonts w:ascii="Times New Roman" w:hAnsi="Times New Roman"/>
          <w:sz w:val="24"/>
          <w:szCs w:val="24"/>
        </w:rPr>
        <w:t xml:space="preserve"> both digital and electronic</w:t>
      </w:r>
      <w:r w:rsidR="00D56642" w:rsidRPr="00A33469">
        <w:rPr>
          <w:rFonts w:ascii="Times New Roman" w:hAnsi="Times New Roman"/>
          <w:sz w:val="24"/>
          <w:szCs w:val="24"/>
        </w:rPr>
        <w:t>,</w:t>
      </w:r>
      <w:r w:rsidR="005E0E3B" w:rsidRPr="00A33469">
        <w:rPr>
          <w:rFonts w:ascii="Times New Roman" w:hAnsi="Times New Roman"/>
          <w:sz w:val="24"/>
          <w:szCs w:val="24"/>
        </w:rPr>
        <w:t xml:space="preserve"> are</w:t>
      </w:r>
      <w:r w:rsidR="00D56642" w:rsidRPr="00A33469">
        <w:rPr>
          <w:rFonts w:ascii="Times New Roman" w:hAnsi="Times New Roman"/>
          <w:sz w:val="24"/>
          <w:szCs w:val="24"/>
        </w:rPr>
        <w:t xml:space="preserve"> also still</w:t>
      </w:r>
      <w:r w:rsidR="005E0E3B" w:rsidRPr="00A33469">
        <w:rPr>
          <w:rFonts w:ascii="Times New Roman" w:hAnsi="Times New Roman"/>
          <w:sz w:val="24"/>
          <w:szCs w:val="24"/>
        </w:rPr>
        <w:t xml:space="preserve"> issued timeously.</w:t>
      </w:r>
    </w:p>
    <w:p w14:paraId="63813CFD" w14:textId="77777777" w:rsidR="00A27F8D" w:rsidRDefault="00A27F8D" w:rsidP="00A27F8D">
      <w:pPr>
        <w:spacing w:line="360" w:lineRule="auto"/>
        <w:jc w:val="both"/>
        <w:rPr>
          <w:rFonts w:ascii="Times New Roman" w:hAnsi="Times New Roman"/>
          <w:sz w:val="24"/>
          <w:szCs w:val="24"/>
          <w:lang w:val="en-GB"/>
        </w:rPr>
      </w:pPr>
    </w:p>
    <w:p w14:paraId="700D972A" w14:textId="77777777" w:rsidR="00DA6B62" w:rsidRPr="00DA6B62" w:rsidRDefault="00DA6B62" w:rsidP="00DA6B62">
      <w:pPr>
        <w:spacing w:line="360" w:lineRule="auto"/>
        <w:jc w:val="both"/>
        <w:rPr>
          <w:rFonts w:ascii="Times New Roman" w:hAnsi="Times New Roman"/>
          <w:sz w:val="24"/>
          <w:szCs w:val="24"/>
          <w:lang w:val="en-US"/>
        </w:rPr>
      </w:pPr>
      <w:r>
        <w:rPr>
          <w:rFonts w:ascii="Times New Roman" w:hAnsi="Times New Roman"/>
          <w:sz w:val="24"/>
          <w:szCs w:val="24"/>
          <w:lang w:val="en-GB"/>
        </w:rPr>
        <w:t>It is the mandate of the GPW</w:t>
      </w:r>
      <w:r w:rsidR="00A27F8D">
        <w:rPr>
          <w:rFonts w:ascii="Times New Roman" w:hAnsi="Times New Roman"/>
          <w:sz w:val="24"/>
          <w:szCs w:val="24"/>
          <w:lang w:val="en-GB"/>
        </w:rPr>
        <w:t xml:space="preserve"> t</w:t>
      </w:r>
      <w:r w:rsidR="00EE5B88" w:rsidRPr="00A27F8D">
        <w:rPr>
          <w:rFonts w:ascii="Times New Roman" w:hAnsi="Times New Roman"/>
          <w:sz w:val="24"/>
          <w:szCs w:val="24"/>
          <w:lang w:val="en-GB"/>
        </w:rPr>
        <w:t xml:space="preserve">o deliver security printing </w:t>
      </w:r>
      <w:r w:rsidR="00EE5B88" w:rsidRPr="00A27F8D">
        <w:rPr>
          <w:rFonts w:ascii="Times New Roman" w:hAnsi="Times New Roman"/>
          <w:sz w:val="24"/>
          <w:szCs w:val="24"/>
          <w:lang w:val="en-US"/>
        </w:rPr>
        <w:t>and related services to the</w:t>
      </w:r>
      <w:r>
        <w:rPr>
          <w:rFonts w:ascii="Times New Roman" w:hAnsi="Times New Roman"/>
          <w:sz w:val="24"/>
          <w:szCs w:val="24"/>
          <w:lang w:val="en-US"/>
        </w:rPr>
        <w:t xml:space="preserve">    Government of South Africa</w:t>
      </w:r>
      <w:r w:rsidR="00A27F8D">
        <w:rPr>
          <w:rFonts w:ascii="Times New Roman" w:hAnsi="Times New Roman"/>
          <w:sz w:val="24"/>
          <w:szCs w:val="24"/>
          <w:lang w:val="en-US"/>
        </w:rPr>
        <w:t>.</w:t>
      </w:r>
      <w:r>
        <w:rPr>
          <w:rFonts w:ascii="Times New Roman" w:hAnsi="Times New Roman"/>
          <w:sz w:val="24"/>
          <w:szCs w:val="24"/>
          <w:lang w:val="en-US"/>
        </w:rPr>
        <w:t xml:space="preserve"> </w:t>
      </w:r>
      <w:r w:rsidRPr="00DA6B62">
        <w:rPr>
          <w:rFonts w:ascii="Times New Roman" w:hAnsi="Times New Roman"/>
          <w:sz w:val="24"/>
          <w:szCs w:val="24"/>
          <w:lang w:val="en-US"/>
        </w:rPr>
        <w:t>On 9 October 2009, GPW became a Government Component reporting to the Minister of Home Affairs with oversight by the Parliamentary Portfolio Committee</w:t>
      </w:r>
      <w:r>
        <w:rPr>
          <w:rFonts w:ascii="Times New Roman" w:hAnsi="Times New Roman"/>
          <w:sz w:val="24"/>
          <w:szCs w:val="24"/>
          <w:lang w:val="en-US"/>
        </w:rPr>
        <w:t xml:space="preserve">. The </w:t>
      </w:r>
      <w:r w:rsidRPr="00DA6B62">
        <w:rPr>
          <w:rFonts w:ascii="Times New Roman" w:hAnsi="Times New Roman"/>
          <w:sz w:val="24"/>
          <w:szCs w:val="24"/>
        </w:rPr>
        <w:t>Core Services</w:t>
      </w:r>
      <w:r>
        <w:rPr>
          <w:rFonts w:ascii="Times New Roman" w:hAnsi="Times New Roman"/>
          <w:sz w:val="24"/>
          <w:szCs w:val="24"/>
        </w:rPr>
        <w:t xml:space="preserve"> of the GPW include:</w:t>
      </w:r>
    </w:p>
    <w:p w14:paraId="546D1D9E" w14:textId="77777777" w:rsidR="00EE5B88" w:rsidRPr="00DA6B62" w:rsidRDefault="00EE5B88" w:rsidP="001754B7">
      <w:pPr>
        <w:numPr>
          <w:ilvl w:val="0"/>
          <w:numId w:val="32"/>
        </w:numPr>
        <w:spacing w:line="360" w:lineRule="auto"/>
        <w:ind w:left="567" w:hanging="567"/>
        <w:jc w:val="both"/>
        <w:rPr>
          <w:rFonts w:ascii="Times New Roman" w:hAnsi="Times New Roman"/>
          <w:sz w:val="24"/>
          <w:szCs w:val="24"/>
        </w:rPr>
      </w:pPr>
      <w:r w:rsidRPr="00DA6B62">
        <w:rPr>
          <w:rFonts w:ascii="Times New Roman" w:hAnsi="Times New Roman"/>
          <w:sz w:val="24"/>
          <w:szCs w:val="24"/>
        </w:rPr>
        <w:t xml:space="preserve">Security Printing: </w:t>
      </w:r>
      <w:r w:rsidRPr="00DA6B62">
        <w:rPr>
          <w:rFonts w:ascii="Times New Roman" w:hAnsi="Times New Roman"/>
          <w:iCs/>
          <w:sz w:val="24"/>
          <w:szCs w:val="24"/>
        </w:rPr>
        <w:t>Conceptualisation, design and production of face-value documents (Passport, Identification Documents, Examination papers, Vehicle licensing/registration forms &amp; distribution to local authorities;</w:t>
      </w:r>
      <w:r w:rsidR="00DA6B62">
        <w:rPr>
          <w:rFonts w:ascii="Times New Roman" w:hAnsi="Times New Roman"/>
          <w:iCs/>
          <w:sz w:val="24"/>
          <w:szCs w:val="24"/>
        </w:rPr>
        <w:t xml:space="preserve"> </w:t>
      </w:r>
      <w:r w:rsidRPr="00DA6B62">
        <w:rPr>
          <w:rFonts w:ascii="Times New Roman" w:hAnsi="Times New Roman"/>
          <w:iCs/>
          <w:sz w:val="24"/>
          <w:szCs w:val="24"/>
        </w:rPr>
        <w:t>Road Traffic Infringement blank documents; Firearm licenses; etc.</w:t>
      </w:r>
    </w:p>
    <w:p w14:paraId="79161DDF" w14:textId="77777777" w:rsidR="00DA6B62" w:rsidRPr="00DA6B62" w:rsidRDefault="00EE5B88" w:rsidP="001754B7">
      <w:pPr>
        <w:numPr>
          <w:ilvl w:val="0"/>
          <w:numId w:val="32"/>
        </w:numPr>
        <w:spacing w:line="360" w:lineRule="auto"/>
        <w:ind w:left="567" w:hanging="567"/>
        <w:jc w:val="both"/>
        <w:rPr>
          <w:rFonts w:ascii="Times New Roman" w:hAnsi="Times New Roman"/>
          <w:sz w:val="24"/>
          <w:szCs w:val="24"/>
        </w:rPr>
      </w:pPr>
      <w:r w:rsidRPr="00DA6B62">
        <w:rPr>
          <w:rFonts w:ascii="Times New Roman" w:hAnsi="Times New Roman"/>
          <w:sz w:val="24"/>
          <w:szCs w:val="24"/>
        </w:rPr>
        <w:t xml:space="preserve">Non-Security Printing: </w:t>
      </w:r>
      <w:r w:rsidRPr="00DA6B62">
        <w:rPr>
          <w:rFonts w:ascii="Times New Roman" w:hAnsi="Times New Roman"/>
          <w:iCs/>
          <w:sz w:val="24"/>
          <w:szCs w:val="24"/>
        </w:rPr>
        <w:t>Layout, design and production of government official stationery and related documents (police case dockets, hospital registers, Annual Reports, Brochures, Posters, Information Pamphlets, etc</w:t>
      </w:r>
      <w:r w:rsidR="00285CBC">
        <w:rPr>
          <w:rFonts w:ascii="Times New Roman" w:hAnsi="Times New Roman"/>
          <w:sz w:val="24"/>
          <w:szCs w:val="24"/>
        </w:rPr>
        <w:t>.</w:t>
      </w:r>
    </w:p>
    <w:p w14:paraId="6084EE4B" w14:textId="77777777" w:rsidR="00DA6B62" w:rsidRPr="00DA6B62" w:rsidRDefault="00DA6B62" w:rsidP="001754B7">
      <w:pPr>
        <w:numPr>
          <w:ilvl w:val="0"/>
          <w:numId w:val="32"/>
        </w:numPr>
        <w:spacing w:line="360" w:lineRule="auto"/>
        <w:ind w:left="567" w:hanging="567"/>
        <w:jc w:val="both"/>
        <w:rPr>
          <w:rFonts w:ascii="Times New Roman" w:hAnsi="Times New Roman"/>
          <w:sz w:val="24"/>
          <w:szCs w:val="24"/>
        </w:rPr>
      </w:pPr>
      <w:r w:rsidRPr="00DA6B62">
        <w:rPr>
          <w:rFonts w:ascii="Times New Roman" w:hAnsi="Times New Roman"/>
          <w:sz w:val="24"/>
          <w:szCs w:val="24"/>
        </w:rPr>
        <w:t xml:space="preserve">Gazette Publication Services: </w:t>
      </w:r>
      <w:r w:rsidRPr="00DA6B62">
        <w:rPr>
          <w:rFonts w:ascii="Times New Roman" w:hAnsi="Times New Roman"/>
          <w:iCs/>
          <w:sz w:val="24"/>
          <w:szCs w:val="24"/>
        </w:rPr>
        <w:t>The administration and publishing of official government notices in the Government Gazette</w:t>
      </w:r>
    </w:p>
    <w:p w14:paraId="66B69DDE" w14:textId="77777777" w:rsidR="00A27F8D" w:rsidRPr="00A27F8D" w:rsidRDefault="00A27F8D" w:rsidP="00A27F8D">
      <w:pPr>
        <w:spacing w:line="360" w:lineRule="auto"/>
        <w:jc w:val="both"/>
        <w:rPr>
          <w:rFonts w:ascii="Times New Roman" w:hAnsi="Times New Roman"/>
          <w:sz w:val="24"/>
          <w:szCs w:val="24"/>
        </w:rPr>
      </w:pPr>
    </w:p>
    <w:p w14:paraId="06D339B3" w14:textId="77777777" w:rsidR="00DA6B62" w:rsidRDefault="00DA6B62" w:rsidP="00A33469">
      <w:pPr>
        <w:spacing w:line="360" w:lineRule="auto"/>
        <w:jc w:val="both"/>
        <w:rPr>
          <w:rFonts w:ascii="Times New Roman" w:hAnsi="Times New Roman"/>
          <w:sz w:val="24"/>
          <w:szCs w:val="24"/>
        </w:rPr>
      </w:pPr>
      <w:r w:rsidRPr="00DA6B62">
        <w:rPr>
          <w:rFonts w:ascii="Times New Roman" w:hAnsi="Times New Roman"/>
          <w:sz w:val="24"/>
          <w:szCs w:val="24"/>
        </w:rPr>
        <w:t>GPW retains the three overall strategic outcome oriented goals as follows</w:t>
      </w:r>
      <w:r>
        <w:rPr>
          <w:rFonts w:ascii="Times New Roman" w:hAnsi="Times New Roman"/>
          <w:sz w:val="24"/>
          <w:szCs w:val="24"/>
        </w:rPr>
        <w:t xml:space="preserve">: </w:t>
      </w:r>
    </w:p>
    <w:tbl>
      <w:tblPr>
        <w:tblW w:w="9070" w:type="dxa"/>
        <w:tblCellMar>
          <w:left w:w="0" w:type="dxa"/>
          <w:right w:w="0" w:type="dxa"/>
        </w:tblCellMar>
        <w:tblLook w:val="0600" w:firstRow="0" w:lastRow="0" w:firstColumn="0" w:lastColumn="0" w:noHBand="1" w:noVBand="1"/>
      </w:tblPr>
      <w:tblGrid>
        <w:gridCol w:w="2775"/>
        <w:gridCol w:w="6295"/>
      </w:tblGrid>
      <w:tr w:rsidR="00DA6B62" w:rsidRPr="00DA6B62" w14:paraId="789DCA50" w14:textId="77777777" w:rsidTr="00DA6B62">
        <w:trPr>
          <w:trHeight w:val="712"/>
        </w:trPr>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14:paraId="705938A7" w14:textId="77777777" w:rsidR="00DA6B62" w:rsidRPr="00DA6B62" w:rsidRDefault="00DA6B62" w:rsidP="002064C3">
            <w:pPr>
              <w:spacing w:line="360" w:lineRule="auto"/>
              <w:rPr>
                <w:rFonts w:ascii="Times New Roman" w:hAnsi="Times New Roman"/>
                <w:sz w:val="24"/>
                <w:szCs w:val="24"/>
              </w:rPr>
            </w:pPr>
            <w:r w:rsidRPr="00DA6B62">
              <w:rPr>
                <w:rFonts w:ascii="Times New Roman" w:hAnsi="Times New Roman"/>
                <w:sz w:val="24"/>
                <w:szCs w:val="24"/>
                <w:lang w:val="en-GB"/>
              </w:rPr>
              <w:t>Strategic outcome oriented goal 1</w:t>
            </w:r>
          </w:p>
        </w:tc>
        <w:tc>
          <w:tcPr>
            <w:tcW w:w="6295"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center"/>
            <w:hideMark/>
          </w:tcPr>
          <w:p w14:paraId="29DF5A74" w14:textId="77777777" w:rsidR="00DA6B62" w:rsidRPr="00DA6B62" w:rsidRDefault="00DA6B62" w:rsidP="00DA6B62">
            <w:pPr>
              <w:spacing w:line="360" w:lineRule="auto"/>
              <w:jc w:val="both"/>
              <w:rPr>
                <w:rFonts w:ascii="Times New Roman" w:hAnsi="Times New Roman"/>
                <w:sz w:val="24"/>
                <w:szCs w:val="24"/>
              </w:rPr>
            </w:pPr>
            <w:r w:rsidRPr="00DA6B62">
              <w:rPr>
                <w:rFonts w:ascii="Times New Roman" w:hAnsi="Times New Roman"/>
                <w:b/>
                <w:bCs/>
                <w:sz w:val="24"/>
                <w:szCs w:val="24"/>
                <w:lang w:val="en-GB"/>
              </w:rPr>
              <w:t>Reposition the GPW business processes</w:t>
            </w:r>
          </w:p>
        </w:tc>
      </w:tr>
      <w:tr w:rsidR="00DA6B62" w:rsidRPr="00DA6B62" w14:paraId="5B3098BA" w14:textId="77777777" w:rsidTr="00DA6B62">
        <w:trPr>
          <w:trHeight w:val="712"/>
        </w:trPr>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center"/>
            <w:hideMark/>
          </w:tcPr>
          <w:p w14:paraId="5867456A" w14:textId="77777777" w:rsidR="00DA6B62" w:rsidRPr="00DA6B62" w:rsidRDefault="00DA6B62" w:rsidP="002064C3">
            <w:pPr>
              <w:spacing w:line="360" w:lineRule="auto"/>
              <w:rPr>
                <w:rFonts w:ascii="Times New Roman" w:hAnsi="Times New Roman"/>
                <w:sz w:val="24"/>
                <w:szCs w:val="24"/>
              </w:rPr>
            </w:pPr>
            <w:r w:rsidRPr="00DA6B62">
              <w:rPr>
                <w:rFonts w:ascii="Times New Roman" w:hAnsi="Times New Roman"/>
                <w:sz w:val="24"/>
                <w:szCs w:val="24"/>
                <w:lang w:val="en-GB"/>
              </w:rPr>
              <w:t>Goal statement</w:t>
            </w:r>
          </w:p>
        </w:tc>
        <w:tc>
          <w:tcPr>
            <w:tcW w:w="6295"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14:paraId="0CDED225" w14:textId="77777777" w:rsidR="00DA6B62" w:rsidRPr="00DA6B62" w:rsidRDefault="00DA6B62" w:rsidP="00DA6B62">
            <w:pPr>
              <w:spacing w:line="360" w:lineRule="auto"/>
              <w:jc w:val="both"/>
              <w:rPr>
                <w:rFonts w:ascii="Times New Roman" w:hAnsi="Times New Roman"/>
                <w:sz w:val="24"/>
                <w:szCs w:val="24"/>
              </w:rPr>
            </w:pPr>
            <w:r w:rsidRPr="00DA6B62">
              <w:rPr>
                <w:rFonts w:ascii="Times New Roman" w:hAnsi="Times New Roman"/>
                <w:sz w:val="24"/>
                <w:szCs w:val="24"/>
                <w:lang w:val="en-GB"/>
              </w:rPr>
              <w:t>Reposition the GPW business processes to ensure stability, sustainability and viability of the organization as a critical national security facility</w:t>
            </w:r>
          </w:p>
        </w:tc>
      </w:tr>
      <w:tr w:rsidR="00DA6B62" w:rsidRPr="00DA6B62" w14:paraId="1EAE9AFA" w14:textId="77777777" w:rsidTr="00DA6B62">
        <w:trPr>
          <w:trHeight w:val="712"/>
        </w:trPr>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14:paraId="725FF5C1" w14:textId="77777777" w:rsidR="00DA6B62" w:rsidRPr="00DA6B62" w:rsidRDefault="00DA6B62" w:rsidP="002064C3">
            <w:pPr>
              <w:spacing w:line="360" w:lineRule="auto"/>
              <w:rPr>
                <w:rFonts w:ascii="Times New Roman" w:hAnsi="Times New Roman"/>
                <w:sz w:val="24"/>
                <w:szCs w:val="24"/>
              </w:rPr>
            </w:pPr>
            <w:r w:rsidRPr="00DA6B62">
              <w:rPr>
                <w:rFonts w:ascii="Times New Roman" w:hAnsi="Times New Roman"/>
                <w:sz w:val="24"/>
                <w:szCs w:val="24"/>
                <w:lang w:val="en-GB"/>
              </w:rPr>
              <w:t>Strategic outcome oriented goal 2</w:t>
            </w:r>
          </w:p>
        </w:tc>
        <w:tc>
          <w:tcPr>
            <w:tcW w:w="6295"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center"/>
            <w:hideMark/>
          </w:tcPr>
          <w:p w14:paraId="6663D350" w14:textId="77777777" w:rsidR="00DA6B62" w:rsidRPr="00DA6B62" w:rsidRDefault="00DA6B62" w:rsidP="00DA6B62">
            <w:pPr>
              <w:spacing w:line="360" w:lineRule="auto"/>
              <w:jc w:val="both"/>
              <w:rPr>
                <w:rFonts w:ascii="Times New Roman" w:hAnsi="Times New Roman"/>
                <w:sz w:val="24"/>
                <w:szCs w:val="24"/>
              </w:rPr>
            </w:pPr>
            <w:r w:rsidRPr="00DA6B62">
              <w:rPr>
                <w:rFonts w:ascii="Times New Roman" w:hAnsi="Times New Roman"/>
                <w:b/>
                <w:bCs/>
                <w:sz w:val="24"/>
                <w:szCs w:val="24"/>
                <w:lang w:val="en-GB"/>
              </w:rPr>
              <w:t>Optimise processes and facilities</w:t>
            </w:r>
          </w:p>
        </w:tc>
      </w:tr>
      <w:tr w:rsidR="00DA6B62" w:rsidRPr="00DA6B62" w14:paraId="5B00B7C9" w14:textId="77777777" w:rsidTr="00DA6B62">
        <w:trPr>
          <w:trHeight w:val="737"/>
        </w:trPr>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center"/>
            <w:hideMark/>
          </w:tcPr>
          <w:p w14:paraId="2B7C266A" w14:textId="77777777" w:rsidR="00DA6B62" w:rsidRPr="00DA6B62" w:rsidRDefault="00DA6B62" w:rsidP="002064C3">
            <w:pPr>
              <w:spacing w:line="360" w:lineRule="auto"/>
              <w:rPr>
                <w:rFonts w:ascii="Times New Roman" w:hAnsi="Times New Roman"/>
                <w:sz w:val="24"/>
                <w:szCs w:val="24"/>
              </w:rPr>
            </w:pPr>
            <w:r w:rsidRPr="00DA6B62">
              <w:rPr>
                <w:rFonts w:ascii="Times New Roman" w:hAnsi="Times New Roman"/>
                <w:sz w:val="24"/>
                <w:szCs w:val="24"/>
                <w:lang w:val="en-GB"/>
              </w:rPr>
              <w:t>Goal statement</w:t>
            </w:r>
          </w:p>
        </w:tc>
        <w:tc>
          <w:tcPr>
            <w:tcW w:w="6295"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14:paraId="54DA6FD2" w14:textId="77777777" w:rsidR="00DA6B62" w:rsidRPr="00DA6B62" w:rsidRDefault="00DA6B62" w:rsidP="00DA6B62">
            <w:pPr>
              <w:spacing w:line="360" w:lineRule="auto"/>
              <w:jc w:val="both"/>
              <w:rPr>
                <w:rFonts w:ascii="Times New Roman" w:hAnsi="Times New Roman"/>
                <w:sz w:val="24"/>
                <w:szCs w:val="24"/>
              </w:rPr>
            </w:pPr>
            <w:r w:rsidRPr="00DA6B62">
              <w:rPr>
                <w:rFonts w:ascii="Times New Roman" w:hAnsi="Times New Roman"/>
                <w:sz w:val="24"/>
                <w:szCs w:val="24"/>
                <w:lang w:val="en-GB"/>
              </w:rPr>
              <w:t>Optimize processes and facilities to increase operational effectiveness and improved customer service</w:t>
            </w:r>
          </w:p>
        </w:tc>
      </w:tr>
      <w:tr w:rsidR="00DA6B62" w:rsidRPr="00DA6B62" w14:paraId="799F3FBB" w14:textId="77777777" w:rsidTr="00DA6B62">
        <w:trPr>
          <w:trHeight w:val="712"/>
        </w:trPr>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14:paraId="45977475" w14:textId="77777777" w:rsidR="00DA6B62" w:rsidRPr="00DA6B62" w:rsidRDefault="00DA6B62" w:rsidP="002064C3">
            <w:pPr>
              <w:spacing w:line="360" w:lineRule="auto"/>
              <w:rPr>
                <w:rFonts w:ascii="Times New Roman" w:hAnsi="Times New Roman"/>
                <w:sz w:val="24"/>
                <w:szCs w:val="24"/>
              </w:rPr>
            </w:pPr>
            <w:r w:rsidRPr="00DA6B62">
              <w:rPr>
                <w:rFonts w:ascii="Times New Roman" w:hAnsi="Times New Roman"/>
                <w:sz w:val="24"/>
                <w:szCs w:val="24"/>
                <w:lang w:val="en-GB"/>
              </w:rPr>
              <w:t>Strategic outcome oriented goal 3</w:t>
            </w:r>
          </w:p>
        </w:tc>
        <w:tc>
          <w:tcPr>
            <w:tcW w:w="6295"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center"/>
            <w:hideMark/>
          </w:tcPr>
          <w:p w14:paraId="5E5B8F8F" w14:textId="77777777" w:rsidR="00DA6B62" w:rsidRPr="00DA6B62" w:rsidRDefault="00DA6B62" w:rsidP="00DA6B62">
            <w:pPr>
              <w:spacing w:line="360" w:lineRule="auto"/>
              <w:jc w:val="both"/>
              <w:rPr>
                <w:rFonts w:ascii="Times New Roman" w:hAnsi="Times New Roman"/>
                <w:sz w:val="24"/>
                <w:szCs w:val="24"/>
              </w:rPr>
            </w:pPr>
            <w:r w:rsidRPr="00DA6B62">
              <w:rPr>
                <w:rFonts w:ascii="Times New Roman" w:hAnsi="Times New Roman"/>
                <w:b/>
                <w:bCs/>
                <w:sz w:val="24"/>
                <w:szCs w:val="24"/>
                <w:lang w:val="en-GB"/>
              </w:rPr>
              <w:t>People management and development</w:t>
            </w:r>
          </w:p>
        </w:tc>
      </w:tr>
      <w:tr w:rsidR="00DA6B62" w:rsidRPr="00DA6B62" w14:paraId="6261DF00" w14:textId="77777777" w:rsidTr="00DA6B62">
        <w:trPr>
          <w:trHeight w:val="896"/>
        </w:trPr>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center"/>
            <w:hideMark/>
          </w:tcPr>
          <w:p w14:paraId="6D5CE084" w14:textId="77777777" w:rsidR="00DA6B62" w:rsidRPr="00DA6B62" w:rsidRDefault="00DA6B62" w:rsidP="002064C3">
            <w:pPr>
              <w:spacing w:line="360" w:lineRule="auto"/>
              <w:rPr>
                <w:rFonts w:ascii="Times New Roman" w:hAnsi="Times New Roman"/>
                <w:sz w:val="24"/>
                <w:szCs w:val="24"/>
              </w:rPr>
            </w:pPr>
            <w:r w:rsidRPr="00DA6B62">
              <w:rPr>
                <w:rFonts w:ascii="Times New Roman" w:hAnsi="Times New Roman"/>
                <w:sz w:val="24"/>
                <w:szCs w:val="24"/>
                <w:lang w:val="en-GB"/>
              </w:rPr>
              <w:t>Goal statement</w:t>
            </w:r>
          </w:p>
        </w:tc>
        <w:tc>
          <w:tcPr>
            <w:tcW w:w="6295"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center"/>
            <w:hideMark/>
          </w:tcPr>
          <w:p w14:paraId="1F1E2443" w14:textId="77777777" w:rsidR="00DA6B62" w:rsidRPr="00DA6B62" w:rsidRDefault="00DA6B62" w:rsidP="00DA6B62">
            <w:pPr>
              <w:spacing w:line="360" w:lineRule="auto"/>
              <w:jc w:val="both"/>
              <w:rPr>
                <w:rFonts w:ascii="Times New Roman" w:hAnsi="Times New Roman"/>
                <w:sz w:val="24"/>
                <w:szCs w:val="24"/>
              </w:rPr>
            </w:pPr>
            <w:r w:rsidRPr="00DA6B62">
              <w:rPr>
                <w:rFonts w:ascii="Times New Roman" w:hAnsi="Times New Roman"/>
                <w:sz w:val="24"/>
                <w:szCs w:val="24"/>
                <w:lang w:val="en-GB"/>
              </w:rPr>
              <w:t>Recruit, develop and retain effective and efficient human capital</w:t>
            </w:r>
          </w:p>
        </w:tc>
      </w:tr>
    </w:tbl>
    <w:p w14:paraId="5FB4F9D6" w14:textId="77777777" w:rsidR="00DA6B62" w:rsidRDefault="00DA6B62" w:rsidP="00A33469">
      <w:pPr>
        <w:spacing w:line="360" w:lineRule="auto"/>
        <w:jc w:val="both"/>
        <w:rPr>
          <w:rFonts w:ascii="Times New Roman" w:hAnsi="Times New Roman"/>
          <w:sz w:val="24"/>
          <w:szCs w:val="24"/>
        </w:rPr>
      </w:pPr>
    </w:p>
    <w:p w14:paraId="3CE163BB" w14:textId="77777777" w:rsidR="00DA6B62" w:rsidRPr="00DA6B62" w:rsidRDefault="00DA6B62" w:rsidP="00DA6B62">
      <w:pPr>
        <w:spacing w:line="360" w:lineRule="auto"/>
        <w:jc w:val="both"/>
        <w:rPr>
          <w:rFonts w:ascii="Times New Roman" w:hAnsi="Times New Roman"/>
          <w:sz w:val="24"/>
          <w:szCs w:val="24"/>
        </w:rPr>
      </w:pPr>
      <w:r w:rsidRPr="00DA6B62">
        <w:rPr>
          <w:rFonts w:ascii="Times New Roman" w:hAnsi="Times New Roman"/>
          <w:bCs/>
          <w:sz w:val="24"/>
          <w:szCs w:val="24"/>
          <w:lang w:val="en-US"/>
        </w:rPr>
        <w:t>GPW commits to deliver on outcomes for 2019-20 as follows:</w:t>
      </w:r>
    </w:p>
    <w:p w14:paraId="2DBBC05F" w14:textId="77777777" w:rsidR="00EE5B88" w:rsidRPr="00DA6B62" w:rsidRDefault="00EE5B88" w:rsidP="001754B7">
      <w:pPr>
        <w:numPr>
          <w:ilvl w:val="0"/>
          <w:numId w:val="33"/>
        </w:numPr>
        <w:tabs>
          <w:tab w:val="clear" w:pos="720"/>
          <w:tab w:val="num" w:pos="142"/>
        </w:tabs>
        <w:spacing w:line="360" w:lineRule="auto"/>
        <w:ind w:left="567" w:hanging="567"/>
        <w:jc w:val="both"/>
        <w:rPr>
          <w:rFonts w:ascii="Times New Roman" w:hAnsi="Times New Roman"/>
          <w:sz w:val="24"/>
          <w:szCs w:val="24"/>
        </w:rPr>
      </w:pPr>
      <w:r w:rsidRPr="00DA6B62">
        <w:rPr>
          <w:rFonts w:ascii="Times New Roman" w:hAnsi="Times New Roman"/>
          <w:sz w:val="24"/>
          <w:szCs w:val="24"/>
          <w:lang w:val="en-US"/>
        </w:rPr>
        <w:t>Reposition the GPW business processes to ensure stability, sustainability and viability of the organization as a critical national security facility.</w:t>
      </w:r>
    </w:p>
    <w:p w14:paraId="16CFC246" w14:textId="77777777" w:rsidR="00EE5B88" w:rsidRPr="00DA6B62" w:rsidRDefault="00EE5B88" w:rsidP="001754B7">
      <w:pPr>
        <w:numPr>
          <w:ilvl w:val="0"/>
          <w:numId w:val="33"/>
        </w:numPr>
        <w:tabs>
          <w:tab w:val="clear" w:pos="720"/>
          <w:tab w:val="num" w:pos="142"/>
        </w:tabs>
        <w:spacing w:line="360" w:lineRule="auto"/>
        <w:ind w:left="567" w:hanging="567"/>
        <w:jc w:val="both"/>
        <w:rPr>
          <w:rFonts w:ascii="Times New Roman" w:hAnsi="Times New Roman"/>
          <w:sz w:val="24"/>
          <w:szCs w:val="24"/>
        </w:rPr>
      </w:pPr>
      <w:r w:rsidRPr="00DA6B62">
        <w:rPr>
          <w:rFonts w:ascii="Times New Roman" w:hAnsi="Times New Roman"/>
          <w:sz w:val="24"/>
          <w:szCs w:val="24"/>
          <w:lang w:val="en-US"/>
        </w:rPr>
        <w:t>Continue to implement the MTEF Strategic Plan and APP commitments.</w:t>
      </w:r>
    </w:p>
    <w:p w14:paraId="3B5CAF07" w14:textId="77777777" w:rsidR="00EE5B88" w:rsidRPr="00DA6B62" w:rsidRDefault="00EE5B88" w:rsidP="001754B7">
      <w:pPr>
        <w:numPr>
          <w:ilvl w:val="0"/>
          <w:numId w:val="33"/>
        </w:numPr>
        <w:tabs>
          <w:tab w:val="clear" w:pos="720"/>
          <w:tab w:val="num" w:pos="142"/>
        </w:tabs>
        <w:spacing w:line="360" w:lineRule="auto"/>
        <w:ind w:left="567" w:hanging="567"/>
        <w:jc w:val="both"/>
        <w:rPr>
          <w:rFonts w:ascii="Times New Roman" w:hAnsi="Times New Roman"/>
          <w:sz w:val="24"/>
          <w:szCs w:val="24"/>
        </w:rPr>
      </w:pPr>
      <w:r w:rsidRPr="00DA6B62">
        <w:rPr>
          <w:rFonts w:ascii="Times New Roman" w:hAnsi="Times New Roman"/>
          <w:sz w:val="24"/>
          <w:szCs w:val="24"/>
          <w:lang w:val="en-US"/>
        </w:rPr>
        <w:t xml:space="preserve">Ensure return on investment, sound financial management and sustainability. </w:t>
      </w:r>
    </w:p>
    <w:p w14:paraId="6DB370D6" w14:textId="77777777" w:rsidR="00EE5B88" w:rsidRPr="00DA6B62" w:rsidRDefault="00EE5B88" w:rsidP="001754B7">
      <w:pPr>
        <w:numPr>
          <w:ilvl w:val="0"/>
          <w:numId w:val="33"/>
        </w:numPr>
        <w:tabs>
          <w:tab w:val="clear" w:pos="720"/>
          <w:tab w:val="num" w:pos="142"/>
        </w:tabs>
        <w:spacing w:line="360" w:lineRule="auto"/>
        <w:ind w:left="567" w:hanging="567"/>
        <w:jc w:val="both"/>
        <w:rPr>
          <w:rFonts w:ascii="Times New Roman" w:hAnsi="Times New Roman"/>
          <w:sz w:val="24"/>
          <w:szCs w:val="24"/>
        </w:rPr>
      </w:pPr>
      <w:r w:rsidRPr="00DA6B62">
        <w:rPr>
          <w:rFonts w:ascii="Times New Roman" w:hAnsi="Times New Roman"/>
          <w:sz w:val="24"/>
          <w:szCs w:val="24"/>
          <w:lang w:val="en-US"/>
        </w:rPr>
        <w:t>Long term vision – State security printer of choice (Vision 2030) that will allow GPW to pursue SADC and African Union member states to utilize GPW as a service provider for State and non-state printing services.</w:t>
      </w:r>
    </w:p>
    <w:p w14:paraId="17FCC505" w14:textId="77777777" w:rsidR="00EE5B88" w:rsidRPr="00DA6B62" w:rsidRDefault="00EE5B88" w:rsidP="001754B7">
      <w:pPr>
        <w:numPr>
          <w:ilvl w:val="0"/>
          <w:numId w:val="33"/>
        </w:numPr>
        <w:tabs>
          <w:tab w:val="clear" w:pos="720"/>
          <w:tab w:val="num" w:pos="142"/>
        </w:tabs>
        <w:spacing w:line="360" w:lineRule="auto"/>
        <w:ind w:left="567" w:hanging="567"/>
        <w:jc w:val="both"/>
        <w:rPr>
          <w:rFonts w:ascii="Times New Roman" w:hAnsi="Times New Roman"/>
          <w:sz w:val="24"/>
          <w:szCs w:val="24"/>
        </w:rPr>
      </w:pPr>
      <w:r w:rsidRPr="00DA6B62">
        <w:rPr>
          <w:rFonts w:ascii="Times New Roman" w:hAnsi="Times New Roman"/>
          <w:sz w:val="24"/>
          <w:szCs w:val="24"/>
          <w:lang w:val="en-US"/>
        </w:rPr>
        <w:t>Capacitate and train the workforce to meet market and client demands.</w:t>
      </w:r>
    </w:p>
    <w:p w14:paraId="571F0D48" w14:textId="77777777" w:rsidR="00DA6B62" w:rsidRDefault="00DA6B62" w:rsidP="00DA6B62">
      <w:pPr>
        <w:spacing w:line="360" w:lineRule="auto"/>
        <w:jc w:val="both"/>
        <w:rPr>
          <w:rFonts w:ascii="Times New Roman" w:hAnsi="Times New Roman"/>
          <w:sz w:val="24"/>
          <w:szCs w:val="24"/>
        </w:rPr>
      </w:pPr>
    </w:p>
    <w:p w14:paraId="5D4D7366" w14:textId="77777777" w:rsidR="005E0E3B" w:rsidRDefault="005E0E3B" w:rsidP="00DA6B62">
      <w:pPr>
        <w:spacing w:line="360" w:lineRule="auto"/>
        <w:jc w:val="both"/>
        <w:rPr>
          <w:rFonts w:ascii="Times New Roman" w:hAnsi="Times New Roman"/>
          <w:sz w:val="24"/>
          <w:szCs w:val="24"/>
        </w:rPr>
      </w:pPr>
      <w:r w:rsidRPr="00A33469">
        <w:rPr>
          <w:rFonts w:ascii="Times New Roman" w:hAnsi="Times New Roman"/>
          <w:sz w:val="24"/>
          <w:szCs w:val="24"/>
        </w:rPr>
        <w:t xml:space="preserve">GPW was </w:t>
      </w:r>
      <w:r w:rsidR="00DA6B62">
        <w:rPr>
          <w:rFonts w:ascii="Times New Roman" w:hAnsi="Times New Roman"/>
          <w:sz w:val="24"/>
          <w:szCs w:val="24"/>
        </w:rPr>
        <w:t>also reported to be</w:t>
      </w:r>
      <w:r w:rsidRPr="00A33469">
        <w:rPr>
          <w:rFonts w:ascii="Times New Roman" w:hAnsi="Times New Roman"/>
          <w:sz w:val="24"/>
          <w:szCs w:val="24"/>
        </w:rPr>
        <w:t xml:space="preserve"> marketing itself to most African countries, however, many countries still have contracts with their former European colonial countries. There are promising discussions with Swazi</w:t>
      </w:r>
      <w:r w:rsidR="00A27F8D">
        <w:rPr>
          <w:rFonts w:ascii="Times New Roman" w:hAnsi="Times New Roman"/>
          <w:sz w:val="24"/>
          <w:szCs w:val="24"/>
        </w:rPr>
        <w:t>land and Nami</w:t>
      </w:r>
      <w:r w:rsidRPr="00A33469">
        <w:rPr>
          <w:rFonts w:ascii="Times New Roman" w:hAnsi="Times New Roman"/>
          <w:sz w:val="24"/>
          <w:szCs w:val="24"/>
        </w:rPr>
        <w:t xml:space="preserve">bia to produce documents. </w:t>
      </w:r>
    </w:p>
    <w:p w14:paraId="7F50EDA3" w14:textId="77777777" w:rsidR="00DA6B62" w:rsidRDefault="00DA6B62" w:rsidP="00DA6B62">
      <w:pPr>
        <w:spacing w:line="360" w:lineRule="auto"/>
        <w:jc w:val="both"/>
        <w:rPr>
          <w:rFonts w:ascii="Times New Roman" w:hAnsi="Times New Roman"/>
          <w:sz w:val="24"/>
          <w:szCs w:val="24"/>
        </w:rPr>
      </w:pPr>
    </w:p>
    <w:p w14:paraId="5EB98165" w14:textId="77777777" w:rsidR="006B7740" w:rsidRPr="00C56099" w:rsidRDefault="00DA6B62" w:rsidP="006B7740">
      <w:pPr>
        <w:pStyle w:val="ListParagraph"/>
        <w:spacing w:line="360" w:lineRule="auto"/>
        <w:ind w:left="0"/>
        <w:jc w:val="both"/>
        <w:rPr>
          <w:rFonts w:ascii="Times New Roman" w:hAnsi="Times New Roman"/>
          <w:sz w:val="28"/>
          <w:szCs w:val="28"/>
        </w:rPr>
      </w:pPr>
      <w:r w:rsidRPr="00C56099">
        <w:rPr>
          <w:rFonts w:ascii="Times New Roman" w:hAnsi="Times New Roman"/>
          <w:b/>
          <w:sz w:val="28"/>
          <w:szCs w:val="28"/>
        </w:rPr>
        <w:t>3.2 GPW Budget for 2019/20 Financial Year</w:t>
      </w:r>
      <w:r w:rsidR="006B7740" w:rsidRPr="00C56099">
        <w:rPr>
          <w:rFonts w:ascii="Times New Roman" w:hAnsi="Times New Roman"/>
          <w:sz w:val="28"/>
          <w:szCs w:val="28"/>
        </w:rPr>
        <w:t xml:space="preserve"> </w:t>
      </w:r>
    </w:p>
    <w:p w14:paraId="0DA5F136" w14:textId="77777777" w:rsidR="006B7740" w:rsidRDefault="006B7740" w:rsidP="006B7740">
      <w:pPr>
        <w:pStyle w:val="ListParagraph"/>
        <w:spacing w:line="360" w:lineRule="auto"/>
        <w:ind w:left="0"/>
        <w:jc w:val="both"/>
        <w:rPr>
          <w:rFonts w:ascii="Times New Roman" w:hAnsi="Times New Roman"/>
          <w:sz w:val="24"/>
          <w:szCs w:val="24"/>
        </w:rPr>
      </w:pPr>
    </w:p>
    <w:p w14:paraId="32235F36" w14:textId="77777777" w:rsidR="006B7740" w:rsidRDefault="006B7740" w:rsidP="006B7740">
      <w:pPr>
        <w:pStyle w:val="ListParagraph"/>
        <w:spacing w:line="360" w:lineRule="auto"/>
        <w:ind w:left="0"/>
        <w:jc w:val="both"/>
        <w:rPr>
          <w:rFonts w:ascii="Times New Roman" w:hAnsi="Times New Roman"/>
          <w:sz w:val="24"/>
          <w:szCs w:val="24"/>
        </w:rPr>
      </w:pPr>
      <w:r>
        <w:rPr>
          <w:rFonts w:ascii="Times New Roman" w:hAnsi="Times New Roman"/>
          <w:sz w:val="24"/>
          <w:szCs w:val="24"/>
        </w:rPr>
        <w:t>The GPW</w:t>
      </w:r>
      <w:r w:rsidRPr="00C219C5">
        <w:rPr>
          <w:rFonts w:ascii="Times New Roman" w:hAnsi="Times New Roman"/>
          <w:sz w:val="24"/>
          <w:szCs w:val="24"/>
        </w:rPr>
        <w:t xml:space="preserve"> </w:t>
      </w:r>
      <w:r>
        <w:rPr>
          <w:rFonts w:ascii="Times New Roman" w:hAnsi="Times New Roman"/>
          <w:sz w:val="24"/>
          <w:szCs w:val="24"/>
        </w:rPr>
        <w:t xml:space="preserve">indicated that it </w:t>
      </w:r>
      <w:r w:rsidRPr="00C219C5">
        <w:rPr>
          <w:rFonts w:ascii="Times New Roman" w:hAnsi="Times New Roman"/>
          <w:sz w:val="24"/>
          <w:szCs w:val="24"/>
        </w:rPr>
        <w:t>generates its own revenue, which is expected to increase at an average annual rate of 9.4 per cent,</w:t>
      </w:r>
      <w:r>
        <w:rPr>
          <w:rFonts w:ascii="Times New Roman" w:hAnsi="Times New Roman"/>
          <w:sz w:val="24"/>
          <w:szCs w:val="24"/>
        </w:rPr>
        <w:t xml:space="preserve"> </w:t>
      </w:r>
      <w:r w:rsidRPr="00C219C5">
        <w:rPr>
          <w:rFonts w:ascii="Times New Roman" w:hAnsi="Times New Roman"/>
          <w:sz w:val="24"/>
          <w:szCs w:val="24"/>
        </w:rPr>
        <w:t>from R1.5 billion in 2018/19 to R2 billion in 2021/22. It expects to improve its ability to generate revenue by</w:t>
      </w:r>
      <w:r>
        <w:rPr>
          <w:rFonts w:ascii="Times New Roman" w:hAnsi="Times New Roman"/>
          <w:sz w:val="24"/>
          <w:szCs w:val="24"/>
        </w:rPr>
        <w:t xml:space="preserve"> </w:t>
      </w:r>
      <w:r w:rsidRPr="00C219C5">
        <w:rPr>
          <w:rFonts w:ascii="Times New Roman" w:hAnsi="Times New Roman"/>
          <w:sz w:val="24"/>
          <w:szCs w:val="24"/>
        </w:rPr>
        <w:t>increasing the production of passports and identity documents with the new equipment it is set to acquire.</w:t>
      </w:r>
      <w:r>
        <w:rPr>
          <w:rFonts w:ascii="Times New Roman" w:hAnsi="Times New Roman"/>
          <w:sz w:val="24"/>
          <w:szCs w:val="24"/>
        </w:rPr>
        <w:t xml:space="preserve"> In the short term its overall average profit however is set to decline from above R500 million in the last three years to under R200 million as it plans </w:t>
      </w:r>
      <w:r w:rsidRPr="00C219C5">
        <w:rPr>
          <w:rFonts w:ascii="Times New Roman" w:hAnsi="Times New Roman"/>
          <w:sz w:val="24"/>
          <w:szCs w:val="24"/>
        </w:rPr>
        <w:t>to focus on replacing old equipment and machinery, refurbishing its production facility, and developing</w:t>
      </w:r>
      <w:r>
        <w:rPr>
          <w:rFonts w:ascii="Times New Roman" w:hAnsi="Times New Roman"/>
          <w:sz w:val="24"/>
          <w:szCs w:val="24"/>
        </w:rPr>
        <w:t xml:space="preserve"> </w:t>
      </w:r>
      <w:r w:rsidRPr="00C219C5">
        <w:rPr>
          <w:rFonts w:ascii="Times New Roman" w:hAnsi="Times New Roman"/>
          <w:sz w:val="24"/>
          <w:szCs w:val="24"/>
        </w:rPr>
        <w:t>and attracting specialised skills.</w:t>
      </w:r>
      <w:r>
        <w:rPr>
          <w:rFonts w:ascii="Times New Roman" w:hAnsi="Times New Roman"/>
          <w:sz w:val="24"/>
          <w:szCs w:val="24"/>
        </w:rPr>
        <w:t xml:space="preserve"> Purchased machinery will also attract depreciation costs once installed in new facilities. </w:t>
      </w:r>
    </w:p>
    <w:p w14:paraId="1208761C" w14:textId="77777777" w:rsidR="00DA6B62" w:rsidRPr="00DA6B62" w:rsidRDefault="00DA6B62" w:rsidP="00DA6B62">
      <w:pPr>
        <w:spacing w:line="360" w:lineRule="auto"/>
        <w:jc w:val="both"/>
        <w:textAlignment w:val="auto"/>
        <w:rPr>
          <w:rFonts w:ascii="Times New Roman" w:hAnsi="Times New Roman"/>
          <w:b/>
          <w:sz w:val="24"/>
          <w:szCs w:val="24"/>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56"/>
        <w:gridCol w:w="1701"/>
        <w:gridCol w:w="1984"/>
        <w:gridCol w:w="1859"/>
      </w:tblGrid>
      <w:tr w:rsidR="00DA6B62" w:rsidRPr="00DA6B62" w14:paraId="5A057143" w14:textId="77777777" w:rsidTr="006B7740">
        <w:trPr>
          <w:trHeight w:val="456"/>
          <w:jc w:val="center"/>
        </w:trPr>
        <w:tc>
          <w:tcPr>
            <w:tcW w:w="3256" w:type="dxa"/>
            <w:shd w:val="clear" w:color="auto" w:fill="auto"/>
            <w:tcMar>
              <w:top w:w="12" w:type="dxa"/>
              <w:left w:w="12" w:type="dxa"/>
              <w:bottom w:w="0" w:type="dxa"/>
              <w:right w:w="12" w:type="dxa"/>
            </w:tcMar>
            <w:vAlign w:val="bottom"/>
            <w:hideMark/>
          </w:tcPr>
          <w:p w14:paraId="69A7BB54" w14:textId="77777777" w:rsidR="00DA6B62" w:rsidRPr="00DA6B62" w:rsidRDefault="00DA6B62" w:rsidP="00DA6B62">
            <w:pPr>
              <w:spacing w:line="360" w:lineRule="auto"/>
              <w:jc w:val="both"/>
              <w:rPr>
                <w:rFonts w:ascii="Times New Roman" w:hAnsi="Times New Roman"/>
                <w:sz w:val="24"/>
                <w:szCs w:val="24"/>
              </w:rPr>
            </w:pPr>
            <w:r w:rsidRPr="00DA6B62">
              <w:rPr>
                <w:rFonts w:ascii="Times New Roman" w:hAnsi="Times New Roman"/>
                <w:b/>
                <w:bCs/>
                <w:sz w:val="24"/>
                <w:szCs w:val="24"/>
                <w:lang w:val="en-US"/>
              </w:rPr>
              <w:t>R'000</w:t>
            </w:r>
          </w:p>
        </w:tc>
        <w:tc>
          <w:tcPr>
            <w:tcW w:w="1701" w:type="dxa"/>
            <w:shd w:val="clear" w:color="auto" w:fill="auto"/>
            <w:tcMar>
              <w:top w:w="12" w:type="dxa"/>
              <w:left w:w="12" w:type="dxa"/>
              <w:bottom w:w="0" w:type="dxa"/>
              <w:right w:w="12" w:type="dxa"/>
            </w:tcMar>
            <w:vAlign w:val="bottom"/>
            <w:hideMark/>
          </w:tcPr>
          <w:p w14:paraId="62CA7754" w14:textId="77777777" w:rsidR="00DA6B62" w:rsidRPr="00DA6B62" w:rsidRDefault="00DA6B62" w:rsidP="00DA6B62">
            <w:pPr>
              <w:spacing w:line="360" w:lineRule="auto"/>
              <w:jc w:val="both"/>
              <w:rPr>
                <w:rFonts w:ascii="Times New Roman" w:hAnsi="Times New Roman"/>
                <w:sz w:val="24"/>
                <w:szCs w:val="24"/>
              </w:rPr>
            </w:pPr>
            <w:r>
              <w:rPr>
                <w:rFonts w:ascii="Times New Roman" w:hAnsi="Times New Roman"/>
                <w:b/>
                <w:bCs/>
                <w:sz w:val="24"/>
                <w:szCs w:val="24"/>
                <w:lang w:val="en-US"/>
              </w:rPr>
              <w:t xml:space="preserve"> 2019/20</w:t>
            </w:r>
          </w:p>
        </w:tc>
        <w:tc>
          <w:tcPr>
            <w:tcW w:w="1984" w:type="dxa"/>
            <w:shd w:val="clear" w:color="auto" w:fill="auto"/>
            <w:tcMar>
              <w:top w:w="12" w:type="dxa"/>
              <w:left w:w="12" w:type="dxa"/>
              <w:bottom w:w="0" w:type="dxa"/>
              <w:right w:w="12" w:type="dxa"/>
            </w:tcMar>
            <w:vAlign w:val="bottom"/>
            <w:hideMark/>
          </w:tcPr>
          <w:p w14:paraId="0C50CE5A" w14:textId="77777777" w:rsidR="00DA6B62" w:rsidRPr="00DA6B62" w:rsidRDefault="00DA6B62" w:rsidP="00DA6B62">
            <w:pPr>
              <w:spacing w:line="360" w:lineRule="auto"/>
              <w:jc w:val="both"/>
              <w:rPr>
                <w:rFonts w:ascii="Times New Roman" w:hAnsi="Times New Roman"/>
                <w:sz w:val="24"/>
                <w:szCs w:val="24"/>
              </w:rPr>
            </w:pPr>
            <w:r w:rsidRPr="00DA6B62">
              <w:rPr>
                <w:rFonts w:ascii="Times New Roman" w:hAnsi="Times New Roman"/>
                <w:b/>
                <w:bCs/>
                <w:sz w:val="24"/>
                <w:szCs w:val="24"/>
                <w:lang w:val="en-US"/>
              </w:rPr>
              <w:t xml:space="preserve"> 202</w:t>
            </w:r>
            <w:r>
              <w:rPr>
                <w:rFonts w:ascii="Times New Roman" w:hAnsi="Times New Roman"/>
                <w:b/>
                <w:bCs/>
                <w:sz w:val="24"/>
                <w:szCs w:val="24"/>
                <w:lang w:val="en-US"/>
              </w:rPr>
              <w:t>0/21</w:t>
            </w:r>
          </w:p>
        </w:tc>
        <w:tc>
          <w:tcPr>
            <w:tcW w:w="1859" w:type="dxa"/>
            <w:shd w:val="clear" w:color="auto" w:fill="auto"/>
            <w:tcMar>
              <w:top w:w="12" w:type="dxa"/>
              <w:left w:w="12" w:type="dxa"/>
              <w:bottom w:w="0" w:type="dxa"/>
              <w:right w:w="12" w:type="dxa"/>
            </w:tcMar>
            <w:vAlign w:val="bottom"/>
            <w:hideMark/>
          </w:tcPr>
          <w:p w14:paraId="1308F757" w14:textId="77777777" w:rsidR="00DA6B62" w:rsidRPr="00DA6B62" w:rsidRDefault="00DA6B62" w:rsidP="00DA6B62">
            <w:pPr>
              <w:spacing w:line="360" w:lineRule="auto"/>
              <w:jc w:val="both"/>
              <w:rPr>
                <w:rFonts w:ascii="Times New Roman" w:hAnsi="Times New Roman"/>
                <w:sz w:val="24"/>
                <w:szCs w:val="24"/>
              </w:rPr>
            </w:pPr>
            <w:r>
              <w:rPr>
                <w:rFonts w:ascii="Times New Roman" w:hAnsi="Times New Roman"/>
                <w:b/>
                <w:bCs/>
                <w:sz w:val="24"/>
                <w:szCs w:val="24"/>
                <w:lang w:val="en-US"/>
              </w:rPr>
              <w:t xml:space="preserve"> 2021/22</w:t>
            </w:r>
          </w:p>
        </w:tc>
      </w:tr>
      <w:tr w:rsidR="006B7740" w:rsidRPr="00DA6B62" w14:paraId="5B6AB24F" w14:textId="77777777" w:rsidTr="006B7740">
        <w:trPr>
          <w:trHeight w:val="522"/>
          <w:jc w:val="center"/>
        </w:trPr>
        <w:tc>
          <w:tcPr>
            <w:tcW w:w="8800" w:type="dxa"/>
            <w:gridSpan w:val="4"/>
            <w:shd w:val="clear" w:color="auto" w:fill="auto"/>
            <w:tcMar>
              <w:top w:w="12" w:type="dxa"/>
              <w:left w:w="12" w:type="dxa"/>
              <w:bottom w:w="0" w:type="dxa"/>
              <w:right w:w="12" w:type="dxa"/>
            </w:tcMar>
            <w:vAlign w:val="bottom"/>
            <w:hideMark/>
          </w:tcPr>
          <w:p w14:paraId="1DD6FB12" w14:textId="77777777" w:rsidR="006B7740" w:rsidRPr="00DA6B62" w:rsidRDefault="006B7740" w:rsidP="006B7740">
            <w:pPr>
              <w:spacing w:line="360" w:lineRule="auto"/>
              <w:jc w:val="center"/>
              <w:rPr>
                <w:rFonts w:ascii="Times New Roman" w:hAnsi="Times New Roman"/>
                <w:sz w:val="24"/>
                <w:szCs w:val="24"/>
              </w:rPr>
            </w:pPr>
            <w:r w:rsidRPr="00DA6B62">
              <w:rPr>
                <w:rFonts w:ascii="Times New Roman" w:hAnsi="Times New Roman"/>
                <w:b/>
                <w:bCs/>
                <w:sz w:val="24"/>
                <w:szCs w:val="24"/>
                <w:u w:val="single"/>
                <w:lang w:val="en-US"/>
              </w:rPr>
              <w:t>Income</w:t>
            </w:r>
          </w:p>
        </w:tc>
      </w:tr>
      <w:tr w:rsidR="00DA6B62" w:rsidRPr="00DA6B62" w14:paraId="2561EA13" w14:textId="77777777" w:rsidTr="006B7740">
        <w:trPr>
          <w:trHeight w:val="522"/>
          <w:jc w:val="center"/>
        </w:trPr>
        <w:tc>
          <w:tcPr>
            <w:tcW w:w="3256" w:type="dxa"/>
            <w:shd w:val="clear" w:color="auto" w:fill="auto"/>
            <w:tcMar>
              <w:top w:w="12" w:type="dxa"/>
              <w:left w:w="12" w:type="dxa"/>
              <w:bottom w:w="0" w:type="dxa"/>
              <w:right w:w="12" w:type="dxa"/>
            </w:tcMar>
            <w:vAlign w:val="bottom"/>
            <w:hideMark/>
          </w:tcPr>
          <w:p w14:paraId="2747798F" w14:textId="77777777" w:rsidR="00DA6B62" w:rsidRPr="00DA6B62" w:rsidRDefault="00DA6B62" w:rsidP="00DA6B62">
            <w:pPr>
              <w:spacing w:line="360" w:lineRule="auto"/>
              <w:rPr>
                <w:rFonts w:ascii="Times New Roman" w:hAnsi="Times New Roman"/>
                <w:sz w:val="24"/>
                <w:szCs w:val="24"/>
              </w:rPr>
            </w:pPr>
            <w:r w:rsidRPr="00DA6B62">
              <w:rPr>
                <w:rFonts w:ascii="Times New Roman" w:hAnsi="Times New Roman"/>
                <w:sz w:val="24"/>
                <w:szCs w:val="24"/>
                <w:lang w:val="en-US"/>
              </w:rPr>
              <w:t>Revenue</w:t>
            </w:r>
          </w:p>
        </w:tc>
        <w:tc>
          <w:tcPr>
            <w:tcW w:w="1701" w:type="dxa"/>
            <w:shd w:val="clear" w:color="auto" w:fill="auto"/>
            <w:tcMar>
              <w:top w:w="12" w:type="dxa"/>
              <w:left w:w="12" w:type="dxa"/>
              <w:bottom w:w="0" w:type="dxa"/>
              <w:right w:w="12" w:type="dxa"/>
            </w:tcMar>
            <w:vAlign w:val="bottom"/>
            <w:hideMark/>
          </w:tcPr>
          <w:p w14:paraId="7C0F3C43"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 xml:space="preserve">      1,532,442 </w:t>
            </w:r>
          </w:p>
        </w:tc>
        <w:tc>
          <w:tcPr>
            <w:tcW w:w="1984" w:type="dxa"/>
            <w:shd w:val="clear" w:color="auto" w:fill="auto"/>
            <w:tcMar>
              <w:top w:w="12" w:type="dxa"/>
              <w:left w:w="12" w:type="dxa"/>
              <w:bottom w:w="0" w:type="dxa"/>
              <w:right w:w="12" w:type="dxa"/>
            </w:tcMar>
            <w:vAlign w:val="bottom"/>
            <w:hideMark/>
          </w:tcPr>
          <w:p w14:paraId="6F87C3F5"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 xml:space="preserve">        1,749,280 </w:t>
            </w:r>
          </w:p>
        </w:tc>
        <w:tc>
          <w:tcPr>
            <w:tcW w:w="1859" w:type="dxa"/>
            <w:shd w:val="clear" w:color="auto" w:fill="auto"/>
            <w:tcMar>
              <w:top w:w="12" w:type="dxa"/>
              <w:left w:w="12" w:type="dxa"/>
              <w:bottom w:w="0" w:type="dxa"/>
              <w:right w:w="12" w:type="dxa"/>
            </w:tcMar>
            <w:vAlign w:val="bottom"/>
            <w:hideMark/>
          </w:tcPr>
          <w:p w14:paraId="46758451"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 xml:space="preserve">        1,960,157 </w:t>
            </w:r>
          </w:p>
        </w:tc>
      </w:tr>
      <w:tr w:rsidR="00DA6B62" w:rsidRPr="00DA6B62" w14:paraId="001529F2" w14:textId="77777777" w:rsidTr="006B7740">
        <w:trPr>
          <w:trHeight w:val="522"/>
          <w:jc w:val="center"/>
        </w:trPr>
        <w:tc>
          <w:tcPr>
            <w:tcW w:w="3256" w:type="dxa"/>
            <w:shd w:val="clear" w:color="auto" w:fill="auto"/>
            <w:tcMar>
              <w:top w:w="12" w:type="dxa"/>
              <w:left w:w="12" w:type="dxa"/>
              <w:bottom w:w="0" w:type="dxa"/>
              <w:right w:w="12" w:type="dxa"/>
            </w:tcMar>
            <w:vAlign w:val="bottom"/>
            <w:hideMark/>
          </w:tcPr>
          <w:p w14:paraId="385D9BCB" w14:textId="77777777" w:rsidR="00DA6B62" w:rsidRPr="00DA6B62" w:rsidRDefault="00DA6B62" w:rsidP="00DA6B62">
            <w:pPr>
              <w:spacing w:line="360" w:lineRule="auto"/>
              <w:rPr>
                <w:rFonts w:ascii="Times New Roman" w:hAnsi="Times New Roman"/>
                <w:sz w:val="24"/>
                <w:szCs w:val="24"/>
              </w:rPr>
            </w:pPr>
            <w:r w:rsidRPr="00DA6B62">
              <w:rPr>
                <w:rFonts w:ascii="Times New Roman" w:hAnsi="Times New Roman"/>
                <w:sz w:val="24"/>
                <w:szCs w:val="24"/>
                <w:lang w:val="en-US"/>
              </w:rPr>
              <w:t>Other operating income</w:t>
            </w:r>
          </w:p>
        </w:tc>
        <w:tc>
          <w:tcPr>
            <w:tcW w:w="1701" w:type="dxa"/>
            <w:shd w:val="clear" w:color="auto" w:fill="auto"/>
            <w:tcMar>
              <w:top w:w="12" w:type="dxa"/>
              <w:left w:w="12" w:type="dxa"/>
              <w:bottom w:w="0" w:type="dxa"/>
              <w:right w:w="12" w:type="dxa"/>
            </w:tcMar>
            <w:vAlign w:val="bottom"/>
            <w:hideMark/>
          </w:tcPr>
          <w:p w14:paraId="7A2E79C2"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 xml:space="preserve">         104,954 </w:t>
            </w:r>
          </w:p>
        </w:tc>
        <w:tc>
          <w:tcPr>
            <w:tcW w:w="1984" w:type="dxa"/>
            <w:shd w:val="clear" w:color="auto" w:fill="auto"/>
            <w:tcMar>
              <w:top w:w="12" w:type="dxa"/>
              <w:left w:w="12" w:type="dxa"/>
              <w:bottom w:w="0" w:type="dxa"/>
              <w:right w:w="12" w:type="dxa"/>
            </w:tcMar>
            <w:vAlign w:val="bottom"/>
            <w:hideMark/>
          </w:tcPr>
          <w:p w14:paraId="6401FE76"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 xml:space="preserve">           110,726 </w:t>
            </w:r>
          </w:p>
        </w:tc>
        <w:tc>
          <w:tcPr>
            <w:tcW w:w="1859" w:type="dxa"/>
            <w:shd w:val="clear" w:color="auto" w:fill="auto"/>
            <w:tcMar>
              <w:top w:w="12" w:type="dxa"/>
              <w:left w:w="12" w:type="dxa"/>
              <w:bottom w:w="0" w:type="dxa"/>
              <w:right w:w="12" w:type="dxa"/>
            </w:tcMar>
            <w:vAlign w:val="bottom"/>
            <w:hideMark/>
          </w:tcPr>
          <w:p w14:paraId="3B8BDFCA"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 xml:space="preserve">           121,799 </w:t>
            </w:r>
          </w:p>
        </w:tc>
      </w:tr>
      <w:tr w:rsidR="00DA6B62" w:rsidRPr="00DA6B62" w14:paraId="3900B33D" w14:textId="77777777" w:rsidTr="006B7740">
        <w:trPr>
          <w:trHeight w:val="522"/>
          <w:jc w:val="center"/>
        </w:trPr>
        <w:tc>
          <w:tcPr>
            <w:tcW w:w="3256" w:type="dxa"/>
            <w:shd w:val="clear" w:color="auto" w:fill="auto"/>
            <w:tcMar>
              <w:top w:w="12" w:type="dxa"/>
              <w:left w:w="12" w:type="dxa"/>
              <w:bottom w:w="0" w:type="dxa"/>
              <w:right w:w="12" w:type="dxa"/>
            </w:tcMar>
            <w:vAlign w:val="bottom"/>
            <w:hideMark/>
          </w:tcPr>
          <w:p w14:paraId="46F6C90F" w14:textId="77777777" w:rsidR="00DA6B62" w:rsidRPr="00DA6B62" w:rsidRDefault="00DA6B62" w:rsidP="00DA6B62">
            <w:pPr>
              <w:spacing w:line="360" w:lineRule="auto"/>
              <w:rPr>
                <w:rFonts w:ascii="Times New Roman" w:hAnsi="Times New Roman"/>
                <w:sz w:val="24"/>
                <w:szCs w:val="24"/>
              </w:rPr>
            </w:pPr>
            <w:r w:rsidRPr="00DA6B62">
              <w:rPr>
                <w:rFonts w:ascii="Times New Roman" w:hAnsi="Times New Roman"/>
                <w:sz w:val="24"/>
                <w:szCs w:val="24"/>
                <w:lang w:val="en-US"/>
              </w:rPr>
              <w:t>Interest received</w:t>
            </w:r>
          </w:p>
        </w:tc>
        <w:tc>
          <w:tcPr>
            <w:tcW w:w="1701" w:type="dxa"/>
            <w:shd w:val="clear" w:color="auto" w:fill="auto"/>
            <w:tcMar>
              <w:top w:w="12" w:type="dxa"/>
              <w:left w:w="12" w:type="dxa"/>
              <w:bottom w:w="0" w:type="dxa"/>
              <w:right w:w="12" w:type="dxa"/>
            </w:tcMar>
            <w:vAlign w:val="bottom"/>
            <w:hideMark/>
          </w:tcPr>
          <w:p w14:paraId="048C1B5F"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 xml:space="preserve">             3,814 </w:t>
            </w:r>
          </w:p>
        </w:tc>
        <w:tc>
          <w:tcPr>
            <w:tcW w:w="1984" w:type="dxa"/>
            <w:shd w:val="clear" w:color="auto" w:fill="auto"/>
            <w:tcMar>
              <w:top w:w="12" w:type="dxa"/>
              <w:left w:w="12" w:type="dxa"/>
              <w:bottom w:w="0" w:type="dxa"/>
              <w:right w:w="12" w:type="dxa"/>
            </w:tcMar>
            <w:vAlign w:val="bottom"/>
            <w:hideMark/>
          </w:tcPr>
          <w:p w14:paraId="0E02C13D"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 xml:space="preserve">               4,092 </w:t>
            </w:r>
          </w:p>
        </w:tc>
        <w:tc>
          <w:tcPr>
            <w:tcW w:w="1859" w:type="dxa"/>
            <w:shd w:val="clear" w:color="auto" w:fill="auto"/>
            <w:tcMar>
              <w:top w:w="12" w:type="dxa"/>
              <w:left w:w="12" w:type="dxa"/>
              <w:bottom w:w="0" w:type="dxa"/>
              <w:right w:w="12" w:type="dxa"/>
            </w:tcMar>
            <w:vAlign w:val="bottom"/>
            <w:hideMark/>
          </w:tcPr>
          <w:p w14:paraId="1ABBFDB4"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 xml:space="preserve">               4,501 </w:t>
            </w:r>
          </w:p>
        </w:tc>
      </w:tr>
      <w:tr w:rsidR="00DA6B62" w:rsidRPr="00DA6B62" w14:paraId="16B698BF" w14:textId="77777777" w:rsidTr="006B7740">
        <w:trPr>
          <w:trHeight w:val="522"/>
          <w:jc w:val="center"/>
        </w:trPr>
        <w:tc>
          <w:tcPr>
            <w:tcW w:w="3256" w:type="dxa"/>
            <w:shd w:val="clear" w:color="auto" w:fill="auto"/>
            <w:tcMar>
              <w:top w:w="12" w:type="dxa"/>
              <w:left w:w="12" w:type="dxa"/>
              <w:bottom w:w="0" w:type="dxa"/>
              <w:right w:w="12" w:type="dxa"/>
            </w:tcMar>
            <w:vAlign w:val="bottom"/>
            <w:hideMark/>
          </w:tcPr>
          <w:p w14:paraId="6AE9049F" w14:textId="77777777" w:rsidR="00DA6B62" w:rsidRPr="00DA6B62" w:rsidRDefault="00DA6B62" w:rsidP="00DA6B62">
            <w:pPr>
              <w:spacing w:line="360" w:lineRule="auto"/>
              <w:rPr>
                <w:rFonts w:ascii="Times New Roman" w:hAnsi="Times New Roman"/>
                <w:sz w:val="24"/>
                <w:szCs w:val="24"/>
              </w:rPr>
            </w:pPr>
            <w:r w:rsidRPr="00DA6B62">
              <w:rPr>
                <w:rFonts w:ascii="Times New Roman" w:hAnsi="Times New Roman"/>
                <w:b/>
                <w:bCs/>
                <w:sz w:val="24"/>
                <w:szCs w:val="24"/>
                <w:lang w:val="en-US"/>
              </w:rPr>
              <w:t>Total income</w:t>
            </w:r>
          </w:p>
        </w:tc>
        <w:tc>
          <w:tcPr>
            <w:tcW w:w="1701" w:type="dxa"/>
            <w:shd w:val="clear" w:color="auto" w:fill="auto"/>
            <w:tcMar>
              <w:top w:w="12" w:type="dxa"/>
              <w:left w:w="12" w:type="dxa"/>
              <w:bottom w:w="0" w:type="dxa"/>
              <w:right w:w="12" w:type="dxa"/>
            </w:tcMar>
            <w:vAlign w:val="bottom"/>
            <w:hideMark/>
          </w:tcPr>
          <w:p w14:paraId="08634352"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b/>
                <w:bCs/>
                <w:sz w:val="24"/>
                <w:szCs w:val="24"/>
                <w:lang w:val="en-US"/>
              </w:rPr>
              <w:t xml:space="preserve">      1,641,210 </w:t>
            </w:r>
          </w:p>
        </w:tc>
        <w:tc>
          <w:tcPr>
            <w:tcW w:w="1984" w:type="dxa"/>
            <w:shd w:val="clear" w:color="auto" w:fill="auto"/>
            <w:tcMar>
              <w:top w:w="12" w:type="dxa"/>
              <w:left w:w="12" w:type="dxa"/>
              <w:bottom w:w="0" w:type="dxa"/>
              <w:right w:w="12" w:type="dxa"/>
            </w:tcMar>
            <w:vAlign w:val="bottom"/>
            <w:hideMark/>
          </w:tcPr>
          <w:p w14:paraId="631A687E"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b/>
                <w:bCs/>
                <w:sz w:val="24"/>
                <w:szCs w:val="24"/>
                <w:lang w:val="en-US"/>
              </w:rPr>
              <w:t xml:space="preserve">        1,864,098 </w:t>
            </w:r>
          </w:p>
        </w:tc>
        <w:tc>
          <w:tcPr>
            <w:tcW w:w="1859" w:type="dxa"/>
            <w:shd w:val="clear" w:color="auto" w:fill="auto"/>
            <w:tcMar>
              <w:top w:w="12" w:type="dxa"/>
              <w:left w:w="12" w:type="dxa"/>
              <w:bottom w:w="0" w:type="dxa"/>
              <w:right w:w="12" w:type="dxa"/>
            </w:tcMar>
            <w:vAlign w:val="bottom"/>
            <w:hideMark/>
          </w:tcPr>
          <w:p w14:paraId="0727A376"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b/>
                <w:bCs/>
                <w:sz w:val="24"/>
                <w:szCs w:val="24"/>
                <w:lang w:val="en-US"/>
              </w:rPr>
              <w:t xml:space="preserve">        2,086,457 </w:t>
            </w:r>
          </w:p>
        </w:tc>
      </w:tr>
      <w:tr w:rsidR="006B7740" w:rsidRPr="00DA6B62" w14:paraId="28DD9BD8" w14:textId="77777777" w:rsidTr="006B7740">
        <w:trPr>
          <w:trHeight w:val="522"/>
          <w:jc w:val="center"/>
        </w:trPr>
        <w:tc>
          <w:tcPr>
            <w:tcW w:w="8800" w:type="dxa"/>
            <w:gridSpan w:val="4"/>
            <w:shd w:val="clear" w:color="auto" w:fill="auto"/>
            <w:tcMar>
              <w:top w:w="12" w:type="dxa"/>
              <w:left w:w="12" w:type="dxa"/>
              <w:bottom w:w="0" w:type="dxa"/>
              <w:right w:w="12" w:type="dxa"/>
            </w:tcMar>
            <w:vAlign w:val="bottom"/>
            <w:hideMark/>
          </w:tcPr>
          <w:p w14:paraId="760E97AC" w14:textId="77777777" w:rsidR="006B7740" w:rsidRPr="00DA6B62" w:rsidRDefault="006B7740" w:rsidP="006B7740">
            <w:pPr>
              <w:spacing w:line="360" w:lineRule="auto"/>
              <w:jc w:val="center"/>
              <w:rPr>
                <w:rFonts w:ascii="Times New Roman" w:hAnsi="Times New Roman"/>
                <w:sz w:val="24"/>
                <w:szCs w:val="24"/>
              </w:rPr>
            </w:pPr>
            <w:r w:rsidRPr="00DA6B62">
              <w:rPr>
                <w:rFonts w:ascii="Times New Roman" w:hAnsi="Times New Roman"/>
                <w:b/>
                <w:bCs/>
                <w:sz w:val="24"/>
                <w:szCs w:val="24"/>
                <w:u w:val="single"/>
                <w:lang w:val="en-US"/>
              </w:rPr>
              <w:t>Expenditure</w:t>
            </w:r>
          </w:p>
        </w:tc>
      </w:tr>
      <w:tr w:rsidR="00DA6B62" w:rsidRPr="00DA6B62" w14:paraId="0260599D" w14:textId="77777777" w:rsidTr="006B7740">
        <w:trPr>
          <w:trHeight w:val="522"/>
          <w:jc w:val="center"/>
        </w:trPr>
        <w:tc>
          <w:tcPr>
            <w:tcW w:w="3256" w:type="dxa"/>
            <w:shd w:val="clear" w:color="auto" w:fill="auto"/>
            <w:tcMar>
              <w:top w:w="12" w:type="dxa"/>
              <w:left w:w="12" w:type="dxa"/>
              <w:bottom w:w="0" w:type="dxa"/>
              <w:right w:w="12" w:type="dxa"/>
            </w:tcMar>
            <w:vAlign w:val="bottom"/>
            <w:hideMark/>
          </w:tcPr>
          <w:p w14:paraId="58B078C5" w14:textId="77777777" w:rsidR="00DA6B62" w:rsidRPr="00DA6B62" w:rsidRDefault="00DA6B62" w:rsidP="00DA6B62">
            <w:pPr>
              <w:spacing w:line="360" w:lineRule="auto"/>
              <w:rPr>
                <w:rFonts w:ascii="Times New Roman" w:hAnsi="Times New Roman"/>
                <w:sz w:val="24"/>
                <w:szCs w:val="24"/>
              </w:rPr>
            </w:pPr>
            <w:r w:rsidRPr="00DA6B62">
              <w:rPr>
                <w:rFonts w:ascii="Times New Roman" w:hAnsi="Times New Roman"/>
                <w:sz w:val="24"/>
                <w:szCs w:val="24"/>
                <w:lang w:val="en-US"/>
              </w:rPr>
              <w:t>Compensation of employees</w:t>
            </w:r>
          </w:p>
        </w:tc>
        <w:tc>
          <w:tcPr>
            <w:tcW w:w="1701" w:type="dxa"/>
            <w:shd w:val="clear" w:color="auto" w:fill="auto"/>
            <w:tcMar>
              <w:top w:w="12" w:type="dxa"/>
              <w:left w:w="12" w:type="dxa"/>
              <w:bottom w:w="0" w:type="dxa"/>
              <w:right w:w="12" w:type="dxa"/>
            </w:tcMar>
            <w:vAlign w:val="bottom"/>
            <w:hideMark/>
          </w:tcPr>
          <w:p w14:paraId="05160C77"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366,667</w:t>
            </w:r>
          </w:p>
        </w:tc>
        <w:tc>
          <w:tcPr>
            <w:tcW w:w="1984" w:type="dxa"/>
            <w:shd w:val="clear" w:color="auto" w:fill="auto"/>
            <w:tcMar>
              <w:top w:w="12" w:type="dxa"/>
              <w:left w:w="12" w:type="dxa"/>
              <w:bottom w:w="0" w:type="dxa"/>
              <w:right w:w="12" w:type="dxa"/>
            </w:tcMar>
            <w:vAlign w:val="bottom"/>
            <w:hideMark/>
          </w:tcPr>
          <w:p w14:paraId="39E8DE1D"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395,293</w:t>
            </w:r>
          </w:p>
        </w:tc>
        <w:tc>
          <w:tcPr>
            <w:tcW w:w="1859" w:type="dxa"/>
            <w:shd w:val="clear" w:color="auto" w:fill="auto"/>
            <w:tcMar>
              <w:top w:w="12" w:type="dxa"/>
              <w:left w:w="12" w:type="dxa"/>
              <w:bottom w:w="0" w:type="dxa"/>
              <w:right w:w="12" w:type="dxa"/>
            </w:tcMar>
            <w:vAlign w:val="bottom"/>
            <w:hideMark/>
          </w:tcPr>
          <w:p w14:paraId="359DD0CF"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423,235</w:t>
            </w:r>
          </w:p>
        </w:tc>
      </w:tr>
      <w:tr w:rsidR="00DA6B62" w:rsidRPr="00DA6B62" w14:paraId="412C5674" w14:textId="77777777" w:rsidTr="006B7740">
        <w:trPr>
          <w:trHeight w:val="698"/>
          <w:jc w:val="center"/>
        </w:trPr>
        <w:tc>
          <w:tcPr>
            <w:tcW w:w="3256" w:type="dxa"/>
            <w:shd w:val="clear" w:color="auto" w:fill="auto"/>
            <w:tcMar>
              <w:top w:w="12" w:type="dxa"/>
              <w:left w:w="12" w:type="dxa"/>
              <w:bottom w:w="0" w:type="dxa"/>
              <w:right w:w="12" w:type="dxa"/>
            </w:tcMar>
            <w:vAlign w:val="bottom"/>
            <w:hideMark/>
          </w:tcPr>
          <w:p w14:paraId="455A894B" w14:textId="77777777" w:rsidR="00DA6B62" w:rsidRPr="00DA6B62" w:rsidRDefault="00DA6B62" w:rsidP="00DA6B62">
            <w:pPr>
              <w:spacing w:line="360" w:lineRule="auto"/>
              <w:rPr>
                <w:rFonts w:ascii="Times New Roman" w:hAnsi="Times New Roman"/>
                <w:sz w:val="24"/>
                <w:szCs w:val="24"/>
              </w:rPr>
            </w:pPr>
            <w:r w:rsidRPr="00DA6B62">
              <w:rPr>
                <w:rFonts w:ascii="Times New Roman" w:hAnsi="Times New Roman"/>
                <w:sz w:val="24"/>
                <w:szCs w:val="24"/>
                <w:lang w:val="en-US"/>
              </w:rPr>
              <w:t>Goods and Services</w:t>
            </w:r>
          </w:p>
        </w:tc>
        <w:tc>
          <w:tcPr>
            <w:tcW w:w="1701" w:type="dxa"/>
            <w:shd w:val="clear" w:color="auto" w:fill="auto"/>
            <w:tcMar>
              <w:top w:w="12" w:type="dxa"/>
              <w:left w:w="12" w:type="dxa"/>
              <w:bottom w:w="0" w:type="dxa"/>
              <w:right w:w="12" w:type="dxa"/>
            </w:tcMar>
            <w:vAlign w:val="bottom"/>
            <w:hideMark/>
          </w:tcPr>
          <w:p w14:paraId="3D51D100"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1,038,003</w:t>
            </w:r>
          </w:p>
        </w:tc>
        <w:tc>
          <w:tcPr>
            <w:tcW w:w="1984" w:type="dxa"/>
            <w:shd w:val="clear" w:color="auto" w:fill="auto"/>
            <w:tcMar>
              <w:top w:w="12" w:type="dxa"/>
              <w:left w:w="12" w:type="dxa"/>
              <w:bottom w:w="0" w:type="dxa"/>
              <w:right w:w="12" w:type="dxa"/>
            </w:tcMar>
            <w:vAlign w:val="bottom"/>
            <w:hideMark/>
          </w:tcPr>
          <w:p w14:paraId="06CBB3D0"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1,166,811</w:t>
            </w:r>
          </w:p>
        </w:tc>
        <w:tc>
          <w:tcPr>
            <w:tcW w:w="1859" w:type="dxa"/>
            <w:shd w:val="clear" w:color="auto" w:fill="auto"/>
            <w:tcMar>
              <w:top w:w="12" w:type="dxa"/>
              <w:left w:w="12" w:type="dxa"/>
              <w:bottom w:w="0" w:type="dxa"/>
              <w:right w:w="12" w:type="dxa"/>
            </w:tcMar>
            <w:vAlign w:val="bottom"/>
            <w:hideMark/>
          </w:tcPr>
          <w:p w14:paraId="4FBDD8A0"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1,290,836</w:t>
            </w:r>
          </w:p>
        </w:tc>
      </w:tr>
      <w:tr w:rsidR="00DA6B62" w:rsidRPr="00DA6B62" w14:paraId="2BF64393" w14:textId="77777777" w:rsidTr="006B7740">
        <w:trPr>
          <w:trHeight w:val="522"/>
          <w:jc w:val="center"/>
        </w:trPr>
        <w:tc>
          <w:tcPr>
            <w:tcW w:w="3256" w:type="dxa"/>
            <w:shd w:val="clear" w:color="auto" w:fill="auto"/>
            <w:tcMar>
              <w:top w:w="12" w:type="dxa"/>
              <w:left w:w="12" w:type="dxa"/>
              <w:bottom w:w="0" w:type="dxa"/>
              <w:right w:w="12" w:type="dxa"/>
            </w:tcMar>
            <w:vAlign w:val="bottom"/>
            <w:hideMark/>
          </w:tcPr>
          <w:p w14:paraId="5CFD824C" w14:textId="77777777" w:rsidR="00DA6B62" w:rsidRPr="00DA6B62" w:rsidRDefault="00DA6B62" w:rsidP="00DA6B62">
            <w:pPr>
              <w:spacing w:line="360" w:lineRule="auto"/>
              <w:rPr>
                <w:rFonts w:ascii="Times New Roman" w:hAnsi="Times New Roman"/>
                <w:sz w:val="24"/>
                <w:szCs w:val="24"/>
              </w:rPr>
            </w:pPr>
            <w:r w:rsidRPr="00DA6B62">
              <w:rPr>
                <w:rFonts w:ascii="Times New Roman" w:hAnsi="Times New Roman"/>
                <w:sz w:val="24"/>
                <w:szCs w:val="24"/>
                <w:lang w:val="en-US"/>
              </w:rPr>
              <w:t>Depreciation</w:t>
            </w:r>
          </w:p>
        </w:tc>
        <w:tc>
          <w:tcPr>
            <w:tcW w:w="1701" w:type="dxa"/>
            <w:shd w:val="clear" w:color="auto" w:fill="auto"/>
            <w:tcMar>
              <w:top w:w="12" w:type="dxa"/>
              <w:left w:w="12" w:type="dxa"/>
              <w:bottom w:w="0" w:type="dxa"/>
              <w:right w:w="12" w:type="dxa"/>
            </w:tcMar>
            <w:vAlign w:val="bottom"/>
            <w:hideMark/>
          </w:tcPr>
          <w:p w14:paraId="047C7581"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83,295</w:t>
            </w:r>
          </w:p>
        </w:tc>
        <w:tc>
          <w:tcPr>
            <w:tcW w:w="1984" w:type="dxa"/>
            <w:shd w:val="clear" w:color="auto" w:fill="auto"/>
            <w:tcMar>
              <w:top w:w="12" w:type="dxa"/>
              <w:left w:w="12" w:type="dxa"/>
              <w:bottom w:w="0" w:type="dxa"/>
              <w:right w:w="12" w:type="dxa"/>
            </w:tcMar>
            <w:vAlign w:val="bottom"/>
            <w:hideMark/>
          </w:tcPr>
          <w:p w14:paraId="35B48BD0"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127,067</w:t>
            </w:r>
          </w:p>
        </w:tc>
        <w:tc>
          <w:tcPr>
            <w:tcW w:w="1859" w:type="dxa"/>
            <w:shd w:val="clear" w:color="auto" w:fill="auto"/>
            <w:tcMar>
              <w:top w:w="12" w:type="dxa"/>
              <w:left w:w="12" w:type="dxa"/>
              <w:bottom w:w="0" w:type="dxa"/>
              <w:right w:w="12" w:type="dxa"/>
            </w:tcMar>
            <w:vAlign w:val="bottom"/>
            <w:hideMark/>
          </w:tcPr>
          <w:p w14:paraId="6A647C02"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sz w:val="24"/>
                <w:szCs w:val="24"/>
                <w:lang w:val="en-US"/>
              </w:rPr>
              <w:t>176,369</w:t>
            </w:r>
          </w:p>
        </w:tc>
      </w:tr>
      <w:tr w:rsidR="00DA6B62" w:rsidRPr="00DA6B62" w14:paraId="3FA974F3" w14:textId="77777777" w:rsidTr="006B7740">
        <w:trPr>
          <w:trHeight w:val="522"/>
          <w:jc w:val="center"/>
        </w:trPr>
        <w:tc>
          <w:tcPr>
            <w:tcW w:w="3256" w:type="dxa"/>
            <w:shd w:val="clear" w:color="auto" w:fill="auto"/>
            <w:tcMar>
              <w:top w:w="12" w:type="dxa"/>
              <w:left w:w="12" w:type="dxa"/>
              <w:bottom w:w="0" w:type="dxa"/>
              <w:right w:w="12" w:type="dxa"/>
            </w:tcMar>
            <w:vAlign w:val="bottom"/>
            <w:hideMark/>
          </w:tcPr>
          <w:p w14:paraId="218B38FE" w14:textId="77777777" w:rsidR="00DA6B62" w:rsidRPr="00DA6B62" w:rsidRDefault="00DA6B62" w:rsidP="00DA6B62">
            <w:pPr>
              <w:spacing w:line="360" w:lineRule="auto"/>
              <w:rPr>
                <w:rFonts w:ascii="Times New Roman" w:hAnsi="Times New Roman"/>
                <w:sz w:val="24"/>
                <w:szCs w:val="24"/>
              </w:rPr>
            </w:pPr>
            <w:r w:rsidRPr="00DA6B62">
              <w:rPr>
                <w:rFonts w:ascii="Times New Roman" w:hAnsi="Times New Roman"/>
                <w:b/>
                <w:bCs/>
                <w:sz w:val="24"/>
                <w:szCs w:val="24"/>
                <w:lang w:val="en-US"/>
              </w:rPr>
              <w:t>Total expenditure</w:t>
            </w:r>
          </w:p>
        </w:tc>
        <w:tc>
          <w:tcPr>
            <w:tcW w:w="1701" w:type="dxa"/>
            <w:shd w:val="clear" w:color="auto" w:fill="auto"/>
            <w:tcMar>
              <w:top w:w="12" w:type="dxa"/>
              <w:left w:w="12" w:type="dxa"/>
              <w:bottom w:w="0" w:type="dxa"/>
              <w:right w:w="12" w:type="dxa"/>
            </w:tcMar>
            <w:vAlign w:val="bottom"/>
            <w:hideMark/>
          </w:tcPr>
          <w:p w14:paraId="751632E6"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b/>
                <w:bCs/>
                <w:sz w:val="24"/>
                <w:szCs w:val="24"/>
                <w:lang w:val="en-US"/>
              </w:rPr>
              <w:t>1,487,965</w:t>
            </w:r>
          </w:p>
        </w:tc>
        <w:tc>
          <w:tcPr>
            <w:tcW w:w="1984" w:type="dxa"/>
            <w:shd w:val="clear" w:color="auto" w:fill="auto"/>
            <w:tcMar>
              <w:top w:w="12" w:type="dxa"/>
              <w:left w:w="12" w:type="dxa"/>
              <w:bottom w:w="0" w:type="dxa"/>
              <w:right w:w="12" w:type="dxa"/>
            </w:tcMar>
            <w:vAlign w:val="bottom"/>
            <w:hideMark/>
          </w:tcPr>
          <w:p w14:paraId="6FAB9E75"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b/>
                <w:bCs/>
                <w:sz w:val="24"/>
                <w:szCs w:val="24"/>
                <w:lang w:val="en-US"/>
              </w:rPr>
              <w:t>1,689,171</w:t>
            </w:r>
          </w:p>
        </w:tc>
        <w:tc>
          <w:tcPr>
            <w:tcW w:w="1859" w:type="dxa"/>
            <w:shd w:val="clear" w:color="auto" w:fill="auto"/>
            <w:tcMar>
              <w:top w:w="12" w:type="dxa"/>
              <w:left w:w="12" w:type="dxa"/>
              <w:bottom w:w="0" w:type="dxa"/>
              <w:right w:w="12" w:type="dxa"/>
            </w:tcMar>
            <w:vAlign w:val="bottom"/>
            <w:hideMark/>
          </w:tcPr>
          <w:p w14:paraId="25EAE6EA"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b/>
                <w:bCs/>
                <w:sz w:val="24"/>
                <w:szCs w:val="24"/>
                <w:lang w:val="en-US"/>
              </w:rPr>
              <w:t>1,890,440</w:t>
            </w:r>
          </w:p>
        </w:tc>
      </w:tr>
      <w:tr w:rsidR="00DA6B62" w:rsidRPr="00DA6B62" w14:paraId="49B89AC4" w14:textId="77777777" w:rsidTr="006B7740">
        <w:trPr>
          <w:trHeight w:val="522"/>
          <w:jc w:val="center"/>
        </w:trPr>
        <w:tc>
          <w:tcPr>
            <w:tcW w:w="3256" w:type="dxa"/>
            <w:shd w:val="clear" w:color="auto" w:fill="auto"/>
            <w:tcMar>
              <w:top w:w="12" w:type="dxa"/>
              <w:left w:w="12" w:type="dxa"/>
              <w:bottom w:w="0" w:type="dxa"/>
              <w:right w:w="12" w:type="dxa"/>
            </w:tcMar>
            <w:vAlign w:val="bottom"/>
            <w:hideMark/>
          </w:tcPr>
          <w:p w14:paraId="62F8753A" w14:textId="77777777" w:rsidR="00DA6B62" w:rsidRPr="00DA6B62" w:rsidRDefault="00DA6B62" w:rsidP="00DA6B62">
            <w:pPr>
              <w:spacing w:line="360" w:lineRule="auto"/>
              <w:rPr>
                <w:rFonts w:ascii="Times New Roman" w:hAnsi="Times New Roman"/>
                <w:sz w:val="24"/>
                <w:szCs w:val="24"/>
              </w:rPr>
            </w:pPr>
            <w:r w:rsidRPr="00DA6B62">
              <w:rPr>
                <w:rFonts w:ascii="Times New Roman" w:hAnsi="Times New Roman"/>
                <w:b/>
                <w:bCs/>
                <w:sz w:val="24"/>
                <w:szCs w:val="24"/>
                <w:lang w:val="en-US"/>
              </w:rPr>
              <w:t>Profit</w:t>
            </w:r>
          </w:p>
        </w:tc>
        <w:tc>
          <w:tcPr>
            <w:tcW w:w="1701" w:type="dxa"/>
            <w:shd w:val="clear" w:color="auto" w:fill="auto"/>
            <w:tcMar>
              <w:top w:w="12" w:type="dxa"/>
              <w:left w:w="12" w:type="dxa"/>
              <w:bottom w:w="0" w:type="dxa"/>
              <w:right w:w="12" w:type="dxa"/>
            </w:tcMar>
            <w:vAlign w:val="bottom"/>
            <w:hideMark/>
          </w:tcPr>
          <w:p w14:paraId="70B621F0"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b/>
                <w:bCs/>
                <w:sz w:val="24"/>
                <w:szCs w:val="24"/>
                <w:lang w:val="en-US"/>
              </w:rPr>
              <w:t xml:space="preserve">         153,245 </w:t>
            </w:r>
          </w:p>
        </w:tc>
        <w:tc>
          <w:tcPr>
            <w:tcW w:w="1984" w:type="dxa"/>
            <w:shd w:val="clear" w:color="auto" w:fill="auto"/>
            <w:tcMar>
              <w:top w:w="12" w:type="dxa"/>
              <w:left w:w="12" w:type="dxa"/>
              <w:bottom w:w="0" w:type="dxa"/>
              <w:right w:w="12" w:type="dxa"/>
            </w:tcMar>
            <w:vAlign w:val="bottom"/>
            <w:hideMark/>
          </w:tcPr>
          <w:p w14:paraId="1640D54C"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b/>
                <w:bCs/>
                <w:sz w:val="24"/>
                <w:szCs w:val="24"/>
                <w:lang w:val="en-US"/>
              </w:rPr>
              <w:t xml:space="preserve">           174,927 </w:t>
            </w:r>
          </w:p>
        </w:tc>
        <w:tc>
          <w:tcPr>
            <w:tcW w:w="1859" w:type="dxa"/>
            <w:shd w:val="clear" w:color="auto" w:fill="auto"/>
            <w:tcMar>
              <w:top w:w="12" w:type="dxa"/>
              <w:left w:w="12" w:type="dxa"/>
              <w:bottom w:w="0" w:type="dxa"/>
              <w:right w:w="12" w:type="dxa"/>
            </w:tcMar>
            <w:vAlign w:val="bottom"/>
            <w:hideMark/>
          </w:tcPr>
          <w:p w14:paraId="504387AB" w14:textId="77777777" w:rsidR="00DA6B62" w:rsidRPr="00DA6B62" w:rsidRDefault="00DA6B62" w:rsidP="00DA6B62">
            <w:pPr>
              <w:spacing w:line="360" w:lineRule="auto"/>
              <w:jc w:val="right"/>
              <w:rPr>
                <w:rFonts w:ascii="Times New Roman" w:hAnsi="Times New Roman"/>
                <w:sz w:val="24"/>
                <w:szCs w:val="24"/>
              </w:rPr>
            </w:pPr>
            <w:r w:rsidRPr="00DA6B62">
              <w:rPr>
                <w:rFonts w:ascii="Times New Roman" w:hAnsi="Times New Roman"/>
                <w:b/>
                <w:bCs/>
                <w:sz w:val="24"/>
                <w:szCs w:val="24"/>
                <w:lang w:val="en-US"/>
              </w:rPr>
              <w:t xml:space="preserve">           196,017 </w:t>
            </w:r>
          </w:p>
        </w:tc>
      </w:tr>
    </w:tbl>
    <w:p w14:paraId="4A161D68" w14:textId="77777777" w:rsidR="00F322F6" w:rsidRDefault="00F322F6" w:rsidP="00A33469">
      <w:pPr>
        <w:pStyle w:val="ListParagraph"/>
        <w:spacing w:line="360" w:lineRule="auto"/>
        <w:ind w:left="0"/>
        <w:jc w:val="both"/>
        <w:rPr>
          <w:rFonts w:ascii="Times New Roman" w:hAnsi="Times New Roman"/>
          <w:sz w:val="24"/>
          <w:szCs w:val="24"/>
        </w:rPr>
      </w:pPr>
    </w:p>
    <w:p w14:paraId="4D72EE34" w14:textId="77777777" w:rsidR="00C219C5" w:rsidRDefault="00C219C5" w:rsidP="00A33469">
      <w:pPr>
        <w:pStyle w:val="ListParagraph"/>
        <w:spacing w:line="360" w:lineRule="auto"/>
        <w:ind w:left="0"/>
        <w:jc w:val="both"/>
        <w:rPr>
          <w:rFonts w:ascii="Times New Roman" w:hAnsi="Times New Roman"/>
          <w:sz w:val="24"/>
          <w:szCs w:val="24"/>
        </w:rPr>
      </w:pPr>
      <w:r w:rsidRPr="00C219C5">
        <w:rPr>
          <w:rFonts w:ascii="Times New Roman" w:hAnsi="Times New Roman"/>
          <w:sz w:val="24"/>
          <w:szCs w:val="24"/>
        </w:rPr>
        <w:t>By upgrading its equipment, the entity will be able to do printing that used to be outsourced to private</w:t>
      </w:r>
      <w:r>
        <w:rPr>
          <w:rFonts w:ascii="Times New Roman" w:hAnsi="Times New Roman"/>
          <w:sz w:val="24"/>
          <w:szCs w:val="24"/>
        </w:rPr>
        <w:t xml:space="preserve"> </w:t>
      </w:r>
      <w:r w:rsidRPr="00C219C5">
        <w:rPr>
          <w:rFonts w:ascii="Times New Roman" w:hAnsi="Times New Roman"/>
          <w:sz w:val="24"/>
          <w:szCs w:val="24"/>
        </w:rPr>
        <w:t>companies. This includes 2 machines to print smart identity cards, 1 machine to personalise special documents,</w:t>
      </w:r>
      <w:r>
        <w:rPr>
          <w:rFonts w:ascii="Times New Roman" w:hAnsi="Times New Roman"/>
          <w:sz w:val="24"/>
          <w:szCs w:val="24"/>
        </w:rPr>
        <w:t xml:space="preserve"> </w:t>
      </w:r>
      <w:r w:rsidRPr="00C219C5">
        <w:rPr>
          <w:rFonts w:ascii="Times New Roman" w:hAnsi="Times New Roman"/>
          <w:sz w:val="24"/>
          <w:szCs w:val="24"/>
        </w:rPr>
        <w:t>1 machine to print secure examination materials, and 1 offline serialisation system machine to enable document</w:t>
      </w:r>
      <w:r>
        <w:rPr>
          <w:rFonts w:ascii="Times New Roman" w:hAnsi="Times New Roman"/>
          <w:sz w:val="24"/>
          <w:szCs w:val="24"/>
        </w:rPr>
        <w:t xml:space="preserve"> </w:t>
      </w:r>
      <w:r w:rsidRPr="00C219C5">
        <w:rPr>
          <w:rFonts w:ascii="Times New Roman" w:hAnsi="Times New Roman"/>
          <w:sz w:val="24"/>
          <w:szCs w:val="24"/>
        </w:rPr>
        <w:t>numbering. R972 million over the MTEF period has been allocated in the Production and operations programme</w:t>
      </w:r>
      <w:r>
        <w:rPr>
          <w:rFonts w:ascii="Times New Roman" w:hAnsi="Times New Roman"/>
          <w:sz w:val="24"/>
          <w:szCs w:val="24"/>
        </w:rPr>
        <w:t xml:space="preserve"> </w:t>
      </w:r>
      <w:r w:rsidRPr="00C219C5">
        <w:rPr>
          <w:rFonts w:ascii="Times New Roman" w:hAnsi="Times New Roman"/>
          <w:sz w:val="24"/>
          <w:szCs w:val="24"/>
        </w:rPr>
        <w:t>for the purchase of this specialised equipment and machinery. A further R400 million has been set aside for the</w:t>
      </w:r>
      <w:r>
        <w:rPr>
          <w:rFonts w:ascii="Times New Roman" w:hAnsi="Times New Roman"/>
          <w:sz w:val="24"/>
          <w:szCs w:val="24"/>
        </w:rPr>
        <w:t xml:space="preserve"> </w:t>
      </w:r>
      <w:r w:rsidRPr="00C219C5">
        <w:rPr>
          <w:rFonts w:ascii="Times New Roman" w:hAnsi="Times New Roman"/>
          <w:sz w:val="24"/>
          <w:szCs w:val="24"/>
        </w:rPr>
        <w:t xml:space="preserve">construction of a polycarbonate plant to enable the production of smart ID cards. </w:t>
      </w:r>
    </w:p>
    <w:p w14:paraId="4D292F69" w14:textId="77777777" w:rsidR="00C219C5" w:rsidRDefault="00C219C5" w:rsidP="00A33469">
      <w:pPr>
        <w:pStyle w:val="ListParagraph"/>
        <w:spacing w:line="360" w:lineRule="auto"/>
        <w:ind w:left="0"/>
        <w:jc w:val="both"/>
        <w:rPr>
          <w:rFonts w:ascii="Times New Roman" w:hAnsi="Times New Roman"/>
          <w:sz w:val="24"/>
          <w:szCs w:val="24"/>
        </w:rPr>
      </w:pPr>
    </w:p>
    <w:p w14:paraId="400CA5E9" w14:textId="77777777" w:rsidR="00C219C5" w:rsidRDefault="00C219C5" w:rsidP="00A33469">
      <w:pPr>
        <w:pStyle w:val="ListParagraph"/>
        <w:spacing w:line="360" w:lineRule="auto"/>
        <w:ind w:left="0"/>
        <w:jc w:val="both"/>
        <w:rPr>
          <w:rFonts w:ascii="Times New Roman" w:hAnsi="Times New Roman"/>
          <w:sz w:val="24"/>
          <w:szCs w:val="24"/>
        </w:rPr>
      </w:pPr>
      <w:r>
        <w:rPr>
          <w:rFonts w:ascii="Times New Roman" w:hAnsi="Times New Roman"/>
          <w:sz w:val="24"/>
          <w:szCs w:val="24"/>
        </w:rPr>
        <w:t>GPW</w:t>
      </w:r>
      <w:r w:rsidRPr="00C219C5">
        <w:rPr>
          <w:rFonts w:ascii="Times New Roman" w:hAnsi="Times New Roman"/>
          <w:sz w:val="24"/>
          <w:szCs w:val="24"/>
        </w:rPr>
        <w:t xml:space="preserve"> is currently</w:t>
      </w:r>
      <w:r>
        <w:rPr>
          <w:rFonts w:ascii="Times New Roman" w:hAnsi="Times New Roman"/>
          <w:sz w:val="24"/>
          <w:szCs w:val="24"/>
        </w:rPr>
        <w:t xml:space="preserve"> </w:t>
      </w:r>
      <w:r w:rsidRPr="00C219C5">
        <w:rPr>
          <w:rFonts w:ascii="Times New Roman" w:hAnsi="Times New Roman"/>
          <w:sz w:val="24"/>
          <w:szCs w:val="24"/>
        </w:rPr>
        <w:t>importing the plastic required to produce these cards from overseas companies.</w:t>
      </w:r>
      <w:r>
        <w:rPr>
          <w:rFonts w:ascii="Times New Roman" w:hAnsi="Times New Roman"/>
          <w:sz w:val="24"/>
          <w:szCs w:val="24"/>
        </w:rPr>
        <w:t xml:space="preserve"> This will be insourced as part of the</w:t>
      </w:r>
      <w:r w:rsidRPr="00C219C5">
        <w:rPr>
          <w:rFonts w:ascii="Times New Roman" w:hAnsi="Times New Roman"/>
          <w:sz w:val="24"/>
          <w:szCs w:val="24"/>
        </w:rPr>
        <w:t xml:space="preserve"> construction of a new security printing division in Pretoria</w:t>
      </w:r>
      <w:r>
        <w:rPr>
          <w:rFonts w:ascii="Times New Roman" w:hAnsi="Times New Roman"/>
          <w:sz w:val="24"/>
          <w:szCs w:val="24"/>
        </w:rPr>
        <w:t xml:space="preserve"> that</w:t>
      </w:r>
      <w:r w:rsidRPr="00C219C5">
        <w:rPr>
          <w:rFonts w:ascii="Times New Roman" w:hAnsi="Times New Roman"/>
          <w:sz w:val="24"/>
          <w:szCs w:val="24"/>
        </w:rPr>
        <w:t xml:space="preserve"> is expected to be completed by 2023/24 at an</w:t>
      </w:r>
      <w:r>
        <w:rPr>
          <w:rFonts w:ascii="Times New Roman" w:hAnsi="Times New Roman"/>
          <w:sz w:val="24"/>
          <w:szCs w:val="24"/>
        </w:rPr>
        <w:t xml:space="preserve"> </w:t>
      </w:r>
      <w:r w:rsidRPr="00C219C5">
        <w:rPr>
          <w:rFonts w:ascii="Times New Roman" w:hAnsi="Times New Roman"/>
          <w:sz w:val="24"/>
          <w:szCs w:val="24"/>
        </w:rPr>
        <w:t>estimated cost of R542 million over the MTEF period as part of the organisation’s Production and operations</w:t>
      </w:r>
      <w:r>
        <w:rPr>
          <w:rFonts w:ascii="Times New Roman" w:hAnsi="Times New Roman"/>
          <w:sz w:val="24"/>
          <w:szCs w:val="24"/>
        </w:rPr>
        <w:t xml:space="preserve"> </w:t>
      </w:r>
      <w:r w:rsidRPr="00C219C5">
        <w:rPr>
          <w:rFonts w:ascii="Times New Roman" w:hAnsi="Times New Roman"/>
          <w:sz w:val="24"/>
          <w:szCs w:val="24"/>
        </w:rPr>
        <w:t>programme. The project is managed by the Department of Public Works.</w:t>
      </w:r>
      <w:r>
        <w:rPr>
          <w:rFonts w:ascii="Times New Roman" w:hAnsi="Times New Roman"/>
          <w:sz w:val="24"/>
          <w:szCs w:val="24"/>
        </w:rPr>
        <w:t xml:space="preserve"> </w:t>
      </w:r>
    </w:p>
    <w:p w14:paraId="4045C285" w14:textId="77777777" w:rsidR="00C219C5" w:rsidRDefault="00C219C5" w:rsidP="00A33469">
      <w:pPr>
        <w:pStyle w:val="ListParagraph"/>
        <w:spacing w:line="360" w:lineRule="auto"/>
        <w:ind w:left="0"/>
        <w:jc w:val="both"/>
        <w:rPr>
          <w:rFonts w:ascii="Times New Roman" w:hAnsi="Times New Roman"/>
          <w:sz w:val="24"/>
          <w:szCs w:val="24"/>
        </w:rPr>
      </w:pPr>
    </w:p>
    <w:p w14:paraId="4F445137" w14:textId="77777777" w:rsidR="00A6541E" w:rsidRDefault="00C219C5" w:rsidP="00A33469">
      <w:pPr>
        <w:pStyle w:val="ListParagraph"/>
        <w:spacing w:line="360" w:lineRule="auto"/>
        <w:ind w:left="0"/>
        <w:jc w:val="both"/>
        <w:rPr>
          <w:rFonts w:ascii="Times New Roman" w:hAnsi="Times New Roman"/>
          <w:sz w:val="24"/>
          <w:szCs w:val="24"/>
        </w:rPr>
      </w:pPr>
      <w:r w:rsidRPr="00C219C5">
        <w:rPr>
          <w:rFonts w:ascii="Times New Roman" w:hAnsi="Times New Roman"/>
          <w:sz w:val="24"/>
          <w:szCs w:val="24"/>
        </w:rPr>
        <w:t>As a significant portion of the entity’s personnel are nearing retirement, it will aim to institute a comprehensive</w:t>
      </w:r>
      <w:r>
        <w:rPr>
          <w:rFonts w:ascii="Times New Roman" w:hAnsi="Times New Roman"/>
          <w:sz w:val="24"/>
          <w:szCs w:val="24"/>
        </w:rPr>
        <w:t xml:space="preserve"> </w:t>
      </w:r>
      <w:r w:rsidRPr="00C219C5">
        <w:rPr>
          <w:rFonts w:ascii="Times New Roman" w:hAnsi="Times New Roman"/>
          <w:sz w:val="24"/>
          <w:szCs w:val="24"/>
        </w:rPr>
        <w:t>strategy to develop and attract the specialised skills required for its work through an internship programme and</w:t>
      </w:r>
      <w:r>
        <w:rPr>
          <w:rFonts w:ascii="Times New Roman" w:hAnsi="Times New Roman"/>
          <w:sz w:val="24"/>
          <w:szCs w:val="24"/>
        </w:rPr>
        <w:t xml:space="preserve"> </w:t>
      </w:r>
      <w:r w:rsidRPr="00C219C5">
        <w:rPr>
          <w:rFonts w:ascii="Times New Roman" w:hAnsi="Times New Roman"/>
          <w:sz w:val="24"/>
          <w:szCs w:val="24"/>
        </w:rPr>
        <w:t>recruitment. As a result, the number of personnel is set to increase from 760 in 2018/19 to 899 in 2021/22,</w:t>
      </w:r>
      <w:r>
        <w:rPr>
          <w:rFonts w:ascii="Times New Roman" w:hAnsi="Times New Roman"/>
          <w:sz w:val="24"/>
          <w:szCs w:val="24"/>
        </w:rPr>
        <w:t xml:space="preserve"> </w:t>
      </w:r>
      <w:r w:rsidRPr="00C219C5">
        <w:rPr>
          <w:rFonts w:ascii="Times New Roman" w:hAnsi="Times New Roman"/>
          <w:sz w:val="24"/>
          <w:szCs w:val="24"/>
        </w:rPr>
        <w:t>driving an increase in spending on compensation of employees at an average annual rate of 8.5 per cent, from</w:t>
      </w:r>
      <w:r>
        <w:rPr>
          <w:rFonts w:ascii="Times New Roman" w:hAnsi="Times New Roman"/>
          <w:sz w:val="24"/>
          <w:szCs w:val="24"/>
        </w:rPr>
        <w:t xml:space="preserve"> </w:t>
      </w:r>
      <w:r w:rsidRPr="00C219C5">
        <w:rPr>
          <w:rFonts w:ascii="Times New Roman" w:hAnsi="Times New Roman"/>
          <w:sz w:val="24"/>
          <w:szCs w:val="24"/>
        </w:rPr>
        <w:t>R331 million in 2018/19 to R423.2 million in 2021/22.</w:t>
      </w:r>
      <w:r>
        <w:rPr>
          <w:rFonts w:ascii="Times New Roman" w:hAnsi="Times New Roman"/>
          <w:sz w:val="24"/>
          <w:szCs w:val="24"/>
        </w:rPr>
        <w:t xml:space="preserve"> </w:t>
      </w:r>
    </w:p>
    <w:p w14:paraId="0AEC9036" w14:textId="77777777" w:rsidR="00F322F6" w:rsidRPr="00A33469" w:rsidRDefault="00F322F6" w:rsidP="00A33469">
      <w:pPr>
        <w:pStyle w:val="ListParagraph"/>
        <w:spacing w:line="360" w:lineRule="auto"/>
        <w:ind w:left="0"/>
        <w:jc w:val="both"/>
        <w:rPr>
          <w:rFonts w:ascii="Times New Roman" w:hAnsi="Times New Roman"/>
          <w:sz w:val="24"/>
          <w:szCs w:val="24"/>
        </w:rPr>
      </w:pPr>
    </w:p>
    <w:p w14:paraId="30652A4E" w14:textId="77777777" w:rsidR="00126225" w:rsidRPr="00C56099" w:rsidRDefault="00495011" w:rsidP="0056205B">
      <w:pPr>
        <w:pStyle w:val="ListParagraph"/>
        <w:numPr>
          <w:ilvl w:val="0"/>
          <w:numId w:val="5"/>
        </w:numPr>
        <w:suppressAutoHyphens w:val="0"/>
        <w:autoSpaceDN/>
        <w:spacing w:line="360" w:lineRule="auto"/>
        <w:jc w:val="both"/>
        <w:textAlignment w:val="auto"/>
        <w:rPr>
          <w:rFonts w:ascii="Times New Roman" w:eastAsia="Calibri" w:hAnsi="Times New Roman"/>
          <w:b/>
          <w:color w:val="auto"/>
          <w:spacing w:val="0"/>
          <w:sz w:val="28"/>
          <w:szCs w:val="28"/>
          <w:lang w:eastAsia="en-US"/>
        </w:rPr>
      </w:pPr>
      <w:r w:rsidRPr="00C56099">
        <w:rPr>
          <w:rFonts w:ascii="Times New Roman" w:eastAsia="Calibri" w:hAnsi="Times New Roman"/>
          <w:b/>
          <w:color w:val="auto"/>
          <w:spacing w:val="0"/>
          <w:sz w:val="28"/>
          <w:szCs w:val="28"/>
          <w:lang w:eastAsia="en-US"/>
        </w:rPr>
        <w:t>Committee Observations</w:t>
      </w:r>
    </w:p>
    <w:p w14:paraId="3414BF23" w14:textId="77777777" w:rsidR="00F86755" w:rsidRPr="00F86755" w:rsidRDefault="00F86755" w:rsidP="00F86755">
      <w:pPr>
        <w:suppressAutoHyphens w:val="0"/>
        <w:autoSpaceDN/>
        <w:spacing w:line="360" w:lineRule="auto"/>
        <w:jc w:val="both"/>
        <w:textAlignment w:val="auto"/>
        <w:rPr>
          <w:rFonts w:ascii="Times New Roman" w:eastAsia="Calibri" w:hAnsi="Times New Roman"/>
          <w:b/>
          <w:color w:val="auto"/>
          <w:spacing w:val="0"/>
          <w:sz w:val="24"/>
          <w:szCs w:val="24"/>
          <w:lang w:eastAsia="en-US"/>
        </w:rPr>
      </w:pPr>
      <w:r w:rsidRPr="00C219C5">
        <w:rPr>
          <w:rFonts w:ascii="Times New Roman" w:hAnsi="Times New Roman"/>
          <w:sz w:val="24"/>
          <w:szCs w:val="24"/>
        </w:rPr>
        <w:t>A</w:t>
      </w:r>
      <w:r>
        <w:rPr>
          <w:rFonts w:ascii="Times New Roman" w:hAnsi="Times New Roman"/>
          <w:sz w:val="24"/>
          <w:szCs w:val="24"/>
        </w:rPr>
        <w:t>fter the presentation by the DHA, GPW and IEC;</w:t>
      </w:r>
      <w:r w:rsidRPr="00C219C5">
        <w:rPr>
          <w:rFonts w:ascii="Times New Roman" w:hAnsi="Times New Roman"/>
          <w:sz w:val="24"/>
          <w:szCs w:val="24"/>
        </w:rPr>
        <w:t xml:space="preserve"> the Committee </w:t>
      </w:r>
      <w:r>
        <w:rPr>
          <w:rFonts w:ascii="Times New Roman" w:hAnsi="Times New Roman"/>
          <w:sz w:val="24"/>
          <w:szCs w:val="24"/>
        </w:rPr>
        <w:t>raised</w:t>
      </w:r>
      <w:r w:rsidRPr="00C219C5">
        <w:rPr>
          <w:rFonts w:ascii="Times New Roman" w:hAnsi="Times New Roman"/>
          <w:sz w:val="24"/>
          <w:szCs w:val="24"/>
        </w:rPr>
        <w:t xml:space="preserve"> </w:t>
      </w:r>
      <w:r>
        <w:rPr>
          <w:rFonts w:ascii="Times New Roman" w:hAnsi="Times New Roman"/>
          <w:sz w:val="24"/>
          <w:szCs w:val="24"/>
        </w:rPr>
        <w:t xml:space="preserve">matters including </w:t>
      </w:r>
      <w:r w:rsidRPr="00C219C5">
        <w:rPr>
          <w:rFonts w:ascii="Times New Roman" w:hAnsi="Times New Roman"/>
          <w:sz w:val="24"/>
          <w:szCs w:val="24"/>
        </w:rPr>
        <w:t>the following</w:t>
      </w:r>
    </w:p>
    <w:p w14:paraId="1AF58286" w14:textId="77777777" w:rsidR="003809B8" w:rsidRDefault="003809B8">
      <w:pPr>
        <w:suppressAutoHyphens w:val="0"/>
        <w:autoSpaceDN/>
        <w:spacing w:line="240" w:lineRule="auto"/>
        <w:textAlignment w:val="auto"/>
        <w:rPr>
          <w:rFonts w:ascii="Times New Roman" w:eastAsia="Calibri" w:hAnsi="Times New Roman"/>
          <w:b/>
          <w:color w:val="auto"/>
          <w:spacing w:val="0"/>
          <w:sz w:val="28"/>
          <w:szCs w:val="28"/>
          <w:lang w:eastAsia="en-US"/>
        </w:rPr>
      </w:pPr>
      <w:r>
        <w:rPr>
          <w:rFonts w:ascii="Times New Roman" w:eastAsia="Calibri" w:hAnsi="Times New Roman"/>
          <w:b/>
          <w:color w:val="auto"/>
          <w:spacing w:val="0"/>
          <w:sz w:val="28"/>
          <w:szCs w:val="28"/>
          <w:lang w:eastAsia="en-US"/>
        </w:rPr>
        <w:br w:type="page"/>
      </w:r>
    </w:p>
    <w:p w14:paraId="579D1C3B" w14:textId="77777777" w:rsidR="00495011" w:rsidRPr="00C56099" w:rsidRDefault="001F2A6F" w:rsidP="00A33469">
      <w:pPr>
        <w:suppressAutoHyphens w:val="0"/>
        <w:autoSpaceDN/>
        <w:spacing w:line="360" w:lineRule="auto"/>
        <w:jc w:val="both"/>
        <w:textAlignment w:val="auto"/>
        <w:rPr>
          <w:rFonts w:ascii="Times New Roman" w:eastAsia="Calibri" w:hAnsi="Times New Roman"/>
          <w:color w:val="auto"/>
          <w:spacing w:val="0"/>
          <w:sz w:val="28"/>
          <w:szCs w:val="28"/>
          <w:lang w:eastAsia="en-US"/>
        </w:rPr>
      </w:pPr>
      <w:r w:rsidRPr="00C56099">
        <w:rPr>
          <w:rFonts w:ascii="Times New Roman" w:eastAsia="Calibri" w:hAnsi="Times New Roman"/>
          <w:b/>
          <w:color w:val="auto"/>
          <w:spacing w:val="0"/>
          <w:sz w:val="28"/>
          <w:szCs w:val="28"/>
          <w:lang w:eastAsia="en-US"/>
        </w:rPr>
        <w:t>5</w:t>
      </w:r>
      <w:r w:rsidR="00495011" w:rsidRPr="00C56099">
        <w:rPr>
          <w:rFonts w:ascii="Times New Roman" w:eastAsia="Calibri" w:hAnsi="Times New Roman"/>
          <w:b/>
          <w:color w:val="auto"/>
          <w:spacing w:val="0"/>
          <w:sz w:val="28"/>
          <w:szCs w:val="28"/>
          <w:lang w:eastAsia="en-US"/>
        </w:rPr>
        <w:t>.1.</w:t>
      </w:r>
      <w:r w:rsidR="00495011" w:rsidRPr="00C56099">
        <w:rPr>
          <w:rFonts w:ascii="Times New Roman" w:eastAsia="Calibri" w:hAnsi="Times New Roman"/>
          <w:color w:val="auto"/>
          <w:spacing w:val="0"/>
          <w:sz w:val="28"/>
          <w:szCs w:val="28"/>
          <w:lang w:eastAsia="en-US"/>
        </w:rPr>
        <w:t xml:space="preserve"> </w:t>
      </w:r>
      <w:r w:rsidR="00495011" w:rsidRPr="00C56099">
        <w:rPr>
          <w:rFonts w:ascii="Times New Roman" w:eastAsia="Calibri" w:hAnsi="Times New Roman"/>
          <w:color w:val="auto"/>
          <w:spacing w:val="0"/>
          <w:sz w:val="28"/>
          <w:szCs w:val="28"/>
          <w:lang w:eastAsia="en-US"/>
        </w:rPr>
        <w:tab/>
      </w:r>
      <w:r w:rsidR="00495011" w:rsidRPr="00C56099">
        <w:rPr>
          <w:rFonts w:ascii="Times New Roman" w:eastAsia="Calibri" w:hAnsi="Times New Roman"/>
          <w:b/>
          <w:color w:val="auto"/>
          <w:spacing w:val="0"/>
          <w:sz w:val="28"/>
          <w:szCs w:val="28"/>
          <w:lang w:eastAsia="en-US"/>
        </w:rPr>
        <w:t>Department of Home Affairs</w:t>
      </w:r>
    </w:p>
    <w:p w14:paraId="4150DD33" w14:textId="77777777" w:rsidR="00E02DF9" w:rsidRPr="00A33469" w:rsidRDefault="00E02DF9" w:rsidP="001754B7">
      <w:pPr>
        <w:pStyle w:val="ListParagraph"/>
        <w:numPr>
          <w:ilvl w:val="0"/>
          <w:numId w:val="3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A33469">
        <w:rPr>
          <w:rFonts w:ascii="Times New Roman" w:eastAsia="Calibri" w:hAnsi="Times New Roman"/>
          <w:color w:val="auto"/>
          <w:spacing w:val="0"/>
          <w:sz w:val="24"/>
          <w:szCs w:val="24"/>
          <w:lang w:eastAsia="en-US"/>
        </w:rPr>
        <w:t>The</w:t>
      </w:r>
      <w:r w:rsidR="00D56642" w:rsidRPr="00A33469">
        <w:rPr>
          <w:rFonts w:ascii="Times New Roman" w:eastAsia="Calibri" w:hAnsi="Times New Roman"/>
          <w:color w:val="auto"/>
          <w:spacing w:val="0"/>
          <w:sz w:val="24"/>
          <w:szCs w:val="24"/>
          <w:lang w:eastAsia="en-US"/>
        </w:rPr>
        <w:t xml:space="preserve">re continue to be </w:t>
      </w:r>
      <w:r w:rsidR="00900740" w:rsidRPr="00A33469">
        <w:rPr>
          <w:rFonts w:ascii="Times New Roman" w:eastAsia="Calibri" w:hAnsi="Times New Roman"/>
          <w:color w:val="auto"/>
          <w:spacing w:val="0"/>
          <w:sz w:val="24"/>
          <w:szCs w:val="24"/>
          <w:lang w:eastAsia="en-US"/>
        </w:rPr>
        <w:t>network</w:t>
      </w:r>
      <w:r w:rsidRPr="00A33469">
        <w:rPr>
          <w:rFonts w:ascii="Times New Roman" w:eastAsia="Calibri" w:hAnsi="Times New Roman"/>
          <w:color w:val="auto"/>
          <w:spacing w:val="0"/>
          <w:sz w:val="24"/>
          <w:szCs w:val="24"/>
          <w:lang w:eastAsia="en-US"/>
        </w:rPr>
        <w:t xml:space="preserve"> challenge</w:t>
      </w:r>
      <w:r w:rsidR="00D56642" w:rsidRPr="00A33469">
        <w:rPr>
          <w:rFonts w:ascii="Times New Roman" w:eastAsia="Calibri" w:hAnsi="Times New Roman"/>
          <w:color w:val="auto"/>
          <w:spacing w:val="0"/>
          <w:sz w:val="24"/>
          <w:szCs w:val="24"/>
          <w:lang w:eastAsia="en-US"/>
        </w:rPr>
        <w:t>s</w:t>
      </w:r>
      <w:r w:rsidRPr="00A33469">
        <w:rPr>
          <w:rFonts w:ascii="Times New Roman" w:eastAsia="Calibri" w:hAnsi="Times New Roman"/>
          <w:color w:val="auto"/>
          <w:spacing w:val="0"/>
          <w:sz w:val="24"/>
          <w:szCs w:val="24"/>
          <w:lang w:eastAsia="en-US"/>
        </w:rPr>
        <w:t xml:space="preserve"> at the DHA offices and long queues in some offices</w:t>
      </w:r>
      <w:r w:rsidR="00F86755" w:rsidRPr="00F86755">
        <w:rPr>
          <w:rFonts w:ascii="Times New Roman" w:eastAsia="Calibri" w:hAnsi="Times New Roman"/>
          <w:color w:val="auto"/>
          <w:spacing w:val="0"/>
          <w:sz w:val="24"/>
          <w:szCs w:val="24"/>
          <w:lang w:eastAsia="en-US"/>
        </w:rPr>
        <w:t xml:space="preserve"> </w:t>
      </w:r>
      <w:r w:rsidR="00F86755">
        <w:rPr>
          <w:rFonts w:ascii="Times New Roman" w:eastAsia="Calibri" w:hAnsi="Times New Roman"/>
          <w:color w:val="auto"/>
          <w:spacing w:val="0"/>
          <w:sz w:val="24"/>
          <w:szCs w:val="24"/>
          <w:lang w:eastAsia="en-US"/>
        </w:rPr>
        <w:t xml:space="preserve">and why offices were no longer </w:t>
      </w:r>
      <w:r w:rsidR="002710C2">
        <w:rPr>
          <w:rFonts w:ascii="Times New Roman" w:eastAsia="Calibri" w:hAnsi="Times New Roman"/>
          <w:color w:val="auto"/>
          <w:spacing w:val="0"/>
          <w:sz w:val="24"/>
          <w:szCs w:val="24"/>
          <w:lang w:eastAsia="en-US"/>
        </w:rPr>
        <w:t>opening on weekends</w:t>
      </w:r>
      <w:r w:rsidRPr="00A33469">
        <w:rPr>
          <w:rFonts w:ascii="Times New Roman" w:eastAsia="Calibri" w:hAnsi="Times New Roman"/>
          <w:color w:val="auto"/>
          <w:spacing w:val="0"/>
          <w:sz w:val="24"/>
          <w:szCs w:val="24"/>
          <w:lang w:eastAsia="en-US"/>
        </w:rPr>
        <w:t xml:space="preserve">. </w:t>
      </w:r>
    </w:p>
    <w:p w14:paraId="5642B83B" w14:textId="77777777" w:rsidR="00983E98" w:rsidRDefault="00E02DF9" w:rsidP="001754B7">
      <w:pPr>
        <w:pStyle w:val="ListParagraph"/>
        <w:numPr>
          <w:ilvl w:val="0"/>
          <w:numId w:val="3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A33469">
        <w:rPr>
          <w:rFonts w:ascii="Times New Roman" w:eastAsia="Calibri" w:hAnsi="Times New Roman"/>
          <w:color w:val="auto"/>
          <w:spacing w:val="0"/>
          <w:sz w:val="24"/>
          <w:szCs w:val="24"/>
          <w:lang w:eastAsia="en-US"/>
        </w:rPr>
        <w:t>Although the issue of vacancies was explained by the DG as due to lack of funds, the Committee felt that vacant funded posts should nonetheless be filled</w:t>
      </w:r>
      <w:r w:rsidR="00983E98">
        <w:rPr>
          <w:rFonts w:ascii="Times New Roman" w:eastAsia="Calibri" w:hAnsi="Times New Roman"/>
          <w:color w:val="auto"/>
          <w:spacing w:val="0"/>
          <w:sz w:val="24"/>
          <w:szCs w:val="24"/>
          <w:lang w:eastAsia="en-US"/>
        </w:rPr>
        <w:t xml:space="preserve"> urgently</w:t>
      </w:r>
      <w:r w:rsidRPr="00A33469">
        <w:rPr>
          <w:rFonts w:ascii="Times New Roman" w:eastAsia="Calibri" w:hAnsi="Times New Roman"/>
          <w:color w:val="auto"/>
          <w:spacing w:val="0"/>
          <w:sz w:val="24"/>
          <w:szCs w:val="24"/>
          <w:lang w:eastAsia="en-US"/>
        </w:rPr>
        <w:t>.</w:t>
      </w:r>
    </w:p>
    <w:p w14:paraId="58A28CF1" w14:textId="77777777" w:rsidR="00983E98" w:rsidRPr="00983E98" w:rsidRDefault="00983E98" w:rsidP="001754B7">
      <w:pPr>
        <w:pStyle w:val="ListParagraph"/>
        <w:numPr>
          <w:ilvl w:val="0"/>
          <w:numId w:val="3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The Committee enquired on the</w:t>
      </w:r>
      <w:r w:rsidRPr="00983E98">
        <w:rPr>
          <w:rFonts w:ascii="Times New Roman" w:eastAsia="Calibri" w:hAnsi="Times New Roman"/>
          <w:color w:val="auto"/>
          <w:spacing w:val="0"/>
          <w:sz w:val="24"/>
          <w:szCs w:val="24"/>
          <w:lang w:eastAsia="en-US"/>
        </w:rPr>
        <w:t xml:space="preserve"> status of the amendment relating to Section 34 of the Immigration Act called for by the Constitutional Court </w:t>
      </w:r>
      <w:r>
        <w:rPr>
          <w:rFonts w:ascii="Times New Roman" w:eastAsia="Calibri" w:hAnsi="Times New Roman"/>
          <w:color w:val="auto"/>
          <w:spacing w:val="0"/>
          <w:sz w:val="24"/>
          <w:szCs w:val="24"/>
          <w:lang w:eastAsia="en-US"/>
        </w:rPr>
        <w:t>Ruling (CCT 38/16) by July 2019 and the lapsed</w:t>
      </w:r>
      <w:r w:rsidR="00F86755">
        <w:rPr>
          <w:rFonts w:ascii="Times New Roman" w:eastAsia="Calibri" w:hAnsi="Times New Roman"/>
          <w:color w:val="auto"/>
          <w:spacing w:val="0"/>
          <w:sz w:val="24"/>
          <w:szCs w:val="24"/>
          <w:lang w:eastAsia="en-US"/>
        </w:rPr>
        <w:t xml:space="preserve"> Civil Union Amendment Bill.</w:t>
      </w:r>
    </w:p>
    <w:p w14:paraId="6F05EDC3" w14:textId="77777777" w:rsidR="00983E98" w:rsidRPr="00983E98" w:rsidRDefault="00983E98" w:rsidP="001754B7">
      <w:pPr>
        <w:pStyle w:val="ListParagraph"/>
        <w:numPr>
          <w:ilvl w:val="0"/>
          <w:numId w:val="3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 xml:space="preserve">The </w:t>
      </w:r>
      <w:r w:rsidR="00F86755">
        <w:rPr>
          <w:rFonts w:ascii="Times New Roman" w:eastAsia="Calibri" w:hAnsi="Times New Roman"/>
          <w:color w:val="auto"/>
          <w:spacing w:val="0"/>
          <w:sz w:val="24"/>
          <w:szCs w:val="24"/>
          <w:lang w:eastAsia="en-US"/>
        </w:rPr>
        <w:t>Committee</w:t>
      </w:r>
      <w:r>
        <w:rPr>
          <w:rFonts w:ascii="Times New Roman" w:eastAsia="Calibri" w:hAnsi="Times New Roman"/>
          <w:color w:val="auto"/>
          <w:spacing w:val="0"/>
          <w:sz w:val="24"/>
          <w:szCs w:val="24"/>
          <w:lang w:eastAsia="en-US"/>
        </w:rPr>
        <w:t xml:space="preserve"> </w:t>
      </w:r>
      <w:r w:rsidR="00F86755">
        <w:rPr>
          <w:rFonts w:ascii="Times New Roman" w:eastAsia="Calibri" w:hAnsi="Times New Roman"/>
          <w:color w:val="auto"/>
          <w:spacing w:val="0"/>
          <w:sz w:val="24"/>
          <w:szCs w:val="24"/>
          <w:lang w:eastAsia="en-US"/>
        </w:rPr>
        <w:t xml:space="preserve">noted the planned introduction </w:t>
      </w:r>
      <w:r>
        <w:rPr>
          <w:rFonts w:ascii="Times New Roman" w:eastAsia="Calibri" w:hAnsi="Times New Roman"/>
          <w:color w:val="auto"/>
          <w:spacing w:val="0"/>
          <w:sz w:val="24"/>
          <w:szCs w:val="24"/>
          <w:lang w:eastAsia="en-US"/>
        </w:rPr>
        <w:t xml:space="preserve">of an </w:t>
      </w:r>
      <w:r w:rsidRPr="00983E98">
        <w:rPr>
          <w:rFonts w:ascii="Times New Roman" w:eastAsia="Calibri" w:hAnsi="Times New Roman"/>
          <w:color w:val="auto"/>
          <w:spacing w:val="0"/>
          <w:sz w:val="24"/>
          <w:szCs w:val="24"/>
          <w:lang w:eastAsia="en-US"/>
        </w:rPr>
        <w:t xml:space="preserve">e-visa regime but </w:t>
      </w:r>
      <w:r>
        <w:rPr>
          <w:rFonts w:ascii="Times New Roman" w:eastAsia="Calibri" w:hAnsi="Times New Roman"/>
          <w:color w:val="auto"/>
          <w:spacing w:val="0"/>
          <w:sz w:val="24"/>
          <w:szCs w:val="24"/>
          <w:lang w:eastAsia="en-US"/>
        </w:rPr>
        <w:t>enquired as to why</w:t>
      </w:r>
      <w:r w:rsidRPr="00983E98">
        <w:rPr>
          <w:rFonts w:ascii="Times New Roman" w:eastAsia="Calibri" w:hAnsi="Times New Roman"/>
          <w:color w:val="auto"/>
          <w:spacing w:val="0"/>
          <w:sz w:val="24"/>
          <w:szCs w:val="24"/>
          <w:lang w:eastAsia="en-US"/>
        </w:rPr>
        <w:t xml:space="preserve"> </w:t>
      </w:r>
      <w:r>
        <w:rPr>
          <w:rFonts w:ascii="Times New Roman" w:eastAsia="Calibri" w:hAnsi="Times New Roman"/>
          <w:color w:val="auto"/>
          <w:spacing w:val="0"/>
          <w:sz w:val="24"/>
          <w:szCs w:val="24"/>
          <w:lang w:eastAsia="en-US"/>
        </w:rPr>
        <w:t xml:space="preserve">so many </w:t>
      </w:r>
      <w:r w:rsidRPr="00983E98">
        <w:rPr>
          <w:rFonts w:ascii="Times New Roman" w:eastAsia="Calibri" w:hAnsi="Times New Roman"/>
          <w:color w:val="auto"/>
          <w:spacing w:val="0"/>
          <w:sz w:val="24"/>
          <w:szCs w:val="24"/>
          <w:lang w:eastAsia="en-US"/>
        </w:rPr>
        <w:t>counters</w:t>
      </w:r>
      <w:r>
        <w:rPr>
          <w:rFonts w:ascii="Times New Roman" w:eastAsia="Calibri" w:hAnsi="Times New Roman"/>
          <w:color w:val="auto"/>
          <w:spacing w:val="0"/>
          <w:sz w:val="24"/>
          <w:szCs w:val="24"/>
          <w:lang w:eastAsia="en-US"/>
        </w:rPr>
        <w:t xml:space="preserve"> for</w:t>
      </w:r>
      <w:r w:rsidRPr="00983E98">
        <w:rPr>
          <w:rFonts w:ascii="Times New Roman" w:eastAsia="Calibri" w:hAnsi="Times New Roman"/>
          <w:color w:val="auto"/>
          <w:spacing w:val="0"/>
          <w:sz w:val="24"/>
          <w:szCs w:val="24"/>
          <w:lang w:eastAsia="en-US"/>
        </w:rPr>
        <w:t xml:space="preserve"> immigration officials </w:t>
      </w:r>
      <w:r>
        <w:rPr>
          <w:rFonts w:ascii="Times New Roman" w:eastAsia="Calibri" w:hAnsi="Times New Roman"/>
          <w:color w:val="auto"/>
          <w:spacing w:val="0"/>
          <w:sz w:val="24"/>
          <w:szCs w:val="24"/>
          <w:lang w:eastAsia="en-US"/>
        </w:rPr>
        <w:t xml:space="preserve">were vacant at airports even </w:t>
      </w:r>
      <w:r w:rsidRPr="00983E98">
        <w:rPr>
          <w:rFonts w:ascii="Times New Roman" w:eastAsia="Calibri" w:hAnsi="Times New Roman"/>
          <w:color w:val="auto"/>
          <w:spacing w:val="0"/>
          <w:sz w:val="24"/>
          <w:szCs w:val="24"/>
          <w:lang w:eastAsia="en-US"/>
        </w:rPr>
        <w:t>during peak season</w:t>
      </w:r>
      <w:r>
        <w:rPr>
          <w:rFonts w:ascii="Times New Roman" w:eastAsia="Calibri" w:hAnsi="Times New Roman"/>
          <w:color w:val="auto"/>
          <w:spacing w:val="0"/>
          <w:sz w:val="24"/>
          <w:szCs w:val="24"/>
          <w:lang w:eastAsia="en-US"/>
        </w:rPr>
        <w:t>.</w:t>
      </w:r>
    </w:p>
    <w:p w14:paraId="517F477A" w14:textId="77777777" w:rsidR="00983E98" w:rsidRPr="00983E98" w:rsidRDefault="00983E98" w:rsidP="001754B7">
      <w:pPr>
        <w:pStyle w:val="ListParagraph"/>
        <w:numPr>
          <w:ilvl w:val="0"/>
          <w:numId w:val="3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 xml:space="preserve">The Committee enquired as to whether the mentioned </w:t>
      </w:r>
      <w:r w:rsidRPr="00983E98">
        <w:rPr>
          <w:rFonts w:ascii="Times New Roman" w:eastAsia="Calibri" w:hAnsi="Times New Roman"/>
          <w:color w:val="auto"/>
          <w:spacing w:val="0"/>
          <w:sz w:val="24"/>
          <w:szCs w:val="24"/>
          <w:lang w:eastAsia="en-US"/>
        </w:rPr>
        <w:t>160 i</w:t>
      </w:r>
      <w:r>
        <w:rPr>
          <w:rFonts w:ascii="Times New Roman" w:eastAsia="Calibri" w:hAnsi="Times New Roman"/>
          <w:color w:val="auto"/>
          <w:spacing w:val="0"/>
          <w:sz w:val="24"/>
          <w:szCs w:val="24"/>
          <w:lang w:eastAsia="en-US"/>
        </w:rPr>
        <w:t>mmigration i</w:t>
      </w:r>
      <w:r w:rsidRPr="00983E98">
        <w:rPr>
          <w:rFonts w:ascii="Times New Roman" w:eastAsia="Calibri" w:hAnsi="Times New Roman"/>
          <w:color w:val="auto"/>
          <w:spacing w:val="0"/>
          <w:sz w:val="24"/>
          <w:szCs w:val="24"/>
          <w:lang w:eastAsia="en-US"/>
        </w:rPr>
        <w:t>nspection</w:t>
      </w:r>
      <w:r>
        <w:rPr>
          <w:rFonts w:ascii="Times New Roman" w:eastAsia="Calibri" w:hAnsi="Times New Roman"/>
          <w:color w:val="auto"/>
          <w:spacing w:val="0"/>
          <w:sz w:val="24"/>
          <w:szCs w:val="24"/>
          <w:lang w:eastAsia="en-US"/>
        </w:rPr>
        <w:t xml:space="preserve"> were sufficient given the amount of businesses without receipts not paying taxes </w:t>
      </w:r>
      <w:r w:rsidRPr="00983E98">
        <w:rPr>
          <w:rFonts w:ascii="Times New Roman" w:eastAsia="Calibri" w:hAnsi="Times New Roman"/>
          <w:color w:val="auto"/>
          <w:spacing w:val="0"/>
          <w:sz w:val="24"/>
          <w:szCs w:val="24"/>
          <w:lang w:eastAsia="en-US"/>
        </w:rPr>
        <w:t>and</w:t>
      </w:r>
      <w:r>
        <w:rPr>
          <w:rFonts w:ascii="Times New Roman" w:eastAsia="Calibri" w:hAnsi="Times New Roman"/>
          <w:color w:val="auto"/>
          <w:spacing w:val="0"/>
          <w:sz w:val="24"/>
          <w:szCs w:val="24"/>
          <w:lang w:eastAsia="en-US"/>
        </w:rPr>
        <w:t xml:space="preserve"> which</w:t>
      </w:r>
      <w:r w:rsidRPr="00983E98">
        <w:rPr>
          <w:rFonts w:ascii="Times New Roman" w:eastAsia="Calibri" w:hAnsi="Times New Roman"/>
          <w:color w:val="auto"/>
          <w:spacing w:val="0"/>
          <w:sz w:val="24"/>
          <w:szCs w:val="24"/>
          <w:lang w:eastAsia="en-US"/>
        </w:rPr>
        <w:t xml:space="preserve"> under</w:t>
      </w:r>
      <w:r>
        <w:rPr>
          <w:rFonts w:ascii="Times New Roman" w:eastAsia="Calibri" w:hAnsi="Times New Roman"/>
          <w:color w:val="auto"/>
          <w:spacing w:val="0"/>
          <w:sz w:val="24"/>
          <w:szCs w:val="24"/>
          <w:lang w:eastAsia="en-US"/>
        </w:rPr>
        <w:t>paying staff in various sectors.</w:t>
      </w:r>
    </w:p>
    <w:p w14:paraId="1AE5F40E" w14:textId="77777777" w:rsidR="00983E98" w:rsidRPr="00983E98" w:rsidRDefault="00983E98" w:rsidP="001754B7">
      <w:pPr>
        <w:pStyle w:val="ListParagraph"/>
        <w:numPr>
          <w:ilvl w:val="0"/>
          <w:numId w:val="3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 xml:space="preserve">The </w:t>
      </w:r>
      <w:r w:rsidR="00F86755">
        <w:rPr>
          <w:rFonts w:ascii="Times New Roman" w:eastAsia="Calibri" w:hAnsi="Times New Roman"/>
          <w:color w:val="auto"/>
          <w:spacing w:val="0"/>
          <w:sz w:val="24"/>
          <w:szCs w:val="24"/>
          <w:lang w:eastAsia="en-US"/>
        </w:rPr>
        <w:t>committee</w:t>
      </w:r>
      <w:r>
        <w:rPr>
          <w:rFonts w:ascii="Times New Roman" w:eastAsia="Calibri" w:hAnsi="Times New Roman"/>
          <w:color w:val="auto"/>
          <w:spacing w:val="0"/>
          <w:sz w:val="24"/>
          <w:szCs w:val="24"/>
          <w:lang w:eastAsia="en-US"/>
        </w:rPr>
        <w:t xml:space="preserve"> was curious about the c</w:t>
      </w:r>
      <w:r w:rsidRPr="00983E98">
        <w:rPr>
          <w:rFonts w:ascii="Times New Roman" w:eastAsia="Calibri" w:hAnsi="Times New Roman"/>
          <w:color w:val="auto"/>
          <w:spacing w:val="0"/>
          <w:sz w:val="24"/>
          <w:szCs w:val="24"/>
          <w:lang w:eastAsia="en-US"/>
        </w:rPr>
        <w:t>apacity in R</w:t>
      </w:r>
      <w:r>
        <w:rPr>
          <w:rFonts w:ascii="Times New Roman" w:eastAsia="Calibri" w:hAnsi="Times New Roman"/>
          <w:color w:val="auto"/>
          <w:spacing w:val="0"/>
          <w:sz w:val="24"/>
          <w:szCs w:val="24"/>
          <w:lang w:eastAsia="en-US"/>
        </w:rPr>
        <w:t xml:space="preserve">efugee </w:t>
      </w:r>
      <w:r w:rsidRPr="00983E98">
        <w:rPr>
          <w:rFonts w:ascii="Times New Roman" w:eastAsia="Calibri" w:hAnsi="Times New Roman"/>
          <w:color w:val="auto"/>
          <w:spacing w:val="0"/>
          <w:sz w:val="24"/>
          <w:szCs w:val="24"/>
          <w:lang w:eastAsia="en-US"/>
        </w:rPr>
        <w:t>R</w:t>
      </w:r>
      <w:r>
        <w:rPr>
          <w:rFonts w:ascii="Times New Roman" w:eastAsia="Calibri" w:hAnsi="Times New Roman"/>
          <w:color w:val="auto"/>
          <w:spacing w:val="0"/>
          <w:sz w:val="24"/>
          <w:szCs w:val="24"/>
          <w:lang w:eastAsia="en-US"/>
        </w:rPr>
        <w:t xml:space="preserve">eception </w:t>
      </w:r>
      <w:r w:rsidRPr="00983E98">
        <w:rPr>
          <w:rFonts w:ascii="Times New Roman" w:eastAsia="Calibri" w:hAnsi="Times New Roman"/>
          <w:color w:val="auto"/>
          <w:spacing w:val="0"/>
          <w:sz w:val="24"/>
          <w:szCs w:val="24"/>
          <w:lang w:eastAsia="en-US"/>
        </w:rPr>
        <w:t>O</w:t>
      </w:r>
      <w:r>
        <w:rPr>
          <w:rFonts w:ascii="Times New Roman" w:eastAsia="Calibri" w:hAnsi="Times New Roman"/>
          <w:color w:val="auto"/>
          <w:spacing w:val="0"/>
          <w:sz w:val="24"/>
          <w:szCs w:val="24"/>
          <w:lang w:eastAsia="en-US"/>
        </w:rPr>
        <w:t>ffices</w:t>
      </w:r>
      <w:r w:rsidR="00F86755">
        <w:rPr>
          <w:rFonts w:ascii="Times New Roman" w:eastAsia="Calibri" w:hAnsi="Times New Roman"/>
          <w:color w:val="auto"/>
          <w:spacing w:val="0"/>
          <w:sz w:val="24"/>
          <w:szCs w:val="24"/>
          <w:lang w:eastAsia="en-US"/>
        </w:rPr>
        <w:t xml:space="preserve"> esp</w:t>
      </w:r>
      <w:r>
        <w:rPr>
          <w:rFonts w:ascii="Times New Roman" w:eastAsia="Calibri" w:hAnsi="Times New Roman"/>
          <w:color w:val="auto"/>
          <w:spacing w:val="0"/>
          <w:sz w:val="24"/>
          <w:szCs w:val="24"/>
          <w:lang w:eastAsia="en-US"/>
        </w:rPr>
        <w:t>ecially in Musina, given the long delays adjudicating applications.</w:t>
      </w:r>
    </w:p>
    <w:p w14:paraId="02D083AC" w14:textId="77777777" w:rsidR="00F86755" w:rsidRDefault="002710C2" w:rsidP="001754B7">
      <w:pPr>
        <w:pStyle w:val="ListParagraph"/>
        <w:numPr>
          <w:ilvl w:val="0"/>
          <w:numId w:val="3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There was an enquiry</w:t>
      </w:r>
      <w:r w:rsidR="00F86755">
        <w:rPr>
          <w:rFonts w:ascii="Times New Roman" w:eastAsia="Calibri" w:hAnsi="Times New Roman"/>
          <w:color w:val="auto"/>
          <w:spacing w:val="0"/>
          <w:sz w:val="24"/>
          <w:szCs w:val="24"/>
          <w:lang w:eastAsia="en-US"/>
        </w:rPr>
        <w:t xml:space="preserve"> </w:t>
      </w:r>
      <w:r w:rsidR="00983E98" w:rsidRPr="00983E98">
        <w:rPr>
          <w:rFonts w:ascii="Times New Roman" w:eastAsia="Calibri" w:hAnsi="Times New Roman"/>
          <w:color w:val="auto"/>
          <w:spacing w:val="0"/>
          <w:sz w:val="24"/>
          <w:szCs w:val="24"/>
          <w:lang w:eastAsia="en-US"/>
        </w:rPr>
        <w:t>on</w:t>
      </w:r>
      <w:r w:rsidR="00F86755">
        <w:rPr>
          <w:rFonts w:ascii="Times New Roman" w:eastAsia="Calibri" w:hAnsi="Times New Roman"/>
          <w:color w:val="auto"/>
          <w:spacing w:val="0"/>
          <w:sz w:val="24"/>
          <w:szCs w:val="24"/>
          <w:lang w:eastAsia="en-US"/>
        </w:rPr>
        <w:t xml:space="preserve"> the</w:t>
      </w:r>
      <w:r w:rsidR="00983E98" w:rsidRPr="00983E98">
        <w:rPr>
          <w:rFonts w:ascii="Times New Roman" w:eastAsia="Calibri" w:hAnsi="Times New Roman"/>
          <w:color w:val="auto"/>
          <w:spacing w:val="0"/>
          <w:sz w:val="24"/>
          <w:szCs w:val="24"/>
          <w:lang w:eastAsia="en-US"/>
        </w:rPr>
        <w:t xml:space="preserve"> non-recognition of religious marriages</w:t>
      </w:r>
      <w:r w:rsidR="00F86755" w:rsidRPr="00983E98">
        <w:rPr>
          <w:rFonts w:ascii="Times New Roman" w:eastAsia="Calibri" w:hAnsi="Times New Roman"/>
          <w:color w:val="auto"/>
          <w:spacing w:val="0"/>
          <w:sz w:val="24"/>
          <w:szCs w:val="24"/>
          <w:lang w:eastAsia="en-US"/>
        </w:rPr>
        <w:t xml:space="preserve"> </w:t>
      </w:r>
      <w:r w:rsidR="00F86755">
        <w:rPr>
          <w:rFonts w:ascii="Times New Roman" w:eastAsia="Calibri" w:hAnsi="Times New Roman"/>
          <w:color w:val="auto"/>
          <w:spacing w:val="0"/>
          <w:sz w:val="24"/>
          <w:szCs w:val="24"/>
          <w:lang w:eastAsia="en-US"/>
        </w:rPr>
        <w:t>such as Muslim, Jewish and H</w:t>
      </w:r>
      <w:r w:rsidR="00F86755" w:rsidRPr="00983E98">
        <w:rPr>
          <w:rFonts w:ascii="Times New Roman" w:eastAsia="Calibri" w:hAnsi="Times New Roman"/>
          <w:color w:val="auto"/>
          <w:spacing w:val="0"/>
          <w:sz w:val="24"/>
          <w:szCs w:val="24"/>
          <w:lang w:eastAsia="en-US"/>
        </w:rPr>
        <w:t>indu</w:t>
      </w:r>
      <w:r w:rsidR="00F86755">
        <w:rPr>
          <w:rFonts w:ascii="Times New Roman" w:eastAsia="Calibri" w:hAnsi="Times New Roman"/>
          <w:color w:val="auto"/>
          <w:spacing w:val="0"/>
          <w:sz w:val="24"/>
          <w:szCs w:val="24"/>
          <w:lang w:eastAsia="en-US"/>
        </w:rPr>
        <w:t xml:space="preserve"> in terms of w</w:t>
      </w:r>
      <w:r w:rsidR="00983E98" w:rsidRPr="00983E98">
        <w:rPr>
          <w:rFonts w:ascii="Times New Roman" w:eastAsia="Calibri" w:hAnsi="Times New Roman"/>
          <w:color w:val="auto"/>
          <w:spacing w:val="0"/>
          <w:sz w:val="24"/>
          <w:szCs w:val="24"/>
          <w:lang w:eastAsia="en-US"/>
        </w:rPr>
        <w:t>hy</w:t>
      </w:r>
      <w:r w:rsidR="00F86755">
        <w:rPr>
          <w:rFonts w:ascii="Times New Roman" w:eastAsia="Calibri" w:hAnsi="Times New Roman"/>
          <w:color w:val="auto"/>
          <w:spacing w:val="0"/>
          <w:sz w:val="24"/>
          <w:szCs w:val="24"/>
          <w:lang w:eastAsia="en-US"/>
        </w:rPr>
        <w:t xml:space="preserve"> they</w:t>
      </w:r>
      <w:r w:rsidR="00983E98" w:rsidRPr="00983E98">
        <w:rPr>
          <w:rFonts w:ascii="Times New Roman" w:eastAsia="Calibri" w:hAnsi="Times New Roman"/>
          <w:color w:val="auto"/>
          <w:spacing w:val="0"/>
          <w:sz w:val="24"/>
          <w:szCs w:val="24"/>
          <w:lang w:eastAsia="en-US"/>
        </w:rPr>
        <w:t xml:space="preserve"> can’t show </w:t>
      </w:r>
      <w:r w:rsidR="00F86755">
        <w:rPr>
          <w:rFonts w:ascii="Times New Roman" w:eastAsia="Calibri" w:hAnsi="Times New Roman"/>
          <w:color w:val="auto"/>
          <w:spacing w:val="0"/>
          <w:sz w:val="24"/>
          <w:szCs w:val="24"/>
          <w:lang w:eastAsia="en-US"/>
        </w:rPr>
        <w:t xml:space="preserve">use </w:t>
      </w:r>
      <w:r w:rsidR="00F86755" w:rsidRPr="00983E98">
        <w:rPr>
          <w:rFonts w:ascii="Times New Roman" w:eastAsia="Calibri" w:hAnsi="Times New Roman"/>
          <w:color w:val="auto"/>
          <w:spacing w:val="0"/>
          <w:sz w:val="24"/>
          <w:szCs w:val="24"/>
          <w:lang w:eastAsia="en-US"/>
        </w:rPr>
        <w:t>dowry</w:t>
      </w:r>
      <w:r w:rsidR="00983E98" w:rsidRPr="00983E98">
        <w:rPr>
          <w:rFonts w:ascii="Times New Roman" w:eastAsia="Calibri" w:hAnsi="Times New Roman"/>
          <w:color w:val="auto"/>
          <w:spacing w:val="0"/>
          <w:sz w:val="24"/>
          <w:szCs w:val="24"/>
          <w:lang w:eastAsia="en-US"/>
        </w:rPr>
        <w:t xml:space="preserve"> certificate </w:t>
      </w:r>
      <w:r w:rsidR="002064C3">
        <w:rPr>
          <w:rFonts w:ascii="Times New Roman" w:eastAsia="Calibri" w:hAnsi="Times New Roman"/>
          <w:color w:val="auto"/>
          <w:spacing w:val="0"/>
          <w:sz w:val="24"/>
          <w:szCs w:val="24"/>
          <w:lang w:eastAsia="en-US"/>
        </w:rPr>
        <w:t>f</w:t>
      </w:r>
      <w:r w:rsidR="00F86755">
        <w:rPr>
          <w:rFonts w:ascii="Times New Roman" w:eastAsia="Calibri" w:hAnsi="Times New Roman"/>
          <w:color w:val="auto"/>
          <w:spacing w:val="0"/>
          <w:sz w:val="24"/>
          <w:szCs w:val="24"/>
          <w:lang w:eastAsia="en-US"/>
        </w:rPr>
        <w:t xml:space="preserve">or proof </w:t>
      </w:r>
      <w:r w:rsidR="00983E98" w:rsidRPr="00983E98">
        <w:rPr>
          <w:rFonts w:ascii="Times New Roman" w:eastAsia="Calibri" w:hAnsi="Times New Roman"/>
          <w:color w:val="auto"/>
          <w:spacing w:val="0"/>
          <w:sz w:val="24"/>
          <w:szCs w:val="24"/>
          <w:lang w:eastAsia="en-US"/>
        </w:rPr>
        <w:t>like Afric</w:t>
      </w:r>
      <w:r w:rsidR="00F86755">
        <w:rPr>
          <w:rFonts w:ascii="Times New Roman" w:eastAsia="Calibri" w:hAnsi="Times New Roman"/>
          <w:color w:val="auto"/>
          <w:spacing w:val="0"/>
          <w:sz w:val="24"/>
          <w:szCs w:val="24"/>
          <w:lang w:eastAsia="en-US"/>
        </w:rPr>
        <w:t>an traditional religious l</w:t>
      </w:r>
      <w:r w:rsidR="00C56099">
        <w:rPr>
          <w:rFonts w:ascii="Times New Roman" w:eastAsia="Calibri" w:hAnsi="Times New Roman"/>
          <w:color w:val="auto"/>
          <w:spacing w:val="0"/>
          <w:sz w:val="24"/>
          <w:szCs w:val="24"/>
          <w:lang w:eastAsia="en-US"/>
        </w:rPr>
        <w:t>o</w:t>
      </w:r>
      <w:r w:rsidR="00F86755">
        <w:rPr>
          <w:rFonts w:ascii="Times New Roman" w:eastAsia="Calibri" w:hAnsi="Times New Roman"/>
          <w:color w:val="auto"/>
          <w:spacing w:val="0"/>
          <w:sz w:val="24"/>
          <w:szCs w:val="24"/>
          <w:lang w:eastAsia="en-US"/>
        </w:rPr>
        <w:t>bola.</w:t>
      </w:r>
    </w:p>
    <w:p w14:paraId="14581502" w14:textId="77777777" w:rsidR="00D75AC2" w:rsidRPr="00D75AC2" w:rsidRDefault="00D75AC2" w:rsidP="001754B7">
      <w:pPr>
        <w:pStyle w:val="ListParagraph"/>
        <w:numPr>
          <w:ilvl w:val="0"/>
          <w:numId w:val="3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D75AC2">
        <w:rPr>
          <w:rFonts w:ascii="Times New Roman" w:eastAsia="Calibri" w:hAnsi="Times New Roman"/>
          <w:color w:val="auto"/>
          <w:spacing w:val="0"/>
          <w:sz w:val="24"/>
          <w:szCs w:val="24"/>
          <w:lang w:eastAsia="en-US"/>
        </w:rPr>
        <w:t>The e-Gates sys</w:t>
      </w:r>
      <w:r>
        <w:rPr>
          <w:rFonts w:ascii="Times New Roman" w:eastAsia="Calibri" w:hAnsi="Times New Roman"/>
          <w:color w:val="auto"/>
          <w:spacing w:val="0"/>
          <w:sz w:val="24"/>
          <w:szCs w:val="24"/>
          <w:lang w:eastAsia="en-US"/>
        </w:rPr>
        <w:t>tem where trusted travellers will be</w:t>
      </w:r>
      <w:r w:rsidRPr="00D75AC2">
        <w:rPr>
          <w:rFonts w:ascii="Times New Roman" w:eastAsia="Calibri" w:hAnsi="Times New Roman"/>
          <w:color w:val="auto"/>
          <w:spacing w:val="0"/>
          <w:sz w:val="24"/>
          <w:szCs w:val="24"/>
          <w:lang w:eastAsia="en-US"/>
        </w:rPr>
        <w:t xml:space="preserve"> allowed to pass through immigration      </w:t>
      </w:r>
    </w:p>
    <w:p w14:paraId="122AB810" w14:textId="77777777" w:rsidR="00D75AC2" w:rsidRPr="00D75AC2" w:rsidRDefault="00D75AC2" w:rsidP="00D75AC2">
      <w:pPr>
        <w:pStyle w:val="ListParagraph"/>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D75AC2">
        <w:rPr>
          <w:rFonts w:ascii="Times New Roman" w:eastAsia="Calibri" w:hAnsi="Times New Roman"/>
          <w:color w:val="auto"/>
          <w:spacing w:val="0"/>
          <w:sz w:val="24"/>
          <w:szCs w:val="24"/>
          <w:lang w:eastAsia="en-US"/>
        </w:rPr>
        <w:t xml:space="preserve">at the Airports </w:t>
      </w:r>
      <w:r>
        <w:rPr>
          <w:rFonts w:ascii="Times New Roman" w:eastAsia="Calibri" w:hAnsi="Times New Roman"/>
          <w:color w:val="auto"/>
          <w:spacing w:val="0"/>
          <w:sz w:val="24"/>
          <w:szCs w:val="24"/>
          <w:lang w:eastAsia="en-US"/>
        </w:rPr>
        <w:t>was raised as</w:t>
      </w:r>
      <w:r w:rsidRPr="00D75AC2">
        <w:rPr>
          <w:rFonts w:ascii="Times New Roman" w:eastAsia="Calibri" w:hAnsi="Times New Roman"/>
          <w:color w:val="auto"/>
          <w:spacing w:val="0"/>
          <w:sz w:val="24"/>
          <w:szCs w:val="24"/>
          <w:lang w:eastAsia="en-US"/>
        </w:rPr>
        <w:t xml:space="preserve"> a</w:t>
      </w:r>
      <w:r>
        <w:rPr>
          <w:rFonts w:ascii="Times New Roman" w:eastAsia="Calibri" w:hAnsi="Times New Roman"/>
          <w:color w:val="auto"/>
          <w:spacing w:val="0"/>
          <w:sz w:val="24"/>
          <w:szCs w:val="24"/>
          <w:lang w:eastAsia="en-US"/>
        </w:rPr>
        <w:t xml:space="preserve"> potential</w:t>
      </w:r>
      <w:r w:rsidRPr="00D75AC2">
        <w:rPr>
          <w:rFonts w:ascii="Times New Roman" w:eastAsia="Calibri" w:hAnsi="Times New Roman"/>
          <w:color w:val="auto"/>
          <w:spacing w:val="0"/>
          <w:sz w:val="24"/>
          <w:szCs w:val="24"/>
          <w:lang w:eastAsia="en-US"/>
        </w:rPr>
        <w:t xml:space="preserve"> security risk.</w:t>
      </w:r>
    </w:p>
    <w:p w14:paraId="0BE3E920" w14:textId="77777777" w:rsidR="00D75AC2" w:rsidRPr="00D75AC2" w:rsidRDefault="00D75AC2" w:rsidP="001754B7">
      <w:pPr>
        <w:pStyle w:val="ListParagraph"/>
        <w:numPr>
          <w:ilvl w:val="0"/>
          <w:numId w:val="3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D75AC2">
        <w:rPr>
          <w:rFonts w:ascii="Times New Roman" w:eastAsia="Calibri" w:hAnsi="Times New Roman"/>
          <w:color w:val="auto"/>
          <w:spacing w:val="0"/>
          <w:sz w:val="24"/>
          <w:szCs w:val="24"/>
          <w:lang w:eastAsia="en-US"/>
        </w:rPr>
        <w:t>The issue of fraudulent marriages was raised as a major concern.</w:t>
      </w:r>
    </w:p>
    <w:p w14:paraId="417323A7" w14:textId="77777777" w:rsidR="00D75AC2" w:rsidRPr="00D75AC2" w:rsidRDefault="00EE5B88" w:rsidP="001754B7">
      <w:pPr>
        <w:pStyle w:val="ListParagraph"/>
        <w:numPr>
          <w:ilvl w:val="0"/>
          <w:numId w:val="3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The mobile trucks were noted to not have</w:t>
      </w:r>
      <w:r w:rsidR="00D75AC2" w:rsidRPr="00D75AC2">
        <w:rPr>
          <w:rFonts w:ascii="Times New Roman" w:eastAsia="Calibri" w:hAnsi="Times New Roman"/>
          <w:color w:val="auto"/>
          <w:spacing w:val="0"/>
          <w:sz w:val="24"/>
          <w:szCs w:val="24"/>
          <w:lang w:eastAsia="en-US"/>
        </w:rPr>
        <w:t xml:space="preserve"> been modernized to issue Smart ID Cards and passpor</w:t>
      </w:r>
      <w:r>
        <w:rPr>
          <w:rFonts w:ascii="Times New Roman" w:eastAsia="Calibri" w:hAnsi="Times New Roman"/>
          <w:color w:val="auto"/>
          <w:spacing w:val="0"/>
          <w:sz w:val="24"/>
          <w:szCs w:val="24"/>
          <w:lang w:eastAsia="en-US"/>
        </w:rPr>
        <w:t>ts, especially to rural areas.</w:t>
      </w:r>
    </w:p>
    <w:p w14:paraId="792B8BE4" w14:textId="77777777" w:rsidR="00D75AC2" w:rsidRPr="00D75AC2" w:rsidRDefault="00D75AC2" w:rsidP="001754B7">
      <w:pPr>
        <w:pStyle w:val="ListParagraph"/>
        <w:numPr>
          <w:ilvl w:val="0"/>
          <w:numId w:val="3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D75AC2">
        <w:rPr>
          <w:rFonts w:ascii="Times New Roman" w:eastAsia="Calibri" w:hAnsi="Times New Roman"/>
          <w:color w:val="auto"/>
          <w:spacing w:val="0"/>
          <w:sz w:val="24"/>
          <w:szCs w:val="24"/>
          <w:lang w:eastAsia="en-US"/>
        </w:rPr>
        <w:t>There was a concern with respect to the children born from undocumented migrants because th</w:t>
      </w:r>
      <w:r w:rsidR="00EE5B88">
        <w:rPr>
          <w:rFonts w:ascii="Times New Roman" w:eastAsia="Calibri" w:hAnsi="Times New Roman"/>
          <w:color w:val="auto"/>
          <w:spacing w:val="0"/>
          <w:sz w:val="24"/>
          <w:szCs w:val="24"/>
          <w:lang w:eastAsia="en-US"/>
        </w:rPr>
        <w:t>ere were unable to go to school since they did</w:t>
      </w:r>
      <w:r w:rsidRPr="00D75AC2">
        <w:rPr>
          <w:rFonts w:ascii="Times New Roman" w:eastAsia="Calibri" w:hAnsi="Times New Roman"/>
          <w:color w:val="auto"/>
          <w:spacing w:val="0"/>
          <w:sz w:val="24"/>
          <w:szCs w:val="24"/>
          <w:lang w:eastAsia="en-US"/>
        </w:rPr>
        <w:t xml:space="preserve"> not have birth certificates.</w:t>
      </w:r>
    </w:p>
    <w:p w14:paraId="16A29BF2" w14:textId="77777777" w:rsidR="00D75AC2" w:rsidRPr="00D75AC2" w:rsidRDefault="00D75AC2" w:rsidP="001754B7">
      <w:pPr>
        <w:pStyle w:val="ListParagraph"/>
        <w:numPr>
          <w:ilvl w:val="0"/>
          <w:numId w:val="3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D75AC2">
        <w:rPr>
          <w:rFonts w:ascii="Times New Roman" w:eastAsia="Calibri" w:hAnsi="Times New Roman"/>
          <w:color w:val="auto"/>
          <w:spacing w:val="0"/>
          <w:sz w:val="24"/>
          <w:szCs w:val="24"/>
          <w:lang w:eastAsia="en-US"/>
        </w:rPr>
        <w:t>There are South African children who do not have birth certificates because their births were not register</w:t>
      </w:r>
      <w:r w:rsidR="00EE5B88">
        <w:rPr>
          <w:rFonts w:ascii="Times New Roman" w:eastAsia="Calibri" w:hAnsi="Times New Roman"/>
          <w:color w:val="auto"/>
          <w:spacing w:val="0"/>
          <w:sz w:val="24"/>
          <w:szCs w:val="24"/>
          <w:lang w:eastAsia="en-US"/>
        </w:rPr>
        <w:t>ed</w:t>
      </w:r>
      <w:r w:rsidRPr="00D75AC2">
        <w:rPr>
          <w:rFonts w:ascii="Times New Roman" w:eastAsia="Calibri" w:hAnsi="Times New Roman"/>
          <w:color w:val="auto"/>
          <w:spacing w:val="0"/>
          <w:sz w:val="24"/>
          <w:szCs w:val="24"/>
          <w:lang w:eastAsia="en-US"/>
        </w:rPr>
        <w:t>.</w:t>
      </w:r>
    </w:p>
    <w:p w14:paraId="77455EF7" w14:textId="77777777" w:rsidR="00D75AC2" w:rsidRPr="00D75AC2" w:rsidRDefault="00EE5B88" w:rsidP="001754B7">
      <w:pPr>
        <w:pStyle w:val="ListParagraph"/>
        <w:numPr>
          <w:ilvl w:val="0"/>
          <w:numId w:val="3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The DHA services offered in</w:t>
      </w:r>
      <w:r w:rsidR="00D75AC2" w:rsidRPr="00D75AC2">
        <w:rPr>
          <w:rFonts w:ascii="Times New Roman" w:eastAsia="Calibri" w:hAnsi="Times New Roman"/>
          <w:color w:val="auto"/>
          <w:spacing w:val="0"/>
          <w:sz w:val="24"/>
          <w:szCs w:val="24"/>
          <w:lang w:eastAsia="en-US"/>
        </w:rPr>
        <w:t xml:space="preserve"> 14</w:t>
      </w:r>
      <w:r>
        <w:rPr>
          <w:rFonts w:ascii="Times New Roman" w:eastAsia="Calibri" w:hAnsi="Times New Roman"/>
          <w:color w:val="auto"/>
          <w:spacing w:val="0"/>
          <w:sz w:val="24"/>
          <w:szCs w:val="24"/>
          <w:lang w:eastAsia="en-US"/>
        </w:rPr>
        <w:t xml:space="preserve"> was encouraged but a</w:t>
      </w:r>
      <w:r w:rsidR="00D75AC2" w:rsidRPr="00D75AC2">
        <w:rPr>
          <w:rFonts w:ascii="Times New Roman" w:eastAsia="Calibri" w:hAnsi="Times New Roman"/>
          <w:color w:val="auto"/>
          <w:spacing w:val="0"/>
          <w:sz w:val="24"/>
          <w:szCs w:val="24"/>
          <w:lang w:eastAsia="en-US"/>
        </w:rPr>
        <w:t xml:space="preserve"> concern from the Committee was th</w:t>
      </w:r>
      <w:r>
        <w:rPr>
          <w:rFonts w:ascii="Times New Roman" w:eastAsia="Calibri" w:hAnsi="Times New Roman"/>
          <w:color w:val="auto"/>
          <w:spacing w:val="0"/>
          <w:sz w:val="24"/>
          <w:szCs w:val="24"/>
          <w:lang w:eastAsia="en-US"/>
        </w:rPr>
        <w:t>e issue of security of information</w:t>
      </w:r>
      <w:r w:rsidR="00D75AC2" w:rsidRPr="00D75AC2">
        <w:rPr>
          <w:rFonts w:ascii="Times New Roman" w:eastAsia="Calibri" w:hAnsi="Times New Roman"/>
          <w:color w:val="auto"/>
          <w:spacing w:val="0"/>
          <w:sz w:val="24"/>
          <w:szCs w:val="24"/>
          <w:lang w:eastAsia="en-US"/>
        </w:rPr>
        <w:t>.</w:t>
      </w:r>
    </w:p>
    <w:p w14:paraId="3B591195" w14:textId="77777777" w:rsidR="002710C2" w:rsidRDefault="00EE5B88" w:rsidP="001754B7">
      <w:pPr>
        <w:pStyle w:val="ListParagraph"/>
        <w:numPr>
          <w:ilvl w:val="0"/>
          <w:numId w:val="34"/>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 xml:space="preserve">If was noted by the committee that the delegation of senior </w:t>
      </w:r>
      <w:r w:rsidR="00D75AC2" w:rsidRPr="00D75AC2">
        <w:rPr>
          <w:rFonts w:ascii="Times New Roman" w:eastAsia="Calibri" w:hAnsi="Times New Roman"/>
          <w:color w:val="auto"/>
          <w:spacing w:val="0"/>
          <w:sz w:val="24"/>
          <w:szCs w:val="24"/>
          <w:lang w:eastAsia="en-US"/>
        </w:rPr>
        <w:t>officials of the DHA are mostly males.</w:t>
      </w:r>
    </w:p>
    <w:p w14:paraId="630451AD" w14:textId="77777777" w:rsidR="00EE5B88" w:rsidRPr="00EE5B88" w:rsidRDefault="00EE5B88" w:rsidP="00EE5B88">
      <w:pPr>
        <w:pStyle w:val="ListParagraph"/>
        <w:suppressAutoHyphens w:val="0"/>
        <w:autoSpaceDN/>
        <w:spacing w:line="360" w:lineRule="auto"/>
        <w:jc w:val="both"/>
        <w:textAlignment w:val="auto"/>
        <w:rPr>
          <w:rFonts w:ascii="Times New Roman" w:eastAsia="Calibri" w:hAnsi="Times New Roman"/>
          <w:color w:val="auto"/>
          <w:spacing w:val="0"/>
          <w:sz w:val="24"/>
          <w:szCs w:val="24"/>
          <w:lang w:eastAsia="en-US"/>
        </w:rPr>
      </w:pPr>
    </w:p>
    <w:p w14:paraId="37BE3DCE" w14:textId="77777777" w:rsidR="003809B8" w:rsidRDefault="003809B8">
      <w:pPr>
        <w:suppressAutoHyphens w:val="0"/>
        <w:autoSpaceDN/>
        <w:spacing w:line="240" w:lineRule="auto"/>
        <w:textAlignment w:val="auto"/>
        <w:rPr>
          <w:rFonts w:ascii="Times New Roman" w:eastAsia="Calibri" w:hAnsi="Times New Roman"/>
          <w:b/>
          <w:color w:val="auto"/>
          <w:spacing w:val="0"/>
          <w:sz w:val="28"/>
          <w:szCs w:val="28"/>
          <w:lang w:eastAsia="en-US"/>
        </w:rPr>
      </w:pPr>
      <w:r>
        <w:rPr>
          <w:rFonts w:ascii="Times New Roman" w:eastAsia="Calibri" w:hAnsi="Times New Roman"/>
          <w:b/>
          <w:color w:val="auto"/>
          <w:spacing w:val="0"/>
          <w:sz w:val="28"/>
          <w:szCs w:val="28"/>
          <w:lang w:eastAsia="en-US"/>
        </w:rPr>
        <w:br w:type="page"/>
      </w:r>
    </w:p>
    <w:p w14:paraId="1855C727" w14:textId="77777777" w:rsidR="00C219C5" w:rsidRPr="00C56099" w:rsidRDefault="00495011" w:rsidP="00F86755">
      <w:pPr>
        <w:pStyle w:val="ListParagraph"/>
        <w:numPr>
          <w:ilvl w:val="1"/>
          <w:numId w:val="5"/>
        </w:numPr>
        <w:suppressAutoHyphens w:val="0"/>
        <w:autoSpaceDN/>
        <w:spacing w:line="360" w:lineRule="auto"/>
        <w:jc w:val="both"/>
        <w:textAlignment w:val="auto"/>
        <w:rPr>
          <w:rFonts w:ascii="Times New Roman" w:eastAsia="Calibri" w:hAnsi="Times New Roman"/>
          <w:b/>
          <w:color w:val="auto"/>
          <w:spacing w:val="0"/>
          <w:sz w:val="28"/>
          <w:szCs w:val="28"/>
          <w:lang w:eastAsia="en-US"/>
        </w:rPr>
      </w:pPr>
      <w:r w:rsidRPr="00C56099">
        <w:rPr>
          <w:rFonts w:ascii="Times New Roman" w:eastAsia="Calibri" w:hAnsi="Times New Roman"/>
          <w:b/>
          <w:color w:val="auto"/>
          <w:spacing w:val="0"/>
          <w:sz w:val="28"/>
          <w:szCs w:val="28"/>
          <w:lang w:eastAsia="en-US"/>
        </w:rPr>
        <w:t>The Electoral Commission of South Africa</w:t>
      </w:r>
    </w:p>
    <w:p w14:paraId="2DC5E94D" w14:textId="77777777" w:rsidR="00DA002A" w:rsidRDefault="00DA002A" w:rsidP="001754B7">
      <w:pPr>
        <w:pStyle w:val="ListParagraph"/>
        <w:numPr>
          <w:ilvl w:val="0"/>
          <w:numId w:val="36"/>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A33469">
        <w:rPr>
          <w:rFonts w:ascii="Times New Roman" w:eastAsia="Calibri" w:hAnsi="Times New Roman"/>
          <w:color w:val="auto"/>
          <w:spacing w:val="0"/>
          <w:sz w:val="24"/>
          <w:szCs w:val="24"/>
          <w:lang w:eastAsia="en-US"/>
        </w:rPr>
        <w:t>The Committee was concerned about the</w:t>
      </w:r>
      <w:r w:rsidR="00EA1461" w:rsidRPr="00A33469">
        <w:rPr>
          <w:rFonts w:ascii="Times New Roman" w:eastAsia="Calibri" w:hAnsi="Times New Roman"/>
          <w:color w:val="auto"/>
          <w:spacing w:val="0"/>
          <w:sz w:val="24"/>
          <w:szCs w:val="24"/>
          <w:lang w:eastAsia="en-US"/>
        </w:rPr>
        <w:t xml:space="preserve"> </w:t>
      </w:r>
      <w:r w:rsidR="00F86755">
        <w:rPr>
          <w:rFonts w:ascii="Times New Roman" w:eastAsia="Calibri" w:hAnsi="Times New Roman"/>
          <w:color w:val="auto"/>
          <w:spacing w:val="0"/>
          <w:sz w:val="24"/>
          <w:szCs w:val="24"/>
          <w:lang w:eastAsia="en-US"/>
        </w:rPr>
        <w:t xml:space="preserve">low </w:t>
      </w:r>
      <w:r w:rsidR="00B90FFF">
        <w:rPr>
          <w:rFonts w:ascii="Times New Roman" w:eastAsia="Calibri" w:hAnsi="Times New Roman"/>
          <w:color w:val="auto"/>
          <w:spacing w:val="0"/>
          <w:sz w:val="24"/>
          <w:szCs w:val="24"/>
          <w:lang w:eastAsia="en-US"/>
        </w:rPr>
        <w:t xml:space="preserve">young </w:t>
      </w:r>
      <w:r w:rsidR="00EA1461" w:rsidRPr="00A33469">
        <w:rPr>
          <w:rFonts w:ascii="Times New Roman" w:eastAsia="Calibri" w:hAnsi="Times New Roman"/>
          <w:color w:val="auto"/>
          <w:spacing w:val="0"/>
          <w:sz w:val="24"/>
          <w:szCs w:val="24"/>
          <w:lang w:eastAsia="en-US"/>
        </w:rPr>
        <w:t xml:space="preserve">voter turnout during election days for National and Provincial </w:t>
      </w:r>
      <w:r w:rsidR="00B90FFF">
        <w:rPr>
          <w:rFonts w:ascii="Times New Roman" w:eastAsia="Calibri" w:hAnsi="Times New Roman"/>
          <w:color w:val="auto"/>
          <w:spacing w:val="0"/>
          <w:sz w:val="24"/>
          <w:szCs w:val="24"/>
          <w:lang w:eastAsia="en-US"/>
        </w:rPr>
        <w:t>Elections despite significant expenditure on outreach and communication.</w:t>
      </w:r>
    </w:p>
    <w:p w14:paraId="1C94096A" w14:textId="77777777" w:rsidR="00B90FFF" w:rsidRDefault="00B90FFF" w:rsidP="001754B7">
      <w:pPr>
        <w:pStyle w:val="ListParagraph"/>
        <w:numPr>
          <w:ilvl w:val="0"/>
          <w:numId w:val="36"/>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The Committee was concerned with the use of private property as venues for election registration and voting given that campaigning by political parties</w:t>
      </w:r>
      <w:r w:rsidR="004E2D87">
        <w:rPr>
          <w:rFonts w:ascii="Times New Roman" w:eastAsia="Calibri" w:hAnsi="Times New Roman"/>
          <w:color w:val="auto"/>
          <w:spacing w:val="0"/>
          <w:sz w:val="24"/>
          <w:szCs w:val="24"/>
          <w:lang w:eastAsia="en-US"/>
        </w:rPr>
        <w:t xml:space="preserve"> had been blocked</w:t>
      </w:r>
    </w:p>
    <w:p w14:paraId="7639E432" w14:textId="77777777" w:rsidR="00B90FFF" w:rsidRPr="00B90FFF" w:rsidRDefault="004E2D87" w:rsidP="001754B7">
      <w:pPr>
        <w:pStyle w:val="ListParagraph"/>
        <w:numPr>
          <w:ilvl w:val="0"/>
          <w:numId w:val="36"/>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T</w:t>
      </w:r>
      <w:r w:rsidR="00B90FFF" w:rsidRPr="00B90FFF">
        <w:rPr>
          <w:rFonts w:ascii="Times New Roman" w:eastAsia="Calibri" w:hAnsi="Times New Roman"/>
          <w:color w:val="auto"/>
          <w:spacing w:val="0"/>
          <w:sz w:val="24"/>
          <w:szCs w:val="24"/>
          <w:lang w:eastAsia="en-US"/>
        </w:rPr>
        <w:t xml:space="preserve">he IEC </w:t>
      </w:r>
      <w:r>
        <w:rPr>
          <w:rFonts w:ascii="Times New Roman" w:eastAsia="Calibri" w:hAnsi="Times New Roman"/>
          <w:color w:val="auto"/>
          <w:spacing w:val="0"/>
          <w:sz w:val="24"/>
          <w:szCs w:val="24"/>
          <w:lang w:eastAsia="en-US"/>
        </w:rPr>
        <w:t xml:space="preserve">was asked if they </w:t>
      </w:r>
      <w:r w:rsidR="00B90FFF" w:rsidRPr="00B90FFF">
        <w:rPr>
          <w:rFonts w:ascii="Times New Roman" w:eastAsia="Calibri" w:hAnsi="Times New Roman"/>
          <w:color w:val="auto"/>
          <w:spacing w:val="0"/>
          <w:sz w:val="24"/>
          <w:szCs w:val="24"/>
          <w:lang w:eastAsia="en-US"/>
        </w:rPr>
        <w:t>foresee setting a “clean audit” rather than the current “unqualified audit” target as a realistic target in</w:t>
      </w:r>
      <w:r>
        <w:rPr>
          <w:rFonts w:ascii="Times New Roman" w:eastAsia="Calibri" w:hAnsi="Times New Roman"/>
          <w:color w:val="auto"/>
          <w:spacing w:val="0"/>
          <w:sz w:val="24"/>
          <w:szCs w:val="24"/>
          <w:lang w:eastAsia="en-US"/>
        </w:rPr>
        <w:t xml:space="preserve"> the forthcoming strategic plan.</w:t>
      </w:r>
    </w:p>
    <w:p w14:paraId="25F45750" w14:textId="77777777" w:rsidR="00B90FFF" w:rsidRPr="00B90FFF" w:rsidRDefault="004E2D87" w:rsidP="001754B7">
      <w:pPr>
        <w:pStyle w:val="ListParagraph"/>
        <w:numPr>
          <w:ilvl w:val="0"/>
          <w:numId w:val="36"/>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It was enquired w</w:t>
      </w:r>
      <w:r w:rsidR="00B90FFF" w:rsidRPr="00B90FFF">
        <w:rPr>
          <w:rFonts w:ascii="Times New Roman" w:eastAsia="Calibri" w:hAnsi="Times New Roman"/>
          <w:color w:val="auto"/>
          <w:spacing w:val="0"/>
          <w:sz w:val="24"/>
          <w:szCs w:val="24"/>
          <w:lang w:eastAsia="en-US"/>
        </w:rPr>
        <w:t xml:space="preserve">hat additional capacity and funding will be needed for the administration of </w:t>
      </w:r>
      <w:r>
        <w:rPr>
          <w:rFonts w:ascii="Times New Roman" w:eastAsia="Calibri" w:hAnsi="Times New Roman"/>
          <w:color w:val="auto"/>
          <w:spacing w:val="0"/>
          <w:sz w:val="24"/>
          <w:szCs w:val="24"/>
          <w:lang w:eastAsia="en-US"/>
        </w:rPr>
        <w:t>the Political Party Funding Act.</w:t>
      </w:r>
    </w:p>
    <w:p w14:paraId="29C6695D" w14:textId="77777777" w:rsidR="00B90FFF" w:rsidRDefault="004E2D87" w:rsidP="001754B7">
      <w:pPr>
        <w:pStyle w:val="ListParagraph"/>
        <w:numPr>
          <w:ilvl w:val="0"/>
          <w:numId w:val="36"/>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There was concern that the</w:t>
      </w:r>
      <w:r w:rsidR="00B90FFF" w:rsidRPr="00B90FFF">
        <w:rPr>
          <w:rFonts w:ascii="Times New Roman" w:eastAsia="Calibri" w:hAnsi="Times New Roman"/>
          <w:color w:val="auto"/>
          <w:spacing w:val="0"/>
          <w:sz w:val="24"/>
          <w:szCs w:val="24"/>
          <w:lang w:eastAsia="en-US"/>
        </w:rPr>
        <w:t xml:space="preserve"> filling of vacancies target </w:t>
      </w:r>
      <w:r>
        <w:rPr>
          <w:rFonts w:ascii="Times New Roman" w:eastAsia="Calibri" w:hAnsi="Times New Roman"/>
          <w:color w:val="auto"/>
          <w:spacing w:val="0"/>
          <w:sz w:val="24"/>
          <w:szCs w:val="24"/>
          <w:lang w:eastAsia="en-US"/>
        </w:rPr>
        <w:t xml:space="preserve">was </w:t>
      </w:r>
      <w:r w:rsidR="00EE5B88">
        <w:rPr>
          <w:rFonts w:ascii="Times New Roman" w:eastAsia="Calibri" w:hAnsi="Times New Roman"/>
          <w:color w:val="auto"/>
          <w:spacing w:val="0"/>
          <w:sz w:val="24"/>
          <w:szCs w:val="24"/>
          <w:lang w:eastAsia="en-US"/>
        </w:rPr>
        <w:t>set at 90% rather than 100%.</w:t>
      </w:r>
    </w:p>
    <w:p w14:paraId="3BC4CB55" w14:textId="77777777" w:rsidR="00EE5B88" w:rsidRPr="0002485C" w:rsidRDefault="00EE5B88" w:rsidP="001754B7">
      <w:pPr>
        <w:pStyle w:val="ListParagraph"/>
        <w:numPr>
          <w:ilvl w:val="0"/>
          <w:numId w:val="36"/>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02485C">
        <w:rPr>
          <w:rFonts w:ascii="Times New Roman" w:eastAsia="Calibri" w:hAnsi="Times New Roman"/>
          <w:color w:val="auto"/>
          <w:spacing w:val="0"/>
          <w:sz w:val="24"/>
          <w:szCs w:val="24"/>
          <w:lang w:eastAsia="en-US"/>
        </w:rPr>
        <w:t>The Committee was concern</w:t>
      </w:r>
      <w:r>
        <w:rPr>
          <w:rFonts w:ascii="Times New Roman" w:eastAsia="Calibri" w:hAnsi="Times New Roman"/>
          <w:color w:val="auto"/>
          <w:spacing w:val="0"/>
          <w:sz w:val="24"/>
          <w:szCs w:val="24"/>
          <w:lang w:eastAsia="en-US"/>
        </w:rPr>
        <w:t>ed</w:t>
      </w:r>
      <w:r w:rsidRPr="0002485C">
        <w:rPr>
          <w:rFonts w:ascii="Times New Roman" w:eastAsia="Calibri" w:hAnsi="Times New Roman"/>
          <w:color w:val="auto"/>
          <w:spacing w:val="0"/>
          <w:sz w:val="24"/>
          <w:szCs w:val="24"/>
          <w:lang w:eastAsia="en-US"/>
        </w:rPr>
        <w:t xml:space="preserve"> about the double voting that happened in the 2019</w:t>
      </w:r>
      <w:r>
        <w:rPr>
          <w:rFonts w:ascii="Times New Roman" w:eastAsia="Calibri" w:hAnsi="Times New Roman"/>
          <w:color w:val="auto"/>
          <w:spacing w:val="0"/>
          <w:sz w:val="24"/>
          <w:szCs w:val="24"/>
          <w:lang w:eastAsia="en-US"/>
        </w:rPr>
        <w:t xml:space="preserve"> </w:t>
      </w:r>
      <w:r w:rsidRPr="0002485C">
        <w:rPr>
          <w:rFonts w:ascii="Times New Roman" w:eastAsia="Calibri" w:hAnsi="Times New Roman"/>
          <w:color w:val="auto"/>
          <w:spacing w:val="0"/>
          <w:sz w:val="24"/>
          <w:szCs w:val="24"/>
          <w:lang w:eastAsia="en-US"/>
        </w:rPr>
        <w:t>National and Provincial Election</w:t>
      </w:r>
      <w:r>
        <w:rPr>
          <w:rFonts w:ascii="Times New Roman" w:eastAsia="Calibri" w:hAnsi="Times New Roman"/>
          <w:color w:val="auto"/>
          <w:spacing w:val="0"/>
          <w:sz w:val="24"/>
          <w:szCs w:val="24"/>
          <w:lang w:eastAsia="en-US"/>
        </w:rPr>
        <w:t xml:space="preserve">s, </w:t>
      </w:r>
      <w:r w:rsidRPr="0002485C">
        <w:rPr>
          <w:rFonts w:ascii="Times New Roman" w:eastAsia="Calibri" w:hAnsi="Times New Roman"/>
          <w:color w:val="auto"/>
          <w:spacing w:val="0"/>
          <w:sz w:val="24"/>
          <w:szCs w:val="24"/>
          <w:lang w:eastAsia="en-US"/>
        </w:rPr>
        <w:t xml:space="preserve">the indelible ink that was able to be removed by voters and the </w:t>
      </w:r>
      <w:r>
        <w:rPr>
          <w:rFonts w:ascii="Times New Roman" w:eastAsia="Calibri" w:hAnsi="Times New Roman"/>
          <w:color w:val="auto"/>
          <w:spacing w:val="0"/>
          <w:sz w:val="24"/>
          <w:szCs w:val="24"/>
          <w:lang w:eastAsia="en-US"/>
        </w:rPr>
        <w:t xml:space="preserve">number of </w:t>
      </w:r>
      <w:r w:rsidRPr="0002485C">
        <w:rPr>
          <w:rFonts w:ascii="Times New Roman" w:eastAsia="Calibri" w:hAnsi="Times New Roman"/>
          <w:color w:val="auto"/>
          <w:spacing w:val="0"/>
          <w:sz w:val="24"/>
          <w:szCs w:val="24"/>
          <w:lang w:eastAsia="en-US"/>
        </w:rPr>
        <w:t xml:space="preserve">spoilt ballot papers. </w:t>
      </w:r>
    </w:p>
    <w:p w14:paraId="07B95EB7" w14:textId="77777777" w:rsidR="00EE5B88" w:rsidRPr="0002485C" w:rsidRDefault="00EE5B88" w:rsidP="001754B7">
      <w:pPr>
        <w:pStyle w:val="ListParagraph"/>
        <w:numPr>
          <w:ilvl w:val="0"/>
          <w:numId w:val="36"/>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02485C">
        <w:rPr>
          <w:rFonts w:ascii="Times New Roman" w:eastAsia="Calibri" w:hAnsi="Times New Roman"/>
          <w:color w:val="auto"/>
          <w:spacing w:val="0"/>
          <w:sz w:val="24"/>
          <w:szCs w:val="24"/>
          <w:lang w:eastAsia="en-US"/>
        </w:rPr>
        <w:t xml:space="preserve">The IEC </w:t>
      </w:r>
      <w:r>
        <w:rPr>
          <w:rFonts w:ascii="Times New Roman" w:eastAsia="Calibri" w:hAnsi="Times New Roman"/>
          <w:color w:val="auto"/>
          <w:spacing w:val="0"/>
          <w:sz w:val="24"/>
          <w:szCs w:val="24"/>
          <w:lang w:eastAsia="en-US"/>
        </w:rPr>
        <w:t>was reported in the 2019</w:t>
      </w:r>
      <w:r w:rsidRPr="0002485C">
        <w:rPr>
          <w:rFonts w:ascii="Times New Roman" w:eastAsia="Calibri" w:hAnsi="Times New Roman"/>
          <w:color w:val="auto"/>
          <w:spacing w:val="0"/>
          <w:sz w:val="24"/>
          <w:szCs w:val="24"/>
          <w:lang w:eastAsia="en-US"/>
        </w:rPr>
        <w:t xml:space="preserve"> election</w:t>
      </w:r>
      <w:r>
        <w:rPr>
          <w:rFonts w:ascii="Times New Roman" w:eastAsia="Calibri" w:hAnsi="Times New Roman"/>
          <w:color w:val="auto"/>
          <w:spacing w:val="0"/>
          <w:sz w:val="24"/>
          <w:szCs w:val="24"/>
          <w:lang w:eastAsia="en-US"/>
        </w:rPr>
        <w:t xml:space="preserve">s to </w:t>
      </w:r>
      <w:r w:rsidRPr="0002485C">
        <w:rPr>
          <w:rFonts w:ascii="Times New Roman" w:eastAsia="Calibri" w:hAnsi="Times New Roman"/>
          <w:color w:val="auto"/>
          <w:spacing w:val="0"/>
          <w:sz w:val="24"/>
          <w:szCs w:val="24"/>
          <w:lang w:eastAsia="en-US"/>
        </w:rPr>
        <w:t xml:space="preserve">not have Section 24A forms </w:t>
      </w:r>
      <w:r>
        <w:rPr>
          <w:rFonts w:ascii="Times New Roman" w:eastAsia="Calibri" w:hAnsi="Times New Roman"/>
          <w:color w:val="auto"/>
          <w:spacing w:val="0"/>
          <w:sz w:val="24"/>
          <w:szCs w:val="24"/>
          <w:lang w:eastAsia="en-US"/>
        </w:rPr>
        <w:t>to</w:t>
      </w:r>
      <w:r w:rsidRPr="0002485C">
        <w:rPr>
          <w:rFonts w:ascii="Times New Roman" w:eastAsia="Calibri" w:hAnsi="Times New Roman"/>
          <w:color w:val="auto"/>
          <w:spacing w:val="0"/>
          <w:sz w:val="24"/>
          <w:szCs w:val="24"/>
          <w:lang w:eastAsia="en-US"/>
        </w:rPr>
        <w:t xml:space="preserve"> complete in some voting stations where voters who needed to vote in different voting stations. The Zip-zip machines were not able to assist </w:t>
      </w:r>
      <w:r>
        <w:rPr>
          <w:rFonts w:ascii="Times New Roman" w:eastAsia="Calibri" w:hAnsi="Times New Roman"/>
          <w:color w:val="auto"/>
          <w:spacing w:val="0"/>
          <w:sz w:val="24"/>
          <w:szCs w:val="24"/>
          <w:lang w:eastAsia="en-US"/>
        </w:rPr>
        <w:t>in real time to warn of potential double</w:t>
      </w:r>
      <w:r w:rsidRPr="0002485C">
        <w:rPr>
          <w:rFonts w:ascii="Times New Roman" w:eastAsia="Calibri" w:hAnsi="Times New Roman"/>
          <w:color w:val="auto"/>
          <w:spacing w:val="0"/>
          <w:sz w:val="24"/>
          <w:szCs w:val="24"/>
          <w:lang w:eastAsia="en-US"/>
        </w:rPr>
        <w:t xml:space="preserve"> voting</w:t>
      </w:r>
      <w:r>
        <w:rPr>
          <w:rFonts w:ascii="Times New Roman" w:eastAsia="Calibri" w:hAnsi="Times New Roman"/>
          <w:color w:val="auto"/>
          <w:spacing w:val="0"/>
          <w:sz w:val="24"/>
          <w:szCs w:val="24"/>
          <w:lang w:eastAsia="en-US"/>
        </w:rPr>
        <w:t>.</w:t>
      </w:r>
    </w:p>
    <w:p w14:paraId="6D7335FE" w14:textId="77777777" w:rsidR="00EE5B88" w:rsidRPr="00EE5B88" w:rsidRDefault="00EE5B88" w:rsidP="001754B7">
      <w:pPr>
        <w:pStyle w:val="ListParagraph"/>
        <w:numPr>
          <w:ilvl w:val="0"/>
          <w:numId w:val="36"/>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T</w:t>
      </w:r>
      <w:r w:rsidRPr="0002485C">
        <w:rPr>
          <w:rFonts w:ascii="Times New Roman" w:eastAsia="Calibri" w:hAnsi="Times New Roman"/>
          <w:color w:val="auto"/>
          <w:spacing w:val="0"/>
          <w:sz w:val="24"/>
          <w:szCs w:val="24"/>
          <w:lang w:eastAsia="en-US"/>
        </w:rPr>
        <w:t>here was a gap in communication between the IEC and the political parties and the media</w:t>
      </w:r>
      <w:r w:rsidRPr="00EE5B88">
        <w:rPr>
          <w:rFonts w:ascii="Times New Roman" w:eastAsia="Calibri" w:hAnsi="Times New Roman"/>
          <w:color w:val="auto"/>
          <w:spacing w:val="0"/>
          <w:sz w:val="24"/>
          <w:szCs w:val="24"/>
          <w:lang w:eastAsia="en-US"/>
        </w:rPr>
        <w:t xml:space="preserve"> </w:t>
      </w:r>
      <w:r>
        <w:rPr>
          <w:rFonts w:ascii="Times New Roman" w:eastAsia="Calibri" w:hAnsi="Times New Roman"/>
          <w:color w:val="auto"/>
          <w:spacing w:val="0"/>
          <w:sz w:val="24"/>
          <w:szCs w:val="24"/>
          <w:lang w:eastAsia="en-US"/>
        </w:rPr>
        <w:t>at the Results Operations Centre.</w:t>
      </w:r>
    </w:p>
    <w:p w14:paraId="77EB5538" w14:textId="77777777" w:rsidR="00EA1461" w:rsidRPr="00A33469" w:rsidRDefault="00EA1461" w:rsidP="00A33469">
      <w:pPr>
        <w:suppressAutoHyphens w:val="0"/>
        <w:autoSpaceDN/>
        <w:spacing w:line="360" w:lineRule="auto"/>
        <w:jc w:val="both"/>
        <w:textAlignment w:val="auto"/>
        <w:rPr>
          <w:rFonts w:ascii="Times New Roman" w:eastAsia="Calibri" w:hAnsi="Times New Roman"/>
          <w:color w:val="auto"/>
          <w:spacing w:val="0"/>
          <w:sz w:val="24"/>
          <w:szCs w:val="24"/>
          <w:lang w:eastAsia="en-US"/>
        </w:rPr>
      </w:pPr>
    </w:p>
    <w:p w14:paraId="1A31409A" w14:textId="77777777" w:rsidR="00495011" w:rsidRPr="00C56099" w:rsidRDefault="00495011" w:rsidP="0056205B">
      <w:pPr>
        <w:pStyle w:val="ListParagraph"/>
        <w:numPr>
          <w:ilvl w:val="1"/>
          <w:numId w:val="5"/>
        </w:numPr>
        <w:suppressAutoHyphens w:val="0"/>
        <w:autoSpaceDN/>
        <w:spacing w:line="360" w:lineRule="auto"/>
        <w:jc w:val="both"/>
        <w:textAlignment w:val="auto"/>
        <w:rPr>
          <w:rFonts w:ascii="Times New Roman" w:eastAsia="Calibri" w:hAnsi="Times New Roman"/>
          <w:b/>
          <w:color w:val="auto"/>
          <w:spacing w:val="0"/>
          <w:sz w:val="28"/>
          <w:szCs w:val="28"/>
          <w:lang w:eastAsia="en-US"/>
        </w:rPr>
      </w:pPr>
      <w:r w:rsidRPr="00C56099">
        <w:rPr>
          <w:rFonts w:ascii="Times New Roman" w:eastAsia="Calibri" w:hAnsi="Times New Roman"/>
          <w:b/>
          <w:color w:val="auto"/>
          <w:spacing w:val="0"/>
          <w:sz w:val="28"/>
          <w:szCs w:val="28"/>
          <w:lang w:eastAsia="en-US"/>
        </w:rPr>
        <w:t>The Government Printing Works</w:t>
      </w:r>
    </w:p>
    <w:p w14:paraId="6E882624" w14:textId="77777777" w:rsidR="00B90FFF" w:rsidRPr="004E2D87" w:rsidRDefault="00B90FFF" w:rsidP="001754B7">
      <w:pPr>
        <w:pStyle w:val="ListParagraph"/>
        <w:numPr>
          <w:ilvl w:val="0"/>
          <w:numId w:val="35"/>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4E2D87">
        <w:rPr>
          <w:rFonts w:ascii="Times New Roman" w:eastAsia="Calibri" w:hAnsi="Times New Roman"/>
          <w:color w:val="auto"/>
          <w:spacing w:val="0"/>
          <w:sz w:val="24"/>
          <w:szCs w:val="24"/>
          <w:lang w:eastAsia="en-US"/>
        </w:rPr>
        <w:t>The Committee commended the efficiency and profitability of the GPW despite the difficulties in the economy.</w:t>
      </w:r>
      <w:r w:rsidR="004E2D87" w:rsidRPr="004E2D87">
        <w:rPr>
          <w:rFonts w:ascii="Times New Roman" w:eastAsia="Calibri" w:hAnsi="Times New Roman"/>
          <w:color w:val="auto"/>
          <w:spacing w:val="0"/>
          <w:sz w:val="24"/>
          <w:szCs w:val="24"/>
          <w:lang w:eastAsia="en-US"/>
        </w:rPr>
        <w:t xml:space="preserve"> It was asked how the amount of profit submitted to National Treasury was determined.</w:t>
      </w:r>
    </w:p>
    <w:p w14:paraId="782C16E1" w14:textId="77777777" w:rsidR="00EE126E" w:rsidRPr="00A33469" w:rsidRDefault="00EE126E" w:rsidP="001754B7">
      <w:pPr>
        <w:pStyle w:val="ListParagraph"/>
        <w:numPr>
          <w:ilvl w:val="0"/>
          <w:numId w:val="35"/>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A33469">
        <w:rPr>
          <w:rFonts w:ascii="Times New Roman" w:eastAsia="Calibri" w:hAnsi="Times New Roman"/>
          <w:color w:val="auto"/>
          <w:spacing w:val="0"/>
          <w:sz w:val="24"/>
          <w:szCs w:val="24"/>
          <w:lang w:eastAsia="en-US"/>
        </w:rPr>
        <w:t xml:space="preserve">The Committee was concerned about the </w:t>
      </w:r>
      <w:r w:rsidR="00B90FFF">
        <w:rPr>
          <w:rFonts w:ascii="Times New Roman" w:eastAsia="Calibri" w:hAnsi="Times New Roman"/>
          <w:color w:val="auto"/>
          <w:spacing w:val="0"/>
          <w:sz w:val="24"/>
          <w:szCs w:val="24"/>
          <w:lang w:eastAsia="en-US"/>
        </w:rPr>
        <w:t>vetting of staff</w:t>
      </w:r>
      <w:r w:rsidRPr="00A33469">
        <w:rPr>
          <w:rFonts w:ascii="Times New Roman" w:eastAsia="Calibri" w:hAnsi="Times New Roman"/>
          <w:color w:val="auto"/>
          <w:spacing w:val="0"/>
          <w:sz w:val="24"/>
          <w:szCs w:val="24"/>
          <w:lang w:eastAsia="en-US"/>
        </w:rPr>
        <w:t xml:space="preserve"> in and around the production of </w:t>
      </w:r>
      <w:r w:rsidR="00B90FFF">
        <w:rPr>
          <w:rFonts w:ascii="Times New Roman" w:eastAsia="Calibri" w:hAnsi="Times New Roman"/>
          <w:color w:val="auto"/>
          <w:spacing w:val="0"/>
          <w:sz w:val="24"/>
          <w:szCs w:val="24"/>
          <w:lang w:eastAsia="en-US"/>
        </w:rPr>
        <w:t xml:space="preserve">secure </w:t>
      </w:r>
      <w:r w:rsidRPr="00A33469">
        <w:rPr>
          <w:rFonts w:ascii="Times New Roman" w:eastAsia="Calibri" w:hAnsi="Times New Roman"/>
          <w:color w:val="auto"/>
          <w:spacing w:val="0"/>
          <w:sz w:val="24"/>
          <w:szCs w:val="24"/>
          <w:lang w:eastAsia="en-US"/>
        </w:rPr>
        <w:t>enabling documents.</w:t>
      </w:r>
    </w:p>
    <w:p w14:paraId="4E76B3D8" w14:textId="77777777" w:rsidR="00B90FFF" w:rsidRDefault="00EE126E" w:rsidP="001754B7">
      <w:pPr>
        <w:pStyle w:val="ListParagraph"/>
        <w:numPr>
          <w:ilvl w:val="0"/>
          <w:numId w:val="35"/>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B90FFF">
        <w:rPr>
          <w:rFonts w:ascii="Times New Roman" w:eastAsia="Calibri" w:hAnsi="Times New Roman"/>
          <w:color w:val="auto"/>
          <w:spacing w:val="0"/>
          <w:sz w:val="24"/>
          <w:szCs w:val="24"/>
          <w:lang w:eastAsia="en-US"/>
        </w:rPr>
        <w:t xml:space="preserve">The Committee </w:t>
      </w:r>
      <w:r w:rsidR="00B90FFF">
        <w:rPr>
          <w:rFonts w:ascii="Times New Roman" w:eastAsia="Calibri" w:hAnsi="Times New Roman"/>
          <w:color w:val="auto"/>
          <w:spacing w:val="0"/>
          <w:sz w:val="24"/>
          <w:szCs w:val="24"/>
          <w:lang w:eastAsia="en-US"/>
        </w:rPr>
        <w:t>was encouraged</w:t>
      </w:r>
      <w:r w:rsidR="00B90FFF" w:rsidRPr="00B90FFF">
        <w:rPr>
          <w:rFonts w:ascii="Times New Roman" w:eastAsia="Calibri" w:hAnsi="Times New Roman"/>
          <w:color w:val="auto"/>
          <w:spacing w:val="0"/>
          <w:sz w:val="24"/>
          <w:szCs w:val="24"/>
          <w:lang w:eastAsia="en-US"/>
        </w:rPr>
        <w:t xml:space="preserve"> in</w:t>
      </w:r>
      <w:r w:rsidRPr="00B90FFF">
        <w:rPr>
          <w:rFonts w:ascii="Times New Roman" w:eastAsia="Calibri" w:hAnsi="Times New Roman"/>
          <w:color w:val="auto"/>
          <w:spacing w:val="0"/>
          <w:sz w:val="24"/>
          <w:szCs w:val="24"/>
          <w:lang w:eastAsia="en-US"/>
        </w:rPr>
        <w:t xml:space="preserve"> discussions </w:t>
      </w:r>
      <w:r w:rsidR="00B90FFF" w:rsidRPr="00B90FFF">
        <w:rPr>
          <w:rFonts w:ascii="Times New Roman" w:eastAsia="Calibri" w:hAnsi="Times New Roman"/>
          <w:color w:val="auto"/>
          <w:spacing w:val="0"/>
          <w:sz w:val="24"/>
          <w:szCs w:val="24"/>
          <w:lang w:eastAsia="en-US"/>
        </w:rPr>
        <w:t>with the Minister on the provision of printing solutions for SADC countries including S</w:t>
      </w:r>
      <w:r w:rsidR="00B90FFF">
        <w:rPr>
          <w:rFonts w:ascii="Times New Roman" w:eastAsia="Calibri" w:hAnsi="Times New Roman"/>
          <w:color w:val="auto"/>
          <w:spacing w:val="0"/>
          <w:sz w:val="24"/>
          <w:szCs w:val="24"/>
          <w:lang w:eastAsia="en-US"/>
        </w:rPr>
        <w:t>waziland.</w:t>
      </w:r>
    </w:p>
    <w:p w14:paraId="3ADE33EB" w14:textId="77777777" w:rsidR="004E2D87" w:rsidRDefault="004E2D87" w:rsidP="001754B7">
      <w:pPr>
        <w:pStyle w:val="ListParagraph"/>
        <w:numPr>
          <w:ilvl w:val="0"/>
          <w:numId w:val="35"/>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 xml:space="preserve">The committee enquired why </w:t>
      </w:r>
      <w:r w:rsidRPr="004E2D87">
        <w:rPr>
          <w:rFonts w:ascii="Times New Roman" w:eastAsia="Calibri" w:hAnsi="Times New Roman"/>
          <w:color w:val="auto"/>
          <w:spacing w:val="0"/>
          <w:sz w:val="24"/>
          <w:szCs w:val="24"/>
          <w:lang w:eastAsia="en-US"/>
        </w:rPr>
        <w:t xml:space="preserve">GPW </w:t>
      </w:r>
      <w:r>
        <w:rPr>
          <w:rFonts w:ascii="Times New Roman" w:eastAsia="Calibri" w:hAnsi="Times New Roman"/>
          <w:color w:val="auto"/>
          <w:spacing w:val="0"/>
          <w:sz w:val="24"/>
          <w:szCs w:val="24"/>
          <w:lang w:eastAsia="en-US"/>
        </w:rPr>
        <w:t xml:space="preserve">does </w:t>
      </w:r>
      <w:r w:rsidRPr="004E2D87">
        <w:rPr>
          <w:rFonts w:ascii="Times New Roman" w:eastAsia="Calibri" w:hAnsi="Times New Roman"/>
          <w:color w:val="auto"/>
          <w:spacing w:val="0"/>
          <w:sz w:val="24"/>
          <w:szCs w:val="24"/>
          <w:lang w:eastAsia="en-US"/>
        </w:rPr>
        <w:t>not print al</w:t>
      </w:r>
      <w:r>
        <w:rPr>
          <w:rFonts w:ascii="Times New Roman" w:eastAsia="Calibri" w:hAnsi="Times New Roman"/>
          <w:color w:val="auto"/>
          <w:spacing w:val="0"/>
          <w:sz w:val="24"/>
          <w:szCs w:val="24"/>
          <w:lang w:eastAsia="en-US"/>
        </w:rPr>
        <w:t>l Planning and report documents for Government Departments.</w:t>
      </w:r>
    </w:p>
    <w:p w14:paraId="797A9F07" w14:textId="77777777" w:rsidR="004E2D87" w:rsidRPr="004E2D87" w:rsidRDefault="004E2D87" w:rsidP="001754B7">
      <w:pPr>
        <w:pStyle w:val="ListParagraph"/>
        <w:numPr>
          <w:ilvl w:val="0"/>
          <w:numId w:val="35"/>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The committee asked w</w:t>
      </w:r>
      <w:r w:rsidRPr="004E2D87">
        <w:rPr>
          <w:rFonts w:ascii="Times New Roman" w:eastAsia="Calibri" w:hAnsi="Times New Roman"/>
          <w:color w:val="auto"/>
          <w:spacing w:val="0"/>
          <w:sz w:val="24"/>
          <w:szCs w:val="24"/>
          <w:lang w:eastAsia="en-US"/>
        </w:rPr>
        <w:t xml:space="preserve">hat </w:t>
      </w:r>
      <w:r>
        <w:rPr>
          <w:rFonts w:ascii="Times New Roman" w:eastAsia="Calibri" w:hAnsi="Times New Roman"/>
          <w:color w:val="auto"/>
          <w:spacing w:val="0"/>
          <w:sz w:val="24"/>
          <w:szCs w:val="24"/>
          <w:lang w:eastAsia="en-US"/>
        </w:rPr>
        <w:t>had led</w:t>
      </w:r>
      <w:r w:rsidRPr="004E2D87">
        <w:rPr>
          <w:rFonts w:ascii="Times New Roman" w:eastAsia="Calibri" w:hAnsi="Times New Roman"/>
          <w:color w:val="auto"/>
          <w:spacing w:val="0"/>
          <w:sz w:val="24"/>
          <w:szCs w:val="24"/>
          <w:lang w:eastAsia="en-US"/>
        </w:rPr>
        <w:t xml:space="preserve"> to the long term vacancy of the positon of Chief Executive Officer of Government Printing Works</w:t>
      </w:r>
      <w:r>
        <w:rPr>
          <w:rFonts w:ascii="Times New Roman" w:eastAsia="Calibri" w:hAnsi="Times New Roman"/>
          <w:color w:val="auto"/>
          <w:spacing w:val="0"/>
          <w:sz w:val="24"/>
          <w:szCs w:val="24"/>
          <w:lang w:eastAsia="en-US"/>
        </w:rPr>
        <w:t>.</w:t>
      </w:r>
    </w:p>
    <w:p w14:paraId="7033B585" w14:textId="77777777" w:rsidR="004E2D87" w:rsidRPr="004E2D87" w:rsidRDefault="004E2D87" w:rsidP="001754B7">
      <w:pPr>
        <w:pStyle w:val="ListParagraph"/>
        <w:numPr>
          <w:ilvl w:val="0"/>
          <w:numId w:val="35"/>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There was concern that</w:t>
      </w:r>
      <w:r w:rsidR="002710C2">
        <w:rPr>
          <w:rFonts w:ascii="Times New Roman" w:eastAsia="Calibri" w:hAnsi="Times New Roman"/>
          <w:color w:val="auto"/>
          <w:spacing w:val="0"/>
          <w:sz w:val="24"/>
          <w:szCs w:val="24"/>
          <w:lang w:eastAsia="en-US"/>
        </w:rPr>
        <w:t xml:space="preserve"> c</w:t>
      </w:r>
      <w:r w:rsidRPr="004E2D87">
        <w:rPr>
          <w:rFonts w:ascii="Times New Roman" w:eastAsia="Calibri" w:hAnsi="Times New Roman"/>
          <w:color w:val="auto"/>
          <w:spacing w:val="0"/>
          <w:sz w:val="24"/>
          <w:szCs w:val="24"/>
          <w:lang w:eastAsia="en-US"/>
        </w:rPr>
        <w:t xml:space="preserve">lient specifications for security documents </w:t>
      </w:r>
      <w:r w:rsidR="002710C2">
        <w:rPr>
          <w:rFonts w:ascii="Times New Roman" w:eastAsia="Calibri" w:hAnsi="Times New Roman"/>
          <w:color w:val="auto"/>
          <w:spacing w:val="0"/>
          <w:sz w:val="24"/>
          <w:szCs w:val="24"/>
          <w:lang w:eastAsia="en-US"/>
        </w:rPr>
        <w:t>did not seem to include expected delivery times.</w:t>
      </w:r>
    </w:p>
    <w:p w14:paraId="0AC79167" w14:textId="77777777" w:rsidR="002710C2" w:rsidRPr="002710C2" w:rsidRDefault="002710C2" w:rsidP="002710C2">
      <w:pPr>
        <w:pStyle w:val="ListParagraph"/>
        <w:suppressAutoHyphens w:val="0"/>
        <w:autoSpaceDN/>
        <w:spacing w:line="360" w:lineRule="auto"/>
        <w:jc w:val="both"/>
        <w:textAlignment w:val="auto"/>
        <w:rPr>
          <w:rFonts w:ascii="Times New Roman" w:eastAsia="Calibri" w:hAnsi="Times New Roman"/>
          <w:color w:val="auto"/>
          <w:spacing w:val="0"/>
          <w:sz w:val="24"/>
          <w:szCs w:val="24"/>
          <w:lang w:eastAsia="en-US"/>
        </w:rPr>
      </w:pPr>
    </w:p>
    <w:p w14:paraId="2521C70E" w14:textId="77777777" w:rsidR="00495011" w:rsidRPr="00285CBC" w:rsidRDefault="00495011" w:rsidP="0056205B">
      <w:pPr>
        <w:pStyle w:val="ListParagraph"/>
        <w:numPr>
          <w:ilvl w:val="0"/>
          <w:numId w:val="5"/>
        </w:numPr>
        <w:suppressAutoHyphens w:val="0"/>
        <w:autoSpaceDN/>
        <w:spacing w:line="360" w:lineRule="auto"/>
        <w:jc w:val="both"/>
        <w:textAlignment w:val="auto"/>
        <w:rPr>
          <w:rFonts w:ascii="Times New Roman" w:eastAsia="Calibri" w:hAnsi="Times New Roman"/>
          <w:b/>
          <w:color w:val="auto"/>
          <w:spacing w:val="0"/>
          <w:sz w:val="28"/>
          <w:szCs w:val="28"/>
          <w:lang w:eastAsia="en-US"/>
        </w:rPr>
      </w:pPr>
      <w:r w:rsidRPr="00285CBC">
        <w:rPr>
          <w:rFonts w:ascii="Times New Roman" w:eastAsia="Calibri" w:hAnsi="Times New Roman"/>
          <w:b/>
          <w:color w:val="auto"/>
          <w:spacing w:val="0"/>
          <w:sz w:val="28"/>
          <w:szCs w:val="28"/>
          <w:lang w:eastAsia="en-US"/>
        </w:rPr>
        <w:t>Recommendations</w:t>
      </w:r>
    </w:p>
    <w:p w14:paraId="1BDE2520" w14:textId="77777777" w:rsidR="00EA1461" w:rsidRPr="00A33469" w:rsidRDefault="00EA1461" w:rsidP="00A33469">
      <w:p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A33469">
        <w:rPr>
          <w:rFonts w:ascii="Times New Roman" w:eastAsia="Calibri" w:hAnsi="Times New Roman"/>
          <w:color w:val="auto"/>
          <w:spacing w:val="0"/>
          <w:sz w:val="24"/>
          <w:szCs w:val="24"/>
          <w:lang w:eastAsia="en-US"/>
        </w:rPr>
        <w:t>Based on the interaction between the Department of Home Affairs, the Electoral Commission and the Government Printing Works, the Committee recommends the following:</w:t>
      </w:r>
    </w:p>
    <w:p w14:paraId="34430994" w14:textId="77777777" w:rsidR="00EA1461" w:rsidRPr="00A33469" w:rsidRDefault="00EA1461" w:rsidP="00A33469">
      <w:pPr>
        <w:suppressAutoHyphens w:val="0"/>
        <w:autoSpaceDN/>
        <w:spacing w:line="360" w:lineRule="auto"/>
        <w:jc w:val="both"/>
        <w:textAlignment w:val="auto"/>
        <w:rPr>
          <w:rFonts w:ascii="Times New Roman" w:eastAsia="Calibri" w:hAnsi="Times New Roman"/>
          <w:color w:val="auto"/>
          <w:spacing w:val="0"/>
          <w:sz w:val="24"/>
          <w:szCs w:val="24"/>
          <w:lang w:eastAsia="en-US"/>
        </w:rPr>
      </w:pPr>
    </w:p>
    <w:p w14:paraId="0AD33B26" w14:textId="77777777" w:rsidR="00495011" w:rsidRPr="00C56099" w:rsidRDefault="002710C2" w:rsidP="00A33469">
      <w:pPr>
        <w:suppressAutoHyphens w:val="0"/>
        <w:autoSpaceDN/>
        <w:spacing w:line="360" w:lineRule="auto"/>
        <w:jc w:val="both"/>
        <w:textAlignment w:val="auto"/>
        <w:rPr>
          <w:rFonts w:ascii="Times New Roman" w:eastAsia="Calibri" w:hAnsi="Times New Roman"/>
          <w:color w:val="auto"/>
          <w:spacing w:val="0"/>
          <w:sz w:val="28"/>
          <w:szCs w:val="28"/>
          <w:lang w:eastAsia="en-US"/>
        </w:rPr>
      </w:pPr>
      <w:r w:rsidRPr="00C56099">
        <w:rPr>
          <w:rFonts w:ascii="Times New Roman" w:eastAsia="Calibri" w:hAnsi="Times New Roman"/>
          <w:b/>
          <w:color w:val="auto"/>
          <w:spacing w:val="0"/>
          <w:sz w:val="28"/>
          <w:szCs w:val="28"/>
          <w:lang w:eastAsia="en-US"/>
        </w:rPr>
        <w:t>6</w:t>
      </w:r>
      <w:r w:rsidR="00495011" w:rsidRPr="00C56099">
        <w:rPr>
          <w:rFonts w:ascii="Times New Roman" w:eastAsia="Calibri" w:hAnsi="Times New Roman"/>
          <w:b/>
          <w:color w:val="auto"/>
          <w:spacing w:val="0"/>
          <w:sz w:val="28"/>
          <w:szCs w:val="28"/>
          <w:lang w:eastAsia="en-US"/>
        </w:rPr>
        <w:t xml:space="preserve">.1. </w:t>
      </w:r>
      <w:r w:rsidR="00495011" w:rsidRPr="00C56099">
        <w:rPr>
          <w:rFonts w:ascii="Times New Roman" w:eastAsia="Calibri" w:hAnsi="Times New Roman"/>
          <w:b/>
          <w:color w:val="auto"/>
          <w:spacing w:val="0"/>
          <w:sz w:val="28"/>
          <w:szCs w:val="28"/>
          <w:lang w:eastAsia="en-US"/>
        </w:rPr>
        <w:tab/>
        <w:t>Department of Home Affairs</w:t>
      </w:r>
    </w:p>
    <w:p w14:paraId="6490E61D" w14:textId="77777777" w:rsidR="00495011" w:rsidRDefault="00EA1461" w:rsidP="001754B7">
      <w:pPr>
        <w:pStyle w:val="ListParagraph"/>
        <w:numPr>
          <w:ilvl w:val="0"/>
          <w:numId w:val="37"/>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A33469">
        <w:rPr>
          <w:rFonts w:ascii="Times New Roman" w:eastAsia="Calibri" w:hAnsi="Times New Roman"/>
          <w:color w:val="auto"/>
          <w:spacing w:val="0"/>
          <w:sz w:val="24"/>
          <w:szCs w:val="24"/>
          <w:lang w:eastAsia="en-US"/>
        </w:rPr>
        <w:t>National Treasury should consider</w:t>
      </w:r>
      <w:r w:rsidR="009919BB" w:rsidRPr="00A33469">
        <w:rPr>
          <w:rFonts w:ascii="Times New Roman" w:eastAsia="Calibri" w:hAnsi="Times New Roman"/>
          <w:color w:val="auto"/>
          <w:spacing w:val="0"/>
          <w:sz w:val="24"/>
          <w:szCs w:val="24"/>
          <w:lang w:eastAsia="en-US"/>
        </w:rPr>
        <w:t xml:space="preserve"> increasing funding to the Department of Home Affairs, </w:t>
      </w:r>
      <w:r w:rsidR="002710C2">
        <w:rPr>
          <w:rFonts w:ascii="Times New Roman" w:eastAsia="Calibri" w:hAnsi="Times New Roman"/>
          <w:color w:val="auto"/>
          <w:spacing w:val="0"/>
          <w:sz w:val="24"/>
          <w:szCs w:val="24"/>
          <w:lang w:eastAsia="en-US"/>
        </w:rPr>
        <w:t>in line with its increased security mandate.</w:t>
      </w:r>
    </w:p>
    <w:p w14:paraId="25D8C10D" w14:textId="77777777" w:rsidR="005E1DD1" w:rsidRDefault="002710C2" w:rsidP="001754B7">
      <w:pPr>
        <w:pStyle w:val="ListParagraph"/>
        <w:numPr>
          <w:ilvl w:val="0"/>
          <w:numId w:val="37"/>
        </w:numPr>
        <w:suppressAutoHyphens w:val="0"/>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There continued network challenges at the DHA offices and long queues in some offices should feed into the debate around changing legislation requiring the use of SITA for IT services.</w:t>
      </w:r>
    </w:p>
    <w:p w14:paraId="0772D363" w14:textId="77777777" w:rsidR="002710C2" w:rsidRDefault="002710C2" w:rsidP="001754B7">
      <w:pPr>
        <w:pStyle w:val="ListParagraph"/>
        <w:numPr>
          <w:ilvl w:val="0"/>
          <w:numId w:val="37"/>
        </w:numPr>
        <w:suppressAutoHyphens w:val="0"/>
        <w:spacing w:line="360" w:lineRule="auto"/>
        <w:jc w:val="both"/>
        <w:textAlignment w:val="auto"/>
        <w:rPr>
          <w:rFonts w:ascii="Times New Roman" w:eastAsia="Calibri" w:hAnsi="Times New Roman"/>
          <w:color w:val="auto"/>
          <w:spacing w:val="0"/>
          <w:sz w:val="24"/>
          <w:szCs w:val="24"/>
          <w:lang w:eastAsia="en-US"/>
        </w:rPr>
      </w:pPr>
      <w:r w:rsidRPr="005E1DD1">
        <w:rPr>
          <w:rFonts w:ascii="Times New Roman" w:eastAsia="Calibri" w:hAnsi="Times New Roman"/>
          <w:color w:val="auto"/>
          <w:spacing w:val="0"/>
          <w:sz w:val="24"/>
          <w:szCs w:val="24"/>
          <w:lang w:eastAsia="en-US"/>
        </w:rPr>
        <w:t>There should be increased inspection ensuring compliance of businesses with immigration regulations</w:t>
      </w:r>
      <w:r w:rsidR="006B7740">
        <w:rPr>
          <w:rFonts w:ascii="Times New Roman" w:eastAsia="Calibri" w:hAnsi="Times New Roman"/>
          <w:color w:val="auto"/>
          <w:spacing w:val="0"/>
          <w:sz w:val="24"/>
          <w:szCs w:val="24"/>
          <w:lang w:eastAsia="en-US"/>
        </w:rPr>
        <w:t>.</w:t>
      </w:r>
    </w:p>
    <w:p w14:paraId="5B243143" w14:textId="77777777" w:rsidR="006B7740" w:rsidRPr="006B7740" w:rsidRDefault="006B7740" w:rsidP="001754B7">
      <w:pPr>
        <w:pStyle w:val="ListParagraph"/>
        <w:numPr>
          <w:ilvl w:val="0"/>
          <w:numId w:val="37"/>
        </w:numPr>
        <w:suppressAutoHyphens w:val="0"/>
        <w:spacing w:line="360" w:lineRule="auto"/>
        <w:jc w:val="both"/>
        <w:textAlignment w:val="auto"/>
        <w:rPr>
          <w:rFonts w:ascii="Times New Roman" w:eastAsia="Calibri" w:hAnsi="Times New Roman"/>
          <w:color w:val="auto"/>
          <w:spacing w:val="0"/>
          <w:sz w:val="24"/>
          <w:szCs w:val="24"/>
          <w:lang w:eastAsia="en-US"/>
        </w:rPr>
      </w:pPr>
      <w:r w:rsidRPr="006B7740">
        <w:rPr>
          <w:rFonts w:ascii="Times New Roman" w:eastAsia="Calibri" w:hAnsi="Times New Roman"/>
          <w:color w:val="auto"/>
          <w:spacing w:val="0"/>
          <w:sz w:val="24"/>
          <w:szCs w:val="24"/>
          <w:lang w:eastAsia="en-US"/>
        </w:rPr>
        <w:t xml:space="preserve">Department of Home Affairs should ensure that all trusted travellers are registered and     </w:t>
      </w:r>
    </w:p>
    <w:p w14:paraId="1682CF4E" w14:textId="77777777" w:rsidR="006B7740" w:rsidRPr="006B7740" w:rsidRDefault="006B7740" w:rsidP="006B7740">
      <w:pPr>
        <w:pStyle w:val="ListParagraph"/>
        <w:suppressAutoHyphens w:val="0"/>
        <w:spacing w:line="360" w:lineRule="auto"/>
        <w:jc w:val="both"/>
        <w:textAlignment w:val="auto"/>
        <w:rPr>
          <w:rFonts w:ascii="Times New Roman" w:eastAsia="Calibri" w:hAnsi="Times New Roman"/>
          <w:color w:val="auto"/>
          <w:spacing w:val="0"/>
          <w:sz w:val="24"/>
          <w:szCs w:val="24"/>
          <w:lang w:eastAsia="en-US"/>
        </w:rPr>
      </w:pPr>
      <w:r w:rsidRPr="006B7740">
        <w:rPr>
          <w:rFonts w:ascii="Times New Roman" w:eastAsia="Calibri" w:hAnsi="Times New Roman"/>
          <w:color w:val="auto"/>
          <w:spacing w:val="0"/>
          <w:sz w:val="24"/>
          <w:szCs w:val="24"/>
          <w:lang w:eastAsia="en-US"/>
        </w:rPr>
        <w:t xml:space="preserve">more Ports of Entry </w:t>
      </w:r>
      <w:r>
        <w:rPr>
          <w:rFonts w:ascii="Times New Roman" w:eastAsia="Calibri" w:hAnsi="Times New Roman"/>
          <w:color w:val="auto"/>
          <w:spacing w:val="0"/>
          <w:sz w:val="24"/>
          <w:szCs w:val="24"/>
          <w:lang w:eastAsia="en-US"/>
        </w:rPr>
        <w:t xml:space="preserve">are equipped with </w:t>
      </w:r>
      <w:r w:rsidRPr="006B7740">
        <w:rPr>
          <w:rFonts w:ascii="Times New Roman" w:eastAsia="Calibri" w:hAnsi="Times New Roman"/>
          <w:color w:val="auto"/>
          <w:spacing w:val="0"/>
          <w:sz w:val="24"/>
          <w:szCs w:val="24"/>
          <w:lang w:eastAsia="en-US"/>
        </w:rPr>
        <w:t xml:space="preserve">the e-Gate system </w:t>
      </w:r>
      <w:r>
        <w:rPr>
          <w:rFonts w:ascii="Times New Roman" w:eastAsia="Calibri" w:hAnsi="Times New Roman"/>
          <w:color w:val="auto"/>
          <w:spacing w:val="0"/>
          <w:sz w:val="24"/>
          <w:szCs w:val="24"/>
          <w:lang w:eastAsia="en-US"/>
        </w:rPr>
        <w:t xml:space="preserve">once it </w:t>
      </w:r>
      <w:r w:rsidRPr="006B7740">
        <w:rPr>
          <w:rFonts w:ascii="Times New Roman" w:eastAsia="Calibri" w:hAnsi="Times New Roman"/>
          <w:color w:val="auto"/>
          <w:spacing w:val="0"/>
          <w:sz w:val="24"/>
          <w:szCs w:val="24"/>
          <w:lang w:eastAsia="en-US"/>
        </w:rPr>
        <w:t>is implemented.</w:t>
      </w:r>
    </w:p>
    <w:p w14:paraId="33578F65" w14:textId="77777777" w:rsidR="006B7740" w:rsidRPr="006B7740" w:rsidRDefault="006B7740" w:rsidP="001754B7">
      <w:pPr>
        <w:pStyle w:val="ListParagraph"/>
        <w:numPr>
          <w:ilvl w:val="0"/>
          <w:numId w:val="37"/>
        </w:numPr>
        <w:suppressAutoHyphens w:val="0"/>
        <w:spacing w:line="360" w:lineRule="auto"/>
        <w:jc w:val="both"/>
        <w:textAlignment w:val="auto"/>
        <w:rPr>
          <w:rFonts w:ascii="Times New Roman" w:eastAsia="Calibri" w:hAnsi="Times New Roman"/>
          <w:color w:val="auto"/>
          <w:spacing w:val="0"/>
          <w:sz w:val="24"/>
          <w:szCs w:val="24"/>
          <w:lang w:eastAsia="en-US"/>
        </w:rPr>
      </w:pPr>
      <w:r w:rsidRPr="006B7740">
        <w:rPr>
          <w:rFonts w:ascii="Times New Roman" w:eastAsia="Calibri" w:hAnsi="Times New Roman"/>
          <w:color w:val="auto"/>
          <w:spacing w:val="0"/>
          <w:sz w:val="24"/>
          <w:szCs w:val="24"/>
          <w:lang w:eastAsia="en-US"/>
        </w:rPr>
        <w:t xml:space="preserve">The Department of Home Affairs should </w:t>
      </w:r>
      <w:r>
        <w:rPr>
          <w:rFonts w:ascii="Times New Roman" w:eastAsia="Calibri" w:hAnsi="Times New Roman"/>
          <w:color w:val="auto"/>
          <w:spacing w:val="0"/>
          <w:sz w:val="24"/>
          <w:szCs w:val="24"/>
          <w:lang w:eastAsia="en-US"/>
        </w:rPr>
        <w:t xml:space="preserve">plan </w:t>
      </w:r>
      <w:r w:rsidRPr="006B7740">
        <w:rPr>
          <w:rFonts w:ascii="Times New Roman" w:eastAsia="Calibri" w:hAnsi="Times New Roman"/>
          <w:color w:val="auto"/>
          <w:spacing w:val="0"/>
          <w:sz w:val="24"/>
          <w:szCs w:val="24"/>
          <w:lang w:eastAsia="en-US"/>
        </w:rPr>
        <w:t xml:space="preserve">innovative ways to </w:t>
      </w:r>
      <w:r>
        <w:rPr>
          <w:rFonts w:ascii="Times New Roman" w:eastAsia="Calibri" w:hAnsi="Times New Roman"/>
          <w:color w:val="auto"/>
          <w:spacing w:val="0"/>
          <w:sz w:val="24"/>
          <w:szCs w:val="24"/>
          <w:lang w:eastAsia="en-US"/>
        </w:rPr>
        <w:t xml:space="preserve">better </w:t>
      </w:r>
      <w:r w:rsidRPr="006B7740">
        <w:rPr>
          <w:rFonts w:ascii="Times New Roman" w:eastAsia="Calibri" w:hAnsi="Times New Roman"/>
          <w:color w:val="auto"/>
          <w:spacing w:val="0"/>
          <w:sz w:val="24"/>
          <w:szCs w:val="24"/>
          <w:lang w:eastAsia="en-US"/>
        </w:rPr>
        <w:t>curb the matter of fraudulent marriages.</w:t>
      </w:r>
    </w:p>
    <w:p w14:paraId="4124E80A" w14:textId="77777777" w:rsidR="006B7740" w:rsidRPr="006B7740" w:rsidRDefault="006B7740" w:rsidP="001754B7">
      <w:pPr>
        <w:pStyle w:val="ListParagraph"/>
        <w:numPr>
          <w:ilvl w:val="0"/>
          <w:numId w:val="37"/>
        </w:numPr>
        <w:suppressAutoHyphens w:val="0"/>
        <w:spacing w:line="360" w:lineRule="auto"/>
        <w:jc w:val="both"/>
        <w:textAlignment w:val="auto"/>
        <w:rPr>
          <w:rFonts w:ascii="Times New Roman" w:eastAsia="Calibri" w:hAnsi="Times New Roman"/>
          <w:color w:val="auto"/>
          <w:spacing w:val="0"/>
          <w:sz w:val="24"/>
          <w:szCs w:val="24"/>
          <w:lang w:eastAsia="en-US"/>
        </w:rPr>
      </w:pPr>
      <w:r w:rsidRPr="006B7740">
        <w:rPr>
          <w:rFonts w:ascii="Times New Roman" w:eastAsia="Calibri" w:hAnsi="Times New Roman"/>
          <w:color w:val="auto"/>
          <w:spacing w:val="0"/>
          <w:sz w:val="24"/>
          <w:szCs w:val="24"/>
          <w:lang w:eastAsia="en-US"/>
        </w:rPr>
        <w:t>The Department of H</w:t>
      </w:r>
      <w:r>
        <w:rPr>
          <w:rFonts w:ascii="Times New Roman" w:eastAsia="Calibri" w:hAnsi="Times New Roman"/>
          <w:color w:val="auto"/>
          <w:spacing w:val="0"/>
          <w:sz w:val="24"/>
          <w:szCs w:val="24"/>
          <w:lang w:eastAsia="en-US"/>
        </w:rPr>
        <w:t xml:space="preserve">ome Affairs should ensure that </w:t>
      </w:r>
      <w:r w:rsidRPr="006B7740">
        <w:rPr>
          <w:rFonts w:ascii="Times New Roman" w:eastAsia="Calibri" w:hAnsi="Times New Roman"/>
          <w:color w:val="auto"/>
          <w:spacing w:val="0"/>
          <w:sz w:val="24"/>
          <w:szCs w:val="24"/>
          <w:lang w:eastAsia="en-US"/>
        </w:rPr>
        <w:t>mobile trucks are modernised to issue Smart ID Card and passports, particularly in the rural areas.</w:t>
      </w:r>
    </w:p>
    <w:p w14:paraId="3FE69303" w14:textId="77777777" w:rsidR="006B7740" w:rsidRDefault="006B7740" w:rsidP="001754B7">
      <w:pPr>
        <w:pStyle w:val="ListParagraph"/>
        <w:numPr>
          <w:ilvl w:val="0"/>
          <w:numId w:val="37"/>
        </w:numPr>
        <w:suppressAutoHyphens w:val="0"/>
        <w:spacing w:line="360" w:lineRule="auto"/>
        <w:jc w:val="both"/>
        <w:textAlignment w:val="auto"/>
        <w:rPr>
          <w:rFonts w:ascii="Times New Roman" w:eastAsia="Calibri" w:hAnsi="Times New Roman"/>
          <w:color w:val="auto"/>
          <w:spacing w:val="0"/>
          <w:sz w:val="24"/>
          <w:szCs w:val="24"/>
          <w:lang w:eastAsia="en-US"/>
        </w:rPr>
      </w:pPr>
      <w:r w:rsidRPr="006B7740">
        <w:rPr>
          <w:rFonts w:ascii="Times New Roman" w:eastAsia="Calibri" w:hAnsi="Times New Roman"/>
          <w:color w:val="auto"/>
          <w:spacing w:val="0"/>
          <w:sz w:val="24"/>
          <w:szCs w:val="24"/>
          <w:lang w:eastAsia="en-US"/>
        </w:rPr>
        <w:t>The Department of Home Affairs should ensure that children of undocumen</w:t>
      </w:r>
      <w:r>
        <w:rPr>
          <w:rFonts w:ascii="Times New Roman" w:eastAsia="Calibri" w:hAnsi="Times New Roman"/>
          <w:color w:val="auto"/>
          <w:spacing w:val="0"/>
          <w:sz w:val="24"/>
          <w:szCs w:val="24"/>
          <w:lang w:eastAsia="en-US"/>
        </w:rPr>
        <w:t>ted migrants are provided with docume</w:t>
      </w:r>
      <w:r w:rsidR="009F7FF9">
        <w:rPr>
          <w:rFonts w:ascii="Times New Roman" w:eastAsia="Calibri" w:hAnsi="Times New Roman"/>
          <w:color w:val="auto"/>
          <w:spacing w:val="0"/>
          <w:sz w:val="24"/>
          <w:szCs w:val="24"/>
          <w:lang w:eastAsia="en-US"/>
        </w:rPr>
        <w:t>ntation accepted at schools.</w:t>
      </w:r>
    </w:p>
    <w:p w14:paraId="0BA2A998" w14:textId="77777777" w:rsidR="006B7740" w:rsidRPr="006B7740" w:rsidRDefault="006B7740" w:rsidP="001754B7">
      <w:pPr>
        <w:pStyle w:val="ListParagraph"/>
        <w:numPr>
          <w:ilvl w:val="0"/>
          <w:numId w:val="37"/>
        </w:numPr>
        <w:suppressAutoHyphens w:val="0"/>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More h</w:t>
      </w:r>
      <w:r w:rsidRPr="006B7740">
        <w:rPr>
          <w:rFonts w:ascii="Times New Roman" w:eastAsia="Calibri" w:hAnsi="Times New Roman"/>
          <w:color w:val="auto"/>
          <w:spacing w:val="0"/>
          <w:sz w:val="24"/>
          <w:szCs w:val="24"/>
          <w:lang w:eastAsia="en-US"/>
        </w:rPr>
        <w:t xml:space="preserve">ealth facilities should </w:t>
      </w:r>
      <w:r>
        <w:rPr>
          <w:rFonts w:ascii="Times New Roman" w:eastAsia="Calibri" w:hAnsi="Times New Roman"/>
          <w:color w:val="auto"/>
          <w:spacing w:val="0"/>
          <w:sz w:val="24"/>
          <w:szCs w:val="24"/>
          <w:lang w:eastAsia="en-US"/>
        </w:rPr>
        <w:t xml:space="preserve">be equipped </w:t>
      </w:r>
      <w:r w:rsidR="00121658">
        <w:rPr>
          <w:rFonts w:ascii="Times New Roman" w:eastAsia="Calibri" w:hAnsi="Times New Roman"/>
          <w:color w:val="auto"/>
          <w:spacing w:val="0"/>
          <w:sz w:val="24"/>
          <w:szCs w:val="24"/>
          <w:lang w:eastAsia="en-US"/>
        </w:rPr>
        <w:t xml:space="preserve">in the medium term </w:t>
      </w:r>
      <w:r>
        <w:rPr>
          <w:rFonts w:ascii="Times New Roman" w:eastAsia="Calibri" w:hAnsi="Times New Roman"/>
          <w:color w:val="auto"/>
          <w:spacing w:val="0"/>
          <w:sz w:val="24"/>
          <w:szCs w:val="24"/>
          <w:lang w:eastAsia="en-US"/>
        </w:rPr>
        <w:t xml:space="preserve">to </w:t>
      </w:r>
      <w:r w:rsidRPr="006B7740">
        <w:rPr>
          <w:rFonts w:ascii="Times New Roman" w:eastAsia="Calibri" w:hAnsi="Times New Roman"/>
          <w:color w:val="auto"/>
          <w:spacing w:val="0"/>
          <w:sz w:val="24"/>
          <w:szCs w:val="24"/>
          <w:lang w:eastAsia="en-US"/>
        </w:rPr>
        <w:t xml:space="preserve">register births within </w:t>
      </w:r>
      <w:r w:rsidR="00121658">
        <w:rPr>
          <w:rFonts w:ascii="Times New Roman" w:eastAsia="Calibri" w:hAnsi="Times New Roman"/>
          <w:color w:val="auto"/>
          <w:spacing w:val="0"/>
          <w:sz w:val="24"/>
          <w:szCs w:val="24"/>
          <w:lang w:eastAsia="en-US"/>
        </w:rPr>
        <w:t xml:space="preserve">the required </w:t>
      </w:r>
      <w:r w:rsidRPr="006B7740">
        <w:rPr>
          <w:rFonts w:ascii="Times New Roman" w:eastAsia="Calibri" w:hAnsi="Times New Roman"/>
          <w:color w:val="auto"/>
          <w:spacing w:val="0"/>
          <w:sz w:val="24"/>
          <w:szCs w:val="24"/>
          <w:lang w:eastAsia="en-US"/>
        </w:rPr>
        <w:t>30 days</w:t>
      </w:r>
      <w:r w:rsidR="00121658">
        <w:rPr>
          <w:rFonts w:ascii="Times New Roman" w:eastAsia="Calibri" w:hAnsi="Times New Roman"/>
          <w:color w:val="auto"/>
          <w:spacing w:val="0"/>
          <w:sz w:val="24"/>
          <w:szCs w:val="24"/>
          <w:lang w:eastAsia="en-US"/>
        </w:rPr>
        <w:t xml:space="preserve"> or less, ideally prior to the child leaving the hospital</w:t>
      </w:r>
      <w:r w:rsidRPr="006B7740">
        <w:rPr>
          <w:rFonts w:ascii="Times New Roman" w:eastAsia="Calibri" w:hAnsi="Times New Roman"/>
          <w:color w:val="auto"/>
          <w:spacing w:val="0"/>
          <w:sz w:val="24"/>
          <w:szCs w:val="24"/>
          <w:lang w:eastAsia="en-US"/>
        </w:rPr>
        <w:t>.</w:t>
      </w:r>
    </w:p>
    <w:p w14:paraId="7A50D4FA" w14:textId="77777777" w:rsidR="006B7740" w:rsidRPr="006B7740" w:rsidRDefault="006B7740" w:rsidP="001754B7">
      <w:pPr>
        <w:pStyle w:val="ListParagraph"/>
        <w:numPr>
          <w:ilvl w:val="0"/>
          <w:numId w:val="37"/>
        </w:numPr>
        <w:suppressAutoHyphens w:val="0"/>
        <w:spacing w:line="360" w:lineRule="auto"/>
        <w:jc w:val="both"/>
        <w:textAlignment w:val="auto"/>
        <w:rPr>
          <w:rFonts w:ascii="Times New Roman" w:eastAsia="Calibri" w:hAnsi="Times New Roman"/>
          <w:color w:val="auto"/>
          <w:spacing w:val="0"/>
          <w:sz w:val="24"/>
          <w:szCs w:val="24"/>
          <w:lang w:eastAsia="en-US"/>
        </w:rPr>
      </w:pPr>
      <w:r w:rsidRPr="006B7740">
        <w:rPr>
          <w:rFonts w:ascii="Times New Roman" w:eastAsia="Calibri" w:hAnsi="Times New Roman"/>
          <w:color w:val="auto"/>
          <w:spacing w:val="0"/>
          <w:sz w:val="24"/>
          <w:szCs w:val="24"/>
          <w:lang w:eastAsia="en-US"/>
        </w:rPr>
        <w:t xml:space="preserve">The Department of Home Affairs must ensure </w:t>
      </w:r>
      <w:r>
        <w:rPr>
          <w:rFonts w:ascii="Times New Roman" w:eastAsia="Calibri" w:hAnsi="Times New Roman"/>
          <w:color w:val="auto"/>
          <w:spacing w:val="0"/>
          <w:sz w:val="24"/>
          <w:szCs w:val="24"/>
          <w:lang w:eastAsia="en-US"/>
        </w:rPr>
        <w:t>increased provision of services through</w:t>
      </w:r>
      <w:r w:rsidRPr="006B7740">
        <w:rPr>
          <w:rFonts w:ascii="Times New Roman" w:eastAsia="Calibri" w:hAnsi="Times New Roman"/>
          <w:color w:val="auto"/>
          <w:spacing w:val="0"/>
          <w:sz w:val="24"/>
          <w:szCs w:val="24"/>
          <w:lang w:eastAsia="en-US"/>
        </w:rPr>
        <w:t xml:space="preserve"> banks to ease congestion for the applic</w:t>
      </w:r>
      <w:r>
        <w:rPr>
          <w:rFonts w:ascii="Times New Roman" w:eastAsia="Calibri" w:hAnsi="Times New Roman"/>
          <w:color w:val="auto"/>
          <w:spacing w:val="0"/>
          <w:sz w:val="24"/>
          <w:szCs w:val="24"/>
          <w:lang w:eastAsia="en-US"/>
        </w:rPr>
        <w:t xml:space="preserve">ations and collections of </w:t>
      </w:r>
      <w:r w:rsidRPr="006B7740">
        <w:rPr>
          <w:rFonts w:ascii="Times New Roman" w:eastAsia="Calibri" w:hAnsi="Times New Roman"/>
          <w:color w:val="auto"/>
          <w:spacing w:val="0"/>
          <w:sz w:val="24"/>
          <w:szCs w:val="24"/>
          <w:lang w:eastAsia="en-US"/>
        </w:rPr>
        <w:t>ID Cards and passports.</w:t>
      </w:r>
    </w:p>
    <w:p w14:paraId="0A0773D5" w14:textId="77777777" w:rsidR="00EC0BF1" w:rsidRDefault="006B7740" w:rsidP="001754B7">
      <w:pPr>
        <w:pStyle w:val="ListParagraph"/>
        <w:numPr>
          <w:ilvl w:val="0"/>
          <w:numId w:val="37"/>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D75AC2">
        <w:rPr>
          <w:rFonts w:ascii="Times New Roman" w:eastAsia="Calibri" w:hAnsi="Times New Roman"/>
          <w:color w:val="auto"/>
          <w:spacing w:val="0"/>
          <w:sz w:val="24"/>
          <w:szCs w:val="24"/>
          <w:lang w:eastAsia="en-US"/>
        </w:rPr>
        <w:t>The Minister of Home Affairs should</w:t>
      </w:r>
      <w:r w:rsidR="00D75AC2" w:rsidRPr="00D75AC2">
        <w:rPr>
          <w:rFonts w:ascii="Times New Roman" w:eastAsia="Calibri" w:hAnsi="Times New Roman"/>
          <w:color w:val="auto"/>
          <w:spacing w:val="0"/>
          <w:sz w:val="24"/>
          <w:szCs w:val="24"/>
          <w:lang w:eastAsia="en-US"/>
        </w:rPr>
        <w:t xml:space="preserve"> ensure </w:t>
      </w:r>
      <w:r w:rsidRPr="00D75AC2">
        <w:rPr>
          <w:rFonts w:ascii="Times New Roman" w:eastAsia="Calibri" w:hAnsi="Times New Roman"/>
          <w:color w:val="auto"/>
          <w:spacing w:val="0"/>
          <w:sz w:val="24"/>
          <w:szCs w:val="24"/>
          <w:lang w:eastAsia="en-US"/>
        </w:rPr>
        <w:t>gender parity in the senior management of the DHA</w:t>
      </w:r>
      <w:r w:rsidR="00D75AC2" w:rsidRPr="00D75AC2">
        <w:rPr>
          <w:rFonts w:ascii="Times New Roman" w:eastAsia="Calibri" w:hAnsi="Times New Roman"/>
          <w:color w:val="auto"/>
          <w:spacing w:val="0"/>
          <w:sz w:val="24"/>
          <w:szCs w:val="24"/>
          <w:lang w:eastAsia="en-US"/>
        </w:rPr>
        <w:t>.</w:t>
      </w:r>
    </w:p>
    <w:p w14:paraId="5AF37357" w14:textId="77777777" w:rsidR="00121658" w:rsidRDefault="00121658" w:rsidP="001754B7">
      <w:pPr>
        <w:pStyle w:val="ListParagraph"/>
        <w:numPr>
          <w:ilvl w:val="0"/>
          <w:numId w:val="37"/>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Rather than the proposed increase in funding to outsourced contractors from</w:t>
      </w:r>
      <w:r w:rsidR="00117A4A">
        <w:rPr>
          <w:rFonts w:ascii="Times New Roman" w:eastAsia="Calibri" w:hAnsi="Times New Roman"/>
          <w:color w:val="auto"/>
          <w:spacing w:val="0"/>
          <w:sz w:val="24"/>
          <w:szCs w:val="24"/>
          <w:lang w:eastAsia="en-US"/>
        </w:rPr>
        <w:t xml:space="preserve"> around</w:t>
      </w:r>
      <w:r>
        <w:rPr>
          <w:rFonts w:ascii="Times New Roman" w:eastAsia="Calibri" w:hAnsi="Times New Roman"/>
          <w:color w:val="auto"/>
          <w:spacing w:val="0"/>
          <w:sz w:val="24"/>
          <w:szCs w:val="24"/>
          <w:lang w:eastAsia="en-US"/>
        </w:rPr>
        <w:t xml:space="preserve"> R40 million to R120 million, the department should consider employing more permanent staff.</w:t>
      </w:r>
    </w:p>
    <w:p w14:paraId="489CBCF4" w14:textId="77777777" w:rsidR="00D75AC2" w:rsidRPr="00D75AC2" w:rsidRDefault="00D75AC2" w:rsidP="00D75AC2">
      <w:pPr>
        <w:pStyle w:val="ListParagraph"/>
        <w:suppressAutoHyphens w:val="0"/>
        <w:autoSpaceDN/>
        <w:spacing w:line="360" w:lineRule="auto"/>
        <w:jc w:val="both"/>
        <w:textAlignment w:val="auto"/>
        <w:rPr>
          <w:rFonts w:ascii="Times New Roman" w:eastAsia="Calibri" w:hAnsi="Times New Roman"/>
          <w:color w:val="auto"/>
          <w:spacing w:val="0"/>
          <w:sz w:val="24"/>
          <w:szCs w:val="24"/>
          <w:lang w:eastAsia="en-US"/>
        </w:rPr>
      </w:pPr>
    </w:p>
    <w:p w14:paraId="4009A925" w14:textId="77777777" w:rsidR="00495011" w:rsidRPr="00C56099" w:rsidRDefault="00495011" w:rsidP="0056205B">
      <w:pPr>
        <w:pStyle w:val="ListParagraph"/>
        <w:numPr>
          <w:ilvl w:val="1"/>
          <w:numId w:val="5"/>
        </w:numPr>
        <w:suppressAutoHyphens w:val="0"/>
        <w:autoSpaceDN/>
        <w:spacing w:line="360" w:lineRule="auto"/>
        <w:jc w:val="both"/>
        <w:textAlignment w:val="auto"/>
        <w:rPr>
          <w:rFonts w:ascii="Times New Roman" w:eastAsia="Calibri" w:hAnsi="Times New Roman"/>
          <w:b/>
          <w:color w:val="auto"/>
          <w:spacing w:val="0"/>
          <w:sz w:val="28"/>
          <w:szCs w:val="28"/>
          <w:lang w:eastAsia="en-US"/>
        </w:rPr>
      </w:pPr>
      <w:r w:rsidRPr="00C56099">
        <w:rPr>
          <w:rFonts w:ascii="Times New Roman" w:eastAsia="Calibri" w:hAnsi="Times New Roman"/>
          <w:b/>
          <w:color w:val="auto"/>
          <w:spacing w:val="0"/>
          <w:sz w:val="28"/>
          <w:szCs w:val="28"/>
          <w:lang w:eastAsia="en-US"/>
        </w:rPr>
        <w:t>The Electoral Commission of South Africa</w:t>
      </w:r>
    </w:p>
    <w:p w14:paraId="4DAAB560" w14:textId="77777777" w:rsidR="00EC0BF1" w:rsidRPr="00A33469" w:rsidRDefault="00EC0BF1" w:rsidP="001754B7">
      <w:pPr>
        <w:pStyle w:val="ListParagraph"/>
        <w:numPr>
          <w:ilvl w:val="0"/>
          <w:numId w:val="38"/>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A33469">
        <w:rPr>
          <w:rFonts w:ascii="Times New Roman" w:eastAsia="Calibri" w:hAnsi="Times New Roman"/>
          <w:color w:val="auto"/>
          <w:spacing w:val="0"/>
          <w:sz w:val="24"/>
          <w:szCs w:val="24"/>
          <w:lang w:eastAsia="en-US"/>
        </w:rPr>
        <w:t xml:space="preserve">The IEC should conduct </w:t>
      </w:r>
      <w:r w:rsidR="002710C2">
        <w:rPr>
          <w:rFonts w:ascii="Times New Roman" w:eastAsia="Calibri" w:hAnsi="Times New Roman"/>
          <w:color w:val="auto"/>
          <w:spacing w:val="0"/>
          <w:sz w:val="24"/>
          <w:szCs w:val="24"/>
          <w:lang w:eastAsia="en-US"/>
        </w:rPr>
        <w:t xml:space="preserve">more effective </w:t>
      </w:r>
      <w:r w:rsidRPr="00A33469">
        <w:rPr>
          <w:rFonts w:ascii="Times New Roman" w:eastAsia="Calibri" w:hAnsi="Times New Roman"/>
          <w:color w:val="auto"/>
          <w:spacing w:val="0"/>
          <w:sz w:val="24"/>
          <w:szCs w:val="24"/>
          <w:lang w:eastAsia="en-US"/>
        </w:rPr>
        <w:t>outreach programmes to</w:t>
      </w:r>
      <w:r w:rsidR="002710C2">
        <w:rPr>
          <w:rFonts w:ascii="Times New Roman" w:eastAsia="Calibri" w:hAnsi="Times New Roman"/>
          <w:color w:val="auto"/>
          <w:spacing w:val="0"/>
          <w:sz w:val="24"/>
          <w:szCs w:val="24"/>
          <w:lang w:eastAsia="en-US"/>
        </w:rPr>
        <w:t xml:space="preserve"> youth in</w:t>
      </w:r>
      <w:r w:rsidRPr="00A33469">
        <w:rPr>
          <w:rFonts w:ascii="Times New Roman" w:eastAsia="Calibri" w:hAnsi="Times New Roman"/>
          <w:color w:val="auto"/>
          <w:spacing w:val="0"/>
          <w:sz w:val="24"/>
          <w:szCs w:val="24"/>
          <w:lang w:eastAsia="en-US"/>
        </w:rPr>
        <w:t xml:space="preserve"> communities regarding the importance of voting in elections.</w:t>
      </w:r>
    </w:p>
    <w:p w14:paraId="28FD01E9" w14:textId="77777777" w:rsidR="002710C2" w:rsidRDefault="00EC0BF1" w:rsidP="001754B7">
      <w:pPr>
        <w:pStyle w:val="ListParagraph"/>
        <w:numPr>
          <w:ilvl w:val="0"/>
          <w:numId w:val="38"/>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A33469">
        <w:rPr>
          <w:rFonts w:ascii="Times New Roman" w:eastAsia="Calibri" w:hAnsi="Times New Roman"/>
          <w:color w:val="auto"/>
          <w:spacing w:val="0"/>
          <w:sz w:val="24"/>
          <w:szCs w:val="24"/>
          <w:lang w:eastAsia="en-US"/>
        </w:rPr>
        <w:t>National Treasury should consider allocating more funding to harvesting of addresses and ICT refreshment.</w:t>
      </w:r>
    </w:p>
    <w:p w14:paraId="0D3F1FEA" w14:textId="77777777" w:rsidR="002710C2" w:rsidRDefault="002710C2" w:rsidP="001754B7">
      <w:pPr>
        <w:pStyle w:val="ListParagraph"/>
        <w:numPr>
          <w:ilvl w:val="0"/>
          <w:numId w:val="38"/>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2710C2">
        <w:rPr>
          <w:rFonts w:ascii="Times New Roman" w:eastAsia="Calibri" w:hAnsi="Times New Roman"/>
          <w:color w:val="auto"/>
          <w:spacing w:val="0"/>
          <w:sz w:val="24"/>
          <w:szCs w:val="24"/>
          <w:lang w:eastAsia="en-US"/>
        </w:rPr>
        <w:t xml:space="preserve">The IEC </w:t>
      </w:r>
      <w:r>
        <w:rPr>
          <w:rFonts w:ascii="Times New Roman" w:eastAsia="Calibri" w:hAnsi="Times New Roman"/>
          <w:color w:val="auto"/>
          <w:spacing w:val="0"/>
          <w:sz w:val="24"/>
          <w:szCs w:val="24"/>
          <w:lang w:eastAsia="en-US"/>
        </w:rPr>
        <w:t xml:space="preserve">should increase efforts towards achieving a </w:t>
      </w:r>
      <w:r w:rsidRPr="002710C2">
        <w:rPr>
          <w:rFonts w:ascii="Times New Roman" w:eastAsia="Calibri" w:hAnsi="Times New Roman"/>
          <w:color w:val="auto"/>
          <w:spacing w:val="0"/>
          <w:sz w:val="24"/>
          <w:szCs w:val="24"/>
          <w:lang w:eastAsia="en-US"/>
        </w:rPr>
        <w:t>“clean audit” rather than the current “unqualified audit”</w:t>
      </w:r>
      <w:r w:rsidR="005E1DD1">
        <w:rPr>
          <w:rFonts w:ascii="Times New Roman" w:eastAsia="Calibri" w:hAnsi="Times New Roman"/>
          <w:color w:val="auto"/>
          <w:spacing w:val="0"/>
          <w:sz w:val="24"/>
          <w:szCs w:val="24"/>
          <w:lang w:eastAsia="en-US"/>
        </w:rPr>
        <w:t>.</w:t>
      </w:r>
    </w:p>
    <w:p w14:paraId="49B8066F" w14:textId="77777777" w:rsidR="00D75AC2" w:rsidRDefault="00D75AC2" w:rsidP="001754B7">
      <w:pPr>
        <w:pStyle w:val="ListParagraph"/>
        <w:numPr>
          <w:ilvl w:val="0"/>
          <w:numId w:val="38"/>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The IEC should ensure that the issue of double voting and easily removable indelible ink investigated after the 2019 National and Provincial Elections is prevented</w:t>
      </w:r>
      <w:r w:rsidR="00121658">
        <w:rPr>
          <w:rFonts w:ascii="Times New Roman" w:eastAsia="Calibri" w:hAnsi="Times New Roman"/>
          <w:color w:val="auto"/>
          <w:spacing w:val="0"/>
          <w:sz w:val="24"/>
          <w:szCs w:val="24"/>
          <w:lang w:eastAsia="en-US"/>
        </w:rPr>
        <w:t xml:space="preserve"> prior to</w:t>
      </w:r>
      <w:r>
        <w:rPr>
          <w:rFonts w:ascii="Times New Roman" w:eastAsia="Calibri" w:hAnsi="Times New Roman"/>
          <w:color w:val="auto"/>
          <w:spacing w:val="0"/>
          <w:sz w:val="24"/>
          <w:szCs w:val="24"/>
          <w:lang w:eastAsia="en-US"/>
        </w:rPr>
        <w:t xml:space="preserve"> the upcoming Local Government </w:t>
      </w:r>
      <w:r w:rsidR="00121658">
        <w:rPr>
          <w:rFonts w:ascii="Times New Roman" w:eastAsia="Calibri" w:hAnsi="Times New Roman"/>
          <w:color w:val="auto"/>
          <w:spacing w:val="0"/>
          <w:sz w:val="24"/>
          <w:szCs w:val="24"/>
          <w:lang w:eastAsia="en-US"/>
        </w:rPr>
        <w:t xml:space="preserve">Elections </w:t>
      </w:r>
      <w:r>
        <w:rPr>
          <w:rFonts w:ascii="Times New Roman" w:eastAsia="Calibri" w:hAnsi="Times New Roman"/>
          <w:color w:val="auto"/>
          <w:spacing w:val="0"/>
          <w:sz w:val="24"/>
          <w:szCs w:val="24"/>
          <w:lang w:eastAsia="en-US"/>
        </w:rPr>
        <w:t xml:space="preserve">in 2021. </w:t>
      </w:r>
    </w:p>
    <w:p w14:paraId="33DBB388" w14:textId="77777777" w:rsidR="00D75AC2" w:rsidRPr="00A33469" w:rsidRDefault="00D75AC2" w:rsidP="001754B7">
      <w:pPr>
        <w:pStyle w:val="ListParagraph"/>
        <w:numPr>
          <w:ilvl w:val="0"/>
          <w:numId w:val="38"/>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Pr>
          <w:rFonts w:ascii="Times New Roman" w:eastAsia="Calibri" w:hAnsi="Times New Roman"/>
          <w:color w:val="auto"/>
          <w:spacing w:val="0"/>
          <w:sz w:val="24"/>
          <w:szCs w:val="24"/>
          <w:lang w:eastAsia="en-US"/>
        </w:rPr>
        <w:t xml:space="preserve">The IEC should have roll out live results and ensure constant communications with political parties and the media at the Results Operations </w:t>
      </w:r>
      <w:r w:rsidR="00EE5B88">
        <w:rPr>
          <w:rFonts w:ascii="Times New Roman" w:eastAsia="Calibri" w:hAnsi="Times New Roman"/>
          <w:color w:val="auto"/>
          <w:spacing w:val="0"/>
          <w:sz w:val="24"/>
          <w:szCs w:val="24"/>
          <w:lang w:eastAsia="en-US"/>
        </w:rPr>
        <w:t>Centre</w:t>
      </w:r>
      <w:r>
        <w:rPr>
          <w:rFonts w:ascii="Times New Roman" w:eastAsia="Calibri" w:hAnsi="Times New Roman"/>
          <w:color w:val="auto"/>
          <w:spacing w:val="0"/>
          <w:sz w:val="24"/>
          <w:szCs w:val="24"/>
          <w:lang w:eastAsia="en-US"/>
        </w:rPr>
        <w:t>.</w:t>
      </w:r>
    </w:p>
    <w:p w14:paraId="0E832EC4" w14:textId="77777777" w:rsidR="00EC0BF1" w:rsidRPr="00D75AC2" w:rsidRDefault="00EC0BF1" w:rsidP="00D75AC2">
      <w:pPr>
        <w:suppressAutoHyphens w:val="0"/>
        <w:autoSpaceDN/>
        <w:spacing w:line="360" w:lineRule="auto"/>
        <w:jc w:val="both"/>
        <w:textAlignment w:val="auto"/>
        <w:rPr>
          <w:rFonts w:ascii="Times New Roman" w:eastAsia="Calibri" w:hAnsi="Times New Roman"/>
          <w:color w:val="auto"/>
          <w:spacing w:val="0"/>
          <w:sz w:val="24"/>
          <w:szCs w:val="24"/>
          <w:lang w:eastAsia="en-US"/>
        </w:rPr>
      </w:pPr>
    </w:p>
    <w:p w14:paraId="59A5DE2F" w14:textId="77777777" w:rsidR="00126225" w:rsidRPr="00C56099" w:rsidRDefault="00121658" w:rsidP="00A33469">
      <w:pPr>
        <w:suppressAutoHyphens w:val="0"/>
        <w:autoSpaceDN/>
        <w:spacing w:line="360" w:lineRule="auto"/>
        <w:jc w:val="both"/>
        <w:textAlignment w:val="auto"/>
        <w:rPr>
          <w:rFonts w:ascii="Times New Roman" w:eastAsia="Calibri" w:hAnsi="Times New Roman"/>
          <w:b/>
          <w:color w:val="auto"/>
          <w:spacing w:val="0"/>
          <w:sz w:val="28"/>
          <w:szCs w:val="28"/>
          <w:lang w:eastAsia="en-US"/>
        </w:rPr>
      </w:pPr>
      <w:r w:rsidRPr="00C56099">
        <w:rPr>
          <w:rFonts w:ascii="Times New Roman" w:eastAsia="Calibri" w:hAnsi="Times New Roman"/>
          <w:b/>
          <w:color w:val="auto"/>
          <w:spacing w:val="0"/>
          <w:sz w:val="28"/>
          <w:szCs w:val="28"/>
          <w:lang w:eastAsia="en-US"/>
        </w:rPr>
        <w:t>6</w:t>
      </w:r>
      <w:r w:rsidR="00495011" w:rsidRPr="00C56099">
        <w:rPr>
          <w:rFonts w:ascii="Times New Roman" w:eastAsia="Calibri" w:hAnsi="Times New Roman"/>
          <w:b/>
          <w:color w:val="auto"/>
          <w:spacing w:val="0"/>
          <w:sz w:val="28"/>
          <w:szCs w:val="28"/>
          <w:lang w:eastAsia="en-US"/>
        </w:rPr>
        <w:t>.3.</w:t>
      </w:r>
      <w:r w:rsidR="00495011" w:rsidRPr="00C56099">
        <w:rPr>
          <w:rFonts w:ascii="Times New Roman" w:eastAsia="Calibri" w:hAnsi="Times New Roman"/>
          <w:b/>
          <w:color w:val="auto"/>
          <w:spacing w:val="0"/>
          <w:sz w:val="28"/>
          <w:szCs w:val="28"/>
          <w:lang w:eastAsia="en-US"/>
        </w:rPr>
        <w:tab/>
        <w:t>The Government Printing Works</w:t>
      </w:r>
    </w:p>
    <w:p w14:paraId="4B4987C4" w14:textId="77777777" w:rsidR="00D75AC2" w:rsidRPr="00D75AC2" w:rsidRDefault="00D75AC2" w:rsidP="001754B7">
      <w:pPr>
        <w:pStyle w:val="ListParagraph"/>
        <w:numPr>
          <w:ilvl w:val="0"/>
          <w:numId w:val="39"/>
        </w:num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D75AC2">
        <w:rPr>
          <w:rFonts w:ascii="Times New Roman" w:eastAsia="Calibri" w:hAnsi="Times New Roman"/>
          <w:color w:val="auto"/>
          <w:spacing w:val="0"/>
          <w:sz w:val="24"/>
          <w:szCs w:val="24"/>
          <w:lang w:eastAsia="en-US"/>
        </w:rPr>
        <w:t>The Minister of Home Affairs should ensure that the position of the Chief Executive is filled as a matter of urgency.</w:t>
      </w:r>
    </w:p>
    <w:p w14:paraId="5EEA4A1C" w14:textId="77777777" w:rsidR="00D75AC2" w:rsidRPr="00D75AC2" w:rsidRDefault="00D75AC2" w:rsidP="001754B7">
      <w:pPr>
        <w:pStyle w:val="ListParagraph"/>
        <w:numPr>
          <w:ilvl w:val="0"/>
          <w:numId w:val="39"/>
        </w:numPr>
        <w:spacing w:line="360" w:lineRule="auto"/>
        <w:jc w:val="both"/>
        <w:rPr>
          <w:rFonts w:ascii="Times New Roman" w:eastAsia="Calibri" w:hAnsi="Times New Roman"/>
          <w:color w:val="auto"/>
          <w:spacing w:val="0"/>
          <w:sz w:val="24"/>
          <w:szCs w:val="24"/>
          <w:lang w:eastAsia="en-US"/>
        </w:rPr>
      </w:pPr>
      <w:r w:rsidRPr="00D75AC2">
        <w:rPr>
          <w:rFonts w:ascii="Times New Roman" w:eastAsia="Calibri" w:hAnsi="Times New Roman"/>
          <w:color w:val="auto"/>
          <w:spacing w:val="0"/>
          <w:sz w:val="24"/>
          <w:szCs w:val="24"/>
          <w:lang w:eastAsia="en-US"/>
        </w:rPr>
        <w:t>The Minister of Home Affairs and GPW should continuously engage African governments to print their security documents.</w:t>
      </w:r>
    </w:p>
    <w:p w14:paraId="5D2A0131" w14:textId="77777777" w:rsidR="00D75AC2" w:rsidRDefault="00D75AC2" w:rsidP="001754B7">
      <w:pPr>
        <w:pStyle w:val="ListParagraph"/>
        <w:numPr>
          <w:ilvl w:val="0"/>
          <w:numId w:val="39"/>
        </w:numPr>
        <w:spacing w:line="360" w:lineRule="auto"/>
        <w:jc w:val="both"/>
        <w:rPr>
          <w:rFonts w:ascii="Times New Roman" w:eastAsia="Calibri" w:hAnsi="Times New Roman"/>
          <w:color w:val="auto"/>
          <w:spacing w:val="0"/>
          <w:sz w:val="24"/>
          <w:szCs w:val="24"/>
          <w:lang w:eastAsia="en-US"/>
        </w:rPr>
      </w:pPr>
      <w:r w:rsidRPr="00D75AC2">
        <w:rPr>
          <w:rFonts w:ascii="Times New Roman" w:eastAsia="Calibri" w:hAnsi="Times New Roman"/>
          <w:color w:val="auto"/>
          <w:spacing w:val="0"/>
          <w:sz w:val="24"/>
          <w:szCs w:val="24"/>
          <w:lang w:eastAsia="en-US"/>
        </w:rPr>
        <w:t xml:space="preserve">The Minister of Home Affairs should engage with the Leader of the Government Business to ensure that all </w:t>
      </w:r>
      <w:r w:rsidR="00121658">
        <w:rPr>
          <w:rFonts w:ascii="Times New Roman" w:eastAsia="Calibri" w:hAnsi="Times New Roman"/>
          <w:color w:val="auto"/>
          <w:spacing w:val="0"/>
          <w:sz w:val="24"/>
          <w:szCs w:val="24"/>
          <w:lang w:eastAsia="en-US"/>
        </w:rPr>
        <w:t xml:space="preserve">National </w:t>
      </w:r>
      <w:r w:rsidRPr="00D75AC2">
        <w:rPr>
          <w:rFonts w:ascii="Times New Roman" w:eastAsia="Calibri" w:hAnsi="Times New Roman"/>
          <w:color w:val="auto"/>
          <w:spacing w:val="0"/>
          <w:sz w:val="24"/>
          <w:szCs w:val="24"/>
          <w:lang w:eastAsia="en-US"/>
        </w:rPr>
        <w:t>government departments and state organs print their documents with the GPW.</w:t>
      </w:r>
      <w:r w:rsidR="00121658">
        <w:rPr>
          <w:rFonts w:ascii="Times New Roman" w:eastAsia="Calibri" w:hAnsi="Times New Roman"/>
          <w:color w:val="auto"/>
          <w:spacing w:val="0"/>
          <w:sz w:val="24"/>
          <w:szCs w:val="24"/>
          <w:lang w:eastAsia="en-US"/>
        </w:rPr>
        <w:t xml:space="preserve"> Consideration should however be given to not </w:t>
      </w:r>
      <w:r w:rsidR="00117A4A">
        <w:rPr>
          <w:rFonts w:ascii="Times New Roman" w:eastAsia="Calibri" w:hAnsi="Times New Roman"/>
          <w:color w:val="auto"/>
          <w:spacing w:val="0"/>
          <w:sz w:val="24"/>
          <w:szCs w:val="24"/>
          <w:lang w:eastAsia="en-US"/>
        </w:rPr>
        <w:t>negatively impact on</w:t>
      </w:r>
      <w:r w:rsidR="00121658">
        <w:rPr>
          <w:rFonts w:ascii="Times New Roman" w:eastAsia="Calibri" w:hAnsi="Times New Roman"/>
          <w:color w:val="auto"/>
          <w:spacing w:val="0"/>
          <w:sz w:val="24"/>
          <w:szCs w:val="24"/>
          <w:lang w:eastAsia="en-US"/>
        </w:rPr>
        <w:t xml:space="preserve"> small and medium businesses in this regard.</w:t>
      </w:r>
    </w:p>
    <w:p w14:paraId="2F7C99A8" w14:textId="77777777" w:rsidR="00EE5B88" w:rsidRDefault="00EE5B88" w:rsidP="00EE5B88">
      <w:pPr>
        <w:spacing w:line="360" w:lineRule="auto"/>
        <w:ind w:left="360"/>
        <w:jc w:val="both"/>
        <w:rPr>
          <w:rFonts w:ascii="Times New Roman" w:hAnsi="Times New Roman"/>
          <w:b/>
          <w:sz w:val="24"/>
          <w:szCs w:val="24"/>
        </w:rPr>
      </w:pPr>
    </w:p>
    <w:p w14:paraId="5A1F883D" w14:textId="77777777" w:rsidR="00EE5B88" w:rsidRDefault="00EE5B88" w:rsidP="00EE5B88">
      <w:pPr>
        <w:spacing w:line="360" w:lineRule="auto"/>
        <w:ind w:left="360"/>
        <w:jc w:val="both"/>
        <w:rPr>
          <w:rFonts w:ascii="Times New Roman" w:hAnsi="Times New Roman"/>
          <w:sz w:val="24"/>
          <w:szCs w:val="24"/>
        </w:rPr>
      </w:pPr>
      <w:r w:rsidRPr="00E144FE">
        <w:rPr>
          <w:rFonts w:ascii="Times New Roman" w:hAnsi="Times New Roman"/>
          <w:sz w:val="24"/>
          <w:szCs w:val="24"/>
        </w:rPr>
        <w:t>Report to considered.</w:t>
      </w:r>
    </w:p>
    <w:p w14:paraId="06BA6D92" w14:textId="77777777" w:rsidR="00EE5B88" w:rsidRDefault="00EE5B88" w:rsidP="00025457">
      <w:pPr>
        <w:spacing w:line="360" w:lineRule="auto"/>
        <w:jc w:val="both"/>
        <w:rPr>
          <w:rFonts w:ascii="Times New Roman" w:hAnsi="Times New Roman"/>
          <w:sz w:val="24"/>
          <w:szCs w:val="24"/>
        </w:rPr>
      </w:pPr>
    </w:p>
    <w:sectPr w:rsidR="00EE5B88" w:rsidSect="003809B8">
      <w:footerReference w:type="default" r:id="rId15"/>
      <w:pgSz w:w="11906" w:h="16838"/>
      <w:pgMar w:top="1440" w:right="1440" w:bottom="720" w:left="1276" w:header="426" w:footer="250"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99651" w14:textId="77777777" w:rsidR="003809B8" w:rsidRDefault="003809B8" w:rsidP="00BD0672">
      <w:pPr>
        <w:spacing w:line="240" w:lineRule="auto"/>
      </w:pPr>
      <w:r>
        <w:separator/>
      </w:r>
    </w:p>
  </w:endnote>
  <w:endnote w:type="continuationSeparator" w:id="0">
    <w:p w14:paraId="273532DF" w14:textId="77777777" w:rsidR="003809B8" w:rsidRDefault="003809B8" w:rsidP="00BD0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7F49" w14:textId="526DFE3E" w:rsidR="003809B8" w:rsidRDefault="003809B8">
    <w:pPr>
      <w:pStyle w:val="Footer"/>
    </w:pPr>
    <w:r>
      <w:fldChar w:fldCharType="begin"/>
    </w:r>
    <w:r>
      <w:instrText xml:space="preserve"> PAGE </w:instrText>
    </w:r>
    <w:r>
      <w:fldChar w:fldCharType="separate"/>
    </w:r>
    <w:r w:rsidR="009507F4">
      <w:rPr>
        <w:noProof/>
      </w:rPr>
      <w:t>10</w:t>
    </w:r>
    <w:r>
      <w:rPr>
        <w:noProof/>
      </w:rPr>
      <w:fldChar w:fldCharType="end"/>
    </w:r>
  </w:p>
  <w:p w14:paraId="2555D289" w14:textId="77777777" w:rsidR="003809B8" w:rsidRDefault="00380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217A0" w14:textId="77777777" w:rsidR="003809B8" w:rsidRDefault="003809B8" w:rsidP="00BD0672">
      <w:pPr>
        <w:spacing w:line="240" w:lineRule="auto"/>
      </w:pPr>
      <w:r w:rsidRPr="00BD0672">
        <w:separator/>
      </w:r>
    </w:p>
  </w:footnote>
  <w:footnote w:type="continuationSeparator" w:id="0">
    <w:p w14:paraId="7AC43970" w14:textId="77777777" w:rsidR="003809B8" w:rsidRDefault="003809B8" w:rsidP="00BD0672">
      <w:pPr>
        <w:spacing w:line="240" w:lineRule="auto"/>
      </w:pPr>
      <w:r>
        <w:continuationSeparator/>
      </w:r>
    </w:p>
  </w:footnote>
  <w:footnote w:id="1">
    <w:p w14:paraId="086695CF" w14:textId="77777777" w:rsidR="003809B8" w:rsidRDefault="003809B8" w:rsidP="006504B3">
      <w:pPr>
        <w:pStyle w:val="FootnoteText"/>
        <w:rPr>
          <w:color w:val="auto"/>
        </w:rPr>
      </w:pPr>
      <w:r>
        <w:rPr>
          <w:rStyle w:val="FootnoteReference"/>
        </w:rPr>
        <w:footnoteRef/>
      </w:r>
      <w:r>
        <w:t xml:space="preserve"> </w:t>
      </w:r>
      <w:r>
        <w:rPr>
          <w:color w:val="auto"/>
        </w:rPr>
        <w:t>United Nations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3A4"/>
    <w:multiLevelType w:val="multilevel"/>
    <w:tmpl w:val="E91C7912"/>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46F404B"/>
    <w:multiLevelType w:val="hybridMultilevel"/>
    <w:tmpl w:val="75BAFEBA"/>
    <w:lvl w:ilvl="0" w:tplc="1C090001">
      <w:start w:val="1"/>
      <w:numFmt w:val="bullet"/>
      <w:lvlText w:val=""/>
      <w:lvlJc w:val="left"/>
      <w:pPr>
        <w:tabs>
          <w:tab w:val="num" w:pos="720"/>
        </w:tabs>
        <w:ind w:left="720" w:hanging="360"/>
      </w:pPr>
      <w:rPr>
        <w:rFonts w:ascii="Symbol" w:hAnsi="Symbol" w:hint="default"/>
      </w:rPr>
    </w:lvl>
    <w:lvl w:ilvl="1" w:tplc="6ECC1E4A">
      <w:start w:val="1"/>
      <w:numFmt w:val="lowerLetter"/>
      <w:lvlText w:val="%2)"/>
      <w:lvlJc w:val="left"/>
      <w:pPr>
        <w:tabs>
          <w:tab w:val="num" w:pos="1440"/>
        </w:tabs>
        <w:ind w:left="1440" w:hanging="360"/>
      </w:pPr>
    </w:lvl>
    <w:lvl w:ilvl="2" w:tplc="80607588" w:tentative="1">
      <w:start w:val="1"/>
      <w:numFmt w:val="lowerLetter"/>
      <w:lvlText w:val="%3)"/>
      <w:lvlJc w:val="left"/>
      <w:pPr>
        <w:tabs>
          <w:tab w:val="num" w:pos="2160"/>
        </w:tabs>
        <w:ind w:left="2160" w:hanging="360"/>
      </w:pPr>
    </w:lvl>
    <w:lvl w:ilvl="3" w:tplc="44528B04" w:tentative="1">
      <w:start w:val="1"/>
      <w:numFmt w:val="lowerLetter"/>
      <w:lvlText w:val="%4)"/>
      <w:lvlJc w:val="left"/>
      <w:pPr>
        <w:tabs>
          <w:tab w:val="num" w:pos="2880"/>
        </w:tabs>
        <w:ind w:left="2880" w:hanging="360"/>
      </w:pPr>
    </w:lvl>
    <w:lvl w:ilvl="4" w:tplc="89B6962A" w:tentative="1">
      <w:start w:val="1"/>
      <w:numFmt w:val="lowerLetter"/>
      <w:lvlText w:val="%5)"/>
      <w:lvlJc w:val="left"/>
      <w:pPr>
        <w:tabs>
          <w:tab w:val="num" w:pos="3600"/>
        </w:tabs>
        <w:ind w:left="3600" w:hanging="360"/>
      </w:pPr>
    </w:lvl>
    <w:lvl w:ilvl="5" w:tplc="363E4574" w:tentative="1">
      <w:start w:val="1"/>
      <w:numFmt w:val="lowerLetter"/>
      <w:lvlText w:val="%6)"/>
      <w:lvlJc w:val="left"/>
      <w:pPr>
        <w:tabs>
          <w:tab w:val="num" w:pos="4320"/>
        </w:tabs>
        <w:ind w:left="4320" w:hanging="360"/>
      </w:pPr>
    </w:lvl>
    <w:lvl w:ilvl="6" w:tplc="D8FA6F20" w:tentative="1">
      <w:start w:val="1"/>
      <w:numFmt w:val="lowerLetter"/>
      <w:lvlText w:val="%7)"/>
      <w:lvlJc w:val="left"/>
      <w:pPr>
        <w:tabs>
          <w:tab w:val="num" w:pos="5040"/>
        </w:tabs>
        <w:ind w:left="5040" w:hanging="360"/>
      </w:pPr>
    </w:lvl>
    <w:lvl w:ilvl="7" w:tplc="96DE4530" w:tentative="1">
      <w:start w:val="1"/>
      <w:numFmt w:val="lowerLetter"/>
      <w:lvlText w:val="%8)"/>
      <w:lvlJc w:val="left"/>
      <w:pPr>
        <w:tabs>
          <w:tab w:val="num" w:pos="5760"/>
        </w:tabs>
        <w:ind w:left="5760" w:hanging="360"/>
      </w:pPr>
    </w:lvl>
    <w:lvl w:ilvl="8" w:tplc="CE38F0BA" w:tentative="1">
      <w:start w:val="1"/>
      <w:numFmt w:val="lowerLetter"/>
      <w:lvlText w:val="%9)"/>
      <w:lvlJc w:val="left"/>
      <w:pPr>
        <w:tabs>
          <w:tab w:val="num" w:pos="6480"/>
        </w:tabs>
        <w:ind w:left="6480" w:hanging="360"/>
      </w:pPr>
    </w:lvl>
  </w:abstractNum>
  <w:abstractNum w:abstractNumId="2">
    <w:nsid w:val="064D5C26"/>
    <w:multiLevelType w:val="hybridMultilevel"/>
    <w:tmpl w:val="E79ABE0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E93123"/>
    <w:multiLevelType w:val="multilevel"/>
    <w:tmpl w:val="8D6E43FE"/>
    <w:lvl w:ilvl="0">
      <w:start w:val="2"/>
      <w:numFmt w:val="decimal"/>
      <w:lvlText w:val="%1."/>
      <w:lvlJc w:val="left"/>
      <w:pPr>
        <w:ind w:left="540" w:hanging="540"/>
      </w:pPr>
      <w:rPr>
        <w:rFonts w:cs="Arial" w:hint="default"/>
        <w:b/>
      </w:rPr>
    </w:lvl>
    <w:lvl w:ilvl="1">
      <w:start w:val="2"/>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4">
    <w:nsid w:val="08DF0E35"/>
    <w:multiLevelType w:val="hybridMultilevel"/>
    <w:tmpl w:val="6F9897B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5">
    <w:nsid w:val="09E012B5"/>
    <w:multiLevelType w:val="hybridMultilevel"/>
    <w:tmpl w:val="CD98CAF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nsid w:val="0F293F34"/>
    <w:multiLevelType w:val="hybridMultilevel"/>
    <w:tmpl w:val="BF3CD3D4"/>
    <w:lvl w:ilvl="0" w:tplc="1C090001">
      <w:start w:val="1"/>
      <w:numFmt w:val="bullet"/>
      <w:lvlText w:val=""/>
      <w:lvlJc w:val="left"/>
      <w:pPr>
        <w:tabs>
          <w:tab w:val="num" w:pos="720"/>
        </w:tabs>
        <w:ind w:left="720" w:hanging="360"/>
      </w:pPr>
      <w:rPr>
        <w:rFonts w:ascii="Symbol" w:hAnsi="Symbol" w:hint="default"/>
      </w:rPr>
    </w:lvl>
    <w:lvl w:ilvl="1" w:tplc="384C48D4" w:tentative="1">
      <w:start w:val="1"/>
      <w:numFmt w:val="lowerLetter"/>
      <w:lvlText w:val="(%2)"/>
      <w:lvlJc w:val="left"/>
      <w:pPr>
        <w:tabs>
          <w:tab w:val="num" w:pos="1440"/>
        </w:tabs>
        <w:ind w:left="1440" w:hanging="360"/>
      </w:pPr>
    </w:lvl>
    <w:lvl w:ilvl="2" w:tplc="7932CDE8" w:tentative="1">
      <w:start w:val="1"/>
      <w:numFmt w:val="lowerLetter"/>
      <w:lvlText w:val="(%3)"/>
      <w:lvlJc w:val="left"/>
      <w:pPr>
        <w:tabs>
          <w:tab w:val="num" w:pos="2160"/>
        </w:tabs>
        <w:ind w:left="2160" w:hanging="360"/>
      </w:pPr>
    </w:lvl>
    <w:lvl w:ilvl="3" w:tplc="D4F8E0D0" w:tentative="1">
      <w:start w:val="1"/>
      <w:numFmt w:val="lowerLetter"/>
      <w:lvlText w:val="(%4)"/>
      <w:lvlJc w:val="left"/>
      <w:pPr>
        <w:tabs>
          <w:tab w:val="num" w:pos="2880"/>
        </w:tabs>
        <w:ind w:left="2880" w:hanging="360"/>
      </w:pPr>
    </w:lvl>
    <w:lvl w:ilvl="4" w:tplc="4066D510" w:tentative="1">
      <w:start w:val="1"/>
      <w:numFmt w:val="lowerLetter"/>
      <w:lvlText w:val="(%5)"/>
      <w:lvlJc w:val="left"/>
      <w:pPr>
        <w:tabs>
          <w:tab w:val="num" w:pos="3600"/>
        </w:tabs>
        <w:ind w:left="3600" w:hanging="360"/>
      </w:pPr>
    </w:lvl>
    <w:lvl w:ilvl="5" w:tplc="4B7E8912" w:tentative="1">
      <w:start w:val="1"/>
      <w:numFmt w:val="lowerLetter"/>
      <w:lvlText w:val="(%6)"/>
      <w:lvlJc w:val="left"/>
      <w:pPr>
        <w:tabs>
          <w:tab w:val="num" w:pos="4320"/>
        </w:tabs>
        <w:ind w:left="4320" w:hanging="360"/>
      </w:pPr>
    </w:lvl>
    <w:lvl w:ilvl="6" w:tplc="D7A8E95A" w:tentative="1">
      <w:start w:val="1"/>
      <w:numFmt w:val="lowerLetter"/>
      <w:lvlText w:val="(%7)"/>
      <w:lvlJc w:val="left"/>
      <w:pPr>
        <w:tabs>
          <w:tab w:val="num" w:pos="5040"/>
        </w:tabs>
        <w:ind w:left="5040" w:hanging="360"/>
      </w:pPr>
    </w:lvl>
    <w:lvl w:ilvl="7" w:tplc="D8246CA6" w:tentative="1">
      <w:start w:val="1"/>
      <w:numFmt w:val="lowerLetter"/>
      <w:lvlText w:val="(%8)"/>
      <w:lvlJc w:val="left"/>
      <w:pPr>
        <w:tabs>
          <w:tab w:val="num" w:pos="5760"/>
        </w:tabs>
        <w:ind w:left="5760" w:hanging="360"/>
      </w:pPr>
    </w:lvl>
    <w:lvl w:ilvl="8" w:tplc="74E270E8" w:tentative="1">
      <w:start w:val="1"/>
      <w:numFmt w:val="lowerLetter"/>
      <w:lvlText w:val="(%9)"/>
      <w:lvlJc w:val="left"/>
      <w:pPr>
        <w:tabs>
          <w:tab w:val="num" w:pos="6480"/>
        </w:tabs>
        <w:ind w:left="6480" w:hanging="360"/>
      </w:pPr>
    </w:lvl>
  </w:abstractNum>
  <w:abstractNum w:abstractNumId="7">
    <w:nsid w:val="112D11E0"/>
    <w:multiLevelType w:val="hybridMultilevel"/>
    <w:tmpl w:val="FBF48520"/>
    <w:lvl w:ilvl="0" w:tplc="B28E6C04">
      <w:start w:val="1"/>
      <w:numFmt w:val="bullet"/>
      <w:lvlText w:val="•"/>
      <w:lvlJc w:val="left"/>
      <w:pPr>
        <w:tabs>
          <w:tab w:val="num" w:pos="720"/>
        </w:tabs>
        <w:ind w:left="720" w:hanging="360"/>
      </w:pPr>
      <w:rPr>
        <w:rFonts w:ascii="Arial" w:hAnsi="Arial" w:hint="default"/>
      </w:rPr>
    </w:lvl>
    <w:lvl w:ilvl="1" w:tplc="333CD128" w:tentative="1">
      <w:start w:val="1"/>
      <w:numFmt w:val="bullet"/>
      <w:lvlText w:val="•"/>
      <w:lvlJc w:val="left"/>
      <w:pPr>
        <w:tabs>
          <w:tab w:val="num" w:pos="1440"/>
        </w:tabs>
        <w:ind w:left="1440" w:hanging="360"/>
      </w:pPr>
      <w:rPr>
        <w:rFonts w:ascii="Arial" w:hAnsi="Arial" w:hint="default"/>
      </w:rPr>
    </w:lvl>
    <w:lvl w:ilvl="2" w:tplc="70CA92C6" w:tentative="1">
      <w:start w:val="1"/>
      <w:numFmt w:val="bullet"/>
      <w:lvlText w:val="•"/>
      <w:lvlJc w:val="left"/>
      <w:pPr>
        <w:tabs>
          <w:tab w:val="num" w:pos="2160"/>
        </w:tabs>
        <w:ind w:left="2160" w:hanging="360"/>
      </w:pPr>
      <w:rPr>
        <w:rFonts w:ascii="Arial" w:hAnsi="Arial" w:hint="default"/>
      </w:rPr>
    </w:lvl>
    <w:lvl w:ilvl="3" w:tplc="5F76C866" w:tentative="1">
      <w:start w:val="1"/>
      <w:numFmt w:val="bullet"/>
      <w:lvlText w:val="•"/>
      <w:lvlJc w:val="left"/>
      <w:pPr>
        <w:tabs>
          <w:tab w:val="num" w:pos="2880"/>
        </w:tabs>
        <w:ind w:left="2880" w:hanging="360"/>
      </w:pPr>
      <w:rPr>
        <w:rFonts w:ascii="Arial" w:hAnsi="Arial" w:hint="default"/>
      </w:rPr>
    </w:lvl>
    <w:lvl w:ilvl="4" w:tplc="A2E000F4" w:tentative="1">
      <w:start w:val="1"/>
      <w:numFmt w:val="bullet"/>
      <w:lvlText w:val="•"/>
      <w:lvlJc w:val="left"/>
      <w:pPr>
        <w:tabs>
          <w:tab w:val="num" w:pos="3600"/>
        </w:tabs>
        <w:ind w:left="3600" w:hanging="360"/>
      </w:pPr>
      <w:rPr>
        <w:rFonts w:ascii="Arial" w:hAnsi="Arial" w:hint="default"/>
      </w:rPr>
    </w:lvl>
    <w:lvl w:ilvl="5" w:tplc="CEA892F6" w:tentative="1">
      <w:start w:val="1"/>
      <w:numFmt w:val="bullet"/>
      <w:lvlText w:val="•"/>
      <w:lvlJc w:val="left"/>
      <w:pPr>
        <w:tabs>
          <w:tab w:val="num" w:pos="4320"/>
        </w:tabs>
        <w:ind w:left="4320" w:hanging="360"/>
      </w:pPr>
      <w:rPr>
        <w:rFonts w:ascii="Arial" w:hAnsi="Arial" w:hint="default"/>
      </w:rPr>
    </w:lvl>
    <w:lvl w:ilvl="6" w:tplc="898C248A" w:tentative="1">
      <w:start w:val="1"/>
      <w:numFmt w:val="bullet"/>
      <w:lvlText w:val="•"/>
      <w:lvlJc w:val="left"/>
      <w:pPr>
        <w:tabs>
          <w:tab w:val="num" w:pos="5040"/>
        </w:tabs>
        <w:ind w:left="5040" w:hanging="360"/>
      </w:pPr>
      <w:rPr>
        <w:rFonts w:ascii="Arial" w:hAnsi="Arial" w:hint="default"/>
      </w:rPr>
    </w:lvl>
    <w:lvl w:ilvl="7" w:tplc="468CC2CA" w:tentative="1">
      <w:start w:val="1"/>
      <w:numFmt w:val="bullet"/>
      <w:lvlText w:val="•"/>
      <w:lvlJc w:val="left"/>
      <w:pPr>
        <w:tabs>
          <w:tab w:val="num" w:pos="5760"/>
        </w:tabs>
        <w:ind w:left="5760" w:hanging="360"/>
      </w:pPr>
      <w:rPr>
        <w:rFonts w:ascii="Arial" w:hAnsi="Arial" w:hint="default"/>
      </w:rPr>
    </w:lvl>
    <w:lvl w:ilvl="8" w:tplc="466643B2" w:tentative="1">
      <w:start w:val="1"/>
      <w:numFmt w:val="bullet"/>
      <w:lvlText w:val="•"/>
      <w:lvlJc w:val="left"/>
      <w:pPr>
        <w:tabs>
          <w:tab w:val="num" w:pos="6480"/>
        </w:tabs>
        <w:ind w:left="6480" w:hanging="360"/>
      </w:pPr>
      <w:rPr>
        <w:rFonts w:ascii="Arial" w:hAnsi="Arial" w:hint="default"/>
      </w:rPr>
    </w:lvl>
  </w:abstractNum>
  <w:abstractNum w:abstractNumId="8">
    <w:nsid w:val="117E4717"/>
    <w:multiLevelType w:val="hybridMultilevel"/>
    <w:tmpl w:val="15CC775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A26EFD"/>
    <w:multiLevelType w:val="hybridMultilevel"/>
    <w:tmpl w:val="4D58BA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A8D3E80"/>
    <w:multiLevelType w:val="hybridMultilevel"/>
    <w:tmpl w:val="D35CE6FA"/>
    <w:lvl w:ilvl="0" w:tplc="8AEC13F4">
      <w:start w:val="1"/>
      <w:numFmt w:val="bullet"/>
      <w:lvlText w:val="•"/>
      <w:lvlJc w:val="left"/>
      <w:pPr>
        <w:tabs>
          <w:tab w:val="num" w:pos="720"/>
        </w:tabs>
        <w:ind w:left="720" w:hanging="360"/>
      </w:pPr>
      <w:rPr>
        <w:rFonts w:ascii="Arial" w:hAnsi="Arial" w:hint="default"/>
      </w:rPr>
    </w:lvl>
    <w:lvl w:ilvl="1" w:tplc="C50C084C" w:tentative="1">
      <w:start w:val="1"/>
      <w:numFmt w:val="bullet"/>
      <w:lvlText w:val="•"/>
      <w:lvlJc w:val="left"/>
      <w:pPr>
        <w:tabs>
          <w:tab w:val="num" w:pos="1440"/>
        </w:tabs>
        <w:ind w:left="1440" w:hanging="360"/>
      </w:pPr>
      <w:rPr>
        <w:rFonts w:ascii="Arial" w:hAnsi="Arial" w:hint="default"/>
      </w:rPr>
    </w:lvl>
    <w:lvl w:ilvl="2" w:tplc="A56C93AC" w:tentative="1">
      <w:start w:val="1"/>
      <w:numFmt w:val="bullet"/>
      <w:lvlText w:val="•"/>
      <w:lvlJc w:val="left"/>
      <w:pPr>
        <w:tabs>
          <w:tab w:val="num" w:pos="2160"/>
        </w:tabs>
        <w:ind w:left="2160" w:hanging="360"/>
      </w:pPr>
      <w:rPr>
        <w:rFonts w:ascii="Arial" w:hAnsi="Arial" w:hint="default"/>
      </w:rPr>
    </w:lvl>
    <w:lvl w:ilvl="3" w:tplc="9058F4B8" w:tentative="1">
      <w:start w:val="1"/>
      <w:numFmt w:val="bullet"/>
      <w:lvlText w:val="•"/>
      <w:lvlJc w:val="left"/>
      <w:pPr>
        <w:tabs>
          <w:tab w:val="num" w:pos="2880"/>
        </w:tabs>
        <w:ind w:left="2880" w:hanging="360"/>
      </w:pPr>
      <w:rPr>
        <w:rFonts w:ascii="Arial" w:hAnsi="Arial" w:hint="default"/>
      </w:rPr>
    </w:lvl>
    <w:lvl w:ilvl="4" w:tplc="E7C8A726" w:tentative="1">
      <w:start w:val="1"/>
      <w:numFmt w:val="bullet"/>
      <w:lvlText w:val="•"/>
      <w:lvlJc w:val="left"/>
      <w:pPr>
        <w:tabs>
          <w:tab w:val="num" w:pos="3600"/>
        </w:tabs>
        <w:ind w:left="3600" w:hanging="360"/>
      </w:pPr>
      <w:rPr>
        <w:rFonts w:ascii="Arial" w:hAnsi="Arial" w:hint="default"/>
      </w:rPr>
    </w:lvl>
    <w:lvl w:ilvl="5" w:tplc="DE4CA792" w:tentative="1">
      <w:start w:val="1"/>
      <w:numFmt w:val="bullet"/>
      <w:lvlText w:val="•"/>
      <w:lvlJc w:val="left"/>
      <w:pPr>
        <w:tabs>
          <w:tab w:val="num" w:pos="4320"/>
        </w:tabs>
        <w:ind w:left="4320" w:hanging="360"/>
      </w:pPr>
      <w:rPr>
        <w:rFonts w:ascii="Arial" w:hAnsi="Arial" w:hint="default"/>
      </w:rPr>
    </w:lvl>
    <w:lvl w:ilvl="6" w:tplc="2F3432EE" w:tentative="1">
      <w:start w:val="1"/>
      <w:numFmt w:val="bullet"/>
      <w:lvlText w:val="•"/>
      <w:lvlJc w:val="left"/>
      <w:pPr>
        <w:tabs>
          <w:tab w:val="num" w:pos="5040"/>
        </w:tabs>
        <w:ind w:left="5040" w:hanging="360"/>
      </w:pPr>
      <w:rPr>
        <w:rFonts w:ascii="Arial" w:hAnsi="Arial" w:hint="default"/>
      </w:rPr>
    </w:lvl>
    <w:lvl w:ilvl="7" w:tplc="32A09EE4" w:tentative="1">
      <w:start w:val="1"/>
      <w:numFmt w:val="bullet"/>
      <w:lvlText w:val="•"/>
      <w:lvlJc w:val="left"/>
      <w:pPr>
        <w:tabs>
          <w:tab w:val="num" w:pos="5760"/>
        </w:tabs>
        <w:ind w:left="5760" w:hanging="360"/>
      </w:pPr>
      <w:rPr>
        <w:rFonts w:ascii="Arial" w:hAnsi="Arial" w:hint="default"/>
      </w:rPr>
    </w:lvl>
    <w:lvl w:ilvl="8" w:tplc="336C0164" w:tentative="1">
      <w:start w:val="1"/>
      <w:numFmt w:val="bullet"/>
      <w:lvlText w:val="•"/>
      <w:lvlJc w:val="left"/>
      <w:pPr>
        <w:tabs>
          <w:tab w:val="num" w:pos="6480"/>
        </w:tabs>
        <w:ind w:left="6480" w:hanging="360"/>
      </w:pPr>
      <w:rPr>
        <w:rFonts w:ascii="Arial" w:hAnsi="Arial" w:hint="default"/>
      </w:rPr>
    </w:lvl>
  </w:abstractNum>
  <w:abstractNum w:abstractNumId="11">
    <w:nsid w:val="1D4810E9"/>
    <w:multiLevelType w:val="hybridMultilevel"/>
    <w:tmpl w:val="BFB62548"/>
    <w:lvl w:ilvl="0" w:tplc="B24CC41A">
      <w:start w:val="1"/>
      <w:numFmt w:val="decimal"/>
      <w:lvlText w:val="%1."/>
      <w:lvlJc w:val="left"/>
      <w:pPr>
        <w:tabs>
          <w:tab w:val="num" w:pos="720"/>
        </w:tabs>
        <w:ind w:left="720" w:hanging="360"/>
      </w:pPr>
    </w:lvl>
    <w:lvl w:ilvl="1" w:tplc="D114A428" w:tentative="1">
      <w:start w:val="1"/>
      <w:numFmt w:val="decimal"/>
      <w:lvlText w:val="%2."/>
      <w:lvlJc w:val="left"/>
      <w:pPr>
        <w:tabs>
          <w:tab w:val="num" w:pos="1440"/>
        </w:tabs>
        <w:ind w:left="1440" w:hanging="360"/>
      </w:pPr>
    </w:lvl>
    <w:lvl w:ilvl="2" w:tplc="2D92C6FA" w:tentative="1">
      <w:start w:val="1"/>
      <w:numFmt w:val="decimal"/>
      <w:lvlText w:val="%3."/>
      <w:lvlJc w:val="left"/>
      <w:pPr>
        <w:tabs>
          <w:tab w:val="num" w:pos="2160"/>
        </w:tabs>
        <w:ind w:left="2160" w:hanging="360"/>
      </w:pPr>
    </w:lvl>
    <w:lvl w:ilvl="3" w:tplc="F50C81D8" w:tentative="1">
      <w:start w:val="1"/>
      <w:numFmt w:val="decimal"/>
      <w:lvlText w:val="%4."/>
      <w:lvlJc w:val="left"/>
      <w:pPr>
        <w:tabs>
          <w:tab w:val="num" w:pos="2880"/>
        </w:tabs>
        <w:ind w:left="2880" w:hanging="360"/>
      </w:pPr>
    </w:lvl>
    <w:lvl w:ilvl="4" w:tplc="AFEC762C" w:tentative="1">
      <w:start w:val="1"/>
      <w:numFmt w:val="decimal"/>
      <w:lvlText w:val="%5."/>
      <w:lvlJc w:val="left"/>
      <w:pPr>
        <w:tabs>
          <w:tab w:val="num" w:pos="3600"/>
        </w:tabs>
        <w:ind w:left="3600" w:hanging="360"/>
      </w:pPr>
    </w:lvl>
    <w:lvl w:ilvl="5" w:tplc="1836580A" w:tentative="1">
      <w:start w:val="1"/>
      <w:numFmt w:val="decimal"/>
      <w:lvlText w:val="%6."/>
      <w:lvlJc w:val="left"/>
      <w:pPr>
        <w:tabs>
          <w:tab w:val="num" w:pos="4320"/>
        </w:tabs>
        <w:ind w:left="4320" w:hanging="360"/>
      </w:pPr>
    </w:lvl>
    <w:lvl w:ilvl="6" w:tplc="D300307A" w:tentative="1">
      <w:start w:val="1"/>
      <w:numFmt w:val="decimal"/>
      <w:lvlText w:val="%7."/>
      <w:lvlJc w:val="left"/>
      <w:pPr>
        <w:tabs>
          <w:tab w:val="num" w:pos="5040"/>
        </w:tabs>
        <w:ind w:left="5040" w:hanging="360"/>
      </w:pPr>
    </w:lvl>
    <w:lvl w:ilvl="7" w:tplc="3A5674D8" w:tentative="1">
      <w:start w:val="1"/>
      <w:numFmt w:val="decimal"/>
      <w:lvlText w:val="%8."/>
      <w:lvlJc w:val="left"/>
      <w:pPr>
        <w:tabs>
          <w:tab w:val="num" w:pos="5760"/>
        </w:tabs>
        <w:ind w:left="5760" w:hanging="360"/>
      </w:pPr>
    </w:lvl>
    <w:lvl w:ilvl="8" w:tplc="DC148330" w:tentative="1">
      <w:start w:val="1"/>
      <w:numFmt w:val="decimal"/>
      <w:lvlText w:val="%9."/>
      <w:lvlJc w:val="left"/>
      <w:pPr>
        <w:tabs>
          <w:tab w:val="num" w:pos="6480"/>
        </w:tabs>
        <w:ind w:left="6480" w:hanging="360"/>
      </w:pPr>
    </w:lvl>
  </w:abstractNum>
  <w:abstractNum w:abstractNumId="12">
    <w:nsid w:val="23A655A9"/>
    <w:multiLevelType w:val="hybridMultilevel"/>
    <w:tmpl w:val="EA9E747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05378D"/>
    <w:multiLevelType w:val="hybridMultilevel"/>
    <w:tmpl w:val="DADE026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4">
    <w:nsid w:val="2BE9512A"/>
    <w:multiLevelType w:val="hybridMultilevel"/>
    <w:tmpl w:val="DB96CAD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BFE5EEF"/>
    <w:multiLevelType w:val="hybridMultilevel"/>
    <w:tmpl w:val="6694CC3E"/>
    <w:lvl w:ilvl="0" w:tplc="FADC8A6C">
      <w:start w:val="1"/>
      <w:numFmt w:val="bullet"/>
      <w:lvlText w:val="•"/>
      <w:lvlJc w:val="left"/>
      <w:pPr>
        <w:tabs>
          <w:tab w:val="num" w:pos="720"/>
        </w:tabs>
        <w:ind w:left="720" w:hanging="360"/>
      </w:pPr>
      <w:rPr>
        <w:rFonts w:ascii="Arial" w:hAnsi="Arial" w:hint="default"/>
      </w:rPr>
    </w:lvl>
    <w:lvl w:ilvl="1" w:tplc="EA988568" w:tentative="1">
      <w:start w:val="1"/>
      <w:numFmt w:val="bullet"/>
      <w:lvlText w:val="•"/>
      <w:lvlJc w:val="left"/>
      <w:pPr>
        <w:tabs>
          <w:tab w:val="num" w:pos="1440"/>
        </w:tabs>
        <w:ind w:left="1440" w:hanging="360"/>
      </w:pPr>
      <w:rPr>
        <w:rFonts w:ascii="Arial" w:hAnsi="Arial" w:hint="default"/>
      </w:rPr>
    </w:lvl>
    <w:lvl w:ilvl="2" w:tplc="829ADF88" w:tentative="1">
      <w:start w:val="1"/>
      <w:numFmt w:val="bullet"/>
      <w:lvlText w:val="•"/>
      <w:lvlJc w:val="left"/>
      <w:pPr>
        <w:tabs>
          <w:tab w:val="num" w:pos="2160"/>
        </w:tabs>
        <w:ind w:left="2160" w:hanging="360"/>
      </w:pPr>
      <w:rPr>
        <w:rFonts w:ascii="Arial" w:hAnsi="Arial" w:hint="default"/>
      </w:rPr>
    </w:lvl>
    <w:lvl w:ilvl="3" w:tplc="EE92D560" w:tentative="1">
      <w:start w:val="1"/>
      <w:numFmt w:val="bullet"/>
      <w:lvlText w:val="•"/>
      <w:lvlJc w:val="left"/>
      <w:pPr>
        <w:tabs>
          <w:tab w:val="num" w:pos="2880"/>
        </w:tabs>
        <w:ind w:left="2880" w:hanging="360"/>
      </w:pPr>
      <w:rPr>
        <w:rFonts w:ascii="Arial" w:hAnsi="Arial" w:hint="default"/>
      </w:rPr>
    </w:lvl>
    <w:lvl w:ilvl="4" w:tplc="48E26546" w:tentative="1">
      <w:start w:val="1"/>
      <w:numFmt w:val="bullet"/>
      <w:lvlText w:val="•"/>
      <w:lvlJc w:val="left"/>
      <w:pPr>
        <w:tabs>
          <w:tab w:val="num" w:pos="3600"/>
        </w:tabs>
        <w:ind w:left="3600" w:hanging="360"/>
      </w:pPr>
      <w:rPr>
        <w:rFonts w:ascii="Arial" w:hAnsi="Arial" w:hint="default"/>
      </w:rPr>
    </w:lvl>
    <w:lvl w:ilvl="5" w:tplc="A8844B2E" w:tentative="1">
      <w:start w:val="1"/>
      <w:numFmt w:val="bullet"/>
      <w:lvlText w:val="•"/>
      <w:lvlJc w:val="left"/>
      <w:pPr>
        <w:tabs>
          <w:tab w:val="num" w:pos="4320"/>
        </w:tabs>
        <w:ind w:left="4320" w:hanging="360"/>
      </w:pPr>
      <w:rPr>
        <w:rFonts w:ascii="Arial" w:hAnsi="Arial" w:hint="default"/>
      </w:rPr>
    </w:lvl>
    <w:lvl w:ilvl="6" w:tplc="A26CB23E" w:tentative="1">
      <w:start w:val="1"/>
      <w:numFmt w:val="bullet"/>
      <w:lvlText w:val="•"/>
      <w:lvlJc w:val="left"/>
      <w:pPr>
        <w:tabs>
          <w:tab w:val="num" w:pos="5040"/>
        </w:tabs>
        <w:ind w:left="5040" w:hanging="360"/>
      </w:pPr>
      <w:rPr>
        <w:rFonts w:ascii="Arial" w:hAnsi="Arial" w:hint="default"/>
      </w:rPr>
    </w:lvl>
    <w:lvl w:ilvl="7" w:tplc="6DF015A6" w:tentative="1">
      <w:start w:val="1"/>
      <w:numFmt w:val="bullet"/>
      <w:lvlText w:val="•"/>
      <w:lvlJc w:val="left"/>
      <w:pPr>
        <w:tabs>
          <w:tab w:val="num" w:pos="5760"/>
        </w:tabs>
        <w:ind w:left="5760" w:hanging="360"/>
      </w:pPr>
      <w:rPr>
        <w:rFonts w:ascii="Arial" w:hAnsi="Arial" w:hint="default"/>
      </w:rPr>
    </w:lvl>
    <w:lvl w:ilvl="8" w:tplc="E96A2D08" w:tentative="1">
      <w:start w:val="1"/>
      <w:numFmt w:val="bullet"/>
      <w:lvlText w:val="•"/>
      <w:lvlJc w:val="left"/>
      <w:pPr>
        <w:tabs>
          <w:tab w:val="num" w:pos="6480"/>
        </w:tabs>
        <w:ind w:left="6480" w:hanging="360"/>
      </w:pPr>
      <w:rPr>
        <w:rFonts w:ascii="Arial" w:hAnsi="Arial" w:hint="default"/>
      </w:rPr>
    </w:lvl>
  </w:abstractNum>
  <w:abstractNum w:abstractNumId="16">
    <w:nsid w:val="2D990540"/>
    <w:multiLevelType w:val="hybridMultilevel"/>
    <w:tmpl w:val="154C83BC"/>
    <w:lvl w:ilvl="0" w:tplc="24648618">
      <w:start w:val="1"/>
      <w:numFmt w:val="decimal"/>
      <w:lvlText w:val="%1."/>
      <w:lvlJc w:val="left"/>
      <w:pPr>
        <w:tabs>
          <w:tab w:val="num" w:pos="720"/>
        </w:tabs>
        <w:ind w:left="720" w:hanging="360"/>
      </w:pPr>
    </w:lvl>
    <w:lvl w:ilvl="1" w:tplc="ED42BEE6" w:tentative="1">
      <w:start w:val="1"/>
      <w:numFmt w:val="decimal"/>
      <w:lvlText w:val="%2."/>
      <w:lvlJc w:val="left"/>
      <w:pPr>
        <w:tabs>
          <w:tab w:val="num" w:pos="1440"/>
        </w:tabs>
        <w:ind w:left="1440" w:hanging="360"/>
      </w:pPr>
    </w:lvl>
    <w:lvl w:ilvl="2" w:tplc="FBFC99A8" w:tentative="1">
      <w:start w:val="1"/>
      <w:numFmt w:val="decimal"/>
      <w:lvlText w:val="%3."/>
      <w:lvlJc w:val="left"/>
      <w:pPr>
        <w:tabs>
          <w:tab w:val="num" w:pos="2160"/>
        </w:tabs>
        <w:ind w:left="2160" w:hanging="360"/>
      </w:pPr>
    </w:lvl>
    <w:lvl w:ilvl="3" w:tplc="5C5235B8" w:tentative="1">
      <w:start w:val="1"/>
      <w:numFmt w:val="decimal"/>
      <w:lvlText w:val="%4."/>
      <w:lvlJc w:val="left"/>
      <w:pPr>
        <w:tabs>
          <w:tab w:val="num" w:pos="2880"/>
        </w:tabs>
        <w:ind w:left="2880" w:hanging="360"/>
      </w:pPr>
    </w:lvl>
    <w:lvl w:ilvl="4" w:tplc="46664AEA" w:tentative="1">
      <w:start w:val="1"/>
      <w:numFmt w:val="decimal"/>
      <w:lvlText w:val="%5."/>
      <w:lvlJc w:val="left"/>
      <w:pPr>
        <w:tabs>
          <w:tab w:val="num" w:pos="3600"/>
        </w:tabs>
        <w:ind w:left="3600" w:hanging="360"/>
      </w:pPr>
    </w:lvl>
    <w:lvl w:ilvl="5" w:tplc="4F9EB928" w:tentative="1">
      <w:start w:val="1"/>
      <w:numFmt w:val="decimal"/>
      <w:lvlText w:val="%6."/>
      <w:lvlJc w:val="left"/>
      <w:pPr>
        <w:tabs>
          <w:tab w:val="num" w:pos="4320"/>
        </w:tabs>
        <w:ind w:left="4320" w:hanging="360"/>
      </w:pPr>
    </w:lvl>
    <w:lvl w:ilvl="6" w:tplc="AED84A5A" w:tentative="1">
      <w:start w:val="1"/>
      <w:numFmt w:val="decimal"/>
      <w:lvlText w:val="%7."/>
      <w:lvlJc w:val="left"/>
      <w:pPr>
        <w:tabs>
          <w:tab w:val="num" w:pos="5040"/>
        </w:tabs>
        <w:ind w:left="5040" w:hanging="360"/>
      </w:pPr>
    </w:lvl>
    <w:lvl w:ilvl="7" w:tplc="B328A8FC" w:tentative="1">
      <w:start w:val="1"/>
      <w:numFmt w:val="decimal"/>
      <w:lvlText w:val="%8."/>
      <w:lvlJc w:val="left"/>
      <w:pPr>
        <w:tabs>
          <w:tab w:val="num" w:pos="5760"/>
        </w:tabs>
        <w:ind w:left="5760" w:hanging="360"/>
      </w:pPr>
    </w:lvl>
    <w:lvl w:ilvl="8" w:tplc="4962AD44" w:tentative="1">
      <w:start w:val="1"/>
      <w:numFmt w:val="decimal"/>
      <w:lvlText w:val="%9."/>
      <w:lvlJc w:val="left"/>
      <w:pPr>
        <w:tabs>
          <w:tab w:val="num" w:pos="6480"/>
        </w:tabs>
        <w:ind w:left="6480" w:hanging="360"/>
      </w:pPr>
    </w:lvl>
  </w:abstractNum>
  <w:abstractNum w:abstractNumId="17">
    <w:nsid w:val="37B56B30"/>
    <w:multiLevelType w:val="hybridMultilevel"/>
    <w:tmpl w:val="CA28F24A"/>
    <w:lvl w:ilvl="0" w:tplc="F77A9AD2">
      <w:start w:val="1"/>
      <w:numFmt w:val="bullet"/>
      <w:lvlText w:val="-"/>
      <w:lvlJc w:val="left"/>
      <w:pPr>
        <w:ind w:left="1146" w:hanging="360"/>
      </w:pPr>
      <w:rPr>
        <w:rFonts w:ascii="Arial" w:eastAsia="Times New Roman" w:hAnsi="Arial" w:cs="Aria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8">
    <w:nsid w:val="38375DE5"/>
    <w:multiLevelType w:val="hybridMultilevel"/>
    <w:tmpl w:val="C1A6744A"/>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A2737A5"/>
    <w:multiLevelType w:val="hybridMultilevel"/>
    <w:tmpl w:val="26329348"/>
    <w:lvl w:ilvl="0" w:tplc="1C090001">
      <w:start w:val="1"/>
      <w:numFmt w:val="bullet"/>
      <w:lvlText w:val=""/>
      <w:lvlJc w:val="left"/>
      <w:pPr>
        <w:ind w:left="720" w:hanging="360"/>
      </w:pPr>
      <w:rPr>
        <w:rFonts w:ascii="Symbol" w:hAnsi="Symbol" w:hint="default"/>
      </w:rPr>
    </w:lvl>
    <w:lvl w:ilvl="1" w:tplc="F77A9AD2">
      <w:start w:val="1"/>
      <w:numFmt w:val="bullet"/>
      <w:lvlText w:val="-"/>
      <w:lvlJc w:val="left"/>
      <w:pPr>
        <w:ind w:left="1440" w:hanging="360"/>
      </w:pPr>
      <w:rPr>
        <w:rFonts w:ascii="Arial" w:eastAsia="Times New Roman" w:hAnsi="Arial" w:cs="Arial" w:hint="default"/>
      </w:rPr>
    </w:lvl>
    <w:lvl w:ilvl="2" w:tplc="C86C6A1A">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C07202D"/>
    <w:multiLevelType w:val="hybridMultilevel"/>
    <w:tmpl w:val="C73034B6"/>
    <w:lvl w:ilvl="0" w:tplc="89142CFA">
      <w:start w:val="1"/>
      <w:numFmt w:val="decimal"/>
      <w:lvlText w:val="%1)"/>
      <w:lvlJc w:val="left"/>
      <w:pPr>
        <w:ind w:left="1004" w:hanging="360"/>
      </w:pPr>
      <w:rPr>
        <w:b w:val="0"/>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nsid w:val="3C2D3BE8"/>
    <w:multiLevelType w:val="hybridMultilevel"/>
    <w:tmpl w:val="C2CC9DE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25C03EB"/>
    <w:multiLevelType w:val="hybridMultilevel"/>
    <w:tmpl w:val="1F08C960"/>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3">
    <w:nsid w:val="49EE7B2C"/>
    <w:multiLevelType w:val="hybridMultilevel"/>
    <w:tmpl w:val="2572CBC0"/>
    <w:lvl w:ilvl="0" w:tplc="F77A9AD2">
      <w:start w:val="1"/>
      <w:numFmt w:val="bullet"/>
      <w:lvlText w:val="-"/>
      <w:lvlJc w:val="left"/>
      <w:pPr>
        <w:ind w:left="1146" w:hanging="360"/>
      </w:pPr>
      <w:rPr>
        <w:rFonts w:ascii="Arial" w:eastAsia="Times New Roman" w:hAnsi="Arial" w:cs="Aria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4">
    <w:nsid w:val="53692D58"/>
    <w:multiLevelType w:val="hybridMultilevel"/>
    <w:tmpl w:val="A28A362E"/>
    <w:lvl w:ilvl="0" w:tplc="487E9DA4">
      <w:start w:val="1"/>
      <w:numFmt w:val="bullet"/>
      <w:lvlText w:val=""/>
      <w:lvlJc w:val="left"/>
      <w:pPr>
        <w:tabs>
          <w:tab w:val="num" w:pos="720"/>
        </w:tabs>
        <w:ind w:left="720" w:hanging="360"/>
      </w:pPr>
      <w:rPr>
        <w:rFonts w:ascii="Wingdings" w:hAnsi="Wingdings" w:hint="default"/>
      </w:rPr>
    </w:lvl>
    <w:lvl w:ilvl="1" w:tplc="1C090001">
      <w:start w:val="1"/>
      <w:numFmt w:val="bullet"/>
      <w:lvlText w:val=""/>
      <w:lvlJc w:val="left"/>
      <w:pPr>
        <w:tabs>
          <w:tab w:val="num" w:pos="1440"/>
        </w:tabs>
        <w:ind w:left="1440" w:hanging="360"/>
      </w:pPr>
      <w:rPr>
        <w:rFonts w:ascii="Symbol" w:hAnsi="Symbol" w:hint="default"/>
      </w:rPr>
    </w:lvl>
    <w:lvl w:ilvl="2" w:tplc="C1F0B07C" w:tentative="1">
      <w:start w:val="1"/>
      <w:numFmt w:val="bullet"/>
      <w:lvlText w:val=""/>
      <w:lvlJc w:val="left"/>
      <w:pPr>
        <w:tabs>
          <w:tab w:val="num" w:pos="2160"/>
        </w:tabs>
        <w:ind w:left="2160" w:hanging="360"/>
      </w:pPr>
      <w:rPr>
        <w:rFonts w:ascii="Wingdings" w:hAnsi="Wingdings" w:hint="default"/>
      </w:rPr>
    </w:lvl>
    <w:lvl w:ilvl="3" w:tplc="FD60EBB4" w:tentative="1">
      <w:start w:val="1"/>
      <w:numFmt w:val="bullet"/>
      <w:lvlText w:val=""/>
      <w:lvlJc w:val="left"/>
      <w:pPr>
        <w:tabs>
          <w:tab w:val="num" w:pos="2880"/>
        </w:tabs>
        <w:ind w:left="2880" w:hanging="360"/>
      </w:pPr>
      <w:rPr>
        <w:rFonts w:ascii="Wingdings" w:hAnsi="Wingdings" w:hint="default"/>
      </w:rPr>
    </w:lvl>
    <w:lvl w:ilvl="4" w:tplc="09044B32" w:tentative="1">
      <w:start w:val="1"/>
      <w:numFmt w:val="bullet"/>
      <w:lvlText w:val=""/>
      <w:lvlJc w:val="left"/>
      <w:pPr>
        <w:tabs>
          <w:tab w:val="num" w:pos="3600"/>
        </w:tabs>
        <w:ind w:left="3600" w:hanging="360"/>
      </w:pPr>
      <w:rPr>
        <w:rFonts w:ascii="Wingdings" w:hAnsi="Wingdings" w:hint="default"/>
      </w:rPr>
    </w:lvl>
    <w:lvl w:ilvl="5" w:tplc="346EABFA" w:tentative="1">
      <w:start w:val="1"/>
      <w:numFmt w:val="bullet"/>
      <w:lvlText w:val=""/>
      <w:lvlJc w:val="left"/>
      <w:pPr>
        <w:tabs>
          <w:tab w:val="num" w:pos="4320"/>
        </w:tabs>
        <w:ind w:left="4320" w:hanging="360"/>
      </w:pPr>
      <w:rPr>
        <w:rFonts w:ascii="Wingdings" w:hAnsi="Wingdings" w:hint="default"/>
      </w:rPr>
    </w:lvl>
    <w:lvl w:ilvl="6" w:tplc="162C1AC6" w:tentative="1">
      <w:start w:val="1"/>
      <w:numFmt w:val="bullet"/>
      <w:lvlText w:val=""/>
      <w:lvlJc w:val="left"/>
      <w:pPr>
        <w:tabs>
          <w:tab w:val="num" w:pos="5040"/>
        </w:tabs>
        <w:ind w:left="5040" w:hanging="360"/>
      </w:pPr>
      <w:rPr>
        <w:rFonts w:ascii="Wingdings" w:hAnsi="Wingdings" w:hint="default"/>
      </w:rPr>
    </w:lvl>
    <w:lvl w:ilvl="7" w:tplc="5C56A7F4" w:tentative="1">
      <w:start w:val="1"/>
      <w:numFmt w:val="bullet"/>
      <w:lvlText w:val=""/>
      <w:lvlJc w:val="left"/>
      <w:pPr>
        <w:tabs>
          <w:tab w:val="num" w:pos="5760"/>
        </w:tabs>
        <w:ind w:left="5760" w:hanging="360"/>
      </w:pPr>
      <w:rPr>
        <w:rFonts w:ascii="Wingdings" w:hAnsi="Wingdings" w:hint="default"/>
      </w:rPr>
    </w:lvl>
    <w:lvl w:ilvl="8" w:tplc="BCA203F0" w:tentative="1">
      <w:start w:val="1"/>
      <w:numFmt w:val="bullet"/>
      <w:lvlText w:val=""/>
      <w:lvlJc w:val="left"/>
      <w:pPr>
        <w:tabs>
          <w:tab w:val="num" w:pos="6480"/>
        </w:tabs>
        <w:ind w:left="6480" w:hanging="360"/>
      </w:pPr>
      <w:rPr>
        <w:rFonts w:ascii="Wingdings" w:hAnsi="Wingdings" w:hint="default"/>
      </w:rPr>
    </w:lvl>
  </w:abstractNum>
  <w:abstractNum w:abstractNumId="25">
    <w:nsid w:val="556A1D26"/>
    <w:multiLevelType w:val="hybridMultilevel"/>
    <w:tmpl w:val="F8E4EC4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0877818"/>
    <w:multiLevelType w:val="hybridMultilevel"/>
    <w:tmpl w:val="FA3A50C0"/>
    <w:lvl w:ilvl="0" w:tplc="5CD8293C">
      <w:start w:val="1"/>
      <w:numFmt w:val="lowerLetter"/>
      <w:lvlText w:val="%1)"/>
      <w:lvlJc w:val="left"/>
      <w:pPr>
        <w:tabs>
          <w:tab w:val="num" w:pos="720"/>
        </w:tabs>
        <w:ind w:left="720" w:hanging="360"/>
      </w:pPr>
    </w:lvl>
    <w:lvl w:ilvl="1" w:tplc="30441C5A" w:tentative="1">
      <w:start w:val="1"/>
      <w:numFmt w:val="lowerLetter"/>
      <w:lvlText w:val="%2)"/>
      <w:lvlJc w:val="left"/>
      <w:pPr>
        <w:tabs>
          <w:tab w:val="num" w:pos="1440"/>
        </w:tabs>
        <w:ind w:left="1440" w:hanging="360"/>
      </w:pPr>
    </w:lvl>
    <w:lvl w:ilvl="2" w:tplc="F95CEDBA" w:tentative="1">
      <w:start w:val="1"/>
      <w:numFmt w:val="lowerLetter"/>
      <w:lvlText w:val="%3)"/>
      <w:lvlJc w:val="left"/>
      <w:pPr>
        <w:tabs>
          <w:tab w:val="num" w:pos="2160"/>
        </w:tabs>
        <w:ind w:left="2160" w:hanging="360"/>
      </w:pPr>
    </w:lvl>
    <w:lvl w:ilvl="3" w:tplc="7B8E7314" w:tentative="1">
      <w:start w:val="1"/>
      <w:numFmt w:val="lowerLetter"/>
      <w:lvlText w:val="%4)"/>
      <w:lvlJc w:val="left"/>
      <w:pPr>
        <w:tabs>
          <w:tab w:val="num" w:pos="2880"/>
        </w:tabs>
        <w:ind w:left="2880" w:hanging="360"/>
      </w:pPr>
    </w:lvl>
    <w:lvl w:ilvl="4" w:tplc="23783698" w:tentative="1">
      <w:start w:val="1"/>
      <w:numFmt w:val="lowerLetter"/>
      <w:lvlText w:val="%5)"/>
      <w:lvlJc w:val="left"/>
      <w:pPr>
        <w:tabs>
          <w:tab w:val="num" w:pos="3600"/>
        </w:tabs>
        <w:ind w:left="3600" w:hanging="360"/>
      </w:pPr>
    </w:lvl>
    <w:lvl w:ilvl="5" w:tplc="B862222E" w:tentative="1">
      <w:start w:val="1"/>
      <w:numFmt w:val="lowerLetter"/>
      <w:lvlText w:val="%6)"/>
      <w:lvlJc w:val="left"/>
      <w:pPr>
        <w:tabs>
          <w:tab w:val="num" w:pos="4320"/>
        </w:tabs>
        <w:ind w:left="4320" w:hanging="360"/>
      </w:pPr>
    </w:lvl>
    <w:lvl w:ilvl="6" w:tplc="9D16BF56" w:tentative="1">
      <w:start w:val="1"/>
      <w:numFmt w:val="lowerLetter"/>
      <w:lvlText w:val="%7)"/>
      <w:lvlJc w:val="left"/>
      <w:pPr>
        <w:tabs>
          <w:tab w:val="num" w:pos="5040"/>
        </w:tabs>
        <w:ind w:left="5040" w:hanging="360"/>
      </w:pPr>
    </w:lvl>
    <w:lvl w:ilvl="7" w:tplc="F3C224DA" w:tentative="1">
      <w:start w:val="1"/>
      <w:numFmt w:val="lowerLetter"/>
      <w:lvlText w:val="%8)"/>
      <w:lvlJc w:val="left"/>
      <w:pPr>
        <w:tabs>
          <w:tab w:val="num" w:pos="5760"/>
        </w:tabs>
        <w:ind w:left="5760" w:hanging="360"/>
      </w:pPr>
    </w:lvl>
    <w:lvl w:ilvl="8" w:tplc="3202056C" w:tentative="1">
      <w:start w:val="1"/>
      <w:numFmt w:val="lowerLetter"/>
      <w:lvlText w:val="%9)"/>
      <w:lvlJc w:val="left"/>
      <w:pPr>
        <w:tabs>
          <w:tab w:val="num" w:pos="6480"/>
        </w:tabs>
        <w:ind w:left="6480" w:hanging="360"/>
      </w:pPr>
    </w:lvl>
  </w:abstractNum>
  <w:abstractNum w:abstractNumId="27">
    <w:nsid w:val="621214CC"/>
    <w:multiLevelType w:val="hybridMultilevel"/>
    <w:tmpl w:val="1578040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47D67CC"/>
    <w:multiLevelType w:val="hybridMultilevel"/>
    <w:tmpl w:val="A71C6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9">
    <w:nsid w:val="6CCC2121"/>
    <w:multiLevelType w:val="hybridMultilevel"/>
    <w:tmpl w:val="4DBEC54C"/>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DBB631C"/>
    <w:multiLevelType w:val="multilevel"/>
    <w:tmpl w:val="E7D6A13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E835577"/>
    <w:multiLevelType w:val="hybridMultilevel"/>
    <w:tmpl w:val="DF94E2F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2">
    <w:nsid w:val="6F4D2823"/>
    <w:multiLevelType w:val="hybridMultilevel"/>
    <w:tmpl w:val="055AB774"/>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3">
    <w:nsid w:val="72127AE8"/>
    <w:multiLevelType w:val="hybridMultilevel"/>
    <w:tmpl w:val="EEA6ED2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4">
    <w:nsid w:val="74C32E82"/>
    <w:multiLevelType w:val="hybridMultilevel"/>
    <w:tmpl w:val="BDB4318E"/>
    <w:lvl w:ilvl="0" w:tplc="5DFC1F40">
      <w:start w:val="1"/>
      <w:numFmt w:val="bullet"/>
      <w:lvlText w:val="•"/>
      <w:lvlJc w:val="left"/>
      <w:pPr>
        <w:tabs>
          <w:tab w:val="num" w:pos="720"/>
        </w:tabs>
        <w:ind w:left="720" w:hanging="360"/>
      </w:pPr>
      <w:rPr>
        <w:rFonts w:ascii="Arial" w:hAnsi="Arial" w:hint="default"/>
      </w:rPr>
    </w:lvl>
    <w:lvl w:ilvl="1" w:tplc="4F5ABA08" w:tentative="1">
      <w:start w:val="1"/>
      <w:numFmt w:val="bullet"/>
      <w:lvlText w:val="•"/>
      <w:lvlJc w:val="left"/>
      <w:pPr>
        <w:tabs>
          <w:tab w:val="num" w:pos="1440"/>
        </w:tabs>
        <w:ind w:left="1440" w:hanging="360"/>
      </w:pPr>
      <w:rPr>
        <w:rFonts w:ascii="Arial" w:hAnsi="Arial" w:hint="default"/>
      </w:rPr>
    </w:lvl>
    <w:lvl w:ilvl="2" w:tplc="71461870" w:tentative="1">
      <w:start w:val="1"/>
      <w:numFmt w:val="bullet"/>
      <w:lvlText w:val="•"/>
      <w:lvlJc w:val="left"/>
      <w:pPr>
        <w:tabs>
          <w:tab w:val="num" w:pos="2160"/>
        </w:tabs>
        <w:ind w:left="2160" w:hanging="360"/>
      </w:pPr>
      <w:rPr>
        <w:rFonts w:ascii="Arial" w:hAnsi="Arial" w:hint="default"/>
      </w:rPr>
    </w:lvl>
    <w:lvl w:ilvl="3" w:tplc="DE8AF908" w:tentative="1">
      <w:start w:val="1"/>
      <w:numFmt w:val="bullet"/>
      <w:lvlText w:val="•"/>
      <w:lvlJc w:val="left"/>
      <w:pPr>
        <w:tabs>
          <w:tab w:val="num" w:pos="2880"/>
        </w:tabs>
        <w:ind w:left="2880" w:hanging="360"/>
      </w:pPr>
      <w:rPr>
        <w:rFonts w:ascii="Arial" w:hAnsi="Arial" w:hint="default"/>
      </w:rPr>
    </w:lvl>
    <w:lvl w:ilvl="4" w:tplc="2B34AE3C" w:tentative="1">
      <w:start w:val="1"/>
      <w:numFmt w:val="bullet"/>
      <w:lvlText w:val="•"/>
      <w:lvlJc w:val="left"/>
      <w:pPr>
        <w:tabs>
          <w:tab w:val="num" w:pos="3600"/>
        </w:tabs>
        <w:ind w:left="3600" w:hanging="360"/>
      </w:pPr>
      <w:rPr>
        <w:rFonts w:ascii="Arial" w:hAnsi="Arial" w:hint="default"/>
      </w:rPr>
    </w:lvl>
    <w:lvl w:ilvl="5" w:tplc="C87CBF86" w:tentative="1">
      <w:start w:val="1"/>
      <w:numFmt w:val="bullet"/>
      <w:lvlText w:val="•"/>
      <w:lvlJc w:val="left"/>
      <w:pPr>
        <w:tabs>
          <w:tab w:val="num" w:pos="4320"/>
        </w:tabs>
        <w:ind w:left="4320" w:hanging="360"/>
      </w:pPr>
      <w:rPr>
        <w:rFonts w:ascii="Arial" w:hAnsi="Arial" w:hint="default"/>
      </w:rPr>
    </w:lvl>
    <w:lvl w:ilvl="6" w:tplc="F2648EAC" w:tentative="1">
      <w:start w:val="1"/>
      <w:numFmt w:val="bullet"/>
      <w:lvlText w:val="•"/>
      <w:lvlJc w:val="left"/>
      <w:pPr>
        <w:tabs>
          <w:tab w:val="num" w:pos="5040"/>
        </w:tabs>
        <w:ind w:left="5040" w:hanging="360"/>
      </w:pPr>
      <w:rPr>
        <w:rFonts w:ascii="Arial" w:hAnsi="Arial" w:hint="default"/>
      </w:rPr>
    </w:lvl>
    <w:lvl w:ilvl="7" w:tplc="CA5A91C6" w:tentative="1">
      <w:start w:val="1"/>
      <w:numFmt w:val="bullet"/>
      <w:lvlText w:val="•"/>
      <w:lvlJc w:val="left"/>
      <w:pPr>
        <w:tabs>
          <w:tab w:val="num" w:pos="5760"/>
        </w:tabs>
        <w:ind w:left="5760" w:hanging="360"/>
      </w:pPr>
      <w:rPr>
        <w:rFonts w:ascii="Arial" w:hAnsi="Arial" w:hint="default"/>
      </w:rPr>
    </w:lvl>
    <w:lvl w:ilvl="8" w:tplc="C0A63FDA" w:tentative="1">
      <w:start w:val="1"/>
      <w:numFmt w:val="bullet"/>
      <w:lvlText w:val="•"/>
      <w:lvlJc w:val="left"/>
      <w:pPr>
        <w:tabs>
          <w:tab w:val="num" w:pos="6480"/>
        </w:tabs>
        <w:ind w:left="6480" w:hanging="360"/>
      </w:pPr>
      <w:rPr>
        <w:rFonts w:ascii="Arial" w:hAnsi="Arial" w:hint="default"/>
      </w:rPr>
    </w:lvl>
  </w:abstractNum>
  <w:abstractNum w:abstractNumId="35">
    <w:nsid w:val="783A1842"/>
    <w:multiLevelType w:val="hybridMultilevel"/>
    <w:tmpl w:val="C73E1822"/>
    <w:lvl w:ilvl="0" w:tplc="1C090001">
      <w:start w:val="1"/>
      <w:numFmt w:val="bullet"/>
      <w:lvlText w:val=""/>
      <w:lvlJc w:val="left"/>
      <w:pPr>
        <w:tabs>
          <w:tab w:val="num" w:pos="720"/>
        </w:tabs>
        <w:ind w:left="720" w:hanging="360"/>
      </w:pPr>
      <w:rPr>
        <w:rFonts w:ascii="Symbol" w:hAnsi="Symbol" w:hint="default"/>
      </w:rPr>
    </w:lvl>
    <w:lvl w:ilvl="1" w:tplc="6ECC1E4A" w:tentative="1">
      <w:start w:val="1"/>
      <w:numFmt w:val="lowerLetter"/>
      <w:lvlText w:val="%2)"/>
      <w:lvlJc w:val="left"/>
      <w:pPr>
        <w:tabs>
          <w:tab w:val="num" w:pos="1440"/>
        </w:tabs>
        <w:ind w:left="1440" w:hanging="360"/>
      </w:pPr>
    </w:lvl>
    <w:lvl w:ilvl="2" w:tplc="80607588" w:tentative="1">
      <w:start w:val="1"/>
      <w:numFmt w:val="lowerLetter"/>
      <w:lvlText w:val="%3)"/>
      <w:lvlJc w:val="left"/>
      <w:pPr>
        <w:tabs>
          <w:tab w:val="num" w:pos="2160"/>
        </w:tabs>
        <w:ind w:left="2160" w:hanging="360"/>
      </w:pPr>
    </w:lvl>
    <w:lvl w:ilvl="3" w:tplc="44528B04" w:tentative="1">
      <w:start w:val="1"/>
      <w:numFmt w:val="lowerLetter"/>
      <w:lvlText w:val="%4)"/>
      <w:lvlJc w:val="left"/>
      <w:pPr>
        <w:tabs>
          <w:tab w:val="num" w:pos="2880"/>
        </w:tabs>
        <w:ind w:left="2880" w:hanging="360"/>
      </w:pPr>
    </w:lvl>
    <w:lvl w:ilvl="4" w:tplc="89B6962A" w:tentative="1">
      <w:start w:val="1"/>
      <w:numFmt w:val="lowerLetter"/>
      <w:lvlText w:val="%5)"/>
      <w:lvlJc w:val="left"/>
      <w:pPr>
        <w:tabs>
          <w:tab w:val="num" w:pos="3600"/>
        </w:tabs>
        <w:ind w:left="3600" w:hanging="360"/>
      </w:pPr>
    </w:lvl>
    <w:lvl w:ilvl="5" w:tplc="363E4574" w:tentative="1">
      <w:start w:val="1"/>
      <w:numFmt w:val="lowerLetter"/>
      <w:lvlText w:val="%6)"/>
      <w:lvlJc w:val="left"/>
      <w:pPr>
        <w:tabs>
          <w:tab w:val="num" w:pos="4320"/>
        </w:tabs>
        <w:ind w:left="4320" w:hanging="360"/>
      </w:pPr>
    </w:lvl>
    <w:lvl w:ilvl="6" w:tplc="D8FA6F20" w:tentative="1">
      <w:start w:val="1"/>
      <w:numFmt w:val="lowerLetter"/>
      <w:lvlText w:val="%7)"/>
      <w:lvlJc w:val="left"/>
      <w:pPr>
        <w:tabs>
          <w:tab w:val="num" w:pos="5040"/>
        </w:tabs>
        <w:ind w:left="5040" w:hanging="360"/>
      </w:pPr>
    </w:lvl>
    <w:lvl w:ilvl="7" w:tplc="96DE4530" w:tentative="1">
      <w:start w:val="1"/>
      <w:numFmt w:val="lowerLetter"/>
      <w:lvlText w:val="%8)"/>
      <w:lvlJc w:val="left"/>
      <w:pPr>
        <w:tabs>
          <w:tab w:val="num" w:pos="5760"/>
        </w:tabs>
        <w:ind w:left="5760" w:hanging="360"/>
      </w:pPr>
    </w:lvl>
    <w:lvl w:ilvl="8" w:tplc="CE38F0BA" w:tentative="1">
      <w:start w:val="1"/>
      <w:numFmt w:val="lowerLetter"/>
      <w:lvlText w:val="%9)"/>
      <w:lvlJc w:val="left"/>
      <w:pPr>
        <w:tabs>
          <w:tab w:val="num" w:pos="6480"/>
        </w:tabs>
        <w:ind w:left="6480" w:hanging="360"/>
      </w:pPr>
    </w:lvl>
  </w:abstractNum>
  <w:abstractNum w:abstractNumId="36">
    <w:nsid w:val="7C825940"/>
    <w:multiLevelType w:val="hybridMultilevel"/>
    <w:tmpl w:val="79ECC1BC"/>
    <w:lvl w:ilvl="0" w:tplc="1C090001">
      <w:start w:val="1"/>
      <w:numFmt w:val="bullet"/>
      <w:lvlText w:val=""/>
      <w:lvlJc w:val="left"/>
      <w:pPr>
        <w:ind w:left="720" w:hanging="360"/>
      </w:pPr>
      <w:rPr>
        <w:rFonts w:ascii="Symbol" w:hAnsi="Symbol" w:hint="default"/>
      </w:rPr>
    </w:lvl>
    <w:lvl w:ilvl="1" w:tplc="F77A9AD2">
      <w:start w:val="1"/>
      <w:numFmt w:val="bullet"/>
      <w:lvlText w:val="-"/>
      <w:lvlJc w:val="left"/>
      <w:pPr>
        <w:ind w:left="1440" w:hanging="36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2"/>
  </w:num>
  <w:num w:numId="3">
    <w:abstractNumId w:val="32"/>
  </w:num>
  <w:num w:numId="4">
    <w:abstractNumId w:val="9"/>
  </w:num>
  <w:num w:numId="5">
    <w:abstractNumId w:val="30"/>
  </w:num>
  <w:num w:numId="6">
    <w:abstractNumId w:val="3"/>
  </w:num>
  <w:num w:numId="7">
    <w:abstractNumId w:val="34"/>
  </w:num>
  <w:num w:numId="8">
    <w:abstractNumId w:val="10"/>
  </w:num>
  <w:num w:numId="9">
    <w:abstractNumId w:val="7"/>
  </w:num>
  <w:num w:numId="10">
    <w:abstractNumId w:val="15"/>
  </w:num>
  <w:num w:numId="11">
    <w:abstractNumId w:val="24"/>
  </w:num>
  <w:num w:numId="12">
    <w:abstractNumId w:val="36"/>
  </w:num>
  <w:num w:numId="13">
    <w:abstractNumId w:val="19"/>
  </w:num>
  <w:num w:numId="14">
    <w:abstractNumId w:val="36"/>
  </w:num>
  <w:num w:numId="15">
    <w:abstractNumId w:val="17"/>
  </w:num>
  <w:num w:numId="16">
    <w:abstractNumId w:val="36"/>
  </w:num>
  <w:num w:numId="17">
    <w:abstractNumId w:val="23"/>
  </w:num>
  <w:num w:numId="18">
    <w:abstractNumId w:val="27"/>
  </w:num>
  <w:num w:numId="19">
    <w:abstractNumId w:val="12"/>
  </w:num>
  <w:num w:numId="20">
    <w:abstractNumId w:val="25"/>
  </w:num>
  <w:num w:numId="21">
    <w:abstractNumId w:val="20"/>
  </w:num>
  <w:num w:numId="22">
    <w:abstractNumId w:val="31"/>
  </w:num>
  <w:num w:numId="23">
    <w:abstractNumId w:val="33"/>
  </w:num>
  <w:num w:numId="24">
    <w:abstractNumId w:val="4"/>
  </w:num>
  <w:num w:numId="25">
    <w:abstractNumId w:val="28"/>
  </w:num>
  <w:num w:numId="26">
    <w:abstractNumId w:val="5"/>
  </w:num>
  <w:num w:numId="27">
    <w:abstractNumId w:val="13"/>
  </w:num>
  <w:num w:numId="28">
    <w:abstractNumId w:val="26"/>
  </w:num>
  <w:num w:numId="29">
    <w:abstractNumId w:val="6"/>
  </w:num>
  <w:num w:numId="30">
    <w:abstractNumId w:val="1"/>
  </w:num>
  <w:num w:numId="31">
    <w:abstractNumId w:val="35"/>
  </w:num>
  <w:num w:numId="32">
    <w:abstractNumId w:val="11"/>
  </w:num>
  <w:num w:numId="33">
    <w:abstractNumId w:val="16"/>
  </w:num>
  <w:num w:numId="34">
    <w:abstractNumId w:val="18"/>
  </w:num>
  <w:num w:numId="35">
    <w:abstractNumId w:val="8"/>
  </w:num>
  <w:num w:numId="36">
    <w:abstractNumId w:val="2"/>
  </w:num>
  <w:num w:numId="37">
    <w:abstractNumId w:val="21"/>
  </w:num>
  <w:num w:numId="38">
    <w:abstractNumId w:val="29"/>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0MTc3MDECImMzMyUdpeDU4uLM/DyQAsNaABMyHkcsAAAA"/>
  </w:docVars>
  <w:rsids>
    <w:rsidRoot w:val="00BD0672"/>
    <w:rsid w:val="00000EB6"/>
    <w:rsid w:val="00001EC0"/>
    <w:rsid w:val="00002DBA"/>
    <w:rsid w:val="00003754"/>
    <w:rsid w:val="000070DF"/>
    <w:rsid w:val="00012FE9"/>
    <w:rsid w:val="00014A47"/>
    <w:rsid w:val="00015D4D"/>
    <w:rsid w:val="000210C4"/>
    <w:rsid w:val="00025457"/>
    <w:rsid w:val="00026C3C"/>
    <w:rsid w:val="00030250"/>
    <w:rsid w:val="0003051C"/>
    <w:rsid w:val="00032819"/>
    <w:rsid w:val="000335E3"/>
    <w:rsid w:val="00034D73"/>
    <w:rsid w:val="00035100"/>
    <w:rsid w:val="00035D00"/>
    <w:rsid w:val="00037436"/>
    <w:rsid w:val="00037F93"/>
    <w:rsid w:val="00043B9F"/>
    <w:rsid w:val="00043D93"/>
    <w:rsid w:val="00044833"/>
    <w:rsid w:val="00044D5F"/>
    <w:rsid w:val="00045B40"/>
    <w:rsid w:val="000479DE"/>
    <w:rsid w:val="00047AF5"/>
    <w:rsid w:val="000506E9"/>
    <w:rsid w:val="000570B6"/>
    <w:rsid w:val="00061783"/>
    <w:rsid w:val="000621E9"/>
    <w:rsid w:val="000667EA"/>
    <w:rsid w:val="00070ABF"/>
    <w:rsid w:val="00070B87"/>
    <w:rsid w:val="00074F9D"/>
    <w:rsid w:val="0007510E"/>
    <w:rsid w:val="000766E7"/>
    <w:rsid w:val="0007774A"/>
    <w:rsid w:val="00081BD1"/>
    <w:rsid w:val="000843DD"/>
    <w:rsid w:val="00084EF3"/>
    <w:rsid w:val="000904F2"/>
    <w:rsid w:val="0009120A"/>
    <w:rsid w:val="00092F5A"/>
    <w:rsid w:val="000943C2"/>
    <w:rsid w:val="00097B41"/>
    <w:rsid w:val="00097C6D"/>
    <w:rsid w:val="000A0202"/>
    <w:rsid w:val="000A091F"/>
    <w:rsid w:val="000A1C69"/>
    <w:rsid w:val="000A5130"/>
    <w:rsid w:val="000A78ED"/>
    <w:rsid w:val="000A7DFF"/>
    <w:rsid w:val="000B186C"/>
    <w:rsid w:val="000B2DCA"/>
    <w:rsid w:val="000B31C6"/>
    <w:rsid w:val="000B4F5E"/>
    <w:rsid w:val="000B5976"/>
    <w:rsid w:val="000C0643"/>
    <w:rsid w:val="000C094E"/>
    <w:rsid w:val="000C1B04"/>
    <w:rsid w:val="000C27D7"/>
    <w:rsid w:val="000C40BC"/>
    <w:rsid w:val="000C58D7"/>
    <w:rsid w:val="000C5F9B"/>
    <w:rsid w:val="000C6462"/>
    <w:rsid w:val="000C697B"/>
    <w:rsid w:val="000D08FD"/>
    <w:rsid w:val="000D0F95"/>
    <w:rsid w:val="000D15A2"/>
    <w:rsid w:val="000D25FD"/>
    <w:rsid w:val="000D3347"/>
    <w:rsid w:val="000D3820"/>
    <w:rsid w:val="000D3D19"/>
    <w:rsid w:val="000D4ABB"/>
    <w:rsid w:val="000D5A27"/>
    <w:rsid w:val="000D5A8C"/>
    <w:rsid w:val="000D5C36"/>
    <w:rsid w:val="000D5E5C"/>
    <w:rsid w:val="000D7DB9"/>
    <w:rsid w:val="000E11FA"/>
    <w:rsid w:val="000E3BC2"/>
    <w:rsid w:val="000E3CE5"/>
    <w:rsid w:val="000E44C7"/>
    <w:rsid w:val="000E5466"/>
    <w:rsid w:val="000F2806"/>
    <w:rsid w:val="000F4504"/>
    <w:rsid w:val="00103DCF"/>
    <w:rsid w:val="001047C5"/>
    <w:rsid w:val="00105650"/>
    <w:rsid w:val="00105F2F"/>
    <w:rsid w:val="00106DDF"/>
    <w:rsid w:val="0010793C"/>
    <w:rsid w:val="00107D4A"/>
    <w:rsid w:val="00107FDF"/>
    <w:rsid w:val="00110357"/>
    <w:rsid w:val="00113940"/>
    <w:rsid w:val="00113EDA"/>
    <w:rsid w:val="00114873"/>
    <w:rsid w:val="00116516"/>
    <w:rsid w:val="00116CF1"/>
    <w:rsid w:val="00117A4A"/>
    <w:rsid w:val="001205CE"/>
    <w:rsid w:val="00120678"/>
    <w:rsid w:val="00120680"/>
    <w:rsid w:val="00121658"/>
    <w:rsid w:val="0012199E"/>
    <w:rsid w:val="00121D3A"/>
    <w:rsid w:val="00122065"/>
    <w:rsid w:val="00122B1D"/>
    <w:rsid w:val="00126225"/>
    <w:rsid w:val="00126CB9"/>
    <w:rsid w:val="00130477"/>
    <w:rsid w:val="00130D87"/>
    <w:rsid w:val="0013215E"/>
    <w:rsid w:val="00132AD5"/>
    <w:rsid w:val="00134BD5"/>
    <w:rsid w:val="00134D79"/>
    <w:rsid w:val="00134E86"/>
    <w:rsid w:val="00135450"/>
    <w:rsid w:val="00135A49"/>
    <w:rsid w:val="00136AA4"/>
    <w:rsid w:val="001375AE"/>
    <w:rsid w:val="0014030A"/>
    <w:rsid w:val="00141227"/>
    <w:rsid w:val="00141CE9"/>
    <w:rsid w:val="00144358"/>
    <w:rsid w:val="00144F92"/>
    <w:rsid w:val="00145AFC"/>
    <w:rsid w:val="001478B5"/>
    <w:rsid w:val="00154135"/>
    <w:rsid w:val="00156328"/>
    <w:rsid w:val="00157E3E"/>
    <w:rsid w:val="001600EB"/>
    <w:rsid w:val="00161478"/>
    <w:rsid w:val="00162422"/>
    <w:rsid w:val="00165F4A"/>
    <w:rsid w:val="00166A41"/>
    <w:rsid w:val="00170C65"/>
    <w:rsid w:val="0017152F"/>
    <w:rsid w:val="00171B25"/>
    <w:rsid w:val="001754B7"/>
    <w:rsid w:val="00177A61"/>
    <w:rsid w:val="00180595"/>
    <w:rsid w:val="00180F08"/>
    <w:rsid w:val="00183C63"/>
    <w:rsid w:val="00185DDC"/>
    <w:rsid w:val="0018674F"/>
    <w:rsid w:val="0018796A"/>
    <w:rsid w:val="001919ED"/>
    <w:rsid w:val="001928BC"/>
    <w:rsid w:val="001928CA"/>
    <w:rsid w:val="00193B32"/>
    <w:rsid w:val="00193D04"/>
    <w:rsid w:val="00194E39"/>
    <w:rsid w:val="0019546C"/>
    <w:rsid w:val="00195591"/>
    <w:rsid w:val="00195D51"/>
    <w:rsid w:val="00195E68"/>
    <w:rsid w:val="0019792E"/>
    <w:rsid w:val="001A336B"/>
    <w:rsid w:val="001A364E"/>
    <w:rsid w:val="001A4380"/>
    <w:rsid w:val="001A69C3"/>
    <w:rsid w:val="001B3CFB"/>
    <w:rsid w:val="001B45CD"/>
    <w:rsid w:val="001B4625"/>
    <w:rsid w:val="001B55EA"/>
    <w:rsid w:val="001C0957"/>
    <w:rsid w:val="001C22E4"/>
    <w:rsid w:val="001C5136"/>
    <w:rsid w:val="001C5F4C"/>
    <w:rsid w:val="001C63EB"/>
    <w:rsid w:val="001C6EB9"/>
    <w:rsid w:val="001C781D"/>
    <w:rsid w:val="001C79B2"/>
    <w:rsid w:val="001C7C65"/>
    <w:rsid w:val="001D23D3"/>
    <w:rsid w:val="001D66B5"/>
    <w:rsid w:val="001D71E4"/>
    <w:rsid w:val="001E5FEB"/>
    <w:rsid w:val="001E61C8"/>
    <w:rsid w:val="001E62AB"/>
    <w:rsid w:val="001E72AD"/>
    <w:rsid w:val="001F1C6F"/>
    <w:rsid w:val="001F1DF2"/>
    <w:rsid w:val="001F23C7"/>
    <w:rsid w:val="001F2A6F"/>
    <w:rsid w:val="001F5180"/>
    <w:rsid w:val="001F615F"/>
    <w:rsid w:val="001F6DD6"/>
    <w:rsid w:val="001F7450"/>
    <w:rsid w:val="001F7775"/>
    <w:rsid w:val="002004FB"/>
    <w:rsid w:val="00202F33"/>
    <w:rsid w:val="002048C0"/>
    <w:rsid w:val="002053D6"/>
    <w:rsid w:val="00205682"/>
    <w:rsid w:val="002062A6"/>
    <w:rsid w:val="002063BE"/>
    <w:rsid w:val="002064C3"/>
    <w:rsid w:val="00206A40"/>
    <w:rsid w:val="002112E3"/>
    <w:rsid w:val="00211A4C"/>
    <w:rsid w:val="00211AC8"/>
    <w:rsid w:val="00212D8B"/>
    <w:rsid w:val="00213AC0"/>
    <w:rsid w:val="002146B0"/>
    <w:rsid w:val="00215F97"/>
    <w:rsid w:val="00220079"/>
    <w:rsid w:val="00224043"/>
    <w:rsid w:val="00225558"/>
    <w:rsid w:val="00225C72"/>
    <w:rsid w:val="0023078E"/>
    <w:rsid w:val="00230C91"/>
    <w:rsid w:val="0023214E"/>
    <w:rsid w:val="0023496E"/>
    <w:rsid w:val="002414D4"/>
    <w:rsid w:val="00244992"/>
    <w:rsid w:val="00244AD2"/>
    <w:rsid w:val="0024576F"/>
    <w:rsid w:val="00247351"/>
    <w:rsid w:val="002505A3"/>
    <w:rsid w:val="002533C9"/>
    <w:rsid w:val="00254717"/>
    <w:rsid w:val="00254EE2"/>
    <w:rsid w:val="00256409"/>
    <w:rsid w:val="002566AD"/>
    <w:rsid w:val="00256BD6"/>
    <w:rsid w:val="00257DFA"/>
    <w:rsid w:val="0026174D"/>
    <w:rsid w:val="00262F4A"/>
    <w:rsid w:val="0026403A"/>
    <w:rsid w:val="0026635E"/>
    <w:rsid w:val="00267D9D"/>
    <w:rsid w:val="002710C2"/>
    <w:rsid w:val="002717A0"/>
    <w:rsid w:val="00275F42"/>
    <w:rsid w:val="00277457"/>
    <w:rsid w:val="002837C3"/>
    <w:rsid w:val="00283C06"/>
    <w:rsid w:val="00284683"/>
    <w:rsid w:val="00285CBC"/>
    <w:rsid w:val="002876C3"/>
    <w:rsid w:val="002910F2"/>
    <w:rsid w:val="00294C92"/>
    <w:rsid w:val="00295298"/>
    <w:rsid w:val="00296EAB"/>
    <w:rsid w:val="002979B5"/>
    <w:rsid w:val="002A06A0"/>
    <w:rsid w:val="002A0E70"/>
    <w:rsid w:val="002A2656"/>
    <w:rsid w:val="002A3128"/>
    <w:rsid w:val="002A3F8D"/>
    <w:rsid w:val="002A51BB"/>
    <w:rsid w:val="002A5F85"/>
    <w:rsid w:val="002B41BA"/>
    <w:rsid w:val="002B49D7"/>
    <w:rsid w:val="002B49F9"/>
    <w:rsid w:val="002B4C35"/>
    <w:rsid w:val="002B6095"/>
    <w:rsid w:val="002B6DD1"/>
    <w:rsid w:val="002C0E86"/>
    <w:rsid w:val="002C0F4F"/>
    <w:rsid w:val="002C1C67"/>
    <w:rsid w:val="002C2BC2"/>
    <w:rsid w:val="002C512B"/>
    <w:rsid w:val="002C57C0"/>
    <w:rsid w:val="002D26DB"/>
    <w:rsid w:val="002D3A73"/>
    <w:rsid w:val="002D526A"/>
    <w:rsid w:val="002E0274"/>
    <w:rsid w:val="002E1AF3"/>
    <w:rsid w:val="002E1D3B"/>
    <w:rsid w:val="002F1C34"/>
    <w:rsid w:val="002F2FC8"/>
    <w:rsid w:val="002F31A4"/>
    <w:rsid w:val="002F47DD"/>
    <w:rsid w:val="002F61F1"/>
    <w:rsid w:val="00304D0E"/>
    <w:rsid w:val="00306EB8"/>
    <w:rsid w:val="00306ECD"/>
    <w:rsid w:val="00307764"/>
    <w:rsid w:val="0031094F"/>
    <w:rsid w:val="00312354"/>
    <w:rsid w:val="003154A3"/>
    <w:rsid w:val="003161C0"/>
    <w:rsid w:val="003202B4"/>
    <w:rsid w:val="0032185F"/>
    <w:rsid w:val="00321872"/>
    <w:rsid w:val="0032274D"/>
    <w:rsid w:val="00324BA0"/>
    <w:rsid w:val="00326979"/>
    <w:rsid w:val="003304F8"/>
    <w:rsid w:val="003307AD"/>
    <w:rsid w:val="003319BB"/>
    <w:rsid w:val="00333673"/>
    <w:rsid w:val="0033456C"/>
    <w:rsid w:val="003355CE"/>
    <w:rsid w:val="00341707"/>
    <w:rsid w:val="00341971"/>
    <w:rsid w:val="00342769"/>
    <w:rsid w:val="00345DB3"/>
    <w:rsid w:val="00346322"/>
    <w:rsid w:val="00346FC8"/>
    <w:rsid w:val="00350399"/>
    <w:rsid w:val="003520E1"/>
    <w:rsid w:val="00352FB0"/>
    <w:rsid w:val="0035721A"/>
    <w:rsid w:val="003574E2"/>
    <w:rsid w:val="00357F6D"/>
    <w:rsid w:val="00361FAC"/>
    <w:rsid w:val="00365124"/>
    <w:rsid w:val="003652C2"/>
    <w:rsid w:val="00366263"/>
    <w:rsid w:val="00367D23"/>
    <w:rsid w:val="00371BBD"/>
    <w:rsid w:val="003729C5"/>
    <w:rsid w:val="0037354B"/>
    <w:rsid w:val="0037450F"/>
    <w:rsid w:val="00377666"/>
    <w:rsid w:val="003778DC"/>
    <w:rsid w:val="003809B8"/>
    <w:rsid w:val="00381A8F"/>
    <w:rsid w:val="00381FB2"/>
    <w:rsid w:val="003837D6"/>
    <w:rsid w:val="0038565F"/>
    <w:rsid w:val="003878B5"/>
    <w:rsid w:val="00387D3D"/>
    <w:rsid w:val="00387DFD"/>
    <w:rsid w:val="00391CC3"/>
    <w:rsid w:val="003929F0"/>
    <w:rsid w:val="0039364A"/>
    <w:rsid w:val="0039383B"/>
    <w:rsid w:val="00394150"/>
    <w:rsid w:val="00394BD9"/>
    <w:rsid w:val="00397656"/>
    <w:rsid w:val="003A1710"/>
    <w:rsid w:val="003A1B13"/>
    <w:rsid w:val="003A32CA"/>
    <w:rsid w:val="003A411D"/>
    <w:rsid w:val="003A52E1"/>
    <w:rsid w:val="003A7B7A"/>
    <w:rsid w:val="003B06B0"/>
    <w:rsid w:val="003B1329"/>
    <w:rsid w:val="003B3A30"/>
    <w:rsid w:val="003B47D5"/>
    <w:rsid w:val="003B6A1F"/>
    <w:rsid w:val="003B6B04"/>
    <w:rsid w:val="003C0467"/>
    <w:rsid w:val="003C6C7E"/>
    <w:rsid w:val="003D079B"/>
    <w:rsid w:val="003D1C25"/>
    <w:rsid w:val="003D2244"/>
    <w:rsid w:val="003D2B98"/>
    <w:rsid w:val="003D2C69"/>
    <w:rsid w:val="003D31F1"/>
    <w:rsid w:val="003D477C"/>
    <w:rsid w:val="003D495F"/>
    <w:rsid w:val="003D5CD5"/>
    <w:rsid w:val="003D6696"/>
    <w:rsid w:val="003E0576"/>
    <w:rsid w:val="003E15EB"/>
    <w:rsid w:val="003E21F3"/>
    <w:rsid w:val="003E2EA0"/>
    <w:rsid w:val="003E47B8"/>
    <w:rsid w:val="003E4A3D"/>
    <w:rsid w:val="003E57BA"/>
    <w:rsid w:val="003F248E"/>
    <w:rsid w:val="003F24C3"/>
    <w:rsid w:val="003F5584"/>
    <w:rsid w:val="0040075B"/>
    <w:rsid w:val="004033D8"/>
    <w:rsid w:val="00404778"/>
    <w:rsid w:val="00404FB7"/>
    <w:rsid w:val="004067F5"/>
    <w:rsid w:val="00410CAA"/>
    <w:rsid w:val="00413650"/>
    <w:rsid w:val="0041610A"/>
    <w:rsid w:val="00417D3F"/>
    <w:rsid w:val="0042089A"/>
    <w:rsid w:val="004209BC"/>
    <w:rsid w:val="004210EB"/>
    <w:rsid w:val="004220E0"/>
    <w:rsid w:val="00422BD8"/>
    <w:rsid w:val="0042352F"/>
    <w:rsid w:val="004255CA"/>
    <w:rsid w:val="00426F30"/>
    <w:rsid w:val="0042793F"/>
    <w:rsid w:val="004303C4"/>
    <w:rsid w:val="004311FC"/>
    <w:rsid w:val="00431859"/>
    <w:rsid w:val="00431984"/>
    <w:rsid w:val="004325F4"/>
    <w:rsid w:val="004354B6"/>
    <w:rsid w:val="004366E8"/>
    <w:rsid w:val="00437876"/>
    <w:rsid w:val="00437882"/>
    <w:rsid w:val="00437AA9"/>
    <w:rsid w:val="0044186F"/>
    <w:rsid w:val="004419A3"/>
    <w:rsid w:val="0044406E"/>
    <w:rsid w:val="0044423F"/>
    <w:rsid w:val="00444A89"/>
    <w:rsid w:val="00446178"/>
    <w:rsid w:val="00446521"/>
    <w:rsid w:val="00447E22"/>
    <w:rsid w:val="00451B37"/>
    <w:rsid w:val="00452BB3"/>
    <w:rsid w:val="00452F21"/>
    <w:rsid w:val="00455E08"/>
    <w:rsid w:val="00456F4D"/>
    <w:rsid w:val="004573BB"/>
    <w:rsid w:val="00457AD8"/>
    <w:rsid w:val="0046146E"/>
    <w:rsid w:val="00461D4E"/>
    <w:rsid w:val="0046279F"/>
    <w:rsid w:val="00463296"/>
    <w:rsid w:val="00466AE8"/>
    <w:rsid w:val="004674DE"/>
    <w:rsid w:val="0047039B"/>
    <w:rsid w:val="00470BFB"/>
    <w:rsid w:val="00471869"/>
    <w:rsid w:val="00474A36"/>
    <w:rsid w:val="0047635F"/>
    <w:rsid w:val="004767DA"/>
    <w:rsid w:val="004775E2"/>
    <w:rsid w:val="0048235A"/>
    <w:rsid w:val="0048267E"/>
    <w:rsid w:val="00482931"/>
    <w:rsid w:val="00484BB6"/>
    <w:rsid w:val="00485CD4"/>
    <w:rsid w:val="00486FE0"/>
    <w:rsid w:val="00487345"/>
    <w:rsid w:val="00487E0C"/>
    <w:rsid w:val="00490601"/>
    <w:rsid w:val="004918B5"/>
    <w:rsid w:val="00492CC3"/>
    <w:rsid w:val="004934A6"/>
    <w:rsid w:val="00495011"/>
    <w:rsid w:val="0049749B"/>
    <w:rsid w:val="004A23FE"/>
    <w:rsid w:val="004A276B"/>
    <w:rsid w:val="004A30E9"/>
    <w:rsid w:val="004A48CE"/>
    <w:rsid w:val="004A4B2F"/>
    <w:rsid w:val="004A4CA4"/>
    <w:rsid w:val="004A5A5E"/>
    <w:rsid w:val="004B08F7"/>
    <w:rsid w:val="004B1E52"/>
    <w:rsid w:val="004B250E"/>
    <w:rsid w:val="004B4B19"/>
    <w:rsid w:val="004B52E0"/>
    <w:rsid w:val="004B7305"/>
    <w:rsid w:val="004C0305"/>
    <w:rsid w:val="004C07FE"/>
    <w:rsid w:val="004C0B32"/>
    <w:rsid w:val="004C2170"/>
    <w:rsid w:val="004C219E"/>
    <w:rsid w:val="004C21E5"/>
    <w:rsid w:val="004C6D19"/>
    <w:rsid w:val="004C7B69"/>
    <w:rsid w:val="004C7D72"/>
    <w:rsid w:val="004D1516"/>
    <w:rsid w:val="004D201A"/>
    <w:rsid w:val="004D228E"/>
    <w:rsid w:val="004D2412"/>
    <w:rsid w:val="004D38CB"/>
    <w:rsid w:val="004D4DB4"/>
    <w:rsid w:val="004D6479"/>
    <w:rsid w:val="004D66FF"/>
    <w:rsid w:val="004D7503"/>
    <w:rsid w:val="004D792A"/>
    <w:rsid w:val="004E29A4"/>
    <w:rsid w:val="004E2BA9"/>
    <w:rsid w:val="004E2BC9"/>
    <w:rsid w:val="004E2D87"/>
    <w:rsid w:val="004E568F"/>
    <w:rsid w:val="004E62A6"/>
    <w:rsid w:val="004F11E2"/>
    <w:rsid w:val="004F12AF"/>
    <w:rsid w:val="004F2FD4"/>
    <w:rsid w:val="004F750F"/>
    <w:rsid w:val="005000FF"/>
    <w:rsid w:val="00500EB4"/>
    <w:rsid w:val="0050297C"/>
    <w:rsid w:val="00510AFB"/>
    <w:rsid w:val="00512CEF"/>
    <w:rsid w:val="00515F95"/>
    <w:rsid w:val="00517FA9"/>
    <w:rsid w:val="00521024"/>
    <w:rsid w:val="00521455"/>
    <w:rsid w:val="0052356C"/>
    <w:rsid w:val="00523AAE"/>
    <w:rsid w:val="005272A9"/>
    <w:rsid w:val="00527D24"/>
    <w:rsid w:val="00527ED3"/>
    <w:rsid w:val="00531557"/>
    <w:rsid w:val="00532530"/>
    <w:rsid w:val="00536A2A"/>
    <w:rsid w:val="0054172C"/>
    <w:rsid w:val="0054296F"/>
    <w:rsid w:val="00547F7F"/>
    <w:rsid w:val="00550357"/>
    <w:rsid w:val="00550750"/>
    <w:rsid w:val="00551829"/>
    <w:rsid w:val="005552A7"/>
    <w:rsid w:val="00555E6C"/>
    <w:rsid w:val="005601C0"/>
    <w:rsid w:val="005609B1"/>
    <w:rsid w:val="0056205B"/>
    <w:rsid w:val="00562C40"/>
    <w:rsid w:val="005633A8"/>
    <w:rsid w:val="005639D9"/>
    <w:rsid w:val="005659F9"/>
    <w:rsid w:val="00566E8D"/>
    <w:rsid w:val="00567721"/>
    <w:rsid w:val="00567EF0"/>
    <w:rsid w:val="005708E9"/>
    <w:rsid w:val="00571C09"/>
    <w:rsid w:val="00571DA2"/>
    <w:rsid w:val="00575AD4"/>
    <w:rsid w:val="005763D0"/>
    <w:rsid w:val="005816AC"/>
    <w:rsid w:val="005825DE"/>
    <w:rsid w:val="005837DD"/>
    <w:rsid w:val="00584415"/>
    <w:rsid w:val="00585227"/>
    <w:rsid w:val="00585311"/>
    <w:rsid w:val="00586A4D"/>
    <w:rsid w:val="00587132"/>
    <w:rsid w:val="005875B5"/>
    <w:rsid w:val="005876DD"/>
    <w:rsid w:val="0059221E"/>
    <w:rsid w:val="00593ACB"/>
    <w:rsid w:val="005A04CB"/>
    <w:rsid w:val="005A5C34"/>
    <w:rsid w:val="005A5E65"/>
    <w:rsid w:val="005A60F6"/>
    <w:rsid w:val="005A6A8D"/>
    <w:rsid w:val="005A741B"/>
    <w:rsid w:val="005A78FF"/>
    <w:rsid w:val="005B07FC"/>
    <w:rsid w:val="005B12D1"/>
    <w:rsid w:val="005B1E5E"/>
    <w:rsid w:val="005B373D"/>
    <w:rsid w:val="005B5E45"/>
    <w:rsid w:val="005B6A12"/>
    <w:rsid w:val="005B7CAD"/>
    <w:rsid w:val="005B7E64"/>
    <w:rsid w:val="005B7EAA"/>
    <w:rsid w:val="005C3299"/>
    <w:rsid w:val="005C3DC0"/>
    <w:rsid w:val="005C5360"/>
    <w:rsid w:val="005C5AB2"/>
    <w:rsid w:val="005C64C5"/>
    <w:rsid w:val="005C6F81"/>
    <w:rsid w:val="005C7004"/>
    <w:rsid w:val="005C7F2F"/>
    <w:rsid w:val="005D0761"/>
    <w:rsid w:val="005D07EB"/>
    <w:rsid w:val="005D0D39"/>
    <w:rsid w:val="005D3626"/>
    <w:rsid w:val="005D4343"/>
    <w:rsid w:val="005D4F2B"/>
    <w:rsid w:val="005D5DA0"/>
    <w:rsid w:val="005D66FE"/>
    <w:rsid w:val="005D7771"/>
    <w:rsid w:val="005E01E3"/>
    <w:rsid w:val="005E0474"/>
    <w:rsid w:val="005E0E3B"/>
    <w:rsid w:val="005E1DD1"/>
    <w:rsid w:val="005E2283"/>
    <w:rsid w:val="005E342A"/>
    <w:rsid w:val="005E49AC"/>
    <w:rsid w:val="005E4BF4"/>
    <w:rsid w:val="005E576F"/>
    <w:rsid w:val="005F4ADB"/>
    <w:rsid w:val="005F6389"/>
    <w:rsid w:val="0060071B"/>
    <w:rsid w:val="00600CA2"/>
    <w:rsid w:val="00601A21"/>
    <w:rsid w:val="00601F52"/>
    <w:rsid w:val="00602D93"/>
    <w:rsid w:val="00605C6D"/>
    <w:rsid w:val="00605FB3"/>
    <w:rsid w:val="00611AE7"/>
    <w:rsid w:val="00611C3D"/>
    <w:rsid w:val="00613CFA"/>
    <w:rsid w:val="00614F79"/>
    <w:rsid w:val="006221C1"/>
    <w:rsid w:val="00624DEB"/>
    <w:rsid w:val="00626D16"/>
    <w:rsid w:val="006311D0"/>
    <w:rsid w:val="00631291"/>
    <w:rsid w:val="006318ED"/>
    <w:rsid w:val="0063428F"/>
    <w:rsid w:val="006346A8"/>
    <w:rsid w:val="006376E7"/>
    <w:rsid w:val="00637BD1"/>
    <w:rsid w:val="00637EBB"/>
    <w:rsid w:val="00640B2F"/>
    <w:rsid w:val="00640D98"/>
    <w:rsid w:val="0064156A"/>
    <w:rsid w:val="006434DB"/>
    <w:rsid w:val="00643B67"/>
    <w:rsid w:val="006460C2"/>
    <w:rsid w:val="006468CC"/>
    <w:rsid w:val="006504B3"/>
    <w:rsid w:val="0065100B"/>
    <w:rsid w:val="00652019"/>
    <w:rsid w:val="00656FC9"/>
    <w:rsid w:val="00657B23"/>
    <w:rsid w:val="00657FE8"/>
    <w:rsid w:val="00660813"/>
    <w:rsid w:val="00661047"/>
    <w:rsid w:val="0066204D"/>
    <w:rsid w:val="0066468B"/>
    <w:rsid w:val="00664A9B"/>
    <w:rsid w:val="0066671B"/>
    <w:rsid w:val="00666E55"/>
    <w:rsid w:val="00667B9A"/>
    <w:rsid w:val="00670C72"/>
    <w:rsid w:val="006748C9"/>
    <w:rsid w:val="00676EBB"/>
    <w:rsid w:val="006820DF"/>
    <w:rsid w:val="0068236F"/>
    <w:rsid w:val="0068356C"/>
    <w:rsid w:val="00684FD5"/>
    <w:rsid w:val="00685559"/>
    <w:rsid w:val="0068556F"/>
    <w:rsid w:val="00686389"/>
    <w:rsid w:val="00686642"/>
    <w:rsid w:val="00687C50"/>
    <w:rsid w:val="00690087"/>
    <w:rsid w:val="006904DE"/>
    <w:rsid w:val="00690EC6"/>
    <w:rsid w:val="00693D04"/>
    <w:rsid w:val="00693E97"/>
    <w:rsid w:val="00695496"/>
    <w:rsid w:val="00695E0E"/>
    <w:rsid w:val="0069658E"/>
    <w:rsid w:val="00697E24"/>
    <w:rsid w:val="006A002F"/>
    <w:rsid w:val="006A1E5A"/>
    <w:rsid w:val="006A2CF3"/>
    <w:rsid w:val="006A3B36"/>
    <w:rsid w:val="006A723C"/>
    <w:rsid w:val="006A7AA0"/>
    <w:rsid w:val="006B1C13"/>
    <w:rsid w:val="006B1E36"/>
    <w:rsid w:val="006B26DC"/>
    <w:rsid w:val="006B32C4"/>
    <w:rsid w:val="006B44B7"/>
    <w:rsid w:val="006B68D6"/>
    <w:rsid w:val="006B7740"/>
    <w:rsid w:val="006C0D8A"/>
    <w:rsid w:val="006C1C87"/>
    <w:rsid w:val="006C1E94"/>
    <w:rsid w:val="006C2F8B"/>
    <w:rsid w:val="006C3A08"/>
    <w:rsid w:val="006C4875"/>
    <w:rsid w:val="006C5103"/>
    <w:rsid w:val="006C5BAA"/>
    <w:rsid w:val="006C76A7"/>
    <w:rsid w:val="006C7724"/>
    <w:rsid w:val="006D430F"/>
    <w:rsid w:val="006D51B1"/>
    <w:rsid w:val="006D7381"/>
    <w:rsid w:val="006E04B2"/>
    <w:rsid w:val="006E2709"/>
    <w:rsid w:val="006E4717"/>
    <w:rsid w:val="006E4D4E"/>
    <w:rsid w:val="006E4E5F"/>
    <w:rsid w:val="006E5276"/>
    <w:rsid w:val="006E5DB6"/>
    <w:rsid w:val="006F1975"/>
    <w:rsid w:val="006F1F05"/>
    <w:rsid w:val="006F5EB6"/>
    <w:rsid w:val="006F6456"/>
    <w:rsid w:val="006F766A"/>
    <w:rsid w:val="006F7C48"/>
    <w:rsid w:val="00700683"/>
    <w:rsid w:val="00701682"/>
    <w:rsid w:val="00702442"/>
    <w:rsid w:val="007049B8"/>
    <w:rsid w:val="00705270"/>
    <w:rsid w:val="0070636E"/>
    <w:rsid w:val="0070646A"/>
    <w:rsid w:val="007076DB"/>
    <w:rsid w:val="007107C8"/>
    <w:rsid w:val="00710D3D"/>
    <w:rsid w:val="007135F9"/>
    <w:rsid w:val="0071401F"/>
    <w:rsid w:val="00714F80"/>
    <w:rsid w:val="007155C8"/>
    <w:rsid w:val="00715C0B"/>
    <w:rsid w:val="00716A58"/>
    <w:rsid w:val="007204F5"/>
    <w:rsid w:val="00722A33"/>
    <w:rsid w:val="00723903"/>
    <w:rsid w:val="0072472B"/>
    <w:rsid w:val="00725111"/>
    <w:rsid w:val="00725DF6"/>
    <w:rsid w:val="0072792D"/>
    <w:rsid w:val="00727F8C"/>
    <w:rsid w:val="007318EB"/>
    <w:rsid w:val="007339C3"/>
    <w:rsid w:val="00733F1C"/>
    <w:rsid w:val="00734D63"/>
    <w:rsid w:val="007369ED"/>
    <w:rsid w:val="00740251"/>
    <w:rsid w:val="00740323"/>
    <w:rsid w:val="007409D9"/>
    <w:rsid w:val="007420C4"/>
    <w:rsid w:val="007440BB"/>
    <w:rsid w:val="007445B0"/>
    <w:rsid w:val="00745383"/>
    <w:rsid w:val="00747613"/>
    <w:rsid w:val="007501AC"/>
    <w:rsid w:val="00750458"/>
    <w:rsid w:val="00751896"/>
    <w:rsid w:val="0075459F"/>
    <w:rsid w:val="0075485B"/>
    <w:rsid w:val="00762ACD"/>
    <w:rsid w:val="00763F05"/>
    <w:rsid w:val="00765B10"/>
    <w:rsid w:val="00766854"/>
    <w:rsid w:val="0077232F"/>
    <w:rsid w:val="00772561"/>
    <w:rsid w:val="00772705"/>
    <w:rsid w:val="0077548C"/>
    <w:rsid w:val="007762D8"/>
    <w:rsid w:val="00776B3C"/>
    <w:rsid w:val="00776E6D"/>
    <w:rsid w:val="00781831"/>
    <w:rsid w:val="00782543"/>
    <w:rsid w:val="007831E4"/>
    <w:rsid w:val="007833CA"/>
    <w:rsid w:val="00786146"/>
    <w:rsid w:val="00787E54"/>
    <w:rsid w:val="00791D4F"/>
    <w:rsid w:val="00793BD8"/>
    <w:rsid w:val="007965D1"/>
    <w:rsid w:val="00797951"/>
    <w:rsid w:val="007A03F5"/>
    <w:rsid w:val="007A05B2"/>
    <w:rsid w:val="007A067B"/>
    <w:rsid w:val="007A1BDA"/>
    <w:rsid w:val="007A2BAB"/>
    <w:rsid w:val="007A417A"/>
    <w:rsid w:val="007A6539"/>
    <w:rsid w:val="007B06D4"/>
    <w:rsid w:val="007B343B"/>
    <w:rsid w:val="007B3493"/>
    <w:rsid w:val="007B4FCB"/>
    <w:rsid w:val="007B5731"/>
    <w:rsid w:val="007B5F9D"/>
    <w:rsid w:val="007B63F9"/>
    <w:rsid w:val="007C0E82"/>
    <w:rsid w:val="007C14B2"/>
    <w:rsid w:val="007C1A81"/>
    <w:rsid w:val="007C528E"/>
    <w:rsid w:val="007C563E"/>
    <w:rsid w:val="007C67D0"/>
    <w:rsid w:val="007D1240"/>
    <w:rsid w:val="007D2F8E"/>
    <w:rsid w:val="007D5D26"/>
    <w:rsid w:val="007D6785"/>
    <w:rsid w:val="007D783E"/>
    <w:rsid w:val="007E1065"/>
    <w:rsid w:val="007E170E"/>
    <w:rsid w:val="007E35D0"/>
    <w:rsid w:val="007E3861"/>
    <w:rsid w:val="007E4332"/>
    <w:rsid w:val="007E5369"/>
    <w:rsid w:val="007E560B"/>
    <w:rsid w:val="007E5D68"/>
    <w:rsid w:val="007E72E0"/>
    <w:rsid w:val="007E7C2C"/>
    <w:rsid w:val="007F0298"/>
    <w:rsid w:val="007F140D"/>
    <w:rsid w:val="007F2DF6"/>
    <w:rsid w:val="007F2EC2"/>
    <w:rsid w:val="007F3D4B"/>
    <w:rsid w:val="007F3F72"/>
    <w:rsid w:val="007F47E2"/>
    <w:rsid w:val="007F71F8"/>
    <w:rsid w:val="0080048E"/>
    <w:rsid w:val="00800700"/>
    <w:rsid w:val="00802194"/>
    <w:rsid w:val="00802AAE"/>
    <w:rsid w:val="0080367E"/>
    <w:rsid w:val="00804932"/>
    <w:rsid w:val="00805637"/>
    <w:rsid w:val="008113E1"/>
    <w:rsid w:val="00812EAB"/>
    <w:rsid w:val="00814600"/>
    <w:rsid w:val="00816E63"/>
    <w:rsid w:val="00821154"/>
    <w:rsid w:val="00822200"/>
    <w:rsid w:val="00824DE1"/>
    <w:rsid w:val="0082619D"/>
    <w:rsid w:val="00827654"/>
    <w:rsid w:val="00827A68"/>
    <w:rsid w:val="008330B4"/>
    <w:rsid w:val="0083463E"/>
    <w:rsid w:val="0083531B"/>
    <w:rsid w:val="008363B4"/>
    <w:rsid w:val="00836985"/>
    <w:rsid w:val="00836D99"/>
    <w:rsid w:val="00836F39"/>
    <w:rsid w:val="00837349"/>
    <w:rsid w:val="0084029B"/>
    <w:rsid w:val="00841578"/>
    <w:rsid w:val="008420BB"/>
    <w:rsid w:val="00842122"/>
    <w:rsid w:val="008424A2"/>
    <w:rsid w:val="00844D99"/>
    <w:rsid w:val="008452E8"/>
    <w:rsid w:val="008456BB"/>
    <w:rsid w:val="00851968"/>
    <w:rsid w:val="00853A66"/>
    <w:rsid w:val="008541FF"/>
    <w:rsid w:val="00854A53"/>
    <w:rsid w:val="00854F13"/>
    <w:rsid w:val="00855D6D"/>
    <w:rsid w:val="00860A5C"/>
    <w:rsid w:val="008629EE"/>
    <w:rsid w:val="008637BD"/>
    <w:rsid w:val="00864B51"/>
    <w:rsid w:val="00865836"/>
    <w:rsid w:val="008660B7"/>
    <w:rsid w:val="00871D48"/>
    <w:rsid w:val="00872A44"/>
    <w:rsid w:val="008732EE"/>
    <w:rsid w:val="00873BBD"/>
    <w:rsid w:val="00873C79"/>
    <w:rsid w:val="008744A1"/>
    <w:rsid w:val="00874B62"/>
    <w:rsid w:val="008771EF"/>
    <w:rsid w:val="008779CC"/>
    <w:rsid w:val="00880664"/>
    <w:rsid w:val="00883DCD"/>
    <w:rsid w:val="00884B62"/>
    <w:rsid w:val="008863CB"/>
    <w:rsid w:val="008864B1"/>
    <w:rsid w:val="008877EC"/>
    <w:rsid w:val="00890D26"/>
    <w:rsid w:val="00891A04"/>
    <w:rsid w:val="0089296C"/>
    <w:rsid w:val="00892E7C"/>
    <w:rsid w:val="008942A1"/>
    <w:rsid w:val="00895323"/>
    <w:rsid w:val="008A0C6D"/>
    <w:rsid w:val="008A122E"/>
    <w:rsid w:val="008A1774"/>
    <w:rsid w:val="008A1F9D"/>
    <w:rsid w:val="008A48BC"/>
    <w:rsid w:val="008A53E4"/>
    <w:rsid w:val="008A5695"/>
    <w:rsid w:val="008A5999"/>
    <w:rsid w:val="008A616E"/>
    <w:rsid w:val="008B0B4C"/>
    <w:rsid w:val="008B1C6E"/>
    <w:rsid w:val="008B2112"/>
    <w:rsid w:val="008B29B9"/>
    <w:rsid w:val="008B2AF8"/>
    <w:rsid w:val="008B3A63"/>
    <w:rsid w:val="008B586B"/>
    <w:rsid w:val="008C030D"/>
    <w:rsid w:val="008C252A"/>
    <w:rsid w:val="008C255E"/>
    <w:rsid w:val="008C2594"/>
    <w:rsid w:val="008C28C2"/>
    <w:rsid w:val="008C2A52"/>
    <w:rsid w:val="008C2C6F"/>
    <w:rsid w:val="008C313D"/>
    <w:rsid w:val="008C42C2"/>
    <w:rsid w:val="008D063B"/>
    <w:rsid w:val="008D2459"/>
    <w:rsid w:val="008D313F"/>
    <w:rsid w:val="008D3B53"/>
    <w:rsid w:val="008D5EB1"/>
    <w:rsid w:val="008D7739"/>
    <w:rsid w:val="008D7F80"/>
    <w:rsid w:val="008E1ADA"/>
    <w:rsid w:val="008E1E6B"/>
    <w:rsid w:val="008E1F13"/>
    <w:rsid w:val="008E2869"/>
    <w:rsid w:val="008E2EE5"/>
    <w:rsid w:val="008E643B"/>
    <w:rsid w:val="008E6EDD"/>
    <w:rsid w:val="008E7AE7"/>
    <w:rsid w:val="008E7D05"/>
    <w:rsid w:val="008E7F51"/>
    <w:rsid w:val="008F0CE7"/>
    <w:rsid w:val="008F513E"/>
    <w:rsid w:val="008F57A7"/>
    <w:rsid w:val="008F7C75"/>
    <w:rsid w:val="008F7C7F"/>
    <w:rsid w:val="0090010A"/>
    <w:rsid w:val="009003C0"/>
    <w:rsid w:val="00900740"/>
    <w:rsid w:val="00901BBF"/>
    <w:rsid w:val="0090221D"/>
    <w:rsid w:val="00904B5D"/>
    <w:rsid w:val="00904D62"/>
    <w:rsid w:val="00905321"/>
    <w:rsid w:val="00905A44"/>
    <w:rsid w:val="00910653"/>
    <w:rsid w:val="0091091D"/>
    <w:rsid w:val="00910B59"/>
    <w:rsid w:val="00914C3F"/>
    <w:rsid w:val="00915242"/>
    <w:rsid w:val="00915B15"/>
    <w:rsid w:val="00915F9F"/>
    <w:rsid w:val="0091715A"/>
    <w:rsid w:val="00917482"/>
    <w:rsid w:val="00917532"/>
    <w:rsid w:val="009178C3"/>
    <w:rsid w:val="00920802"/>
    <w:rsid w:val="00920BE8"/>
    <w:rsid w:val="00922C48"/>
    <w:rsid w:val="0092377C"/>
    <w:rsid w:val="00924B90"/>
    <w:rsid w:val="00924BA8"/>
    <w:rsid w:val="00925928"/>
    <w:rsid w:val="00925D72"/>
    <w:rsid w:val="0092646D"/>
    <w:rsid w:val="00927FB2"/>
    <w:rsid w:val="009311A6"/>
    <w:rsid w:val="00932618"/>
    <w:rsid w:val="00934BFC"/>
    <w:rsid w:val="00936FD9"/>
    <w:rsid w:val="009410BD"/>
    <w:rsid w:val="00942EA5"/>
    <w:rsid w:val="00946436"/>
    <w:rsid w:val="009507F4"/>
    <w:rsid w:val="00950D3A"/>
    <w:rsid w:val="00952825"/>
    <w:rsid w:val="00954ABD"/>
    <w:rsid w:val="00955355"/>
    <w:rsid w:val="009556EF"/>
    <w:rsid w:val="00956B2A"/>
    <w:rsid w:val="00956E9A"/>
    <w:rsid w:val="009571AB"/>
    <w:rsid w:val="00961B07"/>
    <w:rsid w:val="0096683A"/>
    <w:rsid w:val="00967880"/>
    <w:rsid w:val="009704D4"/>
    <w:rsid w:val="00970BB0"/>
    <w:rsid w:val="00972C91"/>
    <w:rsid w:val="00974865"/>
    <w:rsid w:val="00975E1D"/>
    <w:rsid w:val="00976888"/>
    <w:rsid w:val="00983D04"/>
    <w:rsid w:val="00983E98"/>
    <w:rsid w:val="0098432F"/>
    <w:rsid w:val="009845D1"/>
    <w:rsid w:val="00985700"/>
    <w:rsid w:val="00985C46"/>
    <w:rsid w:val="009860C7"/>
    <w:rsid w:val="00986F0A"/>
    <w:rsid w:val="009876F3"/>
    <w:rsid w:val="009916EC"/>
    <w:rsid w:val="009919A8"/>
    <w:rsid w:val="009919BB"/>
    <w:rsid w:val="00993C6D"/>
    <w:rsid w:val="00996092"/>
    <w:rsid w:val="00996153"/>
    <w:rsid w:val="00996E97"/>
    <w:rsid w:val="009A0747"/>
    <w:rsid w:val="009B05BA"/>
    <w:rsid w:val="009B3120"/>
    <w:rsid w:val="009B3EEF"/>
    <w:rsid w:val="009B4A64"/>
    <w:rsid w:val="009B66D9"/>
    <w:rsid w:val="009B6AAB"/>
    <w:rsid w:val="009B7638"/>
    <w:rsid w:val="009C4403"/>
    <w:rsid w:val="009C4942"/>
    <w:rsid w:val="009C4AF7"/>
    <w:rsid w:val="009C4DA8"/>
    <w:rsid w:val="009D0B0F"/>
    <w:rsid w:val="009D0E85"/>
    <w:rsid w:val="009D1218"/>
    <w:rsid w:val="009D13CD"/>
    <w:rsid w:val="009D22E8"/>
    <w:rsid w:val="009D255C"/>
    <w:rsid w:val="009D528E"/>
    <w:rsid w:val="009D6A19"/>
    <w:rsid w:val="009D6BF7"/>
    <w:rsid w:val="009D6F58"/>
    <w:rsid w:val="009D7BF3"/>
    <w:rsid w:val="009E02F0"/>
    <w:rsid w:val="009E0FA0"/>
    <w:rsid w:val="009E125E"/>
    <w:rsid w:val="009E188D"/>
    <w:rsid w:val="009E2163"/>
    <w:rsid w:val="009E5E36"/>
    <w:rsid w:val="009E6040"/>
    <w:rsid w:val="009E6042"/>
    <w:rsid w:val="009E73EE"/>
    <w:rsid w:val="009F18D8"/>
    <w:rsid w:val="009F1FC5"/>
    <w:rsid w:val="009F2808"/>
    <w:rsid w:val="009F2F5D"/>
    <w:rsid w:val="009F321A"/>
    <w:rsid w:val="009F5140"/>
    <w:rsid w:val="009F7FF9"/>
    <w:rsid w:val="00A00D41"/>
    <w:rsid w:val="00A0134D"/>
    <w:rsid w:val="00A027CA"/>
    <w:rsid w:val="00A1128B"/>
    <w:rsid w:val="00A12C18"/>
    <w:rsid w:val="00A13C64"/>
    <w:rsid w:val="00A16C39"/>
    <w:rsid w:val="00A17F4D"/>
    <w:rsid w:val="00A214F5"/>
    <w:rsid w:val="00A22D7D"/>
    <w:rsid w:val="00A235F9"/>
    <w:rsid w:val="00A2543D"/>
    <w:rsid w:val="00A254AC"/>
    <w:rsid w:val="00A27394"/>
    <w:rsid w:val="00A27B5D"/>
    <w:rsid w:val="00A27F8D"/>
    <w:rsid w:val="00A30FE5"/>
    <w:rsid w:val="00A316B9"/>
    <w:rsid w:val="00A31CE0"/>
    <w:rsid w:val="00A33469"/>
    <w:rsid w:val="00A334EB"/>
    <w:rsid w:val="00A33F21"/>
    <w:rsid w:val="00A35407"/>
    <w:rsid w:val="00A37144"/>
    <w:rsid w:val="00A4197E"/>
    <w:rsid w:val="00A43239"/>
    <w:rsid w:val="00A43FDF"/>
    <w:rsid w:val="00A44036"/>
    <w:rsid w:val="00A44E3D"/>
    <w:rsid w:val="00A50CAF"/>
    <w:rsid w:val="00A51158"/>
    <w:rsid w:val="00A51540"/>
    <w:rsid w:val="00A51B9E"/>
    <w:rsid w:val="00A51DB7"/>
    <w:rsid w:val="00A526E8"/>
    <w:rsid w:val="00A535E0"/>
    <w:rsid w:val="00A53FA2"/>
    <w:rsid w:val="00A6091F"/>
    <w:rsid w:val="00A61340"/>
    <w:rsid w:val="00A61A5E"/>
    <w:rsid w:val="00A61F65"/>
    <w:rsid w:val="00A62069"/>
    <w:rsid w:val="00A64F11"/>
    <w:rsid w:val="00A64FE9"/>
    <w:rsid w:val="00A6541E"/>
    <w:rsid w:val="00A66A12"/>
    <w:rsid w:val="00A67174"/>
    <w:rsid w:val="00A67212"/>
    <w:rsid w:val="00A716BC"/>
    <w:rsid w:val="00A738B7"/>
    <w:rsid w:val="00A73D2D"/>
    <w:rsid w:val="00A8479D"/>
    <w:rsid w:val="00A85BB1"/>
    <w:rsid w:val="00A85FA6"/>
    <w:rsid w:val="00A871BA"/>
    <w:rsid w:val="00A90347"/>
    <w:rsid w:val="00A91743"/>
    <w:rsid w:val="00A92087"/>
    <w:rsid w:val="00A921CE"/>
    <w:rsid w:val="00AA0EC2"/>
    <w:rsid w:val="00AA1262"/>
    <w:rsid w:val="00AA1938"/>
    <w:rsid w:val="00AA2D4F"/>
    <w:rsid w:val="00AA3445"/>
    <w:rsid w:val="00AA377D"/>
    <w:rsid w:val="00AA4B2A"/>
    <w:rsid w:val="00AA5E57"/>
    <w:rsid w:val="00AB0E03"/>
    <w:rsid w:val="00AB108D"/>
    <w:rsid w:val="00AB3A9E"/>
    <w:rsid w:val="00AB3C7D"/>
    <w:rsid w:val="00AB59C5"/>
    <w:rsid w:val="00AB5F03"/>
    <w:rsid w:val="00AC01C4"/>
    <w:rsid w:val="00AC1D5C"/>
    <w:rsid w:val="00AC22EF"/>
    <w:rsid w:val="00AC2A67"/>
    <w:rsid w:val="00AC64D0"/>
    <w:rsid w:val="00AD01FD"/>
    <w:rsid w:val="00AD0800"/>
    <w:rsid w:val="00AD3999"/>
    <w:rsid w:val="00AD3AFD"/>
    <w:rsid w:val="00AD4AA6"/>
    <w:rsid w:val="00AD60D8"/>
    <w:rsid w:val="00AE1ED2"/>
    <w:rsid w:val="00AE2C6B"/>
    <w:rsid w:val="00AE2F40"/>
    <w:rsid w:val="00AE3C0C"/>
    <w:rsid w:val="00AE5CA1"/>
    <w:rsid w:val="00AE5E7B"/>
    <w:rsid w:val="00AF1A04"/>
    <w:rsid w:val="00AF32BC"/>
    <w:rsid w:val="00AF3BF7"/>
    <w:rsid w:val="00AF6326"/>
    <w:rsid w:val="00AF6D00"/>
    <w:rsid w:val="00B00DFD"/>
    <w:rsid w:val="00B01AD3"/>
    <w:rsid w:val="00B024F0"/>
    <w:rsid w:val="00B035AB"/>
    <w:rsid w:val="00B047E4"/>
    <w:rsid w:val="00B07736"/>
    <w:rsid w:val="00B108FC"/>
    <w:rsid w:val="00B11A24"/>
    <w:rsid w:val="00B11A3F"/>
    <w:rsid w:val="00B12857"/>
    <w:rsid w:val="00B13276"/>
    <w:rsid w:val="00B134A5"/>
    <w:rsid w:val="00B14DD9"/>
    <w:rsid w:val="00B1553C"/>
    <w:rsid w:val="00B1583B"/>
    <w:rsid w:val="00B16FCC"/>
    <w:rsid w:val="00B17965"/>
    <w:rsid w:val="00B200BF"/>
    <w:rsid w:val="00B20CE0"/>
    <w:rsid w:val="00B213A7"/>
    <w:rsid w:val="00B22A1E"/>
    <w:rsid w:val="00B22C79"/>
    <w:rsid w:val="00B25509"/>
    <w:rsid w:val="00B2616C"/>
    <w:rsid w:val="00B27751"/>
    <w:rsid w:val="00B30871"/>
    <w:rsid w:val="00B31D20"/>
    <w:rsid w:val="00B3244C"/>
    <w:rsid w:val="00B32904"/>
    <w:rsid w:val="00B32F12"/>
    <w:rsid w:val="00B341D4"/>
    <w:rsid w:val="00B37040"/>
    <w:rsid w:val="00B3798C"/>
    <w:rsid w:val="00B37D44"/>
    <w:rsid w:val="00B43F9D"/>
    <w:rsid w:val="00B50654"/>
    <w:rsid w:val="00B52B61"/>
    <w:rsid w:val="00B53702"/>
    <w:rsid w:val="00B574AC"/>
    <w:rsid w:val="00B63C9D"/>
    <w:rsid w:val="00B64D8F"/>
    <w:rsid w:val="00B66518"/>
    <w:rsid w:val="00B66EC7"/>
    <w:rsid w:val="00B678C8"/>
    <w:rsid w:val="00B71A19"/>
    <w:rsid w:val="00B71AA0"/>
    <w:rsid w:val="00B726CA"/>
    <w:rsid w:val="00B744F2"/>
    <w:rsid w:val="00B74FAC"/>
    <w:rsid w:val="00B82512"/>
    <w:rsid w:val="00B83757"/>
    <w:rsid w:val="00B84151"/>
    <w:rsid w:val="00B84795"/>
    <w:rsid w:val="00B8602E"/>
    <w:rsid w:val="00B863AA"/>
    <w:rsid w:val="00B90FFF"/>
    <w:rsid w:val="00B936EB"/>
    <w:rsid w:val="00B94D1C"/>
    <w:rsid w:val="00B94E39"/>
    <w:rsid w:val="00B952BA"/>
    <w:rsid w:val="00BA016F"/>
    <w:rsid w:val="00BA0E4F"/>
    <w:rsid w:val="00BA1402"/>
    <w:rsid w:val="00BA534A"/>
    <w:rsid w:val="00BA53BA"/>
    <w:rsid w:val="00BA5DB8"/>
    <w:rsid w:val="00BB0028"/>
    <w:rsid w:val="00BB1728"/>
    <w:rsid w:val="00BB4EC5"/>
    <w:rsid w:val="00BB600B"/>
    <w:rsid w:val="00BC02BE"/>
    <w:rsid w:val="00BC2C16"/>
    <w:rsid w:val="00BC5F70"/>
    <w:rsid w:val="00BD0672"/>
    <w:rsid w:val="00BD1C2A"/>
    <w:rsid w:val="00BD247C"/>
    <w:rsid w:val="00BD2973"/>
    <w:rsid w:val="00BD30BF"/>
    <w:rsid w:val="00BD42AD"/>
    <w:rsid w:val="00BD476A"/>
    <w:rsid w:val="00BD5D92"/>
    <w:rsid w:val="00BD65BF"/>
    <w:rsid w:val="00BD6D83"/>
    <w:rsid w:val="00BD7C24"/>
    <w:rsid w:val="00BE1A88"/>
    <w:rsid w:val="00BE2298"/>
    <w:rsid w:val="00BE2870"/>
    <w:rsid w:val="00BE3813"/>
    <w:rsid w:val="00BE5068"/>
    <w:rsid w:val="00BE5B88"/>
    <w:rsid w:val="00BE66DD"/>
    <w:rsid w:val="00BE7407"/>
    <w:rsid w:val="00BE77C5"/>
    <w:rsid w:val="00BF0160"/>
    <w:rsid w:val="00BF1DDC"/>
    <w:rsid w:val="00BF2838"/>
    <w:rsid w:val="00BF311B"/>
    <w:rsid w:val="00BF3325"/>
    <w:rsid w:val="00BF6AC2"/>
    <w:rsid w:val="00BF79A7"/>
    <w:rsid w:val="00C00C92"/>
    <w:rsid w:val="00C010B1"/>
    <w:rsid w:val="00C010B9"/>
    <w:rsid w:val="00C043AF"/>
    <w:rsid w:val="00C048D7"/>
    <w:rsid w:val="00C0595B"/>
    <w:rsid w:val="00C11208"/>
    <w:rsid w:val="00C124E7"/>
    <w:rsid w:val="00C14B8B"/>
    <w:rsid w:val="00C169A2"/>
    <w:rsid w:val="00C17296"/>
    <w:rsid w:val="00C209A5"/>
    <w:rsid w:val="00C219C5"/>
    <w:rsid w:val="00C221E6"/>
    <w:rsid w:val="00C23833"/>
    <w:rsid w:val="00C2496A"/>
    <w:rsid w:val="00C2673D"/>
    <w:rsid w:val="00C2708D"/>
    <w:rsid w:val="00C2738A"/>
    <w:rsid w:val="00C31C91"/>
    <w:rsid w:val="00C32C64"/>
    <w:rsid w:val="00C37F85"/>
    <w:rsid w:val="00C404B6"/>
    <w:rsid w:val="00C40557"/>
    <w:rsid w:val="00C41609"/>
    <w:rsid w:val="00C4167C"/>
    <w:rsid w:val="00C418AC"/>
    <w:rsid w:val="00C42DF8"/>
    <w:rsid w:val="00C4454B"/>
    <w:rsid w:val="00C450A2"/>
    <w:rsid w:val="00C45D5A"/>
    <w:rsid w:val="00C50026"/>
    <w:rsid w:val="00C52F73"/>
    <w:rsid w:val="00C56099"/>
    <w:rsid w:val="00C57509"/>
    <w:rsid w:val="00C57EBA"/>
    <w:rsid w:val="00C6006C"/>
    <w:rsid w:val="00C60082"/>
    <w:rsid w:val="00C617A0"/>
    <w:rsid w:val="00C618E9"/>
    <w:rsid w:val="00C64932"/>
    <w:rsid w:val="00C67A28"/>
    <w:rsid w:val="00C67DDA"/>
    <w:rsid w:val="00C71417"/>
    <w:rsid w:val="00C72567"/>
    <w:rsid w:val="00C74F47"/>
    <w:rsid w:val="00C806FA"/>
    <w:rsid w:val="00C80D72"/>
    <w:rsid w:val="00C813CC"/>
    <w:rsid w:val="00C81824"/>
    <w:rsid w:val="00C821E0"/>
    <w:rsid w:val="00C823C0"/>
    <w:rsid w:val="00C83CDB"/>
    <w:rsid w:val="00C83DEF"/>
    <w:rsid w:val="00C86E5A"/>
    <w:rsid w:val="00C87D55"/>
    <w:rsid w:val="00C90063"/>
    <w:rsid w:val="00C95019"/>
    <w:rsid w:val="00C95FC5"/>
    <w:rsid w:val="00C9607E"/>
    <w:rsid w:val="00CA0216"/>
    <w:rsid w:val="00CA1BE1"/>
    <w:rsid w:val="00CA2EF4"/>
    <w:rsid w:val="00CA3DFE"/>
    <w:rsid w:val="00CA54C4"/>
    <w:rsid w:val="00CA54FF"/>
    <w:rsid w:val="00CB0504"/>
    <w:rsid w:val="00CB07A5"/>
    <w:rsid w:val="00CB1931"/>
    <w:rsid w:val="00CB2764"/>
    <w:rsid w:val="00CB27D9"/>
    <w:rsid w:val="00CB4709"/>
    <w:rsid w:val="00CB4CE1"/>
    <w:rsid w:val="00CC0AB4"/>
    <w:rsid w:val="00CC0C9E"/>
    <w:rsid w:val="00CC1557"/>
    <w:rsid w:val="00CC1672"/>
    <w:rsid w:val="00CC1FB8"/>
    <w:rsid w:val="00CC4797"/>
    <w:rsid w:val="00CC52FF"/>
    <w:rsid w:val="00CC6ADC"/>
    <w:rsid w:val="00CC6EFF"/>
    <w:rsid w:val="00CC7026"/>
    <w:rsid w:val="00CD0690"/>
    <w:rsid w:val="00CD1D9A"/>
    <w:rsid w:val="00CD3831"/>
    <w:rsid w:val="00CD3A01"/>
    <w:rsid w:val="00CD3D3A"/>
    <w:rsid w:val="00CD765F"/>
    <w:rsid w:val="00CE1CF2"/>
    <w:rsid w:val="00CE52E3"/>
    <w:rsid w:val="00CE7289"/>
    <w:rsid w:val="00CE7C41"/>
    <w:rsid w:val="00CF0B3D"/>
    <w:rsid w:val="00CF2979"/>
    <w:rsid w:val="00CF444E"/>
    <w:rsid w:val="00CF4BA2"/>
    <w:rsid w:val="00CF4E92"/>
    <w:rsid w:val="00CF628A"/>
    <w:rsid w:val="00D00D72"/>
    <w:rsid w:val="00D00E0D"/>
    <w:rsid w:val="00D01651"/>
    <w:rsid w:val="00D03280"/>
    <w:rsid w:val="00D049C9"/>
    <w:rsid w:val="00D04CD7"/>
    <w:rsid w:val="00D04D7A"/>
    <w:rsid w:val="00D07A94"/>
    <w:rsid w:val="00D10468"/>
    <w:rsid w:val="00D12D04"/>
    <w:rsid w:val="00D12D1E"/>
    <w:rsid w:val="00D12F46"/>
    <w:rsid w:val="00D21975"/>
    <w:rsid w:val="00D222E0"/>
    <w:rsid w:val="00D2299A"/>
    <w:rsid w:val="00D26FCE"/>
    <w:rsid w:val="00D27EAE"/>
    <w:rsid w:val="00D3005A"/>
    <w:rsid w:val="00D324BA"/>
    <w:rsid w:val="00D33167"/>
    <w:rsid w:val="00D33533"/>
    <w:rsid w:val="00D34059"/>
    <w:rsid w:val="00D37223"/>
    <w:rsid w:val="00D4375E"/>
    <w:rsid w:val="00D44936"/>
    <w:rsid w:val="00D4558E"/>
    <w:rsid w:val="00D45C5D"/>
    <w:rsid w:val="00D463AC"/>
    <w:rsid w:val="00D46E39"/>
    <w:rsid w:val="00D51611"/>
    <w:rsid w:val="00D52754"/>
    <w:rsid w:val="00D54058"/>
    <w:rsid w:val="00D56642"/>
    <w:rsid w:val="00D56BAB"/>
    <w:rsid w:val="00D62651"/>
    <w:rsid w:val="00D62BDC"/>
    <w:rsid w:val="00D6441F"/>
    <w:rsid w:val="00D64CBE"/>
    <w:rsid w:val="00D66E2C"/>
    <w:rsid w:val="00D66E47"/>
    <w:rsid w:val="00D67452"/>
    <w:rsid w:val="00D71D8B"/>
    <w:rsid w:val="00D73905"/>
    <w:rsid w:val="00D74686"/>
    <w:rsid w:val="00D75AC2"/>
    <w:rsid w:val="00D76B6A"/>
    <w:rsid w:val="00D800D8"/>
    <w:rsid w:val="00D80A57"/>
    <w:rsid w:val="00D81601"/>
    <w:rsid w:val="00D81B2E"/>
    <w:rsid w:val="00D81C2A"/>
    <w:rsid w:val="00D82DD2"/>
    <w:rsid w:val="00D836E8"/>
    <w:rsid w:val="00D859CD"/>
    <w:rsid w:val="00D86CDA"/>
    <w:rsid w:val="00D87436"/>
    <w:rsid w:val="00D912CC"/>
    <w:rsid w:val="00D940E9"/>
    <w:rsid w:val="00D94211"/>
    <w:rsid w:val="00D94FA7"/>
    <w:rsid w:val="00D9683E"/>
    <w:rsid w:val="00D97FC9"/>
    <w:rsid w:val="00DA002A"/>
    <w:rsid w:val="00DA4A51"/>
    <w:rsid w:val="00DA5CA6"/>
    <w:rsid w:val="00DA69E0"/>
    <w:rsid w:val="00DA6B62"/>
    <w:rsid w:val="00DA6D10"/>
    <w:rsid w:val="00DA7460"/>
    <w:rsid w:val="00DB49C5"/>
    <w:rsid w:val="00DB6B57"/>
    <w:rsid w:val="00DC046A"/>
    <w:rsid w:val="00DC0B68"/>
    <w:rsid w:val="00DC189B"/>
    <w:rsid w:val="00DC23DF"/>
    <w:rsid w:val="00DC46D7"/>
    <w:rsid w:val="00DC4EEE"/>
    <w:rsid w:val="00DC57F2"/>
    <w:rsid w:val="00DC674D"/>
    <w:rsid w:val="00DC714C"/>
    <w:rsid w:val="00DC7A5E"/>
    <w:rsid w:val="00DD1308"/>
    <w:rsid w:val="00DD18DB"/>
    <w:rsid w:val="00DD2891"/>
    <w:rsid w:val="00DD6B27"/>
    <w:rsid w:val="00DE250D"/>
    <w:rsid w:val="00DE2F7A"/>
    <w:rsid w:val="00DE5275"/>
    <w:rsid w:val="00DE6C96"/>
    <w:rsid w:val="00DF06F0"/>
    <w:rsid w:val="00DF1722"/>
    <w:rsid w:val="00DF584B"/>
    <w:rsid w:val="00DF7E71"/>
    <w:rsid w:val="00E004C5"/>
    <w:rsid w:val="00E00554"/>
    <w:rsid w:val="00E01D46"/>
    <w:rsid w:val="00E02DF9"/>
    <w:rsid w:val="00E0488E"/>
    <w:rsid w:val="00E06E42"/>
    <w:rsid w:val="00E071E2"/>
    <w:rsid w:val="00E1070A"/>
    <w:rsid w:val="00E12304"/>
    <w:rsid w:val="00E15A22"/>
    <w:rsid w:val="00E16CF1"/>
    <w:rsid w:val="00E17EB6"/>
    <w:rsid w:val="00E20423"/>
    <w:rsid w:val="00E217FA"/>
    <w:rsid w:val="00E22E30"/>
    <w:rsid w:val="00E24D8E"/>
    <w:rsid w:val="00E25784"/>
    <w:rsid w:val="00E25F35"/>
    <w:rsid w:val="00E276E1"/>
    <w:rsid w:val="00E27C54"/>
    <w:rsid w:val="00E311AA"/>
    <w:rsid w:val="00E31801"/>
    <w:rsid w:val="00E31DFD"/>
    <w:rsid w:val="00E32167"/>
    <w:rsid w:val="00E33249"/>
    <w:rsid w:val="00E3406D"/>
    <w:rsid w:val="00E34183"/>
    <w:rsid w:val="00E3485E"/>
    <w:rsid w:val="00E3489C"/>
    <w:rsid w:val="00E43D51"/>
    <w:rsid w:val="00E450DA"/>
    <w:rsid w:val="00E46512"/>
    <w:rsid w:val="00E4691D"/>
    <w:rsid w:val="00E479A8"/>
    <w:rsid w:val="00E47E36"/>
    <w:rsid w:val="00E52BCA"/>
    <w:rsid w:val="00E53481"/>
    <w:rsid w:val="00E53720"/>
    <w:rsid w:val="00E5427F"/>
    <w:rsid w:val="00E54C1D"/>
    <w:rsid w:val="00E55830"/>
    <w:rsid w:val="00E55EA4"/>
    <w:rsid w:val="00E5656A"/>
    <w:rsid w:val="00E6068D"/>
    <w:rsid w:val="00E71592"/>
    <w:rsid w:val="00E718E3"/>
    <w:rsid w:val="00E71C9A"/>
    <w:rsid w:val="00E75ACF"/>
    <w:rsid w:val="00E829C2"/>
    <w:rsid w:val="00E83FFD"/>
    <w:rsid w:val="00E84F5A"/>
    <w:rsid w:val="00E85282"/>
    <w:rsid w:val="00E85CE8"/>
    <w:rsid w:val="00E86E1F"/>
    <w:rsid w:val="00E90ACF"/>
    <w:rsid w:val="00E914DB"/>
    <w:rsid w:val="00E938B7"/>
    <w:rsid w:val="00E93C71"/>
    <w:rsid w:val="00E94C35"/>
    <w:rsid w:val="00E9665E"/>
    <w:rsid w:val="00EA1461"/>
    <w:rsid w:val="00EA1C6C"/>
    <w:rsid w:val="00EA2D7D"/>
    <w:rsid w:val="00EA39FA"/>
    <w:rsid w:val="00EA3F05"/>
    <w:rsid w:val="00EA5210"/>
    <w:rsid w:val="00EA52DF"/>
    <w:rsid w:val="00EA5F34"/>
    <w:rsid w:val="00EB0130"/>
    <w:rsid w:val="00EB30C8"/>
    <w:rsid w:val="00EB5269"/>
    <w:rsid w:val="00EB56F9"/>
    <w:rsid w:val="00EB7C45"/>
    <w:rsid w:val="00EC015F"/>
    <w:rsid w:val="00EC048C"/>
    <w:rsid w:val="00EC0BF1"/>
    <w:rsid w:val="00EC0FE4"/>
    <w:rsid w:val="00EC1F04"/>
    <w:rsid w:val="00EC447D"/>
    <w:rsid w:val="00EC5131"/>
    <w:rsid w:val="00EC7C0A"/>
    <w:rsid w:val="00ED04AA"/>
    <w:rsid w:val="00ED1FCA"/>
    <w:rsid w:val="00ED23A8"/>
    <w:rsid w:val="00ED57D7"/>
    <w:rsid w:val="00ED73B7"/>
    <w:rsid w:val="00ED768F"/>
    <w:rsid w:val="00ED7D86"/>
    <w:rsid w:val="00EE0461"/>
    <w:rsid w:val="00EE082F"/>
    <w:rsid w:val="00EE126E"/>
    <w:rsid w:val="00EE1447"/>
    <w:rsid w:val="00EE1B44"/>
    <w:rsid w:val="00EE1D5A"/>
    <w:rsid w:val="00EE5139"/>
    <w:rsid w:val="00EE5326"/>
    <w:rsid w:val="00EE5673"/>
    <w:rsid w:val="00EE5B88"/>
    <w:rsid w:val="00EE6488"/>
    <w:rsid w:val="00EE6D29"/>
    <w:rsid w:val="00EE7251"/>
    <w:rsid w:val="00EF03D4"/>
    <w:rsid w:val="00EF0837"/>
    <w:rsid w:val="00EF0BD3"/>
    <w:rsid w:val="00EF16B6"/>
    <w:rsid w:val="00EF19D9"/>
    <w:rsid w:val="00EF1C79"/>
    <w:rsid w:val="00EF2E3F"/>
    <w:rsid w:val="00EF2E81"/>
    <w:rsid w:val="00EF66F5"/>
    <w:rsid w:val="00EF6E63"/>
    <w:rsid w:val="00F00FDA"/>
    <w:rsid w:val="00F02018"/>
    <w:rsid w:val="00F02757"/>
    <w:rsid w:val="00F04D7C"/>
    <w:rsid w:val="00F05679"/>
    <w:rsid w:val="00F0582B"/>
    <w:rsid w:val="00F07A55"/>
    <w:rsid w:val="00F1090D"/>
    <w:rsid w:val="00F10CB8"/>
    <w:rsid w:val="00F16922"/>
    <w:rsid w:val="00F16BC5"/>
    <w:rsid w:val="00F16F95"/>
    <w:rsid w:val="00F20B8F"/>
    <w:rsid w:val="00F213BA"/>
    <w:rsid w:val="00F22F60"/>
    <w:rsid w:val="00F2375E"/>
    <w:rsid w:val="00F24211"/>
    <w:rsid w:val="00F252FA"/>
    <w:rsid w:val="00F31E1D"/>
    <w:rsid w:val="00F322F6"/>
    <w:rsid w:val="00F32A71"/>
    <w:rsid w:val="00F32D15"/>
    <w:rsid w:val="00F3372E"/>
    <w:rsid w:val="00F33EF2"/>
    <w:rsid w:val="00F33F6F"/>
    <w:rsid w:val="00F3423B"/>
    <w:rsid w:val="00F420D5"/>
    <w:rsid w:val="00F42C0D"/>
    <w:rsid w:val="00F43500"/>
    <w:rsid w:val="00F45D08"/>
    <w:rsid w:val="00F51B1D"/>
    <w:rsid w:val="00F528FD"/>
    <w:rsid w:val="00F52FC2"/>
    <w:rsid w:val="00F532FC"/>
    <w:rsid w:val="00F53D9F"/>
    <w:rsid w:val="00F53E97"/>
    <w:rsid w:val="00F5577A"/>
    <w:rsid w:val="00F563E6"/>
    <w:rsid w:val="00F60148"/>
    <w:rsid w:val="00F60959"/>
    <w:rsid w:val="00F637BA"/>
    <w:rsid w:val="00F63A02"/>
    <w:rsid w:val="00F6403E"/>
    <w:rsid w:val="00F64CF3"/>
    <w:rsid w:val="00F709A6"/>
    <w:rsid w:val="00F71644"/>
    <w:rsid w:val="00F724D6"/>
    <w:rsid w:val="00F73709"/>
    <w:rsid w:val="00F755FC"/>
    <w:rsid w:val="00F75D4C"/>
    <w:rsid w:val="00F8269A"/>
    <w:rsid w:val="00F833E5"/>
    <w:rsid w:val="00F84D3A"/>
    <w:rsid w:val="00F8523A"/>
    <w:rsid w:val="00F86375"/>
    <w:rsid w:val="00F86755"/>
    <w:rsid w:val="00F87292"/>
    <w:rsid w:val="00F87638"/>
    <w:rsid w:val="00F90777"/>
    <w:rsid w:val="00F9098C"/>
    <w:rsid w:val="00F912BD"/>
    <w:rsid w:val="00F91389"/>
    <w:rsid w:val="00F92402"/>
    <w:rsid w:val="00F92D65"/>
    <w:rsid w:val="00F93810"/>
    <w:rsid w:val="00F9445C"/>
    <w:rsid w:val="00F949CD"/>
    <w:rsid w:val="00F94BFD"/>
    <w:rsid w:val="00F96583"/>
    <w:rsid w:val="00F96DC4"/>
    <w:rsid w:val="00FA10CA"/>
    <w:rsid w:val="00FA26F6"/>
    <w:rsid w:val="00FA2EB5"/>
    <w:rsid w:val="00FA4A69"/>
    <w:rsid w:val="00FA6051"/>
    <w:rsid w:val="00FA7711"/>
    <w:rsid w:val="00FA777A"/>
    <w:rsid w:val="00FA7F7E"/>
    <w:rsid w:val="00FB31BA"/>
    <w:rsid w:val="00FB368D"/>
    <w:rsid w:val="00FB45EC"/>
    <w:rsid w:val="00FB63E1"/>
    <w:rsid w:val="00FB7175"/>
    <w:rsid w:val="00FB7203"/>
    <w:rsid w:val="00FB7792"/>
    <w:rsid w:val="00FC07F4"/>
    <w:rsid w:val="00FC104A"/>
    <w:rsid w:val="00FC285C"/>
    <w:rsid w:val="00FC311F"/>
    <w:rsid w:val="00FC34B0"/>
    <w:rsid w:val="00FC563E"/>
    <w:rsid w:val="00FC64F8"/>
    <w:rsid w:val="00FD0704"/>
    <w:rsid w:val="00FD3021"/>
    <w:rsid w:val="00FD36A5"/>
    <w:rsid w:val="00FD4480"/>
    <w:rsid w:val="00FD5E4B"/>
    <w:rsid w:val="00FD6AF8"/>
    <w:rsid w:val="00FD7A1A"/>
    <w:rsid w:val="00FE00AE"/>
    <w:rsid w:val="00FE108E"/>
    <w:rsid w:val="00FE1484"/>
    <w:rsid w:val="00FE59A9"/>
    <w:rsid w:val="00FE5DFF"/>
    <w:rsid w:val="00FE629B"/>
    <w:rsid w:val="00FE758E"/>
    <w:rsid w:val="00FF11BC"/>
    <w:rsid w:val="00FF1B18"/>
    <w:rsid w:val="00FF2185"/>
    <w:rsid w:val="00FF2A94"/>
    <w:rsid w:val="00FF2FEC"/>
    <w:rsid w:val="00FF4B51"/>
    <w:rsid w:val="00FF4EB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54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14DB"/>
    <w:pPr>
      <w:suppressAutoHyphens/>
      <w:autoSpaceDN w:val="0"/>
      <w:spacing w:line="280" w:lineRule="exact"/>
      <w:textAlignment w:val="baseline"/>
    </w:pPr>
    <w:rPr>
      <w:rFonts w:ascii="Arial" w:hAnsi="Arial"/>
      <w:color w:val="000000"/>
      <w:spacing w:val="6"/>
      <w:sz w:val="18"/>
      <w:szCs w:val="18"/>
      <w:lang w:eastAsia="en-GB"/>
    </w:rPr>
  </w:style>
  <w:style w:type="paragraph" w:styleId="Heading1">
    <w:name w:val="heading 1"/>
    <w:basedOn w:val="Normal"/>
    <w:next w:val="Normal"/>
    <w:link w:val="Heading1Char"/>
    <w:uiPriority w:val="9"/>
    <w:qFormat/>
    <w:rsid w:val="001F1D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432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1F0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0672"/>
    <w:rPr>
      <w:color w:val="auto"/>
      <w:sz w:val="14"/>
      <w:szCs w:val="14"/>
    </w:rPr>
  </w:style>
  <w:style w:type="paragraph" w:styleId="Header">
    <w:name w:val="header"/>
    <w:basedOn w:val="Normal"/>
    <w:rsid w:val="00BD0672"/>
    <w:pPr>
      <w:tabs>
        <w:tab w:val="center" w:pos="4153"/>
        <w:tab w:val="right" w:pos="8306"/>
      </w:tabs>
    </w:pPr>
  </w:style>
  <w:style w:type="character" w:customStyle="1" w:styleId="FooterChar">
    <w:name w:val="Footer Char"/>
    <w:rsid w:val="00BD0672"/>
    <w:rPr>
      <w:rFonts w:ascii="Arial" w:hAnsi="Arial"/>
      <w:spacing w:val="6"/>
      <w:sz w:val="14"/>
      <w:szCs w:val="14"/>
      <w:lang w:val="en-GB" w:eastAsia="en-GB" w:bidi="ar-SA"/>
    </w:rPr>
  </w:style>
  <w:style w:type="character" w:styleId="Hyperlink">
    <w:name w:val="Hyperlink"/>
    <w:rsid w:val="00BD0672"/>
    <w:rPr>
      <w:color w:val="0000FF"/>
      <w:u w:val="single"/>
    </w:rPr>
  </w:style>
  <w:style w:type="paragraph" w:styleId="BalloonText">
    <w:name w:val="Balloon Text"/>
    <w:basedOn w:val="Normal"/>
    <w:rsid w:val="00BD0672"/>
    <w:rPr>
      <w:rFonts w:ascii="Tahoma" w:hAnsi="Tahoma" w:cs="Tahoma"/>
      <w:sz w:val="16"/>
      <w:szCs w:val="16"/>
    </w:rPr>
  </w:style>
  <w:style w:type="character" w:styleId="CommentReference">
    <w:name w:val="annotation reference"/>
    <w:rsid w:val="00BD0672"/>
    <w:rPr>
      <w:sz w:val="16"/>
      <w:szCs w:val="16"/>
    </w:rPr>
  </w:style>
  <w:style w:type="paragraph" w:styleId="CommentText">
    <w:name w:val="annotation text"/>
    <w:basedOn w:val="Normal"/>
    <w:rsid w:val="00BD0672"/>
    <w:rPr>
      <w:sz w:val="20"/>
      <w:szCs w:val="20"/>
    </w:rPr>
  </w:style>
  <w:style w:type="paragraph" w:customStyle="1" w:styleId="Style">
    <w:name w:val="Style"/>
    <w:rsid w:val="00BD0672"/>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basedOn w:val="DefaultParagraphFont"/>
    <w:rsid w:val="00BD0672"/>
  </w:style>
  <w:style w:type="paragraph" w:styleId="CommentSubject">
    <w:name w:val="annotation subject"/>
    <w:basedOn w:val="CommentText"/>
    <w:next w:val="CommentText"/>
    <w:rsid w:val="00BD0672"/>
    <w:rPr>
      <w:b/>
      <w:bCs/>
    </w:rPr>
  </w:style>
  <w:style w:type="paragraph" w:customStyle="1" w:styleId="char">
    <w:name w:val="char"/>
    <w:basedOn w:val="Style"/>
    <w:rsid w:val="00BD0672"/>
  </w:style>
  <w:style w:type="paragraph" w:styleId="ListParagraph">
    <w:name w:val="List Paragraph"/>
    <w:basedOn w:val="Normal"/>
    <w:qFormat/>
    <w:rsid w:val="00BD0672"/>
    <w:pPr>
      <w:ind w:left="720"/>
    </w:pPr>
  </w:style>
  <w:style w:type="paragraph" w:styleId="FootnoteText">
    <w:name w:val="footnote text"/>
    <w:basedOn w:val="Normal"/>
    <w:rsid w:val="00BD0672"/>
    <w:rPr>
      <w:sz w:val="20"/>
      <w:szCs w:val="20"/>
    </w:rPr>
  </w:style>
  <w:style w:type="character" w:customStyle="1" w:styleId="FootnoteTextChar">
    <w:name w:val="Footnote Text Char"/>
    <w:rsid w:val="00BD0672"/>
    <w:rPr>
      <w:rFonts w:ascii="Arial" w:hAnsi="Arial"/>
      <w:color w:val="000000"/>
      <w:spacing w:val="6"/>
      <w:lang w:eastAsia="en-GB"/>
    </w:rPr>
  </w:style>
  <w:style w:type="character" w:styleId="FootnoteReference">
    <w:name w:val="footnote reference"/>
    <w:rsid w:val="00BD0672"/>
    <w:rPr>
      <w:position w:val="0"/>
      <w:vertAlign w:val="superscript"/>
    </w:rPr>
  </w:style>
  <w:style w:type="paragraph" w:styleId="Title">
    <w:name w:val="Title"/>
    <w:basedOn w:val="Normal"/>
    <w:rsid w:val="00BD0672"/>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rsid w:val="00BD0672"/>
    <w:rPr>
      <w:b/>
      <w:bCs/>
      <w:sz w:val="28"/>
      <w:szCs w:val="24"/>
      <w:lang w:val="en-US" w:eastAsia="en-US"/>
    </w:rPr>
  </w:style>
  <w:style w:type="paragraph" w:customStyle="1" w:styleId="Default">
    <w:name w:val="Default"/>
    <w:rsid w:val="00BD0672"/>
    <w:pPr>
      <w:suppressAutoHyphens/>
      <w:autoSpaceDE w:val="0"/>
      <w:autoSpaceDN w:val="0"/>
      <w:textAlignment w:val="baseline"/>
    </w:pPr>
    <w:rPr>
      <w:rFonts w:ascii="Calibri" w:hAnsi="Calibri" w:cs="Calibri"/>
      <w:color w:val="000000"/>
      <w:sz w:val="24"/>
      <w:szCs w:val="24"/>
    </w:rPr>
  </w:style>
  <w:style w:type="table" w:styleId="TableGrid">
    <w:name w:val="Table Grid"/>
    <w:basedOn w:val="TableNormal"/>
    <w:uiPriority w:val="59"/>
    <w:rsid w:val="001F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3347"/>
    <w:rPr>
      <w:rFonts w:ascii="Arial" w:hAnsi="Arial"/>
      <w:color w:val="000000"/>
      <w:spacing w:val="6"/>
      <w:sz w:val="18"/>
      <w:szCs w:val="18"/>
      <w:lang w:val="en-GB" w:eastAsia="en-GB"/>
    </w:rPr>
  </w:style>
  <w:style w:type="character" w:customStyle="1" w:styleId="Heading1Char">
    <w:name w:val="Heading 1 Char"/>
    <w:basedOn w:val="DefaultParagraphFont"/>
    <w:link w:val="Heading1"/>
    <w:uiPriority w:val="9"/>
    <w:rsid w:val="001F1DF2"/>
    <w:rPr>
      <w:rFonts w:asciiTheme="majorHAnsi" w:eastAsiaTheme="majorEastAsia" w:hAnsiTheme="majorHAnsi" w:cstheme="majorBidi"/>
      <w:color w:val="365F91" w:themeColor="accent1" w:themeShade="BF"/>
      <w:spacing w:val="6"/>
      <w:sz w:val="32"/>
      <w:szCs w:val="32"/>
      <w:lang w:eastAsia="en-GB"/>
    </w:rPr>
  </w:style>
  <w:style w:type="character" w:customStyle="1" w:styleId="Heading2Char">
    <w:name w:val="Heading 2 Char"/>
    <w:basedOn w:val="DefaultParagraphFont"/>
    <w:link w:val="Heading2"/>
    <w:uiPriority w:val="9"/>
    <w:semiHidden/>
    <w:rsid w:val="00A43239"/>
    <w:rPr>
      <w:rFonts w:asciiTheme="majorHAnsi" w:eastAsiaTheme="majorEastAsia" w:hAnsiTheme="majorHAnsi" w:cstheme="majorBidi"/>
      <w:color w:val="365F91" w:themeColor="accent1" w:themeShade="BF"/>
      <w:spacing w:val="6"/>
      <w:sz w:val="26"/>
      <w:szCs w:val="26"/>
      <w:lang w:eastAsia="en-GB"/>
    </w:rPr>
  </w:style>
  <w:style w:type="table" w:customStyle="1" w:styleId="TableGridLight1">
    <w:name w:val="Table Grid Light1"/>
    <w:basedOn w:val="TableNormal"/>
    <w:next w:val="GridTableLight"/>
    <w:uiPriority w:val="40"/>
    <w:rsid w:val="00A43239"/>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99"/>
    <w:rsid w:val="00A432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70BB0"/>
    <w:pPr>
      <w:suppressAutoHyphens w:val="0"/>
      <w:autoSpaceDN/>
      <w:spacing w:before="100" w:beforeAutospacing="1" w:after="100" w:afterAutospacing="1" w:line="240" w:lineRule="auto"/>
      <w:textAlignment w:val="auto"/>
    </w:pPr>
    <w:rPr>
      <w:rFonts w:ascii="Times New Roman" w:eastAsiaTheme="minorEastAsia" w:hAnsi="Times New Roman"/>
      <w:color w:val="auto"/>
      <w:spacing w:val="0"/>
      <w:sz w:val="24"/>
      <w:szCs w:val="24"/>
      <w:lang w:eastAsia="en-ZA"/>
    </w:rPr>
  </w:style>
  <w:style w:type="character" w:customStyle="1" w:styleId="Heading3Char">
    <w:name w:val="Heading 3 Char"/>
    <w:basedOn w:val="DefaultParagraphFont"/>
    <w:link w:val="Heading3"/>
    <w:uiPriority w:val="9"/>
    <w:rsid w:val="00EC1F04"/>
    <w:rPr>
      <w:rFonts w:asciiTheme="majorHAnsi" w:eastAsiaTheme="majorEastAsia" w:hAnsiTheme="majorHAnsi" w:cstheme="majorBidi"/>
      <w:color w:val="243F60" w:themeColor="accent1" w:themeShade="7F"/>
      <w:spacing w:val="6"/>
      <w:sz w:val="24"/>
      <w:szCs w:val="24"/>
      <w:lang w:eastAsia="en-GB"/>
    </w:rPr>
  </w:style>
  <w:style w:type="paragraph" w:styleId="Caption">
    <w:name w:val="caption"/>
    <w:basedOn w:val="Normal"/>
    <w:next w:val="Normal"/>
    <w:unhideWhenUsed/>
    <w:qFormat/>
    <w:rsid w:val="00EC1F04"/>
    <w:pPr>
      <w:suppressAutoHyphens w:val="0"/>
      <w:autoSpaceDN/>
      <w:textAlignment w:val="auto"/>
    </w:pPr>
    <w:rPr>
      <w:b/>
      <w:bCs/>
      <w:sz w:val="20"/>
      <w:szCs w:val="20"/>
      <w:lang w:val="en-GB"/>
    </w:rPr>
  </w:style>
  <w:style w:type="paragraph" w:styleId="NoSpacing">
    <w:name w:val="No Spacing"/>
    <w:uiPriority w:val="1"/>
    <w:qFormat/>
    <w:rsid w:val="00EC1F04"/>
    <w:rPr>
      <w:rFonts w:ascii="Arial" w:hAnsi="Arial"/>
      <w:color w:val="000000"/>
      <w:spacing w:val="6"/>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14DB"/>
    <w:pPr>
      <w:suppressAutoHyphens/>
      <w:autoSpaceDN w:val="0"/>
      <w:spacing w:line="280" w:lineRule="exact"/>
      <w:textAlignment w:val="baseline"/>
    </w:pPr>
    <w:rPr>
      <w:rFonts w:ascii="Arial" w:hAnsi="Arial"/>
      <w:color w:val="000000"/>
      <w:spacing w:val="6"/>
      <w:sz w:val="18"/>
      <w:szCs w:val="18"/>
      <w:lang w:eastAsia="en-GB"/>
    </w:rPr>
  </w:style>
  <w:style w:type="paragraph" w:styleId="Heading1">
    <w:name w:val="heading 1"/>
    <w:basedOn w:val="Normal"/>
    <w:next w:val="Normal"/>
    <w:link w:val="Heading1Char"/>
    <w:uiPriority w:val="9"/>
    <w:qFormat/>
    <w:rsid w:val="001F1D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432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1F0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0672"/>
    <w:rPr>
      <w:color w:val="auto"/>
      <w:sz w:val="14"/>
      <w:szCs w:val="14"/>
    </w:rPr>
  </w:style>
  <w:style w:type="paragraph" w:styleId="Header">
    <w:name w:val="header"/>
    <w:basedOn w:val="Normal"/>
    <w:rsid w:val="00BD0672"/>
    <w:pPr>
      <w:tabs>
        <w:tab w:val="center" w:pos="4153"/>
        <w:tab w:val="right" w:pos="8306"/>
      </w:tabs>
    </w:pPr>
  </w:style>
  <w:style w:type="character" w:customStyle="1" w:styleId="FooterChar">
    <w:name w:val="Footer Char"/>
    <w:rsid w:val="00BD0672"/>
    <w:rPr>
      <w:rFonts w:ascii="Arial" w:hAnsi="Arial"/>
      <w:spacing w:val="6"/>
      <w:sz w:val="14"/>
      <w:szCs w:val="14"/>
      <w:lang w:val="en-GB" w:eastAsia="en-GB" w:bidi="ar-SA"/>
    </w:rPr>
  </w:style>
  <w:style w:type="character" w:styleId="Hyperlink">
    <w:name w:val="Hyperlink"/>
    <w:rsid w:val="00BD0672"/>
    <w:rPr>
      <w:color w:val="0000FF"/>
      <w:u w:val="single"/>
    </w:rPr>
  </w:style>
  <w:style w:type="paragraph" w:styleId="BalloonText">
    <w:name w:val="Balloon Text"/>
    <w:basedOn w:val="Normal"/>
    <w:rsid w:val="00BD0672"/>
    <w:rPr>
      <w:rFonts w:ascii="Tahoma" w:hAnsi="Tahoma" w:cs="Tahoma"/>
      <w:sz w:val="16"/>
      <w:szCs w:val="16"/>
    </w:rPr>
  </w:style>
  <w:style w:type="character" w:styleId="CommentReference">
    <w:name w:val="annotation reference"/>
    <w:rsid w:val="00BD0672"/>
    <w:rPr>
      <w:sz w:val="16"/>
      <w:szCs w:val="16"/>
    </w:rPr>
  </w:style>
  <w:style w:type="paragraph" w:styleId="CommentText">
    <w:name w:val="annotation text"/>
    <w:basedOn w:val="Normal"/>
    <w:rsid w:val="00BD0672"/>
    <w:rPr>
      <w:sz w:val="20"/>
      <w:szCs w:val="20"/>
    </w:rPr>
  </w:style>
  <w:style w:type="paragraph" w:customStyle="1" w:styleId="Style">
    <w:name w:val="Style"/>
    <w:rsid w:val="00BD0672"/>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basedOn w:val="DefaultParagraphFont"/>
    <w:rsid w:val="00BD0672"/>
  </w:style>
  <w:style w:type="paragraph" w:styleId="CommentSubject">
    <w:name w:val="annotation subject"/>
    <w:basedOn w:val="CommentText"/>
    <w:next w:val="CommentText"/>
    <w:rsid w:val="00BD0672"/>
    <w:rPr>
      <w:b/>
      <w:bCs/>
    </w:rPr>
  </w:style>
  <w:style w:type="paragraph" w:customStyle="1" w:styleId="char">
    <w:name w:val="char"/>
    <w:basedOn w:val="Style"/>
    <w:rsid w:val="00BD0672"/>
  </w:style>
  <w:style w:type="paragraph" w:styleId="ListParagraph">
    <w:name w:val="List Paragraph"/>
    <w:basedOn w:val="Normal"/>
    <w:qFormat/>
    <w:rsid w:val="00BD0672"/>
    <w:pPr>
      <w:ind w:left="720"/>
    </w:pPr>
  </w:style>
  <w:style w:type="paragraph" w:styleId="FootnoteText">
    <w:name w:val="footnote text"/>
    <w:basedOn w:val="Normal"/>
    <w:rsid w:val="00BD0672"/>
    <w:rPr>
      <w:sz w:val="20"/>
      <w:szCs w:val="20"/>
    </w:rPr>
  </w:style>
  <w:style w:type="character" w:customStyle="1" w:styleId="FootnoteTextChar">
    <w:name w:val="Footnote Text Char"/>
    <w:rsid w:val="00BD0672"/>
    <w:rPr>
      <w:rFonts w:ascii="Arial" w:hAnsi="Arial"/>
      <w:color w:val="000000"/>
      <w:spacing w:val="6"/>
      <w:lang w:eastAsia="en-GB"/>
    </w:rPr>
  </w:style>
  <w:style w:type="character" w:styleId="FootnoteReference">
    <w:name w:val="footnote reference"/>
    <w:rsid w:val="00BD0672"/>
    <w:rPr>
      <w:position w:val="0"/>
      <w:vertAlign w:val="superscript"/>
    </w:rPr>
  </w:style>
  <w:style w:type="paragraph" w:styleId="Title">
    <w:name w:val="Title"/>
    <w:basedOn w:val="Normal"/>
    <w:rsid w:val="00BD0672"/>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rsid w:val="00BD0672"/>
    <w:rPr>
      <w:b/>
      <w:bCs/>
      <w:sz w:val="28"/>
      <w:szCs w:val="24"/>
      <w:lang w:val="en-US" w:eastAsia="en-US"/>
    </w:rPr>
  </w:style>
  <w:style w:type="paragraph" w:customStyle="1" w:styleId="Default">
    <w:name w:val="Default"/>
    <w:rsid w:val="00BD0672"/>
    <w:pPr>
      <w:suppressAutoHyphens/>
      <w:autoSpaceDE w:val="0"/>
      <w:autoSpaceDN w:val="0"/>
      <w:textAlignment w:val="baseline"/>
    </w:pPr>
    <w:rPr>
      <w:rFonts w:ascii="Calibri" w:hAnsi="Calibri" w:cs="Calibri"/>
      <w:color w:val="000000"/>
      <w:sz w:val="24"/>
      <w:szCs w:val="24"/>
    </w:rPr>
  </w:style>
  <w:style w:type="table" w:styleId="TableGrid">
    <w:name w:val="Table Grid"/>
    <w:basedOn w:val="TableNormal"/>
    <w:uiPriority w:val="59"/>
    <w:rsid w:val="001F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3347"/>
    <w:rPr>
      <w:rFonts w:ascii="Arial" w:hAnsi="Arial"/>
      <w:color w:val="000000"/>
      <w:spacing w:val="6"/>
      <w:sz w:val="18"/>
      <w:szCs w:val="18"/>
      <w:lang w:val="en-GB" w:eastAsia="en-GB"/>
    </w:rPr>
  </w:style>
  <w:style w:type="character" w:customStyle="1" w:styleId="Heading1Char">
    <w:name w:val="Heading 1 Char"/>
    <w:basedOn w:val="DefaultParagraphFont"/>
    <w:link w:val="Heading1"/>
    <w:uiPriority w:val="9"/>
    <w:rsid w:val="001F1DF2"/>
    <w:rPr>
      <w:rFonts w:asciiTheme="majorHAnsi" w:eastAsiaTheme="majorEastAsia" w:hAnsiTheme="majorHAnsi" w:cstheme="majorBidi"/>
      <w:color w:val="365F91" w:themeColor="accent1" w:themeShade="BF"/>
      <w:spacing w:val="6"/>
      <w:sz w:val="32"/>
      <w:szCs w:val="32"/>
      <w:lang w:eastAsia="en-GB"/>
    </w:rPr>
  </w:style>
  <w:style w:type="character" w:customStyle="1" w:styleId="Heading2Char">
    <w:name w:val="Heading 2 Char"/>
    <w:basedOn w:val="DefaultParagraphFont"/>
    <w:link w:val="Heading2"/>
    <w:uiPriority w:val="9"/>
    <w:semiHidden/>
    <w:rsid w:val="00A43239"/>
    <w:rPr>
      <w:rFonts w:asciiTheme="majorHAnsi" w:eastAsiaTheme="majorEastAsia" w:hAnsiTheme="majorHAnsi" w:cstheme="majorBidi"/>
      <w:color w:val="365F91" w:themeColor="accent1" w:themeShade="BF"/>
      <w:spacing w:val="6"/>
      <w:sz w:val="26"/>
      <w:szCs w:val="26"/>
      <w:lang w:eastAsia="en-GB"/>
    </w:rPr>
  </w:style>
  <w:style w:type="table" w:customStyle="1" w:styleId="TableGridLight1">
    <w:name w:val="Table Grid Light1"/>
    <w:basedOn w:val="TableNormal"/>
    <w:next w:val="GridTableLight"/>
    <w:uiPriority w:val="40"/>
    <w:rsid w:val="00A43239"/>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99"/>
    <w:rsid w:val="00A432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70BB0"/>
    <w:pPr>
      <w:suppressAutoHyphens w:val="0"/>
      <w:autoSpaceDN/>
      <w:spacing w:before="100" w:beforeAutospacing="1" w:after="100" w:afterAutospacing="1" w:line="240" w:lineRule="auto"/>
      <w:textAlignment w:val="auto"/>
    </w:pPr>
    <w:rPr>
      <w:rFonts w:ascii="Times New Roman" w:eastAsiaTheme="minorEastAsia" w:hAnsi="Times New Roman"/>
      <w:color w:val="auto"/>
      <w:spacing w:val="0"/>
      <w:sz w:val="24"/>
      <w:szCs w:val="24"/>
      <w:lang w:eastAsia="en-ZA"/>
    </w:rPr>
  </w:style>
  <w:style w:type="character" w:customStyle="1" w:styleId="Heading3Char">
    <w:name w:val="Heading 3 Char"/>
    <w:basedOn w:val="DefaultParagraphFont"/>
    <w:link w:val="Heading3"/>
    <w:uiPriority w:val="9"/>
    <w:rsid w:val="00EC1F04"/>
    <w:rPr>
      <w:rFonts w:asciiTheme="majorHAnsi" w:eastAsiaTheme="majorEastAsia" w:hAnsiTheme="majorHAnsi" w:cstheme="majorBidi"/>
      <w:color w:val="243F60" w:themeColor="accent1" w:themeShade="7F"/>
      <w:spacing w:val="6"/>
      <w:sz w:val="24"/>
      <w:szCs w:val="24"/>
      <w:lang w:eastAsia="en-GB"/>
    </w:rPr>
  </w:style>
  <w:style w:type="paragraph" w:styleId="Caption">
    <w:name w:val="caption"/>
    <w:basedOn w:val="Normal"/>
    <w:next w:val="Normal"/>
    <w:unhideWhenUsed/>
    <w:qFormat/>
    <w:rsid w:val="00EC1F04"/>
    <w:pPr>
      <w:suppressAutoHyphens w:val="0"/>
      <w:autoSpaceDN/>
      <w:textAlignment w:val="auto"/>
    </w:pPr>
    <w:rPr>
      <w:b/>
      <w:bCs/>
      <w:sz w:val="20"/>
      <w:szCs w:val="20"/>
      <w:lang w:val="en-GB"/>
    </w:rPr>
  </w:style>
  <w:style w:type="paragraph" w:styleId="NoSpacing">
    <w:name w:val="No Spacing"/>
    <w:uiPriority w:val="1"/>
    <w:qFormat/>
    <w:rsid w:val="00EC1F04"/>
    <w:rPr>
      <w:rFonts w:ascii="Arial" w:hAnsi="Arial"/>
      <w:color w:val="000000"/>
      <w:spacing w:val="6"/>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392">
      <w:bodyDiv w:val="1"/>
      <w:marLeft w:val="0"/>
      <w:marRight w:val="0"/>
      <w:marTop w:val="0"/>
      <w:marBottom w:val="0"/>
      <w:divBdr>
        <w:top w:val="none" w:sz="0" w:space="0" w:color="auto"/>
        <w:left w:val="none" w:sz="0" w:space="0" w:color="auto"/>
        <w:bottom w:val="none" w:sz="0" w:space="0" w:color="auto"/>
        <w:right w:val="none" w:sz="0" w:space="0" w:color="auto"/>
      </w:divBdr>
    </w:div>
    <w:div w:id="41902636">
      <w:bodyDiv w:val="1"/>
      <w:marLeft w:val="0"/>
      <w:marRight w:val="0"/>
      <w:marTop w:val="0"/>
      <w:marBottom w:val="0"/>
      <w:divBdr>
        <w:top w:val="none" w:sz="0" w:space="0" w:color="auto"/>
        <w:left w:val="none" w:sz="0" w:space="0" w:color="auto"/>
        <w:bottom w:val="none" w:sz="0" w:space="0" w:color="auto"/>
        <w:right w:val="none" w:sz="0" w:space="0" w:color="auto"/>
      </w:divBdr>
    </w:div>
    <w:div w:id="65421719">
      <w:bodyDiv w:val="1"/>
      <w:marLeft w:val="0"/>
      <w:marRight w:val="0"/>
      <w:marTop w:val="0"/>
      <w:marBottom w:val="0"/>
      <w:divBdr>
        <w:top w:val="none" w:sz="0" w:space="0" w:color="auto"/>
        <w:left w:val="none" w:sz="0" w:space="0" w:color="auto"/>
        <w:bottom w:val="none" w:sz="0" w:space="0" w:color="auto"/>
        <w:right w:val="none" w:sz="0" w:space="0" w:color="auto"/>
      </w:divBdr>
      <w:divsChild>
        <w:div w:id="1427071400">
          <w:marLeft w:val="907"/>
          <w:marRight w:val="0"/>
          <w:marTop w:val="0"/>
          <w:marBottom w:val="0"/>
          <w:divBdr>
            <w:top w:val="none" w:sz="0" w:space="0" w:color="auto"/>
            <w:left w:val="none" w:sz="0" w:space="0" w:color="auto"/>
            <w:bottom w:val="none" w:sz="0" w:space="0" w:color="auto"/>
            <w:right w:val="none" w:sz="0" w:space="0" w:color="auto"/>
          </w:divBdr>
        </w:div>
        <w:div w:id="671444713">
          <w:marLeft w:val="907"/>
          <w:marRight w:val="0"/>
          <w:marTop w:val="0"/>
          <w:marBottom w:val="0"/>
          <w:divBdr>
            <w:top w:val="none" w:sz="0" w:space="0" w:color="auto"/>
            <w:left w:val="none" w:sz="0" w:space="0" w:color="auto"/>
            <w:bottom w:val="none" w:sz="0" w:space="0" w:color="auto"/>
            <w:right w:val="none" w:sz="0" w:space="0" w:color="auto"/>
          </w:divBdr>
        </w:div>
      </w:divsChild>
    </w:div>
    <w:div w:id="71859787">
      <w:bodyDiv w:val="1"/>
      <w:marLeft w:val="0"/>
      <w:marRight w:val="0"/>
      <w:marTop w:val="0"/>
      <w:marBottom w:val="0"/>
      <w:divBdr>
        <w:top w:val="none" w:sz="0" w:space="0" w:color="auto"/>
        <w:left w:val="none" w:sz="0" w:space="0" w:color="auto"/>
        <w:bottom w:val="none" w:sz="0" w:space="0" w:color="auto"/>
        <w:right w:val="none" w:sz="0" w:space="0" w:color="auto"/>
      </w:divBdr>
    </w:div>
    <w:div w:id="83771915">
      <w:bodyDiv w:val="1"/>
      <w:marLeft w:val="0"/>
      <w:marRight w:val="0"/>
      <w:marTop w:val="0"/>
      <w:marBottom w:val="0"/>
      <w:divBdr>
        <w:top w:val="none" w:sz="0" w:space="0" w:color="auto"/>
        <w:left w:val="none" w:sz="0" w:space="0" w:color="auto"/>
        <w:bottom w:val="none" w:sz="0" w:space="0" w:color="auto"/>
        <w:right w:val="none" w:sz="0" w:space="0" w:color="auto"/>
      </w:divBdr>
    </w:div>
    <w:div w:id="105317951">
      <w:bodyDiv w:val="1"/>
      <w:marLeft w:val="0"/>
      <w:marRight w:val="0"/>
      <w:marTop w:val="0"/>
      <w:marBottom w:val="0"/>
      <w:divBdr>
        <w:top w:val="none" w:sz="0" w:space="0" w:color="auto"/>
        <w:left w:val="none" w:sz="0" w:space="0" w:color="auto"/>
        <w:bottom w:val="none" w:sz="0" w:space="0" w:color="auto"/>
        <w:right w:val="none" w:sz="0" w:space="0" w:color="auto"/>
      </w:divBdr>
    </w:div>
    <w:div w:id="190268196">
      <w:bodyDiv w:val="1"/>
      <w:marLeft w:val="0"/>
      <w:marRight w:val="0"/>
      <w:marTop w:val="0"/>
      <w:marBottom w:val="0"/>
      <w:divBdr>
        <w:top w:val="none" w:sz="0" w:space="0" w:color="auto"/>
        <w:left w:val="none" w:sz="0" w:space="0" w:color="auto"/>
        <w:bottom w:val="none" w:sz="0" w:space="0" w:color="auto"/>
        <w:right w:val="none" w:sz="0" w:space="0" w:color="auto"/>
      </w:divBdr>
    </w:div>
    <w:div w:id="199056842">
      <w:bodyDiv w:val="1"/>
      <w:marLeft w:val="0"/>
      <w:marRight w:val="0"/>
      <w:marTop w:val="0"/>
      <w:marBottom w:val="0"/>
      <w:divBdr>
        <w:top w:val="none" w:sz="0" w:space="0" w:color="auto"/>
        <w:left w:val="none" w:sz="0" w:space="0" w:color="auto"/>
        <w:bottom w:val="none" w:sz="0" w:space="0" w:color="auto"/>
        <w:right w:val="none" w:sz="0" w:space="0" w:color="auto"/>
      </w:divBdr>
      <w:divsChild>
        <w:div w:id="1960256299">
          <w:marLeft w:val="720"/>
          <w:marRight w:val="0"/>
          <w:marTop w:val="0"/>
          <w:marBottom w:val="0"/>
          <w:divBdr>
            <w:top w:val="none" w:sz="0" w:space="0" w:color="auto"/>
            <w:left w:val="none" w:sz="0" w:space="0" w:color="auto"/>
            <w:bottom w:val="none" w:sz="0" w:space="0" w:color="auto"/>
            <w:right w:val="none" w:sz="0" w:space="0" w:color="auto"/>
          </w:divBdr>
        </w:div>
        <w:div w:id="1676763880">
          <w:marLeft w:val="720"/>
          <w:marRight w:val="0"/>
          <w:marTop w:val="0"/>
          <w:marBottom w:val="0"/>
          <w:divBdr>
            <w:top w:val="none" w:sz="0" w:space="0" w:color="auto"/>
            <w:left w:val="none" w:sz="0" w:space="0" w:color="auto"/>
            <w:bottom w:val="none" w:sz="0" w:space="0" w:color="auto"/>
            <w:right w:val="none" w:sz="0" w:space="0" w:color="auto"/>
          </w:divBdr>
        </w:div>
      </w:divsChild>
    </w:div>
    <w:div w:id="202518782">
      <w:bodyDiv w:val="1"/>
      <w:marLeft w:val="0"/>
      <w:marRight w:val="0"/>
      <w:marTop w:val="0"/>
      <w:marBottom w:val="0"/>
      <w:divBdr>
        <w:top w:val="none" w:sz="0" w:space="0" w:color="auto"/>
        <w:left w:val="none" w:sz="0" w:space="0" w:color="auto"/>
        <w:bottom w:val="none" w:sz="0" w:space="0" w:color="auto"/>
        <w:right w:val="none" w:sz="0" w:space="0" w:color="auto"/>
      </w:divBdr>
      <w:divsChild>
        <w:div w:id="1225606074">
          <w:marLeft w:val="446"/>
          <w:marRight w:val="0"/>
          <w:marTop w:val="0"/>
          <w:marBottom w:val="0"/>
          <w:divBdr>
            <w:top w:val="none" w:sz="0" w:space="0" w:color="auto"/>
            <w:left w:val="none" w:sz="0" w:space="0" w:color="auto"/>
            <w:bottom w:val="none" w:sz="0" w:space="0" w:color="auto"/>
            <w:right w:val="none" w:sz="0" w:space="0" w:color="auto"/>
          </w:divBdr>
        </w:div>
        <w:div w:id="232158604">
          <w:marLeft w:val="446"/>
          <w:marRight w:val="0"/>
          <w:marTop w:val="0"/>
          <w:marBottom w:val="0"/>
          <w:divBdr>
            <w:top w:val="none" w:sz="0" w:space="0" w:color="auto"/>
            <w:left w:val="none" w:sz="0" w:space="0" w:color="auto"/>
            <w:bottom w:val="none" w:sz="0" w:space="0" w:color="auto"/>
            <w:right w:val="none" w:sz="0" w:space="0" w:color="auto"/>
          </w:divBdr>
        </w:div>
        <w:div w:id="564143879">
          <w:marLeft w:val="446"/>
          <w:marRight w:val="0"/>
          <w:marTop w:val="0"/>
          <w:marBottom w:val="0"/>
          <w:divBdr>
            <w:top w:val="none" w:sz="0" w:space="0" w:color="auto"/>
            <w:left w:val="none" w:sz="0" w:space="0" w:color="auto"/>
            <w:bottom w:val="none" w:sz="0" w:space="0" w:color="auto"/>
            <w:right w:val="none" w:sz="0" w:space="0" w:color="auto"/>
          </w:divBdr>
        </w:div>
        <w:div w:id="1334382122">
          <w:marLeft w:val="446"/>
          <w:marRight w:val="0"/>
          <w:marTop w:val="0"/>
          <w:marBottom w:val="0"/>
          <w:divBdr>
            <w:top w:val="none" w:sz="0" w:space="0" w:color="auto"/>
            <w:left w:val="none" w:sz="0" w:space="0" w:color="auto"/>
            <w:bottom w:val="none" w:sz="0" w:space="0" w:color="auto"/>
            <w:right w:val="none" w:sz="0" w:space="0" w:color="auto"/>
          </w:divBdr>
        </w:div>
        <w:div w:id="1486628178">
          <w:marLeft w:val="446"/>
          <w:marRight w:val="0"/>
          <w:marTop w:val="0"/>
          <w:marBottom w:val="0"/>
          <w:divBdr>
            <w:top w:val="none" w:sz="0" w:space="0" w:color="auto"/>
            <w:left w:val="none" w:sz="0" w:space="0" w:color="auto"/>
            <w:bottom w:val="none" w:sz="0" w:space="0" w:color="auto"/>
            <w:right w:val="none" w:sz="0" w:space="0" w:color="auto"/>
          </w:divBdr>
        </w:div>
        <w:div w:id="1784114348">
          <w:marLeft w:val="446"/>
          <w:marRight w:val="0"/>
          <w:marTop w:val="0"/>
          <w:marBottom w:val="0"/>
          <w:divBdr>
            <w:top w:val="none" w:sz="0" w:space="0" w:color="auto"/>
            <w:left w:val="none" w:sz="0" w:space="0" w:color="auto"/>
            <w:bottom w:val="none" w:sz="0" w:space="0" w:color="auto"/>
            <w:right w:val="none" w:sz="0" w:space="0" w:color="auto"/>
          </w:divBdr>
        </w:div>
        <w:div w:id="1168204645">
          <w:marLeft w:val="547"/>
          <w:marRight w:val="0"/>
          <w:marTop w:val="0"/>
          <w:marBottom w:val="0"/>
          <w:divBdr>
            <w:top w:val="none" w:sz="0" w:space="0" w:color="auto"/>
            <w:left w:val="none" w:sz="0" w:space="0" w:color="auto"/>
            <w:bottom w:val="none" w:sz="0" w:space="0" w:color="auto"/>
            <w:right w:val="none" w:sz="0" w:space="0" w:color="auto"/>
          </w:divBdr>
        </w:div>
        <w:div w:id="1783723196">
          <w:marLeft w:val="547"/>
          <w:marRight w:val="0"/>
          <w:marTop w:val="0"/>
          <w:marBottom w:val="0"/>
          <w:divBdr>
            <w:top w:val="none" w:sz="0" w:space="0" w:color="auto"/>
            <w:left w:val="none" w:sz="0" w:space="0" w:color="auto"/>
            <w:bottom w:val="none" w:sz="0" w:space="0" w:color="auto"/>
            <w:right w:val="none" w:sz="0" w:space="0" w:color="auto"/>
          </w:divBdr>
        </w:div>
        <w:div w:id="764882544">
          <w:marLeft w:val="547"/>
          <w:marRight w:val="0"/>
          <w:marTop w:val="0"/>
          <w:marBottom w:val="0"/>
          <w:divBdr>
            <w:top w:val="none" w:sz="0" w:space="0" w:color="auto"/>
            <w:left w:val="none" w:sz="0" w:space="0" w:color="auto"/>
            <w:bottom w:val="none" w:sz="0" w:space="0" w:color="auto"/>
            <w:right w:val="none" w:sz="0" w:space="0" w:color="auto"/>
          </w:divBdr>
        </w:div>
        <w:div w:id="215745679">
          <w:marLeft w:val="446"/>
          <w:marRight w:val="0"/>
          <w:marTop w:val="0"/>
          <w:marBottom w:val="0"/>
          <w:divBdr>
            <w:top w:val="none" w:sz="0" w:space="0" w:color="auto"/>
            <w:left w:val="none" w:sz="0" w:space="0" w:color="auto"/>
            <w:bottom w:val="none" w:sz="0" w:space="0" w:color="auto"/>
            <w:right w:val="none" w:sz="0" w:space="0" w:color="auto"/>
          </w:divBdr>
        </w:div>
      </w:divsChild>
    </w:div>
    <w:div w:id="294144155">
      <w:bodyDiv w:val="1"/>
      <w:marLeft w:val="0"/>
      <w:marRight w:val="0"/>
      <w:marTop w:val="0"/>
      <w:marBottom w:val="0"/>
      <w:divBdr>
        <w:top w:val="none" w:sz="0" w:space="0" w:color="auto"/>
        <w:left w:val="none" w:sz="0" w:space="0" w:color="auto"/>
        <w:bottom w:val="none" w:sz="0" w:space="0" w:color="auto"/>
        <w:right w:val="none" w:sz="0" w:space="0" w:color="auto"/>
      </w:divBdr>
    </w:div>
    <w:div w:id="303051013">
      <w:bodyDiv w:val="1"/>
      <w:marLeft w:val="0"/>
      <w:marRight w:val="0"/>
      <w:marTop w:val="0"/>
      <w:marBottom w:val="0"/>
      <w:divBdr>
        <w:top w:val="none" w:sz="0" w:space="0" w:color="auto"/>
        <w:left w:val="none" w:sz="0" w:space="0" w:color="auto"/>
        <w:bottom w:val="none" w:sz="0" w:space="0" w:color="auto"/>
        <w:right w:val="none" w:sz="0" w:space="0" w:color="auto"/>
      </w:divBdr>
    </w:div>
    <w:div w:id="336075600">
      <w:bodyDiv w:val="1"/>
      <w:marLeft w:val="0"/>
      <w:marRight w:val="0"/>
      <w:marTop w:val="0"/>
      <w:marBottom w:val="0"/>
      <w:divBdr>
        <w:top w:val="none" w:sz="0" w:space="0" w:color="auto"/>
        <w:left w:val="none" w:sz="0" w:space="0" w:color="auto"/>
        <w:bottom w:val="none" w:sz="0" w:space="0" w:color="auto"/>
        <w:right w:val="none" w:sz="0" w:space="0" w:color="auto"/>
      </w:divBdr>
    </w:div>
    <w:div w:id="352733411">
      <w:bodyDiv w:val="1"/>
      <w:marLeft w:val="0"/>
      <w:marRight w:val="0"/>
      <w:marTop w:val="0"/>
      <w:marBottom w:val="0"/>
      <w:divBdr>
        <w:top w:val="none" w:sz="0" w:space="0" w:color="auto"/>
        <w:left w:val="none" w:sz="0" w:space="0" w:color="auto"/>
        <w:bottom w:val="none" w:sz="0" w:space="0" w:color="auto"/>
        <w:right w:val="none" w:sz="0" w:space="0" w:color="auto"/>
      </w:divBdr>
    </w:div>
    <w:div w:id="397559181">
      <w:bodyDiv w:val="1"/>
      <w:marLeft w:val="0"/>
      <w:marRight w:val="0"/>
      <w:marTop w:val="0"/>
      <w:marBottom w:val="0"/>
      <w:divBdr>
        <w:top w:val="none" w:sz="0" w:space="0" w:color="auto"/>
        <w:left w:val="none" w:sz="0" w:space="0" w:color="auto"/>
        <w:bottom w:val="none" w:sz="0" w:space="0" w:color="auto"/>
        <w:right w:val="none" w:sz="0" w:space="0" w:color="auto"/>
      </w:divBdr>
      <w:divsChild>
        <w:div w:id="151068583">
          <w:marLeft w:val="547"/>
          <w:marRight w:val="0"/>
          <w:marTop w:val="0"/>
          <w:marBottom w:val="0"/>
          <w:divBdr>
            <w:top w:val="none" w:sz="0" w:space="0" w:color="auto"/>
            <w:left w:val="none" w:sz="0" w:space="0" w:color="auto"/>
            <w:bottom w:val="none" w:sz="0" w:space="0" w:color="auto"/>
            <w:right w:val="none" w:sz="0" w:space="0" w:color="auto"/>
          </w:divBdr>
        </w:div>
        <w:div w:id="1143933236">
          <w:marLeft w:val="547"/>
          <w:marRight w:val="0"/>
          <w:marTop w:val="0"/>
          <w:marBottom w:val="0"/>
          <w:divBdr>
            <w:top w:val="none" w:sz="0" w:space="0" w:color="auto"/>
            <w:left w:val="none" w:sz="0" w:space="0" w:color="auto"/>
            <w:bottom w:val="none" w:sz="0" w:space="0" w:color="auto"/>
            <w:right w:val="none" w:sz="0" w:space="0" w:color="auto"/>
          </w:divBdr>
        </w:div>
      </w:divsChild>
    </w:div>
    <w:div w:id="468284879">
      <w:bodyDiv w:val="1"/>
      <w:marLeft w:val="0"/>
      <w:marRight w:val="0"/>
      <w:marTop w:val="0"/>
      <w:marBottom w:val="0"/>
      <w:divBdr>
        <w:top w:val="none" w:sz="0" w:space="0" w:color="auto"/>
        <w:left w:val="none" w:sz="0" w:space="0" w:color="auto"/>
        <w:bottom w:val="none" w:sz="0" w:space="0" w:color="auto"/>
        <w:right w:val="none" w:sz="0" w:space="0" w:color="auto"/>
      </w:divBdr>
    </w:div>
    <w:div w:id="474492626">
      <w:bodyDiv w:val="1"/>
      <w:marLeft w:val="0"/>
      <w:marRight w:val="0"/>
      <w:marTop w:val="0"/>
      <w:marBottom w:val="0"/>
      <w:divBdr>
        <w:top w:val="none" w:sz="0" w:space="0" w:color="auto"/>
        <w:left w:val="none" w:sz="0" w:space="0" w:color="auto"/>
        <w:bottom w:val="none" w:sz="0" w:space="0" w:color="auto"/>
        <w:right w:val="none" w:sz="0" w:space="0" w:color="auto"/>
      </w:divBdr>
    </w:div>
    <w:div w:id="491336253">
      <w:bodyDiv w:val="1"/>
      <w:marLeft w:val="0"/>
      <w:marRight w:val="0"/>
      <w:marTop w:val="0"/>
      <w:marBottom w:val="0"/>
      <w:divBdr>
        <w:top w:val="none" w:sz="0" w:space="0" w:color="auto"/>
        <w:left w:val="none" w:sz="0" w:space="0" w:color="auto"/>
        <w:bottom w:val="none" w:sz="0" w:space="0" w:color="auto"/>
        <w:right w:val="none" w:sz="0" w:space="0" w:color="auto"/>
      </w:divBdr>
      <w:divsChild>
        <w:div w:id="2020883056">
          <w:marLeft w:val="547"/>
          <w:marRight w:val="0"/>
          <w:marTop w:val="0"/>
          <w:marBottom w:val="0"/>
          <w:divBdr>
            <w:top w:val="none" w:sz="0" w:space="0" w:color="auto"/>
            <w:left w:val="none" w:sz="0" w:space="0" w:color="auto"/>
            <w:bottom w:val="none" w:sz="0" w:space="0" w:color="auto"/>
            <w:right w:val="none" w:sz="0" w:space="0" w:color="auto"/>
          </w:divBdr>
        </w:div>
        <w:div w:id="905726423">
          <w:marLeft w:val="547"/>
          <w:marRight w:val="0"/>
          <w:marTop w:val="0"/>
          <w:marBottom w:val="0"/>
          <w:divBdr>
            <w:top w:val="none" w:sz="0" w:space="0" w:color="auto"/>
            <w:left w:val="none" w:sz="0" w:space="0" w:color="auto"/>
            <w:bottom w:val="none" w:sz="0" w:space="0" w:color="auto"/>
            <w:right w:val="none" w:sz="0" w:space="0" w:color="auto"/>
          </w:divBdr>
        </w:div>
        <w:div w:id="1236472789">
          <w:marLeft w:val="547"/>
          <w:marRight w:val="0"/>
          <w:marTop w:val="0"/>
          <w:marBottom w:val="0"/>
          <w:divBdr>
            <w:top w:val="none" w:sz="0" w:space="0" w:color="auto"/>
            <w:left w:val="none" w:sz="0" w:space="0" w:color="auto"/>
            <w:bottom w:val="none" w:sz="0" w:space="0" w:color="auto"/>
            <w:right w:val="none" w:sz="0" w:space="0" w:color="auto"/>
          </w:divBdr>
        </w:div>
        <w:div w:id="717241912">
          <w:marLeft w:val="547"/>
          <w:marRight w:val="0"/>
          <w:marTop w:val="0"/>
          <w:marBottom w:val="0"/>
          <w:divBdr>
            <w:top w:val="none" w:sz="0" w:space="0" w:color="auto"/>
            <w:left w:val="none" w:sz="0" w:space="0" w:color="auto"/>
            <w:bottom w:val="none" w:sz="0" w:space="0" w:color="auto"/>
            <w:right w:val="none" w:sz="0" w:space="0" w:color="auto"/>
          </w:divBdr>
        </w:div>
        <w:div w:id="996155603">
          <w:marLeft w:val="547"/>
          <w:marRight w:val="0"/>
          <w:marTop w:val="0"/>
          <w:marBottom w:val="0"/>
          <w:divBdr>
            <w:top w:val="none" w:sz="0" w:space="0" w:color="auto"/>
            <w:left w:val="none" w:sz="0" w:space="0" w:color="auto"/>
            <w:bottom w:val="none" w:sz="0" w:space="0" w:color="auto"/>
            <w:right w:val="none" w:sz="0" w:space="0" w:color="auto"/>
          </w:divBdr>
        </w:div>
        <w:div w:id="1559365159">
          <w:marLeft w:val="547"/>
          <w:marRight w:val="0"/>
          <w:marTop w:val="0"/>
          <w:marBottom w:val="0"/>
          <w:divBdr>
            <w:top w:val="none" w:sz="0" w:space="0" w:color="auto"/>
            <w:left w:val="none" w:sz="0" w:space="0" w:color="auto"/>
            <w:bottom w:val="none" w:sz="0" w:space="0" w:color="auto"/>
            <w:right w:val="none" w:sz="0" w:space="0" w:color="auto"/>
          </w:divBdr>
        </w:div>
        <w:div w:id="1047493163">
          <w:marLeft w:val="547"/>
          <w:marRight w:val="0"/>
          <w:marTop w:val="0"/>
          <w:marBottom w:val="0"/>
          <w:divBdr>
            <w:top w:val="none" w:sz="0" w:space="0" w:color="auto"/>
            <w:left w:val="none" w:sz="0" w:space="0" w:color="auto"/>
            <w:bottom w:val="none" w:sz="0" w:space="0" w:color="auto"/>
            <w:right w:val="none" w:sz="0" w:space="0" w:color="auto"/>
          </w:divBdr>
        </w:div>
      </w:divsChild>
    </w:div>
    <w:div w:id="505558481">
      <w:bodyDiv w:val="1"/>
      <w:marLeft w:val="0"/>
      <w:marRight w:val="0"/>
      <w:marTop w:val="0"/>
      <w:marBottom w:val="0"/>
      <w:divBdr>
        <w:top w:val="none" w:sz="0" w:space="0" w:color="auto"/>
        <w:left w:val="none" w:sz="0" w:space="0" w:color="auto"/>
        <w:bottom w:val="none" w:sz="0" w:space="0" w:color="auto"/>
        <w:right w:val="none" w:sz="0" w:space="0" w:color="auto"/>
      </w:divBdr>
    </w:div>
    <w:div w:id="583689683">
      <w:bodyDiv w:val="1"/>
      <w:marLeft w:val="0"/>
      <w:marRight w:val="0"/>
      <w:marTop w:val="0"/>
      <w:marBottom w:val="0"/>
      <w:divBdr>
        <w:top w:val="none" w:sz="0" w:space="0" w:color="auto"/>
        <w:left w:val="none" w:sz="0" w:space="0" w:color="auto"/>
        <w:bottom w:val="none" w:sz="0" w:space="0" w:color="auto"/>
        <w:right w:val="none" w:sz="0" w:space="0" w:color="auto"/>
      </w:divBdr>
      <w:divsChild>
        <w:div w:id="1716850402">
          <w:marLeft w:val="446"/>
          <w:marRight w:val="0"/>
          <w:marTop w:val="0"/>
          <w:marBottom w:val="0"/>
          <w:divBdr>
            <w:top w:val="none" w:sz="0" w:space="0" w:color="auto"/>
            <w:left w:val="none" w:sz="0" w:space="0" w:color="auto"/>
            <w:bottom w:val="none" w:sz="0" w:space="0" w:color="auto"/>
            <w:right w:val="none" w:sz="0" w:space="0" w:color="auto"/>
          </w:divBdr>
        </w:div>
        <w:div w:id="1155491080">
          <w:marLeft w:val="446"/>
          <w:marRight w:val="0"/>
          <w:marTop w:val="0"/>
          <w:marBottom w:val="0"/>
          <w:divBdr>
            <w:top w:val="none" w:sz="0" w:space="0" w:color="auto"/>
            <w:left w:val="none" w:sz="0" w:space="0" w:color="auto"/>
            <w:bottom w:val="none" w:sz="0" w:space="0" w:color="auto"/>
            <w:right w:val="none" w:sz="0" w:space="0" w:color="auto"/>
          </w:divBdr>
        </w:div>
      </w:divsChild>
    </w:div>
    <w:div w:id="583802382">
      <w:bodyDiv w:val="1"/>
      <w:marLeft w:val="0"/>
      <w:marRight w:val="0"/>
      <w:marTop w:val="0"/>
      <w:marBottom w:val="0"/>
      <w:divBdr>
        <w:top w:val="none" w:sz="0" w:space="0" w:color="auto"/>
        <w:left w:val="none" w:sz="0" w:space="0" w:color="auto"/>
        <w:bottom w:val="none" w:sz="0" w:space="0" w:color="auto"/>
        <w:right w:val="none" w:sz="0" w:space="0" w:color="auto"/>
      </w:divBdr>
    </w:div>
    <w:div w:id="610741019">
      <w:bodyDiv w:val="1"/>
      <w:marLeft w:val="0"/>
      <w:marRight w:val="0"/>
      <w:marTop w:val="0"/>
      <w:marBottom w:val="0"/>
      <w:divBdr>
        <w:top w:val="none" w:sz="0" w:space="0" w:color="auto"/>
        <w:left w:val="none" w:sz="0" w:space="0" w:color="auto"/>
        <w:bottom w:val="none" w:sz="0" w:space="0" w:color="auto"/>
        <w:right w:val="none" w:sz="0" w:space="0" w:color="auto"/>
      </w:divBdr>
      <w:divsChild>
        <w:div w:id="1745561676">
          <w:marLeft w:val="1411"/>
          <w:marRight w:val="0"/>
          <w:marTop w:val="0"/>
          <w:marBottom w:val="0"/>
          <w:divBdr>
            <w:top w:val="none" w:sz="0" w:space="0" w:color="auto"/>
            <w:left w:val="none" w:sz="0" w:space="0" w:color="auto"/>
            <w:bottom w:val="none" w:sz="0" w:space="0" w:color="auto"/>
            <w:right w:val="none" w:sz="0" w:space="0" w:color="auto"/>
          </w:divBdr>
        </w:div>
        <w:div w:id="1695425523">
          <w:marLeft w:val="1411"/>
          <w:marRight w:val="0"/>
          <w:marTop w:val="0"/>
          <w:marBottom w:val="0"/>
          <w:divBdr>
            <w:top w:val="none" w:sz="0" w:space="0" w:color="auto"/>
            <w:left w:val="none" w:sz="0" w:space="0" w:color="auto"/>
            <w:bottom w:val="none" w:sz="0" w:space="0" w:color="auto"/>
            <w:right w:val="none" w:sz="0" w:space="0" w:color="auto"/>
          </w:divBdr>
        </w:div>
        <w:div w:id="1703165079">
          <w:marLeft w:val="1411"/>
          <w:marRight w:val="0"/>
          <w:marTop w:val="0"/>
          <w:marBottom w:val="0"/>
          <w:divBdr>
            <w:top w:val="none" w:sz="0" w:space="0" w:color="auto"/>
            <w:left w:val="none" w:sz="0" w:space="0" w:color="auto"/>
            <w:bottom w:val="none" w:sz="0" w:space="0" w:color="auto"/>
            <w:right w:val="none" w:sz="0" w:space="0" w:color="auto"/>
          </w:divBdr>
        </w:div>
        <w:div w:id="1078361312">
          <w:marLeft w:val="1411"/>
          <w:marRight w:val="0"/>
          <w:marTop w:val="0"/>
          <w:marBottom w:val="0"/>
          <w:divBdr>
            <w:top w:val="none" w:sz="0" w:space="0" w:color="auto"/>
            <w:left w:val="none" w:sz="0" w:space="0" w:color="auto"/>
            <w:bottom w:val="none" w:sz="0" w:space="0" w:color="auto"/>
            <w:right w:val="none" w:sz="0" w:space="0" w:color="auto"/>
          </w:divBdr>
        </w:div>
        <w:div w:id="279802802">
          <w:marLeft w:val="1411"/>
          <w:marRight w:val="0"/>
          <w:marTop w:val="0"/>
          <w:marBottom w:val="0"/>
          <w:divBdr>
            <w:top w:val="none" w:sz="0" w:space="0" w:color="auto"/>
            <w:left w:val="none" w:sz="0" w:space="0" w:color="auto"/>
            <w:bottom w:val="none" w:sz="0" w:space="0" w:color="auto"/>
            <w:right w:val="none" w:sz="0" w:space="0" w:color="auto"/>
          </w:divBdr>
        </w:div>
      </w:divsChild>
    </w:div>
    <w:div w:id="628900901">
      <w:bodyDiv w:val="1"/>
      <w:marLeft w:val="0"/>
      <w:marRight w:val="0"/>
      <w:marTop w:val="0"/>
      <w:marBottom w:val="0"/>
      <w:divBdr>
        <w:top w:val="none" w:sz="0" w:space="0" w:color="auto"/>
        <w:left w:val="none" w:sz="0" w:space="0" w:color="auto"/>
        <w:bottom w:val="none" w:sz="0" w:space="0" w:color="auto"/>
        <w:right w:val="none" w:sz="0" w:space="0" w:color="auto"/>
      </w:divBdr>
      <w:divsChild>
        <w:div w:id="745953685">
          <w:marLeft w:val="446"/>
          <w:marRight w:val="0"/>
          <w:marTop w:val="0"/>
          <w:marBottom w:val="0"/>
          <w:divBdr>
            <w:top w:val="none" w:sz="0" w:space="0" w:color="auto"/>
            <w:left w:val="none" w:sz="0" w:space="0" w:color="auto"/>
            <w:bottom w:val="none" w:sz="0" w:space="0" w:color="auto"/>
            <w:right w:val="none" w:sz="0" w:space="0" w:color="auto"/>
          </w:divBdr>
        </w:div>
        <w:div w:id="1754551891">
          <w:marLeft w:val="446"/>
          <w:marRight w:val="0"/>
          <w:marTop w:val="0"/>
          <w:marBottom w:val="0"/>
          <w:divBdr>
            <w:top w:val="none" w:sz="0" w:space="0" w:color="auto"/>
            <w:left w:val="none" w:sz="0" w:space="0" w:color="auto"/>
            <w:bottom w:val="none" w:sz="0" w:space="0" w:color="auto"/>
            <w:right w:val="none" w:sz="0" w:space="0" w:color="auto"/>
          </w:divBdr>
        </w:div>
      </w:divsChild>
    </w:div>
    <w:div w:id="653797852">
      <w:bodyDiv w:val="1"/>
      <w:marLeft w:val="0"/>
      <w:marRight w:val="0"/>
      <w:marTop w:val="0"/>
      <w:marBottom w:val="0"/>
      <w:divBdr>
        <w:top w:val="none" w:sz="0" w:space="0" w:color="auto"/>
        <w:left w:val="none" w:sz="0" w:space="0" w:color="auto"/>
        <w:bottom w:val="none" w:sz="0" w:space="0" w:color="auto"/>
        <w:right w:val="none" w:sz="0" w:space="0" w:color="auto"/>
      </w:divBdr>
    </w:div>
    <w:div w:id="673654925">
      <w:bodyDiv w:val="1"/>
      <w:marLeft w:val="0"/>
      <w:marRight w:val="0"/>
      <w:marTop w:val="0"/>
      <w:marBottom w:val="0"/>
      <w:divBdr>
        <w:top w:val="none" w:sz="0" w:space="0" w:color="auto"/>
        <w:left w:val="none" w:sz="0" w:space="0" w:color="auto"/>
        <w:bottom w:val="none" w:sz="0" w:space="0" w:color="auto"/>
        <w:right w:val="none" w:sz="0" w:space="0" w:color="auto"/>
      </w:divBdr>
      <w:divsChild>
        <w:div w:id="798646859">
          <w:marLeft w:val="547"/>
          <w:marRight w:val="0"/>
          <w:marTop w:val="0"/>
          <w:marBottom w:val="0"/>
          <w:divBdr>
            <w:top w:val="none" w:sz="0" w:space="0" w:color="auto"/>
            <w:left w:val="none" w:sz="0" w:space="0" w:color="auto"/>
            <w:bottom w:val="none" w:sz="0" w:space="0" w:color="auto"/>
            <w:right w:val="none" w:sz="0" w:space="0" w:color="auto"/>
          </w:divBdr>
        </w:div>
        <w:div w:id="87773489">
          <w:marLeft w:val="547"/>
          <w:marRight w:val="0"/>
          <w:marTop w:val="0"/>
          <w:marBottom w:val="0"/>
          <w:divBdr>
            <w:top w:val="none" w:sz="0" w:space="0" w:color="auto"/>
            <w:left w:val="none" w:sz="0" w:space="0" w:color="auto"/>
            <w:bottom w:val="none" w:sz="0" w:space="0" w:color="auto"/>
            <w:right w:val="none" w:sz="0" w:space="0" w:color="auto"/>
          </w:divBdr>
        </w:div>
        <w:div w:id="246035413">
          <w:marLeft w:val="547"/>
          <w:marRight w:val="0"/>
          <w:marTop w:val="0"/>
          <w:marBottom w:val="0"/>
          <w:divBdr>
            <w:top w:val="none" w:sz="0" w:space="0" w:color="auto"/>
            <w:left w:val="none" w:sz="0" w:space="0" w:color="auto"/>
            <w:bottom w:val="none" w:sz="0" w:space="0" w:color="auto"/>
            <w:right w:val="none" w:sz="0" w:space="0" w:color="auto"/>
          </w:divBdr>
        </w:div>
        <w:div w:id="1838810342">
          <w:marLeft w:val="547"/>
          <w:marRight w:val="0"/>
          <w:marTop w:val="0"/>
          <w:marBottom w:val="0"/>
          <w:divBdr>
            <w:top w:val="none" w:sz="0" w:space="0" w:color="auto"/>
            <w:left w:val="none" w:sz="0" w:space="0" w:color="auto"/>
            <w:bottom w:val="none" w:sz="0" w:space="0" w:color="auto"/>
            <w:right w:val="none" w:sz="0" w:space="0" w:color="auto"/>
          </w:divBdr>
        </w:div>
        <w:div w:id="1509758816">
          <w:marLeft w:val="547"/>
          <w:marRight w:val="0"/>
          <w:marTop w:val="0"/>
          <w:marBottom w:val="0"/>
          <w:divBdr>
            <w:top w:val="none" w:sz="0" w:space="0" w:color="auto"/>
            <w:left w:val="none" w:sz="0" w:space="0" w:color="auto"/>
            <w:bottom w:val="none" w:sz="0" w:space="0" w:color="auto"/>
            <w:right w:val="none" w:sz="0" w:space="0" w:color="auto"/>
          </w:divBdr>
        </w:div>
        <w:div w:id="986518742">
          <w:marLeft w:val="547"/>
          <w:marRight w:val="0"/>
          <w:marTop w:val="0"/>
          <w:marBottom w:val="0"/>
          <w:divBdr>
            <w:top w:val="none" w:sz="0" w:space="0" w:color="auto"/>
            <w:left w:val="none" w:sz="0" w:space="0" w:color="auto"/>
            <w:bottom w:val="none" w:sz="0" w:space="0" w:color="auto"/>
            <w:right w:val="none" w:sz="0" w:space="0" w:color="auto"/>
          </w:divBdr>
        </w:div>
        <w:div w:id="1865173193">
          <w:marLeft w:val="547"/>
          <w:marRight w:val="0"/>
          <w:marTop w:val="0"/>
          <w:marBottom w:val="0"/>
          <w:divBdr>
            <w:top w:val="none" w:sz="0" w:space="0" w:color="auto"/>
            <w:left w:val="none" w:sz="0" w:space="0" w:color="auto"/>
            <w:bottom w:val="none" w:sz="0" w:space="0" w:color="auto"/>
            <w:right w:val="none" w:sz="0" w:space="0" w:color="auto"/>
          </w:divBdr>
        </w:div>
        <w:div w:id="76486853">
          <w:marLeft w:val="547"/>
          <w:marRight w:val="0"/>
          <w:marTop w:val="0"/>
          <w:marBottom w:val="0"/>
          <w:divBdr>
            <w:top w:val="none" w:sz="0" w:space="0" w:color="auto"/>
            <w:left w:val="none" w:sz="0" w:space="0" w:color="auto"/>
            <w:bottom w:val="none" w:sz="0" w:space="0" w:color="auto"/>
            <w:right w:val="none" w:sz="0" w:space="0" w:color="auto"/>
          </w:divBdr>
        </w:div>
        <w:div w:id="1987666704">
          <w:marLeft w:val="1080"/>
          <w:marRight w:val="0"/>
          <w:marTop w:val="0"/>
          <w:marBottom w:val="0"/>
          <w:divBdr>
            <w:top w:val="none" w:sz="0" w:space="0" w:color="auto"/>
            <w:left w:val="none" w:sz="0" w:space="0" w:color="auto"/>
            <w:bottom w:val="none" w:sz="0" w:space="0" w:color="auto"/>
            <w:right w:val="none" w:sz="0" w:space="0" w:color="auto"/>
          </w:divBdr>
        </w:div>
        <w:div w:id="362676839">
          <w:marLeft w:val="1080"/>
          <w:marRight w:val="0"/>
          <w:marTop w:val="0"/>
          <w:marBottom w:val="0"/>
          <w:divBdr>
            <w:top w:val="none" w:sz="0" w:space="0" w:color="auto"/>
            <w:left w:val="none" w:sz="0" w:space="0" w:color="auto"/>
            <w:bottom w:val="none" w:sz="0" w:space="0" w:color="auto"/>
            <w:right w:val="none" w:sz="0" w:space="0" w:color="auto"/>
          </w:divBdr>
        </w:div>
        <w:div w:id="423914299">
          <w:marLeft w:val="1080"/>
          <w:marRight w:val="0"/>
          <w:marTop w:val="0"/>
          <w:marBottom w:val="0"/>
          <w:divBdr>
            <w:top w:val="none" w:sz="0" w:space="0" w:color="auto"/>
            <w:left w:val="none" w:sz="0" w:space="0" w:color="auto"/>
            <w:bottom w:val="none" w:sz="0" w:space="0" w:color="auto"/>
            <w:right w:val="none" w:sz="0" w:space="0" w:color="auto"/>
          </w:divBdr>
        </w:div>
        <w:div w:id="1450851200">
          <w:marLeft w:val="547"/>
          <w:marRight w:val="0"/>
          <w:marTop w:val="0"/>
          <w:marBottom w:val="0"/>
          <w:divBdr>
            <w:top w:val="none" w:sz="0" w:space="0" w:color="auto"/>
            <w:left w:val="none" w:sz="0" w:space="0" w:color="auto"/>
            <w:bottom w:val="none" w:sz="0" w:space="0" w:color="auto"/>
            <w:right w:val="none" w:sz="0" w:space="0" w:color="auto"/>
          </w:divBdr>
        </w:div>
        <w:div w:id="1961377730">
          <w:marLeft w:val="547"/>
          <w:marRight w:val="0"/>
          <w:marTop w:val="0"/>
          <w:marBottom w:val="0"/>
          <w:divBdr>
            <w:top w:val="none" w:sz="0" w:space="0" w:color="auto"/>
            <w:left w:val="none" w:sz="0" w:space="0" w:color="auto"/>
            <w:bottom w:val="none" w:sz="0" w:space="0" w:color="auto"/>
            <w:right w:val="none" w:sz="0" w:space="0" w:color="auto"/>
          </w:divBdr>
        </w:div>
        <w:div w:id="1326399155">
          <w:marLeft w:val="547"/>
          <w:marRight w:val="0"/>
          <w:marTop w:val="0"/>
          <w:marBottom w:val="0"/>
          <w:divBdr>
            <w:top w:val="none" w:sz="0" w:space="0" w:color="auto"/>
            <w:left w:val="none" w:sz="0" w:space="0" w:color="auto"/>
            <w:bottom w:val="none" w:sz="0" w:space="0" w:color="auto"/>
            <w:right w:val="none" w:sz="0" w:space="0" w:color="auto"/>
          </w:divBdr>
        </w:div>
        <w:div w:id="1275598087">
          <w:marLeft w:val="547"/>
          <w:marRight w:val="0"/>
          <w:marTop w:val="0"/>
          <w:marBottom w:val="0"/>
          <w:divBdr>
            <w:top w:val="none" w:sz="0" w:space="0" w:color="auto"/>
            <w:left w:val="none" w:sz="0" w:space="0" w:color="auto"/>
            <w:bottom w:val="none" w:sz="0" w:space="0" w:color="auto"/>
            <w:right w:val="none" w:sz="0" w:space="0" w:color="auto"/>
          </w:divBdr>
        </w:div>
        <w:div w:id="1015036997">
          <w:marLeft w:val="547"/>
          <w:marRight w:val="0"/>
          <w:marTop w:val="0"/>
          <w:marBottom w:val="0"/>
          <w:divBdr>
            <w:top w:val="none" w:sz="0" w:space="0" w:color="auto"/>
            <w:left w:val="none" w:sz="0" w:space="0" w:color="auto"/>
            <w:bottom w:val="none" w:sz="0" w:space="0" w:color="auto"/>
            <w:right w:val="none" w:sz="0" w:space="0" w:color="auto"/>
          </w:divBdr>
        </w:div>
        <w:div w:id="1965884681">
          <w:marLeft w:val="547"/>
          <w:marRight w:val="0"/>
          <w:marTop w:val="0"/>
          <w:marBottom w:val="0"/>
          <w:divBdr>
            <w:top w:val="none" w:sz="0" w:space="0" w:color="auto"/>
            <w:left w:val="none" w:sz="0" w:space="0" w:color="auto"/>
            <w:bottom w:val="none" w:sz="0" w:space="0" w:color="auto"/>
            <w:right w:val="none" w:sz="0" w:space="0" w:color="auto"/>
          </w:divBdr>
        </w:div>
      </w:divsChild>
    </w:div>
    <w:div w:id="687759087">
      <w:bodyDiv w:val="1"/>
      <w:marLeft w:val="0"/>
      <w:marRight w:val="0"/>
      <w:marTop w:val="0"/>
      <w:marBottom w:val="0"/>
      <w:divBdr>
        <w:top w:val="none" w:sz="0" w:space="0" w:color="auto"/>
        <w:left w:val="none" w:sz="0" w:space="0" w:color="auto"/>
        <w:bottom w:val="none" w:sz="0" w:space="0" w:color="auto"/>
        <w:right w:val="none" w:sz="0" w:space="0" w:color="auto"/>
      </w:divBdr>
    </w:div>
    <w:div w:id="712533416">
      <w:bodyDiv w:val="1"/>
      <w:marLeft w:val="0"/>
      <w:marRight w:val="0"/>
      <w:marTop w:val="0"/>
      <w:marBottom w:val="0"/>
      <w:divBdr>
        <w:top w:val="none" w:sz="0" w:space="0" w:color="auto"/>
        <w:left w:val="none" w:sz="0" w:space="0" w:color="auto"/>
        <w:bottom w:val="none" w:sz="0" w:space="0" w:color="auto"/>
        <w:right w:val="none" w:sz="0" w:space="0" w:color="auto"/>
      </w:divBdr>
      <w:divsChild>
        <w:div w:id="919408883">
          <w:marLeft w:val="1570"/>
          <w:marRight w:val="0"/>
          <w:marTop w:val="0"/>
          <w:marBottom w:val="0"/>
          <w:divBdr>
            <w:top w:val="none" w:sz="0" w:space="0" w:color="auto"/>
            <w:left w:val="none" w:sz="0" w:space="0" w:color="auto"/>
            <w:bottom w:val="none" w:sz="0" w:space="0" w:color="auto"/>
            <w:right w:val="none" w:sz="0" w:space="0" w:color="auto"/>
          </w:divBdr>
        </w:div>
        <w:div w:id="1410466560">
          <w:marLeft w:val="1570"/>
          <w:marRight w:val="0"/>
          <w:marTop w:val="0"/>
          <w:marBottom w:val="0"/>
          <w:divBdr>
            <w:top w:val="none" w:sz="0" w:space="0" w:color="auto"/>
            <w:left w:val="none" w:sz="0" w:space="0" w:color="auto"/>
            <w:bottom w:val="none" w:sz="0" w:space="0" w:color="auto"/>
            <w:right w:val="none" w:sz="0" w:space="0" w:color="auto"/>
          </w:divBdr>
        </w:div>
      </w:divsChild>
    </w:div>
    <w:div w:id="716009257">
      <w:bodyDiv w:val="1"/>
      <w:marLeft w:val="0"/>
      <w:marRight w:val="0"/>
      <w:marTop w:val="0"/>
      <w:marBottom w:val="0"/>
      <w:divBdr>
        <w:top w:val="none" w:sz="0" w:space="0" w:color="auto"/>
        <w:left w:val="none" w:sz="0" w:space="0" w:color="auto"/>
        <w:bottom w:val="none" w:sz="0" w:space="0" w:color="auto"/>
        <w:right w:val="none" w:sz="0" w:space="0" w:color="auto"/>
      </w:divBdr>
    </w:div>
    <w:div w:id="763451597">
      <w:bodyDiv w:val="1"/>
      <w:marLeft w:val="0"/>
      <w:marRight w:val="0"/>
      <w:marTop w:val="0"/>
      <w:marBottom w:val="0"/>
      <w:divBdr>
        <w:top w:val="none" w:sz="0" w:space="0" w:color="auto"/>
        <w:left w:val="none" w:sz="0" w:space="0" w:color="auto"/>
        <w:bottom w:val="none" w:sz="0" w:space="0" w:color="auto"/>
        <w:right w:val="none" w:sz="0" w:space="0" w:color="auto"/>
      </w:divBdr>
      <w:divsChild>
        <w:div w:id="112141414">
          <w:marLeft w:val="619"/>
          <w:marRight w:val="0"/>
          <w:marTop w:val="86"/>
          <w:marBottom w:val="0"/>
          <w:divBdr>
            <w:top w:val="none" w:sz="0" w:space="0" w:color="auto"/>
            <w:left w:val="none" w:sz="0" w:space="0" w:color="auto"/>
            <w:bottom w:val="none" w:sz="0" w:space="0" w:color="auto"/>
            <w:right w:val="none" w:sz="0" w:space="0" w:color="auto"/>
          </w:divBdr>
        </w:div>
        <w:div w:id="896865711">
          <w:marLeft w:val="619"/>
          <w:marRight w:val="0"/>
          <w:marTop w:val="86"/>
          <w:marBottom w:val="0"/>
          <w:divBdr>
            <w:top w:val="none" w:sz="0" w:space="0" w:color="auto"/>
            <w:left w:val="none" w:sz="0" w:space="0" w:color="auto"/>
            <w:bottom w:val="none" w:sz="0" w:space="0" w:color="auto"/>
            <w:right w:val="none" w:sz="0" w:space="0" w:color="auto"/>
          </w:divBdr>
        </w:div>
        <w:div w:id="1326713583">
          <w:marLeft w:val="619"/>
          <w:marRight w:val="0"/>
          <w:marTop w:val="86"/>
          <w:marBottom w:val="0"/>
          <w:divBdr>
            <w:top w:val="none" w:sz="0" w:space="0" w:color="auto"/>
            <w:left w:val="none" w:sz="0" w:space="0" w:color="auto"/>
            <w:bottom w:val="none" w:sz="0" w:space="0" w:color="auto"/>
            <w:right w:val="none" w:sz="0" w:space="0" w:color="auto"/>
          </w:divBdr>
        </w:div>
        <w:div w:id="1280409050">
          <w:marLeft w:val="619"/>
          <w:marRight w:val="0"/>
          <w:marTop w:val="86"/>
          <w:marBottom w:val="0"/>
          <w:divBdr>
            <w:top w:val="none" w:sz="0" w:space="0" w:color="auto"/>
            <w:left w:val="none" w:sz="0" w:space="0" w:color="auto"/>
            <w:bottom w:val="none" w:sz="0" w:space="0" w:color="auto"/>
            <w:right w:val="none" w:sz="0" w:space="0" w:color="auto"/>
          </w:divBdr>
        </w:div>
        <w:div w:id="344527187">
          <w:marLeft w:val="619"/>
          <w:marRight w:val="0"/>
          <w:marTop w:val="86"/>
          <w:marBottom w:val="0"/>
          <w:divBdr>
            <w:top w:val="none" w:sz="0" w:space="0" w:color="auto"/>
            <w:left w:val="none" w:sz="0" w:space="0" w:color="auto"/>
            <w:bottom w:val="none" w:sz="0" w:space="0" w:color="auto"/>
            <w:right w:val="none" w:sz="0" w:space="0" w:color="auto"/>
          </w:divBdr>
        </w:div>
      </w:divsChild>
    </w:div>
    <w:div w:id="813453143">
      <w:bodyDiv w:val="1"/>
      <w:marLeft w:val="0"/>
      <w:marRight w:val="0"/>
      <w:marTop w:val="0"/>
      <w:marBottom w:val="0"/>
      <w:divBdr>
        <w:top w:val="none" w:sz="0" w:space="0" w:color="auto"/>
        <w:left w:val="none" w:sz="0" w:space="0" w:color="auto"/>
        <w:bottom w:val="none" w:sz="0" w:space="0" w:color="auto"/>
        <w:right w:val="none" w:sz="0" w:space="0" w:color="auto"/>
      </w:divBdr>
    </w:div>
    <w:div w:id="825435699">
      <w:bodyDiv w:val="1"/>
      <w:marLeft w:val="0"/>
      <w:marRight w:val="0"/>
      <w:marTop w:val="0"/>
      <w:marBottom w:val="0"/>
      <w:divBdr>
        <w:top w:val="none" w:sz="0" w:space="0" w:color="auto"/>
        <w:left w:val="none" w:sz="0" w:space="0" w:color="auto"/>
        <w:bottom w:val="none" w:sz="0" w:space="0" w:color="auto"/>
        <w:right w:val="none" w:sz="0" w:space="0" w:color="auto"/>
      </w:divBdr>
    </w:div>
    <w:div w:id="892428597">
      <w:bodyDiv w:val="1"/>
      <w:marLeft w:val="0"/>
      <w:marRight w:val="0"/>
      <w:marTop w:val="0"/>
      <w:marBottom w:val="0"/>
      <w:divBdr>
        <w:top w:val="none" w:sz="0" w:space="0" w:color="auto"/>
        <w:left w:val="none" w:sz="0" w:space="0" w:color="auto"/>
        <w:bottom w:val="none" w:sz="0" w:space="0" w:color="auto"/>
        <w:right w:val="none" w:sz="0" w:space="0" w:color="auto"/>
      </w:divBdr>
    </w:div>
    <w:div w:id="911038445">
      <w:bodyDiv w:val="1"/>
      <w:marLeft w:val="0"/>
      <w:marRight w:val="0"/>
      <w:marTop w:val="0"/>
      <w:marBottom w:val="0"/>
      <w:divBdr>
        <w:top w:val="none" w:sz="0" w:space="0" w:color="auto"/>
        <w:left w:val="none" w:sz="0" w:space="0" w:color="auto"/>
        <w:bottom w:val="none" w:sz="0" w:space="0" w:color="auto"/>
        <w:right w:val="none" w:sz="0" w:space="0" w:color="auto"/>
      </w:divBdr>
    </w:div>
    <w:div w:id="914558662">
      <w:bodyDiv w:val="1"/>
      <w:marLeft w:val="0"/>
      <w:marRight w:val="0"/>
      <w:marTop w:val="0"/>
      <w:marBottom w:val="0"/>
      <w:divBdr>
        <w:top w:val="none" w:sz="0" w:space="0" w:color="auto"/>
        <w:left w:val="none" w:sz="0" w:space="0" w:color="auto"/>
        <w:bottom w:val="none" w:sz="0" w:space="0" w:color="auto"/>
        <w:right w:val="none" w:sz="0" w:space="0" w:color="auto"/>
      </w:divBdr>
    </w:div>
    <w:div w:id="973028608">
      <w:bodyDiv w:val="1"/>
      <w:marLeft w:val="0"/>
      <w:marRight w:val="0"/>
      <w:marTop w:val="0"/>
      <w:marBottom w:val="0"/>
      <w:divBdr>
        <w:top w:val="none" w:sz="0" w:space="0" w:color="auto"/>
        <w:left w:val="none" w:sz="0" w:space="0" w:color="auto"/>
        <w:bottom w:val="none" w:sz="0" w:space="0" w:color="auto"/>
        <w:right w:val="none" w:sz="0" w:space="0" w:color="auto"/>
      </w:divBdr>
      <w:divsChild>
        <w:div w:id="1851868099">
          <w:marLeft w:val="547"/>
          <w:marRight w:val="0"/>
          <w:marTop w:val="0"/>
          <w:marBottom w:val="0"/>
          <w:divBdr>
            <w:top w:val="none" w:sz="0" w:space="0" w:color="auto"/>
            <w:left w:val="none" w:sz="0" w:space="0" w:color="auto"/>
            <w:bottom w:val="none" w:sz="0" w:space="0" w:color="auto"/>
            <w:right w:val="none" w:sz="0" w:space="0" w:color="auto"/>
          </w:divBdr>
        </w:div>
      </w:divsChild>
    </w:div>
    <w:div w:id="1017468393">
      <w:bodyDiv w:val="1"/>
      <w:marLeft w:val="0"/>
      <w:marRight w:val="0"/>
      <w:marTop w:val="0"/>
      <w:marBottom w:val="0"/>
      <w:divBdr>
        <w:top w:val="none" w:sz="0" w:space="0" w:color="auto"/>
        <w:left w:val="none" w:sz="0" w:space="0" w:color="auto"/>
        <w:bottom w:val="none" w:sz="0" w:space="0" w:color="auto"/>
        <w:right w:val="none" w:sz="0" w:space="0" w:color="auto"/>
      </w:divBdr>
    </w:div>
    <w:div w:id="1039889571">
      <w:bodyDiv w:val="1"/>
      <w:marLeft w:val="0"/>
      <w:marRight w:val="0"/>
      <w:marTop w:val="0"/>
      <w:marBottom w:val="0"/>
      <w:divBdr>
        <w:top w:val="none" w:sz="0" w:space="0" w:color="auto"/>
        <w:left w:val="none" w:sz="0" w:space="0" w:color="auto"/>
        <w:bottom w:val="none" w:sz="0" w:space="0" w:color="auto"/>
        <w:right w:val="none" w:sz="0" w:space="0" w:color="auto"/>
      </w:divBdr>
      <w:divsChild>
        <w:div w:id="1226335073">
          <w:marLeft w:val="547"/>
          <w:marRight w:val="0"/>
          <w:marTop w:val="0"/>
          <w:marBottom w:val="0"/>
          <w:divBdr>
            <w:top w:val="none" w:sz="0" w:space="0" w:color="auto"/>
            <w:left w:val="none" w:sz="0" w:space="0" w:color="auto"/>
            <w:bottom w:val="none" w:sz="0" w:space="0" w:color="auto"/>
            <w:right w:val="none" w:sz="0" w:space="0" w:color="auto"/>
          </w:divBdr>
        </w:div>
        <w:div w:id="287005262">
          <w:marLeft w:val="547"/>
          <w:marRight w:val="0"/>
          <w:marTop w:val="0"/>
          <w:marBottom w:val="0"/>
          <w:divBdr>
            <w:top w:val="none" w:sz="0" w:space="0" w:color="auto"/>
            <w:left w:val="none" w:sz="0" w:space="0" w:color="auto"/>
            <w:bottom w:val="none" w:sz="0" w:space="0" w:color="auto"/>
            <w:right w:val="none" w:sz="0" w:space="0" w:color="auto"/>
          </w:divBdr>
        </w:div>
        <w:div w:id="2075540219">
          <w:marLeft w:val="547"/>
          <w:marRight w:val="0"/>
          <w:marTop w:val="0"/>
          <w:marBottom w:val="0"/>
          <w:divBdr>
            <w:top w:val="none" w:sz="0" w:space="0" w:color="auto"/>
            <w:left w:val="none" w:sz="0" w:space="0" w:color="auto"/>
            <w:bottom w:val="none" w:sz="0" w:space="0" w:color="auto"/>
            <w:right w:val="none" w:sz="0" w:space="0" w:color="auto"/>
          </w:divBdr>
        </w:div>
      </w:divsChild>
    </w:div>
    <w:div w:id="1065639663">
      <w:bodyDiv w:val="1"/>
      <w:marLeft w:val="0"/>
      <w:marRight w:val="0"/>
      <w:marTop w:val="0"/>
      <w:marBottom w:val="0"/>
      <w:divBdr>
        <w:top w:val="none" w:sz="0" w:space="0" w:color="auto"/>
        <w:left w:val="none" w:sz="0" w:space="0" w:color="auto"/>
        <w:bottom w:val="none" w:sz="0" w:space="0" w:color="auto"/>
        <w:right w:val="none" w:sz="0" w:space="0" w:color="auto"/>
      </w:divBdr>
      <w:divsChild>
        <w:div w:id="699277706">
          <w:marLeft w:val="446"/>
          <w:marRight w:val="0"/>
          <w:marTop w:val="120"/>
          <w:marBottom w:val="120"/>
          <w:divBdr>
            <w:top w:val="none" w:sz="0" w:space="0" w:color="auto"/>
            <w:left w:val="none" w:sz="0" w:space="0" w:color="auto"/>
            <w:bottom w:val="none" w:sz="0" w:space="0" w:color="auto"/>
            <w:right w:val="none" w:sz="0" w:space="0" w:color="auto"/>
          </w:divBdr>
        </w:div>
      </w:divsChild>
    </w:div>
    <w:div w:id="1081945583">
      <w:bodyDiv w:val="1"/>
      <w:marLeft w:val="0"/>
      <w:marRight w:val="0"/>
      <w:marTop w:val="0"/>
      <w:marBottom w:val="0"/>
      <w:divBdr>
        <w:top w:val="none" w:sz="0" w:space="0" w:color="auto"/>
        <w:left w:val="none" w:sz="0" w:space="0" w:color="auto"/>
        <w:bottom w:val="none" w:sz="0" w:space="0" w:color="auto"/>
        <w:right w:val="none" w:sz="0" w:space="0" w:color="auto"/>
      </w:divBdr>
      <w:divsChild>
        <w:div w:id="451171404">
          <w:marLeft w:val="547"/>
          <w:marRight w:val="0"/>
          <w:marTop w:val="0"/>
          <w:marBottom w:val="0"/>
          <w:divBdr>
            <w:top w:val="none" w:sz="0" w:space="0" w:color="auto"/>
            <w:left w:val="none" w:sz="0" w:space="0" w:color="auto"/>
            <w:bottom w:val="none" w:sz="0" w:space="0" w:color="auto"/>
            <w:right w:val="none" w:sz="0" w:space="0" w:color="auto"/>
          </w:divBdr>
        </w:div>
        <w:div w:id="1145776476">
          <w:marLeft w:val="547"/>
          <w:marRight w:val="0"/>
          <w:marTop w:val="0"/>
          <w:marBottom w:val="0"/>
          <w:divBdr>
            <w:top w:val="none" w:sz="0" w:space="0" w:color="auto"/>
            <w:left w:val="none" w:sz="0" w:space="0" w:color="auto"/>
            <w:bottom w:val="none" w:sz="0" w:space="0" w:color="auto"/>
            <w:right w:val="none" w:sz="0" w:space="0" w:color="auto"/>
          </w:divBdr>
        </w:div>
      </w:divsChild>
    </w:div>
    <w:div w:id="1084960283">
      <w:bodyDiv w:val="1"/>
      <w:marLeft w:val="0"/>
      <w:marRight w:val="0"/>
      <w:marTop w:val="0"/>
      <w:marBottom w:val="0"/>
      <w:divBdr>
        <w:top w:val="none" w:sz="0" w:space="0" w:color="auto"/>
        <w:left w:val="none" w:sz="0" w:space="0" w:color="auto"/>
        <w:bottom w:val="none" w:sz="0" w:space="0" w:color="auto"/>
        <w:right w:val="none" w:sz="0" w:space="0" w:color="auto"/>
      </w:divBdr>
      <w:divsChild>
        <w:div w:id="362100375">
          <w:marLeft w:val="907"/>
          <w:marRight w:val="0"/>
          <w:marTop w:val="0"/>
          <w:marBottom w:val="360"/>
          <w:divBdr>
            <w:top w:val="none" w:sz="0" w:space="0" w:color="auto"/>
            <w:left w:val="none" w:sz="0" w:space="0" w:color="auto"/>
            <w:bottom w:val="none" w:sz="0" w:space="0" w:color="auto"/>
            <w:right w:val="none" w:sz="0" w:space="0" w:color="auto"/>
          </w:divBdr>
        </w:div>
        <w:div w:id="743838805">
          <w:marLeft w:val="907"/>
          <w:marRight w:val="0"/>
          <w:marTop w:val="0"/>
          <w:marBottom w:val="360"/>
          <w:divBdr>
            <w:top w:val="none" w:sz="0" w:space="0" w:color="auto"/>
            <w:left w:val="none" w:sz="0" w:space="0" w:color="auto"/>
            <w:bottom w:val="none" w:sz="0" w:space="0" w:color="auto"/>
            <w:right w:val="none" w:sz="0" w:space="0" w:color="auto"/>
          </w:divBdr>
        </w:div>
        <w:div w:id="1400597216">
          <w:marLeft w:val="907"/>
          <w:marRight w:val="0"/>
          <w:marTop w:val="0"/>
          <w:marBottom w:val="360"/>
          <w:divBdr>
            <w:top w:val="none" w:sz="0" w:space="0" w:color="auto"/>
            <w:left w:val="none" w:sz="0" w:space="0" w:color="auto"/>
            <w:bottom w:val="none" w:sz="0" w:space="0" w:color="auto"/>
            <w:right w:val="none" w:sz="0" w:space="0" w:color="auto"/>
          </w:divBdr>
        </w:div>
        <w:div w:id="1727218508">
          <w:marLeft w:val="907"/>
          <w:marRight w:val="0"/>
          <w:marTop w:val="0"/>
          <w:marBottom w:val="360"/>
          <w:divBdr>
            <w:top w:val="none" w:sz="0" w:space="0" w:color="auto"/>
            <w:left w:val="none" w:sz="0" w:space="0" w:color="auto"/>
            <w:bottom w:val="none" w:sz="0" w:space="0" w:color="auto"/>
            <w:right w:val="none" w:sz="0" w:space="0" w:color="auto"/>
          </w:divBdr>
        </w:div>
      </w:divsChild>
    </w:div>
    <w:div w:id="1089618557">
      <w:bodyDiv w:val="1"/>
      <w:marLeft w:val="0"/>
      <w:marRight w:val="0"/>
      <w:marTop w:val="0"/>
      <w:marBottom w:val="0"/>
      <w:divBdr>
        <w:top w:val="none" w:sz="0" w:space="0" w:color="auto"/>
        <w:left w:val="none" w:sz="0" w:space="0" w:color="auto"/>
        <w:bottom w:val="none" w:sz="0" w:space="0" w:color="auto"/>
        <w:right w:val="none" w:sz="0" w:space="0" w:color="auto"/>
      </w:divBdr>
      <w:divsChild>
        <w:div w:id="157159135">
          <w:marLeft w:val="547"/>
          <w:marRight w:val="0"/>
          <w:marTop w:val="0"/>
          <w:marBottom w:val="0"/>
          <w:divBdr>
            <w:top w:val="none" w:sz="0" w:space="0" w:color="auto"/>
            <w:left w:val="none" w:sz="0" w:space="0" w:color="auto"/>
            <w:bottom w:val="none" w:sz="0" w:space="0" w:color="auto"/>
            <w:right w:val="none" w:sz="0" w:space="0" w:color="auto"/>
          </w:divBdr>
        </w:div>
        <w:div w:id="61565641">
          <w:marLeft w:val="547"/>
          <w:marRight w:val="0"/>
          <w:marTop w:val="0"/>
          <w:marBottom w:val="0"/>
          <w:divBdr>
            <w:top w:val="none" w:sz="0" w:space="0" w:color="auto"/>
            <w:left w:val="none" w:sz="0" w:space="0" w:color="auto"/>
            <w:bottom w:val="none" w:sz="0" w:space="0" w:color="auto"/>
            <w:right w:val="none" w:sz="0" w:space="0" w:color="auto"/>
          </w:divBdr>
        </w:div>
        <w:div w:id="1042748342">
          <w:marLeft w:val="547"/>
          <w:marRight w:val="0"/>
          <w:marTop w:val="0"/>
          <w:marBottom w:val="0"/>
          <w:divBdr>
            <w:top w:val="none" w:sz="0" w:space="0" w:color="auto"/>
            <w:left w:val="none" w:sz="0" w:space="0" w:color="auto"/>
            <w:bottom w:val="none" w:sz="0" w:space="0" w:color="auto"/>
            <w:right w:val="none" w:sz="0" w:space="0" w:color="auto"/>
          </w:divBdr>
        </w:div>
        <w:div w:id="71391878">
          <w:marLeft w:val="547"/>
          <w:marRight w:val="0"/>
          <w:marTop w:val="0"/>
          <w:marBottom w:val="0"/>
          <w:divBdr>
            <w:top w:val="none" w:sz="0" w:space="0" w:color="auto"/>
            <w:left w:val="none" w:sz="0" w:space="0" w:color="auto"/>
            <w:bottom w:val="none" w:sz="0" w:space="0" w:color="auto"/>
            <w:right w:val="none" w:sz="0" w:space="0" w:color="auto"/>
          </w:divBdr>
        </w:div>
        <w:div w:id="823811547">
          <w:marLeft w:val="547"/>
          <w:marRight w:val="0"/>
          <w:marTop w:val="0"/>
          <w:marBottom w:val="0"/>
          <w:divBdr>
            <w:top w:val="none" w:sz="0" w:space="0" w:color="auto"/>
            <w:left w:val="none" w:sz="0" w:space="0" w:color="auto"/>
            <w:bottom w:val="none" w:sz="0" w:space="0" w:color="auto"/>
            <w:right w:val="none" w:sz="0" w:space="0" w:color="auto"/>
          </w:divBdr>
        </w:div>
        <w:div w:id="1066075174">
          <w:marLeft w:val="547"/>
          <w:marRight w:val="0"/>
          <w:marTop w:val="0"/>
          <w:marBottom w:val="0"/>
          <w:divBdr>
            <w:top w:val="none" w:sz="0" w:space="0" w:color="auto"/>
            <w:left w:val="none" w:sz="0" w:space="0" w:color="auto"/>
            <w:bottom w:val="none" w:sz="0" w:space="0" w:color="auto"/>
            <w:right w:val="none" w:sz="0" w:space="0" w:color="auto"/>
          </w:divBdr>
        </w:div>
        <w:div w:id="1671907611">
          <w:marLeft w:val="547"/>
          <w:marRight w:val="0"/>
          <w:marTop w:val="0"/>
          <w:marBottom w:val="0"/>
          <w:divBdr>
            <w:top w:val="none" w:sz="0" w:space="0" w:color="auto"/>
            <w:left w:val="none" w:sz="0" w:space="0" w:color="auto"/>
            <w:bottom w:val="none" w:sz="0" w:space="0" w:color="auto"/>
            <w:right w:val="none" w:sz="0" w:space="0" w:color="auto"/>
          </w:divBdr>
        </w:div>
      </w:divsChild>
    </w:div>
    <w:div w:id="1106730635">
      <w:bodyDiv w:val="1"/>
      <w:marLeft w:val="0"/>
      <w:marRight w:val="0"/>
      <w:marTop w:val="0"/>
      <w:marBottom w:val="0"/>
      <w:divBdr>
        <w:top w:val="none" w:sz="0" w:space="0" w:color="auto"/>
        <w:left w:val="none" w:sz="0" w:space="0" w:color="auto"/>
        <w:bottom w:val="none" w:sz="0" w:space="0" w:color="auto"/>
        <w:right w:val="none" w:sz="0" w:space="0" w:color="auto"/>
      </w:divBdr>
    </w:div>
    <w:div w:id="1115903738">
      <w:bodyDiv w:val="1"/>
      <w:marLeft w:val="0"/>
      <w:marRight w:val="0"/>
      <w:marTop w:val="0"/>
      <w:marBottom w:val="0"/>
      <w:divBdr>
        <w:top w:val="none" w:sz="0" w:space="0" w:color="auto"/>
        <w:left w:val="none" w:sz="0" w:space="0" w:color="auto"/>
        <w:bottom w:val="none" w:sz="0" w:space="0" w:color="auto"/>
        <w:right w:val="none" w:sz="0" w:space="0" w:color="auto"/>
      </w:divBdr>
      <w:divsChild>
        <w:div w:id="2060936112">
          <w:marLeft w:val="1138"/>
          <w:marRight w:val="0"/>
          <w:marTop w:val="0"/>
          <w:marBottom w:val="0"/>
          <w:divBdr>
            <w:top w:val="none" w:sz="0" w:space="0" w:color="auto"/>
            <w:left w:val="none" w:sz="0" w:space="0" w:color="auto"/>
            <w:bottom w:val="none" w:sz="0" w:space="0" w:color="auto"/>
            <w:right w:val="none" w:sz="0" w:space="0" w:color="auto"/>
          </w:divBdr>
        </w:div>
        <w:div w:id="1486583960">
          <w:marLeft w:val="1138"/>
          <w:marRight w:val="0"/>
          <w:marTop w:val="0"/>
          <w:marBottom w:val="0"/>
          <w:divBdr>
            <w:top w:val="none" w:sz="0" w:space="0" w:color="auto"/>
            <w:left w:val="none" w:sz="0" w:space="0" w:color="auto"/>
            <w:bottom w:val="none" w:sz="0" w:space="0" w:color="auto"/>
            <w:right w:val="none" w:sz="0" w:space="0" w:color="auto"/>
          </w:divBdr>
        </w:div>
        <w:div w:id="648091224">
          <w:marLeft w:val="1138"/>
          <w:marRight w:val="0"/>
          <w:marTop w:val="0"/>
          <w:marBottom w:val="0"/>
          <w:divBdr>
            <w:top w:val="none" w:sz="0" w:space="0" w:color="auto"/>
            <w:left w:val="none" w:sz="0" w:space="0" w:color="auto"/>
            <w:bottom w:val="none" w:sz="0" w:space="0" w:color="auto"/>
            <w:right w:val="none" w:sz="0" w:space="0" w:color="auto"/>
          </w:divBdr>
        </w:div>
      </w:divsChild>
    </w:div>
    <w:div w:id="1130168475">
      <w:bodyDiv w:val="1"/>
      <w:marLeft w:val="0"/>
      <w:marRight w:val="0"/>
      <w:marTop w:val="0"/>
      <w:marBottom w:val="0"/>
      <w:divBdr>
        <w:top w:val="none" w:sz="0" w:space="0" w:color="auto"/>
        <w:left w:val="none" w:sz="0" w:space="0" w:color="auto"/>
        <w:bottom w:val="none" w:sz="0" w:space="0" w:color="auto"/>
        <w:right w:val="none" w:sz="0" w:space="0" w:color="auto"/>
      </w:divBdr>
    </w:div>
    <w:div w:id="1136488992">
      <w:bodyDiv w:val="1"/>
      <w:marLeft w:val="0"/>
      <w:marRight w:val="0"/>
      <w:marTop w:val="0"/>
      <w:marBottom w:val="0"/>
      <w:divBdr>
        <w:top w:val="none" w:sz="0" w:space="0" w:color="auto"/>
        <w:left w:val="none" w:sz="0" w:space="0" w:color="auto"/>
        <w:bottom w:val="none" w:sz="0" w:space="0" w:color="auto"/>
        <w:right w:val="none" w:sz="0" w:space="0" w:color="auto"/>
      </w:divBdr>
    </w:div>
    <w:div w:id="1149782889">
      <w:bodyDiv w:val="1"/>
      <w:marLeft w:val="0"/>
      <w:marRight w:val="0"/>
      <w:marTop w:val="0"/>
      <w:marBottom w:val="0"/>
      <w:divBdr>
        <w:top w:val="none" w:sz="0" w:space="0" w:color="auto"/>
        <w:left w:val="none" w:sz="0" w:space="0" w:color="auto"/>
        <w:bottom w:val="none" w:sz="0" w:space="0" w:color="auto"/>
        <w:right w:val="none" w:sz="0" w:space="0" w:color="auto"/>
      </w:divBdr>
    </w:div>
    <w:div w:id="1156336237">
      <w:bodyDiv w:val="1"/>
      <w:marLeft w:val="0"/>
      <w:marRight w:val="0"/>
      <w:marTop w:val="0"/>
      <w:marBottom w:val="0"/>
      <w:divBdr>
        <w:top w:val="none" w:sz="0" w:space="0" w:color="auto"/>
        <w:left w:val="none" w:sz="0" w:space="0" w:color="auto"/>
        <w:bottom w:val="none" w:sz="0" w:space="0" w:color="auto"/>
        <w:right w:val="none" w:sz="0" w:space="0" w:color="auto"/>
      </w:divBdr>
      <w:divsChild>
        <w:div w:id="1299646264">
          <w:marLeft w:val="1166"/>
          <w:marRight w:val="0"/>
          <w:marTop w:val="120"/>
          <w:marBottom w:val="120"/>
          <w:divBdr>
            <w:top w:val="none" w:sz="0" w:space="0" w:color="auto"/>
            <w:left w:val="none" w:sz="0" w:space="0" w:color="auto"/>
            <w:bottom w:val="none" w:sz="0" w:space="0" w:color="auto"/>
            <w:right w:val="none" w:sz="0" w:space="0" w:color="auto"/>
          </w:divBdr>
        </w:div>
        <w:div w:id="220601024">
          <w:marLeft w:val="1166"/>
          <w:marRight w:val="0"/>
          <w:marTop w:val="120"/>
          <w:marBottom w:val="120"/>
          <w:divBdr>
            <w:top w:val="none" w:sz="0" w:space="0" w:color="auto"/>
            <w:left w:val="none" w:sz="0" w:space="0" w:color="auto"/>
            <w:bottom w:val="none" w:sz="0" w:space="0" w:color="auto"/>
            <w:right w:val="none" w:sz="0" w:space="0" w:color="auto"/>
          </w:divBdr>
        </w:div>
        <w:div w:id="1745031293">
          <w:marLeft w:val="1166"/>
          <w:marRight w:val="0"/>
          <w:marTop w:val="120"/>
          <w:marBottom w:val="120"/>
          <w:divBdr>
            <w:top w:val="none" w:sz="0" w:space="0" w:color="auto"/>
            <w:left w:val="none" w:sz="0" w:space="0" w:color="auto"/>
            <w:bottom w:val="none" w:sz="0" w:space="0" w:color="auto"/>
            <w:right w:val="none" w:sz="0" w:space="0" w:color="auto"/>
          </w:divBdr>
        </w:div>
        <w:div w:id="209837">
          <w:marLeft w:val="1166"/>
          <w:marRight w:val="0"/>
          <w:marTop w:val="120"/>
          <w:marBottom w:val="120"/>
          <w:divBdr>
            <w:top w:val="none" w:sz="0" w:space="0" w:color="auto"/>
            <w:left w:val="none" w:sz="0" w:space="0" w:color="auto"/>
            <w:bottom w:val="none" w:sz="0" w:space="0" w:color="auto"/>
            <w:right w:val="none" w:sz="0" w:space="0" w:color="auto"/>
          </w:divBdr>
        </w:div>
        <w:div w:id="1768383555">
          <w:marLeft w:val="1166"/>
          <w:marRight w:val="0"/>
          <w:marTop w:val="120"/>
          <w:marBottom w:val="120"/>
          <w:divBdr>
            <w:top w:val="none" w:sz="0" w:space="0" w:color="auto"/>
            <w:left w:val="none" w:sz="0" w:space="0" w:color="auto"/>
            <w:bottom w:val="none" w:sz="0" w:space="0" w:color="auto"/>
            <w:right w:val="none" w:sz="0" w:space="0" w:color="auto"/>
          </w:divBdr>
        </w:div>
        <w:div w:id="338118493">
          <w:marLeft w:val="1166"/>
          <w:marRight w:val="0"/>
          <w:marTop w:val="120"/>
          <w:marBottom w:val="120"/>
          <w:divBdr>
            <w:top w:val="none" w:sz="0" w:space="0" w:color="auto"/>
            <w:left w:val="none" w:sz="0" w:space="0" w:color="auto"/>
            <w:bottom w:val="none" w:sz="0" w:space="0" w:color="auto"/>
            <w:right w:val="none" w:sz="0" w:space="0" w:color="auto"/>
          </w:divBdr>
        </w:div>
      </w:divsChild>
    </w:div>
    <w:div w:id="1171793949">
      <w:bodyDiv w:val="1"/>
      <w:marLeft w:val="0"/>
      <w:marRight w:val="0"/>
      <w:marTop w:val="0"/>
      <w:marBottom w:val="0"/>
      <w:divBdr>
        <w:top w:val="none" w:sz="0" w:space="0" w:color="auto"/>
        <w:left w:val="none" w:sz="0" w:space="0" w:color="auto"/>
        <w:bottom w:val="none" w:sz="0" w:space="0" w:color="auto"/>
        <w:right w:val="none" w:sz="0" w:space="0" w:color="auto"/>
      </w:divBdr>
    </w:div>
    <w:div w:id="1189635130">
      <w:bodyDiv w:val="1"/>
      <w:marLeft w:val="0"/>
      <w:marRight w:val="0"/>
      <w:marTop w:val="0"/>
      <w:marBottom w:val="0"/>
      <w:divBdr>
        <w:top w:val="none" w:sz="0" w:space="0" w:color="auto"/>
        <w:left w:val="none" w:sz="0" w:space="0" w:color="auto"/>
        <w:bottom w:val="none" w:sz="0" w:space="0" w:color="auto"/>
        <w:right w:val="none" w:sz="0" w:space="0" w:color="auto"/>
      </w:divBdr>
      <w:divsChild>
        <w:div w:id="1427187780">
          <w:marLeft w:val="547"/>
          <w:marRight w:val="0"/>
          <w:marTop w:val="0"/>
          <w:marBottom w:val="0"/>
          <w:divBdr>
            <w:top w:val="none" w:sz="0" w:space="0" w:color="auto"/>
            <w:left w:val="none" w:sz="0" w:space="0" w:color="auto"/>
            <w:bottom w:val="none" w:sz="0" w:space="0" w:color="auto"/>
            <w:right w:val="none" w:sz="0" w:space="0" w:color="auto"/>
          </w:divBdr>
        </w:div>
        <w:div w:id="1588534530">
          <w:marLeft w:val="547"/>
          <w:marRight w:val="0"/>
          <w:marTop w:val="0"/>
          <w:marBottom w:val="0"/>
          <w:divBdr>
            <w:top w:val="none" w:sz="0" w:space="0" w:color="auto"/>
            <w:left w:val="none" w:sz="0" w:space="0" w:color="auto"/>
            <w:bottom w:val="none" w:sz="0" w:space="0" w:color="auto"/>
            <w:right w:val="none" w:sz="0" w:space="0" w:color="auto"/>
          </w:divBdr>
        </w:div>
        <w:div w:id="484858713">
          <w:marLeft w:val="547"/>
          <w:marRight w:val="0"/>
          <w:marTop w:val="0"/>
          <w:marBottom w:val="0"/>
          <w:divBdr>
            <w:top w:val="none" w:sz="0" w:space="0" w:color="auto"/>
            <w:left w:val="none" w:sz="0" w:space="0" w:color="auto"/>
            <w:bottom w:val="none" w:sz="0" w:space="0" w:color="auto"/>
            <w:right w:val="none" w:sz="0" w:space="0" w:color="auto"/>
          </w:divBdr>
        </w:div>
        <w:div w:id="1943101416">
          <w:marLeft w:val="547"/>
          <w:marRight w:val="0"/>
          <w:marTop w:val="0"/>
          <w:marBottom w:val="0"/>
          <w:divBdr>
            <w:top w:val="none" w:sz="0" w:space="0" w:color="auto"/>
            <w:left w:val="none" w:sz="0" w:space="0" w:color="auto"/>
            <w:bottom w:val="none" w:sz="0" w:space="0" w:color="auto"/>
            <w:right w:val="none" w:sz="0" w:space="0" w:color="auto"/>
          </w:divBdr>
        </w:div>
        <w:div w:id="1937245205">
          <w:marLeft w:val="547"/>
          <w:marRight w:val="0"/>
          <w:marTop w:val="0"/>
          <w:marBottom w:val="0"/>
          <w:divBdr>
            <w:top w:val="none" w:sz="0" w:space="0" w:color="auto"/>
            <w:left w:val="none" w:sz="0" w:space="0" w:color="auto"/>
            <w:bottom w:val="none" w:sz="0" w:space="0" w:color="auto"/>
            <w:right w:val="none" w:sz="0" w:space="0" w:color="auto"/>
          </w:divBdr>
        </w:div>
        <w:div w:id="1773041517">
          <w:marLeft w:val="547"/>
          <w:marRight w:val="0"/>
          <w:marTop w:val="0"/>
          <w:marBottom w:val="0"/>
          <w:divBdr>
            <w:top w:val="none" w:sz="0" w:space="0" w:color="auto"/>
            <w:left w:val="none" w:sz="0" w:space="0" w:color="auto"/>
            <w:bottom w:val="none" w:sz="0" w:space="0" w:color="auto"/>
            <w:right w:val="none" w:sz="0" w:space="0" w:color="auto"/>
          </w:divBdr>
        </w:div>
        <w:div w:id="1256524225">
          <w:marLeft w:val="547"/>
          <w:marRight w:val="0"/>
          <w:marTop w:val="0"/>
          <w:marBottom w:val="0"/>
          <w:divBdr>
            <w:top w:val="none" w:sz="0" w:space="0" w:color="auto"/>
            <w:left w:val="none" w:sz="0" w:space="0" w:color="auto"/>
            <w:bottom w:val="none" w:sz="0" w:space="0" w:color="auto"/>
            <w:right w:val="none" w:sz="0" w:space="0" w:color="auto"/>
          </w:divBdr>
        </w:div>
        <w:div w:id="973680718">
          <w:marLeft w:val="547"/>
          <w:marRight w:val="0"/>
          <w:marTop w:val="0"/>
          <w:marBottom w:val="0"/>
          <w:divBdr>
            <w:top w:val="none" w:sz="0" w:space="0" w:color="auto"/>
            <w:left w:val="none" w:sz="0" w:space="0" w:color="auto"/>
            <w:bottom w:val="none" w:sz="0" w:space="0" w:color="auto"/>
            <w:right w:val="none" w:sz="0" w:space="0" w:color="auto"/>
          </w:divBdr>
        </w:div>
      </w:divsChild>
    </w:div>
    <w:div w:id="1248729874">
      <w:bodyDiv w:val="1"/>
      <w:marLeft w:val="0"/>
      <w:marRight w:val="0"/>
      <w:marTop w:val="0"/>
      <w:marBottom w:val="0"/>
      <w:divBdr>
        <w:top w:val="none" w:sz="0" w:space="0" w:color="auto"/>
        <w:left w:val="none" w:sz="0" w:space="0" w:color="auto"/>
        <w:bottom w:val="none" w:sz="0" w:space="0" w:color="auto"/>
        <w:right w:val="none" w:sz="0" w:space="0" w:color="auto"/>
      </w:divBdr>
      <w:divsChild>
        <w:div w:id="280771914">
          <w:marLeft w:val="547"/>
          <w:marRight w:val="0"/>
          <w:marTop w:val="0"/>
          <w:marBottom w:val="0"/>
          <w:divBdr>
            <w:top w:val="none" w:sz="0" w:space="0" w:color="auto"/>
            <w:left w:val="none" w:sz="0" w:space="0" w:color="auto"/>
            <w:bottom w:val="none" w:sz="0" w:space="0" w:color="auto"/>
            <w:right w:val="none" w:sz="0" w:space="0" w:color="auto"/>
          </w:divBdr>
        </w:div>
      </w:divsChild>
    </w:div>
    <w:div w:id="1255750558">
      <w:bodyDiv w:val="1"/>
      <w:marLeft w:val="0"/>
      <w:marRight w:val="0"/>
      <w:marTop w:val="0"/>
      <w:marBottom w:val="0"/>
      <w:divBdr>
        <w:top w:val="none" w:sz="0" w:space="0" w:color="auto"/>
        <w:left w:val="none" w:sz="0" w:space="0" w:color="auto"/>
        <w:bottom w:val="none" w:sz="0" w:space="0" w:color="auto"/>
        <w:right w:val="none" w:sz="0" w:space="0" w:color="auto"/>
      </w:divBdr>
    </w:div>
    <w:div w:id="1281451084">
      <w:bodyDiv w:val="1"/>
      <w:marLeft w:val="0"/>
      <w:marRight w:val="0"/>
      <w:marTop w:val="0"/>
      <w:marBottom w:val="0"/>
      <w:divBdr>
        <w:top w:val="none" w:sz="0" w:space="0" w:color="auto"/>
        <w:left w:val="none" w:sz="0" w:space="0" w:color="auto"/>
        <w:bottom w:val="none" w:sz="0" w:space="0" w:color="auto"/>
        <w:right w:val="none" w:sz="0" w:space="0" w:color="auto"/>
      </w:divBdr>
      <w:divsChild>
        <w:div w:id="398216259">
          <w:marLeft w:val="274"/>
          <w:marRight w:val="0"/>
          <w:marTop w:val="0"/>
          <w:marBottom w:val="0"/>
          <w:divBdr>
            <w:top w:val="none" w:sz="0" w:space="0" w:color="auto"/>
            <w:left w:val="none" w:sz="0" w:space="0" w:color="auto"/>
            <w:bottom w:val="none" w:sz="0" w:space="0" w:color="auto"/>
            <w:right w:val="none" w:sz="0" w:space="0" w:color="auto"/>
          </w:divBdr>
        </w:div>
      </w:divsChild>
    </w:div>
    <w:div w:id="1291744987">
      <w:bodyDiv w:val="1"/>
      <w:marLeft w:val="0"/>
      <w:marRight w:val="0"/>
      <w:marTop w:val="0"/>
      <w:marBottom w:val="0"/>
      <w:divBdr>
        <w:top w:val="none" w:sz="0" w:space="0" w:color="auto"/>
        <w:left w:val="none" w:sz="0" w:space="0" w:color="auto"/>
        <w:bottom w:val="none" w:sz="0" w:space="0" w:color="auto"/>
        <w:right w:val="none" w:sz="0" w:space="0" w:color="auto"/>
      </w:divBdr>
    </w:div>
    <w:div w:id="1325937014">
      <w:bodyDiv w:val="1"/>
      <w:marLeft w:val="0"/>
      <w:marRight w:val="0"/>
      <w:marTop w:val="0"/>
      <w:marBottom w:val="0"/>
      <w:divBdr>
        <w:top w:val="none" w:sz="0" w:space="0" w:color="auto"/>
        <w:left w:val="none" w:sz="0" w:space="0" w:color="auto"/>
        <w:bottom w:val="none" w:sz="0" w:space="0" w:color="auto"/>
        <w:right w:val="none" w:sz="0" w:space="0" w:color="auto"/>
      </w:divBdr>
    </w:div>
    <w:div w:id="1378434152">
      <w:bodyDiv w:val="1"/>
      <w:marLeft w:val="0"/>
      <w:marRight w:val="0"/>
      <w:marTop w:val="0"/>
      <w:marBottom w:val="0"/>
      <w:divBdr>
        <w:top w:val="none" w:sz="0" w:space="0" w:color="auto"/>
        <w:left w:val="none" w:sz="0" w:space="0" w:color="auto"/>
        <w:bottom w:val="none" w:sz="0" w:space="0" w:color="auto"/>
        <w:right w:val="none" w:sz="0" w:space="0" w:color="auto"/>
      </w:divBdr>
    </w:div>
    <w:div w:id="1387728791">
      <w:bodyDiv w:val="1"/>
      <w:marLeft w:val="0"/>
      <w:marRight w:val="0"/>
      <w:marTop w:val="0"/>
      <w:marBottom w:val="0"/>
      <w:divBdr>
        <w:top w:val="none" w:sz="0" w:space="0" w:color="auto"/>
        <w:left w:val="none" w:sz="0" w:space="0" w:color="auto"/>
        <w:bottom w:val="none" w:sz="0" w:space="0" w:color="auto"/>
        <w:right w:val="none" w:sz="0" w:space="0" w:color="auto"/>
      </w:divBdr>
      <w:divsChild>
        <w:div w:id="1063525203">
          <w:marLeft w:val="547"/>
          <w:marRight w:val="0"/>
          <w:marTop w:val="0"/>
          <w:marBottom w:val="0"/>
          <w:divBdr>
            <w:top w:val="none" w:sz="0" w:space="0" w:color="auto"/>
            <w:left w:val="none" w:sz="0" w:space="0" w:color="auto"/>
            <w:bottom w:val="none" w:sz="0" w:space="0" w:color="auto"/>
            <w:right w:val="none" w:sz="0" w:space="0" w:color="auto"/>
          </w:divBdr>
        </w:div>
        <w:div w:id="137847473">
          <w:marLeft w:val="547"/>
          <w:marRight w:val="0"/>
          <w:marTop w:val="0"/>
          <w:marBottom w:val="0"/>
          <w:divBdr>
            <w:top w:val="none" w:sz="0" w:space="0" w:color="auto"/>
            <w:left w:val="none" w:sz="0" w:space="0" w:color="auto"/>
            <w:bottom w:val="none" w:sz="0" w:space="0" w:color="auto"/>
            <w:right w:val="none" w:sz="0" w:space="0" w:color="auto"/>
          </w:divBdr>
        </w:div>
        <w:div w:id="466629445">
          <w:marLeft w:val="547"/>
          <w:marRight w:val="0"/>
          <w:marTop w:val="0"/>
          <w:marBottom w:val="0"/>
          <w:divBdr>
            <w:top w:val="none" w:sz="0" w:space="0" w:color="auto"/>
            <w:left w:val="none" w:sz="0" w:space="0" w:color="auto"/>
            <w:bottom w:val="none" w:sz="0" w:space="0" w:color="auto"/>
            <w:right w:val="none" w:sz="0" w:space="0" w:color="auto"/>
          </w:divBdr>
        </w:div>
        <w:div w:id="1042287861">
          <w:marLeft w:val="547"/>
          <w:marRight w:val="0"/>
          <w:marTop w:val="0"/>
          <w:marBottom w:val="0"/>
          <w:divBdr>
            <w:top w:val="none" w:sz="0" w:space="0" w:color="auto"/>
            <w:left w:val="none" w:sz="0" w:space="0" w:color="auto"/>
            <w:bottom w:val="none" w:sz="0" w:space="0" w:color="auto"/>
            <w:right w:val="none" w:sz="0" w:space="0" w:color="auto"/>
          </w:divBdr>
        </w:div>
        <w:div w:id="567038749">
          <w:marLeft w:val="547"/>
          <w:marRight w:val="0"/>
          <w:marTop w:val="0"/>
          <w:marBottom w:val="0"/>
          <w:divBdr>
            <w:top w:val="none" w:sz="0" w:space="0" w:color="auto"/>
            <w:left w:val="none" w:sz="0" w:space="0" w:color="auto"/>
            <w:bottom w:val="none" w:sz="0" w:space="0" w:color="auto"/>
            <w:right w:val="none" w:sz="0" w:space="0" w:color="auto"/>
          </w:divBdr>
        </w:div>
        <w:div w:id="662970119">
          <w:marLeft w:val="547"/>
          <w:marRight w:val="0"/>
          <w:marTop w:val="0"/>
          <w:marBottom w:val="0"/>
          <w:divBdr>
            <w:top w:val="none" w:sz="0" w:space="0" w:color="auto"/>
            <w:left w:val="none" w:sz="0" w:space="0" w:color="auto"/>
            <w:bottom w:val="none" w:sz="0" w:space="0" w:color="auto"/>
            <w:right w:val="none" w:sz="0" w:space="0" w:color="auto"/>
          </w:divBdr>
        </w:div>
        <w:div w:id="1401630861">
          <w:marLeft w:val="547"/>
          <w:marRight w:val="0"/>
          <w:marTop w:val="0"/>
          <w:marBottom w:val="0"/>
          <w:divBdr>
            <w:top w:val="none" w:sz="0" w:space="0" w:color="auto"/>
            <w:left w:val="none" w:sz="0" w:space="0" w:color="auto"/>
            <w:bottom w:val="none" w:sz="0" w:space="0" w:color="auto"/>
            <w:right w:val="none" w:sz="0" w:space="0" w:color="auto"/>
          </w:divBdr>
        </w:div>
        <w:div w:id="1775515060">
          <w:marLeft w:val="547"/>
          <w:marRight w:val="0"/>
          <w:marTop w:val="0"/>
          <w:marBottom w:val="0"/>
          <w:divBdr>
            <w:top w:val="none" w:sz="0" w:space="0" w:color="auto"/>
            <w:left w:val="none" w:sz="0" w:space="0" w:color="auto"/>
            <w:bottom w:val="none" w:sz="0" w:space="0" w:color="auto"/>
            <w:right w:val="none" w:sz="0" w:space="0" w:color="auto"/>
          </w:divBdr>
        </w:div>
      </w:divsChild>
    </w:div>
    <w:div w:id="1429038783">
      <w:bodyDiv w:val="1"/>
      <w:marLeft w:val="0"/>
      <w:marRight w:val="0"/>
      <w:marTop w:val="0"/>
      <w:marBottom w:val="0"/>
      <w:divBdr>
        <w:top w:val="none" w:sz="0" w:space="0" w:color="auto"/>
        <w:left w:val="none" w:sz="0" w:space="0" w:color="auto"/>
        <w:bottom w:val="none" w:sz="0" w:space="0" w:color="auto"/>
        <w:right w:val="none" w:sz="0" w:space="0" w:color="auto"/>
      </w:divBdr>
      <w:divsChild>
        <w:div w:id="1167670657">
          <w:marLeft w:val="547"/>
          <w:marRight w:val="0"/>
          <w:marTop w:val="0"/>
          <w:marBottom w:val="0"/>
          <w:divBdr>
            <w:top w:val="none" w:sz="0" w:space="0" w:color="auto"/>
            <w:left w:val="none" w:sz="0" w:space="0" w:color="auto"/>
            <w:bottom w:val="none" w:sz="0" w:space="0" w:color="auto"/>
            <w:right w:val="none" w:sz="0" w:space="0" w:color="auto"/>
          </w:divBdr>
        </w:div>
        <w:div w:id="888497933">
          <w:marLeft w:val="547"/>
          <w:marRight w:val="0"/>
          <w:marTop w:val="0"/>
          <w:marBottom w:val="0"/>
          <w:divBdr>
            <w:top w:val="none" w:sz="0" w:space="0" w:color="auto"/>
            <w:left w:val="none" w:sz="0" w:space="0" w:color="auto"/>
            <w:bottom w:val="none" w:sz="0" w:space="0" w:color="auto"/>
            <w:right w:val="none" w:sz="0" w:space="0" w:color="auto"/>
          </w:divBdr>
        </w:div>
        <w:div w:id="448822206">
          <w:marLeft w:val="547"/>
          <w:marRight w:val="0"/>
          <w:marTop w:val="0"/>
          <w:marBottom w:val="0"/>
          <w:divBdr>
            <w:top w:val="none" w:sz="0" w:space="0" w:color="auto"/>
            <w:left w:val="none" w:sz="0" w:space="0" w:color="auto"/>
            <w:bottom w:val="none" w:sz="0" w:space="0" w:color="auto"/>
            <w:right w:val="none" w:sz="0" w:space="0" w:color="auto"/>
          </w:divBdr>
        </w:div>
        <w:div w:id="13315040">
          <w:marLeft w:val="547"/>
          <w:marRight w:val="0"/>
          <w:marTop w:val="0"/>
          <w:marBottom w:val="0"/>
          <w:divBdr>
            <w:top w:val="none" w:sz="0" w:space="0" w:color="auto"/>
            <w:left w:val="none" w:sz="0" w:space="0" w:color="auto"/>
            <w:bottom w:val="none" w:sz="0" w:space="0" w:color="auto"/>
            <w:right w:val="none" w:sz="0" w:space="0" w:color="auto"/>
          </w:divBdr>
        </w:div>
        <w:div w:id="1942956388">
          <w:marLeft w:val="547"/>
          <w:marRight w:val="0"/>
          <w:marTop w:val="0"/>
          <w:marBottom w:val="0"/>
          <w:divBdr>
            <w:top w:val="none" w:sz="0" w:space="0" w:color="auto"/>
            <w:left w:val="none" w:sz="0" w:space="0" w:color="auto"/>
            <w:bottom w:val="none" w:sz="0" w:space="0" w:color="auto"/>
            <w:right w:val="none" w:sz="0" w:space="0" w:color="auto"/>
          </w:divBdr>
        </w:div>
        <w:div w:id="1309895540">
          <w:marLeft w:val="547"/>
          <w:marRight w:val="0"/>
          <w:marTop w:val="0"/>
          <w:marBottom w:val="0"/>
          <w:divBdr>
            <w:top w:val="none" w:sz="0" w:space="0" w:color="auto"/>
            <w:left w:val="none" w:sz="0" w:space="0" w:color="auto"/>
            <w:bottom w:val="none" w:sz="0" w:space="0" w:color="auto"/>
            <w:right w:val="none" w:sz="0" w:space="0" w:color="auto"/>
          </w:divBdr>
        </w:div>
        <w:div w:id="1866282237">
          <w:marLeft w:val="547"/>
          <w:marRight w:val="0"/>
          <w:marTop w:val="0"/>
          <w:marBottom w:val="0"/>
          <w:divBdr>
            <w:top w:val="none" w:sz="0" w:space="0" w:color="auto"/>
            <w:left w:val="none" w:sz="0" w:space="0" w:color="auto"/>
            <w:bottom w:val="none" w:sz="0" w:space="0" w:color="auto"/>
            <w:right w:val="none" w:sz="0" w:space="0" w:color="auto"/>
          </w:divBdr>
        </w:div>
        <w:div w:id="1479766228">
          <w:marLeft w:val="547"/>
          <w:marRight w:val="0"/>
          <w:marTop w:val="0"/>
          <w:marBottom w:val="0"/>
          <w:divBdr>
            <w:top w:val="none" w:sz="0" w:space="0" w:color="auto"/>
            <w:left w:val="none" w:sz="0" w:space="0" w:color="auto"/>
            <w:bottom w:val="none" w:sz="0" w:space="0" w:color="auto"/>
            <w:right w:val="none" w:sz="0" w:space="0" w:color="auto"/>
          </w:divBdr>
        </w:div>
        <w:div w:id="1110591445">
          <w:marLeft w:val="547"/>
          <w:marRight w:val="0"/>
          <w:marTop w:val="0"/>
          <w:marBottom w:val="0"/>
          <w:divBdr>
            <w:top w:val="none" w:sz="0" w:space="0" w:color="auto"/>
            <w:left w:val="none" w:sz="0" w:space="0" w:color="auto"/>
            <w:bottom w:val="none" w:sz="0" w:space="0" w:color="auto"/>
            <w:right w:val="none" w:sz="0" w:space="0" w:color="auto"/>
          </w:divBdr>
        </w:div>
      </w:divsChild>
    </w:div>
    <w:div w:id="1434787666">
      <w:bodyDiv w:val="1"/>
      <w:marLeft w:val="0"/>
      <w:marRight w:val="0"/>
      <w:marTop w:val="0"/>
      <w:marBottom w:val="0"/>
      <w:divBdr>
        <w:top w:val="none" w:sz="0" w:space="0" w:color="auto"/>
        <w:left w:val="none" w:sz="0" w:space="0" w:color="auto"/>
        <w:bottom w:val="none" w:sz="0" w:space="0" w:color="auto"/>
        <w:right w:val="none" w:sz="0" w:space="0" w:color="auto"/>
      </w:divBdr>
    </w:div>
    <w:div w:id="1448086439">
      <w:bodyDiv w:val="1"/>
      <w:marLeft w:val="0"/>
      <w:marRight w:val="0"/>
      <w:marTop w:val="0"/>
      <w:marBottom w:val="0"/>
      <w:divBdr>
        <w:top w:val="none" w:sz="0" w:space="0" w:color="auto"/>
        <w:left w:val="none" w:sz="0" w:space="0" w:color="auto"/>
        <w:bottom w:val="none" w:sz="0" w:space="0" w:color="auto"/>
        <w:right w:val="none" w:sz="0" w:space="0" w:color="auto"/>
      </w:divBdr>
    </w:div>
    <w:div w:id="1448310618">
      <w:bodyDiv w:val="1"/>
      <w:marLeft w:val="0"/>
      <w:marRight w:val="0"/>
      <w:marTop w:val="0"/>
      <w:marBottom w:val="0"/>
      <w:divBdr>
        <w:top w:val="none" w:sz="0" w:space="0" w:color="auto"/>
        <w:left w:val="none" w:sz="0" w:space="0" w:color="auto"/>
        <w:bottom w:val="none" w:sz="0" w:space="0" w:color="auto"/>
        <w:right w:val="none" w:sz="0" w:space="0" w:color="auto"/>
      </w:divBdr>
    </w:div>
    <w:div w:id="1453862911">
      <w:bodyDiv w:val="1"/>
      <w:marLeft w:val="0"/>
      <w:marRight w:val="0"/>
      <w:marTop w:val="0"/>
      <w:marBottom w:val="0"/>
      <w:divBdr>
        <w:top w:val="none" w:sz="0" w:space="0" w:color="auto"/>
        <w:left w:val="none" w:sz="0" w:space="0" w:color="auto"/>
        <w:bottom w:val="none" w:sz="0" w:space="0" w:color="auto"/>
        <w:right w:val="none" w:sz="0" w:space="0" w:color="auto"/>
      </w:divBdr>
      <w:divsChild>
        <w:div w:id="1709990444">
          <w:marLeft w:val="274"/>
          <w:marRight w:val="0"/>
          <w:marTop w:val="0"/>
          <w:marBottom w:val="0"/>
          <w:divBdr>
            <w:top w:val="none" w:sz="0" w:space="0" w:color="auto"/>
            <w:left w:val="none" w:sz="0" w:space="0" w:color="auto"/>
            <w:bottom w:val="none" w:sz="0" w:space="0" w:color="auto"/>
            <w:right w:val="none" w:sz="0" w:space="0" w:color="auto"/>
          </w:divBdr>
        </w:div>
        <w:div w:id="1361976165">
          <w:marLeft w:val="274"/>
          <w:marRight w:val="0"/>
          <w:marTop w:val="0"/>
          <w:marBottom w:val="0"/>
          <w:divBdr>
            <w:top w:val="none" w:sz="0" w:space="0" w:color="auto"/>
            <w:left w:val="none" w:sz="0" w:space="0" w:color="auto"/>
            <w:bottom w:val="none" w:sz="0" w:space="0" w:color="auto"/>
            <w:right w:val="none" w:sz="0" w:space="0" w:color="auto"/>
          </w:divBdr>
        </w:div>
        <w:div w:id="704789961">
          <w:marLeft w:val="274"/>
          <w:marRight w:val="0"/>
          <w:marTop w:val="0"/>
          <w:marBottom w:val="0"/>
          <w:divBdr>
            <w:top w:val="none" w:sz="0" w:space="0" w:color="auto"/>
            <w:left w:val="none" w:sz="0" w:space="0" w:color="auto"/>
            <w:bottom w:val="none" w:sz="0" w:space="0" w:color="auto"/>
            <w:right w:val="none" w:sz="0" w:space="0" w:color="auto"/>
          </w:divBdr>
        </w:div>
        <w:div w:id="1811171623">
          <w:marLeft w:val="274"/>
          <w:marRight w:val="0"/>
          <w:marTop w:val="0"/>
          <w:marBottom w:val="0"/>
          <w:divBdr>
            <w:top w:val="none" w:sz="0" w:space="0" w:color="auto"/>
            <w:left w:val="none" w:sz="0" w:space="0" w:color="auto"/>
            <w:bottom w:val="none" w:sz="0" w:space="0" w:color="auto"/>
            <w:right w:val="none" w:sz="0" w:space="0" w:color="auto"/>
          </w:divBdr>
        </w:div>
        <w:div w:id="954141704">
          <w:marLeft w:val="274"/>
          <w:marRight w:val="0"/>
          <w:marTop w:val="0"/>
          <w:marBottom w:val="0"/>
          <w:divBdr>
            <w:top w:val="none" w:sz="0" w:space="0" w:color="auto"/>
            <w:left w:val="none" w:sz="0" w:space="0" w:color="auto"/>
            <w:bottom w:val="none" w:sz="0" w:space="0" w:color="auto"/>
            <w:right w:val="none" w:sz="0" w:space="0" w:color="auto"/>
          </w:divBdr>
        </w:div>
        <w:div w:id="2032797470">
          <w:marLeft w:val="274"/>
          <w:marRight w:val="0"/>
          <w:marTop w:val="0"/>
          <w:marBottom w:val="0"/>
          <w:divBdr>
            <w:top w:val="none" w:sz="0" w:space="0" w:color="auto"/>
            <w:left w:val="none" w:sz="0" w:space="0" w:color="auto"/>
            <w:bottom w:val="none" w:sz="0" w:space="0" w:color="auto"/>
            <w:right w:val="none" w:sz="0" w:space="0" w:color="auto"/>
          </w:divBdr>
        </w:div>
        <w:div w:id="1475836431">
          <w:marLeft w:val="994"/>
          <w:marRight w:val="0"/>
          <w:marTop w:val="0"/>
          <w:marBottom w:val="0"/>
          <w:divBdr>
            <w:top w:val="none" w:sz="0" w:space="0" w:color="auto"/>
            <w:left w:val="none" w:sz="0" w:space="0" w:color="auto"/>
            <w:bottom w:val="none" w:sz="0" w:space="0" w:color="auto"/>
            <w:right w:val="none" w:sz="0" w:space="0" w:color="auto"/>
          </w:divBdr>
        </w:div>
        <w:div w:id="194004898">
          <w:marLeft w:val="994"/>
          <w:marRight w:val="0"/>
          <w:marTop w:val="0"/>
          <w:marBottom w:val="0"/>
          <w:divBdr>
            <w:top w:val="none" w:sz="0" w:space="0" w:color="auto"/>
            <w:left w:val="none" w:sz="0" w:space="0" w:color="auto"/>
            <w:bottom w:val="none" w:sz="0" w:space="0" w:color="auto"/>
            <w:right w:val="none" w:sz="0" w:space="0" w:color="auto"/>
          </w:divBdr>
        </w:div>
        <w:div w:id="218904590">
          <w:marLeft w:val="994"/>
          <w:marRight w:val="0"/>
          <w:marTop w:val="0"/>
          <w:marBottom w:val="0"/>
          <w:divBdr>
            <w:top w:val="none" w:sz="0" w:space="0" w:color="auto"/>
            <w:left w:val="none" w:sz="0" w:space="0" w:color="auto"/>
            <w:bottom w:val="none" w:sz="0" w:space="0" w:color="auto"/>
            <w:right w:val="none" w:sz="0" w:space="0" w:color="auto"/>
          </w:divBdr>
        </w:div>
        <w:div w:id="1109546517">
          <w:marLeft w:val="994"/>
          <w:marRight w:val="0"/>
          <w:marTop w:val="0"/>
          <w:marBottom w:val="0"/>
          <w:divBdr>
            <w:top w:val="none" w:sz="0" w:space="0" w:color="auto"/>
            <w:left w:val="none" w:sz="0" w:space="0" w:color="auto"/>
            <w:bottom w:val="none" w:sz="0" w:space="0" w:color="auto"/>
            <w:right w:val="none" w:sz="0" w:space="0" w:color="auto"/>
          </w:divBdr>
        </w:div>
        <w:div w:id="367989924">
          <w:marLeft w:val="994"/>
          <w:marRight w:val="0"/>
          <w:marTop w:val="0"/>
          <w:marBottom w:val="0"/>
          <w:divBdr>
            <w:top w:val="none" w:sz="0" w:space="0" w:color="auto"/>
            <w:left w:val="none" w:sz="0" w:space="0" w:color="auto"/>
            <w:bottom w:val="none" w:sz="0" w:space="0" w:color="auto"/>
            <w:right w:val="none" w:sz="0" w:space="0" w:color="auto"/>
          </w:divBdr>
        </w:div>
      </w:divsChild>
    </w:div>
    <w:div w:id="1483738673">
      <w:bodyDiv w:val="1"/>
      <w:marLeft w:val="0"/>
      <w:marRight w:val="0"/>
      <w:marTop w:val="0"/>
      <w:marBottom w:val="0"/>
      <w:divBdr>
        <w:top w:val="none" w:sz="0" w:space="0" w:color="auto"/>
        <w:left w:val="none" w:sz="0" w:space="0" w:color="auto"/>
        <w:bottom w:val="none" w:sz="0" w:space="0" w:color="auto"/>
        <w:right w:val="none" w:sz="0" w:space="0" w:color="auto"/>
      </w:divBdr>
    </w:div>
    <w:div w:id="1488205726">
      <w:bodyDiv w:val="1"/>
      <w:marLeft w:val="0"/>
      <w:marRight w:val="0"/>
      <w:marTop w:val="0"/>
      <w:marBottom w:val="0"/>
      <w:divBdr>
        <w:top w:val="none" w:sz="0" w:space="0" w:color="auto"/>
        <w:left w:val="none" w:sz="0" w:space="0" w:color="auto"/>
        <w:bottom w:val="none" w:sz="0" w:space="0" w:color="auto"/>
        <w:right w:val="none" w:sz="0" w:space="0" w:color="auto"/>
      </w:divBdr>
    </w:div>
    <w:div w:id="1517387034">
      <w:bodyDiv w:val="1"/>
      <w:marLeft w:val="0"/>
      <w:marRight w:val="0"/>
      <w:marTop w:val="0"/>
      <w:marBottom w:val="0"/>
      <w:divBdr>
        <w:top w:val="none" w:sz="0" w:space="0" w:color="auto"/>
        <w:left w:val="none" w:sz="0" w:space="0" w:color="auto"/>
        <w:bottom w:val="none" w:sz="0" w:space="0" w:color="auto"/>
        <w:right w:val="none" w:sz="0" w:space="0" w:color="auto"/>
      </w:divBdr>
      <w:divsChild>
        <w:div w:id="286275136">
          <w:marLeft w:val="576"/>
          <w:marRight w:val="0"/>
          <w:marTop w:val="60"/>
          <w:marBottom w:val="0"/>
          <w:divBdr>
            <w:top w:val="none" w:sz="0" w:space="0" w:color="auto"/>
            <w:left w:val="none" w:sz="0" w:space="0" w:color="auto"/>
            <w:bottom w:val="none" w:sz="0" w:space="0" w:color="auto"/>
            <w:right w:val="none" w:sz="0" w:space="0" w:color="auto"/>
          </w:divBdr>
        </w:div>
        <w:div w:id="1157302085">
          <w:marLeft w:val="576"/>
          <w:marRight w:val="0"/>
          <w:marTop w:val="60"/>
          <w:marBottom w:val="0"/>
          <w:divBdr>
            <w:top w:val="none" w:sz="0" w:space="0" w:color="auto"/>
            <w:left w:val="none" w:sz="0" w:space="0" w:color="auto"/>
            <w:bottom w:val="none" w:sz="0" w:space="0" w:color="auto"/>
            <w:right w:val="none" w:sz="0" w:space="0" w:color="auto"/>
          </w:divBdr>
        </w:div>
      </w:divsChild>
    </w:div>
    <w:div w:id="1524322694">
      <w:bodyDiv w:val="1"/>
      <w:marLeft w:val="0"/>
      <w:marRight w:val="0"/>
      <w:marTop w:val="0"/>
      <w:marBottom w:val="0"/>
      <w:divBdr>
        <w:top w:val="none" w:sz="0" w:space="0" w:color="auto"/>
        <w:left w:val="none" w:sz="0" w:space="0" w:color="auto"/>
        <w:bottom w:val="none" w:sz="0" w:space="0" w:color="auto"/>
        <w:right w:val="none" w:sz="0" w:space="0" w:color="auto"/>
      </w:divBdr>
      <w:divsChild>
        <w:div w:id="80883239">
          <w:marLeft w:val="547"/>
          <w:marRight w:val="0"/>
          <w:marTop w:val="0"/>
          <w:marBottom w:val="0"/>
          <w:divBdr>
            <w:top w:val="none" w:sz="0" w:space="0" w:color="auto"/>
            <w:left w:val="none" w:sz="0" w:space="0" w:color="auto"/>
            <w:bottom w:val="none" w:sz="0" w:space="0" w:color="auto"/>
            <w:right w:val="none" w:sz="0" w:space="0" w:color="auto"/>
          </w:divBdr>
        </w:div>
        <w:div w:id="1713117777">
          <w:marLeft w:val="547"/>
          <w:marRight w:val="0"/>
          <w:marTop w:val="0"/>
          <w:marBottom w:val="0"/>
          <w:divBdr>
            <w:top w:val="none" w:sz="0" w:space="0" w:color="auto"/>
            <w:left w:val="none" w:sz="0" w:space="0" w:color="auto"/>
            <w:bottom w:val="none" w:sz="0" w:space="0" w:color="auto"/>
            <w:right w:val="none" w:sz="0" w:space="0" w:color="auto"/>
          </w:divBdr>
        </w:div>
        <w:div w:id="168562542">
          <w:marLeft w:val="547"/>
          <w:marRight w:val="0"/>
          <w:marTop w:val="0"/>
          <w:marBottom w:val="0"/>
          <w:divBdr>
            <w:top w:val="none" w:sz="0" w:space="0" w:color="auto"/>
            <w:left w:val="none" w:sz="0" w:space="0" w:color="auto"/>
            <w:bottom w:val="none" w:sz="0" w:space="0" w:color="auto"/>
            <w:right w:val="none" w:sz="0" w:space="0" w:color="auto"/>
          </w:divBdr>
        </w:div>
        <w:div w:id="310335339">
          <w:marLeft w:val="547"/>
          <w:marRight w:val="0"/>
          <w:marTop w:val="0"/>
          <w:marBottom w:val="0"/>
          <w:divBdr>
            <w:top w:val="none" w:sz="0" w:space="0" w:color="auto"/>
            <w:left w:val="none" w:sz="0" w:space="0" w:color="auto"/>
            <w:bottom w:val="none" w:sz="0" w:space="0" w:color="auto"/>
            <w:right w:val="none" w:sz="0" w:space="0" w:color="auto"/>
          </w:divBdr>
        </w:div>
        <w:div w:id="24333653">
          <w:marLeft w:val="547"/>
          <w:marRight w:val="0"/>
          <w:marTop w:val="0"/>
          <w:marBottom w:val="0"/>
          <w:divBdr>
            <w:top w:val="none" w:sz="0" w:space="0" w:color="auto"/>
            <w:left w:val="none" w:sz="0" w:space="0" w:color="auto"/>
            <w:bottom w:val="none" w:sz="0" w:space="0" w:color="auto"/>
            <w:right w:val="none" w:sz="0" w:space="0" w:color="auto"/>
          </w:divBdr>
        </w:div>
        <w:div w:id="880096419">
          <w:marLeft w:val="547"/>
          <w:marRight w:val="0"/>
          <w:marTop w:val="0"/>
          <w:marBottom w:val="0"/>
          <w:divBdr>
            <w:top w:val="none" w:sz="0" w:space="0" w:color="auto"/>
            <w:left w:val="none" w:sz="0" w:space="0" w:color="auto"/>
            <w:bottom w:val="none" w:sz="0" w:space="0" w:color="auto"/>
            <w:right w:val="none" w:sz="0" w:space="0" w:color="auto"/>
          </w:divBdr>
        </w:div>
        <w:div w:id="1540896571">
          <w:marLeft w:val="547"/>
          <w:marRight w:val="0"/>
          <w:marTop w:val="0"/>
          <w:marBottom w:val="0"/>
          <w:divBdr>
            <w:top w:val="none" w:sz="0" w:space="0" w:color="auto"/>
            <w:left w:val="none" w:sz="0" w:space="0" w:color="auto"/>
            <w:bottom w:val="none" w:sz="0" w:space="0" w:color="auto"/>
            <w:right w:val="none" w:sz="0" w:space="0" w:color="auto"/>
          </w:divBdr>
        </w:div>
        <w:div w:id="1362128796">
          <w:marLeft w:val="547"/>
          <w:marRight w:val="0"/>
          <w:marTop w:val="0"/>
          <w:marBottom w:val="0"/>
          <w:divBdr>
            <w:top w:val="none" w:sz="0" w:space="0" w:color="auto"/>
            <w:left w:val="none" w:sz="0" w:space="0" w:color="auto"/>
            <w:bottom w:val="none" w:sz="0" w:space="0" w:color="auto"/>
            <w:right w:val="none" w:sz="0" w:space="0" w:color="auto"/>
          </w:divBdr>
        </w:div>
        <w:div w:id="1261572266">
          <w:marLeft w:val="547"/>
          <w:marRight w:val="0"/>
          <w:marTop w:val="0"/>
          <w:marBottom w:val="0"/>
          <w:divBdr>
            <w:top w:val="none" w:sz="0" w:space="0" w:color="auto"/>
            <w:left w:val="none" w:sz="0" w:space="0" w:color="auto"/>
            <w:bottom w:val="none" w:sz="0" w:space="0" w:color="auto"/>
            <w:right w:val="none" w:sz="0" w:space="0" w:color="auto"/>
          </w:divBdr>
        </w:div>
      </w:divsChild>
    </w:div>
    <w:div w:id="1571621222">
      <w:bodyDiv w:val="1"/>
      <w:marLeft w:val="0"/>
      <w:marRight w:val="0"/>
      <w:marTop w:val="0"/>
      <w:marBottom w:val="0"/>
      <w:divBdr>
        <w:top w:val="none" w:sz="0" w:space="0" w:color="auto"/>
        <w:left w:val="none" w:sz="0" w:space="0" w:color="auto"/>
        <w:bottom w:val="none" w:sz="0" w:space="0" w:color="auto"/>
        <w:right w:val="none" w:sz="0" w:space="0" w:color="auto"/>
      </w:divBdr>
    </w:div>
    <w:div w:id="1595552842">
      <w:bodyDiv w:val="1"/>
      <w:marLeft w:val="0"/>
      <w:marRight w:val="0"/>
      <w:marTop w:val="0"/>
      <w:marBottom w:val="0"/>
      <w:divBdr>
        <w:top w:val="none" w:sz="0" w:space="0" w:color="auto"/>
        <w:left w:val="none" w:sz="0" w:space="0" w:color="auto"/>
        <w:bottom w:val="none" w:sz="0" w:space="0" w:color="auto"/>
        <w:right w:val="none" w:sz="0" w:space="0" w:color="auto"/>
      </w:divBdr>
      <w:divsChild>
        <w:div w:id="1389766708">
          <w:marLeft w:val="547"/>
          <w:marRight w:val="0"/>
          <w:marTop w:val="0"/>
          <w:marBottom w:val="0"/>
          <w:divBdr>
            <w:top w:val="none" w:sz="0" w:space="0" w:color="auto"/>
            <w:left w:val="none" w:sz="0" w:space="0" w:color="auto"/>
            <w:bottom w:val="none" w:sz="0" w:space="0" w:color="auto"/>
            <w:right w:val="none" w:sz="0" w:space="0" w:color="auto"/>
          </w:divBdr>
        </w:div>
        <w:div w:id="398020350">
          <w:marLeft w:val="547"/>
          <w:marRight w:val="0"/>
          <w:marTop w:val="0"/>
          <w:marBottom w:val="0"/>
          <w:divBdr>
            <w:top w:val="none" w:sz="0" w:space="0" w:color="auto"/>
            <w:left w:val="none" w:sz="0" w:space="0" w:color="auto"/>
            <w:bottom w:val="none" w:sz="0" w:space="0" w:color="auto"/>
            <w:right w:val="none" w:sz="0" w:space="0" w:color="auto"/>
          </w:divBdr>
        </w:div>
        <w:div w:id="1902672133">
          <w:marLeft w:val="1166"/>
          <w:marRight w:val="0"/>
          <w:marTop w:val="0"/>
          <w:marBottom w:val="0"/>
          <w:divBdr>
            <w:top w:val="none" w:sz="0" w:space="0" w:color="auto"/>
            <w:left w:val="none" w:sz="0" w:space="0" w:color="auto"/>
            <w:bottom w:val="none" w:sz="0" w:space="0" w:color="auto"/>
            <w:right w:val="none" w:sz="0" w:space="0" w:color="auto"/>
          </w:divBdr>
        </w:div>
      </w:divsChild>
    </w:div>
    <w:div w:id="1624967572">
      <w:bodyDiv w:val="1"/>
      <w:marLeft w:val="0"/>
      <w:marRight w:val="0"/>
      <w:marTop w:val="0"/>
      <w:marBottom w:val="0"/>
      <w:divBdr>
        <w:top w:val="none" w:sz="0" w:space="0" w:color="auto"/>
        <w:left w:val="none" w:sz="0" w:space="0" w:color="auto"/>
        <w:bottom w:val="none" w:sz="0" w:space="0" w:color="auto"/>
        <w:right w:val="none" w:sz="0" w:space="0" w:color="auto"/>
      </w:divBdr>
    </w:div>
    <w:div w:id="1626545621">
      <w:bodyDiv w:val="1"/>
      <w:marLeft w:val="0"/>
      <w:marRight w:val="0"/>
      <w:marTop w:val="0"/>
      <w:marBottom w:val="0"/>
      <w:divBdr>
        <w:top w:val="none" w:sz="0" w:space="0" w:color="auto"/>
        <w:left w:val="none" w:sz="0" w:space="0" w:color="auto"/>
        <w:bottom w:val="none" w:sz="0" w:space="0" w:color="auto"/>
        <w:right w:val="none" w:sz="0" w:space="0" w:color="auto"/>
      </w:divBdr>
    </w:div>
    <w:div w:id="1634024877">
      <w:bodyDiv w:val="1"/>
      <w:marLeft w:val="0"/>
      <w:marRight w:val="0"/>
      <w:marTop w:val="0"/>
      <w:marBottom w:val="0"/>
      <w:divBdr>
        <w:top w:val="none" w:sz="0" w:space="0" w:color="auto"/>
        <w:left w:val="none" w:sz="0" w:space="0" w:color="auto"/>
        <w:bottom w:val="none" w:sz="0" w:space="0" w:color="auto"/>
        <w:right w:val="none" w:sz="0" w:space="0" w:color="auto"/>
      </w:divBdr>
      <w:divsChild>
        <w:div w:id="1264533176">
          <w:marLeft w:val="547"/>
          <w:marRight w:val="0"/>
          <w:marTop w:val="0"/>
          <w:marBottom w:val="0"/>
          <w:divBdr>
            <w:top w:val="none" w:sz="0" w:space="0" w:color="auto"/>
            <w:left w:val="none" w:sz="0" w:space="0" w:color="auto"/>
            <w:bottom w:val="none" w:sz="0" w:space="0" w:color="auto"/>
            <w:right w:val="none" w:sz="0" w:space="0" w:color="auto"/>
          </w:divBdr>
        </w:div>
        <w:div w:id="1354189596">
          <w:marLeft w:val="547"/>
          <w:marRight w:val="0"/>
          <w:marTop w:val="0"/>
          <w:marBottom w:val="0"/>
          <w:divBdr>
            <w:top w:val="none" w:sz="0" w:space="0" w:color="auto"/>
            <w:left w:val="none" w:sz="0" w:space="0" w:color="auto"/>
            <w:bottom w:val="none" w:sz="0" w:space="0" w:color="auto"/>
            <w:right w:val="none" w:sz="0" w:space="0" w:color="auto"/>
          </w:divBdr>
        </w:div>
        <w:div w:id="556942346">
          <w:marLeft w:val="1166"/>
          <w:marRight w:val="0"/>
          <w:marTop w:val="0"/>
          <w:marBottom w:val="0"/>
          <w:divBdr>
            <w:top w:val="none" w:sz="0" w:space="0" w:color="auto"/>
            <w:left w:val="none" w:sz="0" w:space="0" w:color="auto"/>
            <w:bottom w:val="none" w:sz="0" w:space="0" w:color="auto"/>
            <w:right w:val="none" w:sz="0" w:space="0" w:color="auto"/>
          </w:divBdr>
        </w:div>
      </w:divsChild>
    </w:div>
    <w:div w:id="166674286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06">
          <w:marLeft w:val="446"/>
          <w:marRight w:val="0"/>
          <w:marTop w:val="0"/>
          <w:marBottom w:val="0"/>
          <w:divBdr>
            <w:top w:val="none" w:sz="0" w:space="0" w:color="auto"/>
            <w:left w:val="none" w:sz="0" w:space="0" w:color="auto"/>
            <w:bottom w:val="none" w:sz="0" w:space="0" w:color="auto"/>
            <w:right w:val="none" w:sz="0" w:space="0" w:color="auto"/>
          </w:divBdr>
        </w:div>
        <w:div w:id="27531973">
          <w:marLeft w:val="446"/>
          <w:marRight w:val="0"/>
          <w:marTop w:val="0"/>
          <w:marBottom w:val="0"/>
          <w:divBdr>
            <w:top w:val="none" w:sz="0" w:space="0" w:color="auto"/>
            <w:left w:val="none" w:sz="0" w:space="0" w:color="auto"/>
            <w:bottom w:val="none" w:sz="0" w:space="0" w:color="auto"/>
            <w:right w:val="none" w:sz="0" w:space="0" w:color="auto"/>
          </w:divBdr>
        </w:div>
        <w:div w:id="678384817">
          <w:marLeft w:val="446"/>
          <w:marRight w:val="0"/>
          <w:marTop w:val="0"/>
          <w:marBottom w:val="0"/>
          <w:divBdr>
            <w:top w:val="none" w:sz="0" w:space="0" w:color="auto"/>
            <w:left w:val="none" w:sz="0" w:space="0" w:color="auto"/>
            <w:bottom w:val="none" w:sz="0" w:space="0" w:color="auto"/>
            <w:right w:val="none" w:sz="0" w:space="0" w:color="auto"/>
          </w:divBdr>
        </w:div>
        <w:div w:id="803619461">
          <w:marLeft w:val="446"/>
          <w:marRight w:val="0"/>
          <w:marTop w:val="0"/>
          <w:marBottom w:val="0"/>
          <w:divBdr>
            <w:top w:val="none" w:sz="0" w:space="0" w:color="auto"/>
            <w:left w:val="none" w:sz="0" w:space="0" w:color="auto"/>
            <w:bottom w:val="none" w:sz="0" w:space="0" w:color="auto"/>
            <w:right w:val="none" w:sz="0" w:space="0" w:color="auto"/>
          </w:divBdr>
        </w:div>
        <w:div w:id="1619800421">
          <w:marLeft w:val="446"/>
          <w:marRight w:val="0"/>
          <w:marTop w:val="0"/>
          <w:marBottom w:val="0"/>
          <w:divBdr>
            <w:top w:val="none" w:sz="0" w:space="0" w:color="auto"/>
            <w:left w:val="none" w:sz="0" w:space="0" w:color="auto"/>
            <w:bottom w:val="none" w:sz="0" w:space="0" w:color="auto"/>
            <w:right w:val="none" w:sz="0" w:space="0" w:color="auto"/>
          </w:divBdr>
        </w:div>
        <w:div w:id="809173113">
          <w:marLeft w:val="446"/>
          <w:marRight w:val="0"/>
          <w:marTop w:val="0"/>
          <w:marBottom w:val="0"/>
          <w:divBdr>
            <w:top w:val="none" w:sz="0" w:space="0" w:color="auto"/>
            <w:left w:val="none" w:sz="0" w:space="0" w:color="auto"/>
            <w:bottom w:val="none" w:sz="0" w:space="0" w:color="auto"/>
            <w:right w:val="none" w:sz="0" w:space="0" w:color="auto"/>
          </w:divBdr>
        </w:div>
        <w:div w:id="1789544964">
          <w:marLeft w:val="446"/>
          <w:marRight w:val="0"/>
          <w:marTop w:val="0"/>
          <w:marBottom w:val="0"/>
          <w:divBdr>
            <w:top w:val="none" w:sz="0" w:space="0" w:color="auto"/>
            <w:left w:val="none" w:sz="0" w:space="0" w:color="auto"/>
            <w:bottom w:val="none" w:sz="0" w:space="0" w:color="auto"/>
            <w:right w:val="none" w:sz="0" w:space="0" w:color="auto"/>
          </w:divBdr>
        </w:div>
        <w:div w:id="1128008287">
          <w:marLeft w:val="446"/>
          <w:marRight w:val="0"/>
          <w:marTop w:val="0"/>
          <w:marBottom w:val="0"/>
          <w:divBdr>
            <w:top w:val="none" w:sz="0" w:space="0" w:color="auto"/>
            <w:left w:val="none" w:sz="0" w:space="0" w:color="auto"/>
            <w:bottom w:val="none" w:sz="0" w:space="0" w:color="auto"/>
            <w:right w:val="none" w:sz="0" w:space="0" w:color="auto"/>
          </w:divBdr>
        </w:div>
      </w:divsChild>
    </w:div>
    <w:div w:id="1743717673">
      <w:bodyDiv w:val="1"/>
      <w:marLeft w:val="0"/>
      <w:marRight w:val="0"/>
      <w:marTop w:val="0"/>
      <w:marBottom w:val="0"/>
      <w:divBdr>
        <w:top w:val="none" w:sz="0" w:space="0" w:color="auto"/>
        <w:left w:val="none" w:sz="0" w:space="0" w:color="auto"/>
        <w:bottom w:val="none" w:sz="0" w:space="0" w:color="auto"/>
        <w:right w:val="none" w:sz="0" w:space="0" w:color="auto"/>
      </w:divBdr>
      <w:divsChild>
        <w:div w:id="210698544">
          <w:marLeft w:val="547"/>
          <w:marRight w:val="0"/>
          <w:marTop w:val="0"/>
          <w:marBottom w:val="0"/>
          <w:divBdr>
            <w:top w:val="none" w:sz="0" w:space="0" w:color="auto"/>
            <w:left w:val="none" w:sz="0" w:space="0" w:color="auto"/>
            <w:bottom w:val="none" w:sz="0" w:space="0" w:color="auto"/>
            <w:right w:val="none" w:sz="0" w:space="0" w:color="auto"/>
          </w:divBdr>
        </w:div>
        <w:div w:id="952980967">
          <w:marLeft w:val="547"/>
          <w:marRight w:val="0"/>
          <w:marTop w:val="0"/>
          <w:marBottom w:val="0"/>
          <w:divBdr>
            <w:top w:val="none" w:sz="0" w:space="0" w:color="auto"/>
            <w:left w:val="none" w:sz="0" w:space="0" w:color="auto"/>
            <w:bottom w:val="none" w:sz="0" w:space="0" w:color="auto"/>
            <w:right w:val="none" w:sz="0" w:space="0" w:color="auto"/>
          </w:divBdr>
        </w:div>
        <w:div w:id="2072844255">
          <w:marLeft w:val="547"/>
          <w:marRight w:val="0"/>
          <w:marTop w:val="0"/>
          <w:marBottom w:val="0"/>
          <w:divBdr>
            <w:top w:val="none" w:sz="0" w:space="0" w:color="auto"/>
            <w:left w:val="none" w:sz="0" w:space="0" w:color="auto"/>
            <w:bottom w:val="none" w:sz="0" w:space="0" w:color="auto"/>
            <w:right w:val="none" w:sz="0" w:space="0" w:color="auto"/>
          </w:divBdr>
        </w:div>
        <w:div w:id="654651143">
          <w:marLeft w:val="547"/>
          <w:marRight w:val="0"/>
          <w:marTop w:val="0"/>
          <w:marBottom w:val="0"/>
          <w:divBdr>
            <w:top w:val="none" w:sz="0" w:space="0" w:color="auto"/>
            <w:left w:val="none" w:sz="0" w:space="0" w:color="auto"/>
            <w:bottom w:val="none" w:sz="0" w:space="0" w:color="auto"/>
            <w:right w:val="none" w:sz="0" w:space="0" w:color="auto"/>
          </w:divBdr>
        </w:div>
        <w:div w:id="1628975419">
          <w:marLeft w:val="547"/>
          <w:marRight w:val="0"/>
          <w:marTop w:val="0"/>
          <w:marBottom w:val="0"/>
          <w:divBdr>
            <w:top w:val="none" w:sz="0" w:space="0" w:color="auto"/>
            <w:left w:val="none" w:sz="0" w:space="0" w:color="auto"/>
            <w:bottom w:val="none" w:sz="0" w:space="0" w:color="auto"/>
            <w:right w:val="none" w:sz="0" w:space="0" w:color="auto"/>
          </w:divBdr>
        </w:div>
        <w:div w:id="1635283630">
          <w:marLeft w:val="547"/>
          <w:marRight w:val="0"/>
          <w:marTop w:val="0"/>
          <w:marBottom w:val="0"/>
          <w:divBdr>
            <w:top w:val="none" w:sz="0" w:space="0" w:color="auto"/>
            <w:left w:val="none" w:sz="0" w:space="0" w:color="auto"/>
            <w:bottom w:val="none" w:sz="0" w:space="0" w:color="auto"/>
            <w:right w:val="none" w:sz="0" w:space="0" w:color="auto"/>
          </w:divBdr>
        </w:div>
        <w:div w:id="723456595">
          <w:marLeft w:val="547"/>
          <w:marRight w:val="0"/>
          <w:marTop w:val="0"/>
          <w:marBottom w:val="0"/>
          <w:divBdr>
            <w:top w:val="none" w:sz="0" w:space="0" w:color="auto"/>
            <w:left w:val="none" w:sz="0" w:space="0" w:color="auto"/>
            <w:bottom w:val="none" w:sz="0" w:space="0" w:color="auto"/>
            <w:right w:val="none" w:sz="0" w:space="0" w:color="auto"/>
          </w:divBdr>
        </w:div>
        <w:div w:id="1063866505">
          <w:marLeft w:val="547"/>
          <w:marRight w:val="0"/>
          <w:marTop w:val="0"/>
          <w:marBottom w:val="0"/>
          <w:divBdr>
            <w:top w:val="none" w:sz="0" w:space="0" w:color="auto"/>
            <w:left w:val="none" w:sz="0" w:space="0" w:color="auto"/>
            <w:bottom w:val="none" w:sz="0" w:space="0" w:color="auto"/>
            <w:right w:val="none" w:sz="0" w:space="0" w:color="auto"/>
          </w:divBdr>
        </w:div>
        <w:div w:id="211574109">
          <w:marLeft w:val="1080"/>
          <w:marRight w:val="0"/>
          <w:marTop w:val="0"/>
          <w:marBottom w:val="0"/>
          <w:divBdr>
            <w:top w:val="none" w:sz="0" w:space="0" w:color="auto"/>
            <w:left w:val="none" w:sz="0" w:space="0" w:color="auto"/>
            <w:bottom w:val="none" w:sz="0" w:space="0" w:color="auto"/>
            <w:right w:val="none" w:sz="0" w:space="0" w:color="auto"/>
          </w:divBdr>
        </w:div>
        <w:div w:id="1495873298">
          <w:marLeft w:val="1080"/>
          <w:marRight w:val="0"/>
          <w:marTop w:val="0"/>
          <w:marBottom w:val="0"/>
          <w:divBdr>
            <w:top w:val="none" w:sz="0" w:space="0" w:color="auto"/>
            <w:left w:val="none" w:sz="0" w:space="0" w:color="auto"/>
            <w:bottom w:val="none" w:sz="0" w:space="0" w:color="auto"/>
            <w:right w:val="none" w:sz="0" w:space="0" w:color="auto"/>
          </w:divBdr>
        </w:div>
        <w:div w:id="342635369">
          <w:marLeft w:val="1080"/>
          <w:marRight w:val="0"/>
          <w:marTop w:val="0"/>
          <w:marBottom w:val="0"/>
          <w:divBdr>
            <w:top w:val="none" w:sz="0" w:space="0" w:color="auto"/>
            <w:left w:val="none" w:sz="0" w:space="0" w:color="auto"/>
            <w:bottom w:val="none" w:sz="0" w:space="0" w:color="auto"/>
            <w:right w:val="none" w:sz="0" w:space="0" w:color="auto"/>
          </w:divBdr>
        </w:div>
        <w:div w:id="394015685">
          <w:marLeft w:val="547"/>
          <w:marRight w:val="0"/>
          <w:marTop w:val="0"/>
          <w:marBottom w:val="0"/>
          <w:divBdr>
            <w:top w:val="none" w:sz="0" w:space="0" w:color="auto"/>
            <w:left w:val="none" w:sz="0" w:space="0" w:color="auto"/>
            <w:bottom w:val="none" w:sz="0" w:space="0" w:color="auto"/>
            <w:right w:val="none" w:sz="0" w:space="0" w:color="auto"/>
          </w:divBdr>
        </w:div>
        <w:div w:id="887491253">
          <w:marLeft w:val="547"/>
          <w:marRight w:val="0"/>
          <w:marTop w:val="0"/>
          <w:marBottom w:val="0"/>
          <w:divBdr>
            <w:top w:val="none" w:sz="0" w:space="0" w:color="auto"/>
            <w:left w:val="none" w:sz="0" w:space="0" w:color="auto"/>
            <w:bottom w:val="none" w:sz="0" w:space="0" w:color="auto"/>
            <w:right w:val="none" w:sz="0" w:space="0" w:color="auto"/>
          </w:divBdr>
        </w:div>
        <w:div w:id="250089636">
          <w:marLeft w:val="547"/>
          <w:marRight w:val="0"/>
          <w:marTop w:val="0"/>
          <w:marBottom w:val="0"/>
          <w:divBdr>
            <w:top w:val="none" w:sz="0" w:space="0" w:color="auto"/>
            <w:left w:val="none" w:sz="0" w:space="0" w:color="auto"/>
            <w:bottom w:val="none" w:sz="0" w:space="0" w:color="auto"/>
            <w:right w:val="none" w:sz="0" w:space="0" w:color="auto"/>
          </w:divBdr>
        </w:div>
        <w:div w:id="270359553">
          <w:marLeft w:val="547"/>
          <w:marRight w:val="0"/>
          <w:marTop w:val="0"/>
          <w:marBottom w:val="0"/>
          <w:divBdr>
            <w:top w:val="none" w:sz="0" w:space="0" w:color="auto"/>
            <w:left w:val="none" w:sz="0" w:space="0" w:color="auto"/>
            <w:bottom w:val="none" w:sz="0" w:space="0" w:color="auto"/>
            <w:right w:val="none" w:sz="0" w:space="0" w:color="auto"/>
          </w:divBdr>
        </w:div>
        <w:div w:id="203297663">
          <w:marLeft w:val="547"/>
          <w:marRight w:val="0"/>
          <w:marTop w:val="0"/>
          <w:marBottom w:val="0"/>
          <w:divBdr>
            <w:top w:val="none" w:sz="0" w:space="0" w:color="auto"/>
            <w:left w:val="none" w:sz="0" w:space="0" w:color="auto"/>
            <w:bottom w:val="none" w:sz="0" w:space="0" w:color="auto"/>
            <w:right w:val="none" w:sz="0" w:space="0" w:color="auto"/>
          </w:divBdr>
        </w:div>
        <w:div w:id="548146837">
          <w:marLeft w:val="547"/>
          <w:marRight w:val="0"/>
          <w:marTop w:val="0"/>
          <w:marBottom w:val="0"/>
          <w:divBdr>
            <w:top w:val="none" w:sz="0" w:space="0" w:color="auto"/>
            <w:left w:val="none" w:sz="0" w:space="0" w:color="auto"/>
            <w:bottom w:val="none" w:sz="0" w:space="0" w:color="auto"/>
            <w:right w:val="none" w:sz="0" w:space="0" w:color="auto"/>
          </w:divBdr>
        </w:div>
      </w:divsChild>
    </w:div>
    <w:div w:id="1754668563">
      <w:bodyDiv w:val="1"/>
      <w:marLeft w:val="0"/>
      <w:marRight w:val="0"/>
      <w:marTop w:val="0"/>
      <w:marBottom w:val="0"/>
      <w:divBdr>
        <w:top w:val="none" w:sz="0" w:space="0" w:color="auto"/>
        <w:left w:val="none" w:sz="0" w:space="0" w:color="auto"/>
        <w:bottom w:val="none" w:sz="0" w:space="0" w:color="auto"/>
        <w:right w:val="none" w:sz="0" w:space="0" w:color="auto"/>
      </w:divBdr>
    </w:div>
    <w:div w:id="1773089031">
      <w:bodyDiv w:val="1"/>
      <w:marLeft w:val="0"/>
      <w:marRight w:val="0"/>
      <w:marTop w:val="0"/>
      <w:marBottom w:val="0"/>
      <w:divBdr>
        <w:top w:val="none" w:sz="0" w:space="0" w:color="auto"/>
        <w:left w:val="none" w:sz="0" w:space="0" w:color="auto"/>
        <w:bottom w:val="none" w:sz="0" w:space="0" w:color="auto"/>
        <w:right w:val="none" w:sz="0" w:space="0" w:color="auto"/>
      </w:divBdr>
    </w:div>
    <w:div w:id="1979218544">
      <w:bodyDiv w:val="1"/>
      <w:marLeft w:val="0"/>
      <w:marRight w:val="0"/>
      <w:marTop w:val="0"/>
      <w:marBottom w:val="0"/>
      <w:divBdr>
        <w:top w:val="none" w:sz="0" w:space="0" w:color="auto"/>
        <w:left w:val="none" w:sz="0" w:space="0" w:color="auto"/>
        <w:bottom w:val="none" w:sz="0" w:space="0" w:color="auto"/>
        <w:right w:val="none" w:sz="0" w:space="0" w:color="auto"/>
      </w:divBdr>
    </w:div>
    <w:div w:id="20880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9A60C-9BC7-465B-9DC6-19CC9EAD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8382</Words>
  <Characters>47778</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56048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2017-02-23T09:19:00Z</cp:lastPrinted>
  <dcterms:created xsi:type="dcterms:W3CDTF">2019-07-10T10:25:00Z</dcterms:created>
  <dcterms:modified xsi:type="dcterms:W3CDTF">2019-07-10T10:25:00Z</dcterms:modified>
</cp:coreProperties>
</file>