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34343" w14:textId="77777777" w:rsidR="00D10A08" w:rsidRPr="00BF0C07" w:rsidRDefault="00BF0C07" w:rsidP="00BF0C07">
      <w:pPr>
        <w:ind w:left="630" w:hanging="630"/>
        <w:jc w:val="both"/>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pPr>
      <w:bookmarkStart w:id="0" w:name="_GoBack"/>
      <w:bookmarkEnd w:id="0"/>
      <w:r>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t>5.</w:t>
      </w:r>
      <w:r>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tab/>
      </w:r>
      <w:r w:rsidR="00390AFC" w:rsidRPr="00BF0C07">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t>R</w:t>
      </w:r>
      <w:r w:rsidR="00D10A08" w:rsidRPr="00BF0C07">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t>eport of the Portfolio Committee on Human Settlements</w:t>
      </w:r>
      <w:r w:rsidR="00D00B71" w:rsidRPr="00BF0C07">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t>, Water and Sanitation</w:t>
      </w:r>
      <w:r w:rsidR="00D10A08" w:rsidRPr="00BF0C07">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t xml:space="preserve"> on Budget Vote 38:</w:t>
      </w:r>
      <w:r w:rsidR="00390AFC" w:rsidRPr="00BF0C07">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t xml:space="preserve"> Human Settlements, on the Strategic P</w:t>
      </w:r>
      <w:r w:rsidR="00D10A08" w:rsidRPr="00BF0C07">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t xml:space="preserve">lan for the coming Medium Term Expenditure Framework (MTEF) period </w:t>
      </w:r>
      <w:r w:rsidR="007F3977" w:rsidRPr="00BF0C07">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t>and Annual Performance Plan 2019/20</w:t>
      </w:r>
      <w:r w:rsidR="00D10A08" w:rsidRPr="00BF0C07">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t xml:space="preserve">, dated </w:t>
      </w:r>
      <w:r w:rsidR="00E20DE5" w:rsidRPr="00BF0C07">
        <w:rPr>
          <w:rFonts w:ascii="Times New Roman" w:eastAsia="Calibri" w:hAnsi="Times New Roman"/>
          <w:b/>
          <w:color w:val="auto"/>
          <w:spacing w:val="0"/>
          <w:sz w:val="28"/>
          <w:szCs w:val="28"/>
          <w:lang w:val="en-US" w:eastAsia="en-US"/>
          <w14:shadow w14:blurRad="50800" w14:dist="38100" w14:dir="2700000" w14:sx="100000" w14:sy="100000" w14:kx="0" w14:ky="0" w14:algn="tl">
            <w14:srgbClr w14:val="000000">
              <w14:alpha w14:val="60000"/>
            </w14:srgbClr>
          </w14:shadow>
        </w:rPr>
        <w:t>5 July 2019</w:t>
      </w:r>
    </w:p>
    <w:p w14:paraId="36F823BA" w14:textId="77777777" w:rsidR="00D10A08" w:rsidRPr="00F95315" w:rsidRDefault="00D10A08" w:rsidP="00D10A08">
      <w:pPr>
        <w:pStyle w:val="Char"/>
        <w:spacing w:line="360" w:lineRule="auto"/>
        <w:jc w:val="both"/>
        <w:rPr>
          <w:rFonts w:eastAsia="Calibri" w:cs="Arial"/>
          <w:b/>
          <w:bCs w:val="0"/>
          <w:szCs w:val="22"/>
          <w14:shadow w14:blurRad="50800" w14:dist="38100" w14:dir="2700000" w14:sx="100000" w14:sy="100000" w14:kx="0" w14:ky="0" w14:algn="tl">
            <w14:srgbClr w14:val="000000">
              <w14:alpha w14:val="60000"/>
            </w14:srgbClr>
          </w14:shadow>
        </w:rPr>
      </w:pPr>
      <w:r w:rsidRPr="00F95315">
        <w:rPr>
          <w:rFonts w:eastAsia="Calibri" w:cs="Arial"/>
          <w:b/>
          <w:bCs w:val="0"/>
          <w:szCs w:val="22"/>
          <w14:shadow w14:blurRad="50800" w14:dist="38100" w14:dir="2700000" w14:sx="100000" w14:sy="100000" w14:kx="0" w14:ky="0" w14:algn="tl">
            <w14:srgbClr w14:val="000000">
              <w14:alpha w14:val="60000"/>
            </w14:srgbClr>
          </w14:shadow>
        </w:rPr>
        <w:t xml:space="preserve"> </w:t>
      </w:r>
    </w:p>
    <w:p w14:paraId="687F6DDC" w14:textId="77777777" w:rsidR="00D10A08" w:rsidRPr="00924781" w:rsidRDefault="00D10A08"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The Portfolio Committee on Human Settlements, </w:t>
      </w:r>
      <w:r w:rsidR="00D00B7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Water and Sanitation,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having considered Bu</w:t>
      </w:r>
      <w:r w:rsidR="00D00B7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dget Vote 38: Human Settlements,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the strategic plans for the MTEF period and the annual performance plans of the Department of Human Settlements (later referred to as the Department) </w:t>
      </w:r>
      <w:r w:rsidR="002951D5"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on 3 July 2019</w:t>
      </w:r>
      <w:r w:rsidR="00D00B7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w:t>
      </w:r>
      <w:r w:rsidR="002951D5"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referred to it, reports as follows: </w:t>
      </w:r>
    </w:p>
    <w:p w14:paraId="7BA68236" w14:textId="77777777" w:rsidR="00D10A08" w:rsidRPr="00924781" w:rsidRDefault="00D10A08" w:rsidP="00D10A08">
      <w:pPr>
        <w:spacing w:line="360" w:lineRule="auto"/>
        <w:jc w:val="both"/>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p>
    <w:p w14:paraId="3DDE4408" w14:textId="77777777" w:rsidR="00D10A08" w:rsidRPr="00924781" w:rsidRDefault="00D10A08" w:rsidP="00D10A08">
      <w:pPr>
        <w:spacing w:line="360" w:lineRule="auto"/>
        <w:jc w:val="both"/>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t>1.</w:t>
      </w:r>
      <w:r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tab/>
        <w:t xml:space="preserve">Introduction </w:t>
      </w:r>
    </w:p>
    <w:p w14:paraId="12E4CED6" w14:textId="77777777" w:rsidR="00D10A08" w:rsidRPr="00924781" w:rsidRDefault="00D10A08" w:rsidP="00D10A08">
      <w:pPr>
        <w:spacing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p>
    <w:p w14:paraId="6EDF98BE" w14:textId="77777777" w:rsidR="00D10A08" w:rsidRPr="00924781" w:rsidRDefault="00D10A08"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The Constitution of the Republic of South Africa (1996) places an obligation on the State to provide access to adequate housing to its citizens. As the custodian of the housing sector, the Department derives its core mandate and responsibilities from section 3 of the Housing Act (1997), which allows the Department, in collaboration with provinces and municipalities, to establish and facilitate a sustainable national housing development process.  The Department does this by, determining the national policy, national norms and standards for housing and human settlements development, setting broad national housing delivery goals, and monitoring the financial and non-financial performance of provinces and municipalities against these goals, building the capacity of provinces and municipalities and promoting consultation with all the stakeholders in the housing delivery chain, including civil society and the private sector.  </w:t>
      </w:r>
    </w:p>
    <w:p w14:paraId="12F3A949" w14:textId="77777777" w:rsidR="00D10A08" w:rsidRPr="00924781" w:rsidRDefault="00D10A08"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28B21D87" w14:textId="77777777" w:rsidR="00D10A08" w:rsidRPr="00924781" w:rsidRDefault="00D10A08"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In order to ensure the progressive realization of its mandate and the goal of sustainable and integrated human settlements, the Department has subsequently developed strategies, policies and programmes. The comprehensive plan for the development of sustainable human settlements,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lastRenderedPageBreak/>
        <w:t xml:space="preserve">approved in 2004 and the revised Housing Code, published in 2009, mark a conceptual shift away from the mandate of providing shelter, to supporting the residential property market. The Housing Code allows for access to housing and services for low-income families and ensures greater choice in quality, location and ownership. Subsequently, chapter eight of the National Development Plan (NDP) provides a roadmap for the achievement of sustainable human settlements in South Africa </w:t>
      </w:r>
      <w:r w:rsidR="00A3554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by 2030. Consequently, the Department</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w:t>
      </w:r>
      <w:r w:rsidR="00A3554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has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strategically aligned its plans with the NDP. </w:t>
      </w:r>
    </w:p>
    <w:p w14:paraId="54238CDF" w14:textId="77777777" w:rsidR="00132BB4" w:rsidRPr="00924781" w:rsidRDefault="00132BB4" w:rsidP="00132BB4">
      <w:pPr>
        <w:spacing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p>
    <w:p w14:paraId="72E03621" w14:textId="77777777" w:rsidR="00D10A08" w:rsidRPr="00924781" w:rsidRDefault="00D10A08" w:rsidP="00132BB4">
      <w:pPr>
        <w:spacing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To ensure its oversight role, the Committee received briefings from the</w:t>
      </w:r>
      <w:r w:rsidR="00A3554B"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 xml:space="preserve"> Department</w:t>
      </w: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 xml:space="preserve"> and its entities on their strategic plans, budgets and annual performance plans.  The Department was also requested to present the business plans from nine Provincial Departments of Human Settlements.  </w:t>
      </w:r>
    </w:p>
    <w:p w14:paraId="1E897824" w14:textId="77777777" w:rsidR="00132BB4" w:rsidRPr="00924781" w:rsidRDefault="00132BB4" w:rsidP="00132BB4">
      <w:pPr>
        <w:spacing w:line="360" w:lineRule="auto"/>
        <w:jc w:val="both"/>
        <w:rPr>
          <w:rFonts w:ascii="Times New Roman" w:eastAsia="Calibri" w:hAnsi="Times New Roman"/>
          <w:bCs/>
          <w:sz w:val="24"/>
          <w:szCs w:val="24"/>
          <w14:shadow w14:blurRad="50800" w14:dist="38100" w14:dir="2700000" w14:sx="100000" w14:sy="100000" w14:kx="0" w14:ky="0" w14:algn="tl">
            <w14:srgbClr w14:val="000000">
              <w14:alpha w14:val="60000"/>
            </w14:srgbClr>
          </w14:shadow>
        </w:rPr>
      </w:pPr>
    </w:p>
    <w:p w14:paraId="1AD2C324" w14:textId="77777777" w:rsidR="00D10A08"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2.</w:t>
      </w: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t>Department of Human Settlements</w:t>
      </w:r>
    </w:p>
    <w:p w14:paraId="2294E930" w14:textId="77777777" w:rsidR="00D10A08"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2.1</w:t>
      </w: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t>Aim and mandate of the Department</w:t>
      </w:r>
    </w:p>
    <w:p w14:paraId="45C29740" w14:textId="77777777" w:rsidR="00D10A08" w:rsidRPr="00924781" w:rsidRDefault="00D1418F" w:rsidP="00D1418F">
      <w:pPr>
        <w:spacing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The mandate and core business of the</w:t>
      </w:r>
      <w:r w:rsidR="00A3554B"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 xml:space="preserve"> Department</w:t>
      </w: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 xml:space="preserve"> is underpinned by the Constitution and all other relevant legislation and policies applicable to government, the Breaking New Ground Policy (BNG). In addressing the mandate for the provision of access to adequate housing, the following policies, legislation and regulations were enacted to give effect to the Constitutional housing rights of all South Africans in Section 26, which states that “Everyone has the right to have access to adequate housing”. The Constitution requires the state to take reasonable legislative and other measures, within its available resources, to achieve this right. Furthermore, no one may be evicted from their home, or have their home demolished, without an order of court made after considering all relevant circumstances. No legislation may permit arbitrary evictions.</w:t>
      </w:r>
    </w:p>
    <w:p w14:paraId="553150A9" w14:textId="77777777" w:rsidR="00D1418F" w:rsidRPr="00924781" w:rsidRDefault="00D1418F" w:rsidP="00D10A08">
      <w:pPr>
        <w:spacing w:line="360" w:lineRule="auto"/>
        <w:jc w:val="both"/>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p>
    <w:p w14:paraId="5FF03823" w14:textId="77777777" w:rsidR="00132BB4" w:rsidRPr="00924781" w:rsidRDefault="00132BB4" w:rsidP="00D10A08">
      <w:pPr>
        <w:spacing w:line="360" w:lineRule="auto"/>
        <w:jc w:val="both"/>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p>
    <w:p w14:paraId="1DA68144" w14:textId="77777777" w:rsidR="00BF0C07" w:rsidRDefault="00BF0C07">
      <w:pPr>
        <w:spacing w:after="160" w:line="259" w:lineRule="auto"/>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r>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br w:type="page"/>
      </w:r>
    </w:p>
    <w:p w14:paraId="17B9CC6C" w14:textId="77777777" w:rsidR="00D10A08" w:rsidRPr="00924781" w:rsidRDefault="00D10A08" w:rsidP="00D10A08">
      <w:pPr>
        <w:spacing w:line="360" w:lineRule="auto"/>
        <w:jc w:val="both"/>
        <w:rPr>
          <w:rFonts w:ascii="Times New Roman" w:eastAsia="Calibri" w:hAnsi="Times New Roman"/>
          <w:b/>
          <w:bCs/>
          <w:color w:val="auto"/>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lastRenderedPageBreak/>
        <w:t xml:space="preserve">2.2 </w:t>
      </w:r>
      <w:r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tab/>
        <w:t xml:space="preserve">National Development Plan </w:t>
      </w:r>
    </w:p>
    <w:p w14:paraId="4DE3FFFC" w14:textId="77777777" w:rsidR="00D10A08" w:rsidRPr="00924781" w:rsidRDefault="00D10A08" w:rsidP="00D10A08">
      <w:pPr>
        <w:pStyle w:val="Default"/>
        <w:spacing w:line="360" w:lineRule="auto"/>
        <w:rPr>
          <w:rFonts w:ascii="Times New Roman" w:hAnsi="Times New Roman" w:cs="Times New Roman"/>
        </w:rPr>
      </w:pPr>
    </w:p>
    <w:p w14:paraId="3EE03B97" w14:textId="77777777" w:rsidR="00D10A08" w:rsidRPr="00924781" w:rsidRDefault="00D10A08" w:rsidP="00A3554B">
      <w:pPr>
        <w:pStyle w:val="Default"/>
        <w:spacing w:line="360" w:lineRule="auto"/>
        <w:jc w:val="both"/>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t>Chapter 8 of the N</w:t>
      </w:r>
      <w:r w:rsidR="00A3554B" w:rsidRPr="00924781">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t>ational Development Plan (NDP) outlines the</w:t>
      </w:r>
      <w:r w:rsidRPr="00924781">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t xml:space="preserve"> vision for human settlements and housing towards 2030. The emphasis in the NDP is on a government-led strategy to fast-track the development of housing and human settlements whilst at the same time improving th</w:t>
      </w:r>
      <w:r w:rsidR="00A3554B" w:rsidRPr="00924781">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t xml:space="preserve">e quality of life of citizens. </w:t>
      </w:r>
      <w:r w:rsidRPr="00924781">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t xml:space="preserve">Key recommendations contained in the NDP are: </w:t>
      </w:r>
    </w:p>
    <w:p w14:paraId="3B5AEFEA" w14:textId="77777777" w:rsidR="00D10A08" w:rsidRPr="00924781" w:rsidRDefault="00D10A08" w:rsidP="00D10A08">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Strengthen the spatial planning system. </w:t>
      </w:r>
    </w:p>
    <w:p w14:paraId="2AB2B89A" w14:textId="77777777" w:rsidR="00D10A08" w:rsidRPr="00924781" w:rsidRDefault="00D10A08" w:rsidP="00D10A08">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Initiate a national conversation about cities, towns and villages – the media and civil</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w:t>
      </w:r>
    </w:p>
    <w:p w14:paraId="2560C88F" w14:textId="77777777" w:rsidR="00D10A08" w:rsidRPr="00924781" w:rsidRDefault="00D10A08" w:rsidP="00D10A08">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Institute bolder measures to achieve sustainable human settlements. </w:t>
      </w:r>
    </w:p>
    <w:p w14:paraId="0CFADCE9" w14:textId="77777777" w:rsidR="00D10A08" w:rsidRPr="00924781" w:rsidRDefault="00D10A08" w:rsidP="00D10A08">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Develop a more coherent and inclusive approach to land. </w:t>
      </w:r>
    </w:p>
    <w:p w14:paraId="0EF98AA6" w14:textId="77777777" w:rsidR="00D10A08" w:rsidRPr="00924781" w:rsidRDefault="00D10A08" w:rsidP="00D10A08">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Radically revise the housing finance system. </w:t>
      </w:r>
    </w:p>
    <w:p w14:paraId="1648B808" w14:textId="77777777" w:rsidR="00D10A08" w:rsidRPr="00924781" w:rsidRDefault="00D10A08" w:rsidP="00D10A08">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Revise the regulations and incentives for housing and land use management. </w:t>
      </w:r>
    </w:p>
    <w:p w14:paraId="7EC8C772" w14:textId="77777777" w:rsidR="00D10A08" w:rsidRPr="00924781" w:rsidRDefault="00D10A08" w:rsidP="00D10A08">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Recognize the role of informal settlements and enhancing the existing national programme for informal settlement upgrading by developing a range of tailored responses to support their upgrade. </w:t>
      </w:r>
    </w:p>
    <w:p w14:paraId="7798579F" w14:textId="77777777" w:rsidR="00D10A08" w:rsidRPr="00924781" w:rsidRDefault="00D10A08" w:rsidP="00D10A08">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Support the transition to environmental sustainability. </w:t>
      </w:r>
    </w:p>
    <w:p w14:paraId="2A666EAA" w14:textId="77777777" w:rsidR="00D10A08" w:rsidRPr="00924781" w:rsidRDefault="00D10A08" w:rsidP="00D10A08">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Support rural spatial development. </w:t>
      </w:r>
    </w:p>
    <w:p w14:paraId="36B04BFF" w14:textId="77777777" w:rsidR="00D10A08" w:rsidRPr="00924781" w:rsidRDefault="00D10A08" w:rsidP="00D10A08">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Initiate spatial interventions to support agricultural development. </w:t>
      </w:r>
    </w:p>
    <w:p w14:paraId="2460401E" w14:textId="77777777" w:rsidR="00D10A08" w:rsidRPr="00924781" w:rsidRDefault="00D10A08" w:rsidP="00D10A08">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Building an active citizenry to rebuild local place and community. </w:t>
      </w:r>
    </w:p>
    <w:p w14:paraId="1B888782" w14:textId="77777777" w:rsidR="00D10A08" w:rsidRPr="00924781" w:rsidRDefault="00D10A08" w:rsidP="00D10A08">
      <w:pPr>
        <w:spacing w:line="360" w:lineRule="auto"/>
        <w:jc w:val="both"/>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p>
    <w:p w14:paraId="5FC33A13" w14:textId="77777777" w:rsidR="00BF0C07" w:rsidRDefault="00BF0C07">
      <w:pPr>
        <w:spacing w:after="160" w:line="259" w:lineRule="auto"/>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r>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br w:type="page"/>
      </w:r>
    </w:p>
    <w:p w14:paraId="5F97DF6A" w14:textId="77777777" w:rsidR="00D10A08" w:rsidRPr="00924781" w:rsidRDefault="00D10A08" w:rsidP="00D10A08">
      <w:pPr>
        <w:spacing w:line="360" w:lineRule="auto"/>
        <w:jc w:val="both"/>
        <w:rPr>
          <w:rFonts w:ascii="Times New Roman" w:hAnsi="Times New Roman"/>
          <w:b/>
          <w:sz w:val="24"/>
          <w:szCs w:val="24"/>
        </w:rPr>
      </w:pPr>
      <w:r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lastRenderedPageBreak/>
        <w:t xml:space="preserve">2.3 </w:t>
      </w:r>
      <w:r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tab/>
        <w:t>Medium Term Strategic Framework</w:t>
      </w:r>
    </w:p>
    <w:p w14:paraId="6062D0A7" w14:textId="77777777" w:rsidR="00D10A08" w:rsidRPr="00924781" w:rsidRDefault="00D10A08" w:rsidP="00D10A08">
      <w:pPr>
        <w:spacing w:line="360" w:lineRule="auto"/>
        <w:jc w:val="both"/>
        <w:rPr>
          <w:rFonts w:ascii="Times New Roman" w:hAnsi="Times New Roman"/>
          <w:sz w:val="24"/>
          <w:szCs w:val="24"/>
        </w:rPr>
      </w:pPr>
    </w:p>
    <w:p w14:paraId="49EB8D21" w14:textId="77777777" w:rsidR="00D10A08" w:rsidRPr="00924781" w:rsidRDefault="00D10A08" w:rsidP="00A3554B">
      <w:pPr>
        <w:pStyle w:val="Default"/>
        <w:spacing w:line="360" w:lineRule="auto"/>
        <w:jc w:val="both"/>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t xml:space="preserve">The Medium Term Strategic Framework (MTSF) serves as the principal guide to the planning and allocation of departmental resources across all spheres of government. The MTSF outlines a vision of sustainable human settlements and an improved quality of household life. Priorities for 2014 – 2019 are: </w:t>
      </w:r>
    </w:p>
    <w:p w14:paraId="6C920B7E" w14:textId="77777777" w:rsidR="00D10A08" w:rsidRPr="00924781" w:rsidRDefault="00D10A08" w:rsidP="00A3554B">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1,495 million more households living in new or improved housing conditions by 2019. </w:t>
      </w:r>
    </w:p>
    <w:p w14:paraId="39CFDF2E" w14:textId="77777777" w:rsidR="00D10A08" w:rsidRPr="00924781" w:rsidRDefault="00D10A08" w:rsidP="00A3554B">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110 000 new housing units delivered in the affordable gap market by 2019. </w:t>
      </w:r>
    </w:p>
    <w:p w14:paraId="76B1ABAB" w14:textId="77777777" w:rsidR="00D10A08" w:rsidRPr="00924781" w:rsidRDefault="00D10A08" w:rsidP="00A3554B">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49 municipalities assigned or accre</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dited with the housing function.</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w:t>
      </w:r>
    </w:p>
    <w:p w14:paraId="1913B5A9" w14:textId="77777777" w:rsidR="00D10A08" w:rsidRPr="00924781" w:rsidRDefault="00D10A08" w:rsidP="00A3554B">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63 000 new </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subsidy units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receive title deeds and the backlog of 900 000 title deeds in the integrated r</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esidential housing programme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be transferred over the five-year period. </w:t>
      </w:r>
    </w:p>
    <w:p w14:paraId="242CD5A9" w14:textId="77777777" w:rsidR="00D10A08" w:rsidRPr="00924781" w:rsidRDefault="009304D2" w:rsidP="00A3554B">
      <w:pPr>
        <w:pStyle w:val="Char"/>
        <w:numPr>
          <w:ilvl w:val="0"/>
          <w:numId w:val="1"/>
        </w:numPr>
        <w:spacing w:line="360" w:lineRule="auto"/>
        <w:jc w:val="both"/>
        <w:rPr>
          <w:rFonts w:ascii="Times New Roman" w:hAnsi="Times New Roman"/>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750 000 households would</w:t>
      </w:r>
      <w:r w:rsidR="00D10A08"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benefit from the informal</w:t>
      </w:r>
      <w:r w:rsidR="00D10A08" w:rsidRPr="00924781">
        <w:rPr>
          <w:rFonts w:ascii="Times New Roman" w:hAnsi="Times New Roman"/>
          <w:sz w:val="24"/>
          <w14:shadow w14:blurRad="50800" w14:dist="38100" w14:dir="2700000" w14:sx="100000" w14:sy="100000" w14:kx="0" w14:ky="0" w14:algn="tl">
            <w14:srgbClr w14:val="000000">
              <w14:alpha w14:val="60000"/>
            </w14:srgbClr>
          </w14:shadow>
        </w:rPr>
        <w:t xml:space="preserve"> settlement upgrading programme, ensuring basic services and infrastructure in about 2 200 informal settlements. </w:t>
      </w:r>
    </w:p>
    <w:p w14:paraId="670D6FE3" w14:textId="77777777" w:rsidR="00D10A08" w:rsidRPr="00924781" w:rsidRDefault="00D10A08" w:rsidP="00D10A08">
      <w:pPr>
        <w:pStyle w:val="Default"/>
        <w:spacing w:line="360" w:lineRule="auto"/>
        <w:rPr>
          <w:rFonts w:ascii="Times New Roman" w:hAnsi="Times New Roman" w:cs="Times New Roman"/>
        </w:rPr>
      </w:pPr>
    </w:p>
    <w:p w14:paraId="098A39D9" w14:textId="77777777" w:rsidR="00D10A08" w:rsidRPr="00924781" w:rsidRDefault="00D10A08" w:rsidP="00D10A08">
      <w:pPr>
        <w:pStyle w:val="Default"/>
        <w:spacing w:line="360" w:lineRule="auto"/>
        <w:rPr>
          <w:rFonts w:ascii="Times New Roman" w:hAnsi="Times New Roman" w:cs="Times New Roman"/>
        </w:rPr>
      </w:pPr>
    </w:p>
    <w:p w14:paraId="16DA0044" w14:textId="77777777" w:rsidR="00D10A08" w:rsidRPr="00924781" w:rsidRDefault="00D10A08" w:rsidP="00D10A08">
      <w:pPr>
        <w:pStyle w:val="Default"/>
        <w:spacing w:line="360" w:lineRule="auto"/>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t xml:space="preserve">In addition, the MTSF indicates that the following will be addressed: </w:t>
      </w:r>
    </w:p>
    <w:p w14:paraId="444900A7" w14:textId="77777777" w:rsidR="00D10A08" w:rsidRPr="00924781" w:rsidRDefault="00D10A08" w:rsidP="00D10A08">
      <w:pPr>
        <w:pStyle w:val="Default"/>
        <w:spacing w:line="360" w:lineRule="auto"/>
        <w:rPr>
          <w:rFonts w:ascii="Times New Roman" w:hAnsi="Times New Roman" w:cs="Times New Roman"/>
        </w:rPr>
      </w:pPr>
    </w:p>
    <w:p w14:paraId="3FAAD93D" w14:textId="77777777" w:rsidR="00D10A08" w:rsidRPr="00924781" w:rsidRDefault="00D10A08" w:rsidP="00A3554B">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Existing housing instruments and subsidies to be reviewed and improved to better direct housing and human settlements investments. </w:t>
      </w:r>
    </w:p>
    <w:p w14:paraId="185CD972" w14:textId="77777777" w:rsidR="00D10A08" w:rsidRPr="00924781" w:rsidRDefault="00D10A08" w:rsidP="00A3554B">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Public transport planning aligned with residential development is key to achieving social and economic transformation. </w:t>
      </w:r>
    </w:p>
    <w:p w14:paraId="3D0EAD8D" w14:textId="77777777" w:rsidR="00D10A08" w:rsidRPr="00924781" w:rsidRDefault="00D10A08" w:rsidP="00A3554B">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A multi-segmented social-rental housing programme envisaged, which includes backyard rentals. </w:t>
      </w:r>
    </w:p>
    <w:p w14:paraId="7724CA78" w14:textId="77777777" w:rsidR="00D10A08" w:rsidRPr="00924781" w:rsidRDefault="00D10A08" w:rsidP="00A3554B">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lastRenderedPageBreak/>
        <w:t xml:space="preserve">Barriers to more rapid residential construction will be addressed, together with support for broadening access to housing credit, especially for first time home buyers. </w:t>
      </w:r>
    </w:p>
    <w:p w14:paraId="59784C09" w14:textId="77777777" w:rsidR="00D10A08" w:rsidRPr="00924781" w:rsidRDefault="00D10A08" w:rsidP="00A3554B">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In minin</w:t>
      </w:r>
      <w:r w:rsidR="00A3554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g towns, housing solutions would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be sought thought partnership between Government, municipalities, employers and financial institutions. </w:t>
      </w:r>
    </w:p>
    <w:p w14:paraId="7709EB94" w14:textId="77777777" w:rsidR="00D10A08" w:rsidRPr="00924781" w:rsidRDefault="00D10A08" w:rsidP="00A3554B">
      <w:pPr>
        <w:pStyle w:val="Char"/>
        <w:numPr>
          <w:ilvl w:val="0"/>
          <w:numId w:val="1"/>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Improving access to affordable housing within the public service and private sector could be supported through remuneration allowances or credit enhancement. </w:t>
      </w:r>
    </w:p>
    <w:p w14:paraId="529F85B3" w14:textId="77777777" w:rsidR="00D10A08" w:rsidRPr="00924781" w:rsidRDefault="00D10A08"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4CD90476" w14:textId="77777777" w:rsidR="00D10A08" w:rsidRPr="00924781" w:rsidRDefault="00D10A08" w:rsidP="00D10A08">
      <w:pPr>
        <w:spacing w:line="360" w:lineRule="auto"/>
        <w:jc w:val="both"/>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t xml:space="preserve">2.4 </w:t>
      </w:r>
      <w:r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tab/>
        <w:t xml:space="preserve">Revision of Legislative and other mandates </w:t>
      </w:r>
    </w:p>
    <w:p w14:paraId="3C8CF3F1" w14:textId="77777777" w:rsidR="00132BB4" w:rsidRPr="00924781" w:rsidRDefault="00132BB4"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06772C90" w14:textId="77777777" w:rsidR="00D10A08" w:rsidRPr="00924781" w:rsidRDefault="00D10A08" w:rsidP="00A3554B">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mandate and core business of the</w:t>
      </w:r>
      <w:r w:rsidR="00A3554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Department</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is underpinned by the Constitution and all other relevant legislation and policies applicable to the department. In addressing the mandate for integrated sustainable human settlements, the review of policies particularly the development of the White Paper for Human Settlements and the revision of the Housing A</w:t>
      </w:r>
      <w:r w:rsidR="00A3554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ct to Human Settlements Act would enhance the Departments’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efforts in the provision of adequate housing by:</w:t>
      </w:r>
    </w:p>
    <w:p w14:paraId="24F532C8" w14:textId="77777777" w:rsidR="00D10A08" w:rsidRPr="00924781" w:rsidRDefault="00D10A08" w:rsidP="00D10A08">
      <w:pPr>
        <w:pStyle w:val="Char"/>
        <w:numPr>
          <w:ilvl w:val="0"/>
          <w:numId w:val="3"/>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Providing a framework for the realisation of sustainable human settlements and improved quality of household life.</w:t>
      </w:r>
    </w:p>
    <w:p w14:paraId="6DA9EB69" w14:textId="77777777" w:rsidR="00D10A08" w:rsidRPr="00924781" w:rsidRDefault="00D10A08" w:rsidP="00D10A08">
      <w:pPr>
        <w:pStyle w:val="Char"/>
        <w:numPr>
          <w:ilvl w:val="0"/>
          <w:numId w:val="3"/>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Providing a foundation for the establishment of a viable, socially and economically integrated communities that are located in areas allowing convenient access to economic opportunities as well as health, educational and social amenities.</w:t>
      </w:r>
    </w:p>
    <w:p w14:paraId="2AB9034C" w14:textId="77777777" w:rsidR="00D10A08" w:rsidRPr="00924781" w:rsidRDefault="00D10A08"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16C040AC" w14:textId="77777777" w:rsidR="00BF0C07" w:rsidRDefault="00BF0C07">
      <w:pPr>
        <w:spacing w:after="160" w:line="259" w:lineRule="auto"/>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r>
        <w:rPr>
          <w:rFonts w:ascii="Times New Roman" w:eastAsia="Calibri" w:hAnsi="Times New Roman"/>
          <w:b/>
          <w:bCs/>
          <w:sz w:val="24"/>
          <w14:shadow w14:blurRad="50800" w14:dist="38100" w14:dir="2700000" w14:sx="100000" w14:sy="100000" w14:kx="0" w14:ky="0" w14:algn="tl">
            <w14:srgbClr w14:val="000000">
              <w14:alpha w14:val="60000"/>
            </w14:srgbClr>
          </w14:shadow>
        </w:rPr>
        <w:br w:type="page"/>
      </w:r>
    </w:p>
    <w:p w14:paraId="687DB397" w14:textId="77777777" w:rsidR="00D10A08"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lastRenderedPageBreak/>
        <w:t>Policies</w:t>
      </w:r>
    </w:p>
    <w:p w14:paraId="395F8F08" w14:textId="77777777" w:rsidR="00D10A08" w:rsidRPr="00924781" w:rsidRDefault="00A3554B"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mandate of the Department</w:t>
      </w:r>
      <w:r w:rsidR="00D10A08"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is set out in the Housing Act. Section 2 of the Housing Act compels all three spheres of government to give priority to the needs of the poor in respect of housing development. In addition, all three spheres of government must ensure that housing development:</w:t>
      </w:r>
    </w:p>
    <w:p w14:paraId="21FF0451" w14:textId="77777777" w:rsidR="00D10A08" w:rsidRPr="00924781" w:rsidRDefault="00D10A08" w:rsidP="00A3554B">
      <w:pPr>
        <w:pStyle w:val="Char"/>
        <w:numPr>
          <w:ilvl w:val="0"/>
          <w:numId w:val="39"/>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Provides as wide a choice of housing and tenure options as is reasonably possible;</w:t>
      </w:r>
    </w:p>
    <w:p w14:paraId="4F556C2B" w14:textId="77777777" w:rsidR="00D10A08" w:rsidRPr="00924781" w:rsidRDefault="00D10A08" w:rsidP="00A3554B">
      <w:pPr>
        <w:pStyle w:val="Char"/>
        <w:numPr>
          <w:ilvl w:val="0"/>
          <w:numId w:val="39"/>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Is economically, fiscally, socially and financially affordable and sustainable;</w:t>
      </w:r>
    </w:p>
    <w:p w14:paraId="1B23982C" w14:textId="77777777" w:rsidR="00D10A08" w:rsidRPr="00924781" w:rsidRDefault="00D10A08" w:rsidP="00A3554B">
      <w:pPr>
        <w:pStyle w:val="Char"/>
        <w:numPr>
          <w:ilvl w:val="0"/>
          <w:numId w:val="39"/>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Is based on integrated development planning; and</w:t>
      </w:r>
    </w:p>
    <w:p w14:paraId="3F918EB3" w14:textId="77777777" w:rsidR="00D10A08" w:rsidRPr="00924781" w:rsidRDefault="00D10A08" w:rsidP="00A3554B">
      <w:pPr>
        <w:pStyle w:val="Char"/>
        <w:numPr>
          <w:ilvl w:val="0"/>
          <w:numId w:val="39"/>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Is administered in a transparent, accountable and equitable manner, and upholds the practice of g</w:t>
      </w:r>
      <w:r w:rsidR="000003A6"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ood governance.</w:t>
      </w:r>
    </w:p>
    <w:p w14:paraId="4E1C4424" w14:textId="77777777" w:rsidR="00D10A08" w:rsidRPr="00924781" w:rsidRDefault="00D10A08" w:rsidP="000003A6">
      <w:pPr>
        <w:pStyle w:val="Char"/>
        <w:numPr>
          <w:ilvl w:val="0"/>
          <w:numId w:val="39"/>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legislative mandate of the Department remains the same except for the inclusion of the following:</w:t>
      </w:r>
    </w:p>
    <w:p w14:paraId="2D6EEE20" w14:textId="77777777" w:rsidR="00D10A08" w:rsidRPr="00924781" w:rsidRDefault="00D10A08" w:rsidP="000003A6">
      <w:pPr>
        <w:pStyle w:val="Char"/>
        <w:spacing w:line="360" w:lineRule="auto"/>
        <w:ind w:firstLine="720"/>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Estate Agency Affairs Act, 1976</w:t>
      </w:r>
      <w:r w:rsidR="000003A6"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w:t>
      </w:r>
    </w:p>
    <w:p w14:paraId="13B1FB53" w14:textId="77777777" w:rsidR="000003A6" w:rsidRPr="00924781" w:rsidRDefault="000003A6"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2E034D62" w14:textId="77777777" w:rsidR="00D10A08" w:rsidRPr="00924781" w:rsidRDefault="00D10A08"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Following a Presidential Proclamation, the Department took over the oversights function of the Estate Agency Affairs Act, 1976 from the Department of Trade and Industry during May 2012. The objectives of the Act are to:</w:t>
      </w:r>
    </w:p>
    <w:p w14:paraId="4FBC8536" w14:textId="77777777" w:rsidR="00D10A08" w:rsidRPr="00924781" w:rsidRDefault="00D10A08" w:rsidP="00D10A08">
      <w:pPr>
        <w:pStyle w:val="Char"/>
        <w:numPr>
          <w:ilvl w:val="0"/>
          <w:numId w:val="4"/>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Establish the Estate Agency Affairs Board (EAAB) to regulate the conduct of estate agents;</w:t>
      </w:r>
    </w:p>
    <w:p w14:paraId="0E4F55F1" w14:textId="77777777" w:rsidR="00D10A08" w:rsidRPr="00924781" w:rsidRDefault="00D10A08" w:rsidP="00D10A08">
      <w:pPr>
        <w:pStyle w:val="Char"/>
        <w:numPr>
          <w:ilvl w:val="0"/>
          <w:numId w:val="4"/>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Establish the Estate Agents Fidelity Fund; </w:t>
      </w:r>
    </w:p>
    <w:p w14:paraId="14A0B28E" w14:textId="77777777" w:rsidR="00D10A08" w:rsidRPr="00924781" w:rsidRDefault="00D10A08" w:rsidP="00D10A08">
      <w:pPr>
        <w:pStyle w:val="Char"/>
        <w:numPr>
          <w:ilvl w:val="0"/>
          <w:numId w:val="4"/>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Monitor trends within the real estate industry; and</w:t>
      </w:r>
    </w:p>
    <w:p w14:paraId="73EEA74F" w14:textId="77777777" w:rsidR="00D10A08" w:rsidRPr="00924781" w:rsidRDefault="00D10A08" w:rsidP="00D10A08">
      <w:pPr>
        <w:pStyle w:val="Char"/>
        <w:numPr>
          <w:ilvl w:val="0"/>
          <w:numId w:val="4"/>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Render education and training to estate agents and consumers</w:t>
      </w:r>
    </w:p>
    <w:p w14:paraId="2595649B" w14:textId="77777777" w:rsidR="00132BB4" w:rsidRPr="00924781" w:rsidRDefault="00132BB4"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p>
    <w:p w14:paraId="6F415F27" w14:textId="77777777" w:rsidR="00BF0C07" w:rsidRDefault="00BF0C07">
      <w:pPr>
        <w:spacing w:after="160" w:line="259" w:lineRule="auto"/>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r>
        <w:rPr>
          <w:rFonts w:ascii="Times New Roman" w:eastAsia="Calibri" w:hAnsi="Times New Roman"/>
          <w:b/>
          <w:bCs/>
          <w:sz w:val="24"/>
          <w14:shadow w14:blurRad="50800" w14:dist="38100" w14:dir="2700000" w14:sx="100000" w14:sy="100000" w14:kx="0" w14:ky="0" w14:algn="tl">
            <w14:srgbClr w14:val="000000">
              <w14:alpha w14:val="60000"/>
            </w14:srgbClr>
          </w14:shadow>
        </w:rPr>
        <w:br w:type="page"/>
      </w:r>
    </w:p>
    <w:p w14:paraId="39EC5AFF" w14:textId="77777777" w:rsidR="00D10A08"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lastRenderedPageBreak/>
        <w:t>Policy Mandates</w:t>
      </w:r>
    </w:p>
    <w:p w14:paraId="3B6BBDFB" w14:textId="77777777" w:rsidR="00D10A08" w:rsidRPr="00924781" w:rsidRDefault="00D10A08"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Other specific constitutional, legislative and policy mandates of the Department including government policy frameworks are:</w:t>
      </w:r>
    </w:p>
    <w:p w14:paraId="2F641BC1"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Constitution of the Republic of South Africa</w:t>
      </w:r>
    </w:p>
    <w:p w14:paraId="2E897F39"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Housing Act, 1997 (Act No 107 of 1997)</w:t>
      </w:r>
    </w:p>
    <w:p w14:paraId="6BE28BD1"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Comprehensive Plan for the Creation of Sustainable Human Settlements (BNG)</w:t>
      </w:r>
    </w:p>
    <w:p w14:paraId="6D1AB028"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Housing Consumer Protection Measures Act, 1998 (Act No 19 of 1998)</w:t>
      </w:r>
    </w:p>
    <w:p w14:paraId="33E4E9A4"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Housing Development Agency Act, 2008 (Act No 23 of 2008)</w:t>
      </w:r>
    </w:p>
    <w:p w14:paraId="6FE3FCD6"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Public Finance Management Act, 1999 (Act No 1 of 1999-as amended by Act No 29)</w:t>
      </w:r>
    </w:p>
    <w:p w14:paraId="186789CB"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Social Housing Act, 2008 (Act No 16 of 2008)</w:t>
      </w:r>
    </w:p>
    <w:p w14:paraId="571DE186"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Division of Revenue Act, 2011 (Act No 6 of 2011)</w:t>
      </w:r>
    </w:p>
    <w:p w14:paraId="3061B509"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Rental Housing Act, 1999 (Act No 50 of 1999)</w:t>
      </w:r>
    </w:p>
    <w:p w14:paraId="2F6AEE91"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Home Loan and Mortgage Disclosure Act, 2000 (Act No 63 of 2000)</w:t>
      </w:r>
    </w:p>
    <w:p w14:paraId="344EF16A"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Inclusionary Housing Bill</w:t>
      </w:r>
    </w:p>
    <w:p w14:paraId="539046F3"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Sectional Titles Schemes Management Act (Act 8 of 2011)</w:t>
      </w:r>
    </w:p>
    <w:p w14:paraId="60FEB124"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Community Schemes Ombud Service Act (Act 9 of 2011)</w:t>
      </w:r>
    </w:p>
    <w:p w14:paraId="25DE9C41"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Intergovernmental Relations Framework (Act No 13 of 2005)</w:t>
      </w:r>
    </w:p>
    <w:p w14:paraId="681D2BD9"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National Development Plan (NDP)</w:t>
      </w:r>
    </w:p>
    <w:p w14:paraId="4228138D" w14:textId="77777777" w:rsidR="00D10A08" w:rsidRPr="00924781" w:rsidRDefault="00D10A08" w:rsidP="00D10A08">
      <w:pPr>
        <w:pStyle w:val="Char"/>
        <w:numPr>
          <w:ilvl w:val="0"/>
          <w:numId w:val="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Spatial Planning and Land Use Management Act, 2013 (Act No 16 of 2013)</w:t>
      </w:r>
    </w:p>
    <w:p w14:paraId="1682DB65" w14:textId="77777777" w:rsidR="00D10A08" w:rsidRPr="00924781" w:rsidRDefault="00D10A08"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35277CFF" w14:textId="77777777" w:rsidR="00D10A08"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lastRenderedPageBreak/>
        <w:t xml:space="preserve">Relevant Court Rulings </w:t>
      </w:r>
    </w:p>
    <w:p w14:paraId="46F30B2B" w14:textId="77777777" w:rsidR="00D10A08" w:rsidRPr="00924781" w:rsidRDefault="000003A6"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There are</w:t>
      </w:r>
      <w:r w:rsidR="00D10A08"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court rulings affecting the operations of the human settlements sector, though they are not impacting directly to the national department but they affect delivery and the achievement of targets. These cases are but not limited to the following;</w:t>
      </w:r>
    </w:p>
    <w:p w14:paraId="750043DD" w14:textId="77777777" w:rsidR="00D10A08" w:rsidRPr="00924781" w:rsidRDefault="00D10A08" w:rsidP="00D10A08">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Government of the republic of S</w:t>
      </w:r>
      <w:r w:rsidR="000003A6"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outh Africa v Irene Grootboom and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Others: CCT 11/00. (Right of access to adequate housing).</w:t>
      </w:r>
    </w:p>
    <w:p w14:paraId="26386DEC" w14:textId="77777777" w:rsidR="00D10A08" w:rsidRPr="00924781" w:rsidRDefault="00D10A08" w:rsidP="00D10A08">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Thubelitsha Homes, Minister of Housing and Minister of Local Government &amp;Housing, Western Cape v Various Occupants.</w:t>
      </w:r>
    </w:p>
    <w:p w14:paraId="5DDDBB4B" w14:textId="77777777" w:rsidR="00D10A08" w:rsidRPr="00924781" w:rsidRDefault="00D10A08" w:rsidP="00D10A08">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HLA 8/3/2/109 - 2014 CASE NO. 2011/19 The EMM had brought a joinder application in the Constitutional Court seeking to join the Department in the proceedings instituted by Bapsfontein Community.</w:t>
      </w:r>
    </w:p>
    <w:p w14:paraId="1E670DCE" w14:textId="77777777" w:rsidR="00D1418F" w:rsidRPr="00924781" w:rsidRDefault="00D10A08" w:rsidP="00D1418F">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City of Cape Town and FirstRand Bank Limited: CCT 22/08 (eviction of 20, 000 residents of Joe Slovo informal settlement) Bio-watch Trust</w:t>
      </w:r>
      <w:r w:rsidR="000003A6"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v registrar Genetic resources and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others: CCT 80/08 (Promotion of access to in</w:t>
      </w:r>
      <w:r w:rsidR="000003A6"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formation Act) Dingaan Hendrik N</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yathi v MeC for the Department of Health, Ga</w:t>
      </w:r>
      <w:r w:rsidR="000003A6"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uteng, and Minister of Justice and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Constitutional Development: CCT 19/07.</w:t>
      </w:r>
    </w:p>
    <w:p w14:paraId="72895E57" w14:textId="77777777" w:rsidR="00D1418F" w:rsidRPr="00924781" w:rsidRDefault="00D1418F" w:rsidP="00D1418F">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Occupiers of erven 87 &amp; 88 Berea and Christiaan Frederick De Wet N.O. Roynath Parbhoo N.O. and The Poor Flat Dwellers Association Case No: CCT 108/16.</w:t>
      </w:r>
    </w:p>
    <w:p w14:paraId="1AF52CE3" w14:textId="77777777" w:rsidR="00206F52" w:rsidRPr="00924781" w:rsidRDefault="00D1418F" w:rsidP="00206F52">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City of Johannesburg and</w:t>
      </w:r>
      <w:r w:rsidR="0051033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Changing Tides 74 (Pty) Ltd</w:t>
      </w:r>
      <w:r w:rsidR="0051033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Unlawful Occupiers of Tikwelo</w:t>
      </w:r>
      <w:r w:rsidR="0051033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House, No 48 and 50 Davies Street,</w:t>
      </w:r>
      <w:r w:rsidR="0051033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Doornfontein, </w:t>
      </w:r>
      <w:r w:rsidR="00206F5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Johannesburg. The</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Socio-Economic Rights Institute</w:t>
      </w:r>
      <w:r w:rsidR="0051033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of South Africa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Case No: 735/2011</w:t>
      </w:r>
      <w:r w:rsidR="00206F5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w:t>
      </w:r>
    </w:p>
    <w:p w14:paraId="4AC7CEEA" w14:textId="77777777" w:rsidR="00206F52" w:rsidRPr="00924781" w:rsidRDefault="00206F52" w:rsidP="00206F52">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Isaac Rasepitle Pitje and Josiah Oupa Shibambo/ Esther Veleminah Shibambo City of Tshwane Metropolitan Municipality Case CCT 144/15. </w:t>
      </w:r>
    </w:p>
    <w:p w14:paraId="6E59C7AA" w14:textId="77777777" w:rsidR="00D10A08" w:rsidRPr="00924781" w:rsidRDefault="00D10A08" w:rsidP="00D10A08">
      <w:pPr>
        <w:pStyle w:val="Char"/>
        <w:spacing w:line="360" w:lineRule="auto"/>
        <w:ind w:left="720"/>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054DAABD" w14:textId="77777777" w:rsidR="00D10A08"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lastRenderedPageBreak/>
        <w:t>Planned policy initiatives</w:t>
      </w:r>
    </w:p>
    <w:p w14:paraId="0F9BD062" w14:textId="77777777" w:rsidR="00206F52" w:rsidRPr="00924781" w:rsidRDefault="00206F52" w:rsidP="00206F52">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review of housing legislation, regulations, policies and the development of the new legislation, policies and programmes which respond to the need to transform the space economy is at the core of the government strategic agenda of creating sustainable Human Settlements. The following remain the key policy initiatives:</w:t>
      </w:r>
    </w:p>
    <w:p w14:paraId="6795EA29" w14:textId="77777777" w:rsidR="00206F52" w:rsidRPr="00924781" w:rsidRDefault="00206F52" w:rsidP="00206F52">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Development of the Human Settlements Code: Various policy </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programmes were revised and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continue to be revised and new ones added in order to produce a responsive Human Settlements Code.</w:t>
      </w:r>
    </w:p>
    <w:p w14:paraId="7D450753" w14:textId="77777777" w:rsidR="00206F52" w:rsidRPr="00924781" w:rsidRDefault="00206F52" w:rsidP="00206F52">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Amendment of the Housing Act to Human Settlements Legislation: The Housing Act require repeal and aligned with the mandate approved by Cabinet to deliver sustainable human settlements in line with the Comprehensive Plan for the provision of sustainable human Settlements.</w:t>
      </w:r>
    </w:p>
    <w:p w14:paraId="5C36F296" w14:textId="77777777" w:rsidR="00206F52" w:rsidRPr="00924781" w:rsidRDefault="00206F52" w:rsidP="00206F52">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Repealing the Housing Consumer Protection Measures Act: This Bill seeks to strengthen the regulatory function of the NHBRC.</w:t>
      </w:r>
    </w:p>
    <w:p w14:paraId="43055303" w14:textId="77777777" w:rsidR="00206F52" w:rsidRPr="00924781" w:rsidRDefault="00206F52" w:rsidP="00206F52">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Drafting the Human Settlement Devel</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opment Bank Bill: This Bill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serve as a key legislation to guide operations of the Consolidated Human Settlements Financial Institutions (DFIs) and contribute to access to credit to enable the provision of sustainable human settlements.</w:t>
      </w:r>
    </w:p>
    <w:p w14:paraId="3E4E70DB" w14:textId="77777777" w:rsidR="00206F52" w:rsidRPr="00924781" w:rsidRDefault="00206F52" w:rsidP="00206F52">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Amending the Prevention of Illegal Evictions and Unlawful Occupation of Land Act Revision of the Social Housing policy and Regulations.</w:t>
      </w:r>
    </w:p>
    <w:p w14:paraId="624C686F" w14:textId="77777777" w:rsidR="00206F52" w:rsidRPr="00924781" w:rsidRDefault="00206F52" w:rsidP="00206F52">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Policy Review an</w:t>
      </w:r>
      <w:r w:rsidR="000003A6"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d Evaluations: Evaluations would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be undertaken in partnership with DPME and in line with the key priorities </w:t>
      </w:r>
      <w:r w:rsidR="004B343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of the Mandate paper. These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be used to strengthen work by the Department around macro policies including the appointment of a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lastRenderedPageBreak/>
        <w:t xml:space="preserve">panel of experts </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and core working group that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review the key thrust as described in the 1994 Housing White Paper and the 2004 Breaking New Ground Strategy.</w:t>
      </w:r>
    </w:p>
    <w:p w14:paraId="284F533A" w14:textId="77777777" w:rsidR="00206F52" w:rsidRPr="00924781" w:rsidRDefault="00206F52" w:rsidP="00206F52">
      <w:pPr>
        <w:pStyle w:val="Char"/>
        <w:spacing w:line="360" w:lineRule="auto"/>
        <w:ind w:left="720"/>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063896F0" w14:textId="77777777" w:rsidR="00D10A08" w:rsidRPr="00924781" w:rsidRDefault="00BA5FBA" w:rsidP="00D10A08">
      <w:pPr>
        <w:pStyle w:val="Default"/>
        <w:spacing w:line="360" w:lineRule="auto"/>
        <w:rPr>
          <w:rFonts w:ascii="Times New Roman" w:eastAsia="Calibri" w:hAnsi="Times New Roman" w:cs="Times New Roman"/>
          <w:b/>
          <w:color w:val="auto"/>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s="Times New Roman"/>
          <w:b/>
          <w:color w:val="auto"/>
          <w:lang w:val="en-US" w:eastAsia="en-US"/>
          <w14:shadow w14:blurRad="50800" w14:dist="38100" w14:dir="2700000" w14:sx="100000" w14:sy="100000" w14:kx="0" w14:ky="0" w14:algn="tl">
            <w14:srgbClr w14:val="000000">
              <w14:alpha w14:val="60000"/>
            </w14:srgbClr>
          </w14:shadow>
        </w:rPr>
        <w:t>2.5</w:t>
      </w:r>
      <w:r w:rsidR="00D10A08" w:rsidRPr="00924781">
        <w:rPr>
          <w:rFonts w:ascii="Times New Roman" w:eastAsia="Calibri" w:hAnsi="Times New Roman" w:cs="Times New Roman"/>
          <w:b/>
          <w:color w:val="auto"/>
          <w:lang w:val="en-US" w:eastAsia="en-US"/>
          <w14:shadow w14:blurRad="50800" w14:dist="38100" w14:dir="2700000" w14:sx="100000" w14:sy="100000" w14:kx="0" w14:ky="0" w14:algn="tl">
            <w14:srgbClr w14:val="000000">
              <w14:alpha w14:val="60000"/>
            </w14:srgbClr>
          </w14:shadow>
        </w:rPr>
        <w:tab/>
        <w:t xml:space="preserve">Outcome 8: Sustainable human settlements and an improved quality of household life </w:t>
      </w:r>
    </w:p>
    <w:p w14:paraId="440337E0" w14:textId="77777777" w:rsidR="00D10A08" w:rsidRPr="00924781" w:rsidRDefault="00D10A08" w:rsidP="00D10A08">
      <w:pPr>
        <w:pStyle w:val="Default"/>
        <w:spacing w:line="360" w:lineRule="auto"/>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pPr>
    </w:p>
    <w:p w14:paraId="4A83592D" w14:textId="77777777" w:rsidR="00D10A08" w:rsidRPr="00924781" w:rsidRDefault="00D10A08" w:rsidP="004B3431">
      <w:pPr>
        <w:pStyle w:val="Default"/>
        <w:spacing w:line="360" w:lineRule="auto"/>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t>While the timeframe of targets stated in Outcome 8 ended in 2014, the Department is of the view that the policy approach and focus of the document remains relevant.</w:t>
      </w:r>
    </w:p>
    <w:p w14:paraId="2C00F428" w14:textId="77777777" w:rsidR="00D10A08" w:rsidRPr="00924781" w:rsidRDefault="00D10A08" w:rsidP="004B3431">
      <w:pPr>
        <w:pStyle w:val="Default"/>
        <w:spacing w:line="360" w:lineRule="auto"/>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s="Times New Roman"/>
          <w:color w:val="auto"/>
          <w:lang w:val="en-US" w:eastAsia="en-US"/>
          <w14:shadow w14:blurRad="50800" w14:dist="38100" w14:dir="2700000" w14:sx="100000" w14:sy="100000" w14:kx="0" w14:ky="0" w14:algn="tl">
            <w14:srgbClr w14:val="000000">
              <w14:alpha w14:val="60000"/>
            </w14:srgbClr>
          </w14:shadow>
        </w:rPr>
        <w:t xml:space="preserve">The following targets apply: </w:t>
      </w:r>
    </w:p>
    <w:p w14:paraId="3BA37015" w14:textId="77777777" w:rsidR="00D10A08" w:rsidRPr="00924781" w:rsidRDefault="00D10A08" w:rsidP="004B3431">
      <w:pPr>
        <w:pStyle w:val="ListParagraph"/>
        <w:numPr>
          <w:ilvl w:val="0"/>
          <w:numId w:val="2"/>
        </w:numPr>
        <w:spacing w:after="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Accelerated delivery of housing opportunities with a focus on the upgrading of informal settlements and providing affordable rental housing stock. </w:t>
      </w:r>
    </w:p>
    <w:p w14:paraId="080FAF66" w14:textId="77777777" w:rsidR="00D10A08" w:rsidRPr="00924781" w:rsidRDefault="009304D2" w:rsidP="004B3431">
      <w:pPr>
        <w:pStyle w:val="ListParagraph"/>
        <w:numPr>
          <w:ilvl w:val="0"/>
          <w:numId w:val="2"/>
        </w:numPr>
        <w:spacing w:after="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Access to basic services as </w:t>
      </w:r>
      <w:r w:rsidR="00D10A08"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part of the National Bulk Infrastructure Development Programme. </w:t>
      </w:r>
    </w:p>
    <w:p w14:paraId="5CC88065" w14:textId="77777777" w:rsidR="00D10A08" w:rsidRPr="00924781" w:rsidRDefault="00D10A08" w:rsidP="00D10A08">
      <w:pPr>
        <w:pStyle w:val="ListParagraph"/>
        <w:numPr>
          <w:ilvl w:val="0"/>
          <w:numId w:val="2"/>
        </w:numPr>
        <w:spacing w:after="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More efficient land utilisation with a target of acquiring 6 250 hectare of State-owned land. </w:t>
      </w:r>
    </w:p>
    <w:p w14:paraId="12F28034" w14:textId="77777777" w:rsidR="00D10A08" w:rsidRPr="00924781" w:rsidRDefault="00D10A08" w:rsidP="00D10A08">
      <w:pPr>
        <w:pStyle w:val="ListParagraph"/>
        <w:numPr>
          <w:ilvl w:val="0"/>
          <w:numId w:val="2"/>
        </w:numPr>
        <w:spacing w:after="0" w:line="360" w:lineRule="auto"/>
        <w:jc w:val="both"/>
        <w:rPr>
          <w:rFonts w:ascii="Times New Roman" w:hAnsi="Times New Roman" w:cs="Times New Roman"/>
          <w:sz w:val="24"/>
          <w:szCs w:val="24"/>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An improved property market through the supply of affordable housing finance</w:t>
      </w:r>
      <w:r w:rsidRPr="00924781">
        <w:rPr>
          <w:rFonts w:ascii="Times New Roman" w:hAnsi="Times New Roman" w:cs="Times New Roman"/>
          <w:sz w:val="24"/>
          <w:szCs w:val="24"/>
        </w:rPr>
        <w:t xml:space="preserve">. </w:t>
      </w:r>
    </w:p>
    <w:p w14:paraId="7C2D18BD" w14:textId="77777777" w:rsidR="00132BB4" w:rsidRPr="00924781" w:rsidRDefault="00132BB4"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p>
    <w:p w14:paraId="691B004C" w14:textId="77777777" w:rsidR="007F3977" w:rsidRPr="00924781" w:rsidRDefault="00BA5FBA" w:rsidP="007F3977">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2.6</w:t>
      </w:r>
      <w:r w:rsidR="00D10A08"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t xml:space="preserve">State-of-the-nation address (SONA) and the Budget Speech </w:t>
      </w:r>
    </w:p>
    <w:p w14:paraId="4BE74457" w14:textId="77777777" w:rsidR="00A50AAE" w:rsidRPr="00924781" w:rsidRDefault="00A50AAE" w:rsidP="00A50AAE">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During SONA 2018 the only reference to the human settlements sector was made as part of a vision of a South Africa that is focused on prospering and creating jobs, housing opportunities and safe communities.</w:t>
      </w:r>
    </w:p>
    <w:p w14:paraId="0235AA8E" w14:textId="77777777" w:rsidR="007F3977" w:rsidRPr="00924781" w:rsidRDefault="00A50AAE" w:rsidP="00A50AAE">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During the SONA in February of 2019, the President made several specific references to the sector by stating that:</w:t>
      </w:r>
    </w:p>
    <w:p w14:paraId="5FDCC11B" w14:textId="77777777" w:rsidR="00A50AAE" w:rsidRPr="00924781" w:rsidRDefault="00A50AAE" w:rsidP="00A50AAE">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Within the context of land reform, Government’s policy an</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d legislative interventions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ensure that more land is made available for agriculture, industrial development and human settlements.</w:t>
      </w:r>
    </w:p>
    <w:p w14:paraId="32E91981" w14:textId="77777777" w:rsidR="00A50AAE" w:rsidRPr="00924781" w:rsidRDefault="00A50AAE" w:rsidP="00A50AAE">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lastRenderedPageBreak/>
        <w:t>Strategically l</w:t>
      </w:r>
      <w:r w:rsidR="00132BB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ocated land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be released to address human settlements needs in urban and peri-urban areas.</w:t>
      </w:r>
    </w:p>
    <w:p w14:paraId="33843B89" w14:textId="77777777" w:rsidR="00A50AAE" w:rsidRPr="00924781" w:rsidRDefault="00A50AAE" w:rsidP="00A50AAE">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Infrastructure provision remains too fragmented between the different spheres of Government, while not new housing development are not fully integrated with economic opportunities, the building of dams, water pipelines, schools and other amenities.</w:t>
      </w:r>
    </w:p>
    <w:p w14:paraId="72ECD028" w14:textId="77777777" w:rsidR="00A50AAE" w:rsidRPr="00924781" w:rsidRDefault="00A50AAE" w:rsidP="00A50AAE">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Cabinet has adopted a new infrastructure implementation model to addres</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s several challenges. It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be underpinned by the new Infrastructure Fund announced in September 2018.</w:t>
      </w:r>
    </w:p>
    <w:p w14:paraId="01FA8320" w14:textId="77777777" w:rsidR="00A50AAE" w:rsidRPr="00924781" w:rsidRDefault="009304D2" w:rsidP="00A50AAE">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Government would</w:t>
      </w:r>
      <w:r w:rsidR="00A50AAE"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strengthen its technical capacity to ensure that projects advance at a more rapid pace, developing a pool of engineers, project managers, spatial planners and quantity surveyors – an action team that can ensure greater momentum at implementation level.  </w:t>
      </w:r>
    </w:p>
    <w:p w14:paraId="02850805" w14:textId="77777777" w:rsidR="00A50AAE" w:rsidRPr="00924781" w:rsidRDefault="00132BB4" w:rsidP="00A50AAE">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Government would</w:t>
      </w:r>
      <w:r w:rsidR="00A50AAE"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give effect to its commitment to build human settlements in well-located areas that bring together economic opportunities and all the services and amenities that people need. </w:t>
      </w:r>
    </w:p>
    <w:p w14:paraId="44914D6F" w14:textId="77777777" w:rsidR="00A50AAE" w:rsidRPr="00924781" w:rsidRDefault="00A50AAE" w:rsidP="00A50AAE">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Housi</w:t>
      </w:r>
      <w:r w:rsidR="00132BB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ng Development Agency (HDA) would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construct an additional 500,000 housing units in the next five years, an</w:t>
      </w:r>
      <w:r w:rsidR="00132BB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d an amount of R30 billion would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be availed to municipalities and provinces to enable them to fulfil their respective mandates. </w:t>
      </w:r>
    </w:p>
    <w:p w14:paraId="15546CD8" w14:textId="77777777" w:rsidR="00A50AAE" w:rsidRPr="00924781" w:rsidRDefault="00A50AAE" w:rsidP="00A50AAE">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If the country is to effectively address the substantial housing backlog, it needs to develop different models of financing for human settlements. </w:t>
      </w:r>
    </w:p>
    <w:p w14:paraId="62E05E47" w14:textId="77777777" w:rsidR="00A50AAE" w:rsidRPr="00924781" w:rsidRDefault="00A50AAE" w:rsidP="00A50AAE">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Human Settlements Development Ba</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nk would be</w:t>
      </w:r>
      <w:r w:rsidR="00132BB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established. It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leverage both public and private sector financing to aid in housing delivery. </w:t>
      </w:r>
    </w:p>
    <w:p w14:paraId="548DB264" w14:textId="77777777" w:rsidR="00A50AAE" w:rsidRPr="00924781" w:rsidRDefault="00132BB4" w:rsidP="00A50AAE">
      <w:pPr>
        <w:pStyle w:val="Char"/>
        <w:numPr>
          <w:ilvl w:val="0"/>
          <w:numId w:val="6"/>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lastRenderedPageBreak/>
        <w:t>Government would</w:t>
      </w:r>
      <w:r w:rsidR="00A50AAE"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also be expanding the People’s Housing Programme, to enable households to construct their own housing units on allocated serviced stands, either individually or through community-led housing cooperatives.</w:t>
      </w:r>
    </w:p>
    <w:p w14:paraId="5B01960B" w14:textId="77777777" w:rsidR="00A50AAE" w:rsidRPr="00924781" w:rsidRDefault="00A50AAE" w:rsidP="00A50AAE">
      <w:pPr>
        <w:spacing w:line="280" w:lineRule="exact"/>
        <w:jc w:val="both"/>
        <w:rPr>
          <w:rFonts w:ascii="Times New Roman" w:hAnsi="Times New Roman"/>
          <w:color w:val="000000"/>
          <w:sz w:val="24"/>
          <w:szCs w:val="24"/>
        </w:rPr>
      </w:pPr>
    </w:p>
    <w:p w14:paraId="66E61D87" w14:textId="77777777" w:rsidR="00A50AAE" w:rsidRPr="00924781" w:rsidRDefault="002106CD"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During t</w:t>
      </w:r>
      <w:r w:rsidR="00A50AAE"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he SONA in June of 2019, the President outl</w:t>
      </w:r>
      <w:r w:rsidR="00132BB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ined seven priorities that would </w:t>
      </w:r>
      <w:r w:rsidR="00A50AAE"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receive focus ove</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r the next five years. These were</w:t>
      </w:r>
      <w:r w:rsidR="00A50AAE"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w:t>
      </w:r>
    </w:p>
    <w:p w14:paraId="2507B5B6" w14:textId="77777777" w:rsidR="00A50AAE" w:rsidRPr="00924781" w:rsidRDefault="00A50AAE" w:rsidP="002106CD">
      <w:pPr>
        <w:pStyle w:val="Char"/>
        <w:numPr>
          <w:ilvl w:val="0"/>
          <w:numId w:val="28"/>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Economic transformation and job creation. </w:t>
      </w:r>
    </w:p>
    <w:p w14:paraId="33D2CFA6" w14:textId="77777777" w:rsidR="002106CD" w:rsidRPr="00924781" w:rsidRDefault="00A50AAE" w:rsidP="002106CD">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Education, skills and health.</w:t>
      </w:r>
    </w:p>
    <w:p w14:paraId="3974E68D" w14:textId="77777777" w:rsidR="002106CD" w:rsidRPr="00924781" w:rsidRDefault="00A50AAE" w:rsidP="002106CD">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Consolidating the social wage through reliable and quality basic services. </w:t>
      </w:r>
    </w:p>
    <w:p w14:paraId="54BD817E" w14:textId="77777777" w:rsidR="002106CD" w:rsidRPr="00924781" w:rsidRDefault="00A50AAE" w:rsidP="002106CD">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Spatial integration, human settlements and local government.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b/>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b/>
        <w:t xml:space="preserve"> </w:t>
      </w:r>
    </w:p>
    <w:p w14:paraId="051DA98D" w14:textId="77777777" w:rsidR="002106CD" w:rsidRPr="00924781" w:rsidRDefault="00A50AAE" w:rsidP="002106CD">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Social cohesion and safe communities.</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b/>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b/>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b/>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b/>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b/>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b/>
      </w:r>
    </w:p>
    <w:p w14:paraId="5DFE337A" w14:textId="77777777" w:rsidR="002106CD" w:rsidRPr="00924781" w:rsidRDefault="00A50AAE" w:rsidP="002106CD">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 capable, ethical and developmental state.</w:t>
      </w:r>
    </w:p>
    <w:p w14:paraId="7C09C46E" w14:textId="77777777" w:rsidR="00132BB4" w:rsidRPr="00924781" w:rsidRDefault="00A50AAE" w:rsidP="00132BB4">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 better Africa and World.</w:t>
      </w:r>
    </w:p>
    <w:p w14:paraId="1DC1AC7F" w14:textId="77777777" w:rsidR="00132BB4" w:rsidRPr="00924781" w:rsidRDefault="00132BB4" w:rsidP="00132BB4">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2A03336B" w14:textId="77777777" w:rsidR="00D10A08" w:rsidRPr="00924781" w:rsidRDefault="007F3977" w:rsidP="00D10A08">
      <w:pPr>
        <w:spacing w:line="360" w:lineRule="auto"/>
        <w:jc w:val="both"/>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t>2.</w:t>
      </w:r>
      <w:r w:rsidR="00BA5FBA"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t>7</w:t>
      </w:r>
      <w:r w:rsidR="00B6225F"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tab/>
      </w:r>
      <w:r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t xml:space="preserve"> The difference between </w:t>
      </w:r>
      <w:r w:rsidR="009847A4" w:rsidRPr="00924781">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t>SONA 2018 and SONA 2019</w:t>
      </w:r>
    </w:p>
    <w:p w14:paraId="57D85AF3" w14:textId="77777777" w:rsidR="00132BB4" w:rsidRPr="00924781" w:rsidRDefault="00132BB4" w:rsidP="00D10A08">
      <w:pPr>
        <w:spacing w:line="360" w:lineRule="auto"/>
        <w:jc w:val="both"/>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p>
    <w:p w14:paraId="2225F645" w14:textId="77777777" w:rsidR="00A50AAE" w:rsidRPr="00924781" w:rsidRDefault="00A50AAE"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As stated previously, there were no substantial reference to the human settlements sector in SONA 2018. However, the sector was a key focus area in both the February and June SONA in 2019. Within this context, the increase in specific references to the housing sector illustrates the important role that the sector can play in achieving an inclusive economy and societal transformation.</w:t>
      </w:r>
    </w:p>
    <w:p w14:paraId="25656E50" w14:textId="77777777" w:rsidR="00BB3B0F" w:rsidRPr="00924781" w:rsidRDefault="00BB3B0F"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3F45C436" w14:textId="77777777" w:rsidR="00A50AAE" w:rsidRPr="00924781" w:rsidRDefault="00A50AAE"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An overall theme in the February SONA 2019 was the need for investment and economic development, including infrastructure projects for inclusive growth. Within this context, several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lastRenderedPageBreak/>
        <w:t>references were made to the facilitation of investment in infrastructure in the human settlements sector, including the establishment of the Human Settlements Development Bank and the infrastructure implementation mo</w:t>
      </w:r>
      <w:r w:rsidR="004B343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del and Infrastructure Fund.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Apart from a focus on funding and investment, attention was also paid to the execution of projects. Increased technical capacity in Government, as a means to ensure that projects progress at a faster rate, as well as a new infrastructure implementation model to address the fragmented nature of infrastructure development, shows the support for human settlements projects at planning, funding and construction phases to ensure the success of such developments.</w:t>
      </w:r>
    </w:p>
    <w:p w14:paraId="72851A97" w14:textId="77777777" w:rsidR="00BB3B0F" w:rsidRPr="00924781" w:rsidRDefault="00BB3B0F"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7759FDED" w14:textId="77777777" w:rsidR="00A50AAE" w:rsidRPr="00924781" w:rsidRDefault="00A50AAE"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In order to address the legacy of spa</w:t>
      </w:r>
      <w:r w:rsidR="004B343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tial inequality, g</w:t>
      </w:r>
      <w:r w:rsidR="009304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overnment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also ensure that strategically located land be released to address human settlements needs in peri-urban and urban areas to ensure access to economic opport</w:t>
      </w:r>
      <w:r w:rsidR="008C71A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unities. A concerted effort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be made to address the housing backlog, including an additional 500 000 housing units delivered through the </w:t>
      </w:r>
      <w:r w:rsidR="004B343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Housing Development Agency (HDA)</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as well as an additional R30 billion to local and provincial spheres over a five-year period. The</w:t>
      </w:r>
      <w:r w:rsidR="008C71A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People’s Housing Programme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also be expanded.</w:t>
      </w:r>
    </w:p>
    <w:p w14:paraId="526F5CAA" w14:textId="77777777" w:rsidR="00A50AAE" w:rsidRPr="00924781" w:rsidRDefault="00A50AAE"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1542D16F" w14:textId="77777777" w:rsidR="00132BB4" w:rsidRPr="00924781" w:rsidRDefault="00A50AAE"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In the June SONA of 2019, a key message was the need for realignment with the</w:t>
      </w:r>
      <w:r w:rsidR="004B343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NDP. Spatial integration, human settlements and local g</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overnment was identified as one of seven key priority areas for the new administration. It was emphasised that over the next five years, government plans to accelerate the provision of well-located housing a</w:t>
      </w:r>
      <w:r w:rsidR="00132BB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nd land to poor South Africans.</w:t>
      </w:r>
    </w:p>
    <w:p w14:paraId="3F69437A" w14:textId="77777777" w:rsidR="008C71AB" w:rsidRPr="00924781" w:rsidRDefault="008C71AB"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444E62FB" w14:textId="77777777" w:rsidR="009847A4" w:rsidRPr="00924781" w:rsidRDefault="00A50AAE"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President further stated that he has a dream for an entirely new city to be built with skyscrapers, schools, universities, hospitals and factories. Reference wa</w:t>
      </w:r>
      <w:r w:rsidR="008C71A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s made to how China was</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building</w:t>
      </w:r>
      <w:r w:rsidR="008C71A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a new Beijing and that this had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assisted in consolidating the dream. Within the context of urbanisation and the fac</w:t>
      </w:r>
      <w:r w:rsidR="008C71A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 that 70% of South Africans were</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expected to live in urban areas by 2030,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lastRenderedPageBreak/>
        <w:t>the cities of Johannesburg, Tshw</w:t>
      </w:r>
      <w:r w:rsidR="008C71A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ane, Cape Town and Ethekwini were</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expected to run out of space to accommodate the influx of people. The President alluded to the fact that a new city, founded on the technologies of the Fourth Industrial Revolution could assist with this foreseeable challenge.</w:t>
      </w:r>
    </w:p>
    <w:p w14:paraId="0E3811DA" w14:textId="77777777" w:rsidR="00D10A08" w:rsidRPr="00924781" w:rsidRDefault="00BA5FBA"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2.8</w:t>
      </w:r>
      <w:r w:rsidR="00D10A08"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t>Summary of the Strategic Plan</w:t>
      </w:r>
    </w:p>
    <w:p w14:paraId="1811836F" w14:textId="77777777" w:rsidR="002106CD" w:rsidRPr="00924781" w:rsidRDefault="002106CD"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strategic objectives relating to the human settlements sector in SONA 2019 correspond with</w:t>
      </w:r>
      <w:r w:rsidR="004B343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the NDP</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w:t>
      </w:r>
      <w:r w:rsidR="00CD1429"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MTSF</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and the Medium Term Budget Policy Statement (MTBPS) as these objectives relate to transformation, inclusion and infrastructure development.</w:t>
      </w:r>
    </w:p>
    <w:p w14:paraId="72EBE561" w14:textId="77777777" w:rsidR="002106CD" w:rsidRPr="00924781" w:rsidRDefault="002106CD"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Chapter 8 of the NDP focuses on the transformation of human settlements and the national space economy. Its human settlements trajectory proposition states that by 2050 South Africa’s human settlements would have transformed into equitable and efficient spaces with citizens living in close proximity to work and having access to social facilities and essential infrastructure. It also envisages that by 2030, measurable progress towards breaking apartheid spatial patterns would have been made. One way in which the issue of transformation in the sector is prioritised in SONA 2019, is through the focus on releasing well-located land in peri-urban and urban areas to ensure that people are located close to social amenities and economic opportunities. </w:t>
      </w:r>
    </w:p>
    <w:p w14:paraId="5ECBB2F2" w14:textId="77777777" w:rsidR="002106CD" w:rsidRPr="00924781" w:rsidRDefault="002106CD"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479CDFBB" w14:textId="77777777" w:rsidR="002106CD" w:rsidRPr="00924781" w:rsidRDefault="002106CD"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focus on addressing the fragmented nature of infrastructure projects and the allocation of R30 billion to municipalities and provinces to ensure that they fulfil their mandates could, in part, address the vision for a strong and efficient spatial planning system that is integrated across the spheres of government.  However, this would require strong parliamentary oversight to ensure apartheid spatial patterns are not reinforced.</w:t>
      </w:r>
    </w:p>
    <w:p w14:paraId="683FDF66" w14:textId="77777777" w:rsidR="002106CD" w:rsidRPr="00924781" w:rsidRDefault="002106CD"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756A3D6B" w14:textId="77777777" w:rsidR="002106CD" w:rsidRPr="00924781" w:rsidRDefault="002106CD" w:rsidP="002106CD">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w:t>
      </w:r>
      <w:r w:rsidR="00CD1429"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MTSF (2014-2019)</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forms part of the 5-year plan for implementation of the NDP and it is based on the NDP. One of the key focus areas for the human settlements sector is access to adequate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lastRenderedPageBreak/>
        <w:t>human settlements and quality basic services. The planned 500 000 housing units over the next five years and the establishment of the Human Settlements Development Bank to aid in housing delivery, directly relates to this focus area.</w:t>
      </w:r>
    </w:p>
    <w:p w14:paraId="07C32B42" w14:textId="77777777" w:rsidR="002106CD" w:rsidRPr="00924781" w:rsidRDefault="002106CD" w:rsidP="002106CD">
      <w:pPr>
        <w:pStyle w:val="Char"/>
        <w:spacing w:line="360" w:lineRule="auto"/>
        <w:jc w:val="both"/>
        <w:rPr>
          <w:rFonts w:ascii="Times New Roman" w:hAnsi="Times New Roman"/>
          <w:color w:val="000000"/>
          <w:sz w:val="24"/>
          <w:lang w:val="en-ZA" w:eastAsia="en-ZA"/>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In the Medium Term Budget Policy Statement (MTBPS) 2018, the only direct mention of the housing sector was made in relation to housing subsidies a</w:t>
      </w:r>
      <w:r w:rsidR="00CD1429"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mounting to R1 billion that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be centralised to help low- to middle income households access a</w:t>
      </w:r>
      <w:r w:rsidR="00CD1429"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ffordable home loans, which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result in more South Africans acquiring their own homes</w:t>
      </w:r>
      <w:r w:rsidRPr="00924781">
        <w:rPr>
          <w:rFonts w:ascii="Times New Roman" w:hAnsi="Times New Roman"/>
          <w:color w:val="000000"/>
          <w:sz w:val="24"/>
          <w:lang w:val="en-ZA" w:eastAsia="en-ZA"/>
        </w:rPr>
        <w:t>.</w:t>
      </w:r>
    </w:p>
    <w:p w14:paraId="655F4057" w14:textId="77777777" w:rsidR="00132BB4" w:rsidRPr="00924781" w:rsidRDefault="00132BB4" w:rsidP="002106CD">
      <w:pPr>
        <w:pStyle w:val="Char"/>
        <w:spacing w:line="360" w:lineRule="auto"/>
        <w:jc w:val="both"/>
        <w:rPr>
          <w:rFonts w:ascii="Times New Roman" w:hAnsi="Times New Roman"/>
          <w:color w:val="000000"/>
          <w:sz w:val="24"/>
          <w:lang w:val="en-ZA" w:eastAsia="en-ZA"/>
        </w:rPr>
      </w:pPr>
    </w:p>
    <w:p w14:paraId="123440BF" w14:textId="77777777" w:rsidR="00206F52" w:rsidRPr="00924781" w:rsidRDefault="00BA5FBA" w:rsidP="00206F52">
      <w:pPr>
        <w:pStyle w:val="Char"/>
        <w:spacing w:line="360" w:lineRule="auto"/>
        <w:jc w:val="both"/>
        <w:rPr>
          <w:rFonts w:ascii="Times New Roman" w:eastAsia="Calibri" w:hAnsi="Times New Roman"/>
          <w:b/>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sz w:val="24"/>
          <w14:shadow w14:blurRad="50800" w14:dist="38100" w14:dir="2700000" w14:sx="100000" w14:sy="100000" w14:kx="0" w14:ky="0" w14:algn="tl">
            <w14:srgbClr w14:val="000000">
              <w14:alpha w14:val="60000"/>
            </w14:srgbClr>
          </w14:shadow>
        </w:rPr>
        <w:t>2.9</w:t>
      </w:r>
      <w:r w:rsidR="00206F52" w:rsidRPr="00924781">
        <w:rPr>
          <w:rFonts w:ascii="Times New Roman" w:eastAsia="Calibri" w:hAnsi="Times New Roman"/>
          <w:b/>
          <w:sz w:val="24"/>
          <w14:shadow w14:blurRad="50800" w14:dist="38100" w14:dir="2700000" w14:sx="100000" w14:sy="100000" w14:kx="0" w14:ky="0" w14:algn="tl">
            <w14:srgbClr w14:val="000000">
              <w14:alpha w14:val="60000"/>
            </w14:srgbClr>
          </w14:shadow>
        </w:rPr>
        <w:tab/>
        <w:t xml:space="preserve">Updated Situational Analysis </w:t>
      </w:r>
    </w:p>
    <w:p w14:paraId="79A48B84" w14:textId="77777777" w:rsidR="00D10A08" w:rsidRPr="00924781" w:rsidRDefault="00206F52" w:rsidP="00206F52">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w:t>
      </w:r>
      <w:r w:rsidR="00CD1429"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Department of</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is committed to facilitating and supporting the creation of sustainable and integrated human settlements across the country. This commitment is in response to the NDP proposa</w:t>
      </w:r>
      <w:r w:rsidR="00CD1429"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l and is outlined in the MTSF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2014 – 2019, and includes the promotion of social inclusion, economic growth and spatial restructuring.</w:t>
      </w:r>
    </w:p>
    <w:p w14:paraId="388946A2" w14:textId="77777777" w:rsidR="00CD1429" w:rsidRPr="00924781" w:rsidRDefault="00CD1429" w:rsidP="00206F52">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05677C1D" w14:textId="77777777" w:rsidR="00206F52" w:rsidRPr="00924781" w:rsidRDefault="00206F52" w:rsidP="00206F52">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Though government has delivered more than 3, 9 housing opportunities since the dawn of democracy, adequate housing continues to be one of the main problems facing the country. In 2016, Statistics South Africa (Stats SA) reported that the household size had decreased to 3.3 persons resulting to about 16.9m households. Stats SA also predicted that the number of households particularly in prov</w:t>
      </w:r>
      <w:r w:rsidR="00C16DED"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inces that are mostly urban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continue to grow as the household size drops. It is also e</w:t>
      </w:r>
      <w:r w:rsidR="00C16DED"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stimated that by 2020 there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be about 3.6 million new household formations, with more than 2m falling within the income category of less</w:t>
      </w:r>
      <w:r w:rsidR="00C16DED"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than R3500 per month which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contribute to an increasing demand for housing and also government support. The demand for adequate housing is estimated at about 2.2 million households, which includes households in informal settlements and backyard shacks. Of these, about 1.7m are registered in th</w:t>
      </w:r>
      <w:r w:rsidR="00C16DED"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 Department</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s’ Housing Needs Database.</w:t>
      </w:r>
    </w:p>
    <w:p w14:paraId="6E110E0B" w14:textId="77777777" w:rsidR="00220291" w:rsidRPr="00924781" w:rsidRDefault="00220291" w:rsidP="00206F52">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1F54ADF7" w14:textId="77777777" w:rsidR="00220291" w:rsidRPr="00924781" w:rsidRDefault="00C16DED" w:rsidP="00220291">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There was</w:t>
      </w:r>
      <w:r w:rsidR="0022029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also an increasing number (±25%) of South African population particularly in metropolitan areas that require affordable rental accommodation. With the co</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untry’s total population that was</w:t>
      </w:r>
      <w:r w:rsidR="0022029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projected to grow to about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58.5 million by 2030, there would</w:t>
      </w:r>
      <w:r w:rsidR="0022029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be more demand f</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or affordable rental which the D</w:t>
      </w:r>
      <w:r w:rsidR="0022029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epartment and its delivery partners must provide particularly in the metropolitan areas. With only 30% of South Africans that are able to purchase a house of more than R500 000, high inflation rate, high rate of urbanization all perpetuate the demand for housing for various income categories thus pushing the department-government and other stakeholders to collaborate in delivering housing across various markets, address the fractured market, pay attention to the development of infrastructure and public spaces and provide transactional support on the title deeds programme.</w:t>
      </w:r>
    </w:p>
    <w:p w14:paraId="0EA29AD9" w14:textId="77777777" w:rsidR="008C71AB" w:rsidRPr="00924781" w:rsidRDefault="008C71AB" w:rsidP="00220291">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0F1B4091" w14:textId="77777777" w:rsidR="00220291" w:rsidRPr="00924781" w:rsidRDefault="00C16DED" w:rsidP="00220291">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To address these, the D</w:t>
      </w:r>
      <w:r w:rsidR="0022029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epartment through the policy frameworks is</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in the process of</w:t>
      </w:r>
      <w:r w:rsidR="0022029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directing programmes to respond to the needs of poor households whilst also ensuring that government’s efforts to deliver on housing and human settlements are realised through integrated planning and good governance that supports optimal land use and stimulates private investment. While there is an acknowledgement that the human settlements sector is reliant on good infrastructure, such as public transport, water, energy sources and public spaces, the shrinking of the public sector allocation is hampering the up scaling of delivery and not enabling the achievement of delivery targets. </w:t>
      </w:r>
    </w:p>
    <w:p w14:paraId="2388A3F7" w14:textId="77777777" w:rsidR="00C16DED" w:rsidRPr="00924781" w:rsidRDefault="00C16DED" w:rsidP="00220291">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4C06F16D" w14:textId="77777777" w:rsidR="00220291" w:rsidRPr="00924781" w:rsidRDefault="00220291" w:rsidP="00220291">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During this MTSF period, the department focused on strengthening accountability and oversight to ensure improved planning and delivery. As a result, planning frameworks are under revision, stronger reporting mechanisms are developed and efficiency in allocations has improved. To</w:t>
      </w:r>
      <w:r w:rsidR="008C71A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address these challenges, the D</w:t>
      </w:r>
      <w:r w:rsidR="00C16DED"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epartment has prioritized:</w:t>
      </w:r>
    </w:p>
    <w:p w14:paraId="4168D35D" w14:textId="77777777" w:rsidR="00220291" w:rsidRPr="00924781" w:rsidRDefault="00220291" w:rsidP="00220291">
      <w:pPr>
        <w:pStyle w:val="Pa16"/>
        <w:numPr>
          <w:ilvl w:val="0"/>
          <w:numId w:val="35"/>
        </w:numPr>
        <w:spacing w:after="280"/>
        <w:rPr>
          <w:rFonts w:ascii="Times New Roman" w:eastAsia="Calibri" w:hAnsi="Times New Roman" w:cs="Times New Roman"/>
          <w14:shadow w14:blurRad="50800" w14:dist="38100" w14:dir="2700000" w14:sx="100000" w14:sy="100000" w14:kx="0" w14:ky="0" w14:algn="tl">
            <w14:srgbClr w14:val="000000">
              <w14:alpha w14:val="60000"/>
            </w14:srgbClr>
          </w14:shadow>
        </w:rPr>
      </w:pPr>
      <w:r w:rsidRPr="00924781">
        <w:rPr>
          <w:rFonts w:ascii="Times New Roman" w:eastAsia="Calibri" w:hAnsi="Times New Roman" w:cs="Times New Roman"/>
          <w14:shadow w14:blurRad="50800" w14:dist="38100" w14:dir="2700000" w14:sx="100000" w14:sy="100000" w14:kx="0" w14:ky="0" w14:algn="tl">
            <w14:srgbClr w14:val="000000">
              <w14:alpha w14:val="60000"/>
            </w14:srgbClr>
          </w14:shadow>
        </w:rPr>
        <w:lastRenderedPageBreak/>
        <w:t xml:space="preserve">The implementation </w:t>
      </w:r>
      <w:r w:rsidR="008C71AB" w:rsidRPr="00924781">
        <w:rPr>
          <w:rFonts w:ascii="Times New Roman" w:eastAsia="Calibri" w:hAnsi="Times New Roman" w:cs="Times New Roman"/>
          <w14:shadow w14:blurRad="50800" w14:dist="38100" w14:dir="2700000" w14:sx="100000" w14:sy="100000" w14:kx="0" w14:ky="0" w14:algn="tl">
            <w14:srgbClr w14:val="000000">
              <w14:alpha w14:val="60000"/>
            </w14:srgbClr>
          </w14:shadow>
        </w:rPr>
        <w:t>of catalytic programme that would</w:t>
      </w:r>
      <w:r w:rsidRPr="00924781">
        <w:rPr>
          <w:rFonts w:ascii="Times New Roman" w:eastAsia="Calibri" w:hAnsi="Times New Roman" w:cs="Times New Roman"/>
          <w14:shadow w14:blurRad="50800" w14:dist="38100" w14:dir="2700000" w14:sx="100000" w14:sy="100000" w14:kx="0" w14:ky="0" w14:algn="tl">
            <w14:srgbClr w14:val="000000">
              <w14:alpha w14:val="60000"/>
            </w14:srgbClr>
          </w14:shadow>
        </w:rPr>
        <w:t xml:space="preserve"> direct investment to areas with potential for economic development and growth. </w:t>
      </w:r>
    </w:p>
    <w:p w14:paraId="6D817EC8" w14:textId="77777777" w:rsidR="00220291" w:rsidRPr="00924781" w:rsidRDefault="00220291" w:rsidP="00220291">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w:t>
      </w:r>
      <w:r w:rsidR="00C16DED"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acquiring of well-located land.</w:t>
      </w:r>
    </w:p>
    <w:p w14:paraId="1BE9C35B" w14:textId="77777777" w:rsidR="00220291" w:rsidRPr="00924781" w:rsidRDefault="00220291" w:rsidP="00220291">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Establishing partnerships with mining houses to deal with housing and infrastructure challenges in mining communities and securing of well-located land</w:t>
      </w:r>
      <w:r w:rsidR="00C16DED"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w:t>
      </w:r>
    </w:p>
    <w:p w14:paraId="71F847E8" w14:textId="77777777" w:rsidR="00220291" w:rsidRPr="00924781" w:rsidRDefault="00220291" w:rsidP="00220291">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Establishment of a single development finance institution tha</w:t>
      </w:r>
      <w:r w:rsidR="008C71AB"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 would</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provide sustainable infrastructure finance for human settlements including increasing access to affordable finance. </w:t>
      </w:r>
    </w:p>
    <w:p w14:paraId="5CEB84EB" w14:textId="77777777" w:rsidR="00220291" w:rsidRPr="00924781" w:rsidRDefault="00220291" w:rsidP="00220291">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Scaling up of the Informal Settlements Upgrading Programme.</w:t>
      </w:r>
    </w:p>
    <w:p w14:paraId="52570C1A" w14:textId="77777777" w:rsidR="00220291" w:rsidRPr="00924781" w:rsidRDefault="00220291" w:rsidP="00220291">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Accelerating the eradication of title deeds backlog and issuing of title deeds for new subsidy market.</w:t>
      </w:r>
    </w:p>
    <w:p w14:paraId="70782E63" w14:textId="77777777" w:rsidR="00C16DED" w:rsidRPr="00924781" w:rsidRDefault="00220291" w:rsidP="00D10A08">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Accelerating the delivery of Social Housing to improve delivery on affordable rental.</w:t>
      </w:r>
    </w:p>
    <w:p w14:paraId="4D989036" w14:textId="77777777" w:rsidR="008C71AB" w:rsidRPr="00924781" w:rsidRDefault="00220291" w:rsidP="00D10A08">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Invest in infrastructure and services vital for</w:t>
      </w:r>
      <w:r w:rsidR="00C16DED"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the functioning of settlements.</w:t>
      </w:r>
    </w:p>
    <w:p w14:paraId="70E15862" w14:textId="77777777" w:rsidR="008C71AB" w:rsidRPr="00924781" w:rsidRDefault="008C71AB" w:rsidP="00D10A08">
      <w:pPr>
        <w:pStyle w:val="Char"/>
        <w:spacing w:line="360" w:lineRule="auto"/>
        <w:jc w:val="both"/>
        <w:rPr>
          <w:rFonts w:ascii="Times New Roman" w:eastAsia="Calibri" w:hAnsi="Times New Roman"/>
          <w:b/>
          <w:sz w:val="24"/>
          <w14:shadow w14:blurRad="50800" w14:dist="38100" w14:dir="2700000" w14:sx="100000" w14:sy="100000" w14:kx="0" w14:ky="0" w14:algn="tl">
            <w14:srgbClr w14:val="000000">
              <w14:alpha w14:val="60000"/>
            </w14:srgbClr>
          </w14:shadow>
        </w:rPr>
      </w:pPr>
    </w:p>
    <w:p w14:paraId="10088F9B" w14:textId="77777777" w:rsidR="00D10A08" w:rsidRPr="00924781" w:rsidRDefault="00B6225F" w:rsidP="00D10A08">
      <w:pPr>
        <w:pStyle w:val="Char"/>
        <w:spacing w:line="360" w:lineRule="auto"/>
        <w:jc w:val="both"/>
        <w:rPr>
          <w:rFonts w:ascii="Times New Roman" w:eastAsia="Calibri" w:hAnsi="Times New Roman"/>
          <w:b/>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sz w:val="24"/>
          <w14:shadow w14:blurRad="50800" w14:dist="38100" w14:dir="2700000" w14:sx="100000" w14:sy="100000" w14:kx="0" w14:ky="0" w14:algn="tl">
            <w14:srgbClr w14:val="000000">
              <w14:alpha w14:val="60000"/>
            </w14:srgbClr>
          </w14:shadow>
        </w:rPr>
        <w:t>2.10</w:t>
      </w:r>
      <w:r w:rsidR="00D10A08" w:rsidRPr="00924781">
        <w:rPr>
          <w:rFonts w:ascii="Times New Roman" w:eastAsia="Calibri" w:hAnsi="Times New Roman"/>
          <w:b/>
          <w:sz w:val="24"/>
          <w14:shadow w14:blurRad="50800" w14:dist="38100" w14:dir="2700000" w14:sx="100000" w14:sy="100000" w14:kx="0" w14:ky="0" w14:algn="tl">
            <w14:srgbClr w14:val="000000">
              <w14:alpha w14:val="60000"/>
            </w14:srgbClr>
          </w14:shadow>
        </w:rPr>
        <w:tab/>
        <w:t>Performance Delivery Environment</w:t>
      </w:r>
    </w:p>
    <w:p w14:paraId="3379E548" w14:textId="77777777" w:rsidR="00220291" w:rsidRPr="00924781" w:rsidRDefault="00220291" w:rsidP="00220291">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Depar</w:t>
      </w:r>
      <w:r w:rsidR="00380B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tment is</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implementing its 2015-2020 Strategic Plan. In order to position DHS within the framework of the NDP, the 2015-2020 DST Strategic Plan is structured around three strategic outcome-oriented goals that drives the work of the Department over the five years. These goals are as follows:</w:t>
      </w:r>
    </w:p>
    <w:p w14:paraId="665DC8EE" w14:textId="77777777" w:rsidR="00220291" w:rsidRPr="00924781" w:rsidRDefault="00220291" w:rsidP="00220291">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Enhanced efficiency and effectiveness of the department.</w:t>
      </w:r>
    </w:p>
    <w:p w14:paraId="36F24122" w14:textId="77777777" w:rsidR="00220291" w:rsidRPr="00924781" w:rsidRDefault="00220291" w:rsidP="00220291">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Integrated and responsive human settlements sector planning and policy environment. </w:t>
      </w:r>
    </w:p>
    <w:p w14:paraId="06B973B2" w14:textId="77777777" w:rsidR="00220291" w:rsidRPr="00924781" w:rsidRDefault="00220291" w:rsidP="00220291">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Increased delivery of adequate housing in quality living environments.</w:t>
      </w:r>
    </w:p>
    <w:p w14:paraId="13982BF0" w14:textId="77777777" w:rsidR="00132BB4" w:rsidRPr="00132BB4" w:rsidRDefault="00132BB4" w:rsidP="00132BB4">
      <w:pPr>
        <w:pStyle w:val="Char"/>
        <w:spacing w:line="360" w:lineRule="auto"/>
        <w:ind w:left="720"/>
        <w:jc w:val="both"/>
        <w:rPr>
          <w:rFonts w:eastAsia="Calibri" w:cs="Arial"/>
          <w:bCs w:val="0"/>
          <w:szCs w:val="22"/>
          <w14:shadow w14:blurRad="50800" w14:dist="38100" w14:dir="2700000" w14:sx="100000" w14:sy="100000" w14:kx="0" w14:ky="0" w14:algn="tl">
            <w14:srgbClr w14:val="000000">
              <w14:alpha w14:val="60000"/>
            </w14:srgbClr>
          </w14:shadow>
        </w:rPr>
      </w:pPr>
    </w:p>
    <w:p w14:paraId="4FDA5979" w14:textId="77777777" w:rsidR="00D10A08"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3.</w:t>
      </w: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t xml:space="preserve"> Budget analysis</w:t>
      </w:r>
    </w:p>
    <w:p w14:paraId="06A75525" w14:textId="77777777" w:rsidR="00A8298E"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3.1</w:t>
      </w: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t>Budget allocations per programmes</w:t>
      </w:r>
    </w:p>
    <w:p w14:paraId="5C7A2C47" w14:textId="77777777" w:rsidR="00D10A08"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3.1.1</w:t>
      </w: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t xml:space="preserve"> Overview of the 2018/19 Budget &amp; MTSF Estimates</w:t>
      </w:r>
    </w:p>
    <w:p w14:paraId="560196B4" w14:textId="77777777" w:rsidR="00132BB4" w:rsidRPr="00924781" w:rsidRDefault="00BB3B0F"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w:t>
      </w:r>
      <w:r w:rsidR="00380BD2"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he overall budget allocation</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increased from R32.2 billion in 2018/19 to R 33.8 billion in 2019/20. This represents a real percent decrease of 0.13 percent. The allocations to the Department did therefore</w:t>
      </w:r>
      <w:r w:rsidR="00132BB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not keep abreast of inflation.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The table below provides the budget allocation across the 2019 MTEF period (2018/19 – 2021/22), while showing the nominal and real increase/ decrease comparison </w:t>
      </w:r>
      <w:r w:rsidR="00132BB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between 2018/19 and 2019/20.   </w:t>
      </w:r>
    </w:p>
    <w:p w14:paraId="15FF5B59" w14:textId="77777777" w:rsidR="008C71AB" w:rsidRPr="00924781" w:rsidRDefault="008C71AB"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p>
    <w:p w14:paraId="006024A7" w14:textId="77777777" w:rsidR="00D10A08" w:rsidRPr="00924781" w:rsidRDefault="00D10A08" w:rsidP="00D10A08">
      <w:pPr>
        <w:pStyle w:val="Char"/>
        <w:spacing w:line="360" w:lineRule="auto"/>
        <w:jc w:val="both"/>
        <w:rPr>
          <w:rFonts w:ascii="Times New Roman" w:hAnsi="Times New Roman"/>
          <w:b/>
          <w:sz w:val="24"/>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Table 1: Expenditure Estimates</w:t>
      </w:r>
    </w:p>
    <w:tbl>
      <w:tblPr>
        <w:tblStyle w:val="TableGrid"/>
        <w:tblW w:w="10530" w:type="dxa"/>
        <w:tblInd w:w="-545" w:type="dxa"/>
        <w:tblLayout w:type="fixed"/>
        <w:tblLook w:val="04A0" w:firstRow="1" w:lastRow="0" w:firstColumn="1" w:lastColumn="0" w:noHBand="0" w:noVBand="1"/>
      </w:tblPr>
      <w:tblGrid>
        <w:gridCol w:w="2552"/>
        <w:gridCol w:w="851"/>
        <w:gridCol w:w="850"/>
        <w:gridCol w:w="851"/>
        <w:gridCol w:w="850"/>
        <w:gridCol w:w="1134"/>
        <w:gridCol w:w="1102"/>
        <w:gridCol w:w="1080"/>
        <w:gridCol w:w="1260"/>
      </w:tblGrid>
      <w:tr w:rsidR="00BB3B0F" w:rsidRPr="00132BB4" w14:paraId="12598586" w14:textId="77777777" w:rsidTr="00BF0C07">
        <w:trPr>
          <w:trHeight w:val="765"/>
          <w:tblHeader/>
        </w:trPr>
        <w:tc>
          <w:tcPr>
            <w:tcW w:w="2552" w:type="dxa"/>
            <w:noWrap/>
            <w:hideMark/>
          </w:tcPr>
          <w:p w14:paraId="036ABA71" w14:textId="77777777" w:rsidR="00BB3B0F" w:rsidRPr="00132BB4" w:rsidRDefault="00BB3B0F" w:rsidP="00BB3B0F">
            <w:pPr>
              <w:rPr>
                <w:rFonts w:eastAsia="Calibri" w:cs="Arial"/>
                <w:color w:val="auto"/>
                <w:spacing w:val="0"/>
                <w:sz w:val="20"/>
                <w:szCs w:val="20"/>
                <w:lang w:eastAsia="en-US"/>
              </w:rPr>
            </w:pPr>
            <w:r w:rsidRPr="00132BB4">
              <w:rPr>
                <w:rFonts w:eastAsia="Calibri" w:cs="Arial"/>
                <w:color w:val="auto"/>
                <w:spacing w:val="0"/>
                <w:sz w:val="20"/>
                <w:szCs w:val="20"/>
                <w:lang w:eastAsia="en-US"/>
              </w:rPr>
              <w:t>Programme</w:t>
            </w:r>
          </w:p>
        </w:tc>
        <w:tc>
          <w:tcPr>
            <w:tcW w:w="3402" w:type="dxa"/>
            <w:gridSpan w:val="4"/>
            <w:hideMark/>
          </w:tcPr>
          <w:p w14:paraId="307F3521" w14:textId="77777777" w:rsidR="00BB3B0F" w:rsidRPr="00132BB4" w:rsidRDefault="00BB3B0F" w:rsidP="00BB3B0F">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Budget</w:t>
            </w:r>
          </w:p>
        </w:tc>
        <w:tc>
          <w:tcPr>
            <w:tcW w:w="1134" w:type="dxa"/>
            <w:vMerge w:val="restart"/>
            <w:vAlign w:val="center"/>
            <w:hideMark/>
          </w:tcPr>
          <w:p w14:paraId="1B25FE0E" w14:textId="77777777" w:rsidR="00BB3B0F" w:rsidRPr="00132BB4" w:rsidRDefault="00BB3B0F" w:rsidP="00BB3B0F">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Nominal change in </w:t>
            </w:r>
          </w:p>
          <w:p w14:paraId="1B902230" w14:textId="77777777" w:rsidR="00BB3B0F" w:rsidRPr="00132BB4" w:rsidRDefault="00BB3B0F" w:rsidP="00BB3B0F">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2019/20</w:t>
            </w:r>
          </w:p>
          <w:p w14:paraId="037C4506" w14:textId="77777777" w:rsidR="00BB3B0F" w:rsidRPr="00132BB4" w:rsidRDefault="00BB3B0F" w:rsidP="00BB3B0F">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(Rand’ million)</w:t>
            </w:r>
          </w:p>
        </w:tc>
        <w:tc>
          <w:tcPr>
            <w:tcW w:w="1102" w:type="dxa"/>
            <w:vMerge w:val="restart"/>
            <w:vAlign w:val="center"/>
            <w:hideMark/>
          </w:tcPr>
          <w:p w14:paraId="5170AE24" w14:textId="77777777" w:rsidR="00BB3B0F" w:rsidRPr="00132BB4" w:rsidRDefault="00BB3B0F" w:rsidP="00BB3B0F">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Real change </w:t>
            </w:r>
          </w:p>
          <w:p w14:paraId="6AD56AB0" w14:textId="77777777" w:rsidR="00BB3B0F" w:rsidRPr="00132BB4" w:rsidRDefault="00BB3B0F" w:rsidP="00BB3B0F">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in  </w:t>
            </w:r>
          </w:p>
          <w:p w14:paraId="186ACEBC" w14:textId="77777777" w:rsidR="00BB3B0F" w:rsidRPr="00132BB4" w:rsidRDefault="00BB3B0F" w:rsidP="00BB3B0F">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2019/20</w:t>
            </w:r>
          </w:p>
          <w:p w14:paraId="5489D23F" w14:textId="77777777" w:rsidR="00BB3B0F" w:rsidRPr="00132BB4" w:rsidRDefault="00BB3B0F" w:rsidP="00BB3B0F">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(Rand’ million)</w:t>
            </w:r>
          </w:p>
        </w:tc>
        <w:tc>
          <w:tcPr>
            <w:tcW w:w="1080" w:type="dxa"/>
            <w:vMerge w:val="restart"/>
            <w:vAlign w:val="center"/>
            <w:hideMark/>
          </w:tcPr>
          <w:p w14:paraId="46538D75" w14:textId="77777777" w:rsidR="00BB3B0F" w:rsidRPr="00132BB4" w:rsidRDefault="00BB3B0F" w:rsidP="00BB3B0F">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Nominal % change in 2019/20</w:t>
            </w:r>
          </w:p>
        </w:tc>
        <w:tc>
          <w:tcPr>
            <w:tcW w:w="1260" w:type="dxa"/>
            <w:vMerge w:val="restart"/>
            <w:vAlign w:val="center"/>
            <w:hideMark/>
          </w:tcPr>
          <w:p w14:paraId="0E66A1CA" w14:textId="77777777" w:rsidR="00BB3B0F" w:rsidRPr="00132BB4" w:rsidRDefault="00BB3B0F" w:rsidP="00BB3B0F">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Real % change in 2019/20</w:t>
            </w:r>
          </w:p>
        </w:tc>
      </w:tr>
      <w:tr w:rsidR="00BB3B0F" w:rsidRPr="00132BB4" w14:paraId="0DC0206F" w14:textId="77777777" w:rsidTr="00BF0C07">
        <w:trPr>
          <w:trHeight w:val="264"/>
        </w:trPr>
        <w:tc>
          <w:tcPr>
            <w:tcW w:w="2552" w:type="dxa"/>
            <w:noWrap/>
            <w:hideMark/>
          </w:tcPr>
          <w:p w14:paraId="0F640F91" w14:textId="77777777" w:rsidR="00BB3B0F" w:rsidRPr="00132BB4" w:rsidRDefault="00BB3B0F" w:rsidP="00BB3B0F">
            <w:pPr>
              <w:rPr>
                <w:rFonts w:eastAsia="Calibri" w:cs="Arial"/>
                <w:color w:val="auto"/>
                <w:spacing w:val="0"/>
                <w:sz w:val="20"/>
                <w:szCs w:val="20"/>
                <w:lang w:eastAsia="en-US"/>
              </w:rPr>
            </w:pPr>
            <w:r w:rsidRPr="00132BB4">
              <w:rPr>
                <w:rFonts w:eastAsia="Calibri" w:cs="Arial"/>
                <w:color w:val="auto"/>
                <w:spacing w:val="0"/>
                <w:sz w:val="20"/>
                <w:szCs w:val="20"/>
                <w:lang w:eastAsia="en-US"/>
              </w:rPr>
              <w:t>R million</w:t>
            </w:r>
          </w:p>
        </w:tc>
        <w:tc>
          <w:tcPr>
            <w:tcW w:w="851" w:type="dxa"/>
            <w:noWrap/>
            <w:hideMark/>
          </w:tcPr>
          <w:p w14:paraId="0CB5F5C3" w14:textId="77777777" w:rsidR="00BB3B0F" w:rsidRPr="00132BB4" w:rsidRDefault="00BB3B0F" w:rsidP="00BB3B0F">
            <w:pPr>
              <w:rPr>
                <w:rFonts w:eastAsia="Calibri" w:cs="Arial"/>
                <w:color w:val="auto"/>
                <w:spacing w:val="0"/>
                <w:sz w:val="20"/>
                <w:szCs w:val="20"/>
                <w:lang w:eastAsia="en-US"/>
              </w:rPr>
            </w:pPr>
            <w:r w:rsidRPr="00132BB4">
              <w:rPr>
                <w:rFonts w:eastAsia="Calibri" w:cs="Arial"/>
                <w:color w:val="auto"/>
                <w:spacing w:val="0"/>
                <w:sz w:val="20"/>
                <w:szCs w:val="20"/>
                <w:lang w:eastAsia="en-US"/>
              </w:rPr>
              <w:t>2018/19</w:t>
            </w:r>
          </w:p>
        </w:tc>
        <w:tc>
          <w:tcPr>
            <w:tcW w:w="850" w:type="dxa"/>
            <w:noWrap/>
            <w:hideMark/>
          </w:tcPr>
          <w:p w14:paraId="3BA1E347" w14:textId="77777777" w:rsidR="00BB3B0F" w:rsidRPr="00132BB4" w:rsidRDefault="00BB3B0F" w:rsidP="00BB3B0F">
            <w:pPr>
              <w:rPr>
                <w:rFonts w:eastAsia="Calibri" w:cs="Arial"/>
                <w:color w:val="auto"/>
                <w:spacing w:val="0"/>
                <w:sz w:val="20"/>
                <w:szCs w:val="20"/>
                <w:lang w:eastAsia="en-US"/>
              </w:rPr>
            </w:pPr>
            <w:r w:rsidRPr="00132BB4">
              <w:rPr>
                <w:rFonts w:eastAsia="Calibri" w:cs="Arial"/>
                <w:color w:val="auto"/>
                <w:spacing w:val="0"/>
                <w:sz w:val="20"/>
                <w:szCs w:val="20"/>
                <w:lang w:eastAsia="en-US"/>
              </w:rPr>
              <w:t>2019/20</w:t>
            </w:r>
          </w:p>
        </w:tc>
        <w:tc>
          <w:tcPr>
            <w:tcW w:w="851" w:type="dxa"/>
          </w:tcPr>
          <w:p w14:paraId="4C98DF6D" w14:textId="77777777" w:rsidR="00BB3B0F" w:rsidRPr="00132BB4" w:rsidRDefault="00BB3B0F" w:rsidP="00BB3B0F">
            <w:pPr>
              <w:rPr>
                <w:rFonts w:eastAsia="Calibri" w:cs="Arial"/>
                <w:color w:val="auto"/>
                <w:spacing w:val="0"/>
                <w:sz w:val="20"/>
                <w:szCs w:val="20"/>
                <w:lang w:eastAsia="en-US"/>
              </w:rPr>
            </w:pPr>
            <w:r w:rsidRPr="00132BB4">
              <w:rPr>
                <w:rFonts w:eastAsia="Calibri" w:cs="Arial"/>
                <w:color w:val="auto"/>
                <w:spacing w:val="0"/>
                <w:sz w:val="20"/>
                <w:szCs w:val="20"/>
                <w:lang w:eastAsia="en-US"/>
              </w:rPr>
              <w:t>2020/21</w:t>
            </w:r>
          </w:p>
        </w:tc>
        <w:tc>
          <w:tcPr>
            <w:tcW w:w="850" w:type="dxa"/>
          </w:tcPr>
          <w:p w14:paraId="1FC04120" w14:textId="77777777" w:rsidR="00BB3B0F" w:rsidRPr="00132BB4" w:rsidRDefault="00BB3B0F" w:rsidP="00BB3B0F">
            <w:pPr>
              <w:rPr>
                <w:rFonts w:eastAsia="Calibri" w:cs="Arial"/>
                <w:color w:val="auto"/>
                <w:spacing w:val="0"/>
                <w:sz w:val="20"/>
                <w:szCs w:val="20"/>
                <w:lang w:eastAsia="en-US"/>
              </w:rPr>
            </w:pPr>
            <w:r w:rsidRPr="00132BB4">
              <w:rPr>
                <w:rFonts w:eastAsia="Calibri" w:cs="Arial"/>
                <w:color w:val="auto"/>
                <w:spacing w:val="0"/>
                <w:sz w:val="20"/>
                <w:szCs w:val="20"/>
                <w:lang w:eastAsia="en-US"/>
              </w:rPr>
              <w:t>2021/22</w:t>
            </w:r>
          </w:p>
        </w:tc>
        <w:tc>
          <w:tcPr>
            <w:tcW w:w="1134" w:type="dxa"/>
            <w:vMerge/>
            <w:hideMark/>
          </w:tcPr>
          <w:p w14:paraId="2D8F2B03" w14:textId="77777777" w:rsidR="00BB3B0F" w:rsidRPr="00132BB4" w:rsidRDefault="00BB3B0F" w:rsidP="00BB3B0F">
            <w:pPr>
              <w:rPr>
                <w:rFonts w:eastAsia="Calibri" w:cs="Arial"/>
                <w:color w:val="auto"/>
                <w:spacing w:val="0"/>
                <w:sz w:val="20"/>
                <w:szCs w:val="20"/>
                <w:lang w:eastAsia="en-US"/>
              </w:rPr>
            </w:pPr>
          </w:p>
        </w:tc>
        <w:tc>
          <w:tcPr>
            <w:tcW w:w="1102" w:type="dxa"/>
            <w:vMerge/>
            <w:hideMark/>
          </w:tcPr>
          <w:p w14:paraId="6871E961" w14:textId="77777777" w:rsidR="00BB3B0F" w:rsidRPr="00132BB4" w:rsidRDefault="00BB3B0F" w:rsidP="00BB3B0F">
            <w:pPr>
              <w:rPr>
                <w:rFonts w:eastAsia="Calibri" w:cs="Arial"/>
                <w:color w:val="auto"/>
                <w:spacing w:val="0"/>
                <w:sz w:val="20"/>
                <w:szCs w:val="20"/>
                <w:lang w:eastAsia="en-US"/>
              </w:rPr>
            </w:pPr>
          </w:p>
        </w:tc>
        <w:tc>
          <w:tcPr>
            <w:tcW w:w="1080" w:type="dxa"/>
            <w:vMerge/>
            <w:hideMark/>
          </w:tcPr>
          <w:p w14:paraId="75131F87" w14:textId="77777777" w:rsidR="00BB3B0F" w:rsidRPr="00132BB4" w:rsidRDefault="00BB3B0F" w:rsidP="00BB3B0F">
            <w:pPr>
              <w:rPr>
                <w:rFonts w:eastAsia="Calibri" w:cs="Arial"/>
                <w:color w:val="auto"/>
                <w:spacing w:val="0"/>
                <w:sz w:val="20"/>
                <w:szCs w:val="20"/>
                <w:lang w:eastAsia="en-US"/>
              </w:rPr>
            </w:pPr>
          </w:p>
        </w:tc>
        <w:tc>
          <w:tcPr>
            <w:tcW w:w="1260" w:type="dxa"/>
            <w:vMerge/>
            <w:hideMark/>
          </w:tcPr>
          <w:p w14:paraId="79AD7075" w14:textId="77777777" w:rsidR="00BB3B0F" w:rsidRPr="00132BB4" w:rsidRDefault="00BB3B0F" w:rsidP="00BB3B0F">
            <w:pPr>
              <w:rPr>
                <w:rFonts w:eastAsia="Calibri" w:cs="Arial"/>
                <w:color w:val="auto"/>
                <w:spacing w:val="0"/>
                <w:sz w:val="20"/>
                <w:szCs w:val="20"/>
                <w:lang w:eastAsia="en-US"/>
              </w:rPr>
            </w:pPr>
          </w:p>
        </w:tc>
      </w:tr>
      <w:tr w:rsidR="00BB3B0F" w:rsidRPr="00132BB4" w14:paraId="0BA58290" w14:textId="77777777" w:rsidTr="00BF0C07">
        <w:trPr>
          <w:trHeight w:val="264"/>
        </w:trPr>
        <w:tc>
          <w:tcPr>
            <w:tcW w:w="2552" w:type="dxa"/>
            <w:noWrap/>
            <w:vAlign w:val="center"/>
            <w:hideMark/>
          </w:tcPr>
          <w:p w14:paraId="1EA8F368" w14:textId="77777777" w:rsidR="00BB3B0F" w:rsidRPr="00132BB4" w:rsidRDefault="00BB3B0F" w:rsidP="00BB3B0F">
            <w:pPr>
              <w:rPr>
                <w:rFonts w:eastAsia="Calibri" w:cs="Arial"/>
                <w:color w:val="auto"/>
                <w:spacing w:val="0"/>
                <w:sz w:val="20"/>
                <w:szCs w:val="20"/>
                <w:lang w:eastAsia="en-US"/>
              </w:rPr>
            </w:pPr>
            <w:r w:rsidRPr="00132BB4">
              <w:rPr>
                <w:rFonts w:eastAsia="Calibri" w:cs="Arial"/>
                <w:color w:val="auto"/>
                <w:spacing w:val="0"/>
                <w:sz w:val="20"/>
                <w:szCs w:val="20"/>
                <w:lang w:eastAsia="en-US"/>
              </w:rPr>
              <w:t>Programme 1: Administration</w:t>
            </w:r>
          </w:p>
        </w:tc>
        <w:tc>
          <w:tcPr>
            <w:tcW w:w="851" w:type="dxa"/>
            <w:noWrap/>
            <w:vAlign w:val="center"/>
            <w:hideMark/>
          </w:tcPr>
          <w:p w14:paraId="528E8F48"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439,8</w:t>
            </w:r>
          </w:p>
        </w:tc>
        <w:tc>
          <w:tcPr>
            <w:tcW w:w="850" w:type="dxa"/>
            <w:noWrap/>
            <w:vAlign w:val="center"/>
            <w:hideMark/>
          </w:tcPr>
          <w:p w14:paraId="421BA754"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464,7</w:t>
            </w:r>
          </w:p>
        </w:tc>
        <w:tc>
          <w:tcPr>
            <w:tcW w:w="851" w:type="dxa"/>
            <w:vAlign w:val="center"/>
          </w:tcPr>
          <w:p w14:paraId="39EF2A1E"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495,2</w:t>
            </w:r>
          </w:p>
        </w:tc>
        <w:tc>
          <w:tcPr>
            <w:tcW w:w="850" w:type="dxa"/>
            <w:vAlign w:val="center"/>
          </w:tcPr>
          <w:p w14:paraId="272F8A41"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523,9</w:t>
            </w:r>
          </w:p>
        </w:tc>
        <w:tc>
          <w:tcPr>
            <w:tcW w:w="1134" w:type="dxa"/>
            <w:noWrap/>
            <w:vAlign w:val="center"/>
            <w:hideMark/>
          </w:tcPr>
          <w:p w14:paraId="65D7B2C8"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24,9</w:t>
            </w:r>
          </w:p>
        </w:tc>
        <w:tc>
          <w:tcPr>
            <w:tcW w:w="1102" w:type="dxa"/>
            <w:noWrap/>
            <w:vAlign w:val="center"/>
            <w:hideMark/>
          </w:tcPr>
          <w:p w14:paraId="1EF29453"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1,9</w:t>
            </w:r>
          </w:p>
        </w:tc>
        <w:tc>
          <w:tcPr>
            <w:tcW w:w="1080" w:type="dxa"/>
            <w:noWrap/>
            <w:vAlign w:val="center"/>
            <w:hideMark/>
          </w:tcPr>
          <w:p w14:paraId="5B30FCAE"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5,66 %</w:t>
            </w:r>
          </w:p>
        </w:tc>
        <w:tc>
          <w:tcPr>
            <w:tcW w:w="1260" w:type="dxa"/>
            <w:noWrap/>
            <w:vAlign w:val="center"/>
            <w:hideMark/>
          </w:tcPr>
          <w:p w14:paraId="015A98D3"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0,44% </w:t>
            </w:r>
          </w:p>
        </w:tc>
      </w:tr>
      <w:tr w:rsidR="00BB3B0F" w:rsidRPr="00132BB4" w14:paraId="67941DE7" w14:textId="77777777" w:rsidTr="00BF0C07">
        <w:trPr>
          <w:trHeight w:val="264"/>
        </w:trPr>
        <w:tc>
          <w:tcPr>
            <w:tcW w:w="2552" w:type="dxa"/>
            <w:noWrap/>
            <w:vAlign w:val="center"/>
            <w:hideMark/>
          </w:tcPr>
          <w:p w14:paraId="678E92B9" w14:textId="77777777" w:rsidR="00BB3B0F" w:rsidRPr="00132BB4" w:rsidRDefault="00BB3B0F" w:rsidP="00BB3B0F">
            <w:pPr>
              <w:rPr>
                <w:rFonts w:eastAsia="Calibri" w:cs="Arial"/>
                <w:color w:val="auto"/>
                <w:spacing w:val="0"/>
                <w:sz w:val="20"/>
                <w:szCs w:val="20"/>
                <w:lang w:eastAsia="en-US"/>
              </w:rPr>
            </w:pPr>
            <w:r w:rsidRPr="00132BB4">
              <w:rPr>
                <w:rFonts w:eastAsia="Calibri" w:cs="Arial"/>
                <w:color w:val="auto"/>
                <w:spacing w:val="0"/>
                <w:sz w:val="20"/>
                <w:szCs w:val="20"/>
                <w:lang w:eastAsia="en-US"/>
              </w:rPr>
              <w:t>Programme 2: Human Settlements Policy, Strategy and Planning</w:t>
            </w:r>
          </w:p>
        </w:tc>
        <w:tc>
          <w:tcPr>
            <w:tcW w:w="851" w:type="dxa"/>
            <w:noWrap/>
            <w:vAlign w:val="center"/>
            <w:hideMark/>
          </w:tcPr>
          <w:p w14:paraId="639FA254"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92,7</w:t>
            </w:r>
          </w:p>
        </w:tc>
        <w:tc>
          <w:tcPr>
            <w:tcW w:w="850" w:type="dxa"/>
            <w:noWrap/>
            <w:vAlign w:val="center"/>
            <w:hideMark/>
          </w:tcPr>
          <w:p w14:paraId="7E234DDF"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104,7</w:t>
            </w:r>
          </w:p>
        </w:tc>
        <w:tc>
          <w:tcPr>
            <w:tcW w:w="851" w:type="dxa"/>
            <w:vAlign w:val="center"/>
          </w:tcPr>
          <w:p w14:paraId="2B6F70A7"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111,8</w:t>
            </w:r>
          </w:p>
        </w:tc>
        <w:tc>
          <w:tcPr>
            <w:tcW w:w="850" w:type="dxa"/>
            <w:vAlign w:val="center"/>
          </w:tcPr>
          <w:p w14:paraId="6D418E42"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119,1</w:t>
            </w:r>
          </w:p>
        </w:tc>
        <w:tc>
          <w:tcPr>
            <w:tcW w:w="1134" w:type="dxa"/>
            <w:noWrap/>
            <w:vAlign w:val="center"/>
            <w:hideMark/>
          </w:tcPr>
          <w:p w14:paraId="06FB60C8"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12,0</w:t>
            </w:r>
          </w:p>
        </w:tc>
        <w:tc>
          <w:tcPr>
            <w:tcW w:w="1102" w:type="dxa"/>
            <w:noWrap/>
            <w:vAlign w:val="center"/>
            <w:hideMark/>
          </w:tcPr>
          <w:p w14:paraId="74BC9439"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6,8</w:t>
            </w:r>
          </w:p>
        </w:tc>
        <w:tc>
          <w:tcPr>
            <w:tcW w:w="1080" w:type="dxa"/>
            <w:noWrap/>
            <w:vAlign w:val="center"/>
            <w:hideMark/>
          </w:tcPr>
          <w:p w14:paraId="018F380F"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12,94 %</w:t>
            </w:r>
          </w:p>
        </w:tc>
        <w:tc>
          <w:tcPr>
            <w:tcW w:w="1260" w:type="dxa"/>
            <w:noWrap/>
            <w:vAlign w:val="center"/>
            <w:hideMark/>
          </w:tcPr>
          <w:p w14:paraId="6E6659E8"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7,36% </w:t>
            </w:r>
          </w:p>
        </w:tc>
      </w:tr>
      <w:tr w:rsidR="00BB3B0F" w:rsidRPr="00132BB4" w14:paraId="53DF576B" w14:textId="77777777" w:rsidTr="00BF0C07">
        <w:trPr>
          <w:trHeight w:val="264"/>
        </w:trPr>
        <w:tc>
          <w:tcPr>
            <w:tcW w:w="2552" w:type="dxa"/>
            <w:noWrap/>
            <w:vAlign w:val="center"/>
            <w:hideMark/>
          </w:tcPr>
          <w:p w14:paraId="384C1FA1" w14:textId="77777777" w:rsidR="00BB3B0F" w:rsidRPr="00132BB4" w:rsidRDefault="00BB3B0F" w:rsidP="00BB3B0F">
            <w:pPr>
              <w:rPr>
                <w:rFonts w:eastAsia="Calibri" w:cs="Arial"/>
                <w:color w:val="auto"/>
                <w:spacing w:val="0"/>
                <w:sz w:val="20"/>
                <w:szCs w:val="20"/>
                <w:lang w:eastAsia="en-US"/>
              </w:rPr>
            </w:pPr>
            <w:r w:rsidRPr="00132BB4">
              <w:rPr>
                <w:rFonts w:eastAsia="Calibri" w:cs="Arial"/>
                <w:color w:val="auto"/>
                <w:spacing w:val="0"/>
                <w:sz w:val="20"/>
                <w:szCs w:val="20"/>
                <w:lang w:eastAsia="en-US"/>
              </w:rPr>
              <w:t>Programme 3: Human Settlements Delivery Support</w:t>
            </w:r>
          </w:p>
        </w:tc>
        <w:tc>
          <w:tcPr>
            <w:tcW w:w="851" w:type="dxa"/>
            <w:noWrap/>
            <w:vAlign w:val="center"/>
            <w:hideMark/>
          </w:tcPr>
          <w:p w14:paraId="5B662EDD"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236,0</w:t>
            </w:r>
          </w:p>
        </w:tc>
        <w:tc>
          <w:tcPr>
            <w:tcW w:w="850" w:type="dxa"/>
            <w:noWrap/>
            <w:vAlign w:val="center"/>
            <w:hideMark/>
          </w:tcPr>
          <w:p w14:paraId="7A20CA25"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258,7</w:t>
            </w:r>
          </w:p>
        </w:tc>
        <w:tc>
          <w:tcPr>
            <w:tcW w:w="851" w:type="dxa"/>
            <w:vAlign w:val="center"/>
          </w:tcPr>
          <w:p w14:paraId="56F7E2EE"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327,1</w:t>
            </w:r>
          </w:p>
        </w:tc>
        <w:tc>
          <w:tcPr>
            <w:tcW w:w="850" w:type="dxa"/>
            <w:vAlign w:val="center"/>
          </w:tcPr>
          <w:p w14:paraId="7EC9971A"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346,5</w:t>
            </w:r>
          </w:p>
        </w:tc>
        <w:tc>
          <w:tcPr>
            <w:tcW w:w="1134" w:type="dxa"/>
            <w:noWrap/>
            <w:vAlign w:val="center"/>
            <w:hideMark/>
          </w:tcPr>
          <w:p w14:paraId="16B6CE10"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22,7</w:t>
            </w:r>
          </w:p>
        </w:tc>
        <w:tc>
          <w:tcPr>
            <w:tcW w:w="1102" w:type="dxa"/>
            <w:noWrap/>
            <w:vAlign w:val="center"/>
            <w:hideMark/>
          </w:tcPr>
          <w:p w14:paraId="7E0BFAF9"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9,9</w:t>
            </w:r>
          </w:p>
        </w:tc>
        <w:tc>
          <w:tcPr>
            <w:tcW w:w="1080" w:type="dxa"/>
            <w:noWrap/>
            <w:vAlign w:val="center"/>
            <w:hideMark/>
          </w:tcPr>
          <w:p w14:paraId="2CA82762"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9,62% </w:t>
            </w:r>
          </w:p>
        </w:tc>
        <w:tc>
          <w:tcPr>
            <w:tcW w:w="1260" w:type="dxa"/>
            <w:noWrap/>
            <w:vAlign w:val="center"/>
            <w:hideMark/>
          </w:tcPr>
          <w:p w14:paraId="49FB9712"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4,20% </w:t>
            </w:r>
          </w:p>
        </w:tc>
      </w:tr>
      <w:tr w:rsidR="00BB3B0F" w:rsidRPr="00132BB4" w14:paraId="5B8E0013" w14:textId="77777777" w:rsidTr="00BF0C07">
        <w:trPr>
          <w:trHeight w:val="264"/>
        </w:trPr>
        <w:tc>
          <w:tcPr>
            <w:tcW w:w="2552" w:type="dxa"/>
            <w:noWrap/>
            <w:vAlign w:val="center"/>
            <w:hideMark/>
          </w:tcPr>
          <w:p w14:paraId="3A298175" w14:textId="77777777" w:rsidR="00BB3B0F" w:rsidRPr="00132BB4" w:rsidRDefault="00BB3B0F" w:rsidP="00BB3B0F">
            <w:pPr>
              <w:rPr>
                <w:rFonts w:eastAsia="Calibri" w:cs="Arial"/>
                <w:color w:val="auto"/>
                <w:spacing w:val="0"/>
                <w:sz w:val="20"/>
                <w:szCs w:val="20"/>
                <w:lang w:eastAsia="en-US"/>
              </w:rPr>
            </w:pPr>
            <w:r w:rsidRPr="00132BB4">
              <w:rPr>
                <w:rFonts w:eastAsia="Calibri" w:cs="Arial"/>
                <w:color w:val="auto"/>
                <w:spacing w:val="0"/>
                <w:sz w:val="20"/>
                <w:szCs w:val="20"/>
                <w:lang w:eastAsia="en-US"/>
              </w:rPr>
              <w:t>Programme 4: Housing Development Finance</w:t>
            </w:r>
          </w:p>
        </w:tc>
        <w:tc>
          <w:tcPr>
            <w:tcW w:w="851" w:type="dxa"/>
            <w:noWrap/>
            <w:vAlign w:val="center"/>
            <w:hideMark/>
          </w:tcPr>
          <w:p w14:paraId="65583A52"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31 477,4</w:t>
            </w:r>
          </w:p>
        </w:tc>
        <w:tc>
          <w:tcPr>
            <w:tcW w:w="850" w:type="dxa"/>
            <w:noWrap/>
            <w:vAlign w:val="center"/>
            <w:hideMark/>
          </w:tcPr>
          <w:p w14:paraId="04C24D4F"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33 051,1</w:t>
            </w:r>
          </w:p>
        </w:tc>
        <w:tc>
          <w:tcPr>
            <w:tcW w:w="851" w:type="dxa"/>
            <w:vAlign w:val="center"/>
          </w:tcPr>
          <w:p w14:paraId="2D1C8A4B"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34198,0</w:t>
            </w:r>
          </w:p>
        </w:tc>
        <w:tc>
          <w:tcPr>
            <w:tcW w:w="850" w:type="dxa"/>
            <w:vAlign w:val="center"/>
          </w:tcPr>
          <w:p w14:paraId="3AF23ABC"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35681,4</w:t>
            </w:r>
          </w:p>
        </w:tc>
        <w:tc>
          <w:tcPr>
            <w:tcW w:w="1134" w:type="dxa"/>
            <w:noWrap/>
            <w:vAlign w:val="center"/>
            <w:hideMark/>
          </w:tcPr>
          <w:p w14:paraId="79C40FD1"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1 573,7</w:t>
            </w:r>
          </w:p>
        </w:tc>
        <w:tc>
          <w:tcPr>
            <w:tcW w:w="1102" w:type="dxa"/>
            <w:noWrap/>
            <w:vAlign w:val="center"/>
            <w:hideMark/>
          </w:tcPr>
          <w:p w14:paraId="719FB6BD"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60,0</w:t>
            </w:r>
          </w:p>
        </w:tc>
        <w:tc>
          <w:tcPr>
            <w:tcW w:w="1080" w:type="dxa"/>
            <w:noWrap/>
            <w:vAlign w:val="center"/>
            <w:hideMark/>
          </w:tcPr>
          <w:p w14:paraId="17326D92"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5,00 %</w:t>
            </w:r>
          </w:p>
        </w:tc>
        <w:tc>
          <w:tcPr>
            <w:tcW w:w="1260" w:type="dxa"/>
            <w:noWrap/>
            <w:vAlign w:val="center"/>
            <w:hideMark/>
          </w:tcPr>
          <w:p w14:paraId="04A225BA"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-0,19% </w:t>
            </w:r>
          </w:p>
        </w:tc>
      </w:tr>
      <w:tr w:rsidR="00BB3B0F" w:rsidRPr="00132BB4" w14:paraId="104DAA97" w14:textId="77777777" w:rsidTr="00BF0C07">
        <w:trPr>
          <w:trHeight w:val="264"/>
        </w:trPr>
        <w:tc>
          <w:tcPr>
            <w:tcW w:w="2552" w:type="dxa"/>
            <w:noWrap/>
            <w:hideMark/>
          </w:tcPr>
          <w:p w14:paraId="71A5B8E2" w14:textId="77777777" w:rsidR="00BB3B0F" w:rsidRPr="00132BB4" w:rsidRDefault="00BB3B0F" w:rsidP="00BB3B0F">
            <w:pPr>
              <w:rPr>
                <w:rFonts w:eastAsia="Calibri" w:cs="Arial"/>
                <w:color w:val="auto"/>
                <w:spacing w:val="0"/>
                <w:sz w:val="20"/>
                <w:szCs w:val="20"/>
                <w:lang w:eastAsia="en-US"/>
              </w:rPr>
            </w:pPr>
            <w:r w:rsidRPr="00132BB4">
              <w:rPr>
                <w:rFonts w:eastAsia="Calibri" w:cs="Arial"/>
                <w:color w:val="auto"/>
                <w:spacing w:val="0"/>
                <w:sz w:val="20"/>
                <w:szCs w:val="20"/>
                <w:lang w:eastAsia="en-US"/>
              </w:rPr>
              <w:t>TOTAL</w:t>
            </w:r>
          </w:p>
        </w:tc>
        <w:tc>
          <w:tcPr>
            <w:tcW w:w="851" w:type="dxa"/>
            <w:noWrap/>
            <w:vAlign w:val="center"/>
            <w:hideMark/>
          </w:tcPr>
          <w:p w14:paraId="7DB2AA16"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32 245,9</w:t>
            </w:r>
          </w:p>
        </w:tc>
        <w:tc>
          <w:tcPr>
            <w:tcW w:w="850" w:type="dxa"/>
            <w:noWrap/>
            <w:vAlign w:val="center"/>
            <w:hideMark/>
          </w:tcPr>
          <w:p w14:paraId="4A341516"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33 879,2</w:t>
            </w:r>
          </w:p>
        </w:tc>
        <w:tc>
          <w:tcPr>
            <w:tcW w:w="851" w:type="dxa"/>
            <w:vAlign w:val="center"/>
          </w:tcPr>
          <w:p w14:paraId="4B19DA03"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35 132,1</w:t>
            </w:r>
          </w:p>
        </w:tc>
        <w:tc>
          <w:tcPr>
            <w:tcW w:w="850" w:type="dxa"/>
            <w:vAlign w:val="center"/>
          </w:tcPr>
          <w:p w14:paraId="39CD89F2"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36 670,9</w:t>
            </w:r>
          </w:p>
        </w:tc>
        <w:tc>
          <w:tcPr>
            <w:tcW w:w="1134" w:type="dxa"/>
            <w:noWrap/>
            <w:vAlign w:val="center"/>
            <w:hideMark/>
          </w:tcPr>
          <w:p w14:paraId="1D31CF20"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1 633,3</w:t>
            </w:r>
          </w:p>
        </w:tc>
        <w:tc>
          <w:tcPr>
            <w:tcW w:w="1102" w:type="dxa"/>
            <w:noWrap/>
            <w:vAlign w:val="center"/>
            <w:hideMark/>
          </w:tcPr>
          <w:p w14:paraId="1AE3B9AC"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41,3</w:t>
            </w:r>
          </w:p>
        </w:tc>
        <w:tc>
          <w:tcPr>
            <w:tcW w:w="1080" w:type="dxa"/>
            <w:noWrap/>
            <w:vAlign w:val="center"/>
            <w:hideMark/>
          </w:tcPr>
          <w:p w14:paraId="2D56B40F"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5,1%</w:t>
            </w:r>
          </w:p>
        </w:tc>
        <w:tc>
          <w:tcPr>
            <w:tcW w:w="1260" w:type="dxa"/>
            <w:noWrap/>
            <w:vAlign w:val="center"/>
            <w:hideMark/>
          </w:tcPr>
          <w:p w14:paraId="72465C3E" w14:textId="77777777" w:rsidR="00BB3B0F" w:rsidRPr="00132BB4" w:rsidRDefault="00BB3B0F" w:rsidP="00BB3B0F">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-0,13%</w:t>
            </w:r>
          </w:p>
        </w:tc>
      </w:tr>
    </w:tbl>
    <w:p w14:paraId="0E962445" w14:textId="77777777" w:rsidR="00723A33" w:rsidRPr="00924781" w:rsidRDefault="00BB3B0F" w:rsidP="00723A33">
      <w:pPr>
        <w:spacing w:after="160" w:line="259" w:lineRule="auto"/>
        <w:rPr>
          <w:rFonts w:ascii="Times New Roman" w:eastAsiaTheme="minorHAnsi" w:hAnsi="Times New Roman"/>
          <w:color w:val="auto"/>
          <w:spacing w:val="0"/>
          <w:sz w:val="24"/>
          <w:szCs w:val="24"/>
          <w:lang w:val="en-ZA" w:eastAsia="en-US"/>
        </w:rPr>
      </w:pPr>
      <w:r w:rsidRPr="00924781">
        <w:rPr>
          <w:rFonts w:ascii="Times New Roman" w:eastAsiaTheme="minorHAnsi" w:hAnsi="Times New Roman"/>
          <w:b/>
          <w:color w:val="auto"/>
          <w:spacing w:val="0"/>
          <w:sz w:val="24"/>
          <w:szCs w:val="24"/>
          <w:lang w:val="en-ZA" w:eastAsia="en-US"/>
        </w:rPr>
        <w:t>Source: National Treasury (2019) and own calculations</w:t>
      </w:r>
    </w:p>
    <w:p w14:paraId="30FA347F" w14:textId="77777777" w:rsidR="00723A33" w:rsidRPr="00924781" w:rsidRDefault="00723A33" w:rsidP="00723A33">
      <w:pPr>
        <w:spacing w:after="160" w:line="259" w:lineRule="auto"/>
        <w:rPr>
          <w:rFonts w:ascii="Times New Roman" w:eastAsiaTheme="minorHAnsi" w:hAnsi="Times New Roman"/>
          <w:color w:val="auto"/>
          <w:spacing w:val="0"/>
          <w:sz w:val="24"/>
          <w:szCs w:val="24"/>
          <w:lang w:val="en-ZA" w:eastAsia="en-US"/>
        </w:rPr>
      </w:pPr>
    </w:p>
    <w:p w14:paraId="09BCC647" w14:textId="77777777" w:rsidR="00723A33" w:rsidRPr="00924781" w:rsidRDefault="00723A33" w:rsidP="00F45561">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Programme 4 (Housi</w:t>
      </w:r>
      <w:r w:rsidR="00310B75"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ng Development Finance) received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97.6 percent of the total budget allocation for the Department. This programme funds the major conditional grants located within the Department. Although the programme’s allocation shows a nominal increase of 5 percent, the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lastRenderedPageBreak/>
        <w:t>allocation decreased in real terms with 0</w:t>
      </w:r>
      <w:r w:rsidR="00310B75"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.19 percent.  Programmes 1-3 gre</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w above inflation from the previous year; the strongest growth recorded for Programme 2 which increased by 12.94 percent nominally (or 7.4 percent, when adjusted for inflation). </w:t>
      </w:r>
    </w:p>
    <w:p w14:paraId="2A0F58FA" w14:textId="77777777" w:rsidR="00D10A08" w:rsidRPr="00924781" w:rsidRDefault="00D10A08" w:rsidP="00D10A08">
      <w:pPr>
        <w:spacing w:line="360" w:lineRule="auto"/>
        <w:rPr>
          <w:rFonts w:ascii="Times New Roman" w:hAnsi="Times New Roman"/>
          <w:b/>
          <w:sz w:val="24"/>
          <w:szCs w:val="24"/>
        </w:rPr>
      </w:pPr>
    </w:p>
    <w:p w14:paraId="29D537BA" w14:textId="77777777" w:rsidR="00BF0C07" w:rsidRDefault="00BF0C07">
      <w:pPr>
        <w:spacing w:after="160" w:line="259" w:lineRule="auto"/>
        <w:rPr>
          <w:rFonts w:ascii="Times New Roman" w:eastAsia="Calibri" w:hAnsi="Times New Roman"/>
          <w:b/>
          <w:color w:val="auto"/>
          <w:spacing w:val="0"/>
          <w:sz w:val="24"/>
          <w:szCs w:val="24"/>
          <w:lang w:val="en-US" w:eastAsia="en-US"/>
          <w14:shadow w14:blurRad="50800" w14:dist="38100" w14:dir="2700000" w14:sx="100000" w14:sy="100000" w14:kx="0" w14:ky="0" w14:algn="tl">
            <w14:srgbClr w14:val="000000">
              <w14:alpha w14:val="60000"/>
            </w14:srgbClr>
          </w14:shadow>
        </w:rPr>
      </w:pPr>
      <w:r>
        <w:rPr>
          <w:rFonts w:ascii="Times New Roman" w:eastAsia="Calibri" w:hAnsi="Times New Roman"/>
          <w:b/>
          <w:bCs/>
          <w:sz w:val="24"/>
          <w14:shadow w14:blurRad="50800" w14:dist="38100" w14:dir="2700000" w14:sx="100000" w14:sy="100000" w14:kx="0" w14:ky="0" w14:algn="tl">
            <w14:srgbClr w14:val="000000">
              <w14:alpha w14:val="60000"/>
            </w14:srgbClr>
          </w14:shadow>
        </w:rPr>
        <w:br w:type="page"/>
      </w:r>
    </w:p>
    <w:p w14:paraId="73C7AA4B" w14:textId="77777777" w:rsidR="00D10A08" w:rsidRPr="00924781" w:rsidRDefault="00B6225F"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lastRenderedPageBreak/>
        <w:t>3.1.1.1</w:t>
      </w: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r>
      <w:r w:rsidR="002951D5"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r>
      <w:r w:rsidR="00D10A08"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Strategic Objectives</w:t>
      </w:r>
    </w:p>
    <w:p w14:paraId="4DDCE346" w14:textId="77777777" w:rsidR="00D10A08" w:rsidRPr="00924781" w:rsidRDefault="00B6225F"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3.1.1.2</w:t>
      </w:r>
      <w:r w:rsidR="002951D5"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r>
      <w:r w:rsidR="00D10A08"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Programme 1: Administration</w:t>
      </w:r>
    </w:p>
    <w:p w14:paraId="2E07E127" w14:textId="77777777" w:rsidR="005F0B73" w:rsidRPr="00924781" w:rsidRDefault="005F0B73" w:rsidP="005F0B73">
      <w:pPr>
        <w:spacing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The purpose of this programme is to provide strategic leadership, management and support services to the Department.  It consists of 5 sub-programmes as listed in Table 2 below.</w:t>
      </w:r>
    </w:p>
    <w:p w14:paraId="7F555E25" w14:textId="77777777" w:rsidR="005F0B73" w:rsidRPr="00924781" w:rsidRDefault="005F0B73" w:rsidP="005F0B73">
      <w:pPr>
        <w:spacing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p>
    <w:p w14:paraId="0909AE80" w14:textId="77777777" w:rsidR="005F0B73" w:rsidRPr="00924781" w:rsidRDefault="005F0B73" w:rsidP="005F0B73">
      <w:pPr>
        <w:spacing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The total budget allocations for Programme 1 has increased from R439.8 million in 2018/19 to R464.7 million in 2019/20, representing a nominal increase 5.7 percent (a real increase of 0.44 percent).</w:t>
      </w:r>
    </w:p>
    <w:p w14:paraId="53781E1E" w14:textId="77777777" w:rsidR="005F0B73" w:rsidRPr="00924781" w:rsidRDefault="005F0B73" w:rsidP="005F0B73">
      <w:pPr>
        <w:spacing w:line="360" w:lineRule="auto"/>
        <w:jc w:val="both"/>
        <w:rPr>
          <w:rFonts w:ascii="Times New Roman" w:eastAsia="Calibri" w:hAnsi="Times New Roman"/>
          <w:sz w:val="24"/>
          <w:szCs w:val="24"/>
          <w14:shadow w14:blurRad="50800" w14:dist="38100" w14:dir="2700000" w14:sx="100000" w14:sy="100000" w14:kx="0" w14:ky="0" w14:algn="tl">
            <w14:srgbClr w14:val="000000">
              <w14:alpha w14:val="60000"/>
            </w14:srgbClr>
          </w14:shadow>
        </w:rPr>
      </w:pPr>
    </w:p>
    <w:p w14:paraId="422858E3" w14:textId="77777777" w:rsidR="005F0B73" w:rsidRPr="00924781" w:rsidRDefault="005F0B73" w:rsidP="008C71AB">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 xml:space="preserve">TABLE 2: ALLOCATION TO SUB-PROGRAMMES UNDER PROGRAMME </w:t>
      </w:r>
    </w:p>
    <w:tbl>
      <w:tblPr>
        <w:tblStyle w:val="TableGrid"/>
        <w:tblW w:w="10446" w:type="dxa"/>
        <w:tblInd w:w="-455" w:type="dxa"/>
        <w:tblLayout w:type="fixed"/>
        <w:tblLook w:val="04A0" w:firstRow="1" w:lastRow="0" w:firstColumn="1" w:lastColumn="0" w:noHBand="0" w:noVBand="1"/>
      </w:tblPr>
      <w:tblGrid>
        <w:gridCol w:w="2552"/>
        <w:gridCol w:w="992"/>
        <w:gridCol w:w="1134"/>
        <w:gridCol w:w="1352"/>
        <w:gridCol w:w="1440"/>
        <w:gridCol w:w="1559"/>
        <w:gridCol w:w="1417"/>
      </w:tblGrid>
      <w:tr w:rsidR="005F0B73" w:rsidRPr="00132BB4" w14:paraId="2BC45BB6" w14:textId="77777777" w:rsidTr="00BF0C07">
        <w:trPr>
          <w:trHeight w:val="765"/>
          <w:tblHeader/>
        </w:trPr>
        <w:tc>
          <w:tcPr>
            <w:tcW w:w="2552" w:type="dxa"/>
            <w:noWrap/>
            <w:vAlign w:val="center"/>
            <w:hideMark/>
          </w:tcPr>
          <w:p w14:paraId="20E6DD33" w14:textId="77777777" w:rsidR="005F0B73" w:rsidRPr="00132BB4" w:rsidRDefault="005F0B73" w:rsidP="005F0B73">
            <w:pPr>
              <w:rPr>
                <w:rFonts w:eastAsia="Calibri" w:cs="Arial"/>
                <w:color w:val="auto"/>
                <w:spacing w:val="0"/>
                <w:sz w:val="20"/>
                <w:szCs w:val="20"/>
                <w:lang w:eastAsia="en-US"/>
              </w:rPr>
            </w:pPr>
            <w:r w:rsidRPr="00132BB4">
              <w:rPr>
                <w:rFonts w:eastAsia="Calibri" w:cs="Arial"/>
                <w:color w:val="auto"/>
                <w:spacing w:val="0"/>
                <w:sz w:val="20"/>
                <w:szCs w:val="20"/>
                <w:lang w:eastAsia="en-US"/>
              </w:rPr>
              <w:t>Programme</w:t>
            </w:r>
          </w:p>
        </w:tc>
        <w:tc>
          <w:tcPr>
            <w:tcW w:w="2126" w:type="dxa"/>
            <w:gridSpan w:val="2"/>
            <w:vAlign w:val="center"/>
            <w:hideMark/>
          </w:tcPr>
          <w:p w14:paraId="53C0B41C"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Budget</w:t>
            </w:r>
          </w:p>
        </w:tc>
        <w:tc>
          <w:tcPr>
            <w:tcW w:w="1352" w:type="dxa"/>
            <w:vMerge w:val="restart"/>
            <w:vAlign w:val="center"/>
            <w:hideMark/>
          </w:tcPr>
          <w:p w14:paraId="22CA740F"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Nominal </w:t>
            </w:r>
          </w:p>
          <w:p w14:paraId="4BD32DC7"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change in 2019/20</w:t>
            </w:r>
          </w:p>
          <w:p w14:paraId="7F900C52"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(Rand’ million)</w:t>
            </w:r>
          </w:p>
        </w:tc>
        <w:tc>
          <w:tcPr>
            <w:tcW w:w="1440" w:type="dxa"/>
            <w:vMerge w:val="restart"/>
            <w:vAlign w:val="center"/>
            <w:hideMark/>
          </w:tcPr>
          <w:p w14:paraId="5435AE9B"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Real </w:t>
            </w:r>
          </w:p>
          <w:p w14:paraId="2A786439"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change in</w:t>
            </w:r>
          </w:p>
          <w:p w14:paraId="67A9B878"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2019/20 </w:t>
            </w:r>
          </w:p>
          <w:p w14:paraId="7516C4A8"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(Rand’ million)</w:t>
            </w:r>
          </w:p>
        </w:tc>
        <w:tc>
          <w:tcPr>
            <w:tcW w:w="1559" w:type="dxa"/>
            <w:vMerge w:val="restart"/>
            <w:vAlign w:val="center"/>
            <w:hideMark/>
          </w:tcPr>
          <w:p w14:paraId="058364E9"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Nominal Percent change in 2019/20</w:t>
            </w:r>
          </w:p>
        </w:tc>
        <w:tc>
          <w:tcPr>
            <w:tcW w:w="1417" w:type="dxa"/>
            <w:vMerge w:val="restart"/>
            <w:vAlign w:val="center"/>
            <w:hideMark/>
          </w:tcPr>
          <w:p w14:paraId="1CC2E622"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Real </w:t>
            </w:r>
          </w:p>
          <w:p w14:paraId="7C03759F"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Percent change in 2019/20</w:t>
            </w:r>
          </w:p>
        </w:tc>
      </w:tr>
      <w:tr w:rsidR="005F0B73" w:rsidRPr="00132BB4" w14:paraId="59129376" w14:textId="77777777" w:rsidTr="00BF0C07">
        <w:trPr>
          <w:trHeight w:val="264"/>
        </w:trPr>
        <w:tc>
          <w:tcPr>
            <w:tcW w:w="2552" w:type="dxa"/>
            <w:noWrap/>
            <w:hideMark/>
          </w:tcPr>
          <w:p w14:paraId="26FF0DD7" w14:textId="77777777" w:rsidR="005F0B73" w:rsidRPr="00132BB4" w:rsidRDefault="005F0B73" w:rsidP="005F0B73">
            <w:pPr>
              <w:rPr>
                <w:rFonts w:eastAsia="Calibri" w:cs="Arial"/>
                <w:color w:val="auto"/>
                <w:spacing w:val="0"/>
                <w:sz w:val="20"/>
                <w:szCs w:val="20"/>
                <w:lang w:eastAsia="en-US"/>
              </w:rPr>
            </w:pPr>
            <w:r w:rsidRPr="00132BB4">
              <w:rPr>
                <w:rFonts w:eastAsia="Calibri" w:cs="Arial"/>
                <w:color w:val="auto"/>
                <w:spacing w:val="0"/>
                <w:sz w:val="20"/>
                <w:szCs w:val="20"/>
                <w:lang w:eastAsia="en-US"/>
              </w:rPr>
              <w:t>R million</w:t>
            </w:r>
          </w:p>
        </w:tc>
        <w:tc>
          <w:tcPr>
            <w:tcW w:w="992" w:type="dxa"/>
            <w:noWrap/>
            <w:hideMark/>
          </w:tcPr>
          <w:p w14:paraId="21C2B7D7"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2018/19</w:t>
            </w:r>
          </w:p>
        </w:tc>
        <w:tc>
          <w:tcPr>
            <w:tcW w:w="1134" w:type="dxa"/>
            <w:noWrap/>
            <w:hideMark/>
          </w:tcPr>
          <w:p w14:paraId="46137890" w14:textId="77777777" w:rsidR="005F0B73" w:rsidRPr="00132BB4" w:rsidRDefault="005F0B73" w:rsidP="005F0B73">
            <w:pPr>
              <w:jc w:val="center"/>
              <w:rPr>
                <w:rFonts w:eastAsia="Calibri" w:cs="Arial"/>
                <w:color w:val="auto"/>
                <w:spacing w:val="0"/>
                <w:sz w:val="20"/>
                <w:szCs w:val="20"/>
                <w:lang w:eastAsia="en-US"/>
              </w:rPr>
            </w:pPr>
            <w:r w:rsidRPr="00132BB4">
              <w:rPr>
                <w:rFonts w:eastAsia="Calibri" w:cs="Arial"/>
                <w:color w:val="auto"/>
                <w:spacing w:val="0"/>
                <w:sz w:val="20"/>
                <w:szCs w:val="20"/>
                <w:lang w:eastAsia="en-US"/>
              </w:rPr>
              <w:t>2019/20</w:t>
            </w:r>
          </w:p>
        </w:tc>
        <w:tc>
          <w:tcPr>
            <w:tcW w:w="1352" w:type="dxa"/>
            <w:vMerge/>
            <w:hideMark/>
          </w:tcPr>
          <w:p w14:paraId="740514C2" w14:textId="77777777" w:rsidR="005F0B73" w:rsidRPr="00132BB4" w:rsidRDefault="005F0B73" w:rsidP="005F0B73">
            <w:pPr>
              <w:rPr>
                <w:rFonts w:eastAsia="Calibri" w:cs="Arial"/>
                <w:color w:val="auto"/>
                <w:spacing w:val="0"/>
                <w:sz w:val="20"/>
                <w:szCs w:val="20"/>
                <w:lang w:eastAsia="en-US"/>
              </w:rPr>
            </w:pPr>
          </w:p>
        </w:tc>
        <w:tc>
          <w:tcPr>
            <w:tcW w:w="1440" w:type="dxa"/>
            <w:vMerge/>
            <w:hideMark/>
          </w:tcPr>
          <w:p w14:paraId="01FA5EA0" w14:textId="77777777" w:rsidR="005F0B73" w:rsidRPr="00132BB4" w:rsidRDefault="005F0B73" w:rsidP="005F0B73">
            <w:pPr>
              <w:rPr>
                <w:rFonts w:eastAsia="Calibri" w:cs="Arial"/>
                <w:color w:val="auto"/>
                <w:spacing w:val="0"/>
                <w:sz w:val="20"/>
                <w:szCs w:val="20"/>
                <w:lang w:eastAsia="en-US"/>
              </w:rPr>
            </w:pPr>
          </w:p>
        </w:tc>
        <w:tc>
          <w:tcPr>
            <w:tcW w:w="1559" w:type="dxa"/>
            <w:vMerge/>
            <w:hideMark/>
          </w:tcPr>
          <w:p w14:paraId="7D0CD53F" w14:textId="77777777" w:rsidR="005F0B73" w:rsidRPr="00132BB4" w:rsidRDefault="005F0B73" w:rsidP="005F0B73">
            <w:pPr>
              <w:rPr>
                <w:rFonts w:eastAsia="Calibri" w:cs="Arial"/>
                <w:color w:val="auto"/>
                <w:spacing w:val="0"/>
                <w:sz w:val="20"/>
                <w:szCs w:val="20"/>
                <w:lang w:eastAsia="en-US"/>
              </w:rPr>
            </w:pPr>
          </w:p>
        </w:tc>
        <w:tc>
          <w:tcPr>
            <w:tcW w:w="1417" w:type="dxa"/>
            <w:vMerge/>
            <w:hideMark/>
          </w:tcPr>
          <w:p w14:paraId="705DC9C6" w14:textId="77777777" w:rsidR="005F0B73" w:rsidRPr="00132BB4" w:rsidRDefault="005F0B73" w:rsidP="005F0B73">
            <w:pPr>
              <w:rPr>
                <w:rFonts w:eastAsia="Calibri" w:cs="Arial"/>
                <w:color w:val="auto"/>
                <w:spacing w:val="0"/>
                <w:sz w:val="20"/>
                <w:szCs w:val="20"/>
                <w:lang w:eastAsia="en-US"/>
              </w:rPr>
            </w:pPr>
          </w:p>
        </w:tc>
      </w:tr>
      <w:tr w:rsidR="005F0B73" w:rsidRPr="00132BB4" w14:paraId="066F0FCB" w14:textId="77777777" w:rsidTr="00BF0C07">
        <w:trPr>
          <w:trHeight w:val="264"/>
        </w:trPr>
        <w:tc>
          <w:tcPr>
            <w:tcW w:w="2552" w:type="dxa"/>
            <w:noWrap/>
            <w:hideMark/>
          </w:tcPr>
          <w:p w14:paraId="38AFEA50" w14:textId="77777777" w:rsidR="005F0B73" w:rsidRPr="00132BB4" w:rsidRDefault="005F0B73" w:rsidP="005F0B73">
            <w:pPr>
              <w:rPr>
                <w:rFonts w:eastAsia="Calibri" w:cs="Arial"/>
                <w:color w:val="auto"/>
                <w:spacing w:val="0"/>
                <w:sz w:val="20"/>
                <w:szCs w:val="20"/>
                <w:lang w:eastAsia="en-US"/>
              </w:rPr>
            </w:pPr>
            <w:r w:rsidRPr="00132BB4">
              <w:rPr>
                <w:rFonts w:eastAsia="Calibri" w:cs="Arial"/>
                <w:color w:val="auto"/>
                <w:spacing w:val="0"/>
                <w:sz w:val="20"/>
                <w:szCs w:val="20"/>
                <w:lang w:eastAsia="en-US"/>
              </w:rPr>
              <w:t>Ministry</w:t>
            </w:r>
          </w:p>
        </w:tc>
        <w:tc>
          <w:tcPr>
            <w:tcW w:w="992" w:type="dxa"/>
            <w:noWrap/>
            <w:vAlign w:val="center"/>
            <w:hideMark/>
          </w:tcPr>
          <w:p w14:paraId="4FBCCDBD"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58,2</w:t>
            </w:r>
          </w:p>
        </w:tc>
        <w:tc>
          <w:tcPr>
            <w:tcW w:w="1134" w:type="dxa"/>
            <w:noWrap/>
            <w:vAlign w:val="center"/>
            <w:hideMark/>
          </w:tcPr>
          <w:p w14:paraId="192D9ADD"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55,6</w:t>
            </w:r>
          </w:p>
        </w:tc>
        <w:tc>
          <w:tcPr>
            <w:tcW w:w="1352" w:type="dxa"/>
            <w:noWrap/>
            <w:vAlign w:val="center"/>
            <w:hideMark/>
          </w:tcPr>
          <w:p w14:paraId="059AC38A"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2,6</w:t>
            </w:r>
          </w:p>
        </w:tc>
        <w:tc>
          <w:tcPr>
            <w:tcW w:w="1440" w:type="dxa"/>
            <w:noWrap/>
            <w:vAlign w:val="center"/>
            <w:hideMark/>
          </w:tcPr>
          <w:p w14:paraId="1D4C41E7"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5,3</w:t>
            </w:r>
          </w:p>
        </w:tc>
        <w:tc>
          <w:tcPr>
            <w:tcW w:w="1559" w:type="dxa"/>
            <w:noWrap/>
            <w:vAlign w:val="center"/>
            <w:hideMark/>
          </w:tcPr>
          <w:p w14:paraId="1188FA4F"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-4,47 %</w:t>
            </w:r>
          </w:p>
        </w:tc>
        <w:tc>
          <w:tcPr>
            <w:tcW w:w="1417" w:type="dxa"/>
            <w:noWrap/>
            <w:vAlign w:val="center"/>
            <w:hideMark/>
          </w:tcPr>
          <w:p w14:paraId="4EF775CD"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-9,19% </w:t>
            </w:r>
          </w:p>
        </w:tc>
      </w:tr>
      <w:tr w:rsidR="005F0B73" w:rsidRPr="00132BB4" w14:paraId="1F0628F2" w14:textId="77777777" w:rsidTr="00BF0C07">
        <w:trPr>
          <w:trHeight w:val="264"/>
        </w:trPr>
        <w:tc>
          <w:tcPr>
            <w:tcW w:w="2552" w:type="dxa"/>
            <w:noWrap/>
            <w:hideMark/>
          </w:tcPr>
          <w:p w14:paraId="6DBD9BCF" w14:textId="77777777" w:rsidR="005F0B73" w:rsidRPr="00132BB4" w:rsidRDefault="005F0B73" w:rsidP="005F0B73">
            <w:pPr>
              <w:rPr>
                <w:rFonts w:eastAsia="Calibri" w:cs="Arial"/>
                <w:color w:val="auto"/>
                <w:spacing w:val="0"/>
                <w:sz w:val="20"/>
                <w:szCs w:val="20"/>
                <w:lang w:eastAsia="en-US"/>
              </w:rPr>
            </w:pPr>
            <w:r w:rsidRPr="00132BB4">
              <w:rPr>
                <w:rFonts w:eastAsia="Calibri" w:cs="Arial"/>
                <w:color w:val="auto"/>
                <w:spacing w:val="0"/>
                <w:sz w:val="20"/>
                <w:szCs w:val="20"/>
                <w:lang w:eastAsia="en-US"/>
              </w:rPr>
              <w:t>Departmental Management</w:t>
            </w:r>
          </w:p>
        </w:tc>
        <w:tc>
          <w:tcPr>
            <w:tcW w:w="992" w:type="dxa"/>
            <w:noWrap/>
            <w:vAlign w:val="center"/>
            <w:hideMark/>
          </w:tcPr>
          <w:p w14:paraId="1E0F55D4"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87,3</w:t>
            </w:r>
          </w:p>
        </w:tc>
        <w:tc>
          <w:tcPr>
            <w:tcW w:w="1134" w:type="dxa"/>
            <w:noWrap/>
            <w:vAlign w:val="center"/>
            <w:hideMark/>
          </w:tcPr>
          <w:p w14:paraId="4D5C62C8"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89,0</w:t>
            </w:r>
          </w:p>
        </w:tc>
        <w:tc>
          <w:tcPr>
            <w:tcW w:w="1352" w:type="dxa"/>
            <w:noWrap/>
            <w:vAlign w:val="center"/>
            <w:hideMark/>
          </w:tcPr>
          <w:p w14:paraId="6C467868"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1,7</w:t>
            </w:r>
          </w:p>
        </w:tc>
        <w:tc>
          <w:tcPr>
            <w:tcW w:w="1440" w:type="dxa"/>
            <w:noWrap/>
            <w:vAlign w:val="center"/>
            <w:hideMark/>
          </w:tcPr>
          <w:p w14:paraId="6686213E"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2,7</w:t>
            </w:r>
          </w:p>
        </w:tc>
        <w:tc>
          <w:tcPr>
            <w:tcW w:w="1559" w:type="dxa"/>
            <w:noWrap/>
            <w:vAlign w:val="center"/>
            <w:hideMark/>
          </w:tcPr>
          <w:p w14:paraId="42B64447"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1,95% </w:t>
            </w:r>
          </w:p>
        </w:tc>
        <w:tc>
          <w:tcPr>
            <w:tcW w:w="1417" w:type="dxa"/>
            <w:noWrap/>
            <w:vAlign w:val="center"/>
            <w:hideMark/>
          </w:tcPr>
          <w:p w14:paraId="65664230"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-3,09% </w:t>
            </w:r>
          </w:p>
        </w:tc>
      </w:tr>
      <w:tr w:rsidR="005F0B73" w:rsidRPr="00132BB4" w14:paraId="3FE6D546" w14:textId="77777777" w:rsidTr="00BF0C07">
        <w:trPr>
          <w:trHeight w:val="264"/>
        </w:trPr>
        <w:tc>
          <w:tcPr>
            <w:tcW w:w="2552" w:type="dxa"/>
            <w:noWrap/>
            <w:hideMark/>
          </w:tcPr>
          <w:p w14:paraId="4A5D88E8" w14:textId="77777777" w:rsidR="005F0B73" w:rsidRPr="00132BB4" w:rsidRDefault="005F0B73" w:rsidP="005F0B73">
            <w:pPr>
              <w:rPr>
                <w:rFonts w:eastAsia="Calibri" w:cs="Arial"/>
                <w:color w:val="auto"/>
                <w:spacing w:val="0"/>
                <w:sz w:val="20"/>
                <w:szCs w:val="20"/>
                <w:lang w:eastAsia="en-US"/>
              </w:rPr>
            </w:pPr>
            <w:r w:rsidRPr="00132BB4">
              <w:rPr>
                <w:rFonts w:eastAsia="Calibri" w:cs="Arial"/>
                <w:color w:val="auto"/>
                <w:spacing w:val="0"/>
                <w:sz w:val="20"/>
                <w:szCs w:val="20"/>
                <w:lang w:eastAsia="en-US"/>
              </w:rPr>
              <w:t>Corporate Services</w:t>
            </w:r>
          </w:p>
        </w:tc>
        <w:tc>
          <w:tcPr>
            <w:tcW w:w="992" w:type="dxa"/>
            <w:noWrap/>
            <w:vAlign w:val="center"/>
            <w:hideMark/>
          </w:tcPr>
          <w:p w14:paraId="015A0094"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197,7</w:t>
            </w:r>
          </w:p>
        </w:tc>
        <w:tc>
          <w:tcPr>
            <w:tcW w:w="1134" w:type="dxa"/>
            <w:noWrap/>
            <w:vAlign w:val="center"/>
            <w:hideMark/>
          </w:tcPr>
          <w:p w14:paraId="74D4EE80"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211,7</w:t>
            </w:r>
          </w:p>
        </w:tc>
        <w:tc>
          <w:tcPr>
            <w:tcW w:w="1352" w:type="dxa"/>
            <w:noWrap/>
            <w:vAlign w:val="center"/>
            <w:hideMark/>
          </w:tcPr>
          <w:p w14:paraId="27CEA24F"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14,0</w:t>
            </w:r>
          </w:p>
        </w:tc>
        <w:tc>
          <w:tcPr>
            <w:tcW w:w="1440" w:type="dxa"/>
            <w:noWrap/>
            <w:vAlign w:val="center"/>
            <w:hideMark/>
          </w:tcPr>
          <w:p w14:paraId="3D356ED1"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3,5</w:t>
            </w:r>
          </w:p>
        </w:tc>
        <w:tc>
          <w:tcPr>
            <w:tcW w:w="1559" w:type="dxa"/>
            <w:noWrap/>
            <w:vAlign w:val="center"/>
            <w:hideMark/>
          </w:tcPr>
          <w:p w14:paraId="45E911A8"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7,08% </w:t>
            </w:r>
          </w:p>
        </w:tc>
        <w:tc>
          <w:tcPr>
            <w:tcW w:w="1417" w:type="dxa"/>
            <w:noWrap/>
            <w:vAlign w:val="center"/>
            <w:hideMark/>
          </w:tcPr>
          <w:p w14:paraId="195729AF"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1,79%</w:t>
            </w:r>
          </w:p>
        </w:tc>
      </w:tr>
      <w:tr w:rsidR="005F0B73" w:rsidRPr="00132BB4" w14:paraId="108F6FE9" w14:textId="77777777" w:rsidTr="00BF0C07">
        <w:trPr>
          <w:trHeight w:val="264"/>
        </w:trPr>
        <w:tc>
          <w:tcPr>
            <w:tcW w:w="2552" w:type="dxa"/>
            <w:noWrap/>
            <w:vAlign w:val="center"/>
            <w:hideMark/>
          </w:tcPr>
          <w:p w14:paraId="1590A8D6" w14:textId="77777777" w:rsidR="005F0B73" w:rsidRPr="00132BB4" w:rsidRDefault="005F0B73" w:rsidP="005F0B73">
            <w:pPr>
              <w:rPr>
                <w:rFonts w:eastAsia="Calibri" w:cs="Arial"/>
                <w:color w:val="auto"/>
                <w:spacing w:val="0"/>
                <w:sz w:val="20"/>
                <w:szCs w:val="20"/>
                <w:lang w:eastAsia="en-US"/>
              </w:rPr>
            </w:pPr>
            <w:r w:rsidRPr="00132BB4">
              <w:rPr>
                <w:rFonts w:eastAsia="Calibri" w:cs="Arial"/>
                <w:color w:val="auto"/>
                <w:spacing w:val="0"/>
                <w:sz w:val="20"/>
                <w:szCs w:val="20"/>
                <w:lang w:eastAsia="en-US"/>
              </w:rPr>
              <w:t>Property Management</w:t>
            </w:r>
          </w:p>
        </w:tc>
        <w:tc>
          <w:tcPr>
            <w:tcW w:w="992" w:type="dxa"/>
            <w:noWrap/>
            <w:vAlign w:val="center"/>
            <w:hideMark/>
          </w:tcPr>
          <w:p w14:paraId="69A9DB61"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41,1</w:t>
            </w:r>
          </w:p>
        </w:tc>
        <w:tc>
          <w:tcPr>
            <w:tcW w:w="1134" w:type="dxa"/>
            <w:noWrap/>
            <w:vAlign w:val="center"/>
            <w:hideMark/>
          </w:tcPr>
          <w:p w14:paraId="3451F693"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43,3</w:t>
            </w:r>
          </w:p>
        </w:tc>
        <w:tc>
          <w:tcPr>
            <w:tcW w:w="1352" w:type="dxa"/>
            <w:noWrap/>
            <w:vAlign w:val="center"/>
            <w:hideMark/>
          </w:tcPr>
          <w:p w14:paraId="476D332E"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2,2</w:t>
            </w:r>
          </w:p>
        </w:tc>
        <w:tc>
          <w:tcPr>
            <w:tcW w:w="1440" w:type="dxa"/>
            <w:noWrap/>
            <w:vAlign w:val="center"/>
            <w:hideMark/>
          </w:tcPr>
          <w:p w14:paraId="43513404"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0,1</w:t>
            </w:r>
          </w:p>
        </w:tc>
        <w:tc>
          <w:tcPr>
            <w:tcW w:w="1559" w:type="dxa"/>
            <w:noWrap/>
            <w:vAlign w:val="center"/>
            <w:hideMark/>
          </w:tcPr>
          <w:p w14:paraId="1D456229"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5,35% </w:t>
            </w:r>
          </w:p>
        </w:tc>
        <w:tc>
          <w:tcPr>
            <w:tcW w:w="1417" w:type="dxa"/>
            <w:noWrap/>
            <w:vAlign w:val="center"/>
            <w:hideMark/>
          </w:tcPr>
          <w:p w14:paraId="09D3772B"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0,15% </w:t>
            </w:r>
          </w:p>
        </w:tc>
      </w:tr>
      <w:tr w:rsidR="005F0B73" w:rsidRPr="00132BB4" w14:paraId="558DB37D" w14:textId="77777777" w:rsidTr="00BF0C07">
        <w:trPr>
          <w:trHeight w:val="264"/>
        </w:trPr>
        <w:tc>
          <w:tcPr>
            <w:tcW w:w="2552" w:type="dxa"/>
            <w:noWrap/>
            <w:vAlign w:val="center"/>
            <w:hideMark/>
          </w:tcPr>
          <w:p w14:paraId="69C4F577" w14:textId="77777777" w:rsidR="005F0B73" w:rsidRPr="00132BB4" w:rsidRDefault="005F0B73" w:rsidP="005F0B73">
            <w:pPr>
              <w:rPr>
                <w:rFonts w:eastAsia="Calibri" w:cs="Arial"/>
                <w:color w:val="auto"/>
                <w:spacing w:val="0"/>
                <w:sz w:val="20"/>
                <w:szCs w:val="20"/>
                <w:lang w:eastAsia="en-US"/>
              </w:rPr>
            </w:pPr>
            <w:r w:rsidRPr="00132BB4">
              <w:rPr>
                <w:rFonts w:eastAsia="Calibri" w:cs="Arial"/>
                <w:color w:val="auto"/>
                <w:spacing w:val="0"/>
                <w:sz w:val="20"/>
                <w:szCs w:val="20"/>
                <w:lang w:eastAsia="en-US"/>
              </w:rPr>
              <w:t>Financial Management</w:t>
            </w:r>
          </w:p>
        </w:tc>
        <w:tc>
          <w:tcPr>
            <w:tcW w:w="992" w:type="dxa"/>
            <w:noWrap/>
            <w:vAlign w:val="center"/>
            <w:hideMark/>
          </w:tcPr>
          <w:p w14:paraId="4409BC6F"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55,5</w:t>
            </w:r>
          </w:p>
        </w:tc>
        <w:tc>
          <w:tcPr>
            <w:tcW w:w="1134" w:type="dxa"/>
            <w:noWrap/>
            <w:vAlign w:val="center"/>
            <w:hideMark/>
          </w:tcPr>
          <w:p w14:paraId="448EBEDF"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65,0</w:t>
            </w:r>
          </w:p>
        </w:tc>
        <w:tc>
          <w:tcPr>
            <w:tcW w:w="1352" w:type="dxa"/>
            <w:noWrap/>
            <w:vAlign w:val="center"/>
            <w:hideMark/>
          </w:tcPr>
          <w:p w14:paraId="333D54F8"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9,5</w:t>
            </w:r>
          </w:p>
        </w:tc>
        <w:tc>
          <w:tcPr>
            <w:tcW w:w="1440" w:type="dxa"/>
            <w:noWrap/>
            <w:vAlign w:val="center"/>
            <w:hideMark/>
          </w:tcPr>
          <w:p w14:paraId="52F16D68"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6,3</w:t>
            </w:r>
          </w:p>
        </w:tc>
        <w:tc>
          <w:tcPr>
            <w:tcW w:w="1559" w:type="dxa"/>
            <w:noWrap/>
            <w:vAlign w:val="center"/>
            <w:hideMark/>
          </w:tcPr>
          <w:p w14:paraId="12FF1B48"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17,12% </w:t>
            </w:r>
          </w:p>
        </w:tc>
        <w:tc>
          <w:tcPr>
            <w:tcW w:w="1417" w:type="dxa"/>
            <w:noWrap/>
            <w:vAlign w:val="center"/>
            <w:hideMark/>
          </w:tcPr>
          <w:p w14:paraId="5FC64D3B"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11,33% </w:t>
            </w:r>
          </w:p>
        </w:tc>
      </w:tr>
      <w:tr w:rsidR="005F0B73" w:rsidRPr="00132BB4" w14:paraId="2B672AF4" w14:textId="77777777" w:rsidTr="00BF0C07">
        <w:trPr>
          <w:trHeight w:val="264"/>
        </w:trPr>
        <w:tc>
          <w:tcPr>
            <w:tcW w:w="2552" w:type="dxa"/>
            <w:noWrap/>
            <w:vAlign w:val="center"/>
            <w:hideMark/>
          </w:tcPr>
          <w:p w14:paraId="382BA132" w14:textId="77777777" w:rsidR="005F0B73" w:rsidRPr="00132BB4" w:rsidRDefault="005F0B73" w:rsidP="005F0B73">
            <w:pPr>
              <w:rPr>
                <w:rFonts w:eastAsia="Calibri" w:cs="Arial"/>
                <w:color w:val="auto"/>
                <w:spacing w:val="0"/>
                <w:sz w:val="20"/>
                <w:szCs w:val="20"/>
                <w:lang w:eastAsia="en-US"/>
              </w:rPr>
            </w:pPr>
            <w:r w:rsidRPr="00132BB4">
              <w:rPr>
                <w:rFonts w:eastAsia="Calibri" w:cs="Arial"/>
                <w:color w:val="auto"/>
                <w:spacing w:val="0"/>
                <w:sz w:val="20"/>
                <w:szCs w:val="20"/>
                <w:lang w:eastAsia="en-US"/>
              </w:rPr>
              <w:t>TOTAL</w:t>
            </w:r>
          </w:p>
        </w:tc>
        <w:tc>
          <w:tcPr>
            <w:tcW w:w="992" w:type="dxa"/>
            <w:noWrap/>
            <w:vAlign w:val="center"/>
            <w:hideMark/>
          </w:tcPr>
          <w:p w14:paraId="7CD3CC62"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439,8</w:t>
            </w:r>
          </w:p>
        </w:tc>
        <w:tc>
          <w:tcPr>
            <w:tcW w:w="1134" w:type="dxa"/>
            <w:noWrap/>
            <w:vAlign w:val="center"/>
            <w:hideMark/>
          </w:tcPr>
          <w:p w14:paraId="6454C7E8"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464,7</w:t>
            </w:r>
          </w:p>
        </w:tc>
        <w:tc>
          <w:tcPr>
            <w:tcW w:w="1352" w:type="dxa"/>
            <w:noWrap/>
            <w:vAlign w:val="center"/>
            <w:hideMark/>
          </w:tcPr>
          <w:p w14:paraId="2385F64F"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24,9</w:t>
            </w:r>
          </w:p>
        </w:tc>
        <w:tc>
          <w:tcPr>
            <w:tcW w:w="1440" w:type="dxa"/>
            <w:noWrap/>
            <w:vAlign w:val="center"/>
            <w:hideMark/>
          </w:tcPr>
          <w:p w14:paraId="6547052C"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 xml:space="preserve">  1,9</w:t>
            </w:r>
          </w:p>
        </w:tc>
        <w:tc>
          <w:tcPr>
            <w:tcW w:w="1559" w:type="dxa"/>
            <w:noWrap/>
            <w:vAlign w:val="center"/>
            <w:hideMark/>
          </w:tcPr>
          <w:p w14:paraId="709E45F8"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5,7 %</w:t>
            </w:r>
          </w:p>
        </w:tc>
        <w:tc>
          <w:tcPr>
            <w:tcW w:w="1417" w:type="dxa"/>
            <w:noWrap/>
            <w:vAlign w:val="center"/>
            <w:hideMark/>
          </w:tcPr>
          <w:p w14:paraId="02EF24E6" w14:textId="77777777" w:rsidR="005F0B73" w:rsidRPr="00132BB4" w:rsidRDefault="005F0B73" w:rsidP="005F0B73">
            <w:pPr>
              <w:jc w:val="right"/>
              <w:rPr>
                <w:rFonts w:eastAsia="Calibri" w:cs="Arial"/>
                <w:color w:val="auto"/>
                <w:spacing w:val="0"/>
                <w:sz w:val="20"/>
                <w:szCs w:val="20"/>
                <w:lang w:eastAsia="en-US"/>
              </w:rPr>
            </w:pPr>
            <w:r w:rsidRPr="00132BB4">
              <w:rPr>
                <w:rFonts w:eastAsia="Calibri" w:cs="Arial"/>
                <w:color w:val="auto"/>
                <w:spacing w:val="0"/>
                <w:sz w:val="20"/>
                <w:szCs w:val="20"/>
                <w:lang w:eastAsia="en-US"/>
              </w:rPr>
              <w:t>0,44 %</w:t>
            </w:r>
          </w:p>
        </w:tc>
      </w:tr>
    </w:tbl>
    <w:p w14:paraId="2FE78A3E" w14:textId="77777777" w:rsidR="005F0B73" w:rsidRPr="00F95315" w:rsidRDefault="005F0B73" w:rsidP="005F0B73">
      <w:pPr>
        <w:rPr>
          <w:rFonts w:eastAsiaTheme="minorHAnsi" w:cs="Arial"/>
          <w:b/>
          <w:color w:val="auto"/>
          <w:spacing w:val="0"/>
          <w:sz w:val="22"/>
          <w:szCs w:val="22"/>
          <w:lang w:val="en-ZA" w:eastAsia="en-US"/>
        </w:rPr>
      </w:pPr>
      <w:r w:rsidRPr="00F95315">
        <w:rPr>
          <w:rFonts w:eastAsia="Calibri" w:cs="Arial"/>
          <w:b/>
          <w:bCs/>
          <w:i/>
          <w:sz w:val="22"/>
          <w:szCs w:val="22"/>
          <w14:shadow w14:blurRad="50800" w14:dist="38100" w14:dir="2700000" w14:sx="100000" w14:sy="100000" w14:kx="0" w14:ky="0" w14:algn="tl">
            <w14:srgbClr w14:val="000000">
              <w14:alpha w14:val="60000"/>
            </w14:srgbClr>
          </w14:shadow>
        </w:rPr>
        <w:t xml:space="preserve"> </w:t>
      </w:r>
      <w:r w:rsidRPr="00F95315">
        <w:rPr>
          <w:rFonts w:eastAsiaTheme="minorHAnsi" w:cs="Arial"/>
          <w:b/>
          <w:color w:val="auto"/>
          <w:spacing w:val="0"/>
          <w:sz w:val="22"/>
          <w:szCs w:val="22"/>
          <w:lang w:val="en-ZA" w:eastAsia="en-US"/>
        </w:rPr>
        <w:t>Source: National Treasury (2019)</w:t>
      </w:r>
    </w:p>
    <w:p w14:paraId="60AF2E75" w14:textId="77777777" w:rsidR="00723A33" w:rsidRPr="00F95315" w:rsidRDefault="00723A33" w:rsidP="00723A33">
      <w:pPr>
        <w:pStyle w:val="Char"/>
        <w:spacing w:line="360" w:lineRule="auto"/>
        <w:jc w:val="both"/>
        <w:rPr>
          <w:rFonts w:cs="Arial"/>
          <w:szCs w:val="22"/>
        </w:rPr>
      </w:pPr>
    </w:p>
    <w:p w14:paraId="3B9638B6" w14:textId="77777777" w:rsidR="00723A33" w:rsidRPr="00924781" w:rsidRDefault="00723A33" w:rsidP="00723A33">
      <w:pPr>
        <w:spacing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The Corporate Services sub-programme received the largest allocation of the sub programmes with an allocation of R211.7 million. This shows a nominal increase 7.08 percent from the previous financial year, or a real increase 1.79 percent.</w:t>
      </w:r>
    </w:p>
    <w:p w14:paraId="0D0A81C6" w14:textId="77777777" w:rsidR="00723A33" w:rsidRPr="00924781" w:rsidRDefault="00723A33" w:rsidP="00723A33">
      <w:pPr>
        <w:spacing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p>
    <w:p w14:paraId="672152BB" w14:textId="77777777" w:rsidR="00723A33" w:rsidRPr="00924781" w:rsidRDefault="00723A33" w:rsidP="00723A33">
      <w:pPr>
        <w:spacing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The Ministry sub programme experienced a nominal decrease of 4.5 percent (real decrease of 9.2 percent).</w:t>
      </w:r>
    </w:p>
    <w:p w14:paraId="046FCCEB" w14:textId="77777777" w:rsidR="00723A33" w:rsidRPr="00924781" w:rsidRDefault="00723A33" w:rsidP="00723A33">
      <w:pPr>
        <w:pStyle w:val="Char"/>
        <w:spacing w:line="360" w:lineRule="auto"/>
        <w:jc w:val="both"/>
        <w:rPr>
          <w:rFonts w:ascii="Times New Roman" w:hAnsi="Times New Roman"/>
          <w:sz w:val="24"/>
        </w:rPr>
      </w:pPr>
    </w:p>
    <w:p w14:paraId="501505F2" w14:textId="77777777" w:rsidR="00BF0C07" w:rsidRDefault="00BF0C07">
      <w:pPr>
        <w:spacing w:after="160" w:line="259" w:lineRule="auto"/>
        <w:rPr>
          <w:rFonts w:ascii="Times New Roman" w:eastAsia="Calibri" w:hAnsi="Times New Roman"/>
          <w:b/>
          <w:bCs/>
          <w:i/>
          <w:color w:val="auto"/>
          <w:spacing w:val="0"/>
          <w:sz w:val="24"/>
          <w:szCs w:val="24"/>
          <w:lang w:val="en-US" w:eastAsia="en-US"/>
          <w14:shadow w14:blurRad="50800" w14:dist="38100" w14:dir="2700000" w14:sx="100000" w14:sy="100000" w14:kx="0" w14:ky="0" w14:algn="tl">
            <w14:srgbClr w14:val="000000">
              <w14:alpha w14:val="60000"/>
            </w14:srgbClr>
          </w14:shadow>
        </w:rPr>
      </w:pPr>
      <w:r>
        <w:rPr>
          <w:rFonts w:ascii="Times New Roman" w:hAnsi="Times New Roman"/>
          <w:b/>
          <w:bCs/>
          <w:i/>
          <w:sz w:val="24"/>
          <w:szCs w:val="24"/>
          <w14:shadow w14:blurRad="50800" w14:dist="38100" w14:dir="2700000" w14:sx="100000" w14:sy="100000" w14:kx="0" w14:ky="0" w14:algn="tl">
            <w14:srgbClr w14:val="000000">
              <w14:alpha w14:val="60000"/>
            </w14:srgbClr>
          </w14:shadow>
        </w:rPr>
        <w:br w:type="page"/>
      </w:r>
    </w:p>
    <w:p w14:paraId="5192060E" w14:textId="77777777" w:rsidR="00723A33" w:rsidRPr="00924781" w:rsidRDefault="00B6225F" w:rsidP="00723A33">
      <w:pPr>
        <w:pStyle w:val="ListParagraph"/>
        <w:spacing w:line="360" w:lineRule="auto"/>
        <w:jc w:val="both"/>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lastRenderedPageBreak/>
        <w:t>3.1.1.2</w:t>
      </w:r>
      <w:r w:rsidRPr="00924781">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tab/>
      </w:r>
      <w:r w:rsidR="00D10A08" w:rsidRPr="00924781">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Programme 2: Human Settlements Policy, Strategy</w:t>
      </w:r>
      <w:r w:rsidR="005F0B73" w:rsidRPr="00924781">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 and Planning</w:t>
      </w:r>
    </w:p>
    <w:p w14:paraId="69FF2B90" w14:textId="77777777" w:rsidR="00AA41EB" w:rsidRPr="00924781" w:rsidRDefault="00AA41EB" w:rsidP="00AA41EB">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objectives of Programme 2 are to:</w:t>
      </w:r>
    </w:p>
    <w:p w14:paraId="7D372367" w14:textId="77777777" w:rsidR="00AA41EB" w:rsidRPr="00924781" w:rsidRDefault="00AA41EB" w:rsidP="00AA41EB">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Ensure compliance with frameworks on the governance of human settlements by developing and maintaining policies, programmes and norms and standards for human settlements development on an ongoing basis.</w:t>
      </w:r>
    </w:p>
    <w:p w14:paraId="47561C6E" w14:textId="77777777" w:rsidR="00AA41EB" w:rsidRPr="00924781" w:rsidRDefault="00AA41EB" w:rsidP="00AA41EB">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Promote the sustainable development of human settlements by drafting a new human settlements policy and legislation by March 2020.</w:t>
      </w:r>
    </w:p>
    <w:p w14:paraId="4D8D8519" w14:textId="77777777" w:rsidR="00AA41EB" w:rsidRPr="00924781" w:rsidRDefault="00AA41EB" w:rsidP="00AA41EB">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Facilitate the national rollout of human settlements programmes and related projects by managing and monitoring the planning frameworks and processes of the programmes on an ongoing basis.</w:t>
      </w:r>
    </w:p>
    <w:p w14:paraId="4937E174" w14:textId="77777777" w:rsidR="00AA41EB" w:rsidRPr="00924781" w:rsidRDefault="00AA41EB" w:rsidP="00AA41EB">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Improve cooperation and collaboration in the sector by managing intergovernmental and sector relations with all stakeholders in the value chain of human settlements development and coordinating 32 intergovernmental forums and 14 stakeholder partnerships by March 2022.</w:t>
      </w:r>
    </w:p>
    <w:p w14:paraId="7FD10304" w14:textId="77777777" w:rsidR="00BA5FBA" w:rsidRPr="00924781" w:rsidRDefault="00BA5FBA" w:rsidP="00AA41EB">
      <w:pPr>
        <w:spacing w:line="360" w:lineRule="auto"/>
        <w:jc w:val="both"/>
        <w:rPr>
          <w:rFonts w:ascii="Times New Roman" w:eastAsia="Calibri" w:hAnsi="Times New Roman"/>
          <w:b/>
          <w:sz w:val="24"/>
          <w:szCs w:val="24"/>
          <w14:shadow w14:blurRad="50800" w14:dist="38100" w14:dir="2700000" w14:sx="100000" w14:sy="100000" w14:kx="0" w14:ky="0" w14:algn="tl">
            <w14:srgbClr w14:val="000000">
              <w14:alpha w14:val="60000"/>
            </w14:srgbClr>
          </w14:shadow>
        </w:rPr>
      </w:pPr>
    </w:p>
    <w:p w14:paraId="106DB587" w14:textId="77777777" w:rsidR="00AA41EB" w:rsidRPr="00924781" w:rsidRDefault="00AA41EB" w:rsidP="008C71AB">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TABLE 3: A</w:t>
      </w:r>
      <w:r w:rsidR="00F95315"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L</w:t>
      </w: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LLOCATION TO SUB-PROGRAMMES UNDER PROGRAMME 2</w:t>
      </w:r>
    </w:p>
    <w:tbl>
      <w:tblPr>
        <w:tblStyle w:val="TableGrid"/>
        <w:tblW w:w="10080" w:type="dxa"/>
        <w:tblInd w:w="-455" w:type="dxa"/>
        <w:tblLayout w:type="fixed"/>
        <w:tblLook w:val="04A0" w:firstRow="1" w:lastRow="0" w:firstColumn="1" w:lastColumn="0" w:noHBand="0" w:noVBand="1"/>
      </w:tblPr>
      <w:tblGrid>
        <w:gridCol w:w="2700"/>
        <w:gridCol w:w="992"/>
        <w:gridCol w:w="992"/>
        <w:gridCol w:w="1415"/>
        <w:gridCol w:w="1276"/>
        <w:gridCol w:w="1334"/>
        <w:gridCol w:w="1371"/>
      </w:tblGrid>
      <w:tr w:rsidR="00AA41EB" w:rsidRPr="00F95315" w14:paraId="10341F31" w14:textId="77777777" w:rsidTr="00BF0C07">
        <w:trPr>
          <w:trHeight w:val="765"/>
          <w:tblHeader/>
        </w:trPr>
        <w:tc>
          <w:tcPr>
            <w:tcW w:w="2700" w:type="dxa"/>
            <w:noWrap/>
            <w:hideMark/>
          </w:tcPr>
          <w:p w14:paraId="5BD9C64C" w14:textId="77777777" w:rsidR="00AA41EB" w:rsidRPr="00F95315" w:rsidRDefault="00AA41EB" w:rsidP="00AA41EB">
            <w:pPr>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Programme </w:t>
            </w:r>
          </w:p>
        </w:tc>
        <w:tc>
          <w:tcPr>
            <w:tcW w:w="1984" w:type="dxa"/>
            <w:gridSpan w:val="2"/>
            <w:hideMark/>
          </w:tcPr>
          <w:p w14:paraId="4C992BAC"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Budget</w:t>
            </w:r>
          </w:p>
        </w:tc>
        <w:tc>
          <w:tcPr>
            <w:tcW w:w="1415" w:type="dxa"/>
            <w:vMerge w:val="restart"/>
            <w:vAlign w:val="center"/>
          </w:tcPr>
          <w:p w14:paraId="2B2D4C10"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Nominal </w:t>
            </w:r>
          </w:p>
          <w:p w14:paraId="03CBCED8"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change in 2019/20</w:t>
            </w:r>
          </w:p>
          <w:p w14:paraId="3CCADD74"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(Rand’ million)</w:t>
            </w:r>
          </w:p>
        </w:tc>
        <w:tc>
          <w:tcPr>
            <w:tcW w:w="1276" w:type="dxa"/>
            <w:vMerge w:val="restart"/>
            <w:vAlign w:val="center"/>
          </w:tcPr>
          <w:p w14:paraId="4D9E92B1"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Real</w:t>
            </w:r>
          </w:p>
          <w:p w14:paraId="576E6B30"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change in</w:t>
            </w:r>
          </w:p>
          <w:p w14:paraId="4212F6F1"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2019/20</w:t>
            </w:r>
          </w:p>
          <w:p w14:paraId="6C98419B"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(Rand’ million)</w:t>
            </w:r>
          </w:p>
        </w:tc>
        <w:tc>
          <w:tcPr>
            <w:tcW w:w="1334" w:type="dxa"/>
            <w:vMerge w:val="restart"/>
            <w:vAlign w:val="center"/>
          </w:tcPr>
          <w:p w14:paraId="2819D125"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Nominal </w:t>
            </w:r>
          </w:p>
          <w:p w14:paraId="01793969"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Percent change in 2019/20</w:t>
            </w:r>
          </w:p>
        </w:tc>
        <w:tc>
          <w:tcPr>
            <w:tcW w:w="1371" w:type="dxa"/>
            <w:vMerge w:val="restart"/>
            <w:vAlign w:val="center"/>
          </w:tcPr>
          <w:p w14:paraId="229C10C4"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Real </w:t>
            </w:r>
          </w:p>
          <w:p w14:paraId="583BFBB4"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Percent change in 2019/20</w:t>
            </w:r>
          </w:p>
        </w:tc>
      </w:tr>
      <w:tr w:rsidR="00AA41EB" w:rsidRPr="00F95315" w14:paraId="2B6AE1B6" w14:textId="77777777" w:rsidTr="00BF0C07">
        <w:trPr>
          <w:trHeight w:val="264"/>
        </w:trPr>
        <w:tc>
          <w:tcPr>
            <w:tcW w:w="2700" w:type="dxa"/>
            <w:noWrap/>
            <w:hideMark/>
          </w:tcPr>
          <w:p w14:paraId="3A9D6116" w14:textId="77777777" w:rsidR="00AA41EB" w:rsidRPr="00F95315" w:rsidRDefault="00AA41EB" w:rsidP="00AA41EB">
            <w:pPr>
              <w:rPr>
                <w:rFonts w:eastAsia="Calibri" w:cs="Arial"/>
                <w:color w:val="auto"/>
                <w:spacing w:val="0"/>
                <w:sz w:val="22"/>
                <w:szCs w:val="22"/>
                <w:lang w:eastAsia="en-US"/>
              </w:rPr>
            </w:pPr>
            <w:r w:rsidRPr="00F95315">
              <w:rPr>
                <w:rFonts w:eastAsia="Calibri" w:cs="Arial"/>
                <w:color w:val="auto"/>
                <w:spacing w:val="0"/>
                <w:sz w:val="22"/>
                <w:szCs w:val="22"/>
                <w:lang w:eastAsia="en-US"/>
              </w:rPr>
              <w:t>R million</w:t>
            </w:r>
          </w:p>
        </w:tc>
        <w:tc>
          <w:tcPr>
            <w:tcW w:w="992" w:type="dxa"/>
            <w:noWrap/>
            <w:hideMark/>
          </w:tcPr>
          <w:p w14:paraId="42A24B01"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2018/19</w:t>
            </w:r>
          </w:p>
        </w:tc>
        <w:tc>
          <w:tcPr>
            <w:tcW w:w="992" w:type="dxa"/>
            <w:noWrap/>
            <w:hideMark/>
          </w:tcPr>
          <w:p w14:paraId="6724402D" w14:textId="77777777" w:rsidR="00AA41EB" w:rsidRPr="00F95315" w:rsidRDefault="00AA41EB" w:rsidP="00AA41EB">
            <w:pPr>
              <w:jc w:val="center"/>
              <w:rPr>
                <w:rFonts w:eastAsia="Calibri" w:cs="Arial"/>
                <w:color w:val="auto"/>
                <w:spacing w:val="0"/>
                <w:sz w:val="22"/>
                <w:szCs w:val="22"/>
                <w:lang w:eastAsia="en-US"/>
              </w:rPr>
            </w:pPr>
            <w:r w:rsidRPr="00F95315">
              <w:rPr>
                <w:rFonts w:eastAsia="Calibri" w:cs="Arial"/>
                <w:color w:val="auto"/>
                <w:spacing w:val="0"/>
                <w:sz w:val="22"/>
                <w:szCs w:val="22"/>
                <w:lang w:eastAsia="en-US"/>
              </w:rPr>
              <w:t>2019/20</w:t>
            </w:r>
          </w:p>
        </w:tc>
        <w:tc>
          <w:tcPr>
            <w:tcW w:w="1415" w:type="dxa"/>
            <w:vMerge/>
          </w:tcPr>
          <w:p w14:paraId="74BEDDE1" w14:textId="77777777" w:rsidR="00AA41EB" w:rsidRPr="00F95315" w:rsidRDefault="00AA41EB" w:rsidP="00AA41EB">
            <w:pPr>
              <w:rPr>
                <w:rFonts w:eastAsia="Calibri" w:cs="Arial"/>
                <w:color w:val="auto"/>
                <w:spacing w:val="0"/>
                <w:sz w:val="22"/>
                <w:szCs w:val="22"/>
                <w:lang w:eastAsia="en-US"/>
              </w:rPr>
            </w:pPr>
          </w:p>
        </w:tc>
        <w:tc>
          <w:tcPr>
            <w:tcW w:w="1276" w:type="dxa"/>
            <w:vMerge/>
          </w:tcPr>
          <w:p w14:paraId="5952F148" w14:textId="77777777" w:rsidR="00AA41EB" w:rsidRPr="00F95315" w:rsidRDefault="00AA41EB" w:rsidP="00AA41EB">
            <w:pPr>
              <w:rPr>
                <w:rFonts w:eastAsia="Calibri" w:cs="Arial"/>
                <w:color w:val="auto"/>
                <w:spacing w:val="0"/>
                <w:sz w:val="22"/>
                <w:szCs w:val="22"/>
                <w:lang w:eastAsia="en-US"/>
              </w:rPr>
            </w:pPr>
          </w:p>
        </w:tc>
        <w:tc>
          <w:tcPr>
            <w:tcW w:w="1334" w:type="dxa"/>
            <w:vMerge/>
          </w:tcPr>
          <w:p w14:paraId="5DFF2A66" w14:textId="77777777" w:rsidR="00AA41EB" w:rsidRPr="00F95315" w:rsidRDefault="00AA41EB" w:rsidP="00AA41EB">
            <w:pPr>
              <w:rPr>
                <w:rFonts w:eastAsia="Calibri" w:cs="Arial"/>
                <w:color w:val="auto"/>
                <w:spacing w:val="0"/>
                <w:sz w:val="22"/>
                <w:szCs w:val="22"/>
                <w:lang w:eastAsia="en-US"/>
              </w:rPr>
            </w:pPr>
          </w:p>
        </w:tc>
        <w:tc>
          <w:tcPr>
            <w:tcW w:w="1371" w:type="dxa"/>
            <w:vMerge/>
          </w:tcPr>
          <w:p w14:paraId="210A83B1" w14:textId="77777777" w:rsidR="00AA41EB" w:rsidRPr="00F95315" w:rsidRDefault="00AA41EB" w:rsidP="00AA41EB">
            <w:pPr>
              <w:rPr>
                <w:rFonts w:eastAsia="Calibri" w:cs="Arial"/>
                <w:color w:val="auto"/>
                <w:spacing w:val="0"/>
                <w:sz w:val="22"/>
                <w:szCs w:val="22"/>
                <w:lang w:eastAsia="en-US"/>
              </w:rPr>
            </w:pPr>
          </w:p>
        </w:tc>
      </w:tr>
      <w:tr w:rsidR="00AA41EB" w:rsidRPr="00F95315" w14:paraId="0FDE2818" w14:textId="77777777" w:rsidTr="00BF0C07">
        <w:trPr>
          <w:trHeight w:val="264"/>
        </w:trPr>
        <w:tc>
          <w:tcPr>
            <w:tcW w:w="2700" w:type="dxa"/>
            <w:noWrap/>
            <w:vAlign w:val="center"/>
            <w:hideMark/>
          </w:tcPr>
          <w:p w14:paraId="3E61D6BD" w14:textId="77777777" w:rsidR="00AA41EB" w:rsidRPr="00F95315" w:rsidRDefault="00AA41EB" w:rsidP="00AA41EB">
            <w:pPr>
              <w:rPr>
                <w:rFonts w:eastAsia="Calibri" w:cs="Arial"/>
                <w:color w:val="auto"/>
                <w:spacing w:val="0"/>
                <w:sz w:val="22"/>
                <w:szCs w:val="22"/>
                <w:lang w:eastAsia="en-US"/>
              </w:rPr>
            </w:pPr>
            <w:r w:rsidRPr="00F95315">
              <w:rPr>
                <w:rFonts w:eastAsia="Calibri" w:cs="Arial"/>
                <w:color w:val="auto"/>
                <w:spacing w:val="0"/>
                <w:sz w:val="22"/>
                <w:szCs w:val="22"/>
                <w:lang w:eastAsia="en-US"/>
              </w:rPr>
              <w:t>Management for Policy, Strategy and Planning</w:t>
            </w:r>
          </w:p>
        </w:tc>
        <w:tc>
          <w:tcPr>
            <w:tcW w:w="992" w:type="dxa"/>
            <w:noWrap/>
            <w:vAlign w:val="center"/>
            <w:hideMark/>
          </w:tcPr>
          <w:p w14:paraId="4A77DF69"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8,1</w:t>
            </w:r>
          </w:p>
        </w:tc>
        <w:tc>
          <w:tcPr>
            <w:tcW w:w="992" w:type="dxa"/>
            <w:noWrap/>
            <w:vAlign w:val="center"/>
            <w:hideMark/>
          </w:tcPr>
          <w:p w14:paraId="73C2954F"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8,4</w:t>
            </w:r>
          </w:p>
        </w:tc>
        <w:tc>
          <w:tcPr>
            <w:tcW w:w="1415" w:type="dxa"/>
            <w:noWrap/>
            <w:vAlign w:val="center"/>
            <w:hideMark/>
          </w:tcPr>
          <w:p w14:paraId="0AE6F38F"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0,3</w:t>
            </w:r>
          </w:p>
        </w:tc>
        <w:tc>
          <w:tcPr>
            <w:tcW w:w="1276" w:type="dxa"/>
            <w:noWrap/>
            <w:vAlign w:val="center"/>
            <w:hideMark/>
          </w:tcPr>
          <w:p w14:paraId="591A722A"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0,1</w:t>
            </w:r>
          </w:p>
        </w:tc>
        <w:tc>
          <w:tcPr>
            <w:tcW w:w="1334" w:type="dxa"/>
            <w:noWrap/>
            <w:vAlign w:val="center"/>
            <w:hideMark/>
          </w:tcPr>
          <w:p w14:paraId="669A9E75"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3,70% </w:t>
            </w:r>
          </w:p>
        </w:tc>
        <w:tc>
          <w:tcPr>
            <w:tcW w:w="1371" w:type="dxa"/>
            <w:noWrap/>
            <w:vAlign w:val="center"/>
            <w:hideMark/>
          </w:tcPr>
          <w:p w14:paraId="54BDC93E"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-1,42%</w:t>
            </w:r>
          </w:p>
        </w:tc>
      </w:tr>
      <w:tr w:rsidR="00AA41EB" w:rsidRPr="00F95315" w14:paraId="686B9DC1" w14:textId="77777777" w:rsidTr="00BF0C07">
        <w:trPr>
          <w:trHeight w:val="264"/>
        </w:trPr>
        <w:tc>
          <w:tcPr>
            <w:tcW w:w="2700" w:type="dxa"/>
            <w:noWrap/>
            <w:vAlign w:val="center"/>
            <w:hideMark/>
          </w:tcPr>
          <w:p w14:paraId="58B4C8A8" w14:textId="77777777" w:rsidR="00AA41EB" w:rsidRPr="00F95315" w:rsidRDefault="00AA41EB" w:rsidP="00AA41EB">
            <w:pPr>
              <w:rPr>
                <w:rFonts w:eastAsia="Calibri" w:cs="Arial"/>
                <w:color w:val="auto"/>
                <w:spacing w:val="0"/>
                <w:sz w:val="22"/>
                <w:szCs w:val="22"/>
                <w:lang w:eastAsia="en-US"/>
              </w:rPr>
            </w:pPr>
            <w:r w:rsidRPr="00F95315">
              <w:rPr>
                <w:rFonts w:eastAsia="Calibri" w:cs="Arial"/>
                <w:color w:val="auto"/>
                <w:spacing w:val="0"/>
                <w:sz w:val="22"/>
                <w:szCs w:val="22"/>
                <w:lang w:eastAsia="en-US"/>
              </w:rPr>
              <w:t>Human Settlements Policy Frameworks</w:t>
            </w:r>
          </w:p>
        </w:tc>
        <w:tc>
          <w:tcPr>
            <w:tcW w:w="992" w:type="dxa"/>
            <w:noWrap/>
            <w:vAlign w:val="center"/>
            <w:hideMark/>
          </w:tcPr>
          <w:p w14:paraId="2A82A7C1"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33,4</w:t>
            </w:r>
          </w:p>
        </w:tc>
        <w:tc>
          <w:tcPr>
            <w:tcW w:w="992" w:type="dxa"/>
            <w:noWrap/>
            <w:vAlign w:val="center"/>
            <w:hideMark/>
          </w:tcPr>
          <w:p w14:paraId="716A5EF8"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38,7</w:t>
            </w:r>
          </w:p>
        </w:tc>
        <w:tc>
          <w:tcPr>
            <w:tcW w:w="1415" w:type="dxa"/>
            <w:noWrap/>
            <w:vAlign w:val="center"/>
            <w:hideMark/>
          </w:tcPr>
          <w:p w14:paraId="18CA315A"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5,3</w:t>
            </w:r>
          </w:p>
        </w:tc>
        <w:tc>
          <w:tcPr>
            <w:tcW w:w="1276" w:type="dxa"/>
            <w:noWrap/>
            <w:vAlign w:val="center"/>
            <w:hideMark/>
          </w:tcPr>
          <w:p w14:paraId="1FD41AD8"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3,4</w:t>
            </w:r>
          </w:p>
        </w:tc>
        <w:tc>
          <w:tcPr>
            <w:tcW w:w="1334" w:type="dxa"/>
            <w:noWrap/>
            <w:vAlign w:val="center"/>
            <w:hideMark/>
          </w:tcPr>
          <w:p w14:paraId="27169F72"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15,87% </w:t>
            </w:r>
          </w:p>
        </w:tc>
        <w:tc>
          <w:tcPr>
            <w:tcW w:w="1371" w:type="dxa"/>
            <w:noWrap/>
            <w:vAlign w:val="center"/>
            <w:hideMark/>
          </w:tcPr>
          <w:p w14:paraId="29EF9D20"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10,14% </w:t>
            </w:r>
          </w:p>
        </w:tc>
      </w:tr>
      <w:tr w:rsidR="00AA41EB" w:rsidRPr="00F95315" w14:paraId="6BA1C6A1" w14:textId="77777777" w:rsidTr="00BF0C07">
        <w:trPr>
          <w:trHeight w:val="264"/>
        </w:trPr>
        <w:tc>
          <w:tcPr>
            <w:tcW w:w="2700" w:type="dxa"/>
            <w:noWrap/>
            <w:vAlign w:val="center"/>
            <w:hideMark/>
          </w:tcPr>
          <w:p w14:paraId="038FD9BF" w14:textId="77777777" w:rsidR="00AA41EB" w:rsidRPr="00F95315" w:rsidRDefault="00AA41EB" w:rsidP="00AA41EB">
            <w:pPr>
              <w:rPr>
                <w:rFonts w:eastAsia="Calibri" w:cs="Arial"/>
                <w:color w:val="auto"/>
                <w:spacing w:val="0"/>
                <w:sz w:val="22"/>
                <w:szCs w:val="22"/>
                <w:lang w:eastAsia="en-US"/>
              </w:rPr>
            </w:pPr>
            <w:r w:rsidRPr="00F95315">
              <w:rPr>
                <w:rFonts w:eastAsia="Calibri" w:cs="Arial"/>
                <w:color w:val="auto"/>
                <w:spacing w:val="0"/>
                <w:sz w:val="22"/>
                <w:szCs w:val="22"/>
                <w:lang w:eastAsia="en-US"/>
              </w:rPr>
              <w:t>Human Settlements Strategy and Planning</w:t>
            </w:r>
          </w:p>
        </w:tc>
        <w:tc>
          <w:tcPr>
            <w:tcW w:w="992" w:type="dxa"/>
            <w:noWrap/>
            <w:vAlign w:val="center"/>
            <w:hideMark/>
          </w:tcPr>
          <w:p w14:paraId="40A125B1"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51,2</w:t>
            </w:r>
          </w:p>
        </w:tc>
        <w:tc>
          <w:tcPr>
            <w:tcW w:w="992" w:type="dxa"/>
            <w:noWrap/>
            <w:vAlign w:val="center"/>
            <w:hideMark/>
          </w:tcPr>
          <w:p w14:paraId="012FBEB6"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57,6</w:t>
            </w:r>
          </w:p>
        </w:tc>
        <w:tc>
          <w:tcPr>
            <w:tcW w:w="1415" w:type="dxa"/>
            <w:noWrap/>
            <w:vAlign w:val="center"/>
            <w:hideMark/>
          </w:tcPr>
          <w:p w14:paraId="1FB40391"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6,4</w:t>
            </w:r>
          </w:p>
        </w:tc>
        <w:tc>
          <w:tcPr>
            <w:tcW w:w="1276" w:type="dxa"/>
            <w:noWrap/>
            <w:vAlign w:val="center"/>
            <w:hideMark/>
          </w:tcPr>
          <w:p w14:paraId="57F99509"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3,6</w:t>
            </w:r>
          </w:p>
        </w:tc>
        <w:tc>
          <w:tcPr>
            <w:tcW w:w="1334" w:type="dxa"/>
            <w:noWrap/>
            <w:vAlign w:val="center"/>
            <w:hideMark/>
          </w:tcPr>
          <w:p w14:paraId="1CD76AED"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12,50% </w:t>
            </w:r>
          </w:p>
        </w:tc>
        <w:tc>
          <w:tcPr>
            <w:tcW w:w="1371" w:type="dxa"/>
            <w:noWrap/>
            <w:vAlign w:val="center"/>
            <w:hideMark/>
          </w:tcPr>
          <w:p w14:paraId="0F2DD06E"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6,94% </w:t>
            </w:r>
          </w:p>
        </w:tc>
      </w:tr>
      <w:tr w:rsidR="00AA41EB" w:rsidRPr="00F95315" w14:paraId="4F3A56C3" w14:textId="77777777" w:rsidTr="00BF0C07">
        <w:trPr>
          <w:trHeight w:val="264"/>
        </w:trPr>
        <w:tc>
          <w:tcPr>
            <w:tcW w:w="2700" w:type="dxa"/>
            <w:noWrap/>
            <w:vAlign w:val="center"/>
            <w:hideMark/>
          </w:tcPr>
          <w:p w14:paraId="384DF0F2" w14:textId="77777777" w:rsidR="00AA41EB" w:rsidRPr="00F95315" w:rsidRDefault="00AA41EB" w:rsidP="00AA41EB">
            <w:pPr>
              <w:rPr>
                <w:rFonts w:eastAsia="Calibri" w:cs="Arial"/>
                <w:color w:val="auto"/>
                <w:spacing w:val="0"/>
                <w:sz w:val="22"/>
                <w:szCs w:val="22"/>
                <w:lang w:eastAsia="en-US"/>
              </w:rPr>
            </w:pPr>
            <w:r w:rsidRPr="00F95315">
              <w:rPr>
                <w:rFonts w:eastAsia="Calibri" w:cs="Arial"/>
                <w:color w:val="auto"/>
                <w:spacing w:val="0"/>
                <w:sz w:val="22"/>
                <w:szCs w:val="22"/>
                <w:lang w:eastAsia="en-US"/>
              </w:rPr>
              <w:t>TOTAL</w:t>
            </w:r>
          </w:p>
        </w:tc>
        <w:tc>
          <w:tcPr>
            <w:tcW w:w="992" w:type="dxa"/>
            <w:noWrap/>
            <w:vAlign w:val="center"/>
            <w:hideMark/>
          </w:tcPr>
          <w:p w14:paraId="21214178"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92,7</w:t>
            </w:r>
          </w:p>
        </w:tc>
        <w:tc>
          <w:tcPr>
            <w:tcW w:w="992" w:type="dxa"/>
            <w:noWrap/>
            <w:vAlign w:val="center"/>
            <w:hideMark/>
          </w:tcPr>
          <w:p w14:paraId="13D94BFF"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104,7</w:t>
            </w:r>
          </w:p>
        </w:tc>
        <w:tc>
          <w:tcPr>
            <w:tcW w:w="1415" w:type="dxa"/>
            <w:noWrap/>
            <w:vAlign w:val="center"/>
            <w:hideMark/>
          </w:tcPr>
          <w:p w14:paraId="12454058"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12,0</w:t>
            </w:r>
          </w:p>
        </w:tc>
        <w:tc>
          <w:tcPr>
            <w:tcW w:w="1276" w:type="dxa"/>
            <w:noWrap/>
            <w:vAlign w:val="center"/>
            <w:hideMark/>
          </w:tcPr>
          <w:p w14:paraId="05C2271F"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  6,8</w:t>
            </w:r>
          </w:p>
        </w:tc>
        <w:tc>
          <w:tcPr>
            <w:tcW w:w="1334" w:type="dxa"/>
            <w:noWrap/>
            <w:vAlign w:val="center"/>
            <w:hideMark/>
          </w:tcPr>
          <w:p w14:paraId="046377C1"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12,9% </w:t>
            </w:r>
          </w:p>
        </w:tc>
        <w:tc>
          <w:tcPr>
            <w:tcW w:w="1371" w:type="dxa"/>
            <w:noWrap/>
            <w:vAlign w:val="center"/>
            <w:hideMark/>
          </w:tcPr>
          <w:p w14:paraId="76F5D005" w14:textId="77777777" w:rsidR="00AA41EB" w:rsidRPr="00F95315" w:rsidRDefault="00AA41EB" w:rsidP="00AA41EB">
            <w:pPr>
              <w:jc w:val="right"/>
              <w:rPr>
                <w:rFonts w:eastAsia="Calibri" w:cs="Arial"/>
                <w:color w:val="auto"/>
                <w:spacing w:val="0"/>
                <w:sz w:val="22"/>
                <w:szCs w:val="22"/>
                <w:lang w:eastAsia="en-US"/>
              </w:rPr>
            </w:pPr>
            <w:r w:rsidRPr="00F95315">
              <w:rPr>
                <w:rFonts w:eastAsia="Calibri" w:cs="Arial"/>
                <w:color w:val="auto"/>
                <w:spacing w:val="0"/>
                <w:sz w:val="22"/>
                <w:szCs w:val="22"/>
                <w:lang w:eastAsia="en-US"/>
              </w:rPr>
              <w:t xml:space="preserve">7,36% </w:t>
            </w:r>
          </w:p>
        </w:tc>
      </w:tr>
    </w:tbl>
    <w:p w14:paraId="0C1F55ED" w14:textId="77777777" w:rsidR="00AA41EB" w:rsidRPr="00F95315" w:rsidRDefault="00AA41EB" w:rsidP="00AA41EB">
      <w:pPr>
        <w:spacing w:after="160" w:line="259" w:lineRule="auto"/>
        <w:jc w:val="both"/>
        <w:rPr>
          <w:rFonts w:eastAsia="Calibri" w:cs="Arial"/>
          <w:color w:val="auto"/>
          <w:spacing w:val="0"/>
          <w:sz w:val="22"/>
          <w:szCs w:val="22"/>
          <w:lang w:eastAsia="en-US"/>
        </w:rPr>
      </w:pPr>
    </w:p>
    <w:p w14:paraId="29302BD5" w14:textId="77777777" w:rsidR="00AA41EB" w:rsidRPr="00924781" w:rsidRDefault="00AA41EB" w:rsidP="008C71AB">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lastRenderedPageBreak/>
        <w:t xml:space="preserve">Programme 2 received an allocation of R104.7 million in 2019/20, compared to R92.7 million the previous year. This represents a nominal increase of 12.9 percent increase (7.36 percent when adjusted for inflation). </w:t>
      </w:r>
    </w:p>
    <w:p w14:paraId="380E4FD7" w14:textId="77777777" w:rsidR="00F45561" w:rsidRPr="00924781" w:rsidRDefault="00F45561" w:rsidP="008C71AB">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1819AD32" w14:textId="77777777" w:rsidR="00F45561" w:rsidRPr="00924781" w:rsidRDefault="00AA41EB" w:rsidP="008C71AB">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The largest allocation was made to the Human Settlements Strategy and Planning sub-programme, with an allocation of R57.6 million. This represents a nominal increase of 12.5 percent from the previous year</w:t>
      </w:r>
      <w:r w:rsidR="00F45561"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 (6.94 percent real increase). </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Human Settlements Policy Frameworks sub-programme experienced a nominal increase of 15.8 percent, or, when adjusted for inflation, a real increase of 10.1 percent. </w:t>
      </w:r>
    </w:p>
    <w:p w14:paraId="2C161295" w14:textId="77777777" w:rsidR="00AA41EB" w:rsidRPr="00924781" w:rsidRDefault="00AA41EB" w:rsidP="008C71AB">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However, the Management for Policy, Strategy and Planning sub-programme’s allocation did not keep track of inflation, and thus experienced a real decline of 1.42 percent.</w:t>
      </w:r>
    </w:p>
    <w:p w14:paraId="65D3B98A" w14:textId="77777777" w:rsidR="00EC73A2" w:rsidRPr="00F95315" w:rsidRDefault="00EC73A2" w:rsidP="00AA41EB">
      <w:pPr>
        <w:spacing w:after="160" w:line="259" w:lineRule="auto"/>
        <w:jc w:val="both"/>
        <w:rPr>
          <w:rFonts w:eastAsia="Calibri" w:cs="Arial"/>
          <w:color w:val="auto"/>
          <w:spacing w:val="0"/>
          <w:sz w:val="22"/>
          <w:szCs w:val="22"/>
          <w:lang w:eastAsia="en-US"/>
        </w:rPr>
      </w:pPr>
    </w:p>
    <w:p w14:paraId="0681D40E" w14:textId="77777777" w:rsidR="00EC73A2" w:rsidRPr="00924781" w:rsidRDefault="00EC73A2" w:rsidP="00EC73A2">
      <w:pPr>
        <w:spacing w:after="160" w:line="259" w:lineRule="auto"/>
        <w:rPr>
          <w:rFonts w:ascii="Times New Roman" w:eastAsia="Calibri" w:hAnsi="Times New Roman"/>
          <w:b/>
          <w:color w:val="auto"/>
          <w:spacing w:val="0"/>
          <w:sz w:val="24"/>
          <w:szCs w:val="24"/>
          <w:lang w:eastAsia="en-US"/>
        </w:rPr>
      </w:pPr>
      <w:r w:rsidRPr="00924781">
        <w:rPr>
          <w:rFonts w:ascii="Times New Roman" w:eastAsia="Calibri" w:hAnsi="Times New Roman"/>
          <w:b/>
          <w:color w:val="auto"/>
          <w:spacing w:val="0"/>
          <w:sz w:val="24"/>
          <w:szCs w:val="24"/>
          <w:lang w:eastAsia="en-US"/>
        </w:rPr>
        <w:t>TABLE 4: ALLOCATION TO SUB-PROGRAMMES UNDER PROGRAMME 3</w:t>
      </w:r>
    </w:p>
    <w:tbl>
      <w:tblPr>
        <w:tblStyle w:val="TableGrid"/>
        <w:tblW w:w="10260" w:type="dxa"/>
        <w:tblInd w:w="-635" w:type="dxa"/>
        <w:tblLayout w:type="fixed"/>
        <w:tblLook w:val="04A0" w:firstRow="1" w:lastRow="0" w:firstColumn="1" w:lastColumn="0" w:noHBand="0" w:noVBand="1"/>
      </w:tblPr>
      <w:tblGrid>
        <w:gridCol w:w="2552"/>
        <w:gridCol w:w="1276"/>
        <w:gridCol w:w="1417"/>
        <w:gridCol w:w="1276"/>
        <w:gridCol w:w="1417"/>
        <w:gridCol w:w="1062"/>
        <w:gridCol w:w="1260"/>
      </w:tblGrid>
      <w:tr w:rsidR="00EC73A2" w:rsidRPr="00132BB4" w14:paraId="766E269A" w14:textId="77777777" w:rsidTr="00BF0C07">
        <w:trPr>
          <w:trHeight w:val="765"/>
        </w:trPr>
        <w:tc>
          <w:tcPr>
            <w:tcW w:w="2552" w:type="dxa"/>
            <w:noWrap/>
            <w:hideMark/>
          </w:tcPr>
          <w:p w14:paraId="3DB0C64C" w14:textId="77777777" w:rsidR="00EC73A2" w:rsidRPr="00132BB4" w:rsidRDefault="00EC73A2" w:rsidP="00EC73A2">
            <w:pPr>
              <w:rPr>
                <w:rFonts w:eastAsia="Calibri" w:cs="Arial"/>
                <w:color w:val="auto"/>
                <w:spacing w:val="0"/>
                <w:lang w:eastAsia="en-US"/>
              </w:rPr>
            </w:pPr>
            <w:r w:rsidRPr="00132BB4">
              <w:rPr>
                <w:rFonts w:eastAsia="Calibri" w:cs="Arial"/>
                <w:color w:val="auto"/>
                <w:spacing w:val="0"/>
                <w:lang w:eastAsia="en-US"/>
              </w:rPr>
              <w:t>Programme</w:t>
            </w:r>
          </w:p>
        </w:tc>
        <w:tc>
          <w:tcPr>
            <w:tcW w:w="2693" w:type="dxa"/>
            <w:gridSpan w:val="2"/>
            <w:hideMark/>
          </w:tcPr>
          <w:p w14:paraId="41B427B4"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Budget</w:t>
            </w:r>
          </w:p>
        </w:tc>
        <w:tc>
          <w:tcPr>
            <w:tcW w:w="1276" w:type="dxa"/>
            <w:vMerge w:val="restart"/>
            <w:vAlign w:val="center"/>
            <w:hideMark/>
          </w:tcPr>
          <w:p w14:paraId="3763F2EB"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Nominal change in 2019/20</w:t>
            </w:r>
          </w:p>
          <w:p w14:paraId="106AE2A3"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(Rand’ million)</w:t>
            </w:r>
          </w:p>
        </w:tc>
        <w:tc>
          <w:tcPr>
            <w:tcW w:w="1417" w:type="dxa"/>
            <w:vMerge w:val="restart"/>
            <w:vAlign w:val="center"/>
            <w:hideMark/>
          </w:tcPr>
          <w:p w14:paraId="6F8542B5"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 xml:space="preserve">Real </w:t>
            </w:r>
          </w:p>
          <w:p w14:paraId="665CFC22"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change in 2019/20</w:t>
            </w:r>
          </w:p>
          <w:p w14:paraId="1841913A"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(Rand’ million)</w:t>
            </w:r>
          </w:p>
        </w:tc>
        <w:tc>
          <w:tcPr>
            <w:tcW w:w="1062" w:type="dxa"/>
            <w:vMerge w:val="restart"/>
            <w:vAlign w:val="center"/>
            <w:hideMark/>
          </w:tcPr>
          <w:p w14:paraId="266D0EA0"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 xml:space="preserve">Nominal Percent </w:t>
            </w:r>
          </w:p>
          <w:p w14:paraId="40D6DE93"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change in 2019/20</w:t>
            </w:r>
          </w:p>
        </w:tc>
        <w:tc>
          <w:tcPr>
            <w:tcW w:w="1260" w:type="dxa"/>
            <w:vMerge w:val="restart"/>
            <w:vAlign w:val="center"/>
            <w:hideMark/>
          </w:tcPr>
          <w:p w14:paraId="0E258E10"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 xml:space="preserve">Real </w:t>
            </w:r>
          </w:p>
          <w:p w14:paraId="51C7BB6D"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Percent change in 2019/20</w:t>
            </w:r>
          </w:p>
        </w:tc>
      </w:tr>
      <w:tr w:rsidR="00EC73A2" w:rsidRPr="00132BB4" w14:paraId="24E06B76" w14:textId="77777777" w:rsidTr="00BF0C07">
        <w:trPr>
          <w:trHeight w:val="264"/>
        </w:trPr>
        <w:tc>
          <w:tcPr>
            <w:tcW w:w="2552" w:type="dxa"/>
            <w:noWrap/>
            <w:hideMark/>
          </w:tcPr>
          <w:p w14:paraId="7ACBD242" w14:textId="77777777" w:rsidR="00EC73A2" w:rsidRPr="00132BB4" w:rsidRDefault="00EC73A2" w:rsidP="00EC73A2">
            <w:pPr>
              <w:rPr>
                <w:rFonts w:eastAsia="Calibri" w:cs="Arial"/>
                <w:color w:val="auto"/>
                <w:spacing w:val="0"/>
                <w:lang w:eastAsia="en-US"/>
              </w:rPr>
            </w:pPr>
            <w:r w:rsidRPr="00132BB4">
              <w:rPr>
                <w:rFonts w:eastAsia="Calibri" w:cs="Arial"/>
                <w:color w:val="auto"/>
                <w:spacing w:val="0"/>
                <w:lang w:eastAsia="en-US"/>
              </w:rPr>
              <w:t>R million</w:t>
            </w:r>
          </w:p>
        </w:tc>
        <w:tc>
          <w:tcPr>
            <w:tcW w:w="1276" w:type="dxa"/>
            <w:noWrap/>
            <w:hideMark/>
          </w:tcPr>
          <w:p w14:paraId="784E38F7"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2018/19</w:t>
            </w:r>
          </w:p>
        </w:tc>
        <w:tc>
          <w:tcPr>
            <w:tcW w:w="1417" w:type="dxa"/>
            <w:noWrap/>
            <w:hideMark/>
          </w:tcPr>
          <w:p w14:paraId="6BEC59D5" w14:textId="77777777" w:rsidR="00EC73A2" w:rsidRPr="00132BB4" w:rsidRDefault="00EC73A2" w:rsidP="00EC73A2">
            <w:pPr>
              <w:jc w:val="center"/>
              <w:rPr>
                <w:rFonts w:eastAsia="Calibri" w:cs="Arial"/>
                <w:color w:val="auto"/>
                <w:spacing w:val="0"/>
                <w:lang w:eastAsia="en-US"/>
              </w:rPr>
            </w:pPr>
            <w:r w:rsidRPr="00132BB4">
              <w:rPr>
                <w:rFonts w:eastAsia="Calibri" w:cs="Arial"/>
                <w:color w:val="auto"/>
                <w:spacing w:val="0"/>
                <w:lang w:eastAsia="en-US"/>
              </w:rPr>
              <w:t>2019/20</w:t>
            </w:r>
          </w:p>
        </w:tc>
        <w:tc>
          <w:tcPr>
            <w:tcW w:w="1276" w:type="dxa"/>
            <w:vMerge/>
            <w:hideMark/>
          </w:tcPr>
          <w:p w14:paraId="653F3531" w14:textId="77777777" w:rsidR="00EC73A2" w:rsidRPr="00132BB4" w:rsidRDefault="00EC73A2" w:rsidP="00EC73A2">
            <w:pPr>
              <w:rPr>
                <w:rFonts w:eastAsia="Calibri" w:cs="Arial"/>
                <w:color w:val="auto"/>
                <w:spacing w:val="0"/>
                <w:lang w:eastAsia="en-US"/>
              </w:rPr>
            </w:pPr>
          </w:p>
        </w:tc>
        <w:tc>
          <w:tcPr>
            <w:tcW w:w="1417" w:type="dxa"/>
            <w:vMerge/>
            <w:hideMark/>
          </w:tcPr>
          <w:p w14:paraId="44E87989" w14:textId="77777777" w:rsidR="00EC73A2" w:rsidRPr="00132BB4" w:rsidRDefault="00EC73A2" w:rsidP="00EC73A2">
            <w:pPr>
              <w:rPr>
                <w:rFonts w:eastAsia="Calibri" w:cs="Arial"/>
                <w:color w:val="auto"/>
                <w:spacing w:val="0"/>
                <w:lang w:eastAsia="en-US"/>
              </w:rPr>
            </w:pPr>
          </w:p>
        </w:tc>
        <w:tc>
          <w:tcPr>
            <w:tcW w:w="1062" w:type="dxa"/>
            <w:vMerge/>
            <w:hideMark/>
          </w:tcPr>
          <w:p w14:paraId="258B435B" w14:textId="77777777" w:rsidR="00EC73A2" w:rsidRPr="00132BB4" w:rsidRDefault="00EC73A2" w:rsidP="00EC73A2">
            <w:pPr>
              <w:rPr>
                <w:rFonts w:eastAsia="Calibri" w:cs="Arial"/>
                <w:color w:val="auto"/>
                <w:spacing w:val="0"/>
                <w:lang w:eastAsia="en-US"/>
              </w:rPr>
            </w:pPr>
          </w:p>
        </w:tc>
        <w:tc>
          <w:tcPr>
            <w:tcW w:w="1260" w:type="dxa"/>
            <w:vMerge/>
            <w:hideMark/>
          </w:tcPr>
          <w:p w14:paraId="6AA3B194" w14:textId="77777777" w:rsidR="00EC73A2" w:rsidRPr="00132BB4" w:rsidRDefault="00EC73A2" w:rsidP="00EC73A2">
            <w:pPr>
              <w:rPr>
                <w:rFonts w:eastAsia="Calibri" w:cs="Arial"/>
                <w:color w:val="auto"/>
                <w:spacing w:val="0"/>
                <w:lang w:eastAsia="en-US"/>
              </w:rPr>
            </w:pPr>
          </w:p>
        </w:tc>
      </w:tr>
      <w:tr w:rsidR="00EC73A2" w:rsidRPr="00132BB4" w14:paraId="22B4619D" w14:textId="77777777" w:rsidTr="00BF0C07">
        <w:trPr>
          <w:trHeight w:val="264"/>
        </w:trPr>
        <w:tc>
          <w:tcPr>
            <w:tcW w:w="2552" w:type="dxa"/>
            <w:noWrap/>
            <w:vAlign w:val="center"/>
            <w:hideMark/>
          </w:tcPr>
          <w:p w14:paraId="50874889" w14:textId="77777777" w:rsidR="00EC73A2" w:rsidRPr="00132BB4" w:rsidRDefault="00EC73A2" w:rsidP="00EC73A2">
            <w:pPr>
              <w:rPr>
                <w:rFonts w:eastAsia="Calibri" w:cs="Arial"/>
                <w:color w:val="auto"/>
                <w:spacing w:val="0"/>
                <w:lang w:eastAsia="en-US"/>
              </w:rPr>
            </w:pPr>
            <w:r w:rsidRPr="00132BB4">
              <w:rPr>
                <w:rFonts w:eastAsia="Calibri" w:cs="Arial"/>
                <w:color w:val="auto"/>
                <w:spacing w:val="0"/>
                <w:lang w:eastAsia="en-US"/>
              </w:rPr>
              <w:t>Management for Human Settlements Delivery Support</w:t>
            </w:r>
          </w:p>
        </w:tc>
        <w:tc>
          <w:tcPr>
            <w:tcW w:w="1276" w:type="dxa"/>
            <w:noWrap/>
            <w:vAlign w:val="center"/>
            <w:hideMark/>
          </w:tcPr>
          <w:p w14:paraId="70F69239"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  9,0</w:t>
            </w:r>
          </w:p>
        </w:tc>
        <w:tc>
          <w:tcPr>
            <w:tcW w:w="1417" w:type="dxa"/>
            <w:noWrap/>
            <w:vAlign w:val="center"/>
            <w:hideMark/>
          </w:tcPr>
          <w:p w14:paraId="3E548879"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  8,9</w:t>
            </w:r>
          </w:p>
        </w:tc>
        <w:tc>
          <w:tcPr>
            <w:tcW w:w="1276" w:type="dxa"/>
            <w:noWrap/>
            <w:vAlign w:val="center"/>
            <w:hideMark/>
          </w:tcPr>
          <w:p w14:paraId="4C0455DC"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0,1</w:t>
            </w:r>
          </w:p>
        </w:tc>
        <w:tc>
          <w:tcPr>
            <w:tcW w:w="1417" w:type="dxa"/>
            <w:noWrap/>
            <w:vAlign w:val="center"/>
            <w:hideMark/>
          </w:tcPr>
          <w:p w14:paraId="5D5EB2D6"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0,5</w:t>
            </w:r>
          </w:p>
        </w:tc>
        <w:tc>
          <w:tcPr>
            <w:tcW w:w="1062" w:type="dxa"/>
            <w:noWrap/>
            <w:vAlign w:val="center"/>
            <w:hideMark/>
          </w:tcPr>
          <w:p w14:paraId="14FF9463"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-1,11%</w:t>
            </w:r>
          </w:p>
        </w:tc>
        <w:tc>
          <w:tcPr>
            <w:tcW w:w="1260" w:type="dxa"/>
            <w:noWrap/>
            <w:vAlign w:val="center"/>
            <w:hideMark/>
          </w:tcPr>
          <w:p w14:paraId="2BEC48DF"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-6,00 </w:t>
            </w:r>
          </w:p>
        </w:tc>
      </w:tr>
      <w:tr w:rsidR="00EC73A2" w:rsidRPr="00132BB4" w14:paraId="43B5672A" w14:textId="77777777" w:rsidTr="00BF0C07">
        <w:trPr>
          <w:trHeight w:val="264"/>
        </w:trPr>
        <w:tc>
          <w:tcPr>
            <w:tcW w:w="2552" w:type="dxa"/>
            <w:noWrap/>
            <w:vAlign w:val="center"/>
            <w:hideMark/>
          </w:tcPr>
          <w:p w14:paraId="7D118C43" w14:textId="77777777" w:rsidR="00EC73A2" w:rsidRPr="00132BB4" w:rsidRDefault="00EC73A2" w:rsidP="00EC73A2">
            <w:pPr>
              <w:rPr>
                <w:rFonts w:eastAsia="Calibri" w:cs="Arial"/>
                <w:color w:val="auto"/>
                <w:spacing w:val="0"/>
                <w:lang w:eastAsia="en-US"/>
              </w:rPr>
            </w:pPr>
            <w:r w:rsidRPr="00132BB4">
              <w:rPr>
                <w:rFonts w:eastAsia="Calibri" w:cs="Arial"/>
                <w:color w:val="auto"/>
                <w:spacing w:val="0"/>
                <w:lang w:eastAsia="en-US"/>
              </w:rPr>
              <w:t>Programme Management Unit</w:t>
            </w:r>
          </w:p>
        </w:tc>
        <w:tc>
          <w:tcPr>
            <w:tcW w:w="1276" w:type="dxa"/>
            <w:noWrap/>
            <w:vAlign w:val="center"/>
            <w:hideMark/>
          </w:tcPr>
          <w:p w14:paraId="253EEA71"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  189,0</w:t>
            </w:r>
          </w:p>
        </w:tc>
        <w:tc>
          <w:tcPr>
            <w:tcW w:w="1417" w:type="dxa"/>
            <w:noWrap/>
            <w:vAlign w:val="center"/>
            <w:hideMark/>
          </w:tcPr>
          <w:p w14:paraId="79B4AD84"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  202,2</w:t>
            </w:r>
          </w:p>
        </w:tc>
        <w:tc>
          <w:tcPr>
            <w:tcW w:w="1276" w:type="dxa"/>
            <w:noWrap/>
            <w:vAlign w:val="center"/>
            <w:hideMark/>
          </w:tcPr>
          <w:p w14:paraId="23719133"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  13,2</w:t>
            </w:r>
          </w:p>
        </w:tc>
        <w:tc>
          <w:tcPr>
            <w:tcW w:w="1417" w:type="dxa"/>
            <w:noWrap/>
            <w:vAlign w:val="center"/>
            <w:hideMark/>
          </w:tcPr>
          <w:p w14:paraId="56DC08E6"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  3,2</w:t>
            </w:r>
          </w:p>
        </w:tc>
        <w:tc>
          <w:tcPr>
            <w:tcW w:w="1062" w:type="dxa"/>
            <w:noWrap/>
            <w:vAlign w:val="center"/>
            <w:hideMark/>
          </w:tcPr>
          <w:p w14:paraId="524E424F"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6,98% </w:t>
            </w:r>
          </w:p>
        </w:tc>
        <w:tc>
          <w:tcPr>
            <w:tcW w:w="1260" w:type="dxa"/>
            <w:noWrap/>
            <w:vAlign w:val="center"/>
            <w:hideMark/>
          </w:tcPr>
          <w:p w14:paraId="1F52B9FA"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1,70 </w:t>
            </w:r>
          </w:p>
        </w:tc>
      </w:tr>
      <w:tr w:rsidR="00EC73A2" w:rsidRPr="00132BB4" w14:paraId="5F0A2AFF" w14:textId="77777777" w:rsidTr="00BF0C07">
        <w:trPr>
          <w:trHeight w:val="264"/>
        </w:trPr>
        <w:tc>
          <w:tcPr>
            <w:tcW w:w="2552" w:type="dxa"/>
            <w:noWrap/>
            <w:vAlign w:val="center"/>
            <w:hideMark/>
          </w:tcPr>
          <w:p w14:paraId="21438AB4" w14:textId="77777777" w:rsidR="00EC73A2" w:rsidRPr="00132BB4" w:rsidRDefault="00EC73A2" w:rsidP="00EC73A2">
            <w:pPr>
              <w:rPr>
                <w:rFonts w:eastAsia="Calibri" w:cs="Arial"/>
                <w:color w:val="auto"/>
                <w:spacing w:val="0"/>
                <w:lang w:eastAsia="en-US"/>
              </w:rPr>
            </w:pPr>
            <w:r w:rsidRPr="00132BB4">
              <w:rPr>
                <w:rFonts w:eastAsia="Calibri" w:cs="Arial"/>
                <w:color w:val="auto"/>
                <w:spacing w:val="0"/>
                <w:lang w:eastAsia="en-US"/>
              </w:rPr>
              <w:t>Chief of Operations</w:t>
            </w:r>
          </w:p>
        </w:tc>
        <w:tc>
          <w:tcPr>
            <w:tcW w:w="1276" w:type="dxa"/>
            <w:noWrap/>
            <w:vAlign w:val="center"/>
            <w:hideMark/>
          </w:tcPr>
          <w:p w14:paraId="372CEA11"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  48,0</w:t>
            </w:r>
          </w:p>
        </w:tc>
        <w:tc>
          <w:tcPr>
            <w:tcW w:w="1417" w:type="dxa"/>
            <w:noWrap/>
            <w:vAlign w:val="center"/>
            <w:hideMark/>
          </w:tcPr>
          <w:p w14:paraId="511C5D60"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  47,6</w:t>
            </w:r>
          </w:p>
        </w:tc>
        <w:tc>
          <w:tcPr>
            <w:tcW w:w="1276" w:type="dxa"/>
            <w:noWrap/>
            <w:vAlign w:val="center"/>
            <w:hideMark/>
          </w:tcPr>
          <w:p w14:paraId="4837057D"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0,4</w:t>
            </w:r>
          </w:p>
        </w:tc>
        <w:tc>
          <w:tcPr>
            <w:tcW w:w="1417" w:type="dxa"/>
            <w:noWrap/>
            <w:vAlign w:val="center"/>
            <w:hideMark/>
          </w:tcPr>
          <w:p w14:paraId="01DA6F8B"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2,8</w:t>
            </w:r>
          </w:p>
        </w:tc>
        <w:tc>
          <w:tcPr>
            <w:tcW w:w="1062" w:type="dxa"/>
            <w:noWrap/>
            <w:vAlign w:val="center"/>
            <w:hideMark/>
          </w:tcPr>
          <w:p w14:paraId="33F5E6E3"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-0,83% </w:t>
            </w:r>
          </w:p>
        </w:tc>
        <w:tc>
          <w:tcPr>
            <w:tcW w:w="1260" w:type="dxa"/>
            <w:noWrap/>
            <w:vAlign w:val="center"/>
            <w:hideMark/>
          </w:tcPr>
          <w:p w14:paraId="7BA75F91"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-5,74% </w:t>
            </w:r>
          </w:p>
        </w:tc>
      </w:tr>
      <w:tr w:rsidR="00EC73A2" w:rsidRPr="00132BB4" w14:paraId="6987FECC" w14:textId="77777777" w:rsidTr="00BF0C07">
        <w:trPr>
          <w:trHeight w:val="264"/>
        </w:trPr>
        <w:tc>
          <w:tcPr>
            <w:tcW w:w="2552" w:type="dxa"/>
            <w:noWrap/>
            <w:vAlign w:val="center"/>
            <w:hideMark/>
          </w:tcPr>
          <w:p w14:paraId="24205314" w14:textId="77777777" w:rsidR="00EC73A2" w:rsidRPr="00132BB4" w:rsidRDefault="00EC73A2" w:rsidP="00EC73A2">
            <w:pPr>
              <w:rPr>
                <w:rFonts w:eastAsia="Calibri" w:cs="Arial"/>
                <w:color w:val="auto"/>
                <w:spacing w:val="0"/>
                <w:lang w:eastAsia="en-US"/>
              </w:rPr>
            </w:pPr>
            <w:r w:rsidRPr="00132BB4">
              <w:rPr>
                <w:rFonts w:eastAsia="Calibri" w:cs="Arial"/>
                <w:color w:val="auto"/>
                <w:spacing w:val="0"/>
                <w:lang w:eastAsia="en-US"/>
              </w:rPr>
              <w:t>TOTAL</w:t>
            </w:r>
          </w:p>
        </w:tc>
        <w:tc>
          <w:tcPr>
            <w:tcW w:w="1276" w:type="dxa"/>
            <w:noWrap/>
            <w:vAlign w:val="center"/>
            <w:hideMark/>
          </w:tcPr>
          <w:p w14:paraId="071FE2F6"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  246,0</w:t>
            </w:r>
          </w:p>
        </w:tc>
        <w:tc>
          <w:tcPr>
            <w:tcW w:w="1417" w:type="dxa"/>
            <w:noWrap/>
            <w:vAlign w:val="center"/>
            <w:hideMark/>
          </w:tcPr>
          <w:p w14:paraId="6D52AFC9"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  258,7</w:t>
            </w:r>
          </w:p>
        </w:tc>
        <w:tc>
          <w:tcPr>
            <w:tcW w:w="1276" w:type="dxa"/>
            <w:noWrap/>
            <w:vAlign w:val="center"/>
            <w:hideMark/>
          </w:tcPr>
          <w:p w14:paraId="182EA99C"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  12,7</w:t>
            </w:r>
          </w:p>
        </w:tc>
        <w:tc>
          <w:tcPr>
            <w:tcW w:w="1417" w:type="dxa"/>
            <w:noWrap/>
            <w:vAlign w:val="center"/>
            <w:hideMark/>
          </w:tcPr>
          <w:p w14:paraId="512D7540"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0,1</w:t>
            </w:r>
          </w:p>
        </w:tc>
        <w:tc>
          <w:tcPr>
            <w:tcW w:w="1062" w:type="dxa"/>
            <w:noWrap/>
            <w:vAlign w:val="center"/>
            <w:hideMark/>
          </w:tcPr>
          <w:p w14:paraId="57F7FF33"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5,2 %</w:t>
            </w:r>
          </w:p>
        </w:tc>
        <w:tc>
          <w:tcPr>
            <w:tcW w:w="1260" w:type="dxa"/>
            <w:noWrap/>
            <w:vAlign w:val="center"/>
            <w:hideMark/>
          </w:tcPr>
          <w:p w14:paraId="60063765" w14:textId="77777777" w:rsidR="00EC73A2" w:rsidRPr="00132BB4" w:rsidRDefault="00EC73A2" w:rsidP="00EC73A2">
            <w:pPr>
              <w:jc w:val="right"/>
              <w:rPr>
                <w:rFonts w:eastAsia="Calibri" w:cs="Arial"/>
                <w:color w:val="auto"/>
                <w:spacing w:val="0"/>
                <w:lang w:eastAsia="en-US"/>
              </w:rPr>
            </w:pPr>
            <w:r w:rsidRPr="00132BB4">
              <w:rPr>
                <w:rFonts w:eastAsia="Calibri" w:cs="Arial"/>
                <w:color w:val="auto"/>
                <w:spacing w:val="0"/>
                <w:lang w:eastAsia="en-US"/>
              </w:rPr>
              <w:t xml:space="preserve">-0,04% </w:t>
            </w:r>
          </w:p>
        </w:tc>
      </w:tr>
    </w:tbl>
    <w:p w14:paraId="2146C189" w14:textId="77777777" w:rsidR="00EC73A2" w:rsidRPr="00F95315" w:rsidRDefault="00EC73A2" w:rsidP="00AA41EB">
      <w:pPr>
        <w:spacing w:after="160" w:line="259" w:lineRule="auto"/>
        <w:jc w:val="both"/>
        <w:rPr>
          <w:rFonts w:eastAsia="Calibri" w:cs="Arial"/>
          <w:color w:val="auto"/>
          <w:spacing w:val="0"/>
          <w:sz w:val="22"/>
          <w:szCs w:val="22"/>
          <w:lang w:eastAsia="en-US"/>
        </w:rPr>
      </w:pPr>
    </w:p>
    <w:p w14:paraId="327B6E0D" w14:textId="77777777" w:rsidR="00EC73A2" w:rsidRPr="00924781" w:rsidRDefault="00EC73A2" w:rsidP="008C71AB">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The Programme Management Unit is the only sub-programme experiencing a positive growth from the previous financial year (6.98 percent nominal and real increase 0.04 percent). </w:t>
      </w:r>
    </w:p>
    <w:p w14:paraId="4439B4ED" w14:textId="77777777" w:rsidR="00EC73A2" w:rsidRPr="00924781" w:rsidRDefault="00EC73A2" w:rsidP="008C71AB">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Both the Management for Human Settlements Delivery Support and the Chief of Operations sub-programmes experienced nominal and real declines from the previous year. </w:t>
      </w:r>
    </w:p>
    <w:p w14:paraId="74DEB785" w14:textId="77777777" w:rsidR="00EC73A2" w:rsidRPr="00924781" w:rsidRDefault="00EC73A2" w:rsidP="008C71AB">
      <w:pPr>
        <w:pStyle w:val="Char"/>
        <w:numPr>
          <w:ilvl w:val="0"/>
          <w:numId w:val="25"/>
        </w:numP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lastRenderedPageBreak/>
        <w:t>Over the past three years, Programme 3 has consistently underperformed when compared to other programmes. For the 2017/18 financial year, only 31.5 percent of targets were met, while 76.32 percent of the final appropriated budget for the programme was spent. This is compared to 2016/17, where 41.2 percent of targets were met and 69.7 percent of the final appropriated budget was spent. There has therefore been an improvement in expenditure, but a regression in terms of performance.</w:t>
      </w:r>
    </w:p>
    <w:p w14:paraId="1F3357D7" w14:textId="77777777" w:rsidR="00EC73A2" w:rsidRPr="00924781" w:rsidRDefault="00EC73A2" w:rsidP="00EC73A2">
      <w:pPr>
        <w:spacing w:after="160" w:line="259" w:lineRule="auto"/>
        <w:rPr>
          <w:rFonts w:ascii="Times New Roman" w:eastAsiaTheme="minorHAnsi" w:hAnsi="Times New Roman"/>
          <w:b/>
          <w:color w:val="FF0000"/>
          <w:spacing w:val="0"/>
          <w:sz w:val="24"/>
          <w:szCs w:val="24"/>
          <w:lang w:val="en-ZA" w:eastAsia="en-US"/>
        </w:rPr>
      </w:pPr>
    </w:p>
    <w:p w14:paraId="0FBD8396" w14:textId="77777777" w:rsidR="00EC73A2" w:rsidRPr="00924781" w:rsidRDefault="00EC73A2" w:rsidP="00EC73A2">
      <w:pPr>
        <w:spacing w:after="160" w:line="259" w:lineRule="auto"/>
        <w:rPr>
          <w:rFonts w:ascii="Times New Roman" w:eastAsia="Calibri" w:hAnsi="Times New Roman"/>
          <w:b/>
          <w:color w:val="auto"/>
          <w:spacing w:val="0"/>
          <w:sz w:val="24"/>
          <w:szCs w:val="24"/>
          <w:lang w:eastAsia="en-US"/>
        </w:rPr>
      </w:pPr>
      <w:r w:rsidRPr="00924781">
        <w:rPr>
          <w:rFonts w:ascii="Times New Roman" w:eastAsia="Calibri" w:hAnsi="Times New Roman"/>
          <w:b/>
          <w:color w:val="auto"/>
          <w:spacing w:val="0"/>
          <w:sz w:val="24"/>
          <w:szCs w:val="24"/>
          <w:lang w:eastAsia="en-US"/>
        </w:rPr>
        <w:t>Targets that were not met during 2017/18 include:</w:t>
      </w:r>
    </w:p>
    <w:p w14:paraId="746DD8F9" w14:textId="77777777" w:rsidR="00EC73A2" w:rsidRPr="00924781" w:rsidRDefault="00EC73A2" w:rsidP="00EC73A2">
      <w:pPr>
        <w:autoSpaceDE w:val="0"/>
        <w:autoSpaceDN w:val="0"/>
        <w:adjustRightInd w:val="0"/>
        <w:jc w:val="both"/>
        <w:rPr>
          <w:rFonts w:ascii="Times New Roman" w:eastAsia="Batang" w:hAnsi="Times New Roman"/>
          <w:color w:val="000000"/>
          <w:spacing w:val="0"/>
          <w:sz w:val="24"/>
          <w:szCs w:val="24"/>
          <w:lang w:val="en-ZA" w:eastAsia="en-ZA"/>
        </w:rPr>
      </w:pPr>
    </w:p>
    <w:p w14:paraId="3529AD3D" w14:textId="77777777" w:rsidR="00EC73A2" w:rsidRPr="00924781" w:rsidRDefault="00EC73A2" w:rsidP="00F45561">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 xml:space="preserve">Out of a target of 50 catalytic projects, only 48 were approved, thereby not achieving the target. </w:t>
      </w:r>
    </w:p>
    <w:p w14:paraId="1AE7BC7A" w14:textId="77777777" w:rsidR="00EC73A2" w:rsidRPr="00924781" w:rsidRDefault="00EC73A2" w:rsidP="00F45561">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 xml:space="preserve">Out of a planned 400 informal settlements that were planned to be assessed (feasibility studies conducted), only 61 were assessed. Reasons for the deviation were not clear. </w:t>
      </w:r>
    </w:p>
    <w:p w14:paraId="47365A74" w14:textId="77777777" w:rsidR="00EC73A2" w:rsidRPr="00924781" w:rsidRDefault="00EC73A2" w:rsidP="00F45561">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 xml:space="preserve">Out of a planned 300 informal settlement upgrading plans that had to be developed, only 109 were completed. Reasons for the deviation were not clear. </w:t>
      </w:r>
    </w:p>
    <w:p w14:paraId="0B38EE95" w14:textId="77777777" w:rsidR="00EC73A2" w:rsidRPr="00924781" w:rsidRDefault="00EC73A2" w:rsidP="00F45561">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 xml:space="preserve">Out of a planned 1700 non-statutory military veterans that had to be adequately housed, only 480 received adequate housing. A lack of prioritisation on the delivery of housing for military veterans by provinces was offered as an explanation for the poor performance. </w:t>
      </w:r>
    </w:p>
    <w:p w14:paraId="222586D3" w14:textId="77777777" w:rsidR="00EC73A2" w:rsidRPr="00924781" w:rsidRDefault="00EC73A2" w:rsidP="00F45561">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 xml:space="preserve">Out of a target of 6000 social housing units, only 3 535 units were delivered. Poor performance by the provinces was offered as an explanation for the poor performance for this target. </w:t>
      </w:r>
    </w:p>
    <w:p w14:paraId="14B20514" w14:textId="77777777" w:rsidR="00EC73A2" w:rsidRPr="00924781" w:rsidRDefault="00EC73A2" w:rsidP="00AA41EB">
      <w:pPr>
        <w:spacing w:after="160" w:line="259" w:lineRule="auto"/>
        <w:jc w:val="both"/>
        <w:rPr>
          <w:rFonts w:ascii="Times New Roman" w:eastAsia="Calibri" w:hAnsi="Times New Roman"/>
          <w:color w:val="auto"/>
          <w:spacing w:val="0"/>
          <w:sz w:val="24"/>
          <w:szCs w:val="24"/>
          <w:lang w:eastAsia="en-US"/>
        </w:rPr>
      </w:pPr>
    </w:p>
    <w:p w14:paraId="0C797B21" w14:textId="77777777" w:rsidR="00D10A08" w:rsidRPr="00924781" w:rsidRDefault="00B6225F"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i/>
          <w:sz w:val="24"/>
          <w14:shadow w14:blurRad="50800" w14:dist="38100" w14:dir="2700000" w14:sx="100000" w14:sy="100000" w14:kx="0" w14:ky="0" w14:algn="tl">
            <w14:srgbClr w14:val="000000">
              <w14:alpha w14:val="60000"/>
            </w14:srgbClr>
          </w14:shadow>
        </w:rPr>
        <w:t>3.1.1.3</w:t>
      </w:r>
      <w:r w:rsidRPr="00924781">
        <w:rPr>
          <w:rFonts w:ascii="Times New Roman" w:eastAsia="Calibri" w:hAnsi="Times New Roman"/>
          <w:b/>
          <w:bCs w:val="0"/>
          <w:i/>
          <w:sz w:val="24"/>
          <w14:shadow w14:blurRad="50800" w14:dist="38100" w14:dir="2700000" w14:sx="100000" w14:sy="100000" w14:kx="0" w14:ky="0" w14:algn="tl">
            <w14:srgbClr w14:val="000000">
              <w14:alpha w14:val="60000"/>
            </w14:srgbClr>
          </w14:shadow>
        </w:rPr>
        <w:tab/>
      </w:r>
      <w:r w:rsidR="002951D5" w:rsidRPr="00924781">
        <w:rPr>
          <w:rFonts w:ascii="Times New Roman" w:eastAsia="Calibri" w:hAnsi="Times New Roman"/>
          <w:b/>
          <w:bCs w:val="0"/>
          <w:i/>
          <w:sz w:val="24"/>
          <w14:shadow w14:blurRad="50800" w14:dist="38100" w14:dir="2700000" w14:sx="100000" w14:sy="100000" w14:kx="0" w14:ky="0" w14:algn="tl">
            <w14:srgbClr w14:val="000000">
              <w14:alpha w14:val="60000"/>
            </w14:srgbClr>
          </w14:shadow>
        </w:rPr>
        <w:tab/>
      </w:r>
      <w:r w:rsidR="00D10A08"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Programme 3: Programme Monitoring and Delivery Support</w:t>
      </w:r>
    </w:p>
    <w:p w14:paraId="2B755092" w14:textId="77777777" w:rsidR="00EC73A2" w:rsidRPr="00924781" w:rsidRDefault="00EC73A2" w:rsidP="008C71AB">
      <w:pPr>
        <w:autoSpaceDE w:val="0"/>
        <w:autoSpaceDN w:val="0"/>
        <w:adjustRightInd w:val="0"/>
        <w:spacing w:after="160"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lastRenderedPageBreak/>
        <w:t>The purpose of Programme 3 is to support the execution, monitor and evaluate the implementation of human settlements programmes and projects, as well as to manage the building of capacity and skills in the sector and provide</w:t>
      </w:r>
      <w:r w:rsidR="008C71AB"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 xml:space="preserve"> oversight of public entities. </w:t>
      </w: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The objectives of Programme 3 are to:</w:t>
      </w:r>
    </w:p>
    <w:p w14:paraId="4EA0B1A0" w14:textId="77777777" w:rsidR="00EC73A2" w:rsidRPr="00924781" w:rsidRDefault="00EC73A2" w:rsidP="008C71AB">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Improve the delivery rate of housing projects, including blocked projects and informal settlements upgrading projects, by providing technical support to all provinces and municipalities for the planning and implementation of strategic programmes and projects on an ongoing basis;</w:t>
      </w:r>
    </w:p>
    <w:p w14:paraId="05CB36FF" w14:textId="77777777" w:rsidR="00EC73A2" w:rsidRPr="00924781" w:rsidRDefault="00EC73A2" w:rsidP="008C71AB">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Promote better human settlements outcomes in informal settlements by implementing the National Upgrading Support Programme (NUSP) in 117 municipalities over the next three years;</w:t>
      </w:r>
    </w:p>
    <w:p w14:paraId="60098F61" w14:textId="77777777" w:rsidR="00EC73A2" w:rsidRPr="00924781" w:rsidRDefault="00EC73A2" w:rsidP="008C71AB">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Ensure and verify the delivery of quality housing opportunities by monitoring and evaluating the performance of provinces and municipalities, as reported in the housing subsidy system, through project-level site visits, review sessions and workshops on a quarterly basis;</w:t>
      </w:r>
    </w:p>
    <w:p w14:paraId="69CE65A9" w14:textId="77777777" w:rsidR="00EC73A2" w:rsidRPr="00924781" w:rsidRDefault="00EC73A2" w:rsidP="008C71AB">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Develop professional and institutional capacity to support roles and responsibilities at the provincial and municipal spheres by managing training and skills development programmes for officials and communities on an ongoing basis; and</w:t>
      </w:r>
    </w:p>
    <w:p w14:paraId="2E1EF40A" w14:textId="77777777" w:rsidR="00EC73A2" w:rsidRPr="00924781" w:rsidRDefault="00EC73A2" w:rsidP="008C71AB">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Manage the performance of public entities, provinces and municipalities by monitoring the performance of human settlements development and housing programmes on a quarterly basis.</w:t>
      </w:r>
    </w:p>
    <w:p w14:paraId="7484EFD5" w14:textId="77777777" w:rsidR="00F45561" w:rsidRPr="00924781" w:rsidRDefault="00F45561"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2AF1B42B" w14:textId="77777777" w:rsidR="00D10A08" w:rsidRPr="00924781" w:rsidRDefault="00B6225F"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3.1.1.4</w:t>
      </w: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r>
      <w:r w:rsidR="002951D5"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r>
      <w:r w:rsidR="00D10A08"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Programme 4: Housing Development Finance</w:t>
      </w:r>
      <w:r w:rsidR="00D10A08"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r>
    </w:p>
    <w:p w14:paraId="15999DC8" w14:textId="77777777" w:rsidR="00EC73A2" w:rsidRPr="00924781" w:rsidRDefault="00EC73A2" w:rsidP="008C71AB">
      <w:pPr>
        <w:autoSpaceDE w:val="0"/>
        <w:autoSpaceDN w:val="0"/>
        <w:adjustRightInd w:val="0"/>
        <w:spacing w:after="160"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The purpose of Programme 4 is to fund the delivery of housing and human settlements programmes, and manage all matters related to improving access to housing finance and developing partnerships with the financial sector. This is the core service delivery mandate of the Department, as it received 97.56 percent of the total allocation to the Department.</w:t>
      </w:r>
    </w:p>
    <w:p w14:paraId="4146B20F" w14:textId="77777777" w:rsidR="00EC73A2" w:rsidRPr="00924781" w:rsidRDefault="00EC73A2" w:rsidP="00F45561">
      <w:pPr>
        <w:spacing w:after="160" w:line="360" w:lineRule="auto"/>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The objectives of the Programme 4 are as follow:</w:t>
      </w:r>
    </w:p>
    <w:p w14:paraId="5029D053" w14:textId="77777777" w:rsidR="00EC73A2" w:rsidRPr="00924781" w:rsidRDefault="00EC73A2" w:rsidP="008C71AB">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Manage the performance of provinces and municipalities by monitoring the expenditure and non-financial performance of human settlements development and housing programmes on a monthly and quarterly basis;</w:t>
      </w:r>
    </w:p>
    <w:p w14:paraId="6F29E90D" w14:textId="77777777" w:rsidR="00EC73A2" w:rsidRPr="00924781" w:rsidRDefault="00EC73A2" w:rsidP="008C71AB">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Accelerate the delivery of housing and human settlements by providing funding from the Human Settlements Development Grant (HSDG), the Urban Settlements Development Grant (USDG), the Informal Settlements Upgrading Partnership Grant (ISUPG), the Title Deeds Restoration Grant (TDRG) and the Emergency Housing Grant (EHG) and transfers to public entities on an ongoing basis;</w:t>
      </w:r>
    </w:p>
    <w:p w14:paraId="35DE7CF4" w14:textId="77777777" w:rsidR="00EC73A2" w:rsidRPr="00924781" w:rsidRDefault="00EC73A2" w:rsidP="008C71AB">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Improve access to housing finance by collaborating with the private sector and related entities to develop mechanisms to increase market penetration and provides loans to low- and middle-income households on an ongoing basis; and</w:t>
      </w:r>
    </w:p>
    <w:p w14:paraId="336C5F67" w14:textId="77777777" w:rsidR="00EC73A2" w:rsidRPr="00924781" w:rsidRDefault="00EC73A2" w:rsidP="008C71AB">
      <w:pPr>
        <w:numPr>
          <w:ilvl w:val="0"/>
          <w:numId w:val="31"/>
        </w:numPr>
        <w:autoSpaceDE w:val="0"/>
        <w:autoSpaceDN w:val="0"/>
        <w:adjustRightInd w:val="0"/>
        <w:spacing w:after="160" w:line="360" w:lineRule="auto"/>
        <w:ind w:left="714" w:hanging="357"/>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Ensure equal access to housing finance through monitoring the lending practices of the financial sector by publishing an annual report on mortgage finance.</w:t>
      </w:r>
    </w:p>
    <w:p w14:paraId="5F94C630" w14:textId="77777777" w:rsidR="00EC73A2" w:rsidRPr="00924781" w:rsidRDefault="00EC73A2" w:rsidP="008C71AB">
      <w:pPr>
        <w:spacing w:after="160" w:line="259" w:lineRule="auto"/>
        <w:rPr>
          <w:rFonts w:ascii="Times New Roman" w:eastAsia="Calibri" w:hAnsi="Times New Roman"/>
          <w:b/>
          <w:color w:val="auto"/>
          <w:spacing w:val="0"/>
          <w:sz w:val="24"/>
          <w:szCs w:val="24"/>
          <w:lang w:eastAsia="en-US"/>
        </w:rPr>
      </w:pPr>
    </w:p>
    <w:p w14:paraId="6983FC1F" w14:textId="77777777" w:rsidR="00EC73A2" w:rsidRPr="00924781" w:rsidRDefault="00EC73A2" w:rsidP="008C71AB">
      <w:pPr>
        <w:spacing w:after="160" w:line="259" w:lineRule="auto"/>
        <w:rPr>
          <w:rFonts w:ascii="Times New Roman" w:eastAsia="Calibri" w:hAnsi="Times New Roman"/>
          <w:b/>
          <w:color w:val="auto"/>
          <w:spacing w:val="0"/>
          <w:sz w:val="24"/>
          <w:szCs w:val="24"/>
          <w:lang w:eastAsia="en-US"/>
        </w:rPr>
      </w:pPr>
      <w:r w:rsidRPr="00924781">
        <w:rPr>
          <w:rFonts w:ascii="Times New Roman" w:eastAsia="Calibri" w:hAnsi="Times New Roman"/>
          <w:b/>
          <w:color w:val="auto"/>
          <w:spacing w:val="0"/>
          <w:sz w:val="24"/>
          <w:szCs w:val="24"/>
          <w:lang w:eastAsia="en-US"/>
        </w:rPr>
        <w:t>TABLE 5: ALLOCATION TO SUB-PROGRAMMES UNDER PROGRAMME 4</w:t>
      </w:r>
      <w:r w:rsidR="00D10A08" w:rsidRPr="00924781">
        <w:rPr>
          <w:rFonts w:ascii="Times New Roman" w:eastAsia="Calibri" w:hAnsi="Times New Roman"/>
          <w:b/>
          <w:color w:val="auto"/>
          <w:spacing w:val="0"/>
          <w:sz w:val="24"/>
          <w:szCs w:val="24"/>
          <w:lang w:eastAsia="en-US"/>
        </w:rPr>
        <w:t xml:space="preserve">  </w:t>
      </w:r>
    </w:p>
    <w:tbl>
      <w:tblPr>
        <w:tblStyle w:val="TableGrid"/>
        <w:tblW w:w="10890" w:type="dxa"/>
        <w:tblInd w:w="-545" w:type="dxa"/>
        <w:tblLayout w:type="fixed"/>
        <w:tblLook w:val="04A0" w:firstRow="1" w:lastRow="0" w:firstColumn="1" w:lastColumn="0" w:noHBand="0" w:noVBand="1"/>
      </w:tblPr>
      <w:tblGrid>
        <w:gridCol w:w="2970"/>
        <w:gridCol w:w="1276"/>
        <w:gridCol w:w="1276"/>
        <w:gridCol w:w="1341"/>
        <w:gridCol w:w="1417"/>
        <w:gridCol w:w="1276"/>
        <w:gridCol w:w="1334"/>
      </w:tblGrid>
      <w:tr w:rsidR="00EC73A2" w:rsidRPr="00F45561" w14:paraId="31BB41AB" w14:textId="77777777" w:rsidTr="00BF0C07">
        <w:trPr>
          <w:trHeight w:val="765"/>
          <w:tblHeader/>
        </w:trPr>
        <w:tc>
          <w:tcPr>
            <w:tcW w:w="2970" w:type="dxa"/>
            <w:noWrap/>
            <w:vAlign w:val="center"/>
            <w:hideMark/>
          </w:tcPr>
          <w:p w14:paraId="076C258E" w14:textId="77777777" w:rsidR="00EC73A2" w:rsidRPr="00F45561" w:rsidRDefault="00EC73A2" w:rsidP="00EC73A2">
            <w:pPr>
              <w:rPr>
                <w:rFonts w:eastAsia="Batang" w:cs="Arial"/>
                <w:color w:val="000000"/>
                <w:spacing w:val="0"/>
                <w:lang w:val="en-ZA" w:eastAsia="en-ZA"/>
              </w:rPr>
            </w:pPr>
            <w:r w:rsidRPr="00F45561">
              <w:rPr>
                <w:rFonts w:eastAsia="Batang" w:cs="Arial"/>
                <w:color w:val="000000"/>
                <w:spacing w:val="0"/>
                <w:lang w:val="en-ZA" w:eastAsia="en-ZA"/>
              </w:rPr>
              <w:t>Programme</w:t>
            </w:r>
          </w:p>
        </w:tc>
        <w:tc>
          <w:tcPr>
            <w:tcW w:w="2552" w:type="dxa"/>
            <w:gridSpan w:val="2"/>
            <w:vAlign w:val="center"/>
            <w:hideMark/>
          </w:tcPr>
          <w:p w14:paraId="5AE96877" w14:textId="77777777" w:rsidR="00EC73A2" w:rsidRPr="00F45561" w:rsidRDefault="00EC73A2" w:rsidP="00EC73A2">
            <w:pPr>
              <w:jc w:val="center"/>
              <w:rPr>
                <w:rFonts w:eastAsia="Batang" w:cs="Arial"/>
                <w:color w:val="000000"/>
                <w:spacing w:val="0"/>
                <w:lang w:val="en-ZA" w:eastAsia="en-ZA"/>
              </w:rPr>
            </w:pPr>
            <w:r w:rsidRPr="00F45561">
              <w:rPr>
                <w:rFonts w:eastAsia="Batang" w:cs="Arial"/>
                <w:color w:val="000000"/>
                <w:spacing w:val="0"/>
                <w:lang w:val="en-ZA" w:eastAsia="en-ZA"/>
              </w:rPr>
              <w:t>Budget</w:t>
            </w:r>
          </w:p>
        </w:tc>
        <w:tc>
          <w:tcPr>
            <w:tcW w:w="1341" w:type="dxa"/>
            <w:vMerge w:val="restart"/>
            <w:vAlign w:val="center"/>
            <w:hideMark/>
          </w:tcPr>
          <w:p w14:paraId="475979B1" w14:textId="77777777" w:rsidR="00EC73A2" w:rsidRPr="00F45561" w:rsidRDefault="00EC73A2" w:rsidP="00EC73A2">
            <w:pPr>
              <w:jc w:val="center"/>
              <w:rPr>
                <w:rFonts w:eastAsia="Batang" w:cs="Arial"/>
                <w:color w:val="000000"/>
                <w:spacing w:val="0"/>
                <w:lang w:val="en-ZA" w:eastAsia="en-ZA"/>
              </w:rPr>
            </w:pPr>
            <w:r w:rsidRPr="00F45561">
              <w:rPr>
                <w:rFonts w:eastAsia="Batang" w:cs="Arial"/>
                <w:color w:val="000000"/>
                <w:spacing w:val="0"/>
                <w:lang w:val="en-ZA" w:eastAsia="en-ZA"/>
              </w:rPr>
              <w:t>Nominal increase/ decrease in 2019/20</w:t>
            </w:r>
          </w:p>
          <w:p w14:paraId="4E9E5AAF" w14:textId="77777777" w:rsidR="00EC73A2" w:rsidRPr="00F45561" w:rsidRDefault="00EC73A2" w:rsidP="00EC73A2">
            <w:pPr>
              <w:jc w:val="center"/>
              <w:rPr>
                <w:rFonts w:eastAsia="Batang" w:cs="Arial"/>
                <w:color w:val="000000"/>
                <w:spacing w:val="0"/>
                <w:lang w:val="en-ZA" w:eastAsia="en-ZA"/>
              </w:rPr>
            </w:pPr>
            <w:r w:rsidRPr="00F45561">
              <w:rPr>
                <w:rFonts w:eastAsia="Batang" w:cs="Arial"/>
                <w:color w:val="000000"/>
                <w:spacing w:val="0"/>
                <w:lang w:val="en-ZA" w:eastAsia="en-ZA"/>
              </w:rPr>
              <w:t>(R’ million)</w:t>
            </w:r>
          </w:p>
          <w:p w14:paraId="2C09CE2E" w14:textId="77777777" w:rsidR="00EC73A2" w:rsidRPr="00F45561" w:rsidRDefault="00EC73A2" w:rsidP="00EC73A2">
            <w:pPr>
              <w:jc w:val="center"/>
              <w:rPr>
                <w:rFonts w:eastAsia="Batang" w:cs="Arial"/>
                <w:color w:val="000000"/>
                <w:spacing w:val="0"/>
                <w:lang w:val="en-ZA" w:eastAsia="en-ZA"/>
              </w:rPr>
            </w:pPr>
          </w:p>
        </w:tc>
        <w:tc>
          <w:tcPr>
            <w:tcW w:w="1417" w:type="dxa"/>
            <w:vMerge w:val="restart"/>
            <w:vAlign w:val="center"/>
            <w:hideMark/>
          </w:tcPr>
          <w:p w14:paraId="0F37960D" w14:textId="77777777" w:rsidR="00EC73A2" w:rsidRPr="00F45561" w:rsidRDefault="00EC73A2" w:rsidP="00EC73A2">
            <w:pPr>
              <w:jc w:val="center"/>
              <w:rPr>
                <w:rFonts w:eastAsia="Batang" w:cs="Arial"/>
                <w:color w:val="000000"/>
                <w:spacing w:val="0"/>
                <w:lang w:val="en-ZA" w:eastAsia="en-ZA"/>
              </w:rPr>
            </w:pPr>
            <w:r w:rsidRPr="00F45561">
              <w:rPr>
                <w:rFonts w:eastAsia="Batang" w:cs="Arial"/>
                <w:color w:val="000000"/>
                <w:spacing w:val="0"/>
                <w:lang w:val="en-ZA" w:eastAsia="en-ZA"/>
              </w:rPr>
              <w:t>Real increase/ decrease in 2019/20</w:t>
            </w:r>
          </w:p>
          <w:p w14:paraId="6284344E" w14:textId="77777777" w:rsidR="00EC73A2" w:rsidRPr="00F45561" w:rsidRDefault="00EC73A2" w:rsidP="00EC73A2">
            <w:pPr>
              <w:jc w:val="center"/>
              <w:rPr>
                <w:rFonts w:eastAsia="Batang" w:cs="Arial"/>
                <w:color w:val="000000"/>
                <w:spacing w:val="0"/>
                <w:lang w:val="en-ZA" w:eastAsia="en-ZA"/>
              </w:rPr>
            </w:pPr>
            <w:r w:rsidRPr="00F45561">
              <w:rPr>
                <w:rFonts w:eastAsia="Batang" w:cs="Arial"/>
                <w:color w:val="000000"/>
                <w:spacing w:val="0"/>
                <w:lang w:val="en-ZA" w:eastAsia="en-ZA"/>
              </w:rPr>
              <w:t>(R’ million)</w:t>
            </w:r>
          </w:p>
          <w:p w14:paraId="04D78E66" w14:textId="77777777" w:rsidR="00EC73A2" w:rsidRPr="00F45561" w:rsidRDefault="00EC73A2" w:rsidP="00EC73A2">
            <w:pPr>
              <w:jc w:val="center"/>
              <w:rPr>
                <w:rFonts w:eastAsia="Batang" w:cs="Arial"/>
                <w:color w:val="000000"/>
                <w:spacing w:val="0"/>
                <w:lang w:val="en-ZA" w:eastAsia="en-ZA"/>
              </w:rPr>
            </w:pPr>
          </w:p>
        </w:tc>
        <w:tc>
          <w:tcPr>
            <w:tcW w:w="1276" w:type="dxa"/>
            <w:vMerge w:val="restart"/>
            <w:vAlign w:val="center"/>
            <w:hideMark/>
          </w:tcPr>
          <w:p w14:paraId="5C7E8E68" w14:textId="77777777" w:rsidR="00EC73A2" w:rsidRPr="00F45561" w:rsidRDefault="00EC73A2" w:rsidP="00EC73A2">
            <w:pPr>
              <w:jc w:val="center"/>
              <w:rPr>
                <w:rFonts w:eastAsia="Batang" w:cs="Arial"/>
                <w:color w:val="000000"/>
                <w:spacing w:val="0"/>
                <w:lang w:val="en-ZA" w:eastAsia="en-ZA"/>
              </w:rPr>
            </w:pPr>
            <w:r w:rsidRPr="00F45561">
              <w:rPr>
                <w:rFonts w:eastAsia="Batang" w:cs="Arial"/>
                <w:color w:val="000000"/>
                <w:spacing w:val="0"/>
                <w:lang w:val="en-ZA" w:eastAsia="en-ZA"/>
              </w:rPr>
              <w:t>Nominal Percent change in 2019/20</w:t>
            </w:r>
          </w:p>
        </w:tc>
        <w:tc>
          <w:tcPr>
            <w:tcW w:w="1334" w:type="dxa"/>
            <w:vMerge w:val="restart"/>
            <w:vAlign w:val="center"/>
            <w:hideMark/>
          </w:tcPr>
          <w:p w14:paraId="7E2A2430" w14:textId="77777777" w:rsidR="00EC73A2" w:rsidRPr="00F45561" w:rsidRDefault="00EC73A2" w:rsidP="00EC73A2">
            <w:pPr>
              <w:jc w:val="center"/>
              <w:rPr>
                <w:rFonts w:eastAsia="Batang" w:cs="Arial"/>
                <w:color w:val="000000"/>
                <w:spacing w:val="0"/>
                <w:lang w:val="en-ZA" w:eastAsia="en-ZA"/>
              </w:rPr>
            </w:pPr>
            <w:r w:rsidRPr="00F45561">
              <w:rPr>
                <w:rFonts w:eastAsia="Batang" w:cs="Arial"/>
                <w:color w:val="000000"/>
                <w:spacing w:val="0"/>
                <w:lang w:val="en-ZA" w:eastAsia="en-ZA"/>
              </w:rPr>
              <w:t>Real Percent change in 2019/20</w:t>
            </w:r>
          </w:p>
        </w:tc>
      </w:tr>
      <w:tr w:rsidR="00EC73A2" w:rsidRPr="00F45561" w14:paraId="6BE9144E" w14:textId="77777777" w:rsidTr="00BF0C07">
        <w:trPr>
          <w:trHeight w:val="264"/>
        </w:trPr>
        <w:tc>
          <w:tcPr>
            <w:tcW w:w="2970" w:type="dxa"/>
            <w:noWrap/>
            <w:hideMark/>
          </w:tcPr>
          <w:p w14:paraId="77D31D40" w14:textId="77777777" w:rsidR="00EC73A2" w:rsidRPr="00F45561" w:rsidRDefault="00EC73A2" w:rsidP="00EC73A2">
            <w:pPr>
              <w:rPr>
                <w:rFonts w:eastAsia="Batang" w:cs="Arial"/>
                <w:color w:val="000000"/>
                <w:spacing w:val="0"/>
                <w:lang w:val="en-ZA" w:eastAsia="en-ZA"/>
              </w:rPr>
            </w:pPr>
            <w:r w:rsidRPr="00F45561">
              <w:rPr>
                <w:rFonts w:eastAsia="Batang" w:cs="Arial"/>
                <w:color w:val="000000"/>
                <w:spacing w:val="0"/>
                <w:lang w:val="en-ZA" w:eastAsia="en-ZA"/>
              </w:rPr>
              <w:t>R million</w:t>
            </w:r>
          </w:p>
        </w:tc>
        <w:tc>
          <w:tcPr>
            <w:tcW w:w="1276" w:type="dxa"/>
            <w:noWrap/>
            <w:hideMark/>
          </w:tcPr>
          <w:p w14:paraId="7916222C" w14:textId="77777777" w:rsidR="00EC73A2" w:rsidRPr="00F45561" w:rsidRDefault="00EC73A2" w:rsidP="00EC73A2">
            <w:pPr>
              <w:jc w:val="center"/>
              <w:rPr>
                <w:rFonts w:eastAsia="Batang" w:cs="Arial"/>
                <w:color w:val="000000"/>
                <w:spacing w:val="0"/>
                <w:lang w:val="en-ZA" w:eastAsia="en-ZA"/>
              </w:rPr>
            </w:pPr>
            <w:r w:rsidRPr="00F45561">
              <w:rPr>
                <w:rFonts w:eastAsia="Batang" w:cs="Arial"/>
                <w:color w:val="000000"/>
                <w:spacing w:val="0"/>
                <w:lang w:val="en-ZA" w:eastAsia="en-ZA"/>
              </w:rPr>
              <w:t>2018/19</w:t>
            </w:r>
          </w:p>
        </w:tc>
        <w:tc>
          <w:tcPr>
            <w:tcW w:w="1276" w:type="dxa"/>
            <w:noWrap/>
            <w:hideMark/>
          </w:tcPr>
          <w:p w14:paraId="6129F0FC" w14:textId="77777777" w:rsidR="00EC73A2" w:rsidRPr="00F45561" w:rsidRDefault="00EC73A2" w:rsidP="00EC73A2">
            <w:pPr>
              <w:jc w:val="center"/>
              <w:rPr>
                <w:rFonts w:eastAsia="Batang" w:cs="Arial"/>
                <w:color w:val="000000"/>
                <w:spacing w:val="0"/>
                <w:lang w:val="en-ZA" w:eastAsia="en-ZA"/>
              </w:rPr>
            </w:pPr>
            <w:r w:rsidRPr="00F45561">
              <w:rPr>
                <w:rFonts w:eastAsia="Batang" w:cs="Arial"/>
                <w:color w:val="000000"/>
                <w:spacing w:val="0"/>
                <w:lang w:val="en-ZA" w:eastAsia="en-ZA"/>
              </w:rPr>
              <w:t>2019/20</w:t>
            </w:r>
          </w:p>
        </w:tc>
        <w:tc>
          <w:tcPr>
            <w:tcW w:w="1341" w:type="dxa"/>
            <w:vMerge/>
            <w:hideMark/>
          </w:tcPr>
          <w:p w14:paraId="210EEF41" w14:textId="77777777" w:rsidR="00EC73A2" w:rsidRPr="00F45561" w:rsidRDefault="00EC73A2" w:rsidP="00EC73A2">
            <w:pPr>
              <w:rPr>
                <w:rFonts w:eastAsia="Batang" w:cs="Arial"/>
                <w:color w:val="000000"/>
                <w:spacing w:val="0"/>
                <w:lang w:val="en-ZA" w:eastAsia="en-ZA"/>
              </w:rPr>
            </w:pPr>
          </w:p>
        </w:tc>
        <w:tc>
          <w:tcPr>
            <w:tcW w:w="1417" w:type="dxa"/>
            <w:vMerge/>
            <w:hideMark/>
          </w:tcPr>
          <w:p w14:paraId="54FD662E" w14:textId="77777777" w:rsidR="00EC73A2" w:rsidRPr="00F45561" w:rsidRDefault="00EC73A2" w:rsidP="00EC73A2">
            <w:pPr>
              <w:rPr>
                <w:rFonts w:eastAsia="Batang" w:cs="Arial"/>
                <w:color w:val="000000"/>
                <w:spacing w:val="0"/>
                <w:lang w:val="en-ZA" w:eastAsia="en-ZA"/>
              </w:rPr>
            </w:pPr>
          </w:p>
        </w:tc>
        <w:tc>
          <w:tcPr>
            <w:tcW w:w="1276" w:type="dxa"/>
            <w:vMerge/>
            <w:hideMark/>
          </w:tcPr>
          <w:p w14:paraId="1845DD30" w14:textId="77777777" w:rsidR="00EC73A2" w:rsidRPr="00F45561" w:rsidRDefault="00EC73A2" w:rsidP="00EC73A2">
            <w:pPr>
              <w:rPr>
                <w:rFonts w:eastAsia="Batang" w:cs="Arial"/>
                <w:color w:val="000000"/>
                <w:spacing w:val="0"/>
                <w:lang w:val="en-ZA" w:eastAsia="en-ZA"/>
              </w:rPr>
            </w:pPr>
          </w:p>
        </w:tc>
        <w:tc>
          <w:tcPr>
            <w:tcW w:w="1334" w:type="dxa"/>
            <w:vMerge/>
            <w:hideMark/>
          </w:tcPr>
          <w:p w14:paraId="4B43322F" w14:textId="77777777" w:rsidR="00EC73A2" w:rsidRPr="00F45561" w:rsidRDefault="00EC73A2" w:rsidP="00EC73A2">
            <w:pPr>
              <w:rPr>
                <w:rFonts w:eastAsia="Batang" w:cs="Arial"/>
                <w:color w:val="000000"/>
                <w:spacing w:val="0"/>
                <w:lang w:val="en-ZA" w:eastAsia="en-ZA"/>
              </w:rPr>
            </w:pPr>
          </w:p>
        </w:tc>
      </w:tr>
      <w:tr w:rsidR="00EC73A2" w:rsidRPr="00F45561" w14:paraId="45D6B77E" w14:textId="77777777" w:rsidTr="00BF0C07">
        <w:trPr>
          <w:trHeight w:val="264"/>
        </w:trPr>
        <w:tc>
          <w:tcPr>
            <w:tcW w:w="2970" w:type="dxa"/>
            <w:noWrap/>
            <w:vAlign w:val="center"/>
            <w:hideMark/>
          </w:tcPr>
          <w:p w14:paraId="67BCEF5E" w14:textId="77777777" w:rsidR="00EC73A2" w:rsidRPr="00F45561" w:rsidRDefault="00EC73A2" w:rsidP="00EC73A2">
            <w:pPr>
              <w:rPr>
                <w:rFonts w:eastAsia="Batang" w:cs="Arial"/>
                <w:color w:val="000000"/>
                <w:spacing w:val="0"/>
                <w:lang w:val="en-ZA" w:eastAsia="en-ZA"/>
              </w:rPr>
            </w:pPr>
            <w:r w:rsidRPr="00F45561">
              <w:rPr>
                <w:rFonts w:eastAsia="Batang" w:cs="Arial"/>
                <w:color w:val="000000"/>
                <w:spacing w:val="0"/>
                <w:lang w:val="en-ZA" w:eastAsia="en-ZA"/>
              </w:rPr>
              <w:t>Management for Housing Development Finance</w:t>
            </w:r>
          </w:p>
        </w:tc>
        <w:tc>
          <w:tcPr>
            <w:tcW w:w="1276" w:type="dxa"/>
            <w:noWrap/>
            <w:vAlign w:val="center"/>
            <w:hideMark/>
          </w:tcPr>
          <w:p w14:paraId="5637CCE1"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4,5</w:t>
            </w:r>
          </w:p>
        </w:tc>
        <w:tc>
          <w:tcPr>
            <w:tcW w:w="1276" w:type="dxa"/>
            <w:noWrap/>
            <w:vAlign w:val="center"/>
            <w:hideMark/>
          </w:tcPr>
          <w:p w14:paraId="35BBA483"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4,6</w:t>
            </w:r>
          </w:p>
        </w:tc>
        <w:tc>
          <w:tcPr>
            <w:tcW w:w="1341" w:type="dxa"/>
            <w:noWrap/>
            <w:vAlign w:val="center"/>
            <w:hideMark/>
          </w:tcPr>
          <w:p w14:paraId="7AA30815"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0,1</w:t>
            </w:r>
          </w:p>
        </w:tc>
        <w:tc>
          <w:tcPr>
            <w:tcW w:w="1417" w:type="dxa"/>
            <w:noWrap/>
            <w:vAlign w:val="center"/>
            <w:hideMark/>
          </w:tcPr>
          <w:p w14:paraId="5B7A0D4E"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0,1</w:t>
            </w:r>
          </w:p>
        </w:tc>
        <w:tc>
          <w:tcPr>
            <w:tcW w:w="1276" w:type="dxa"/>
            <w:noWrap/>
            <w:vAlign w:val="center"/>
            <w:hideMark/>
          </w:tcPr>
          <w:p w14:paraId="745D56F4"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2,22%</w:t>
            </w:r>
          </w:p>
        </w:tc>
        <w:tc>
          <w:tcPr>
            <w:tcW w:w="1334" w:type="dxa"/>
            <w:noWrap/>
            <w:vAlign w:val="center"/>
            <w:hideMark/>
          </w:tcPr>
          <w:p w14:paraId="3BDDC4E1"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-2,83%</w:t>
            </w:r>
          </w:p>
        </w:tc>
      </w:tr>
      <w:tr w:rsidR="00EC73A2" w:rsidRPr="00F45561" w14:paraId="49100462" w14:textId="77777777" w:rsidTr="00BF0C07">
        <w:trPr>
          <w:trHeight w:val="264"/>
        </w:trPr>
        <w:tc>
          <w:tcPr>
            <w:tcW w:w="2970" w:type="dxa"/>
            <w:noWrap/>
            <w:vAlign w:val="center"/>
            <w:hideMark/>
          </w:tcPr>
          <w:p w14:paraId="594A28C0" w14:textId="77777777" w:rsidR="00EC73A2" w:rsidRPr="00F45561" w:rsidRDefault="00EC73A2" w:rsidP="00EC73A2">
            <w:pPr>
              <w:rPr>
                <w:rFonts w:eastAsia="Batang" w:cs="Arial"/>
                <w:color w:val="000000"/>
                <w:spacing w:val="0"/>
                <w:lang w:val="en-ZA" w:eastAsia="en-ZA"/>
              </w:rPr>
            </w:pPr>
            <w:r w:rsidRPr="00F45561">
              <w:rPr>
                <w:rFonts w:eastAsia="Batang" w:cs="Arial"/>
                <w:color w:val="000000"/>
                <w:spacing w:val="0"/>
                <w:lang w:val="en-ZA" w:eastAsia="en-ZA"/>
              </w:rPr>
              <w:t xml:space="preserve">Chief Investment Officer </w:t>
            </w:r>
          </w:p>
        </w:tc>
        <w:tc>
          <w:tcPr>
            <w:tcW w:w="1276" w:type="dxa"/>
            <w:noWrap/>
            <w:vAlign w:val="center"/>
            <w:hideMark/>
          </w:tcPr>
          <w:p w14:paraId="0D0A2EA3"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22,5</w:t>
            </w:r>
          </w:p>
        </w:tc>
        <w:tc>
          <w:tcPr>
            <w:tcW w:w="1276" w:type="dxa"/>
            <w:noWrap/>
            <w:vAlign w:val="center"/>
            <w:hideMark/>
          </w:tcPr>
          <w:p w14:paraId="5AABD15F"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24,7</w:t>
            </w:r>
          </w:p>
        </w:tc>
        <w:tc>
          <w:tcPr>
            <w:tcW w:w="1341" w:type="dxa"/>
            <w:noWrap/>
            <w:vAlign w:val="center"/>
            <w:hideMark/>
          </w:tcPr>
          <w:p w14:paraId="0C8BFF29"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2,2</w:t>
            </w:r>
          </w:p>
        </w:tc>
        <w:tc>
          <w:tcPr>
            <w:tcW w:w="1417" w:type="dxa"/>
            <w:noWrap/>
            <w:vAlign w:val="center"/>
            <w:hideMark/>
          </w:tcPr>
          <w:p w14:paraId="71C86C9B"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1,0</w:t>
            </w:r>
          </w:p>
        </w:tc>
        <w:tc>
          <w:tcPr>
            <w:tcW w:w="1276" w:type="dxa"/>
            <w:noWrap/>
            <w:vAlign w:val="center"/>
            <w:hideMark/>
          </w:tcPr>
          <w:p w14:paraId="30FB76A9"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9,78%</w:t>
            </w:r>
          </w:p>
        </w:tc>
        <w:tc>
          <w:tcPr>
            <w:tcW w:w="1334" w:type="dxa"/>
            <w:noWrap/>
            <w:vAlign w:val="center"/>
            <w:hideMark/>
          </w:tcPr>
          <w:p w14:paraId="3A041114"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4,35%</w:t>
            </w:r>
          </w:p>
        </w:tc>
      </w:tr>
      <w:tr w:rsidR="00EC73A2" w:rsidRPr="00F45561" w14:paraId="08962819" w14:textId="77777777" w:rsidTr="00BF0C07">
        <w:trPr>
          <w:trHeight w:val="264"/>
        </w:trPr>
        <w:tc>
          <w:tcPr>
            <w:tcW w:w="2970" w:type="dxa"/>
            <w:noWrap/>
            <w:vAlign w:val="center"/>
            <w:hideMark/>
          </w:tcPr>
          <w:p w14:paraId="0684EE75" w14:textId="77777777" w:rsidR="00EC73A2" w:rsidRPr="00F45561" w:rsidRDefault="00EC73A2" w:rsidP="00EC73A2">
            <w:pPr>
              <w:rPr>
                <w:rFonts w:eastAsia="Batang" w:cs="Arial"/>
                <w:color w:val="000000"/>
                <w:spacing w:val="0"/>
                <w:lang w:val="en-ZA" w:eastAsia="en-ZA"/>
              </w:rPr>
            </w:pPr>
            <w:r w:rsidRPr="00F45561">
              <w:rPr>
                <w:rFonts w:eastAsia="Batang" w:cs="Arial"/>
                <w:color w:val="000000"/>
                <w:spacing w:val="0"/>
                <w:lang w:val="en-ZA" w:eastAsia="en-ZA"/>
              </w:rPr>
              <w:t>Human Settlements Development Grant</w:t>
            </w:r>
          </w:p>
        </w:tc>
        <w:tc>
          <w:tcPr>
            <w:tcW w:w="1276" w:type="dxa"/>
            <w:noWrap/>
            <w:vAlign w:val="center"/>
            <w:hideMark/>
          </w:tcPr>
          <w:p w14:paraId="34BCC397"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18 266,6</w:t>
            </w:r>
          </w:p>
        </w:tc>
        <w:tc>
          <w:tcPr>
            <w:tcW w:w="1276" w:type="dxa"/>
            <w:noWrap/>
            <w:vAlign w:val="center"/>
            <w:hideMark/>
          </w:tcPr>
          <w:p w14:paraId="48A83D77"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18 779,8</w:t>
            </w:r>
          </w:p>
        </w:tc>
        <w:tc>
          <w:tcPr>
            <w:tcW w:w="1341" w:type="dxa"/>
            <w:noWrap/>
            <w:vAlign w:val="center"/>
            <w:hideMark/>
          </w:tcPr>
          <w:p w14:paraId="794ACE40"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513,2</w:t>
            </w:r>
          </w:p>
        </w:tc>
        <w:tc>
          <w:tcPr>
            <w:tcW w:w="1417" w:type="dxa"/>
            <w:noWrap/>
            <w:vAlign w:val="center"/>
            <w:hideMark/>
          </w:tcPr>
          <w:p w14:paraId="45D76D27"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415,1</w:t>
            </w:r>
          </w:p>
        </w:tc>
        <w:tc>
          <w:tcPr>
            <w:tcW w:w="1276" w:type="dxa"/>
            <w:noWrap/>
            <w:vAlign w:val="center"/>
            <w:hideMark/>
          </w:tcPr>
          <w:p w14:paraId="74834D67"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2,81%</w:t>
            </w:r>
          </w:p>
        </w:tc>
        <w:tc>
          <w:tcPr>
            <w:tcW w:w="1334" w:type="dxa"/>
            <w:noWrap/>
            <w:vAlign w:val="center"/>
            <w:hideMark/>
          </w:tcPr>
          <w:p w14:paraId="6C3D5942"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-2,27%</w:t>
            </w:r>
          </w:p>
        </w:tc>
      </w:tr>
      <w:tr w:rsidR="00EC73A2" w:rsidRPr="00F45561" w14:paraId="20148D60" w14:textId="77777777" w:rsidTr="00BF0C07">
        <w:trPr>
          <w:trHeight w:val="264"/>
        </w:trPr>
        <w:tc>
          <w:tcPr>
            <w:tcW w:w="2970" w:type="dxa"/>
            <w:noWrap/>
            <w:vAlign w:val="center"/>
            <w:hideMark/>
          </w:tcPr>
          <w:p w14:paraId="038D08F3" w14:textId="77777777" w:rsidR="00EC73A2" w:rsidRPr="00F45561" w:rsidRDefault="00EC73A2" w:rsidP="00EC73A2">
            <w:pPr>
              <w:rPr>
                <w:rFonts w:eastAsia="Batang" w:cs="Arial"/>
                <w:color w:val="000000"/>
                <w:spacing w:val="0"/>
                <w:lang w:val="en-ZA" w:eastAsia="en-ZA"/>
              </w:rPr>
            </w:pPr>
            <w:r w:rsidRPr="00F45561">
              <w:rPr>
                <w:rFonts w:eastAsia="Batang" w:cs="Arial"/>
                <w:color w:val="000000"/>
                <w:spacing w:val="0"/>
                <w:lang w:val="en-ZA" w:eastAsia="en-ZA"/>
              </w:rPr>
              <w:t>Contributions</w:t>
            </w:r>
          </w:p>
        </w:tc>
        <w:tc>
          <w:tcPr>
            <w:tcW w:w="1276" w:type="dxa"/>
            <w:noWrap/>
            <w:vAlign w:val="center"/>
            <w:hideMark/>
          </w:tcPr>
          <w:p w14:paraId="549CF8CA"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1 159,0</w:t>
            </w:r>
          </w:p>
        </w:tc>
        <w:tc>
          <w:tcPr>
            <w:tcW w:w="1276" w:type="dxa"/>
            <w:noWrap/>
            <w:vAlign w:val="center"/>
            <w:hideMark/>
          </w:tcPr>
          <w:p w14:paraId="25014529"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1 222,9</w:t>
            </w:r>
          </w:p>
        </w:tc>
        <w:tc>
          <w:tcPr>
            <w:tcW w:w="1341" w:type="dxa"/>
            <w:noWrap/>
            <w:vAlign w:val="center"/>
            <w:hideMark/>
          </w:tcPr>
          <w:p w14:paraId="3CC6FF53"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63,9</w:t>
            </w:r>
          </w:p>
        </w:tc>
        <w:tc>
          <w:tcPr>
            <w:tcW w:w="1417" w:type="dxa"/>
            <w:noWrap/>
            <w:vAlign w:val="center"/>
            <w:hideMark/>
          </w:tcPr>
          <w:p w14:paraId="393DED4B"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3,5</w:t>
            </w:r>
          </w:p>
        </w:tc>
        <w:tc>
          <w:tcPr>
            <w:tcW w:w="1276" w:type="dxa"/>
            <w:noWrap/>
            <w:vAlign w:val="center"/>
            <w:hideMark/>
          </w:tcPr>
          <w:p w14:paraId="17C51D6E"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5,51%</w:t>
            </w:r>
          </w:p>
        </w:tc>
        <w:tc>
          <w:tcPr>
            <w:tcW w:w="1334" w:type="dxa"/>
            <w:noWrap/>
            <w:vAlign w:val="center"/>
            <w:hideMark/>
          </w:tcPr>
          <w:p w14:paraId="0006CDDF"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0,30%</w:t>
            </w:r>
          </w:p>
        </w:tc>
      </w:tr>
      <w:tr w:rsidR="00EC73A2" w:rsidRPr="00F45561" w14:paraId="7007EF70" w14:textId="77777777" w:rsidTr="00BF0C07">
        <w:trPr>
          <w:trHeight w:val="264"/>
        </w:trPr>
        <w:tc>
          <w:tcPr>
            <w:tcW w:w="2970" w:type="dxa"/>
            <w:noWrap/>
            <w:vAlign w:val="center"/>
            <w:hideMark/>
          </w:tcPr>
          <w:p w14:paraId="4F80598B" w14:textId="77777777" w:rsidR="00EC73A2" w:rsidRPr="00F45561" w:rsidRDefault="00EC73A2" w:rsidP="00EC73A2">
            <w:pPr>
              <w:rPr>
                <w:rFonts w:eastAsia="Batang" w:cs="Arial"/>
                <w:color w:val="000000"/>
                <w:spacing w:val="0"/>
                <w:lang w:val="en-ZA" w:eastAsia="en-ZA"/>
              </w:rPr>
            </w:pPr>
            <w:r w:rsidRPr="00F45561">
              <w:rPr>
                <w:rFonts w:eastAsia="Batang" w:cs="Arial"/>
                <w:color w:val="000000"/>
                <w:spacing w:val="0"/>
                <w:lang w:val="en-ZA" w:eastAsia="en-ZA"/>
              </w:rPr>
              <w:t>Urban Settlements Development Grant</w:t>
            </w:r>
          </w:p>
        </w:tc>
        <w:tc>
          <w:tcPr>
            <w:tcW w:w="1276" w:type="dxa"/>
            <w:noWrap/>
            <w:vAlign w:val="center"/>
            <w:hideMark/>
          </w:tcPr>
          <w:p w14:paraId="09F7FD6B"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11 306,1</w:t>
            </w:r>
          </w:p>
        </w:tc>
        <w:tc>
          <w:tcPr>
            <w:tcW w:w="1276" w:type="dxa"/>
            <w:noWrap/>
            <w:vAlign w:val="center"/>
            <w:hideMark/>
          </w:tcPr>
          <w:p w14:paraId="09C1B622"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12 045,4</w:t>
            </w:r>
          </w:p>
        </w:tc>
        <w:tc>
          <w:tcPr>
            <w:tcW w:w="1341" w:type="dxa"/>
            <w:noWrap/>
            <w:vAlign w:val="center"/>
            <w:hideMark/>
          </w:tcPr>
          <w:p w14:paraId="6774FC08"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739,3</w:t>
            </w:r>
          </w:p>
        </w:tc>
        <w:tc>
          <w:tcPr>
            <w:tcW w:w="1417" w:type="dxa"/>
            <w:noWrap/>
            <w:vAlign w:val="center"/>
            <w:hideMark/>
          </w:tcPr>
          <w:p w14:paraId="0DF5BC44"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143,9</w:t>
            </w:r>
          </w:p>
        </w:tc>
        <w:tc>
          <w:tcPr>
            <w:tcW w:w="1276" w:type="dxa"/>
            <w:noWrap/>
            <w:vAlign w:val="center"/>
            <w:hideMark/>
          </w:tcPr>
          <w:p w14:paraId="27442BC3"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6,54%</w:t>
            </w:r>
          </w:p>
        </w:tc>
        <w:tc>
          <w:tcPr>
            <w:tcW w:w="1334" w:type="dxa"/>
            <w:noWrap/>
            <w:vAlign w:val="center"/>
            <w:hideMark/>
          </w:tcPr>
          <w:p w14:paraId="7D4F8E02"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1,27%</w:t>
            </w:r>
          </w:p>
        </w:tc>
      </w:tr>
      <w:tr w:rsidR="00EC73A2" w:rsidRPr="00F45561" w14:paraId="7F6B9152" w14:textId="77777777" w:rsidTr="00BF0C07">
        <w:trPr>
          <w:trHeight w:val="264"/>
        </w:trPr>
        <w:tc>
          <w:tcPr>
            <w:tcW w:w="2970" w:type="dxa"/>
            <w:noWrap/>
            <w:vAlign w:val="center"/>
            <w:hideMark/>
          </w:tcPr>
          <w:p w14:paraId="7B79A0AF" w14:textId="77777777" w:rsidR="00EC73A2" w:rsidRPr="00F45561" w:rsidRDefault="00EC73A2" w:rsidP="00EC73A2">
            <w:pPr>
              <w:rPr>
                <w:rFonts w:eastAsia="Batang" w:cs="Arial"/>
                <w:color w:val="000000"/>
                <w:spacing w:val="0"/>
                <w:lang w:val="en-ZA" w:eastAsia="en-ZA"/>
              </w:rPr>
            </w:pPr>
            <w:r w:rsidRPr="00F45561">
              <w:rPr>
                <w:rFonts w:eastAsia="Batang" w:cs="Arial"/>
                <w:color w:val="000000"/>
                <w:spacing w:val="0"/>
                <w:lang w:val="en-ZA" w:eastAsia="en-ZA"/>
              </w:rPr>
              <w:t>Title Deeds Restoration Grant</w:t>
            </w:r>
          </w:p>
        </w:tc>
        <w:tc>
          <w:tcPr>
            <w:tcW w:w="1276" w:type="dxa"/>
            <w:noWrap/>
            <w:vAlign w:val="center"/>
            <w:hideMark/>
          </w:tcPr>
          <w:p w14:paraId="0416434D"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518,7</w:t>
            </w:r>
          </w:p>
        </w:tc>
        <w:tc>
          <w:tcPr>
            <w:tcW w:w="1276" w:type="dxa"/>
            <w:noWrap/>
            <w:vAlign w:val="center"/>
            <w:hideMark/>
          </w:tcPr>
          <w:p w14:paraId="65209FD6"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547,7</w:t>
            </w:r>
          </w:p>
        </w:tc>
        <w:tc>
          <w:tcPr>
            <w:tcW w:w="1341" w:type="dxa"/>
            <w:noWrap/>
            <w:vAlign w:val="center"/>
            <w:hideMark/>
          </w:tcPr>
          <w:p w14:paraId="2FA0BDCB"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29,0</w:t>
            </w:r>
          </w:p>
        </w:tc>
        <w:tc>
          <w:tcPr>
            <w:tcW w:w="1417" w:type="dxa"/>
            <w:noWrap/>
            <w:vAlign w:val="center"/>
            <w:hideMark/>
          </w:tcPr>
          <w:p w14:paraId="449DE18C"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1,9</w:t>
            </w:r>
          </w:p>
        </w:tc>
        <w:tc>
          <w:tcPr>
            <w:tcW w:w="1276" w:type="dxa"/>
            <w:noWrap/>
            <w:vAlign w:val="center"/>
            <w:hideMark/>
          </w:tcPr>
          <w:p w14:paraId="77E298AA"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5,59%</w:t>
            </w:r>
          </w:p>
        </w:tc>
        <w:tc>
          <w:tcPr>
            <w:tcW w:w="1334" w:type="dxa"/>
            <w:noWrap/>
            <w:vAlign w:val="center"/>
            <w:hideMark/>
          </w:tcPr>
          <w:p w14:paraId="4B07A5AC"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0,37%</w:t>
            </w:r>
          </w:p>
        </w:tc>
      </w:tr>
      <w:tr w:rsidR="00EC73A2" w:rsidRPr="00F45561" w14:paraId="5C53B1EE" w14:textId="77777777" w:rsidTr="00BF0C07">
        <w:trPr>
          <w:trHeight w:val="264"/>
        </w:trPr>
        <w:tc>
          <w:tcPr>
            <w:tcW w:w="2970" w:type="dxa"/>
            <w:noWrap/>
            <w:vAlign w:val="center"/>
            <w:hideMark/>
          </w:tcPr>
          <w:p w14:paraId="5CB2EED3" w14:textId="77777777" w:rsidR="00EC73A2" w:rsidRPr="00F45561" w:rsidRDefault="00EC73A2" w:rsidP="00EC73A2">
            <w:pPr>
              <w:rPr>
                <w:rFonts w:eastAsia="Batang" w:cs="Arial"/>
                <w:color w:val="000000"/>
                <w:spacing w:val="0"/>
                <w:lang w:val="en-ZA" w:eastAsia="en-ZA"/>
              </w:rPr>
            </w:pPr>
            <w:r w:rsidRPr="00F45561">
              <w:rPr>
                <w:rFonts w:eastAsia="Batang" w:cs="Arial"/>
                <w:color w:val="000000"/>
                <w:spacing w:val="0"/>
                <w:lang w:val="en-ZA" w:eastAsia="en-ZA"/>
              </w:rPr>
              <w:t>Emergency housing Grant</w:t>
            </w:r>
          </w:p>
        </w:tc>
        <w:tc>
          <w:tcPr>
            <w:tcW w:w="1276" w:type="dxa"/>
            <w:noWrap/>
            <w:vAlign w:val="center"/>
            <w:hideMark/>
          </w:tcPr>
          <w:p w14:paraId="5780EE31"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400,0</w:t>
            </w:r>
          </w:p>
        </w:tc>
        <w:tc>
          <w:tcPr>
            <w:tcW w:w="1276" w:type="dxa"/>
            <w:noWrap/>
            <w:vAlign w:val="center"/>
            <w:hideMark/>
          </w:tcPr>
          <w:p w14:paraId="083EA9F7"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426,0</w:t>
            </w:r>
          </w:p>
        </w:tc>
        <w:tc>
          <w:tcPr>
            <w:tcW w:w="1341" w:type="dxa"/>
            <w:noWrap/>
            <w:vAlign w:val="center"/>
            <w:hideMark/>
          </w:tcPr>
          <w:p w14:paraId="670B2C3D"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26,0</w:t>
            </w:r>
          </w:p>
        </w:tc>
        <w:tc>
          <w:tcPr>
            <w:tcW w:w="1417" w:type="dxa"/>
            <w:noWrap/>
            <w:vAlign w:val="center"/>
            <w:hideMark/>
          </w:tcPr>
          <w:p w14:paraId="32AD1340"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4,9</w:t>
            </w:r>
          </w:p>
        </w:tc>
        <w:tc>
          <w:tcPr>
            <w:tcW w:w="1276" w:type="dxa"/>
            <w:noWrap/>
            <w:vAlign w:val="center"/>
            <w:hideMark/>
          </w:tcPr>
          <w:p w14:paraId="34C85817"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6,50%</w:t>
            </w:r>
          </w:p>
        </w:tc>
        <w:tc>
          <w:tcPr>
            <w:tcW w:w="1334" w:type="dxa"/>
            <w:noWrap/>
            <w:vAlign w:val="center"/>
            <w:hideMark/>
          </w:tcPr>
          <w:p w14:paraId="04E83C08"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1,24%</w:t>
            </w:r>
          </w:p>
        </w:tc>
      </w:tr>
      <w:tr w:rsidR="00EC73A2" w:rsidRPr="00F45561" w14:paraId="6D154145" w14:textId="77777777" w:rsidTr="00BF0C07">
        <w:trPr>
          <w:trHeight w:val="264"/>
        </w:trPr>
        <w:tc>
          <w:tcPr>
            <w:tcW w:w="2970" w:type="dxa"/>
            <w:noWrap/>
            <w:vAlign w:val="center"/>
            <w:hideMark/>
          </w:tcPr>
          <w:p w14:paraId="11DDEC0D" w14:textId="77777777" w:rsidR="00EC73A2" w:rsidRPr="00F45561" w:rsidRDefault="00EC73A2" w:rsidP="00EC73A2">
            <w:pPr>
              <w:rPr>
                <w:rFonts w:eastAsia="Batang" w:cs="Arial"/>
                <w:color w:val="000000"/>
                <w:spacing w:val="0"/>
                <w:lang w:val="en-ZA" w:eastAsia="en-ZA"/>
              </w:rPr>
            </w:pPr>
            <w:r w:rsidRPr="00F45561">
              <w:rPr>
                <w:rFonts w:eastAsia="Batang" w:cs="Arial"/>
                <w:color w:val="000000"/>
                <w:spacing w:val="0"/>
                <w:lang w:val="en-ZA" w:eastAsia="en-ZA"/>
              </w:rPr>
              <w:t>TOTAL</w:t>
            </w:r>
          </w:p>
        </w:tc>
        <w:tc>
          <w:tcPr>
            <w:tcW w:w="1276" w:type="dxa"/>
            <w:noWrap/>
            <w:vAlign w:val="center"/>
            <w:hideMark/>
          </w:tcPr>
          <w:p w14:paraId="09B57A7B"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31 677,0</w:t>
            </w:r>
          </w:p>
        </w:tc>
        <w:tc>
          <w:tcPr>
            <w:tcW w:w="1276" w:type="dxa"/>
            <w:noWrap/>
            <w:vAlign w:val="center"/>
            <w:hideMark/>
          </w:tcPr>
          <w:p w14:paraId="1228664D"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33 051,1</w:t>
            </w:r>
          </w:p>
        </w:tc>
        <w:tc>
          <w:tcPr>
            <w:tcW w:w="1341" w:type="dxa"/>
            <w:noWrap/>
            <w:vAlign w:val="center"/>
            <w:hideMark/>
          </w:tcPr>
          <w:p w14:paraId="32E9527E"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xml:space="preserve"> 1 374,1</w:t>
            </w:r>
          </w:p>
        </w:tc>
        <w:tc>
          <w:tcPr>
            <w:tcW w:w="1417" w:type="dxa"/>
            <w:noWrap/>
            <w:vAlign w:val="center"/>
            <w:hideMark/>
          </w:tcPr>
          <w:p w14:paraId="3C0E804B"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  259,6</w:t>
            </w:r>
          </w:p>
        </w:tc>
        <w:tc>
          <w:tcPr>
            <w:tcW w:w="1276" w:type="dxa"/>
            <w:noWrap/>
            <w:vAlign w:val="center"/>
            <w:hideMark/>
          </w:tcPr>
          <w:p w14:paraId="135C92E4"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4,3%</w:t>
            </w:r>
          </w:p>
        </w:tc>
        <w:tc>
          <w:tcPr>
            <w:tcW w:w="1334" w:type="dxa"/>
            <w:noWrap/>
            <w:vAlign w:val="center"/>
            <w:hideMark/>
          </w:tcPr>
          <w:p w14:paraId="617BFFE8" w14:textId="77777777" w:rsidR="00EC73A2" w:rsidRPr="00F45561" w:rsidRDefault="00EC73A2" w:rsidP="00EC73A2">
            <w:pPr>
              <w:jc w:val="right"/>
              <w:rPr>
                <w:rFonts w:eastAsia="Batang" w:cs="Arial"/>
                <w:color w:val="000000"/>
                <w:spacing w:val="0"/>
                <w:lang w:val="en-ZA" w:eastAsia="en-ZA"/>
              </w:rPr>
            </w:pPr>
            <w:r w:rsidRPr="00F45561">
              <w:rPr>
                <w:rFonts w:eastAsia="Batang" w:cs="Arial"/>
                <w:color w:val="000000"/>
                <w:spacing w:val="0"/>
                <w:lang w:val="en-ZA" w:eastAsia="en-ZA"/>
              </w:rPr>
              <w:t>-0,82%</w:t>
            </w:r>
          </w:p>
        </w:tc>
      </w:tr>
    </w:tbl>
    <w:p w14:paraId="6375D3AC" w14:textId="77777777" w:rsidR="00D10A08" w:rsidRPr="00F95315" w:rsidRDefault="00D10A08" w:rsidP="00D10A08">
      <w:pPr>
        <w:pStyle w:val="Char"/>
        <w:spacing w:line="360" w:lineRule="auto"/>
        <w:jc w:val="both"/>
        <w:rPr>
          <w:rFonts w:eastAsia="Calibri" w:cs="Arial"/>
          <w:bCs w:val="0"/>
          <w:szCs w:val="22"/>
          <w14:shadow w14:blurRad="50800" w14:dist="38100" w14:dir="2700000" w14:sx="100000" w14:sy="100000" w14:kx="0" w14:ky="0" w14:algn="tl">
            <w14:srgbClr w14:val="000000">
              <w14:alpha w14:val="60000"/>
            </w14:srgbClr>
          </w14:shadow>
        </w:rPr>
      </w:pPr>
    </w:p>
    <w:p w14:paraId="3A4664FF" w14:textId="77777777" w:rsidR="00344F1C" w:rsidRPr="00924781" w:rsidRDefault="00344F1C" w:rsidP="008C71AB">
      <w:pPr>
        <w:autoSpaceDE w:val="0"/>
        <w:autoSpaceDN w:val="0"/>
        <w:adjustRightInd w:val="0"/>
        <w:spacing w:after="160"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Expenditure under Programme 4 is mainly in the form of transfers through the HSDG (R18.7 billion) and the USDG (R12 billion). The HSDG allocation for 2019/20 is below inflation, and declines in real terms with 2.3 percent from the previous year.</w:t>
      </w:r>
    </w:p>
    <w:p w14:paraId="399D599D" w14:textId="77777777" w:rsidR="00344F1C" w:rsidRPr="00924781" w:rsidRDefault="00344F1C" w:rsidP="008C71AB">
      <w:pPr>
        <w:autoSpaceDE w:val="0"/>
        <w:autoSpaceDN w:val="0"/>
        <w:adjustRightInd w:val="0"/>
        <w:spacing w:after="160" w:line="360" w:lineRule="auto"/>
        <w:jc w:val="both"/>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Over the medium term, Cabinet has approved budget reductions of R3.4 billion to the HSDG and R200 million to the USDG. Despite these reductions, an additional R814.5 million is allocated over the medium term to the USDG to provide electricity to households in metropolitan cities; and additional allocations to the HSDG of R247 million in 2019/20 and R400 million in 2021/22 are earmarked for post-disaster relief in KwaZulu-Natal.</w:t>
      </w:r>
    </w:p>
    <w:p w14:paraId="6483A0BE" w14:textId="77777777" w:rsidR="00D10A08" w:rsidRPr="00924781" w:rsidRDefault="00B6225F"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5.</w:t>
      </w: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r>
      <w:r w:rsidR="00D10A08"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Delivery agreements for Outcome 8 for 2015/2016 (planned targets)</w:t>
      </w:r>
    </w:p>
    <w:p w14:paraId="28BA8885" w14:textId="77777777" w:rsidR="00D10A08"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sz w:val="24"/>
          <w14:shadow w14:blurRad="50800" w14:dist="38100" w14:dir="2700000" w14:sx="100000" w14:sy="100000" w14:kx="0" w14:ky="0" w14:algn="tl">
            <w14:srgbClr w14:val="000000">
              <w14:alpha w14:val="60000"/>
            </w14:srgbClr>
          </w14:shadow>
        </w:rPr>
        <w:t>Objective of Outcome 8 was to manage a comprehensive human settlements programme with multiple projects that covers extensive geographical spread aiming to improve the workings of the space economy.  This would be achieved by:</w:t>
      </w:r>
    </w:p>
    <w:p w14:paraId="17141496" w14:textId="77777777" w:rsidR="00D10A08" w:rsidRPr="00924781" w:rsidRDefault="00D10A08" w:rsidP="00D10A08">
      <w:pPr>
        <w:pStyle w:val="Char"/>
        <w:numPr>
          <w:ilvl w:val="0"/>
          <w:numId w:val="7"/>
        </w:numPr>
        <w:spacing w:after="0"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Providing poor households with adequate housing in better living environments;</w:t>
      </w:r>
    </w:p>
    <w:p w14:paraId="78666FCB" w14:textId="77777777" w:rsidR="00D10A08" w:rsidRPr="00924781" w:rsidRDefault="00D10A08" w:rsidP="00D10A08">
      <w:pPr>
        <w:pStyle w:val="Char"/>
        <w:numPr>
          <w:ilvl w:val="0"/>
          <w:numId w:val="7"/>
        </w:numPr>
        <w:spacing w:after="0"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Supporting the development of functional and equitable residential property market; and</w:t>
      </w:r>
    </w:p>
    <w:p w14:paraId="0CDBAC85" w14:textId="77777777" w:rsidR="00D10A08" w:rsidRPr="00924781" w:rsidRDefault="00D10A08" w:rsidP="00D10A08">
      <w:pPr>
        <w:pStyle w:val="Char"/>
        <w:numPr>
          <w:ilvl w:val="0"/>
          <w:numId w:val="7"/>
        </w:numPr>
        <w:spacing w:after="0"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Improving the institutional capacity &amp; coordination for better spatial targeting.</w:t>
      </w:r>
    </w:p>
    <w:p w14:paraId="627621D6" w14:textId="77777777" w:rsidR="00D10A08" w:rsidRPr="00924781" w:rsidRDefault="00D10A08" w:rsidP="00D10A08">
      <w:pPr>
        <w:pStyle w:val="Char"/>
        <w:spacing w:after="0" w:line="360" w:lineRule="auto"/>
        <w:jc w:val="both"/>
        <w:rPr>
          <w:rFonts w:ascii="Times New Roman" w:hAnsi="Times New Roman"/>
          <w:b/>
          <w:sz w:val="24"/>
        </w:rPr>
      </w:pPr>
    </w:p>
    <w:p w14:paraId="68FCFF6F" w14:textId="77777777" w:rsidR="00D10A08" w:rsidRPr="00924781" w:rsidRDefault="00D10A08" w:rsidP="00D10A08">
      <w:pPr>
        <w:spacing w:line="360" w:lineRule="auto"/>
        <w:rPr>
          <w:rFonts w:ascii="Times New Roman" w:hAnsi="Times New Roman"/>
          <w:color w:val="auto"/>
          <w:spacing w:val="0"/>
          <w:sz w:val="24"/>
          <w:szCs w:val="24"/>
          <w:lang w:val="en-ZA" w:eastAsia="en-ZA"/>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Housing delivery:  In terms of the Outcome 8 MTSF for Human Settlements, a total number of 1, 5 million housing opportunities will be delivered over the MTSF period of five years.  The 1. 5 million housing opportunities would consist of</w:t>
      </w:r>
      <w:r w:rsidRPr="00924781">
        <w:rPr>
          <w:rFonts w:ascii="Times New Roman" w:eastAsia="MS PGothic" w:hAnsi="Times New Roman"/>
          <w:color w:val="000000"/>
          <w:spacing w:val="0"/>
          <w:kern w:val="24"/>
          <w:sz w:val="24"/>
          <w:szCs w:val="24"/>
          <w:lang w:val="en-ZA" w:eastAsia="en-ZA"/>
        </w:rPr>
        <w:t>:</w:t>
      </w:r>
    </w:p>
    <w:p w14:paraId="4CE0265B" w14:textId="77777777" w:rsidR="00D10A08" w:rsidRPr="00924781" w:rsidRDefault="00D10A08" w:rsidP="00D10A08">
      <w:pPr>
        <w:pStyle w:val="Char"/>
        <w:numPr>
          <w:ilvl w:val="0"/>
          <w:numId w:val="7"/>
        </w:numPr>
        <w:spacing w:after="0"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750 000 households in informal settlements upgraded;</w:t>
      </w:r>
    </w:p>
    <w:p w14:paraId="4E2C5384" w14:textId="77777777" w:rsidR="00D10A08" w:rsidRPr="00924781" w:rsidRDefault="00D10A08" w:rsidP="00D10A08">
      <w:pPr>
        <w:pStyle w:val="Char"/>
        <w:numPr>
          <w:ilvl w:val="0"/>
          <w:numId w:val="7"/>
        </w:numPr>
        <w:spacing w:after="0"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563 000 individual units for subsidy market;</w:t>
      </w:r>
    </w:p>
    <w:p w14:paraId="158CBC5B" w14:textId="77777777" w:rsidR="00D10A08" w:rsidRPr="00924781" w:rsidRDefault="00D10A08" w:rsidP="00D10A08">
      <w:pPr>
        <w:pStyle w:val="Char"/>
        <w:numPr>
          <w:ilvl w:val="0"/>
          <w:numId w:val="7"/>
        </w:numPr>
        <w:spacing w:after="0"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110 000 loans (70 000 FLISP plus 40 000 DFIs)</w:t>
      </w:r>
    </w:p>
    <w:p w14:paraId="5322BAE3" w14:textId="77777777" w:rsidR="00D10A08" w:rsidRPr="00924781" w:rsidRDefault="00D10A08" w:rsidP="00D10A08">
      <w:pPr>
        <w:pStyle w:val="Char"/>
        <w:numPr>
          <w:ilvl w:val="0"/>
          <w:numId w:val="7"/>
        </w:numPr>
        <w:spacing w:after="0"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27 000 social housing;</w:t>
      </w:r>
    </w:p>
    <w:p w14:paraId="76686968" w14:textId="77777777" w:rsidR="00D10A08" w:rsidRPr="00924781" w:rsidRDefault="00D10A08" w:rsidP="00D10A08">
      <w:pPr>
        <w:pStyle w:val="Char"/>
        <w:numPr>
          <w:ilvl w:val="0"/>
          <w:numId w:val="7"/>
        </w:numPr>
        <w:spacing w:after="0"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10 000 CRU; and</w:t>
      </w:r>
    </w:p>
    <w:p w14:paraId="1EA0BDE8" w14:textId="77777777" w:rsidR="00D10A08" w:rsidRPr="00924781" w:rsidRDefault="00D10A08" w:rsidP="00D10A08">
      <w:pPr>
        <w:pStyle w:val="Char"/>
        <w:numPr>
          <w:ilvl w:val="0"/>
          <w:numId w:val="7"/>
        </w:numPr>
        <w:spacing w:after="0"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 xml:space="preserve">35 000 affordable </w:t>
      </w:r>
      <w:r w:rsidR="00132BB4"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rentals</w:t>
      </w: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w:t>
      </w:r>
    </w:p>
    <w:p w14:paraId="17A24254" w14:textId="77777777" w:rsidR="00D10A08"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p>
    <w:p w14:paraId="46D74A36" w14:textId="77777777" w:rsidR="00D10A08" w:rsidRPr="00924781" w:rsidRDefault="00D10A08"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Other targets</w:t>
      </w:r>
    </w:p>
    <w:p w14:paraId="4C46CE36" w14:textId="77777777" w:rsidR="00D10A08" w:rsidRPr="00924781" w:rsidRDefault="00D10A08" w:rsidP="00D10A08">
      <w:pPr>
        <w:pStyle w:val="Char"/>
        <w:numPr>
          <w:ilvl w:val="0"/>
          <w:numId w:val="7"/>
        </w:numPr>
        <w:spacing w:after="0"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2 200 informal settlements would be assessed; and</w:t>
      </w:r>
    </w:p>
    <w:p w14:paraId="5361CA3A" w14:textId="77777777" w:rsidR="00D10A08" w:rsidRPr="00924781" w:rsidRDefault="00D10A08" w:rsidP="00D10A08">
      <w:pPr>
        <w:pStyle w:val="Char"/>
        <w:numPr>
          <w:ilvl w:val="0"/>
          <w:numId w:val="7"/>
        </w:numPr>
        <w:spacing w:after="0"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Cs w:val="0"/>
          <w:sz w:val="24"/>
          <w14:shadow w14:blurRad="50800" w14:dist="38100" w14:dir="2700000" w14:sx="100000" w14:sy="100000" w14:kx="0" w14:ky="0" w14:algn="tl">
            <w14:srgbClr w14:val="000000">
              <w14:alpha w14:val="60000"/>
            </w14:srgbClr>
          </w14:shadow>
        </w:rPr>
        <w:t>10 000 ha of well-located land would be rezoned and released for new developments targeting poor and lower to middle income households.</w:t>
      </w:r>
    </w:p>
    <w:p w14:paraId="69980063" w14:textId="77777777" w:rsidR="00D10A08" w:rsidRPr="00924781" w:rsidRDefault="00D10A08" w:rsidP="00D10A08">
      <w:pPr>
        <w:pStyle w:val="Char"/>
        <w:spacing w:after="0" w:line="360" w:lineRule="auto"/>
        <w:ind w:left="720"/>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0753D6B2" w14:textId="77777777" w:rsidR="00D10A08" w:rsidRPr="00924781" w:rsidRDefault="00B6225F"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hAnsi="Times New Roman"/>
          <w:b/>
          <w:sz w:val="24"/>
        </w:rPr>
        <w:t>6</w:t>
      </w:r>
      <w:r w:rsidR="00D10A08" w:rsidRPr="00924781">
        <w:rPr>
          <w:rFonts w:ascii="Times New Roman" w:hAnsi="Times New Roman"/>
          <w:b/>
          <w:sz w:val="24"/>
        </w:rPr>
        <w:t>.</w:t>
      </w:r>
      <w:r w:rsidR="00D10A08" w:rsidRPr="00924781">
        <w:rPr>
          <w:rFonts w:ascii="Times New Roman" w:hAnsi="Times New Roman"/>
          <w:b/>
          <w:sz w:val="24"/>
        </w:rPr>
        <w:tab/>
      </w:r>
      <w:r w:rsidR="00D10A08"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 xml:space="preserve">Allocations over MTSF by economic classification </w:t>
      </w:r>
    </w:p>
    <w:tbl>
      <w:tblPr>
        <w:tblW w:w="10980" w:type="dxa"/>
        <w:tblInd w:w="-820" w:type="dxa"/>
        <w:tblCellMar>
          <w:left w:w="0" w:type="dxa"/>
          <w:right w:w="0" w:type="dxa"/>
        </w:tblCellMar>
        <w:tblLook w:val="04A0" w:firstRow="1" w:lastRow="0" w:firstColumn="1" w:lastColumn="0" w:noHBand="0" w:noVBand="1"/>
      </w:tblPr>
      <w:tblGrid>
        <w:gridCol w:w="4220"/>
        <w:gridCol w:w="1440"/>
        <w:gridCol w:w="1630"/>
        <w:gridCol w:w="1530"/>
        <w:gridCol w:w="2160"/>
      </w:tblGrid>
      <w:tr w:rsidR="00344F1C" w:rsidRPr="00F95315" w14:paraId="66EE2386" w14:textId="77777777" w:rsidTr="00BF0C07">
        <w:trPr>
          <w:trHeight w:val="27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36602063"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b/>
                <w:bCs/>
                <w:color w:val="000000" w:themeColor="text1"/>
                <w:spacing w:val="0"/>
                <w:kern w:val="24"/>
                <w:sz w:val="22"/>
                <w:szCs w:val="22"/>
                <w:lang w:val="en-US" w:eastAsia="en-US"/>
              </w:rPr>
              <w:t>Total allocation R`000</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20C758DF" w14:textId="77777777" w:rsidR="00344F1C" w:rsidRPr="00F95315" w:rsidRDefault="00344F1C" w:rsidP="00344F1C">
            <w:pPr>
              <w:spacing w:before="200" w:line="276" w:lineRule="auto"/>
              <w:jc w:val="center"/>
              <w:rPr>
                <w:rFonts w:cs="Arial"/>
                <w:color w:val="auto"/>
                <w:spacing w:val="0"/>
                <w:sz w:val="22"/>
                <w:szCs w:val="22"/>
                <w:lang w:val="en-US" w:eastAsia="en-US"/>
              </w:rPr>
            </w:pPr>
            <w:r w:rsidRPr="00F95315">
              <w:rPr>
                <w:rFonts w:cs="Arial"/>
                <w:b/>
                <w:bCs/>
                <w:color w:val="FFFFFF"/>
                <w:spacing w:val="0"/>
                <w:kern w:val="24"/>
                <w:sz w:val="22"/>
                <w:szCs w:val="22"/>
                <w:lang w:val="en-US" w:eastAsia="en-US"/>
              </w:rPr>
              <w:t>2019/20</w:t>
            </w:r>
          </w:p>
        </w:tc>
        <w:tc>
          <w:tcPr>
            <w:tcW w:w="16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1AA933DD" w14:textId="77777777" w:rsidR="00344F1C" w:rsidRPr="00F95315" w:rsidRDefault="00344F1C" w:rsidP="00344F1C">
            <w:pPr>
              <w:spacing w:before="200" w:line="276" w:lineRule="auto"/>
              <w:jc w:val="center"/>
              <w:rPr>
                <w:rFonts w:cs="Arial"/>
                <w:color w:val="auto"/>
                <w:spacing w:val="0"/>
                <w:sz w:val="22"/>
                <w:szCs w:val="22"/>
                <w:lang w:val="en-US" w:eastAsia="en-US"/>
              </w:rPr>
            </w:pPr>
            <w:r w:rsidRPr="00F95315">
              <w:rPr>
                <w:rFonts w:cs="Arial"/>
                <w:b/>
                <w:bCs/>
                <w:color w:val="FFFFFF"/>
                <w:spacing w:val="0"/>
                <w:kern w:val="24"/>
                <w:sz w:val="22"/>
                <w:szCs w:val="22"/>
                <w:lang w:val="en-US" w:eastAsia="en-US"/>
              </w:rPr>
              <w:t>2020/21</w:t>
            </w:r>
          </w:p>
        </w:tc>
        <w:tc>
          <w:tcPr>
            <w:tcW w:w="15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68375862" w14:textId="77777777" w:rsidR="00344F1C" w:rsidRPr="00F95315" w:rsidRDefault="00344F1C" w:rsidP="00344F1C">
            <w:pPr>
              <w:spacing w:before="200" w:line="276" w:lineRule="auto"/>
              <w:jc w:val="center"/>
              <w:rPr>
                <w:rFonts w:cs="Arial"/>
                <w:color w:val="auto"/>
                <w:spacing w:val="0"/>
                <w:sz w:val="22"/>
                <w:szCs w:val="22"/>
                <w:lang w:val="en-US" w:eastAsia="en-US"/>
              </w:rPr>
            </w:pPr>
            <w:r w:rsidRPr="00F95315">
              <w:rPr>
                <w:rFonts w:cs="Arial"/>
                <w:b/>
                <w:bCs/>
                <w:color w:val="FFFFFF"/>
                <w:spacing w:val="0"/>
                <w:kern w:val="24"/>
                <w:sz w:val="22"/>
                <w:szCs w:val="22"/>
                <w:lang w:val="en-US" w:eastAsia="en-US"/>
              </w:rPr>
              <w:t>2021/22</w:t>
            </w:r>
          </w:p>
        </w:tc>
        <w:tc>
          <w:tcPr>
            <w:tcW w:w="2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2E46A329" w14:textId="77777777" w:rsidR="00344F1C" w:rsidRPr="00F95315" w:rsidRDefault="00344F1C" w:rsidP="00344F1C">
            <w:pPr>
              <w:spacing w:before="200" w:line="276" w:lineRule="auto"/>
              <w:jc w:val="center"/>
              <w:rPr>
                <w:rFonts w:cs="Arial"/>
                <w:color w:val="auto"/>
                <w:spacing w:val="0"/>
                <w:sz w:val="22"/>
                <w:szCs w:val="22"/>
                <w:lang w:val="en-US" w:eastAsia="en-US"/>
              </w:rPr>
            </w:pPr>
            <w:r w:rsidRPr="00F95315">
              <w:rPr>
                <w:rFonts w:cs="Arial"/>
                <w:b/>
                <w:bCs/>
                <w:color w:val="FFFFFF"/>
                <w:spacing w:val="0"/>
                <w:kern w:val="24"/>
                <w:sz w:val="22"/>
                <w:szCs w:val="22"/>
                <w:lang w:val="en-US" w:eastAsia="en-US"/>
              </w:rPr>
              <w:t>Total MTEF</w:t>
            </w:r>
          </w:p>
        </w:tc>
      </w:tr>
      <w:tr w:rsidR="00344F1C" w:rsidRPr="00F95315" w14:paraId="2AB8A226" w14:textId="77777777" w:rsidTr="00BF0C07">
        <w:trPr>
          <w:trHeight w:val="203"/>
        </w:trPr>
        <w:tc>
          <w:tcPr>
            <w:tcW w:w="42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14:paraId="58D5BE65"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b/>
                <w:bCs/>
                <w:color w:val="FFFFFF"/>
                <w:spacing w:val="0"/>
                <w:kern w:val="24"/>
                <w:sz w:val="22"/>
                <w:szCs w:val="22"/>
                <w:lang w:val="en-US" w:eastAsia="en-US"/>
              </w:rPr>
              <w:t>Departmental Operations</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1AF6060E"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b/>
                <w:bCs/>
                <w:color w:val="FFFFFF"/>
                <w:spacing w:val="0"/>
                <w:kern w:val="24"/>
                <w:sz w:val="22"/>
                <w:szCs w:val="22"/>
                <w:lang w:val="en-US" w:eastAsia="en-US"/>
              </w:rPr>
              <w:t>843 322</w:t>
            </w:r>
          </w:p>
        </w:tc>
        <w:tc>
          <w:tcPr>
            <w:tcW w:w="16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6B5306FF"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b/>
                <w:bCs/>
                <w:color w:val="FFFFFF"/>
                <w:spacing w:val="0"/>
                <w:kern w:val="24"/>
                <w:sz w:val="22"/>
                <w:szCs w:val="22"/>
                <w:lang w:val="en-US" w:eastAsia="en-US"/>
              </w:rPr>
              <w:t>950 430</w:t>
            </w:r>
          </w:p>
        </w:tc>
        <w:tc>
          <w:tcPr>
            <w:tcW w:w="15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6B406284"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b/>
                <w:bCs/>
                <w:color w:val="FFFFFF"/>
                <w:spacing w:val="0"/>
                <w:kern w:val="24"/>
                <w:sz w:val="22"/>
                <w:szCs w:val="22"/>
                <w:lang w:val="en-US" w:eastAsia="en-US"/>
              </w:rPr>
              <w:t>1 006 879</w:t>
            </w:r>
          </w:p>
        </w:tc>
        <w:tc>
          <w:tcPr>
            <w:tcW w:w="2160" w:type="dxa"/>
            <w:tcBorders>
              <w:top w:val="single" w:sz="8" w:space="0" w:color="000000"/>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201041CA"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b/>
                <w:bCs/>
                <w:color w:val="FFFFFF"/>
                <w:spacing w:val="0"/>
                <w:kern w:val="24"/>
                <w:sz w:val="22"/>
                <w:szCs w:val="22"/>
                <w:lang w:val="en-US" w:eastAsia="en-US"/>
              </w:rPr>
              <w:t>2 800 631</w:t>
            </w:r>
          </w:p>
        </w:tc>
      </w:tr>
      <w:tr w:rsidR="00344F1C" w:rsidRPr="00F95315" w14:paraId="5633840F" w14:textId="77777777" w:rsidTr="00BF0C07">
        <w:trPr>
          <w:trHeight w:val="380"/>
        </w:trPr>
        <w:tc>
          <w:tcPr>
            <w:tcW w:w="422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bottom"/>
            <w:hideMark/>
          </w:tcPr>
          <w:p w14:paraId="08315563" w14:textId="77777777" w:rsidR="00344F1C" w:rsidRPr="00F95315" w:rsidRDefault="00344F1C" w:rsidP="00344F1C">
            <w:pPr>
              <w:spacing w:before="200" w:line="276" w:lineRule="auto"/>
              <w:ind w:firstLine="187"/>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Compensation of employees</w:t>
            </w:r>
          </w:p>
        </w:tc>
        <w:tc>
          <w:tcPr>
            <w:tcW w:w="144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67A578AD"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405 680</w:t>
            </w:r>
          </w:p>
        </w:tc>
        <w:tc>
          <w:tcPr>
            <w:tcW w:w="163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52136A26"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436 107</w:t>
            </w:r>
          </w:p>
        </w:tc>
        <w:tc>
          <w:tcPr>
            <w:tcW w:w="153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4DDC23D2"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464 454</w:t>
            </w:r>
          </w:p>
        </w:tc>
        <w:tc>
          <w:tcPr>
            <w:tcW w:w="2160" w:type="dxa"/>
            <w:tcBorders>
              <w:top w:val="single" w:sz="8" w:space="0" w:color="000000"/>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11571E56"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1 306 241</w:t>
            </w:r>
          </w:p>
        </w:tc>
      </w:tr>
      <w:tr w:rsidR="00344F1C" w:rsidRPr="00F95315" w14:paraId="75BC254B" w14:textId="77777777" w:rsidTr="00BF0C07">
        <w:trPr>
          <w:trHeight w:val="237"/>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bottom"/>
            <w:hideMark/>
          </w:tcPr>
          <w:p w14:paraId="115E23D8" w14:textId="77777777" w:rsidR="00344F1C" w:rsidRPr="00F95315" w:rsidRDefault="00344F1C" w:rsidP="00344F1C">
            <w:pPr>
              <w:spacing w:before="200" w:line="276" w:lineRule="auto"/>
              <w:ind w:firstLine="187"/>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Goods and services</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6391DAA0"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434 219</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6D7D1F10"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510 716</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741D9B13"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538 618</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2ED32842"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1 483 553</w:t>
            </w:r>
          </w:p>
        </w:tc>
      </w:tr>
      <w:tr w:rsidR="00344F1C" w:rsidRPr="00F95315" w14:paraId="28E69A5A" w14:textId="77777777" w:rsidTr="00BF0C07">
        <w:trPr>
          <w:trHeight w:val="183"/>
        </w:trPr>
        <w:tc>
          <w:tcPr>
            <w:tcW w:w="422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4DEFACB9" w14:textId="77777777" w:rsidR="00344F1C" w:rsidRPr="00F95315" w:rsidRDefault="00344F1C" w:rsidP="00344F1C">
            <w:pPr>
              <w:spacing w:before="200" w:line="276" w:lineRule="auto"/>
              <w:ind w:firstLine="187"/>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Payment for Capital assets</w:t>
            </w:r>
          </w:p>
        </w:tc>
        <w:tc>
          <w:tcPr>
            <w:tcW w:w="144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EC2266C"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3 423</w:t>
            </w:r>
          </w:p>
        </w:tc>
        <w:tc>
          <w:tcPr>
            <w:tcW w:w="163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948E8AE"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3 607</w:t>
            </w:r>
          </w:p>
        </w:tc>
        <w:tc>
          <w:tcPr>
            <w:tcW w:w="153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D134754"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3 807</w:t>
            </w:r>
          </w:p>
        </w:tc>
        <w:tc>
          <w:tcPr>
            <w:tcW w:w="2160" w:type="dxa"/>
            <w:tcBorders>
              <w:top w:val="nil"/>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67A465E9"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10 837</w:t>
            </w:r>
          </w:p>
        </w:tc>
      </w:tr>
      <w:tr w:rsidR="00344F1C" w:rsidRPr="00F95315" w14:paraId="4F168D59" w14:textId="77777777" w:rsidTr="00BF0C07">
        <w:trPr>
          <w:trHeight w:val="294"/>
        </w:trPr>
        <w:tc>
          <w:tcPr>
            <w:tcW w:w="4220" w:type="dxa"/>
            <w:tcBorders>
              <w:top w:val="single" w:sz="8" w:space="0" w:color="000000"/>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bottom"/>
            <w:hideMark/>
          </w:tcPr>
          <w:p w14:paraId="31BC2817"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b/>
                <w:bCs/>
                <w:color w:val="FFFFFF"/>
                <w:spacing w:val="0"/>
                <w:kern w:val="24"/>
                <w:sz w:val="22"/>
                <w:szCs w:val="22"/>
                <w:lang w:val="en-US" w:eastAsia="en-US"/>
              </w:rPr>
              <w:t>Grants and transfer payments</w:t>
            </w:r>
          </w:p>
        </w:tc>
        <w:tc>
          <w:tcPr>
            <w:tcW w:w="14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1A5AD971"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FFFFFF"/>
                <w:spacing w:val="0"/>
                <w:kern w:val="24"/>
                <w:sz w:val="22"/>
                <w:szCs w:val="22"/>
                <w:lang w:val="en-US" w:eastAsia="en-US"/>
              </w:rPr>
              <w:t>32 985 844</w:t>
            </w:r>
          </w:p>
        </w:tc>
        <w:tc>
          <w:tcPr>
            <w:tcW w:w="1630" w:type="dxa"/>
            <w:tcBorders>
              <w:top w:val="single" w:sz="8" w:space="0" w:color="000000"/>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2A548AC9"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FFFFFF"/>
                <w:spacing w:val="0"/>
                <w:kern w:val="24"/>
                <w:sz w:val="22"/>
                <w:szCs w:val="22"/>
                <w:lang w:val="en-US" w:eastAsia="en-US"/>
              </w:rPr>
              <w:t>34 181 615</w:t>
            </w:r>
          </w:p>
        </w:tc>
        <w:tc>
          <w:tcPr>
            <w:tcW w:w="1530" w:type="dxa"/>
            <w:tcBorders>
              <w:top w:val="single" w:sz="8" w:space="0" w:color="000000"/>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085D067B"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FFFFFF"/>
                <w:spacing w:val="0"/>
                <w:kern w:val="24"/>
                <w:sz w:val="22"/>
                <w:szCs w:val="22"/>
                <w:lang w:val="en-US" w:eastAsia="en-US"/>
              </w:rPr>
              <w:t>35 663 968</w:t>
            </w:r>
          </w:p>
        </w:tc>
        <w:tc>
          <w:tcPr>
            <w:tcW w:w="2160" w:type="dxa"/>
            <w:tcBorders>
              <w:top w:val="single" w:sz="8" w:space="0" w:color="000000"/>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73CE5EC4"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b/>
                <w:bCs/>
                <w:color w:val="FFFFFF"/>
                <w:spacing w:val="0"/>
                <w:kern w:val="24"/>
                <w:sz w:val="22"/>
                <w:szCs w:val="22"/>
                <w:lang w:val="en-US" w:eastAsia="en-US"/>
              </w:rPr>
              <w:t>102 881 427</w:t>
            </w:r>
          </w:p>
        </w:tc>
      </w:tr>
      <w:tr w:rsidR="00344F1C" w:rsidRPr="00F95315" w14:paraId="1F7062AF" w14:textId="77777777" w:rsidTr="00BF0C07">
        <w:trPr>
          <w:trHeight w:val="241"/>
        </w:trPr>
        <w:tc>
          <w:tcPr>
            <w:tcW w:w="42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14:paraId="2F396AD2"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b/>
                <w:bCs/>
                <w:color w:val="000000" w:themeColor="text1"/>
                <w:spacing w:val="0"/>
                <w:kern w:val="24"/>
                <w:sz w:val="22"/>
                <w:szCs w:val="22"/>
                <w:lang w:val="en-US" w:eastAsia="en-US"/>
              </w:rPr>
              <w:t>Grants</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48C3CBD0"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31 798 901</w:t>
            </w:r>
          </w:p>
        </w:tc>
        <w:tc>
          <w:tcPr>
            <w:tcW w:w="16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1A6EB605"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32 685 496</w:t>
            </w:r>
          </w:p>
        </w:tc>
        <w:tc>
          <w:tcPr>
            <w:tcW w:w="15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24498DEC"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33 954 676</w:t>
            </w:r>
          </w:p>
        </w:tc>
        <w:tc>
          <w:tcPr>
            <w:tcW w:w="2160" w:type="dxa"/>
            <w:tcBorders>
              <w:top w:val="single" w:sz="8" w:space="0" w:color="000000"/>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34D661BD"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98 439 073</w:t>
            </w:r>
          </w:p>
        </w:tc>
      </w:tr>
      <w:tr w:rsidR="00344F1C" w:rsidRPr="00F95315" w14:paraId="22A507B1" w14:textId="77777777" w:rsidTr="00BF0C07">
        <w:trPr>
          <w:trHeight w:val="294"/>
        </w:trPr>
        <w:tc>
          <w:tcPr>
            <w:tcW w:w="422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358690F1"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spacing w:val="0"/>
                <w:kern w:val="24"/>
                <w:sz w:val="22"/>
                <w:szCs w:val="22"/>
                <w:lang w:val="en-US" w:eastAsia="en-US"/>
              </w:rPr>
              <w:t>Human Settlements Development Grant</w:t>
            </w:r>
          </w:p>
        </w:tc>
        <w:tc>
          <w:tcPr>
            <w:tcW w:w="144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6733E54"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18 779 815</w:t>
            </w:r>
          </w:p>
        </w:tc>
        <w:tc>
          <w:tcPr>
            <w:tcW w:w="163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E2AC8A7"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15 936 617</w:t>
            </w:r>
          </w:p>
        </w:tc>
        <w:tc>
          <w:tcPr>
            <w:tcW w:w="153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1A60619F"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15 397 240</w:t>
            </w:r>
          </w:p>
        </w:tc>
        <w:tc>
          <w:tcPr>
            <w:tcW w:w="2160" w:type="dxa"/>
            <w:tcBorders>
              <w:top w:val="single" w:sz="8" w:space="0" w:color="000000"/>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7E8DD804"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50 113 672</w:t>
            </w:r>
          </w:p>
        </w:tc>
      </w:tr>
      <w:tr w:rsidR="00344F1C" w:rsidRPr="00F95315" w14:paraId="5796F2EC" w14:textId="77777777" w:rsidTr="00BF0C07">
        <w:trPr>
          <w:trHeight w:val="294"/>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bottom"/>
            <w:hideMark/>
          </w:tcPr>
          <w:p w14:paraId="3024DD0E"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Informal Settlements Upgrading Partnership Grant Provinces</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11412E11"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C90FCB3"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3 015 286</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313B0D2F"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4 321 909</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417599B8"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7 337 195</w:t>
            </w:r>
          </w:p>
        </w:tc>
      </w:tr>
      <w:tr w:rsidR="00344F1C" w:rsidRPr="00F95315" w14:paraId="07E383E9" w14:textId="77777777" w:rsidTr="00BF0C07">
        <w:trPr>
          <w:trHeight w:val="294"/>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54F221B9"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spacing w:val="0"/>
                <w:kern w:val="24"/>
                <w:sz w:val="22"/>
                <w:szCs w:val="22"/>
                <w:lang w:val="en-US" w:eastAsia="en-US"/>
              </w:rPr>
              <w:t>Provincial Emergency Housing Grant</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680495D0"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276 900</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12F44414"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294 899</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3FE45BE1"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311 118</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36A58B73"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882 917</w:t>
            </w:r>
          </w:p>
        </w:tc>
      </w:tr>
      <w:tr w:rsidR="00344F1C" w:rsidRPr="00F95315" w14:paraId="2F15F320" w14:textId="77777777" w:rsidTr="00BF0C07">
        <w:trPr>
          <w:trHeight w:val="294"/>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3E483FE9"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spacing w:val="0"/>
                <w:kern w:val="24"/>
                <w:sz w:val="22"/>
                <w:szCs w:val="22"/>
                <w:lang w:val="en-US" w:eastAsia="en-US"/>
              </w:rPr>
              <w:t>Title Deeds Restoration Grant</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74C8A54F"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547 700</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507AB578"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577 823</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E909A7B"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5C832B03"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1 125 523</w:t>
            </w:r>
          </w:p>
        </w:tc>
      </w:tr>
      <w:tr w:rsidR="00344F1C" w:rsidRPr="00F95315" w14:paraId="7A62D184" w14:textId="77777777" w:rsidTr="00BF0C07">
        <w:trPr>
          <w:trHeight w:val="294"/>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781CCEB7"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spacing w:val="0"/>
                <w:kern w:val="24"/>
                <w:sz w:val="22"/>
                <w:szCs w:val="22"/>
                <w:lang w:val="en-US" w:eastAsia="en-US"/>
              </w:rPr>
              <w:t>Urban Settlements Development Grant</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4333640"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12 045 386</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3BB4DACA"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9 716 794</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243A514C"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9 373 053</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6C4DA93F"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31 135 233</w:t>
            </w:r>
          </w:p>
        </w:tc>
      </w:tr>
      <w:tr w:rsidR="00344F1C" w:rsidRPr="00F95315" w14:paraId="3EDB3441" w14:textId="77777777" w:rsidTr="00BF0C07">
        <w:trPr>
          <w:trHeight w:val="179"/>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bottom"/>
            <w:hideMark/>
          </w:tcPr>
          <w:p w14:paraId="3C0CAA11"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Informal Settlements Upgrading Partnership Grant Municipalities</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4CE5246B"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DB2F956"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2 985 285</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26141144"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4 383 830</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6AE719F1"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7 369 115</w:t>
            </w:r>
          </w:p>
        </w:tc>
      </w:tr>
      <w:tr w:rsidR="00344F1C" w:rsidRPr="00F95315" w14:paraId="7F5AB391" w14:textId="77777777" w:rsidTr="00BF0C07">
        <w:trPr>
          <w:trHeight w:val="294"/>
        </w:trPr>
        <w:tc>
          <w:tcPr>
            <w:tcW w:w="422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A706545"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spacing w:val="0"/>
                <w:kern w:val="24"/>
                <w:sz w:val="22"/>
                <w:szCs w:val="22"/>
                <w:lang w:val="en-US" w:eastAsia="en-US"/>
              </w:rPr>
              <w:t>Municipal Emergency Housing Grant</w:t>
            </w:r>
          </w:p>
        </w:tc>
        <w:tc>
          <w:tcPr>
            <w:tcW w:w="144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4EA0918"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149 100</w:t>
            </w:r>
          </w:p>
        </w:tc>
        <w:tc>
          <w:tcPr>
            <w:tcW w:w="163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16BAF77"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158 792</w:t>
            </w:r>
          </w:p>
        </w:tc>
        <w:tc>
          <w:tcPr>
            <w:tcW w:w="153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B374896"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167 526</w:t>
            </w:r>
          </w:p>
        </w:tc>
        <w:tc>
          <w:tcPr>
            <w:tcW w:w="2160" w:type="dxa"/>
            <w:tcBorders>
              <w:top w:val="nil"/>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12E892F6"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475 418</w:t>
            </w:r>
          </w:p>
        </w:tc>
      </w:tr>
      <w:tr w:rsidR="00344F1C" w:rsidRPr="00F95315" w14:paraId="74735A4F" w14:textId="77777777" w:rsidTr="00BF0C07">
        <w:trPr>
          <w:trHeight w:val="212"/>
        </w:trPr>
        <w:tc>
          <w:tcPr>
            <w:tcW w:w="42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bottom"/>
            <w:hideMark/>
          </w:tcPr>
          <w:p w14:paraId="55A7B776"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b/>
                <w:bCs/>
                <w:color w:val="000000" w:themeColor="text1"/>
                <w:spacing w:val="0"/>
                <w:kern w:val="24"/>
                <w:sz w:val="22"/>
                <w:szCs w:val="22"/>
                <w:lang w:val="en-US" w:eastAsia="en-US"/>
              </w:rPr>
              <w:t>Entities</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1E361864"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1 222 884</w:t>
            </w:r>
          </w:p>
        </w:tc>
        <w:tc>
          <w:tcPr>
            <w:tcW w:w="16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1C5264BC"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1 481 146</w:t>
            </w:r>
          </w:p>
        </w:tc>
        <w:tc>
          <w:tcPr>
            <w:tcW w:w="15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1FEF40D0"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1 693 307</w:t>
            </w:r>
          </w:p>
        </w:tc>
        <w:tc>
          <w:tcPr>
            <w:tcW w:w="2160" w:type="dxa"/>
            <w:tcBorders>
              <w:top w:val="single" w:sz="8" w:space="0" w:color="000000"/>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38962E19"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4 397 337</w:t>
            </w:r>
          </w:p>
        </w:tc>
      </w:tr>
      <w:tr w:rsidR="00344F1C" w:rsidRPr="00F95315" w14:paraId="6D654381" w14:textId="77777777" w:rsidTr="00BF0C07">
        <w:trPr>
          <w:trHeight w:val="294"/>
        </w:trPr>
        <w:tc>
          <w:tcPr>
            <w:tcW w:w="422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85C71C1"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spacing w:val="0"/>
                <w:kern w:val="24"/>
                <w:sz w:val="22"/>
                <w:szCs w:val="22"/>
                <w:lang w:val="en-US" w:eastAsia="en-US"/>
              </w:rPr>
              <w:t>Social Housing Regulatory Authority (SHRA): Operational</w:t>
            </w:r>
          </w:p>
        </w:tc>
        <w:tc>
          <w:tcPr>
            <w:tcW w:w="144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5D849FB3"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65 761</w:t>
            </w:r>
          </w:p>
        </w:tc>
        <w:tc>
          <w:tcPr>
            <w:tcW w:w="163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43EF84C5"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69 378</w:t>
            </w:r>
          </w:p>
        </w:tc>
        <w:tc>
          <w:tcPr>
            <w:tcW w:w="153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56C5653D"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73 194</w:t>
            </w:r>
          </w:p>
        </w:tc>
        <w:tc>
          <w:tcPr>
            <w:tcW w:w="2160" w:type="dxa"/>
            <w:tcBorders>
              <w:top w:val="single" w:sz="8" w:space="0" w:color="000000"/>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6DC9AFAC"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208 333</w:t>
            </w:r>
          </w:p>
        </w:tc>
      </w:tr>
      <w:tr w:rsidR="00344F1C" w:rsidRPr="00F95315" w14:paraId="0B1396DD" w14:textId="77777777" w:rsidTr="00BF0C07">
        <w:trPr>
          <w:trHeight w:val="294"/>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60DBACF7"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SHRA: Institutional Investment</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6687585E"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21 259</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715609C7"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22 428</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CC20C42"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23 662</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0B5D0849"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67 349</w:t>
            </w:r>
          </w:p>
        </w:tc>
      </w:tr>
      <w:tr w:rsidR="00344F1C" w:rsidRPr="00F95315" w14:paraId="48B6BA8B" w14:textId="77777777" w:rsidTr="00BF0C07">
        <w:trPr>
          <w:trHeight w:val="295"/>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98F548F"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SHRA: Consolidated Capital grant</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5AABB53C"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723 706</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8549CFC"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762 747</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31172F63"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804 646</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6181B983"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2 291 099</w:t>
            </w:r>
          </w:p>
        </w:tc>
      </w:tr>
      <w:tr w:rsidR="00344F1C" w:rsidRPr="00F95315" w14:paraId="6E1AF7D6" w14:textId="77777777" w:rsidTr="00BF0C07">
        <w:trPr>
          <w:trHeight w:val="299"/>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251F4C2D"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spacing w:val="0"/>
                <w:kern w:val="24"/>
                <w:sz w:val="22"/>
                <w:szCs w:val="22"/>
                <w:lang w:val="en-US" w:eastAsia="en-US"/>
              </w:rPr>
              <w:t>Community Schemes Ombud Services</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3CBA207B"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32 847</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4B7CE91F"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34 654</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12082D52"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36 560</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5EBF5B35"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104 061</w:t>
            </w:r>
          </w:p>
        </w:tc>
      </w:tr>
      <w:tr w:rsidR="00344F1C" w:rsidRPr="00F95315" w14:paraId="11EF8927" w14:textId="77777777" w:rsidTr="00BF0C07">
        <w:trPr>
          <w:trHeight w:val="588"/>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1BA2C90D"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National Housing Finance Corporation (NHFC): Financed Linked Individual Subsidy Programme (FLISP)</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4F07B863"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95 000</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76397E6F"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334 250</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16B46BAD"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480 000</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22938F5C"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909 250</w:t>
            </w:r>
          </w:p>
        </w:tc>
      </w:tr>
      <w:tr w:rsidR="00344F1C" w:rsidRPr="00F95315" w14:paraId="67EEC9C2" w14:textId="77777777" w:rsidTr="00BF0C07">
        <w:trPr>
          <w:trHeight w:val="294"/>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2D6D50A5"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 xml:space="preserve">NHFC: Operational support FLISP </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55BB9B9D"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5 000</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194DAF6D"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15 750</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544FB6D2"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20 000</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11258868"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40 750</w:t>
            </w:r>
          </w:p>
        </w:tc>
      </w:tr>
      <w:tr w:rsidR="00344F1C" w:rsidRPr="00F95315" w14:paraId="28F36A46" w14:textId="77777777" w:rsidTr="00BF0C07">
        <w:trPr>
          <w:trHeight w:val="294"/>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bottom"/>
            <w:hideMark/>
          </w:tcPr>
          <w:p w14:paraId="4EBEF85C"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National Housing Finance Corporation- Capitalization of  the HSDB</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F4AB5F2"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50 000</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4032B432"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7437AD3D"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16FDFD84"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50 000</w:t>
            </w:r>
          </w:p>
        </w:tc>
      </w:tr>
      <w:tr w:rsidR="00344F1C" w:rsidRPr="00F95315" w14:paraId="42A9C309" w14:textId="77777777" w:rsidTr="00BF0C07">
        <w:trPr>
          <w:trHeight w:val="222"/>
        </w:trPr>
        <w:tc>
          <w:tcPr>
            <w:tcW w:w="422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D40D78C"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spacing w:val="0"/>
                <w:kern w:val="24"/>
                <w:sz w:val="22"/>
                <w:szCs w:val="22"/>
                <w:lang w:val="en-US" w:eastAsia="en-US"/>
              </w:rPr>
              <w:t>Housing Development Agency</w:t>
            </w:r>
          </w:p>
        </w:tc>
        <w:tc>
          <w:tcPr>
            <w:tcW w:w="144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B99E0B6"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229 311</w:t>
            </w:r>
          </w:p>
        </w:tc>
        <w:tc>
          <w:tcPr>
            <w:tcW w:w="163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94E9191"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241 939</w:t>
            </w:r>
          </w:p>
        </w:tc>
        <w:tc>
          <w:tcPr>
            <w:tcW w:w="153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6332D49"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255 245</w:t>
            </w:r>
          </w:p>
        </w:tc>
        <w:tc>
          <w:tcPr>
            <w:tcW w:w="2160" w:type="dxa"/>
            <w:tcBorders>
              <w:top w:val="nil"/>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445D198B"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726 495</w:t>
            </w:r>
          </w:p>
        </w:tc>
      </w:tr>
      <w:tr w:rsidR="00344F1C" w:rsidRPr="00F95315" w14:paraId="3477FB07" w14:textId="77777777" w:rsidTr="00BF0C07">
        <w:trPr>
          <w:trHeight w:val="168"/>
        </w:trPr>
        <w:tc>
          <w:tcPr>
            <w:tcW w:w="42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05AC0C6F"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b/>
                <w:bCs/>
                <w:color w:val="000000"/>
                <w:spacing w:val="0"/>
                <w:kern w:val="24"/>
                <w:sz w:val="22"/>
                <w:szCs w:val="22"/>
                <w:lang w:val="en-US" w:eastAsia="en-US"/>
              </w:rPr>
              <w:t>Departmental Transfers</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3465C1D6"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14 049</w:t>
            </w:r>
          </w:p>
        </w:tc>
        <w:tc>
          <w:tcPr>
            <w:tcW w:w="16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3EC9FB78"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14 973</w:t>
            </w:r>
          </w:p>
        </w:tc>
        <w:tc>
          <w:tcPr>
            <w:tcW w:w="15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65C1046E"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15 985</w:t>
            </w:r>
          </w:p>
        </w:tc>
        <w:tc>
          <w:tcPr>
            <w:tcW w:w="2160" w:type="dxa"/>
            <w:tcBorders>
              <w:top w:val="single" w:sz="8" w:space="0" w:color="000000"/>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38D3E7FF"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b/>
                <w:bCs/>
                <w:color w:val="000000"/>
                <w:spacing w:val="0"/>
                <w:kern w:val="24"/>
                <w:sz w:val="22"/>
                <w:szCs w:val="22"/>
                <w:lang w:val="en-US" w:eastAsia="en-US"/>
              </w:rPr>
              <w:t>45 017</w:t>
            </w:r>
          </w:p>
        </w:tc>
      </w:tr>
      <w:tr w:rsidR="00344F1C" w:rsidRPr="00F95315" w14:paraId="470F9D70" w14:textId="77777777" w:rsidTr="00BF0C07">
        <w:trPr>
          <w:trHeight w:val="235"/>
        </w:trPr>
        <w:tc>
          <w:tcPr>
            <w:tcW w:w="422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bottom"/>
            <w:hideMark/>
          </w:tcPr>
          <w:p w14:paraId="79E609C4"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Bursaries Scheme</w:t>
            </w:r>
          </w:p>
        </w:tc>
        <w:tc>
          <w:tcPr>
            <w:tcW w:w="144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9119653"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7 474</w:t>
            </w:r>
          </w:p>
        </w:tc>
        <w:tc>
          <w:tcPr>
            <w:tcW w:w="163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02C093D8"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8 078</w:t>
            </w:r>
          </w:p>
        </w:tc>
        <w:tc>
          <w:tcPr>
            <w:tcW w:w="1530" w:type="dxa"/>
            <w:tcBorders>
              <w:top w:val="single" w:sz="8" w:space="0" w:color="000000"/>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30F486F5"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8 715</w:t>
            </w:r>
          </w:p>
        </w:tc>
        <w:tc>
          <w:tcPr>
            <w:tcW w:w="2160" w:type="dxa"/>
            <w:tcBorders>
              <w:top w:val="single" w:sz="8" w:space="0" w:color="000000"/>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2FEA3568"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24 267</w:t>
            </w:r>
          </w:p>
        </w:tc>
      </w:tr>
      <w:tr w:rsidR="00344F1C" w:rsidRPr="00F95315" w14:paraId="3DB7503B" w14:textId="77777777" w:rsidTr="00BF0C07">
        <w:trPr>
          <w:trHeight w:val="294"/>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bottom"/>
            <w:hideMark/>
          </w:tcPr>
          <w:p w14:paraId="3D17B68B"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UN Habitat</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51C2B8B4"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2 400</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3634B2CC"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2 695</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1EBC1B0C"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3 050</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31665428"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8 145</w:t>
            </w:r>
          </w:p>
        </w:tc>
      </w:tr>
      <w:tr w:rsidR="00344F1C" w:rsidRPr="00F95315" w14:paraId="7C01A47F" w14:textId="77777777" w:rsidTr="00BF0C07">
        <w:trPr>
          <w:trHeight w:val="247"/>
        </w:trPr>
        <w:tc>
          <w:tcPr>
            <w:tcW w:w="422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3C8DCF23"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spacing w:val="0"/>
                <w:kern w:val="24"/>
                <w:sz w:val="22"/>
                <w:szCs w:val="22"/>
                <w:lang w:val="en-US" w:eastAsia="en-US"/>
              </w:rPr>
              <w:t>City Alliance</w:t>
            </w:r>
          </w:p>
        </w:tc>
        <w:tc>
          <w:tcPr>
            <w:tcW w:w="144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2750342E"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685</w:t>
            </w:r>
          </w:p>
        </w:tc>
        <w:tc>
          <w:tcPr>
            <w:tcW w:w="16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4AEE809B"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700</w:t>
            </w:r>
          </w:p>
        </w:tc>
        <w:tc>
          <w:tcPr>
            <w:tcW w:w="1530" w:type="dxa"/>
            <w:tcBorders>
              <w:top w:val="nil"/>
              <w:left w:val="single" w:sz="8" w:space="0" w:color="000000"/>
              <w:bottom w:val="nil"/>
              <w:right w:val="single" w:sz="8" w:space="0" w:color="000000"/>
            </w:tcBorders>
            <w:shd w:val="clear" w:color="auto" w:fill="auto"/>
            <w:tcMar>
              <w:top w:w="15" w:type="dxa"/>
              <w:left w:w="96" w:type="dxa"/>
              <w:bottom w:w="0" w:type="dxa"/>
              <w:right w:w="96" w:type="dxa"/>
            </w:tcMar>
            <w:vAlign w:val="center"/>
            <w:hideMark/>
          </w:tcPr>
          <w:p w14:paraId="3AC8A77B"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720</w:t>
            </w:r>
          </w:p>
        </w:tc>
        <w:tc>
          <w:tcPr>
            <w:tcW w:w="2160" w:type="dxa"/>
            <w:tcBorders>
              <w:top w:val="nil"/>
              <w:left w:val="single" w:sz="8" w:space="0" w:color="000000"/>
              <w:bottom w:val="nil"/>
              <w:right w:val="single" w:sz="8" w:space="0" w:color="000000"/>
            </w:tcBorders>
            <w:shd w:val="clear" w:color="auto" w:fill="00B050"/>
            <w:tcMar>
              <w:top w:w="15" w:type="dxa"/>
              <w:left w:w="96" w:type="dxa"/>
              <w:bottom w:w="0" w:type="dxa"/>
              <w:right w:w="96" w:type="dxa"/>
            </w:tcMar>
            <w:vAlign w:val="center"/>
            <w:hideMark/>
          </w:tcPr>
          <w:p w14:paraId="3ECDE61C"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color w:val="000000" w:themeColor="text1"/>
                <w:spacing w:val="0"/>
                <w:kern w:val="24"/>
                <w:sz w:val="22"/>
                <w:szCs w:val="22"/>
                <w:lang w:val="en-US" w:eastAsia="en-US"/>
              </w:rPr>
              <w:t>2 105</w:t>
            </w:r>
          </w:p>
        </w:tc>
      </w:tr>
      <w:tr w:rsidR="00344F1C" w:rsidRPr="00F95315" w14:paraId="594746E6" w14:textId="77777777" w:rsidTr="00BF0C07">
        <w:trPr>
          <w:trHeight w:val="294"/>
        </w:trPr>
        <w:tc>
          <w:tcPr>
            <w:tcW w:w="422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610A4A7"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color w:val="000000"/>
                <w:spacing w:val="0"/>
                <w:kern w:val="24"/>
                <w:sz w:val="22"/>
                <w:szCs w:val="22"/>
                <w:lang w:val="en-US" w:eastAsia="en-US"/>
              </w:rPr>
              <w:t>Mangosuthu  University of Technology</w:t>
            </w:r>
          </w:p>
        </w:tc>
        <w:tc>
          <w:tcPr>
            <w:tcW w:w="144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7899913"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3 500</w:t>
            </w:r>
          </w:p>
        </w:tc>
        <w:tc>
          <w:tcPr>
            <w:tcW w:w="163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4C231C9"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3 500</w:t>
            </w:r>
          </w:p>
        </w:tc>
        <w:tc>
          <w:tcPr>
            <w:tcW w:w="1530" w:type="dxa"/>
            <w:tcBorders>
              <w:top w:val="nil"/>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8FCDB97"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3 500</w:t>
            </w:r>
          </w:p>
        </w:tc>
        <w:tc>
          <w:tcPr>
            <w:tcW w:w="2160" w:type="dxa"/>
            <w:tcBorders>
              <w:top w:val="nil"/>
              <w:left w:val="single" w:sz="8" w:space="0" w:color="000000"/>
              <w:bottom w:val="single" w:sz="8" w:space="0" w:color="000000"/>
              <w:right w:val="single" w:sz="8" w:space="0" w:color="000000"/>
            </w:tcBorders>
            <w:shd w:val="clear" w:color="auto" w:fill="00B050"/>
            <w:tcMar>
              <w:top w:w="15" w:type="dxa"/>
              <w:left w:w="96" w:type="dxa"/>
              <w:bottom w:w="0" w:type="dxa"/>
              <w:right w:w="96" w:type="dxa"/>
            </w:tcMar>
            <w:vAlign w:val="center"/>
            <w:hideMark/>
          </w:tcPr>
          <w:p w14:paraId="6780F516" w14:textId="77777777" w:rsidR="00344F1C" w:rsidRPr="00F95315" w:rsidRDefault="00344F1C" w:rsidP="00344F1C">
            <w:pPr>
              <w:spacing w:line="276" w:lineRule="auto"/>
              <w:jc w:val="right"/>
              <w:textAlignment w:val="bottom"/>
              <w:rPr>
                <w:rFonts w:cs="Arial"/>
                <w:color w:val="auto"/>
                <w:spacing w:val="0"/>
                <w:sz w:val="22"/>
                <w:szCs w:val="22"/>
                <w:lang w:val="en-US" w:eastAsia="en-US"/>
              </w:rPr>
            </w:pPr>
            <w:r w:rsidRPr="00F95315">
              <w:rPr>
                <w:rFonts w:cs="Arial"/>
                <w:color w:val="000000"/>
                <w:spacing w:val="0"/>
                <w:kern w:val="24"/>
                <w:sz w:val="22"/>
                <w:szCs w:val="22"/>
                <w:lang w:val="en-US" w:eastAsia="en-US"/>
              </w:rPr>
              <w:t>10 500</w:t>
            </w:r>
          </w:p>
        </w:tc>
      </w:tr>
      <w:tr w:rsidR="00344F1C" w:rsidRPr="00F95315" w14:paraId="62AD254D" w14:textId="77777777" w:rsidTr="00BF0C07">
        <w:trPr>
          <w:trHeight w:val="294"/>
        </w:trPr>
        <w:tc>
          <w:tcPr>
            <w:tcW w:w="42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1E77D3B4" w14:textId="77777777" w:rsidR="00344F1C" w:rsidRPr="00F95315" w:rsidRDefault="00344F1C" w:rsidP="00344F1C">
            <w:pPr>
              <w:spacing w:before="200" w:line="276" w:lineRule="auto"/>
              <w:rPr>
                <w:rFonts w:cs="Arial"/>
                <w:color w:val="auto"/>
                <w:spacing w:val="0"/>
                <w:sz w:val="22"/>
                <w:szCs w:val="22"/>
                <w:lang w:val="en-US" w:eastAsia="en-US"/>
              </w:rPr>
            </w:pPr>
            <w:r w:rsidRPr="00F95315">
              <w:rPr>
                <w:rFonts w:cs="Arial"/>
                <w:b/>
                <w:bCs/>
                <w:color w:val="FFFFFF"/>
                <w:spacing w:val="0"/>
                <w:kern w:val="24"/>
                <w:sz w:val="22"/>
                <w:szCs w:val="22"/>
                <w:lang w:val="en-US" w:eastAsia="en-US"/>
              </w:rPr>
              <w:t>Total</w:t>
            </w:r>
          </w:p>
        </w:tc>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76015450"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b/>
                <w:bCs/>
                <w:color w:val="FFFFFF"/>
                <w:spacing w:val="0"/>
                <w:kern w:val="24"/>
                <w:sz w:val="22"/>
                <w:szCs w:val="22"/>
                <w:lang w:val="en-US" w:eastAsia="en-US"/>
              </w:rPr>
              <w:t>33 879 166</w:t>
            </w:r>
          </w:p>
        </w:tc>
        <w:tc>
          <w:tcPr>
            <w:tcW w:w="16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2C0C7C8C"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b/>
                <w:bCs/>
                <w:color w:val="FFFFFF"/>
                <w:spacing w:val="0"/>
                <w:kern w:val="24"/>
                <w:sz w:val="22"/>
                <w:szCs w:val="22"/>
                <w:lang w:val="en-US" w:eastAsia="en-US"/>
              </w:rPr>
              <w:t>35 132 045</w:t>
            </w:r>
          </w:p>
        </w:tc>
        <w:tc>
          <w:tcPr>
            <w:tcW w:w="15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7612C785"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b/>
                <w:bCs/>
                <w:color w:val="FFFFFF"/>
                <w:spacing w:val="0"/>
                <w:kern w:val="24"/>
                <w:sz w:val="22"/>
                <w:szCs w:val="22"/>
                <w:lang w:val="en-US" w:eastAsia="en-US"/>
              </w:rPr>
              <w:t>36 670 847</w:t>
            </w:r>
          </w:p>
        </w:tc>
        <w:tc>
          <w:tcPr>
            <w:tcW w:w="21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96" w:type="dxa"/>
              <w:bottom w:w="0" w:type="dxa"/>
              <w:right w:w="96" w:type="dxa"/>
            </w:tcMar>
            <w:vAlign w:val="center"/>
            <w:hideMark/>
          </w:tcPr>
          <w:p w14:paraId="497D3027" w14:textId="77777777" w:rsidR="00344F1C" w:rsidRPr="00F95315" w:rsidRDefault="00344F1C" w:rsidP="00344F1C">
            <w:pPr>
              <w:spacing w:before="200" w:line="276" w:lineRule="auto"/>
              <w:jc w:val="right"/>
              <w:rPr>
                <w:rFonts w:cs="Arial"/>
                <w:color w:val="auto"/>
                <w:spacing w:val="0"/>
                <w:sz w:val="22"/>
                <w:szCs w:val="22"/>
                <w:lang w:val="en-US" w:eastAsia="en-US"/>
              </w:rPr>
            </w:pPr>
            <w:r w:rsidRPr="00F95315">
              <w:rPr>
                <w:rFonts w:cs="Arial"/>
                <w:b/>
                <w:bCs/>
                <w:color w:val="000000" w:themeColor="text1"/>
                <w:spacing w:val="0"/>
                <w:kern w:val="24"/>
                <w:sz w:val="22"/>
                <w:szCs w:val="22"/>
                <w:lang w:val="en-US" w:eastAsia="en-US"/>
              </w:rPr>
              <w:t>105 682 058</w:t>
            </w:r>
          </w:p>
        </w:tc>
      </w:tr>
    </w:tbl>
    <w:p w14:paraId="277CF2B6" w14:textId="77777777" w:rsidR="00D10A08" w:rsidRPr="00924781" w:rsidRDefault="00D10A08" w:rsidP="00F67E02">
      <w:pPr>
        <w:spacing w:line="360" w:lineRule="auto"/>
        <w:jc w:val="both"/>
        <w:rPr>
          <w:rFonts w:ascii="Times New Roman" w:hAnsi="Times New Roman"/>
          <w:b/>
          <w:sz w:val="24"/>
          <w:szCs w:val="24"/>
        </w:rPr>
      </w:pPr>
      <w:r w:rsidRPr="00924781">
        <w:rPr>
          <w:rFonts w:ascii="Times New Roman" w:hAnsi="Times New Roman"/>
          <w:b/>
          <w:sz w:val="24"/>
          <w:szCs w:val="24"/>
        </w:rPr>
        <w:t>Source: Department of Hu</w:t>
      </w:r>
      <w:r w:rsidR="00344F1C" w:rsidRPr="00924781">
        <w:rPr>
          <w:rFonts w:ascii="Times New Roman" w:hAnsi="Times New Roman"/>
          <w:b/>
          <w:sz w:val="24"/>
          <w:szCs w:val="24"/>
        </w:rPr>
        <w:t>man Settlements, 2019</w:t>
      </w:r>
      <w:r w:rsidRPr="00924781">
        <w:rPr>
          <w:rFonts w:ascii="Times New Roman" w:hAnsi="Times New Roman"/>
          <w:b/>
          <w:sz w:val="24"/>
          <w:szCs w:val="24"/>
        </w:rPr>
        <w:t>.</w:t>
      </w:r>
    </w:p>
    <w:p w14:paraId="7F77EDA1" w14:textId="77777777" w:rsidR="00D10A08" w:rsidRPr="00924781" w:rsidRDefault="00D10A08"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36E43E90" w14:textId="77777777" w:rsidR="00D10A08" w:rsidRPr="00924781" w:rsidRDefault="00B6225F" w:rsidP="00D10A08">
      <w:pPr>
        <w:pStyle w:val="NormalWeb"/>
        <w:spacing w:before="0" w:beforeAutospacing="0" w:after="0" w:afterAutospacing="0" w:line="360" w:lineRule="auto"/>
        <w:ind w:left="720" w:hanging="720"/>
        <w:textAlignment w:val="baseline"/>
        <w:rPr>
          <w:rFonts w:eastAsia="Calibri"/>
          <w:b/>
          <w14:shadow w14:blurRad="50800" w14:dist="38100" w14:dir="2700000" w14:sx="100000" w14:sy="100000" w14:kx="0" w14:ky="0" w14:algn="tl">
            <w14:srgbClr w14:val="000000">
              <w14:alpha w14:val="60000"/>
            </w14:srgbClr>
          </w14:shadow>
        </w:rPr>
      </w:pPr>
      <w:r w:rsidRPr="00924781">
        <w:rPr>
          <w:rFonts w:eastAsia="Calibri"/>
          <w:b/>
          <w14:shadow w14:blurRad="50800" w14:dist="38100" w14:dir="2700000" w14:sx="100000" w14:sy="100000" w14:kx="0" w14:ky="0" w14:algn="tl">
            <w14:srgbClr w14:val="000000">
              <w14:alpha w14:val="60000"/>
            </w14:srgbClr>
          </w14:shadow>
        </w:rPr>
        <w:t>7.</w:t>
      </w:r>
      <w:r w:rsidRPr="00924781">
        <w:rPr>
          <w:rFonts w:eastAsia="Calibri"/>
          <w:b/>
          <w14:shadow w14:blurRad="50800" w14:dist="38100" w14:dir="2700000" w14:sx="100000" w14:sy="100000" w14:kx="0" w14:ky="0" w14:algn="tl">
            <w14:srgbClr w14:val="000000">
              <w14:alpha w14:val="60000"/>
            </w14:srgbClr>
          </w14:shadow>
        </w:rPr>
        <w:tab/>
      </w:r>
      <w:r w:rsidR="00D10A08" w:rsidRPr="00924781">
        <w:rPr>
          <w:rFonts w:eastAsia="Calibri"/>
          <w:b/>
          <w14:shadow w14:blurRad="50800" w14:dist="38100" w14:dir="2700000" w14:sx="100000" w14:sy="100000" w14:kx="0" w14:ky="0" w14:algn="tl">
            <w14:srgbClr w14:val="000000">
              <w14:alpha w14:val="60000"/>
            </w14:srgbClr>
          </w14:shadow>
        </w:rPr>
        <w:t xml:space="preserve">Grant </w:t>
      </w:r>
      <w:r w:rsidR="00E71573" w:rsidRPr="00924781">
        <w:rPr>
          <w:rFonts w:eastAsia="Calibri"/>
          <w:b/>
          <w14:shadow w14:blurRad="50800" w14:dist="38100" w14:dir="2700000" w14:sx="100000" w14:sy="100000" w14:kx="0" w14:ky="0" w14:algn="tl">
            <w14:srgbClr w14:val="000000">
              <w14:alpha w14:val="60000"/>
            </w14:srgbClr>
          </w14:shadow>
        </w:rPr>
        <w:t>allocation 2019</w:t>
      </w:r>
      <w:r w:rsidR="00FC7945" w:rsidRPr="00924781">
        <w:rPr>
          <w:rFonts w:eastAsia="Calibri"/>
          <w:b/>
          <w14:shadow w14:blurRad="50800" w14:dist="38100" w14:dir="2700000" w14:sx="100000" w14:sy="100000" w14:kx="0" w14:ky="0" w14:algn="tl">
            <w14:srgbClr w14:val="000000">
              <w14:alpha w14:val="60000"/>
            </w14:srgbClr>
          </w14:shadow>
        </w:rPr>
        <w:t xml:space="preserve"> </w:t>
      </w:r>
    </w:p>
    <w:p w14:paraId="6D40E490" w14:textId="77777777" w:rsidR="00F13E8A" w:rsidRPr="00924781" w:rsidRDefault="00B6225F" w:rsidP="00F13E8A">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7.1</w:t>
      </w: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r>
      <w:r w:rsidR="00F13E8A"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 xml:space="preserve">Emergency </w:t>
      </w:r>
      <w:r w:rsidR="00FC7945"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 xml:space="preserve">Grant Allocations: </w:t>
      </w:r>
    </w:p>
    <w:tbl>
      <w:tblPr>
        <w:tblW w:w="9450" w:type="dxa"/>
        <w:tblInd w:w="-5" w:type="dxa"/>
        <w:tblCellMar>
          <w:left w:w="0" w:type="dxa"/>
          <w:right w:w="0" w:type="dxa"/>
        </w:tblCellMar>
        <w:tblLook w:val="0600" w:firstRow="0" w:lastRow="0" w:firstColumn="0" w:lastColumn="0" w:noHBand="1" w:noVBand="1"/>
      </w:tblPr>
      <w:tblGrid>
        <w:gridCol w:w="4770"/>
        <w:gridCol w:w="1530"/>
        <w:gridCol w:w="1440"/>
        <w:gridCol w:w="1710"/>
      </w:tblGrid>
      <w:tr w:rsidR="00F13E8A" w:rsidRPr="00F95315" w14:paraId="197F6EDF" w14:textId="77777777" w:rsidTr="00BF0C07">
        <w:trPr>
          <w:trHeight w:val="724"/>
        </w:trPr>
        <w:tc>
          <w:tcPr>
            <w:tcW w:w="4770" w:type="dxa"/>
            <w:vMerge w:val="restart"/>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center"/>
            <w:hideMark/>
          </w:tcPr>
          <w:p w14:paraId="6D8D68BD" w14:textId="77777777" w:rsidR="00F13E8A" w:rsidRPr="00F95315" w:rsidRDefault="00F13E8A" w:rsidP="00F13E8A">
            <w:pPr>
              <w:spacing w:line="360" w:lineRule="auto"/>
              <w:jc w:val="both"/>
              <w:rPr>
                <w:rFonts w:cs="Arial"/>
                <w:b/>
                <w:sz w:val="22"/>
                <w:szCs w:val="22"/>
                <w:lang w:val="en-US"/>
              </w:rPr>
            </w:pPr>
            <w:r w:rsidRPr="00F95315">
              <w:rPr>
                <w:rFonts w:cs="Arial"/>
                <w:b/>
                <w:bCs/>
                <w:sz w:val="22"/>
                <w:szCs w:val="22"/>
                <w:lang w:val="en-ZA"/>
              </w:rPr>
              <w:t>MTEF ALLOCATIONS</w:t>
            </w:r>
          </w:p>
          <w:p w14:paraId="64F80163"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195A0E01" w14:textId="77777777" w:rsidR="00F13E8A" w:rsidRPr="00F95315" w:rsidRDefault="00F13E8A" w:rsidP="00F13E8A">
            <w:pPr>
              <w:spacing w:line="360" w:lineRule="auto"/>
              <w:jc w:val="both"/>
              <w:rPr>
                <w:rFonts w:cs="Arial"/>
                <w:b/>
                <w:sz w:val="22"/>
                <w:szCs w:val="22"/>
                <w:lang w:val="en-US"/>
              </w:rPr>
            </w:pPr>
            <w:r w:rsidRPr="00F95315">
              <w:rPr>
                <w:rFonts w:cs="Arial"/>
                <w:b/>
                <w:bCs/>
                <w:sz w:val="22"/>
                <w:szCs w:val="22"/>
                <w:lang w:val="en-ZA"/>
              </w:rPr>
              <w:t>2019/2020</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2ED80A71" w14:textId="77777777" w:rsidR="00F13E8A" w:rsidRPr="00F95315" w:rsidRDefault="00F13E8A" w:rsidP="00F13E8A">
            <w:pPr>
              <w:spacing w:line="360" w:lineRule="auto"/>
              <w:jc w:val="both"/>
              <w:rPr>
                <w:rFonts w:cs="Arial"/>
                <w:b/>
                <w:sz w:val="22"/>
                <w:szCs w:val="22"/>
                <w:lang w:val="en-US"/>
              </w:rPr>
            </w:pPr>
            <w:r w:rsidRPr="00F95315">
              <w:rPr>
                <w:rFonts w:cs="Arial"/>
                <w:b/>
                <w:bCs/>
                <w:sz w:val="22"/>
                <w:szCs w:val="22"/>
                <w:lang w:val="en-ZA"/>
              </w:rPr>
              <w:t>2020/2021</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31154EDE" w14:textId="77777777" w:rsidR="00F13E8A" w:rsidRPr="00F95315" w:rsidRDefault="00F13E8A" w:rsidP="00F13E8A">
            <w:pPr>
              <w:spacing w:line="360" w:lineRule="auto"/>
              <w:jc w:val="both"/>
              <w:rPr>
                <w:rFonts w:cs="Arial"/>
                <w:b/>
                <w:sz w:val="22"/>
                <w:szCs w:val="22"/>
                <w:lang w:val="en-US"/>
              </w:rPr>
            </w:pPr>
            <w:r w:rsidRPr="00F95315">
              <w:rPr>
                <w:rFonts w:cs="Arial"/>
                <w:b/>
                <w:bCs/>
                <w:sz w:val="22"/>
                <w:szCs w:val="22"/>
                <w:lang w:val="en-ZA"/>
              </w:rPr>
              <w:t>2021/2022</w:t>
            </w:r>
          </w:p>
        </w:tc>
      </w:tr>
      <w:tr w:rsidR="00F13E8A" w:rsidRPr="00F95315" w14:paraId="45E9DE9D" w14:textId="77777777" w:rsidTr="00BF0C07">
        <w:trPr>
          <w:trHeight w:val="497"/>
        </w:trPr>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48CD1AC8" w14:textId="77777777" w:rsidR="00F13E8A" w:rsidRPr="00F95315" w:rsidRDefault="00F13E8A" w:rsidP="00F13E8A">
            <w:pPr>
              <w:spacing w:line="360" w:lineRule="auto"/>
              <w:jc w:val="both"/>
              <w:rPr>
                <w:rFonts w:cs="Arial"/>
                <w:b/>
                <w:sz w:val="22"/>
                <w:szCs w:val="22"/>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7F894637"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R'000</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5057AAD5"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R'000</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hideMark/>
          </w:tcPr>
          <w:p w14:paraId="4E419B26"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R'000</w:t>
            </w:r>
          </w:p>
        </w:tc>
      </w:tr>
      <w:tr w:rsidR="00F13E8A" w:rsidRPr="00F95315" w14:paraId="51BE65CD" w14:textId="77777777" w:rsidTr="00BF0C07">
        <w:trPr>
          <w:trHeight w:val="434"/>
        </w:trPr>
        <w:tc>
          <w:tcPr>
            <w:tcW w:w="4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0E16C3" w14:textId="77777777" w:rsidR="00F13E8A" w:rsidRPr="00F95315" w:rsidRDefault="00F13E8A" w:rsidP="00F13E8A">
            <w:pPr>
              <w:spacing w:line="360" w:lineRule="auto"/>
              <w:jc w:val="both"/>
              <w:rPr>
                <w:rFonts w:cs="Arial"/>
                <w:b/>
                <w:sz w:val="22"/>
                <w:szCs w:val="22"/>
                <w:lang w:val="en-US"/>
              </w:rPr>
            </w:pPr>
            <w:r w:rsidRPr="00F95315">
              <w:rPr>
                <w:rFonts w:cs="Arial"/>
                <w:b/>
                <w:bCs/>
                <w:sz w:val="22"/>
                <w:szCs w:val="22"/>
                <w:lang w:val="en-ZA"/>
              </w:rPr>
              <w:t>Provincial Emergency Housing Grant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F8BF5A2"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276 900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75B0393"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294 899</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9A4C8F6"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311 118</w:t>
            </w:r>
          </w:p>
        </w:tc>
      </w:tr>
      <w:tr w:rsidR="00F13E8A" w:rsidRPr="00F95315" w14:paraId="66B204D6" w14:textId="77777777" w:rsidTr="00BF0C07">
        <w:trPr>
          <w:trHeight w:val="407"/>
        </w:trPr>
        <w:tc>
          <w:tcPr>
            <w:tcW w:w="4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543A8C" w14:textId="77777777" w:rsidR="00F13E8A" w:rsidRPr="00F95315" w:rsidRDefault="00F13E8A" w:rsidP="00F13E8A">
            <w:pPr>
              <w:spacing w:line="360" w:lineRule="auto"/>
              <w:jc w:val="both"/>
              <w:rPr>
                <w:rFonts w:cs="Arial"/>
                <w:b/>
                <w:sz w:val="22"/>
                <w:szCs w:val="22"/>
                <w:lang w:val="en-US"/>
              </w:rPr>
            </w:pPr>
            <w:r w:rsidRPr="00F95315">
              <w:rPr>
                <w:rFonts w:cs="Arial"/>
                <w:b/>
                <w:bCs/>
                <w:sz w:val="22"/>
                <w:szCs w:val="22"/>
                <w:lang w:val="en-ZA"/>
              </w:rPr>
              <w:t>Municipal Emergency Housing Grant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A56D4DE"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149 100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031117B"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158 792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35786471"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167 526</w:t>
            </w:r>
          </w:p>
        </w:tc>
      </w:tr>
      <w:tr w:rsidR="00F13E8A" w:rsidRPr="00F95315" w14:paraId="7C363F1D" w14:textId="77777777" w:rsidTr="00BF0C07">
        <w:trPr>
          <w:trHeight w:val="452"/>
        </w:trPr>
        <w:tc>
          <w:tcPr>
            <w:tcW w:w="4770"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14:paraId="56707203" w14:textId="77777777" w:rsidR="00F13E8A" w:rsidRPr="00F95315" w:rsidRDefault="00F13E8A" w:rsidP="00F13E8A">
            <w:pPr>
              <w:spacing w:line="360" w:lineRule="auto"/>
              <w:jc w:val="both"/>
              <w:rPr>
                <w:rFonts w:cs="Arial"/>
                <w:b/>
                <w:sz w:val="22"/>
                <w:szCs w:val="22"/>
                <w:lang w:val="en-US"/>
              </w:rPr>
            </w:pPr>
            <w:r w:rsidRPr="00F95315">
              <w:rPr>
                <w:rFonts w:cs="Arial"/>
                <w:b/>
                <w:bCs/>
                <w:sz w:val="22"/>
                <w:szCs w:val="22"/>
                <w:lang w:val="en-ZA"/>
              </w:rPr>
              <w:t>TOTAL</w:t>
            </w:r>
          </w:p>
        </w:tc>
        <w:tc>
          <w:tcPr>
            <w:tcW w:w="1530"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14:paraId="32D2C8FD"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426 000</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14:paraId="5B755AF7"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453 691</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14:paraId="402F9364" w14:textId="77777777" w:rsidR="00F13E8A" w:rsidRPr="00F95315" w:rsidRDefault="00F13E8A" w:rsidP="00F13E8A">
            <w:pPr>
              <w:spacing w:line="360" w:lineRule="auto"/>
              <w:jc w:val="both"/>
              <w:rPr>
                <w:rFonts w:cs="Arial"/>
                <w:b/>
                <w:sz w:val="22"/>
                <w:szCs w:val="22"/>
                <w:lang w:val="en-US"/>
              </w:rPr>
            </w:pPr>
            <w:r w:rsidRPr="00F95315">
              <w:rPr>
                <w:rFonts w:cs="Arial"/>
                <w:b/>
                <w:sz w:val="22"/>
                <w:szCs w:val="22"/>
                <w:lang w:val="en-ZA"/>
              </w:rPr>
              <w:t>478 644</w:t>
            </w:r>
          </w:p>
        </w:tc>
      </w:tr>
    </w:tbl>
    <w:p w14:paraId="482028EE" w14:textId="77777777" w:rsidR="00D10A08" w:rsidRPr="00924781" w:rsidRDefault="00D10A08" w:rsidP="00F67E02">
      <w:pPr>
        <w:spacing w:line="360" w:lineRule="auto"/>
        <w:jc w:val="both"/>
        <w:rPr>
          <w:rFonts w:ascii="Times New Roman" w:hAnsi="Times New Roman"/>
          <w:b/>
          <w:sz w:val="24"/>
          <w:szCs w:val="24"/>
        </w:rPr>
      </w:pPr>
      <w:r w:rsidRPr="00924781">
        <w:rPr>
          <w:rFonts w:ascii="Times New Roman" w:hAnsi="Times New Roman"/>
          <w:b/>
          <w:sz w:val="24"/>
          <w:szCs w:val="24"/>
        </w:rPr>
        <w:t>Source: Department of Human Settlements Strategic Plan.</w:t>
      </w:r>
    </w:p>
    <w:p w14:paraId="14CF13CC" w14:textId="77777777" w:rsidR="00D10A08" w:rsidRPr="00924781" w:rsidRDefault="00D10A08" w:rsidP="00D10A08">
      <w:pPr>
        <w:pStyle w:val="Char"/>
        <w:spacing w:line="360" w:lineRule="auto"/>
        <w:jc w:val="both"/>
        <w:rPr>
          <w:rFonts w:ascii="Times New Roman" w:eastAsia="Calibri" w:hAnsi="Times New Roman"/>
          <w:bCs w:val="0"/>
          <w:sz w:val="24"/>
          <w14:shadow w14:blurRad="50800" w14:dist="38100" w14:dir="2700000" w14:sx="100000" w14:sy="100000" w14:kx="0" w14:ky="0" w14:algn="tl">
            <w14:srgbClr w14:val="000000">
              <w14:alpha w14:val="60000"/>
            </w14:srgbClr>
          </w14:shadow>
        </w:rPr>
      </w:pPr>
    </w:p>
    <w:p w14:paraId="67372AB6" w14:textId="77777777" w:rsidR="00D10A08" w:rsidRPr="00924781" w:rsidRDefault="002951D5" w:rsidP="00D10A08">
      <w:pPr>
        <w:pStyle w:val="Char"/>
        <w:spacing w:line="360" w:lineRule="auto"/>
        <w:jc w:val="both"/>
        <w:rPr>
          <w:rFonts w:ascii="Times New Roman" w:eastAsia="Calibri" w:hAnsi="Times New Roman"/>
          <w:b/>
          <w:bCs w:val="0"/>
          <w:sz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7.</w:t>
      </w:r>
      <w:r w:rsidR="00B6225F"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2</w:t>
      </w:r>
      <w:r w:rsidR="00B6225F"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ab/>
      </w:r>
      <w:r w:rsidR="00D10A08"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I</w:t>
      </w:r>
      <w:r w:rsidR="00F67E02"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 xml:space="preserve">nformal settlements upgrading programme allocations (UISP) </w:t>
      </w:r>
      <w:r w:rsidR="00132BB4" w:rsidRPr="00924781">
        <w:rPr>
          <w:rFonts w:ascii="Times New Roman" w:eastAsia="Calibri" w:hAnsi="Times New Roman"/>
          <w:b/>
          <w:bCs w:val="0"/>
          <w:sz w:val="24"/>
          <w14:shadow w14:blurRad="50800" w14:dist="38100" w14:dir="2700000" w14:sx="100000" w14:sy="100000" w14:kx="0" w14:ky="0" w14:algn="tl">
            <w14:srgbClr w14:val="000000">
              <w14:alpha w14:val="60000"/>
            </w14:srgbClr>
          </w14:shadow>
        </w:rPr>
        <w:t>for 2019</w:t>
      </w:r>
    </w:p>
    <w:tbl>
      <w:tblPr>
        <w:tblW w:w="10227" w:type="dxa"/>
        <w:tblCellMar>
          <w:left w:w="0" w:type="dxa"/>
          <w:right w:w="0" w:type="dxa"/>
        </w:tblCellMar>
        <w:tblLook w:val="0600" w:firstRow="0" w:lastRow="0" w:firstColumn="0" w:lastColumn="0" w:noHBand="1" w:noVBand="1"/>
      </w:tblPr>
      <w:tblGrid>
        <w:gridCol w:w="3950"/>
        <w:gridCol w:w="1643"/>
        <w:gridCol w:w="1507"/>
        <w:gridCol w:w="1440"/>
        <w:gridCol w:w="1687"/>
      </w:tblGrid>
      <w:tr w:rsidR="00F67E02" w:rsidRPr="00F67E02" w14:paraId="70A34534" w14:textId="77777777" w:rsidTr="00BF0C07">
        <w:trPr>
          <w:trHeight w:val="490"/>
        </w:trPr>
        <w:tc>
          <w:tcPr>
            <w:tcW w:w="3950" w:type="dxa"/>
            <w:tcBorders>
              <w:top w:val="single" w:sz="8" w:space="0" w:color="000000"/>
              <w:left w:val="single" w:sz="8" w:space="0" w:color="000000"/>
              <w:bottom w:val="single" w:sz="8" w:space="0" w:color="000000"/>
              <w:right w:val="single" w:sz="8" w:space="0" w:color="000000"/>
            </w:tcBorders>
            <w:shd w:val="clear" w:color="auto" w:fill="00B050"/>
            <w:tcMar>
              <w:top w:w="12" w:type="dxa"/>
              <w:left w:w="12" w:type="dxa"/>
              <w:bottom w:w="0" w:type="dxa"/>
              <w:right w:w="12" w:type="dxa"/>
            </w:tcMar>
            <w:vAlign w:val="center"/>
            <w:hideMark/>
          </w:tcPr>
          <w:p w14:paraId="4A6E6B66"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14:shadow w14:blurRad="50800" w14:dist="38100" w14:dir="2700000" w14:sx="100000" w14:sy="100000" w14:kx="0" w14:ky="0" w14:algn="tl">
                  <w14:srgbClr w14:val="000000">
                    <w14:alpha w14:val="60000"/>
                  </w14:srgbClr>
                </w14:shadow>
              </w:rPr>
              <w:t>UISP GRANTS</w:t>
            </w:r>
          </w:p>
        </w:tc>
        <w:tc>
          <w:tcPr>
            <w:tcW w:w="1643"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14:paraId="091AF562"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14:shadow w14:blurRad="50800" w14:dist="38100" w14:dir="2700000" w14:sx="100000" w14:sy="100000" w14:kx="0" w14:ky="0" w14:algn="tl">
                  <w14:srgbClr w14:val="000000">
                    <w14:alpha w14:val="60000"/>
                  </w14:srgbClr>
                </w14:shadow>
              </w:rPr>
              <w:t>2019/20</w:t>
            </w:r>
          </w:p>
          <w:p w14:paraId="6A447575"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14:shadow w14:blurRad="50800" w14:dist="38100" w14:dir="2700000" w14:sx="100000" w14:sy="100000" w14:kx="0" w14:ky="0" w14:algn="tl">
                  <w14:srgbClr w14:val="000000">
                    <w14:alpha w14:val="60000"/>
                  </w14:srgbClr>
                </w14:shadow>
              </w:rPr>
              <w:t>R`000</w:t>
            </w:r>
          </w:p>
        </w:tc>
        <w:tc>
          <w:tcPr>
            <w:tcW w:w="150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14:paraId="5F5B06EF"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14:shadow w14:blurRad="50800" w14:dist="38100" w14:dir="2700000" w14:sx="100000" w14:sy="100000" w14:kx="0" w14:ky="0" w14:algn="tl">
                  <w14:srgbClr w14:val="000000">
                    <w14:alpha w14:val="60000"/>
                  </w14:srgbClr>
                </w14:shadow>
              </w:rPr>
              <w:t>2020/21</w:t>
            </w:r>
          </w:p>
          <w:p w14:paraId="4225DB36"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14:shadow w14:blurRad="50800" w14:dist="38100" w14:dir="2700000" w14:sx="100000" w14:sy="100000" w14:kx="0" w14:ky="0" w14:algn="tl">
                  <w14:srgbClr w14:val="000000">
                    <w14:alpha w14:val="60000"/>
                  </w14:srgbClr>
                </w14:shadow>
              </w:rPr>
              <w:t>R`000</w:t>
            </w:r>
          </w:p>
        </w:tc>
        <w:tc>
          <w:tcPr>
            <w:tcW w:w="14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14:paraId="41577F08"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14:shadow w14:blurRad="50800" w14:dist="38100" w14:dir="2700000" w14:sx="100000" w14:sy="100000" w14:kx="0" w14:ky="0" w14:algn="tl">
                  <w14:srgbClr w14:val="000000">
                    <w14:alpha w14:val="60000"/>
                  </w14:srgbClr>
                </w14:shadow>
              </w:rPr>
              <w:t>2021/22</w:t>
            </w:r>
          </w:p>
          <w:p w14:paraId="54B13CA2"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14:shadow w14:blurRad="50800" w14:dist="38100" w14:dir="2700000" w14:sx="100000" w14:sy="100000" w14:kx="0" w14:ky="0" w14:algn="tl">
                  <w14:srgbClr w14:val="000000">
                    <w14:alpha w14:val="60000"/>
                  </w14:srgbClr>
                </w14:shadow>
              </w:rPr>
              <w:t>R`000</w:t>
            </w:r>
          </w:p>
        </w:tc>
        <w:tc>
          <w:tcPr>
            <w:tcW w:w="1687"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2E6FEDD1"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14:shadow w14:blurRad="50800" w14:dist="38100" w14:dir="2700000" w14:sx="100000" w14:sy="100000" w14:kx="0" w14:ky="0" w14:algn="tl">
                  <w14:srgbClr w14:val="000000">
                    <w14:alpha w14:val="60000"/>
                  </w14:srgbClr>
                </w14:shadow>
              </w:rPr>
              <w:t>Total MTEF</w:t>
            </w:r>
          </w:p>
          <w:p w14:paraId="17033209"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14:shadow w14:blurRad="50800" w14:dist="38100" w14:dir="2700000" w14:sx="100000" w14:sy="100000" w14:kx="0" w14:ky="0" w14:algn="tl">
                  <w14:srgbClr w14:val="000000">
                    <w14:alpha w14:val="60000"/>
                  </w14:srgbClr>
                </w14:shadow>
              </w:rPr>
              <w:t>R`000</w:t>
            </w:r>
          </w:p>
        </w:tc>
      </w:tr>
      <w:tr w:rsidR="00F67E02" w:rsidRPr="00F67E02" w14:paraId="5188DD8B" w14:textId="77777777" w:rsidTr="00BF0C07">
        <w:trPr>
          <w:trHeight w:val="2138"/>
        </w:trPr>
        <w:tc>
          <w:tcPr>
            <w:tcW w:w="3950" w:type="dxa"/>
            <w:tcBorders>
              <w:top w:val="single" w:sz="8" w:space="0" w:color="000000"/>
              <w:left w:val="single" w:sz="8" w:space="0" w:color="000000"/>
              <w:bottom w:val="nil"/>
              <w:right w:val="single" w:sz="8" w:space="0" w:color="000000"/>
            </w:tcBorders>
            <w:shd w:val="clear" w:color="auto" w:fill="auto"/>
            <w:tcMar>
              <w:top w:w="12" w:type="dxa"/>
              <w:left w:w="12" w:type="dxa"/>
              <w:bottom w:w="0" w:type="dxa"/>
              <w:right w:w="12" w:type="dxa"/>
            </w:tcMar>
            <w:vAlign w:val="bottom"/>
            <w:hideMark/>
          </w:tcPr>
          <w:p w14:paraId="42A2D619" w14:textId="77777777" w:rsidR="00F67E02" w:rsidRDefault="00F67E02" w:rsidP="00F67E02">
            <w:pPr>
              <w:pStyle w:val="Char"/>
              <w:spacing w:line="240" w:lineRule="auto"/>
              <w:jc w:val="both"/>
              <w:rPr>
                <w:rFonts w:eastAsia="Calibri" w:cs="Arial"/>
                <w:b/>
                <w:sz w:val="16"/>
                <w:szCs w:val="16"/>
                <w:lang w:val="en-GB"/>
                <w14:shadow w14:blurRad="50800" w14:dist="38100" w14:dir="2700000" w14:sx="100000" w14:sy="100000" w14:kx="0" w14:ky="0" w14:algn="tl">
                  <w14:srgbClr w14:val="000000">
                    <w14:alpha w14:val="60000"/>
                  </w14:srgbClr>
                </w14:shadow>
              </w:rPr>
            </w:pPr>
            <w:r w:rsidRPr="00F67E02">
              <w:rPr>
                <w:rFonts w:eastAsia="Calibri" w:cs="Arial"/>
                <w:sz w:val="16"/>
                <w:szCs w:val="16"/>
                <w:lang w:val="en-GB"/>
                <w14:shadow w14:blurRad="50800" w14:dist="38100" w14:dir="2700000" w14:sx="100000" w14:sy="100000" w14:kx="0" w14:ky="0" w14:algn="tl">
                  <w14:srgbClr w14:val="000000">
                    <w14:alpha w14:val="60000"/>
                  </w14:srgbClr>
                </w14:shadow>
              </w:rPr>
              <w:t xml:space="preserve">Informal Settlements Upgrading Partnership Grant: </w:t>
            </w:r>
            <w:r w:rsidRPr="00F67E02">
              <w:rPr>
                <w:rFonts w:eastAsia="Calibri" w:cs="Arial"/>
                <w:b/>
                <w:sz w:val="16"/>
                <w:szCs w:val="16"/>
                <w:lang w:val="en-GB"/>
                <w14:shadow w14:blurRad="50800" w14:dist="38100" w14:dir="2700000" w14:sx="100000" w14:sy="100000" w14:kx="0" w14:ky="0" w14:algn="tl">
                  <w14:srgbClr w14:val="000000">
                    <w14:alpha w14:val="60000"/>
                  </w14:srgbClr>
                </w14:shadow>
              </w:rPr>
              <w:t>Provinces</w:t>
            </w:r>
          </w:p>
          <w:p w14:paraId="7BFC60CF" w14:textId="77777777" w:rsidR="00F67E02" w:rsidRPr="00F67E02" w:rsidRDefault="00F67E02" w:rsidP="00F67E02">
            <w:pPr>
              <w:pStyle w:val="Char"/>
              <w:spacing w:line="24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p>
        </w:tc>
        <w:tc>
          <w:tcPr>
            <w:tcW w:w="1643"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C1ADC56" w14:textId="77777777" w:rsidR="00F67E02" w:rsidRPr="00F67E02" w:rsidRDefault="00F67E02" w:rsidP="00F67E02">
            <w:pPr>
              <w:pStyle w:val="Char"/>
              <w:spacing w:line="24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sz w:val="16"/>
                <w:szCs w:val="16"/>
                <w:lang w:val="en-GB"/>
                <w14:shadow w14:blurRad="50800" w14:dist="38100" w14:dir="2700000" w14:sx="100000" w14:sy="100000" w14:kx="0" w14:ky="0" w14:algn="tl">
                  <w14:srgbClr w14:val="000000">
                    <w14:alpha w14:val="60000"/>
                  </w14:srgbClr>
                </w14:shadow>
              </w:rPr>
              <w:t>-</w:t>
            </w:r>
          </w:p>
        </w:tc>
        <w:tc>
          <w:tcPr>
            <w:tcW w:w="1507"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D83A1E3" w14:textId="77777777" w:rsidR="00F67E02" w:rsidRPr="00F67E02" w:rsidRDefault="00F67E02" w:rsidP="00F67E02">
            <w:pPr>
              <w:pStyle w:val="Char"/>
              <w:spacing w:line="24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sz w:val="16"/>
                <w:szCs w:val="16"/>
                <w:lang w:val="en-GB"/>
                <w14:shadow w14:blurRad="50800" w14:dist="38100" w14:dir="2700000" w14:sx="100000" w14:sy="100000" w14:kx="0" w14:ky="0" w14:algn="tl">
                  <w14:srgbClr w14:val="000000">
                    <w14:alpha w14:val="60000"/>
                  </w14:srgbClr>
                </w14:shadow>
              </w:rPr>
              <w:t>3 015 286</w:t>
            </w:r>
          </w:p>
        </w:tc>
        <w:tc>
          <w:tcPr>
            <w:tcW w:w="144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DE668B7" w14:textId="77777777" w:rsidR="00F67E02" w:rsidRPr="00F67E02" w:rsidRDefault="00F67E02" w:rsidP="00F67E02">
            <w:pPr>
              <w:pStyle w:val="Char"/>
              <w:spacing w:line="24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sz w:val="16"/>
                <w:szCs w:val="16"/>
                <w:lang w:val="en-GB"/>
                <w14:shadow w14:blurRad="50800" w14:dist="38100" w14:dir="2700000" w14:sx="100000" w14:sy="100000" w14:kx="0" w14:ky="0" w14:algn="tl">
                  <w14:srgbClr w14:val="000000">
                    <w14:alpha w14:val="60000"/>
                  </w14:srgbClr>
                </w14:shadow>
              </w:rPr>
              <w:t>4 321 909</w:t>
            </w:r>
          </w:p>
        </w:tc>
        <w:tc>
          <w:tcPr>
            <w:tcW w:w="1687"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B4C19DC" w14:textId="77777777" w:rsidR="00F67E02" w:rsidRPr="00F67E02" w:rsidRDefault="00F67E02" w:rsidP="00F67E02">
            <w:pPr>
              <w:pStyle w:val="Char"/>
              <w:spacing w:line="24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sz w:val="16"/>
                <w:szCs w:val="16"/>
                <w:lang w:val="en-GB"/>
                <w14:shadow w14:blurRad="50800" w14:dist="38100" w14:dir="2700000" w14:sx="100000" w14:sy="100000" w14:kx="0" w14:ky="0" w14:algn="tl">
                  <w14:srgbClr w14:val="000000">
                    <w14:alpha w14:val="60000"/>
                  </w14:srgbClr>
                </w14:shadow>
              </w:rPr>
              <w:t>7 337 195</w:t>
            </w:r>
          </w:p>
        </w:tc>
      </w:tr>
      <w:tr w:rsidR="00F67E02" w:rsidRPr="00F67E02" w14:paraId="704D182E" w14:textId="77777777" w:rsidTr="00BF0C07">
        <w:trPr>
          <w:trHeight w:val="65"/>
        </w:trPr>
        <w:tc>
          <w:tcPr>
            <w:tcW w:w="3950" w:type="dxa"/>
            <w:tcBorders>
              <w:top w:val="nil"/>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14:paraId="0AA8086C" w14:textId="77777777" w:rsidR="00F67E02" w:rsidRPr="00F67E02" w:rsidRDefault="00F67E02" w:rsidP="00F67E02">
            <w:pPr>
              <w:pStyle w:val="Char"/>
              <w:spacing w:line="24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sz w:val="16"/>
                <w:szCs w:val="16"/>
                <w:lang w:val="en-GB"/>
                <w14:shadow w14:blurRad="50800" w14:dist="38100" w14:dir="2700000" w14:sx="100000" w14:sy="100000" w14:kx="0" w14:ky="0" w14:algn="tl">
                  <w14:srgbClr w14:val="000000">
                    <w14:alpha w14:val="60000"/>
                  </w14:srgbClr>
                </w14:shadow>
              </w:rPr>
              <w:t xml:space="preserve">Informal Settlements Upgrading Partnership Grant: </w:t>
            </w:r>
            <w:r w:rsidRPr="00F67E02">
              <w:rPr>
                <w:rFonts w:eastAsia="Calibri" w:cs="Arial"/>
                <w:b/>
                <w:sz w:val="16"/>
                <w:szCs w:val="16"/>
                <w:lang w:val="en-GB"/>
                <w14:shadow w14:blurRad="50800" w14:dist="38100" w14:dir="2700000" w14:sx="100000" w14:sy="100000" w14:kx="0" w14:ky="0" w14:algn="tl">
                  <w14:srgbClr w14:val="000000">
                    <w14:alpha w14:val="60000"/>
                  </w14:srgbClr>
                </w14:shadow>
              </w:rPr>
              <w:t>Municipalities</w:t>
            </w:r>
          </w:p>
        </w:tc>
        <w:tc>
          <w:tcPr>
            <w:tcW w:w="1643"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57D26D" w14:textId="77777777" w:rsidR="00F67E02" w:rsidRPr="00F67E02" w:rsidRDefault="00F67E02" w:rsidP="00F67E02">
            <w:pPr>
              <w:pStyle w:val="Char"/>
              <w:spacing w:line="24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sz w:val="16"/>
                <w:szCs w:val="16"/>
                <w:lang w:val="en-GB"/>
                <w14:shadow w14:blurRad="50800" w14:dist="38100" w14:dir="2700000" w14:sx="100000" w14:sy="100000" w14:kx="0" w14:ky="0" w14:algn="tl">
                  <w14:srgbClr w14:val="000000">
                    <w14:alpha w14:val="60000"/>
                  </w14:srgbClr>
                </w14:shadow>
              </w:rPr>
              <w:t>-</w:t>
            </w:r>
          </w:p>
        </w:tc>
        <w:tc>
          <w:tcPr>
            <w:tcW w:w="150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308C78" w14:textId="77777777" w:rsidR="00F67E02" w:rsidRPr="00F67E02" w:rsidRDefault="00F67E02" w:rsidP="00F67E02">
            <w:pPr>
              <w:pStyle w:val="Char"/>
              <w:spacing w:line="24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sz w:val="16"/>
                <w:szCs w:val="16"/>
                <w:lang w:val="en-GB"/>
                <w14:shadow w14:blurRad="50800" w14:dist="38100" w14:dir="2700000" w14:sx="100000" w14:sy="100000" w14:kx="0" w14:ky="0" w14:algn="tl">
                  <w14:srgbClr w14:val="000000">
                    <w14:alpha w14:val="60000"/>
                  </w14:srgbClr>
                </w14:shadow>
              </w:rPr>
              <w:t>2 985 285</w:t>
            </w:r>
          </w:p>
        </w:tc>
        <w:tc>
          <w:tcPr>
            <w:tcW w:w="144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89AE97" w14:textId="77777777" w:rsidR="00F67E02" w:rsidRPr="00F67E02" w:rsidRDefault="00F67E02" w:rsidP="00F67E02">
            <w:pPr>
              <w:pStyle w:val="Char"/>
              <w:spacing w:line="24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sz w:val="16"/>
                <w:szCs w:val="16"/>
                <w:lang w:val="en-GB"/>
                <w14:shadow w14:blurRad="50800" w14:dist="38100" w14:dir="2700000" w14:sx="100000" w14:sy="100000" w14:kx="0" w14:ky="0" w14:algn="tl">
                  <w14:srgbClr w14:val="000000">
                    <w14:alpha w14:val="60000"/>
                  </w14:srgbClr>
                </w14:shadow>
              </w:rPr>
              <w:t>4 383 830</w:t>
            </w:r>
          </w:p>
        </w:tc>
        <w:tc>
          <w:tcPr>
            <w:tcW w:w="168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FB85E8" w14:textId="77777777" w:rsidR="00F67E02" w:rsidRPr="00F67E02" w:rsidRDefault="00F67E02" w:rsidP="00F67E02">
            <w:pPr>
              <w:pStyle w:val="Char"/>
              <w:spacing w:line="24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sz w:val="16"/>
                <w:szCs w:val="16"/>
                <w:lang w:val="en-GB"/>
                <w14:shadow w14:blurRad="50800" w14:dist="38100" w14:dir="2700000" w14:sx="100000" w14:sy="100000" w14:kx="0" w14:ky="0" w14:algn="tl">
                  <w14:srgbClr w14:val="000000">
                    <w14:alpha w14:val="60000"/>
                  </w14:srgbClr>
                </w14:shadow>
              </w:rPr>
              <w:t>7 369 115</w:t>
            </w:r>
          </w:p>
        </w:tc>
      </w:tr>
      <w:tr w:rsidR="00F67E02" w:rsidRPr="00F67E02" w14:paraId="5C2D0130" w14:textId="77777777" w:rsidTr="00BF0C07">
        <w:trPr>
          <w:trHeight w:val="299"/>
        </w:trPr>
        <w:tc>
          <w:tcPr>
            <w:tcW w:w="3950" w:type="dxa"/>
            <w:tcBorders>
              <w:top w:val="single" w:sz="8" w:space="0" w:color="000000"/>
              <w:left w:val="single" w:sz="8" w:space="0" w:color="000000"/>
              <w:bottom w:val="single" w:sz="8" w:space="0" w:color="000000"/>
              <w:right w:val="single" w:sz="8" w:space="0" w:color="000000"/>
            </w:tcBorders>
            <w:shd w:val="clear" w:color="auto" w:fill="00B050"/>
            <w:tcMar>
              <w:top w:w="12" w:type="dxa"/>
              <w:left w:w="12" w:type="dxa"/>
              <w:bottom w:w="0" w:type="dxa"/>
              <w:right w:w="12" w:type="dxa"/>
            </w:tcMar>
            <w:vAlign w:val="center"/>
            <w:hideMark/>
          </w:tcPr>
          <w:p w14:paraId="58A58323"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14:shadow w14:blurRad="50800" w14:dist="38100" w14:dir="2700000" w14:sx="100000" w14:sy="100000" w14:kx="0" w14:ky="0" w14:algn="tl">
                  <w14:srgbClr w14:val="000000">
                    <w14:alpha w14:val="60000"/>
                  </w14:srgbClr>
                </w14:shadow>
              </w:rPr>
              <w:t>Total</w:t>
            </w:r>
          </w:p>
        </w:tc>
        <w:tc>
          <w:tcPr>
            <w:tcW w:w="1643"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14:paraId="60A4BB3E"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lang w:val="en-GB"/>
                <w14:shadow w14:blurRad="50800" w14:dist="38100" w14:dir="2700000" w14:sx="100000" w14:sy="100000" w14:kx="0" w14:ky="0" w14:algn="tl">
                  <w14:srgbClr w14:val="000000">
                    <w14:alpha w14:val="60000"/>
                  </w14:srgbClr>
                </w14:shadow>
              </w:rPr>
              <w:t>-</w:t>
            </w:r>
          </w:p>
        </w:tc>
        <w:tc>
          <w:tcPr>
            <w:tcW w:w="150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14:paraId="2AB01816"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lang w:val="en-GB"/>
                <w14:shadow w14:blurRad="50800" w14:dist="38100" w14:dir="2700000" w14:sx="100000" w14:sy="100000" w14:kx="0" w14:ky="0" w14:algn="tl">
                  <w14:srgbClr w14:val="000000">
                    <w14:alpha w14:val="60000"/>
                  </w14:srgbClr>
                </w14:shadow>
              </w:rPr>
              <w:t>6 000 571</w:t>
            </w:r>
          </w:p>
        </w:tc>
        <w:tc>
          <w:tcPr>
            <w:tcW w:w="144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0" w:type="dxa"/>
              <w:right w:w="15" w:type="dxa"/>
            </w:tcMar>
            <w:vAlign w:val="center"/>
            <w:hideMark/>
          </w:tcPr>
          <w:p w14:paraId="4098C04F"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lang w:val="en-GB"/>
                <w14:shadow w14:blurRad="50800" w14:dist="38100" w14:dir="2700000" w14:sx="100000" w14:sy="100000" w14:kx="0" w14:ky="0" w14:algn="tl">
                  <w14:srgbClr w14:val="000000">
                    <w14:alpha w14:val="60000"/>
                  </w14:srgbClr>
                </w14:shadow>
              </w:rPr>
              <w:t>8 705 739</w:t>
            </w:r>
          </w:p>
        </w:tc>
        <w:tc>
          <w:tcPr>
            <w:tcW w:w="1687"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3F167901" w14:textId="77777777" w:rsidR="00F67E02" w:rsidRPr="00F67E02" w:rsidRDefault="00F67E02" w:rsidP="00F67E02">
            <w:pPr>
              <w:pStyle w:val="Char"/>
              <w:spacing w:line="360" w:lineRule="auto"/>
              <w:jc w:val="both"/>
              <w:rPr>
                <w:rFonts w:eastAsia="Calibri" w:cs="Arial"/>
                <w:sz w:val="16"/>
                <w:szCs w:val="16"/>
                <w:lang w:val="en-ZA"/>
                <w14:shadow w14:blurRad="50800" w14:dist="38100" w14:dir="2700000" w14:sx="100000" w14:sy="100000" w14:kx="0" w14:ky="0" w14:algn="tl">
                  <w14:srgbClr w14:val="000000">
                    <w14:alpha w14:val="60000"/>
                  </w14:srgbClr>
                </w14:shadow>
              </w:rPr>
            </w:pPr>
            <w:r w:rsidRPr="00F67E02">
              <w:rPr>
                <w:rFonts w:eastAsia="Calibri" w:cs="Arial"/>
                <w:b/>
                <w:sz w:val="16"/>
                <w:szCs w:val="16"/>
                <w:lang w:val="en-GB"/>
                <w14:shadow w14:blurRad="50800" w14:dist="38100" w14:dir="2700000" w14:sx="100000" w14:sy="100000" w14:kx="0" w14:ky="0" w14:algn="tl">
                  <w14:srgbClr w14:val="000000">
                    <w14:alpha w14:val="60000"/>
                  </w14:srgbClr>
                </w14:shadow>
              </w:rPr>
              <w:t>14 706 310</w:t>
            </w:r>
          </w:p>
        </w:tc>
      </w:tr>
    </w:tbl>
    <w:p w14:paraId="459388DF" w14:textId="77777777" w:rsidR="00D10A08" w:rsidRPr="00924781" w:rsidRDefault="00F67E02" w:rsidP="00F67E02">
      <w:pPr>
        <w:spacing w:line="360" w:lineRule="auto"/>
        <w:jc w:val="both"/>
        <w:rPr>
          <w:rFonts w:ascii="Times New Roman" w:hAnsi="Times New Roman"/>
          <w:b/>
          <w:sz w:val="24"/>
          <w:szCs w:val="24"/>
        </w:rPr>
      </w:pPr>
      <w:r w:rsidRPr="00924781">
        <w:rPr>
          <w:rFonts w:ascii="Times New Roman" w:hAnsi="Times New Roman"/>
          <w:b/>
          <w:sz w:val="24"/>
          <w:szCs w:val="24"/>
        </w:rPr>
        <w:t>Source: Department of Human Settlements Strategic Plan</w:t>
      </w:r>
    </w:p>
    <w:p w14:paraId="47F6A535" w14:textId="77777777" w:rsidR="00F67E02" w:rsidRPr="00924781" w:rsidRDefault="00F67E02" w:rsidP="00D10A08">
      <w:pPr>
        <w:pStyle w:val="NormalWeb"/>
        <w:spacing w:before="0" w:beforeAutospacing="0" w:after="0" w:afterAutospacing="0" w:line="360" w:lineRule="auto"/>
        <w:ind w:left="720" w:hanging="660"/>
        <w:textAlignment w:val="baseline"/>
        <w:rPr>
          <w:rFonts w:eastAsia="Calibri"/>
          <w:b/>
          <w14:shadow w14:blurRad="50800" w14:dist="38100" w14:dir="2700000" w14:sx="100000" w14:sy="100000" w14:kx="0" w14:ky="0" w14:algn="tl">
            <w14:srgbClr w14:val="000000">
              <w14:alpha w14:val="60000"/>
            </w14:srgbClr>
          </w14:shadow>
        </w:rPr>
      </w:pPr>
    </w:p>
    <w:p w14:paraId="5C2CC60F" w14:textId="77777777" w:rsidR="00134C31" w:rsidRDefault="00134C31">
      <w:pPr>
        <w:spacing w:after="160" w:line="259" w:lineRule="auto"/>
        <w:rPr>
          <w:rFonts w:cs="Arial"/>
          <w:color w:val="000000"/>
          <w:sz w:val="22"/>
          <w:szCs w:val="22"/>
          <w14:shadow w14:blurRad="50800" w14:dist="38100" w14:dir="2700000" w14:sx="100000" w14:sy="100000" w14:kx="0" w14:ky="0" w14:algn="tl">
            <w14:srgbClr w14:val="000000">
              <w14:alpha w14:val="60000"/>
            </w14:srgbClr>
          </w14:shadow>
        </w:rPr>
        <w:sectPr w:rsidR="00134C31" w:rsidSect="00BF0C07">
          <w:footerReference w:type="default" r:id="rId9"/>
          <w:pgSz w:w="12240" w:h="15840"/>
          <w:pgMar w:top="1381" w:right="1260" w:bottom="1440" w:left="1350" w:header="708" w:footer="708" w:gutter="0"/>
          <w:cols w:space="720"/>
          <w:docGrid w:linePitch="360"/>
        </w:sectPr>
      </w:pPr>
    </w:p>
    <w:p w14:paraId="3CB70531" w14:textId="77777777" w:rsidR="00134C31" w:rsidRPr="00924781" w:rsidRDefault="00134C31" w:rsidP="00134C31">
      <w:pPr>
        <w:pStyle w:val="NormalWeb"/>
        <w:spacing w:before="0" w:beforeAutospacing="0" w:after="0" w:afterAutospacing="0"/>
        <w:ind w:left="720" w:hanging="720"/>
        <w:textAlignment w:val="baseline"/>
        <w:rPr>
          <w:rFonts w:eastAsia="Calibri"/>
          <w:b/>
          <w14:shadow w14:blurRad="50800" w14:dist="38100" w14:dir="2700000" w14:sx="100000" w14:sy="100000" w14:kx="0" w14:ky="0" w14:algn="tl">
            <w14:srgbClr w14:val="000000">
              <w14:alpha w14:val="60000"/>
            </w14:srgbClr>
          </w14:shadow>
        </w:rPr>
      </w:pPr>
      <w:r w:rsidRPr="00924781">
        <w:rPr>
          <w:rFonts w:eastAsia="Calibri"/>
          <w:b/>
          <w14:shadow w14:blurRad="50800" w14:dist="38100" w14:dir="2700000" w14:sx="100000" w14:sy="100000" w14:kx="0" w14:ky="0" w14:algn="tl">
            <w14:srgbClr w14:val="000000">
              <w14:alpha w14:val="60000"/>
            </w14:srgbClr>
          </w14:shadow>
        </w:rPr>
        <w:t>7.3</w:t>
      </w:r>
      <w:r w:rsidRPr="00924781">
        <w:rPr>
          <w:rFonts w:eastAsia="Calibri"/>
          <w:b/>
          <w14:shadow w14:blurRad="50800" w14:dist="38100" w14:dir="2700000" w14:sx="100000" w14:sy="100000" w14:kx="0" w14:ky="0" w14:algn="tl">
            <w14:srgbClr w14:val="000000">
              <w14:alpha w14:val="60000"/>
            </w14:srgbClr>
          </w14:shadow>
        </w:rPr>
        <w:tab/>
        <w:t>Provincial Human Settlements Development Grant Business Plans and Urban Settlements Development Grant Analysis for the 2019/20 Medium Term Expenditure Framework</w:t>
      </w:r>
    </w:p>
    <w:tbl>
      <w:tblPr>
        <w:tblW w:w="13820" w:type="dxa"/>
        <w:tblCellMar>
          <w:left w:w="0" w:type="dxa"/>
          <w:right w:w="0" w:type="dxa"/>
        </w:tblCellMar>
        <w:tblLook w:val="0600" w:firstRow="0" w:lastRow="0" w:firstColumn="0" w:lastColumn="0" w:noHBand="1" w:noVBand="1"/>
      </w:tblPr>
      <w:tblGrid>
        <w:gridCol w:w="2077"/>
        <w:gridCol w:w="1219"/>
        <w:gridCol w:w="1218"/>
        <w:gridCol w:w="1218"/>
        <w:gridCol w:w="617"/>
        <w:gridCol w:w="481"/>
        <w:gridCol w:w="899"/>
        <w:gridCol w:w="319"/>
        <w:gridCol w:w="698"/>
        <w:gridCol w:w="242"/>
        <w:gridCol w:w="259"/>
        <w:gridCol w:w="1098"/>
        <w:gridCol w:w="658"/>
        <w:gridCol w:w="440"/>
        <w:gridCol w:w="1019"/>
        <w:gridCol w:w="159"/>
        <w:gridCol w:w="979"/>
        <w:gridCol w:w="220"/>
      </w:tblGrid>
      <w:tr w:rsidR="00F67E02" w:rsidRPr="00F67E02" w14:paraId="4F44BB22" w14:textId="77777777" w:rsidTr="00E66310">
        <w:trPr>
          <w:trHeight w:val="425"/>
        </w:trPr>
        <w:tc>
          <w:tcPr>
            <w:tcW w:w="2077" w:type="dxa"/>
            <w:vMerge w:val="restart"/>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544EF72D"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Province</w:t>
            </w:r>
          </w:p>
        </w:tc>
        <w:tc>
          <w:tcPr>
            <w:tcW w:w="5971" w:type="dxa"/>
            <w:gridSpan w:val="7"/>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746D5309"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2019/2020</w:t>
            </w:r>
          </w:p>
        </w:tc>
        <w:tc>
          <w:tcPr>
            <w:tcW w:w="4573" w:type="dxa"/>
            <w:gridSpan w:val="8"/>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21176A5F"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2020/2021</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1A5879C8" w14:textId="77777777" w:rsidR="00F67E02" w:rsidRPr="00F67E02" w:rsidRDefault="00F67E02" w:rsidP="00F67E02">
            <w:pPr>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2021/2022</w:t>
            </w:r>
          </w:p>
        </w:tc>
      </w:tr>
      <w:tr w:rsidR="00F67E02" w:rsidRPr="00F67E02" w14:paraId="434C969C" w14:textId="77777777" w:rsidTr="00E66310">
        <w:trPr>
          <w:trHeight w:val="11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CBDA26" w14:textId="77777777" w:rsidR="00F67E02" w:rsidRPr="00F67E02" w:rsidRDefault="00F67E02" w:rsidP="00F67E02">
            <w:pPr>
              <w:rPr>
                <w:rFonts w:cs="Arial"/>
                <w:color w:val="auto"/>
                <w:spacing w:val="0"/>
                <w:sz w:val="36"/>
                <w:szCs w:val="36"/>
                <w:lang w:val="en-ZA" w:eastAsia="en-ZA"/>
              </w:rPr>
            </w:pPr>
          </w:p>
        </w:tc>
        <w:tc>
          <w:tcPr>
            <w:tcW w:w="1219"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197CB2A2"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Total Allocation</w:t>
            </w:r>
          </w:p>
        </w:tc>
        <w:tc>
          <w:tcPr>
            <w:tcW w:w="1218"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5FDDA79F"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Normal Projects</w:t>
            </w:r>
          </w:p>
        </w:tc>
        <w:tc>
          <w:tcPr>
            <w:tcW w:w="1218"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5574767F"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Mining Towns (Ring Fenced)</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6FF2CA03"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UISP (Ring Fenced)</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503CDA29"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Disaster</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498A4783"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Total Allocation</w:t>
            </w:r>
          </w:p>
        </w:tc>
        <w:tc>
          <w:tcPr>
            <w:tcW w:w="1098"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58E646A7"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Normal Projects</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15315B3F"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Mining Towns (Ring Fenced)</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21864CEA"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Disaster</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14:paraId="38417C5C" w14:textId="77777777" w:rsidR="00F67E02" w:rsidRPr="00F67E02" w:rsidRDefault="00F67E02" w:rsidP="00F67E02">
            <w:pPr>
              <w:jc w:val="center"/>
              <w:textAlignment w:val="center"/>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Total Allocation</w:t>
            </w:r>
          </w:p>
        </w:tc>
      </w:tr>
      <w:tr w:rsidR="00F67E02" w:rsidRPr="00F67E02" w14:paraId="6ABEED32" w14:textId="77777777" w:rsidTr="00E66310">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3AB98F" w14:textId="77777777" w:rsidR="00F67E02" w:rsidRPr="00F67E02" w:rsidRDefault="00F67E02" w:rsidP="00F67E02">
            <w:pPr>
              <w:rPr>
                <w:rFonts w:cs="Arial"/>
                <w:color w:val="auto"/>
                <w:spacing w:val="0"/>
                <w:sz w:val="36"/>
                <w:szCs w:val="36"/>
                <w:lang w:val="en-ZA" w:eastAsia="en-ZA"/>
              </w:rPr>
            </w:pPr>
          </w:p>
        </w:tc>
        <w:tc>
          <w:tcPr>
            <w:tcW w:w="11743" w:type="dxa"/>
            <w:gridSpan w:val="17"/>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23ED8974" w14:textId="77777777" w:rsidR="00F67E02" w:rsidRPr="00F67E02" w:rsidRDefault="00F67E02" w:rsidP="00F67E02">
            <w:pPr>
              <w:jc w:val="center"/>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R'000</w:t>
            </w:r>
          </w:p>
        </w:tc>
      </w:tr>
      <w:tr w:rsidR="00F67E02" w:rsidRPr="00F67E02" w14:paraId="0323EE27" w14:textId="77777777" w:rsidTr="00E66310">
        <w:trPr>
          <w:trHeight w:val="622"/>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99E9100" w14:textId="77777777" w:rsidR="00F67E02" w:rsidRPr="00F67E02" w:rsidRDefault="00F67E02" w:rsidP="00F67E02">
            <w:pPr>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Eastern Cape</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32D6DD1"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1 960 278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0DAA2F9"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1 651 228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EAAFF33"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10D3214"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309 050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246E821"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5442309"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1 634 932 </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201036F"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1 634 932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BED9A21"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53ED7E8"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35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6ED92C2"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1 631 302 </w:t>
            </w:r>
          </w:p>
        </w:tc>
      </w:tr>
      <w:tr w:rsidR="00F67E02" w:rsidRPr="00F67E02" w14:paraId="0662CD40" w14:textId="77777777" w:rsidTr="00E66310">
        <w:trPr>
          <w:trHeight w:val="622"/>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4740132" w14:textId="77777777" w:rsidR="00F67E02" w:rsidRPr="00F67E02" w:rsidRDefault="00F67E02" w:rsidP="00F67E02">
            <w:pPr>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Free State</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15EA964"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1 093 166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7954415"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870 620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461C2E7"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59 598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57EF9A1"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162 948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33B4392"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39C06B7"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917 011 </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3BA69AF"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862 028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17511D3"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54 983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339AEC8"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35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6F31469"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908 030 </w:t>
            </w:r>
          </w:p>
        </w:tc>
      </w:tr>
      <w:tr w:rsidR="00F67E02" w:rsidRPr="00F67E02" w14:paraId="70CDF565" w14:textId="77777777" w:rsidTr="00E66310">
        <w:trPr>
          <w:trHeight w:val="622"/>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768C035" w14:textId="77777777" w:rsidR="00F67E02" w:rsidRPr="00F67E02" w:rsidRDefault="00F67E02" w:rsidP="00F67E02">
            <w:pPr>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Gauteng</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8A26E52"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5 164 409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A6F1B0C"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4 235 396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36DA4B5"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136 301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0546547"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792 712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0BE5777"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12E680A"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4 319 346 </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C5A328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4 193 598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B525325"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125 748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04C791A"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35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0CE98EF"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4 293 873 </w:t>
            </w:r>
          </w:p>
        </w:tc>
      </w:tr>
      <w:tr w:rsidR="00F67E02" w:rsidRPr="00F67E02" w14:paraId="00DEF023" w14:textId="77777777" w:rsidTr="00E66310">
        <w:trPr>
          <w:trHeight w:val="622"/>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84C051A" w14:textId="77777777" w:rsidR="00F67E02" w:rsidRPr="00F67E02" w:rsidRDefault="00F67E02" w:rsidP="00F67E02">
            <w:pPr>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KwaZulu-Natal</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76C6F05"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3 485 407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5EBCB9C"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2 727 841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1EF13B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BD4FAFF"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510 553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4ADF176"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247 013 </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0151A35"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3 100 921 </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49B0AAB"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2 700 921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AF50A6F"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59DE9EF"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400 000 </w:t>
            </w:r>
          </w:p>
        </w:tc>
        <w:tc>
          <w:tcPr>
            <w:tcW w:w="135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6247D12"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2 694 924 </w:t>
            </w:r>
          </w:p>
        </w:tc>
      </w:tr>
      <w:tr w:rsidR="00F67E02" w:rsidRPr="00F67E02" w14:paraId="7CA44278" w14:textId="77777777" w:rsidTr="00E66310">
        <w:trPr>
          <w:trHeight w:val="622"/>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3AF24F8" w14:textId="77777777" w:rsidR="00F67E02" w:rsidRPr="00F67E02" w:rsidRDefault="00F67E02" w:rsidP="00F67E02">
            <w:pPr>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Limpopo</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129DEB0"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1 301 677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E50EBCC"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971 182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172D43E"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148 725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450DF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181 770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D3676FA"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7F4D62"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1 098 807 </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7C8661F"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961 598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E026B9C"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137 209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E709E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35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374A32A"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1 079 035 </w:t>
            </w:r>
          </w:p>
        </w:tc>
      </w:tr>
      <w:tr w:rsidR="00F67E02" w:rsidRPr="00F67E02" w14:paraId="06BF782F" w14:textId="77777777" w:rsidTr="00E66310">
        <w:trPr>
          <w:trHeight w:val="622"/>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496E8FC" w14:textId="77777777" w:rsidR="00F67E02" w:rsidRPr="00F67E02" w:rsidRDefault="00F67E02" w:rsidP="00F67E02">
            <w:pPr>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Mpumalanga</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C74DAE5"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1 296 059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9FE6ABE"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989 883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051D611"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120 906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E8DF1E4"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185 270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68575A6"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8FF0F2A"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1 091 658 </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BF57808"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980 113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30A801B"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111 545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4E1644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35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5D1A54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1 075 145 </w:t>
            </w:r>
          </w:p>
        </w:tc>
      </w:tr>
      <w:tr w:rsidR="00F67E02" w:rsidRPr="00F67E02" w14:paraId="29981445" w14:textId="77777777" w:rsidTr="00E66310">
        <w:trPr>
          <w:trHeight w:val="622"/>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A724444" w14:textId="77777777" w:rsidR="00F67E02" w:rsidRPr="00F67E02" w:rsidRDefault="00F67E02" w:rsidP="00F67E02">
            <w:pPr>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Northern Cape</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CB1D074"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470 262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C96AD69"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292 912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B87629E"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122 527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3DF408E"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54 823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6BC7CC6"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80B9511"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403 062 </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F627E8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290 022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09DA4B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113 040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AC5C55F"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35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03197C5"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387 887 </w:t>
            </w:r>
          </w:p>
        </w:tc>
      </w:tr>
      <w:tr w:rsidR="00F67E02" w:rsidRPr="00F67E02" w14:paraId="34ADF9AD" w14:textId="77777777" w:rsidTr="00E66310">
        <w:trPr>
          <w:trHeight w:val="622"/>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A4E5B48" w14:textId="77777777" w:rsidR="00F67E02" w:rsidRPr="00F67E02" w:rsidRDefault="00F67E02" w:rsidP="00F67E02">
            <w:pPr>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North West</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B10A62F"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1 934 947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8C4286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1 367 126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84F9EC8"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311 944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18B5FE8"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255 877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AEB2DC8"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B483E13"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1 641 426 </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D8258CF"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1 353 635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C95EB59"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287 791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E726968"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35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6429DD6"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1 601 428 </w:t>
            </w:r>
          </w:p>
        </w:tc>
      </w:tr>
      <w:tr w:rsidR="00F67E02" w:rsidRPr="00F67E02" w14:paraId="55E62184" w14:textId="77777777" w:rsidTr="00E66310">
        <w:trPr>
          <w:trHeight w:val="589"/>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1504102" w14:textId="77777777" w:rsidR="00F67E02" w:rsidRPr="00F67E02" w:rsidRDefault="00F67E02" w:rsidP="00F67E02">
            <w:pPr>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Western Cape</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EDAB76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2 073 610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7BBB84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1 746 693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79A246F"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749496"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326 917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675054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2592766"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1 729 455 </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1495862"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1 729 455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5D089D5"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C448F3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                    - </w:t>
            </w:r>
          </w:p>
        </w:tc>
        <w:tc>
          <w:tcPr>
            <w:tcW w:w="135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37EF5A"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color w:val="000000"/>
                <w:spacing w:val="0"/>
                <w:kern w:val="24"/>
                <w:sz w:val="24"/>
                <w:szCs w:val="24"/>
                <w:lang w:val="en-ZA" w:eastAsia="en-ZA"/>
              </w:rPr>
              <w:t xml:space="preserve">1 725 616 </w:t>
            </w:r>
          </w:p>
        </w:tc>
      </w:tr>
      <w:tr w:rsidR="00F67E02" w:rsidRPr="00F67E02" w14:paraId="2F35EDC0" w14:textId="77777777" w:rsidTr="00E66310">
        <w:trPr>
          <w:trHeight w:val="622"/>
        </w:trPr>
        <w:tc>
          <w:tcPr>
            <w:tcW w:w="2077"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78A0AC47" w14:textId="77777777" w:rsidR="00F67E02" w:rsidRPr="00F67E02" w:rsidRDefault="00F67E02" w:rsidP="00F67E02">
            <w:pPr>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Total</w:t>
            </w:r>
          </w:p>
        </w:tc>
        <w:tc>
          <w:tcPr>
            <w:tcW w:w="1219"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46FE0C24"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 xml:space="preserve">18 779 815 </w:t>
            </w:r>
          </w:p>
        </w:tc>
        <w:tc>
          <w:tcPr>
            <w:tcW w:w="1218"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1B248DBB"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 xml:space="preserve">14 852 881 </w:t>
            </w:r>
          </w:p>
        </w:tc>
        <w:tc>
          <w:tcPr>
            <w:tcW w:w="1218"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645E11CD"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 xml:space="preserve">900 001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07DDE1A2"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 xml:space="preserve">2 779 920 </w:t>
            </w:r>
          </w:p>
        </w:tc>
        <w:tc>
          <w:tcPr>
            <w:tcW w:w="899"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6625B680"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 xml:space="preserve">247 013 </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4FD7449C"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 xml:space="preserve">15 936 618 </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106FF508"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 xml:space="preserve">14 706 302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3217FE03"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 xml:space="preserve">830 316 </w:t>
            </w:r>
          </w:p>
        </w:tc>
        <w:tc>
          <w:tcPr>
            <w:tcW w:w="1019"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5D788537"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 xml:space="preserve">400 000 </w:t>
            </w:r>
          </w:p>
        </w:tc>
        <w:tc>
          <w:tcPr>
            <w:tcW w:w="1358" w:type="dxa"/>
            <w:gridSpan w:val="3"/>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14:paraId="739B7DCC" w14:textId="77777777" w:rsidR="00F67E02" w:rsidRPr="00F67E02" w:rsidRDefault="00F67E02" w:rsidP="00F67E02">
            <w:pPr>
              <w:jc w:val="right"/>
              <w:textAlignment w:val="bottom"/>
              <w:rPr>
                <w:rFonts w:cs="Arial"/>
                <w:color w:val="auto"/>
                <w:spacing w:val="0"/>
                <w:sz w:val="36"/>
                <w:szCs w:val="36"/>
                <w:lang w:val="en-ZA" w:eastAsia="en-ZA"/>
              </w:rPr>
            </w:pPr>
            <w:r w:rsidRPr="00F67E02">
              <w:rPr>
                <w:rFonts w:asciiTheme="minorHAnsi" w:hAnsi="Calibri" w:cs="Arial"/>
                <w:b/>
                <w:bCs/>
                <w:color w:val="000000"/>
                <w:spacing w:val="0"/>
                <w:kern w:val="24"/>
                <w:sz w:val="24"/>
                <w:szCs w:val="24"/>
                <w:lang w:val="en-ZA" w:eastAsia="en-ZA"/>
              </w:rPr>
              <w:t xml:space="preserve">15 397 240 </w:t>
            </w:r>
          </w:p>
        </w:tc>
      </w:tr>
      <w:tr w:rsidR="00E66310" w:rsidRPr="00F95315" w14:paraId="3438BEBE" w14:textId="77777777" w:rsidTr="00E66310">
        <w:trPr>
          <w:gridAfter w:val="1"/>
          <w:wAfter w:w="220" w:type="dxa"/>
          <w:trHeight w:val="452"/>
        </w:trPr>
        <w:tc>
          <w:tcPr>
            <w:tcW w:w="6349" w:type="dxa"/>
            <w:gridSpan w:val="5"/>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14:paraId="42EEB54B" w14:textId="77777777" w:rsidR="00E66310" w:rsidRPr="00F95315" w:rsidRDefault="00E66310" w:rsidP="00BF0C07">
            <w:pPr>
              <w:spacing w:line="360" w:lineRule="auto"/>
              <w:jc w:val="both"/>
              <w:rPr>
                <w:rFonts w:cs="Arial"/>
                <w:b/>
                <w:sz w:val="22"/>
                <w:szCs w:val="22"/>
                <w:lang w:val="en-US"/>
              </w:rPr>
            </w:pPr>
            <w:r w:rsidRPr="00F95315">
              <w:rPr>
                <w:rFonts w:cs="Arial"/>
                <w:b/>
                <w:bCs/>
                <w:sz w:val="22"/>
                <w:szCs w:val="22"/>
                <w:lang w:val="en-ZA"/>
              </w:rPr>
              <w:t>TOTAL</w:t>
            </w:r>
          </w:p>
        </w:tc>
        <w:tc>
          <w:tcPr>
            <w:tcW w:w="2397" w:type="dxa"/>
            <w:gridSpan w:val="4"/>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14:paraId="5AADD037" w14:textId="77777777" w:rsidR="00E66310" w:rsidRPr="00F95315" w:rsidRDefault="00E66310" w:rsidP="00BF0C07">
            <w:pPr>
              <w:spacing w:line="360" w:lineRule="auto"/>
              <w:jc w:val="both"/>
              <w:rPr>
                <w:rFonts w:cs="Arial"/>
                <w:b/>
                <w:sz w:val="22"/>
                <w:szCs w:val="22"/>
                <w:lang w:val="en-US"/>
              </w:rPr>
            </w:pPr>
            <w:r w:rsidRPr="00F95315">
              <w:rPr>
                <w:rFonts w:cs="Arial"/>
                <w:b/>
                <w:sz w:val="22"/>
                <w:szCs w:val="22"/>
                <w:lang w:val="en-ZA"/>
              </w:rPr>
              <w:t>426 000</w:t>
            </w:r>
          </w:p>
        </w:tc>
        <w:tc>
          <w:tcPr>
            <w:tcW w:w="2257" w:type="dxa"/>
            <w:gridSpan w:val="4"/>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14:paraId="5919C33E" w14:textId="77777777" w:rsidR="00E66310" w:rsidRPr="00F95315" w:rsidRDefault="00E66310" w:rsidP="00BF0C07">
            <w:pPr>
              <w:spacing w:line="360" w:lineRule="auto"/>
              <w:jc w:val="both"/>
              <w:rPr>
                <w:rFonts w:cs="Arial"/>
                <w:b/>
                <w:sz w:val="22"/>
                <w:szCs w:val="22"/>
                <w:lang w:val="en-US"/>
              </w:rPr>
            </w:pPr>
            <w:r w:rsidRPr="00F95315">
              <w:rPr>
                <w:rFonts w:cs="Arial"/>
                <w:b/>
                <w:sz w:val="22"/>
                <w:szCs w:val="22"/>
                <w:lang w:val="en-ZA"/>
              </w:rPr>
              <w:t>453 691</w:t>
            </w:r>
          </w:p>
        </w:tc>
        <w:tc>
          <w:tcPr>
            <w:tcW w:w="2597" w:type="dxa"/>
            <w:gridSpan w:val="4"/>
            <w:tcBorders>
              <w:top w:val="single" w:sz="4" w:space="0" w:color="000000"/>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14:paraId="4C6405A1" w14:textId="77777777" w:rsidR="00E66310" w:rsidRPr="00F95315" w:rsidRDefault="00E66310" w:rsidP="00BF0C07">
            <w:pPr>
              <w:spacing w:line="360" w:lineRule="auto"/>
              <w:jc w:val="both"/>
              <w:rPr>
                <w:rFonts w:cs="Arial"/>
                <w:b/>
                <w:sz w:val="22"/>
                <w:szCs w:val="22"/>
                <w:lang w:val="en-US"/>
              </w:rPr>
            </w:pPr>
            <w:r w:rsidRPr="00F95315">
              <w:rPr>
                <w:rFonts w:cs="Arial"/>
                <w:b/>
                <w:sz w:val="22"/>
                <w:szCs w:val="22"/>
                <w:lang w:val="en-ZA"/>
              </w:rPr>
              <w:t>478 644</w:t>
            </w:r>
          </w:p>
        </w:tc>
      </w:tr>
    </w:tbl>
    <w:p w14:paraId="7FFA3CE9" w14:textId="77777777" w:rsidR="00F67E02" w:rsidRPr="00924781" w:rsidRDefault="00E66310" w:rsidP="00E71573">
      <w:pPr>
        <w:spacing w:line="360" w:lineRule="auto"/>
        <w:jc w:val="both"/>
        <w:rPr>
          <w:rFonts w:ascii="Times New Roman" w:hAnsi="Times New Roman"/>
          <w:color w:val="000000"/>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b/>
          <w:sz w:val="24"/>
          <w:szCs w:val="24"/>
        </w:rPr>
        <w:t>Source: Department of Human Settlements Strategic Plan.</w:t>
      </w:r>
    </w:p>
    <w:p w14:paraId="3DFFB832" w14:textId="77777777" w:rsidR="00134C31" w:rsidRDefault="00134C31" w:rsidP="00E71573">
      <w:pPr>
        <w:spacing w:line="360" w:lineRule="auto"/>
        <w:jc w:val="both"/>
        <w:rPr>
          <w:rFonts w:ascii="Times New Roman" w:hAnsi="Times New Roman"/>
          <w:color w:val="000000"/>
          <w:sz w:val="24"/>
          <w:szCs w:val="24"/>
          <w14:shadow w14:blurRad="50800" w14:dist="38100" w14:dir="2700000" w14:sx="100000" w14:sy="100000" w14:kx="0" w14:ky="0" w14:algn="tl">
            <w14:srgbClr w14:val="000000">
              <w14:alpha w14:val="60000"/>
            </w14:srgbClr>
          </w14:shadow>
        </w:rPr>
        <w:sectPr w:rsidR="00134C31" w:rsidSect="00134C31">
          <w:pgSz w:w="15840" w:h="12240" w:orient="landscape"/>
          <w:pgMar w:top="1170" w:right="1381" w:bottom="810" w:left="1440" w:header="708" w:footer="708" w:gutter="0"/>
          <w:cols w:space="720"/>
          <w:docGrid w:linePitch="360"/>
        </w:sectPr>
      </w:pPr>
    </w:p>
    <w:p w14:paraId="164A3241" w14:textId="77777777" w:rsidR="00D10A08" w:rsidRPr="00924781" w:rsidRDefault="00B6225F" w:rsidP="00D10A08">
      <w:pPr>
        <w:pStyle w:val="ListParagraph"/>
        <w:spacing w:line="360" w:lineRule="auto"/>
        <w:ind w:left="0" w:firstLine="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b/>
          <w:sz w:val="24"/>
          <w:szCs w:val="24"/>
          <w14:shadow w14:blurRad="50800" w14:dist="38100" w14:dir="2700000" w14:sx="100000" w14:sy="100000" w14:kx="0" w14:ky="0" w14:algn="tl">
            <w14:srgbClr w14:val="000000">
              <w14:alpha w14:val="60000"/>
            </w14:srgbClr>
          </w14:shadow>
        </w:rPr>
        <w:t>8.</w:t>
      </w:r>
      <w:r w:rsidRPr="00924781">
        <w:rPr>
          <w:rFonts w:ascii="Times New Roman" w:hAnsi="Times New Roman" w:cs="Times New Roman"/>
          <w:b/>
          <w:sz w:val="24"/>
          <w:szCs w:val="24"/>
          <w14:shadow w14:blurRad="50800" w14:dist="38100" w14:dir="2700000" w14:sx="100000" w14:sy="100000" w14:kx="0" w14:ky="0" w14:algn="tl">
            <w14:srgbClr w14:val="000000">
              <w14:alpha w14:val="60000"/>
            </w14:srgbClr>
          </w14:shadow>
        </w:rPr>
        <w:tab/>
      </w:r>
      <w:r w:rsidR="00D10A08" w:rsidRPr="00924781">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Committee deliberations and observations</w:t>
      </w:r>
    </w:p>
    <w:p w14:paraId="3776A428" w14:textId="77777777" w:rsidR="00D10A08" w:rsidRPr="00F95315" w:rsidRDefault="00D10A08" w:rsidP="00D10A08">
      <w:pPr>
        <w:pStyle w:val="ListParagraph"/>
        <w:spacing w:line="360" w:lineRule="auto"/>
        <w:ind w:left="0" w:firstLine="0"/>
        <w:jc w:val="both"/>
        <w:rPr>
          <w:rFonts w:ascii="Arial" w:hAnsi="Arial" w:cs="Arial"/>
          <w:b/>
          <w14:shadow w14:blurRad="50800" w14:dist="38100" w14:dir="2700000" w14:sx="100000" w14:sy="100000" w14:kx="0" w14:ky="0" w14:algn="tl">
            <w14:srgbClr w14:val="000000">
              <w14:alpha w14:val="60000"/>
            </w14:srgbClr>
          </w14:shadow>
        </w:rPr>
      </w:pPr>
    </w:p>
    <w:p w14:paraId="5D846361" w14:textId="77777777" w:rsidR="00D10A08" w:rsidRPr="00924781" w:rsidRDefault="00D10A08" w:rsidP="00D10A08">
      <w:pPr>
        <w:pStyle w:val="ListParagraph"/>
        <w:spacing w:line="360" w:lineRule="auto"/>
        <w:ind w:left="0" w:firstLine="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The Committee, having been briefed by the Department and its entities on its strategic plans, annual performance plans and budget, provincial business plans and the metropolitan municipalities, deliberated and made the following observations:</w:t>
      </w:r>
    </w:p>
    <w:p w14:paraId="3AE559B4" w14:textId="77777777" w:rsidR="00C41734" w:rsidRPr="00924781" w:rsidRDefault="005C3656"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That municipalities </w:t>
      </w:r>
      <w:r w:rsidR="00500DE9"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did not</w:t>
      </w:r>
      <w:r w:rsidR="00C41734"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comply with </w:t>
      </w:r>
      <w:r w:rsidR="00500DE9"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USDG policy parameters. There was</w:t>
      </w:r>
      <w:r w:rsidR="00C41734"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nee</w:t>
      </w:r>
      <w:r w:rsidR="00500DE9"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d for punitive measures for the</w:t>
      </w:r>
      <w:r w:rsidR="00C41734"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lack of c</w:t>
      </w:r>
      <w:r w:rsidR="00500DE9"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ompliance</w:t>
      </w:r>
      <w:r w:rsidR="00C41734"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This would assist the Department to regulate the use of the grant. </w:t>
      </w:r>
    </w:p>
    <w:p w14:paraId="0BAF2396" w14:textId="77777777" w:rsidR="00C41734" w:rsidRPr="00924781" w:rsidRDefault="00C41734"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That there was a practice of fiscal dumping of the USDG grant.</w:t>
      </w:r>
    </w:p>
    <w:p w14:paraId="58F4F91F" w14:textId="77777777" w:rsidR="00C41734" w:rsidRPr="00924781" w:rsidRDefault="00500DE9"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That the D</w:t>
      </w:r>
      <w:r w:rsidR="00C41734"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epartment did not provide a list of informal settlements that need to be upgraded.</w:t>
      </w:r>
    </w:p>
    <w:p w14:paraId="49060CFA" w14:textId="77777777" w:rsidR="00C41734" w:rsidRPr="00924781" w:rsidRDefault="00C41734"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That there was a number of</w:t>
      </w:r>
      <w:r w:rsidR="005C3656"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informal sale of</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RDP </w:t>
      </w:r>
      <w:r w:rsidR="005C3656"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houses</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14:paraId="082CB02F" w14:textId="77777777" w:rsidR="00C41734" w:rsidRPr="00924781" w:rsidRDefault="00C41734"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That there was a huge backlog in the beneficiary waiting list.</w:t>
      </w:r>
    </w:p>
    <w:p w14:paraId="356FBAFD" w14:textId="77777777" w:rsidR="00C41734" w:rsidRPr="00924781" w:rsidRDefault="00C41734"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That there was a lack of capacity in some critical programmes w</w:t>
      </w:r>
      <w:r w:rsidR="005C3656"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ithin the Department, e.g. the A</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nti-Corruption Unit.</w:t>
      </w:r>
    </w:p>
    <w:p w14:paraId="1A65536E" w14:textId="77777777" w:rsidR="00C41734" w:rsidRPr="00924781" w:rsidRDefault="00C41734"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That there was an increase in land and home invasions.</w:t>
      </w:r>
    </w:p>
    <w:p w14:paraId="3C3E5C6E" w14:textId="77777777" w:rsidR="00C41734" w:rsidRPr="00924781" w:rsidRDefault="00C41734"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That there was an increase in farm worker evictions.</w:t>
      </w:r>
    </w:p>
    <w:p w14:paraId="3F6CCE03" w14:textId="77777777" w:rsidR="00C41734" w:rsidRPr="00924781" w:rsidRDefault="00C41734"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That the Department and municipalities were not responding optimally to emergency situations.</w:t>
      </w:r>
    </w:p>
    <w:p w14:paraId="4C283210" w14:textId="77777777" w:rsidR="00C41734" w:rsidRPr="00924781" w:rsidRDefault="00C41734"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That the issuing of title deeds was at a slow pace. In addition, that Indians and Coloured areas were still lagging behind. </w:t>
      </w:r>
    </w:p>
    <w:p w14:paraId="3D157C02" w14:textId="77777777" w:rsidR="00C41734" w:rsidRPr="00924781" w:rsidRDefault="00C41734"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That there were misconduct allegations against the Red Ants in the demolition of houses in Alexandra.  </w:t>
      </w:r>
    </w:p>
    <w:p w14:paraId="7C433DA7" w14:textId="77777777" w:rsidR="00C41734" w:rsidRPr="00924781" w:rsidRDefault="00C41734"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That there was an increase in community protests.</w:t>
      </w:r>
    </w:p>
    <w:p w14:paraId="3AA12335" w14:textId="77777777" w:rsidR="00C41734" w:rsidRPr="00924781" w:rsidRDefault="00C41734"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w:t>
      </w:r>
      <w:r w:rsidR="000D7636"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at accreditation of municipalities in building </w:t>
      </w:r>
      <w:r w:rsidR="00D62561"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homes was</w:t>
      </w:r>
      <w:r w:rsidR="000D7636"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at a slow pace, e.g. </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in </w:t>
      </w:r>
      <w:r w:rsidR="00D62561"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Polokwane.</w:t>
      </w:r>
    </w:p>
    <w:p w14:paraId="52D085B0" w14:textId="77777777" w:rsidR="005C3656" w:rsidRPr="00924781" w:rsidRDefault="005C3656" w:rsidP="005708DA">
      <w:pPr>
        <w:pStyle w:val="ListParagraph"/>
        <w:numPr>
          <w:ilvl w:val="0"/>
          <w:numId w:val="37"/>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That the Department viewed the 2019/20 Annual Performance Plan as delivery contract with society. This would give space for society to monitor the work of the Department. In addition, this would assist the Committee with it monitoring work.</w:t>
      </w:r>
    </w:p>
    <w:p w14:paraId="24A59E2F" w14:textId="77777777" w:rsidR="00295B1F" w:rsidRPr="00924781" w:rsidRDefault="00B6225F" w:rsidP="00295B1F">
      <w:pPr>
        <w:spacing w:after="160" w:line="259" w:lineRule="auto"/>
        <w:rPr>
          <w:rFonts w:ascii="Times New Roman" w:hAnsi="Times New Roman"/>
          <w:b/>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b/>
          <w:sz w:val="24"/>
          <w:szCs w:val="24"/>
          <w14:shadow w14:blurRad="50800" w14:dist="38100" w14:dir="2700000" w14:sx="100000" w14:sy="100000" w14:kx="0" w14:ky="0" w14:algn="tl">
            <w14:srgbClr w14:val="000000">
              <w14:alpha w14:val="60000"/>
            </w14:srgbClr>
          </w14:shadow>
        </w:rPr>
        <w:t>9.</w:t>
      </w:r>
      <w:r w:rsidRPr="00924781">
        <w:rPr>
          <w:rFonts w:ascii="Times New Roman" w:hAnsi="Times New Roman"/>
          <w:b/>
          <w:sz w:val="24"/>
          <w:szCs w:val="24"/>
          <w14:shadow w14:blurRad="50800" w14:dist="38100" w14:dir="2700000" w14:sx="100000" w14:sy="100000" w14:kx="0" w14:ky="0" w14:algn="tl">
            <w14:srgbClr w14:val="000000">
              <w14:alpha w14:val="60000"/>
            </w14:srgbClr>
          </w14:shadow>
        </w:rPr>
        <w:tab/>
      </w:r>
      <w:r w:rsidR="00295B1F" w:rsidRPr="00924781">
        <w:rPr>
          <w:rFonts w:ascii="Times New Roman" w:hAnsi="Times New Roman"/>
          <w:b/>
          <w:sz w:val="24"/>
          <w:szCs w:val="24"/>
          <w14:shadow w14:blurRad="50800" w14:dist="38100" w14:dir="2700000" w14:sx="100000" w14:sy="100000" w14:kx="0" w14:ky="0" w14:algn="tl">
            <w14:srgbClr w14:val="000000">
              <w14:alpha w14:val="60000"/>
            </w14:srgbClr>
          </w14:shadow>
        </w:rPr>
        <w:t>Recommendations</w:t>
      </w:r>
    </w:p>
    <w:p w14:paraId="00B24479" w14:textId="77777777" w:rsidR="00F45561" w:rsidRPr="00924781" w:rsidRDefault="00F45561" w:rsidP="00295B1F">
      <w:pPr>
        <w:spacing w:after="160" w:line="259" w:lineRule="auto"/>
        <w:rPr>
          <w:rFonts w:ascii="Times New Roman" w:hAnsi="Times New Roman"/>
          <w:b/>
          <w:sz w:val="24"/>
          <w:szCs w:val="24"/>
          <w14:shadow w14:blurRad="50800" w14:dist="38100" w14:dir="2700000" w14:sx="100000" w14:sy="100000" w14:kx="0" w14:ky="0" w14:algn="tl">
            <w14:srgbClr w14:val="000000">
              <w14:alpha w14:val="60000"/>
            </w14:srgbClr>
          </w14:shadow>
        </w:rPr>
      </w:pPr>
    </w:p>
    <w:p w14:paraId="51F98FCD" w14:textId="77777777" w:rsidR="00F95315" w:rsidRPr="00924781" w:rsidRDefault="00F95315" w:rsidP="00F95315">
      <w:pPr>
        <w:pStyle w:val="ListParagraph"/>
        <w:spacing w:line="360" w:lineRule="auto"/>
        <w:ind w:left="0" w:firstLine="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The Committee, having been briefed by the Department </w:t>
      </w:r>
      <w:r w:rsidR="00BE1D6C"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of Human Settlements </w:t>
      </w:r>
      <w:r w:rsidR="00D1478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on </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its strategic plans</w:t>
      </w:r>
      <w:r w:rsidR="00D00B71"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annual performance plans and B</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udget</w:t>
      </w:r>
      <w:r w:rsidR="00D1478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D00B71"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V</w:t>
      </w:r>
      <w:r w:rsidR="00D1478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ote 38</w:t>
      </w:r>
      <w:r w:rsidR="00D00B71"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Human Settlements</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D1478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recommends that the Minister of Human Settlements </w:t>
      </w:r>
      <w:r w:rsidR="004F0AAB"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should</w:t>
      </w:r>
      <w:r w:rsidR="00D1478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ensure that</w:t>
      </w:r>
      <w:r w:rsidR="006265A4"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the Department of Human Settlements</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14:paraId="6E0E8E01" w14:textId="77777777" w:rsidR="00295B1F" w:rsidRPr="00924781" w:rsidRDefault="006265A4" w:rsidP="005708DA">
      <w:pPr>
        <w:pStyle w:val="ListParagraph"/>
        <w:numPr>
          <w:ilvl w:val="0"/>
          <w:numId w:val="36"/>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Put p</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unitive measure</w:t>
      </w:r>
      <w:r w:rsidR="00D1478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s</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for the </w:t>
      </w:r>
      <w:r w:rsidR="00D1478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municipalities that </w:t>
      </w:r>
      <w:r w:rsidR="004F0AAB"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are lacking</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compliance </w:t>
      </w:r>
      <w:r w:rsidR="00D1478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in the utilisation of the Urban Settlements Development Grant (U</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SDG</w:t>
      </w:r>
      <w:r w:rsidR="00D1478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r w:rsidR="004B4E7E"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662791"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The funds should be ring-fenced and be utilised for the intended purpose.</w:t>
      </w:r>
      <w:r w:rsidR="004B4E7E"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There should also be punitive measures in place to deal wit</w:t>
      </w:r>
      <w:r w:rsidR="00D27EFB"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h poor performing municipalities</w:t>
      </w:r>
      <w:r w:rsidR="004B4E7E"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14:paraId="3F6A9C32" w14:textId="77777777" w:rsidR="005C3656" w:rsidRPr="00924781" w:rsidRDefault="00D00B71" w:rsidP="005708DA">
      <w:pPr>
        <w:pStyle w:val="ListParagraph"/>
        <w:numPr>
          <w:ilvl w:val="0"/>
          <w:numId w:val="36"/>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Together with National</w:t>
      </w:r>
      <w:r w:rsidR="00544FA6"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Treasury</w:t>
      </w:r>
      <w:r w:rsidR="005C3656"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improve the monitoring of the USDG grant</w:t>
      </w:r>
      <w:r w:rsidR="00D27EFB"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and prevent fiscal dumping</w:t>
      </w:r>
      <w:r w:rsidR="005C3656"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r w:rsidR="00943A1A"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
    <w:p w14:paraId="77F7104A" w14:textId="77777777" w:rsidR="00295B1F" w:rsidRPr="00924781" w:rsidRDefault="00D1478F" w:rsidP="005708DA">
      <w:pPr>
        <w:pStyle w:val="ListParagraph"/>
        <w:numPr>
          <w:ilvl w:val="0"/>
          <w:numId w:val="36"/>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P</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rovide a list of</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the </w:t>
      </w:r>
      <w:r w:rsidR="004F0AAB"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i</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nformal settlements in South Africa, includ</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ing their geographical location</w:t>
      </w:r>
      <w:r w:rsidR="004B4E7E"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(the list of the informal settlements to be upgraded)</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d</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istressed </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m</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ining towns</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l</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ist of blocked projects</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with the plans to unblock them.</w:t>
      </w:r>
      <w:r w:rsidR="00D27EFB"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050D70"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The department should also clarify the rectification programme.</w:t>
      </w:r>
    </w:p>
    <w:p w14:paraId="5C38D6D3" w14:textId="77777777" w:rsidR="00A84922" w:rsidRPr="00924781" w:rsidRDefault="00A84922" w:rsidP="00A84922">
      <w:pPr>
        <w:pStyle w:val="ListParagraph"/>
        <w:numPr>
          <w:ilvl w:val="0"/>
          <w:numId w:val="36"/>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Prevent the informal sale of state subsidy house. Conduct occupancy audit or studies to determine ownership of state subsidy houses (RDP). This would assist the Department to determine the effectiveness and responsiveness of the programme. Educate beneficiaries on their role in home ownership, importance of ownership and benefits.</w:t>
      </w:r>
    </w:p>
    <w:p w14:paraId="0B9644E2" w14:textId="77777777" w:rsidR="000D7636" w:rsidRPr="00924781" w:rsidRDefault="000D7636" w:rsidP="00013A40">
      <w:pPr>
        <w:pStyle w:val="ListParagraph"/>
        <w:numPr>
          <w:ilvl w:val="0"/>
          <w:numId w:val="36"/>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Fast-track the release </w:t>
      </w:r>
      <w:r w:rsidR="004F0AAB"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of </w:t>
      </w:r>
      <w:r w:rsidR="006265A4"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suitable land for </w:t>
      </w:r>
      <w:r w:rsidR="00500DE9"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human s</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ettlements </w:t>
      </w:r>
      <w:r w:rsidR="006265A4"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purpose</w:t>
      </w:r>
      <w:r w:rsidR="004F0AAB"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r w:rsidR="00013A40"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Densification strategies urban areas should be incorporated into departmental plans in urban areas. </w:t>
      </w:r>
    </w:p>
    <w:p w14:paraId="1EDD389E" w14:textId="77777777" w:rsidR="005C3656" w:rsidRPr="00924781" w:rsidRDefault="005C3656" w:rsidP="005708DA">
      <w:pPr>
        <w:pStyle w:val="ListParagraph"/>
        <w:numPr>
          <w:ilvl w:val="0"/>
          <w:numId w:val="36"/>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Improve capacity in critical programmes with the Department. </w:t>
      </w:r>
    </w:p>
    <w:p w14:paraId="27D1C6D0" w14:textId="77777777" w:rsidR="00A84922" w:rsidRPr="00924781" w:rsidRDefault="00A84922" w:rsidP="005708DA">
      <w:pPr>
        <w:pStyle w:val="ListParagraph"/>
        <w:numPr>
          <w:ilvl w:val="0"/>
          <w:numId w:val="36"/>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Prevent land and home invasions.</w:t>
      </w:r>
    </w:p>
    <w:p w14:paraId="35C4E2FE" w14:textId="77777777" w:rsidR="00390AFC" w:rsidRPr="00924781" w:rsidRDefault="005C3656" w:rsidP="00390AFC">
      <w:pPr>
        <w:pStyle w:val="ListParagraph"/>
        <w:numPr>
          <w:ilvl w:val="0"/>
          <w:numId w:val="36"/>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Prevent illegal evictions of farm workers by farmers.</w:t>
      </w:r>
    </w:p>
    <w:p w14:paraId="5D450469" w14:textId="77777777" w:rsidR="00A84922" w:rsidRPr="00924781" w:rsidRDefault="00A84922" w:rsidP="00390AFC">
      <w:pPr>
        <w:pStyle w:val="ListParagraph"/>
        <w:numPr>
          <w:ilvl w:val="0"/>
          <w:numId w:val="36"/>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Improve the response rate in cases of emergency situations.</w:t>
      </w:r>
      <w:r w:rsidR="00B631A3" w:rsidRPr="00924781">
        <w:rPr>
          <w:rFonts w:ascii="Times New Roman" w:hAnsi="Times New Roman" w:cs="Times New Roman"/>
          <w:color w:val="FF0000"/>
          <w:sz w:val="24"/>
          <w:szCs w:val="24"/>
          <w14:shadow w14:blurRad="50800" w14:dist="38100" w14:dir="2700000" w14:sx="100000" w14:sy="100000" w14:kx="0" w14:ky="0" w14:algn="tl">
            <w14:srgbClr w14:val="000000">
              <w14:alpha w14:val="60000"/>
            </w14:srgbClr>
          </w14:shadow>
        </w:rPr>
        <w:t xml:space="preserve"> </w:t>
      </w:r>
      <w:r w:rsidR="00390AFC" w:rsidRPr="00924781">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t xml:space="preserve">The criteria on emergency grant must be clarified. </w:t>
      </w:r>
      <w:r w:rsidR="00B631A3"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Furthermore, the definition, parameters, and process of policy should be clarified. This would assist the Committee with monitoring and evaluation of the programme. </w:t>
      </w:r>
    </w:p>
    <w:p w14:paraId="3BC71DB1" w14:textId="77777777" w:rsidR="00B26A65" w:rsidRPr="00924781" w:rsidRDefault="00B26A65" w:rsidP="00B26A65">
      <w:pPr>
        <w:pStyle w:val="ListParagraph"/>
        <w:numPr>
          <w:ilvl w:val="0"/>
          <w:numId w:val="36"/>
        </w:numPr>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t xml:space="preserve">Fast-track the issuing of title deeds, including the eradication of the backlog (pre- and post-1994). Fast-track the issuing of tittle deeds in Indian and Coloured areas. </w:t>
      </w:r>
    </w:p>
    <w:p w14:paraId="60CAD834" w14:textId="77777777" w:rsidR="00B26A65" w:rsidRPr="00924781" w:rsidRDefault="00F27EA5" w:rsidP="00390AFC">
      <w:pPr>
        <w:pStyle w:val="ListParagraph"/>
        <w:numPr>
          <w:ilvl w:val="0"/>
          <w:numId w:val="36"/>
        </w:numPr>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t>C</w:t>
      </w:r>
      <w:r w:rsidR="00B26A65" w:rsidRPr="00924781">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t>onduct an investigation</w:t>
      </w:r>
      <w:r w:rsidR="00390AFC" w:rsidRPr="00924781">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t xml:space="preserve"> of alleged Red Ants misconduct.</w:t>
      </w:r>
    </w:p>
    <w:p w14:paraId="60D538FA" w14:textId="77777777" w:rsidR="00B26A65" w:rsidRPr="00924781" w:rsidRDefault="00B26A65" w:rsidP="00B26A65">
      <w:pPr>
        <w:pStyle w:val="ListParagraph"/>
        <w:numPr>
          <w:ilvl w:val="0"/>
          <w:numId w:val="36"/>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Improve community involvement to ensure community satisfaction and reduce community protests.</w:t>
      </w:r>
    </w:p>
    <w:p w14:paraId="6EF7B2D9" w14:textId="77777777" w:rsidR="00B26A65" w:rsidRPr="00924781" w:rsidRDefault="00B26A65" w:rsidP="00B26A65">
      <w:pPr>
        <w:pStyle w:val="ListParagraph"/>
        <w:numPr>
          <w:ilvl w:val="0"/>
          <w:numId w:val="36"/>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Improve the accreditation process of municipalities.</w:t>
      </w:r>
    </w:p>
    <w:p w14:paraId="2F951B7B" w14:textId="77777777" w:rsidR="00390AFC" w:rsidRPr="00924781" w:rsidRDefault="00390AFC" w:rsidP="00390AFC">
      <w:pPr>
        <w:pStyle w:val="ListParagraph"/>
        <w:spacing w:line="360" w:lineRule="auto"/>
        <w:ind w:firstLine="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064BFFD9" w14:textId="77777777" w:rsidR="00390AFC" w:rsidRPr="00924781" w:rsidRDefault="00390AFC" w:rsidP="00390AFC">
      <w:pPr>
        <w:spacing w:line="360" w:lineRule="auto"/>
        <w:jc w:val="both"/>
        <w:rPr>
          <w:rFonts w:ascii="Times New Roman" w:hAnsi="Times New Roman"/>
          <w:b/>
          <w:color w:val="auto"/>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b/>
          <w:color w:val="auto"/>
          <w:sz w:val="24"/>
          <w:szCs w:val="24"/>
          <w14:shadow w14:blurRad="50800" w14:dist="38100" w14:dir="2700000" w14:sx="100000" w14:sy="100000" w14:kx="0" w14:ky="0" w14:algn="tl">
            <w14:srgbClr w14:val="000000">
              <w14:alpha w14:val="60000"/>
            </w14:srgbClr>
          </w14:shadow>
        </w:rPr>
        <w:t>9.1 General Recommendations</w:t>
      </w:r>
    </w:p>
    <w:p w14:paraId="2CA2EA38" w14:textId="77777777" w:rsidR="00295B1F" w:rsidRPr="00924781" w:rsidRDefault="004F0AAB" w:rsidP="00390AFC">
      <w:pPr>
        <w:pStyle w:val="ListParagraph"/>
        <w:numPr>
          <w:ilvl w:val="0"/>
          <w:numId w:val="38"/>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U</w:t>
      </w:r>
      <w:r w:rsidR="000D7636"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pscale s</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upport</w:t>
      </w:r>
      <w:r w:rsidR="000D7636"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to </w:t>
      </w:r>
      <w:r w:rsidR="00295B1F"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women and youth contractors.</w:t>
      </w:r>
      <w:r w:rsidR="00BE127B"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There</w:t>
      </w:r>
      <w:r w:rsidR="00500DE9"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should be plans t</w:t>
      </w:r>
      <w:r w:rsidR="00BE127B"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o capacitate them to improve their performance.</w:t>
      </w:r>
    </w:p>
    <w:p w14:paraId="01003DA4" w14:textId="77777777" w:rsidR="002E31F3" w:rsidRPr="00924781" w:rsidRDefault="005C3656" w:rsidP="00390AFC">
      <w:pPr>
        <w:pStyle w:val="ListParagraph"/>
        <w:numPr>
          <w:ilvl w:val="0"/>
          <w:numId w:val="38"/>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Utilise the current legislation to prevent land and home invasions. </w:t>
      </w:r>
      <w:r w:rsidR="002E31F3"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Clarify on the utilisation of </w:t>
      </w:r>
      <w:r w:rsidR="00B26A65"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emergency grant, how is it </w:t>
      </w:r>
      <w:r w:rsidR="002E31F3"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administered, what constitute the emergency or prerequisite as most people affected by disasters were still out of shelter.</w:t>
      </w:r>
    </w:p>
    <w:p w14:paraId="01496126" w14:textId="77777777" w:rsidR="00097F8C" w:rsidRPr="00924781" w:rsidRDefault="00F27EA5" w:rsidP="00390AFC">
      <w:pPr>
        <w:pStyle w:val="ListParagraph"/>
        <w:numPr>
          <w:ilvl w:val="0"/>
          <w:numId w:val="38"/>
        </w:numPr>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t>Monitor the m</w:t>
      </w:r>
      <w:r w:rsidR="00097F8C" w:rsidRPr="00924781">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t xml:space="preserve">anagement of </w:t>
      </w:r>
      <w:r w:rsidRPr="00924781">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t xml:space="preserve">the </w:t>
      </w:r>
      <w:r w:rsidR="00097F8C" w:rsidRPr="00924781">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t xml:space="preserve">Housing Subsidy System (HSS) as the waiting list is still a challenge.  </w:t>
      </w:r>
    </w:p>
    <w:p w14:paraId="7720947E" w14:textId="77777777" w:rsidR="005E2403" w:rsidRPr="00924781" w:rsidRDefault="005E2403" w:rsidP="00390AFC">
      <w:pPr>
        <w:pStyle w:val="ListParagraph"/>
        <w:numPr>
          <w:ilvl w:val="0"/>
          <w:numId w:val="38"/>
        </w:numPr>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eastAsia="Arial Unicode MS" w:hAnsi="Times New Roman" w:cs="Times New Roman"/>
          <w:sz w:val="24"/>
          <w:szCs w:val="24"/>
          <w14:shadow w14:blurRad="50800" w14:dist="38100" w14:dir="2700000" w14:sx="100000" w14:sy="100000" w14:kx="0" w14:ky="0" w14:algn="tl">
            <w14:srgbClr w14:val="000000">
              <w14:alpha w14:val="60000"/>
            </w14:srgbClr>
          </w14:shadow>
        </w:rPr>
        <w:t xml:space="preserve">Provide plans to assist Military Veterans as some houses were built without amenities. </w:t>
      </w:r>
    </w:p>
    <w:p w14:paraId="37ED9920" w14:textId="77777777" w:rsidR="00A84922" w:rsidRPr="00924781" w:rsidRDefault="00F27EA5" w:rsidP="00390AFC">
      <w:pPr>
        <w:pStyle w:val="ListParagraph"/>
        <w:numPr>
          <w:ilvl w:val="0"/>
          <w:numId w:val="38"/>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S</w:t>
      </w:r>
      <w:r w:rsidR="00A84922"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ubmit </w:t>
      </w: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its</w:t>
      </w:r>
      <w:r w:rsidR="00A84922"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human resource plan to the Committee. </w:t>
      </w:r>
    </w:p>
    <w:p w14:paraId="311828C8" w14:textId="77777777" w:rsidR="00390AFC" w:rsidRPr="00924781" w:rsidRDefault="00F27EA5" w:rsidP="00390AFC">
      <w:pPr>
        <w:pStyle w:val="ListParagraph"/>
        <w:numPr>
          <w:ilvl w:val="0"/>
          <w:numId w:val="38"/>
        </w:num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S</w:t>
      </w:r>
      <w:r w:rsidR="00390AFC" w:rsidRPr="00924781">
        <w:rPr>
          <w:rFonts w:ascii="Times New Roman" w:hAnsi="Times New Roman" w:cs="Times New Roman"/>
          <w:sz w:val="24"/>
          <w:szCs w:val="24"/>
          <w14:shadow w14:blurRad="50800" w14:dist="38100" w14:dir="2700000" w14:sx="100000" w14:sy="100000" w14:kx="0" w14:ky="0" w14:algn="tl">
            <w14:srgbClr w14:val="000000">
              <w14:alpha w14:val="60000"/>
            </w14:srgbClr>
          </w14:shadow>
        </w:rPr>
        <w:t>tart looking into future plans to realise the President’s dream of building new smart cities.</w:t>
      </w:r>
    </w:p>
    <w:p w14:paraId="06E1576D" w14:textId="77777777" w:rsidR="00F45561" w:rsidRPr="00924781" w:rsidRDefault="00F45561" w:rsidP="00D10A08">
      <w:pPr>
        <w:spacing w:line="360" w:lineRule="auto"/>
        <w:rPr>
          <w:rFonts w:ascii="Times New Roman" w:hAnsi="Times New Roman"/>
          <w:b/>
          <w:sz w:val="24"/>
          <w:szCs w:val="24"/>
          <w14:shadow w14:blurRad="50800" w14:dist="38100" w14:dir="2700000" w14:sx="100000" w14:sy="100000" w14:kx="0" w14:ky="0" w14:algn="tl">
            <w14:srgbClr w14:val="000000">
              <w14:alpha w14:val="60000"/>
            </w14:srgbClr>
          </w14:shadow>
        </w:rPr>
      </w:pPr>
    </w:p>
    <w:p w14:paraId="0DE3B11D" w14:textId="77777777" w:rsidR="00D10A08" w:rsidRPr="00924781" w:rsidRDefault="00D10A08" w:rsidP="00D10A08">
      <w:pPr>
        <w:spacing w:line="36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924781">
        <w:rPr>
          <w:rFonts w:ascii="Times New Roman" w:eastAsia="Calibri" w:hAnsi="Times New Roman"/>
          <w:color w:val="auto"/>
          <w:spacing w:val="0"/>
          <w:sz w:val="24"/>
          <w:szCs w:val="24"/>
          <w:lang w:val="en-US" w:eastAsia="en-US"/>
          <w14:shadow w14:blurRad="50800" w14:dist="38100" w14:dir="2700000" w14:sx="100000" w14:sy="100000" w14:kx="0" w14:ky="0" w14:algn="tl">
            <w14:srgbClr w14:val="000000">
              <w14:alpha w14:val="60000"/>
            </w14:srgbClr>
          </w14:shadow>
        </w:rPr>
        <w:t>Report to be considered.</w:t>
      </w:r>
    </w:p>
    <w:p w14:paraId="730E6812" w14:textId="77777777" w:rsidR="002B26B0" w:rsidRPr="00F95315" w:rsidRDefault="002B26B0">
      <w:pPr>
        <w:rPr>
          <w:rFonts w:cs="Arial"/>
          <w:sz w:val="22"/>
          <w:szCs w:val="22"/>
        </w:rPr>
      </w:pPr>
    </w:p>
    <w:sectPr w:rsidR="002B26B0" w:rsidRPr="00F95315" w:rsidSect="00BF0C07">
      <w:pgSz w:w="12240" w:h="15840"/>
      <w:pgMar w:top="1381" w:right="1260" w:bottom="1440" w:left="135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F43F" w14:textId="77777777" w:rsidR="00BF0C07" w:rsidRDefault="00BF0C07" w:rsidP="007F3977">
      <w:r>
        <w:separator/>
      </w:r>
    </w:p>
  </w:endnote>
  <w:endnote w:type="continuationSeparator" w:id="0">
    <w:p w14:paraId="1EC375EE" w14:textId="77777777" w:rsidR="00BF0C07" w:rsidRDefault="00BF0C07" w:rsidP="007F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FBE7" w14:textId="77777777" w:rsidR="00BF0C07" w:rsidRDefault="00BF0C07">
    <w:pPr>
      <w:pStyle w:val="Footer"/>
      <w:jc w:val="right"/>
    </w:pPr>
    <w:r>
      <w:fldChar w:fldCharType="begin"/>
    </w:r>
    <w:r>
      <w:instrText xml:space="preserve"> PAGE   \* MERGEFORMAT </w:instrText>
    </w:r>
    <w:r>
      <w:fldChar w:fldCharType="separate"/>
    </w:r>
    <w:r w:rsidR="005F4C91">
      <w:rPr>
        <w:noProof/>
      </w:rPr>
      <w:t>1</w:t>
    </w:r>
    <w:r>
      <w:rPr>
        <w:noProof/>
      </w:rPr>
      <w:fldChar w:fldCharType="end"/>
    </w:r>
  </w:p>
  <w:p w14:paraId="1ED0C03C" w14:textId="77777777" w:rsidR="00BF0C07" w:rsidRDefault="00BF0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7D7E3" w14:textId="77777777" w:rsidR="00BF0C07" w:rsidRDefault="00BF0C07" w:rsidP="007F3977">
      <w:r>
        <w:separator/>
      </w:r>
    </w:p>
  </w:footnote>
  <w:footnote w:type="continuationSeparator" w:id="0">
    <w:p w14:paraId="08829AC3" w14:textId="77777777" w:rsidR="00BF0C07" w:rsidRDefault="00BF0C07" w:rsidP="007F3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4ED2"/>
    <w:multiLevelType w:val="hybridMultilevel"/>
    <w:tmpl w:val="497EF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FE3D1F"/>
    <w:multiLevelType w:val="hybridMultilevel"/>
    <w:tmpl w:val="FF1805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0F6C51E0"/>
    <w:multiLevelType w:val="hybridMultilevel"/>
    <w:tmpl w:val="84F4F7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453572D"/>
    <w:multiLevelType w:val="hybridMultilevel"/>
    <w:tmpl w:val="37DEC8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15C5605C"/>
    <w:multiLevelType w:val="hybridMultilevel"/>
    <w:tmpl w:val="D59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D2FCF"/>
    <w:multiLevelType w:val="hybridMultilevel"/>
    <w:tmpl w:val="8AC63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931BFC"/>
    <w:multiLevelType w:val="hybridMultilevel"/>
    <w:tmpl w:val="8DC8B4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2A467984"/>
    <w:multiLevelType w:val="hybridMultilevel"/>
    <w:tmpl w:val="021A17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B435B65"/>
    <w:multiLevelType w:val="hybridMultilevel"/>
    <w:tmpl w:val="F1E460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2C8F2F64"/>
    <w:multiLevelType w:val="hybridMultilevel"/>
    <w:tmpl w:val="BCEC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965580"/>
    <w:multiLevelType w:val="hybridMultilevel"/>
    <w:tmpl w:val="94749286"/>
    <w:lvl w:ilvl="0" w:tplc="AFA25938">
      <w:start w:val="1"/>
      <w:numFmt w:val="bullet"/>
      <w:lvlText w:val="•"/>
      <w:lvlJc w:val="left"/>
      <w:pPr>
        <w:tabs>
          <w:tab w:val="num" w:pos="720"/>
        </w:tabs>
        <w:ind w:left="720" w:hanging="360"/>
      </w:pPr>
      <w:rPr>
        <w:rFonts w:ascii="Arial" w:hAnsi="Aria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1A41A3B"/>
    <w:multiLevelType w:val="hybridMultilevel"/>
    <w:tmpl w:val="F5AE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407761"/>
    <w:multiLevelType w:val="hybridMultilevel"/>
    <w:tmpl w:val="799A6F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39497539"/>
    <w:multiLevelType w:val="hybridMultilevel"/>
    <w:tmpl w:val="488A2B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39FF1E79"/>
    <w:multiLevelType w:val="hybridMultilevel"/>
    <w:tmpl w:val="7526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E6913F0"/>
    <w:multiLevelType w:val="hybridMultilevel"/>
    <w:tmpl w:val="1202542E"/>
    <w:lvl w:ilvl="0" w:tplc="04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40B34899"/>
    <w:multiLevelType w:val="hybridMultilevel"/>
    <w:tmpl w:val="A1FA76A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7">
    <w:nsid w:val="44BA4BA8"/>
    <w:multiLevelType w:val="hybridMultilevel"/>
    <w:tmpl w:val="515A74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45B329B6"/>
    <w:multiLevelType w:val="hybridMultilevel"/>
    <w:tmpl w:val="C76C083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4CB73EBE"/>
    <w:multiLevelType w:val="hybridMultilevel"/>
    <w:tmpl w:val="717071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4D5F030C"/>
    <w:multiLevelType w:val="hybridMultilevel"/>
    <w:tmpl w:val="5E74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B39BA"/>
    <w:multiLevelType w:val="hybridMultilevel"/>
    <w:tmpl w:val="94B8C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1113108"/>
    <w:multiLevelType w:val="hybridMultilevel"/>
    <w:tmpl w:val="97C4C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23C0A01"/>
    <w:multiLevelType w:val="hybridMultilevel"/>
    <w:tmpl w:val="2128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34F3C"/>
    <w:multiLevelType w:val="hybridMultilevel"/>
    <w:tmpl w:val="6714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F29F2"/>
    <w:multiLevelType w:val="hybridMultilevel"/>
    <w:tmpl w:val="5B343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A954D8"/>
    <w:multiLevelType w:val="hybridMultilevel"/>
    <w:tmpl w:val="3538FC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7">
    <w:nsid w:val="5FB74124"/>
    <w:multiLevelType w:val="hybridMultilevel"/>
    <w:tmpl w:val="2AC426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5FE5167D"/>
    <w:multiLevelType w:val="hybridMultilevel"/>
    <w:tmpl w:val="BB985ED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9">
    <w:nsid w:val="65E9701C"/>
    <w:multiLevelType w:val="hybridMultilevel"/>
    <w:tmpl w:val="7922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D9D64F1"/>
    <w:multiLevelType w:val="hybridMultilevel"/>
    <w:tmpl w:val="A57AD5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1">
    <w:nsid w:val="6F165C95"/>
    <w:multiLevelType w:val="hybridMultilevel"/>
    <w:tmpl w:val="B2028704"/>
    <w:lvl w:ilvl="0" w:tplc="04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nsid w:val="6F8A6312"/>
    <w:multiLevelType w:val="hybridMultilevel"/>
    <w:tmpl w:val="0F2EBAD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12EAE"/>
    <w:multiLevelType w:val="hybridMultilevel"/>
    <w:tmpl w:val="2D8E2E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nsid w:val="74A11025"/>
    <w:multiLevelType w:val="hybridMultilevel"/>
    <w:tmpl w:val="41244E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6020104"/>
    <w:multiLevelType w:val="hybridMultilevel"/>
    <w:tmpl w:val="D8F4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26723F"/>
    <w:multiLevelType w:val="hybridMultilevel"/>
    <w:tmpl w:val="06345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84C5537"/>
    <w:multiLevelType w:val="hybridMultilevel"/>
    <w:tmpl w:val="D0F49E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14"/>
  </w:num>
  <w:num w:numId="5">
    <w:abstractNumId w:val="22"/>
  </w:num>
  <w:num w:numId="6">
    <w:abstractNumId w:val="29"/>
  </w:num>
  <w:num w:numId="7">
    <w:abstractNumId w:val="10"/>
  </w:num>
  <w:num w:numId="8">
    <w:abstractNumId w:val="28"/>
  </w:num>
  <w:num w:numId="9">
    <w:abstractNumId w:val="16"/>
  </w:num>
  <w:num w:numId="10">
    <w:abstractNumId w:val="26"/>
  </w:num>
  <w:num w:numId="11">
    <w:abstractNumId w:val="11"/>
  </w:num>
  <w:num w:numId="12">
    <w:abstractNumId w:val="30"/>
  </w:num>
  <w:num w:numId="13">
    <w:abstractNumId w:val="33"/>
  </w:num>
  <w:num w:numId="14">
    <w:abstractNumId w:val="19"/>
  </w:num>
  <w:num w:numId="15">
    <w:abstractNumId w:val="2"/>
  </w:num>
  <w:num w:numId="16">
    <w:abstractNumId w:val="27"/>
  </w:num>
  <w:num w:numId="17">
    <w:abstractNumId w:val="1"/>
  </w:num>
  <w:num w:numId="18">
    <w:abstractNumId w:val="13"/>
  </w:num>
  <w:num w:numId="19">
    <w:abstractNumId w:val="17"/>
  </w:num>
  <w:num w:numId="20">
    <w:abstractNumId w:val="3"/>
  </w:num>
  <w:num w:numId="21">
    <w:abstractNumId w:val="6"/>
  </w:num>
  <w:num w:numId="22">
    <w:abstractNumId w:val="37"/>
  </w:num>
  <w:num w:numId="23">
    <w:abstractNumId w:val="12"/>
  </w:num>
  <w:num w:numId="24">
    <w:abstractNumId w:val="7"/>
  </w:num>
  <w:num w:numId="25">
    <w:abstractNumId w:val="36"/>
  </w:num>
  <w:num w:numId="26">
    <w:abstractNumId w:val="9"/>
  </w:num>
  <w:num w:numId="27">
    <w:abstractNumId w:val="1"/>
  </w:num>
  <w:num w:numId="28">
    <w:abstractNumId w:val="32"/>
  </w:num>
  <w:num w:numId="29">
    <w:abstractNumId w:val="5"/>
  </w:num>
  <w:num w:numId="30">
    <w:abstractNumId w:val="0"/>
  </w:num>
  <w:num w:numId="31">
    <w:abstractNumId w:val="34"/>
  </w:num>
  <w:num w:numId="32">
    <w:abstractNumId w:val="21"/>
  </w:num>
  <w:num w:numId="33">
    <w:abstractNumId w:val="35"/>
  </w:num>
  <w:num w:numId="34">
    <w:abstractNumId w:val="4"/>
  </w:num>
  <w:num w:numId="35">
    <w:abstractNumId w:val="20"/>
  </w:num>
  <w:num w:numId="36">
    <w:abstractNumId w:val="31"/>
  </w:num>
  <w:num w:numId="37">
    <w:abstractNumId w:val="15"/>
  </w:num>
  <w:num w:numId="38">
    <w:abstractNumId w:val="23"/>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08"/>
    <w:rsid w:val="000003A6"/>
    <w:rsid w:val="000113E2"/>
    <w:rsid w:val="00013A40"/>
    <w:rsid w:val="00050D70"/>
    <w:rsid w:val="00097F8C"/>
    <w:rsid w:val="000D7636"/>
    <w:rsid w:val="000E41DA"/>
    <w:rsid w:val="000F2792"/>
    <w:rsid w:val="00132BB4"/>
    <w:rsid w:val="00134C31"/>
    <w:rsid w:val="001401C5"/>
    <w:rsid w:val="001751F1"/>
    <w:rsid w:val="00206F52"/>
    <w:rsid w:val="002106CD"/>
    <w:rsid w:val="002140B1"/>
    <w:rsid w:val="00220291"/>
    <w:rsid w:val="002951D5"/>
    <w:rsid w:val="00295B1F"/>
    <w:rsid w:val="002B26B0"/>
    <w:rsid w:val="002C34B0"/>
    <w:rsid w:val="002E31F3"/>
    <w:rsid w:val="00310B75"/>
    <w:rsid w:val="00344F1C"/>
    <w:rsid w:val="00367682"/>
    <w:rsid w:val="00380BD2"/>
    <w:rsid w:val="00390AFC"/>
    <w:rsid w:val="003E5CCD"/>
    <w:rsid w:val="0047454F"/>
    <w:rsid w:val="004B3431"/>
    <w:rsid w:val="004B4E7E"/>
    <w:rsid w:val="004F0AAB"/>
    <w:rsid w:val="00500DE9"/>
    <w:rsid w:val="00510334"/>
    <w:rsid w:val="00544FA6"/>
    <w:rsid w:val="00545A9E"/>
    <w:rsid w:val="005708DA"/>
    <w:rsid w:val="005C3656"/>
    <w:rsid w:val="005E2403"/>
    <w:rsid w:val="005F0B73"/>
    <w:rsid w:val="005F4C91"/>
    <w:rsid w:val="006265A4"/>
    <w:rsid w:val="00662791"/>
    <w:rsid w:val="006E7116"/>
    <w:rsid w:val="006F7DFC"/>
    <w:rsid w:val="00723A33"/>
    <w:rsid w:val="00793C33"/>
    <w:rsid w:val="007C1A66"/>
    <w:rsid w:val="007F3977"/>
    <w:rsid w:val="0087701E"/>
    <w:rsid w:val="008773D7"/>
    <w:rsid w:val="008922C9"/>
    <w:rsid w:val="00894DFB"/>
    <w:rsid w:val="008A353A"/>
    <w:rsid w:val="008C71AB"/>
    <w:rsid w:val="0090368A"/>
    <w:rsid w:val="009155B8"/>
    <w:rsid w:val="00924781"/>
    <w:rsid w:val="009304D2"/>
    <w:rsid w:val="00943A1A"/>
    <w:rsid w:val="00957977"/>
    <w:rsid w:val="009847A4"/>
    <w:rsid w:val="009C5A1C"/>
    <w:rsid w:val="00A3554B"/>
    <w:rsid w:val="00A50AAE"/>
    <w:rsid w:val="00A8298E"/>
    <w:rsid w:val="00A84922"/>
    <w:rsid w:val="00AA41EB"/>
    <w:rsid w:val="00B26A65"/>
    <w:rsid w:val="00B6225F"/>
    <w:rsid w:val="00B631A3"/>
    <w:rsid w:val="00BA5FBA"/>
    <w:rsid w:val="00BB3B0F"/>
    <w:rsid w:val="00BE127B"/>
    <w:rsid w:val="00BE1D6C"/>
    <w:rsid w:val="00BF0C07"/>
    <w:rsid w:val="00C16DED"/>
    <w:rsid w:val="00C41734"/>
    <w:rsid w:val="00C85BAD"/>
    <w:rsid w:val="00CD1429"/>
    <w:rsid w:val="00CD5CAB"/>
    <w:rsid w:val="00D00B71"/>
    <w:rsid w:val="00D10A08"/>
    <w:rsid w:val="00D1418F"/>
    <w:rsid w:val="00D1478F"/>
    <w:rsid w:val="00D27EFB"/>
    <w:rsid w:val="00D3778F"/>
    <w:rsid w:val="00D62561"/>
    <w:rsid w:val="00DF16E6"/>
    <w:rsid w:val="00E20DE5"/>
    <w:rsid w:val="00E2480E"/>
    <w:rsid w:val="00E33616"/>
    <w:rsid w:val="00E66310"/>
    <w:rsid w:val="00E71573"/>
    <w:rsid w:val="00E9070E"/>
    <w:rsid w:val="00EC73A2"/>
    <w:rsid w:val="00F13E8A"/>
    <w:rsid w:val="00F27EA5"/>
    <w:rsid w:val="00F45561"/>
    <w:rsid w:val="00F560F3"/>
    <w:rsid w:val="00F67E02"/>
    <w:rsid w:val="00F95315"/>
    <w:rsid w:val="00FB2415"/>
    <w:rsid w:val="00FC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08"/>
    <w:pPr>
      <w:spacing w:after="0" w:line="240" w:lineRule="auto"/>
    </w:pPr>
    <w:rPr>
      <w:rFonts w:ascii="Arial" w:eastAsia="Times New Roman" w:hAnsi="Arial" w:cs="Times New Roman"/>
      <w:color w:val="001F00"/>
      <w:spacing w:val="6"/>
      <w:sz w:val="18"/>
      <w:szCs w:val="18"/>
      <w:lang w:val="en-GB" w:eastAsia="en-GB"/>
    </w:rPr>
  </w:style>
  <w:style w:type="paragraph" w:styleId="Heading2">
    <w:name w:val="heading 2"/>
    <w:basedOn w:val="Normal"/>
    <w:next w:val="Normal"/>
    <w:link w:val="Heading2Char"/>
    <w:qFormat/>
    <w:rsid w:val="00D10A08"/>
    <w:pPr>
      <w:keepNext/>
      <w:outlineLvl w:val="1"/>
    </w:pPr>
    <w:rPr>
      <w:rFonts w:cs="Arial"/>
      <w:b/>
      <w:bCs/>
      <w:iCs/>
    </w:rPr>
  </w:style>
  <w:style w:type="paragraph" w:styleId="Heading5">
    <w:name w:val="heading 5"/>
    <w:basedOn w:val="Normal"/>
    <w:next w:val="Normal"/>
    <w:link w:val="Heading5Char"/>
    <w:uiPriority w:val="9"/>
    <w:semiHidden/>
    <w:unhideWhenUsed/>
    <w:qFormat/>
    <w:rsid w:val="002106C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0A08"/>
    <w:rPr>
      <w:rFonts w:ascii="Arial" w:eastAsia="Times New Roman" w:hAnsi="Arial" w:cs="Arial"/>
      <w:b/>
      <w:bCs/>
      <w:iCs/>
      <w:color w:val="001F00"/>
      <w:spacing w:val="6"/>
      <w:sz w:val="18"/>
      <w:szCs w:val="18"/>
      <w:lang w:val="en-GB" w:eastAsia="en-GB"/>
    </w:rPr>
  </w:style>
  <w:style w:type="character" w:styleId="Hyperlink">
    <w:name w:val="Hyperlink"/>
    <w:semiHidden/>
    <w:unhideWhenUsed/>
    <w:rsid w:val="00D10A08"/>
    <w:rPr>
      <w:color w:val="0000FF"/>
      <w:u w:val="single"/>
    </w:rPr>
  </w:style>
  <w:style w:type="paragraph" w:customStyle="1" w:styleId="msonormal0">
    <w:name w:val="msonormal"/>
    <w:basedOn w:val="Normal"/>
    <w:uiPriority w:val="99"/>
    <w:rsid w:val="00D10A08"/>
    <w:pPr>
      <w:spacing w:before="100" w:beforeAutospacing="1" w:after="100" w:afterAutospacing="1"/>
    </w:pPr>
    <w:rPr>
      <w:rFonts w:ascii="Times New Roman" w:hAnsi="Times New Roman"/>
      <w:color w:val="auto"/>
      <w:spacing w:val="0"/>
      <w:sz w:val="24"/>
      <w:szCs w:val="24"/>
      <w:lang w:val="en-US" w:eastAsia="en-US"/>
    </w:rPr>
  </w:style>
  <w:style w:type="paragraph" w:styleId="NormalWeb">
    <w:name w:val="Normal (Web)"/>
    <w:basedOn w:val="Normal"/>
    <w:uiPriority w:val="99"/>
    <w:unhideWhenUsed/>
    <w:rsid w:val="00D10A08"/>
    <w:pPr>
      <w:spacing w:before="100" w:beforeAutospacing="1" w:after="100" w:afterAutospacing="1"/>
    </w:pPr>
    <w:rPr>
      <w:rFonts w:ascii="Times New Roman" w:hAnsi="Times New Roman"/>
      <w:color w:val="auto"/>
      <w:spacing w:val="0"/>
      <w:sz w:val="24"/>
      <w:szCs w:val="24"/>
      <w:lang w:val="en-US" w:eastAsia="en-US"/>
    </w:rPr>
  </w:style>
  <w:style w:type="character" w:customStyle="1" w:styleId="FootnoteTextChar">
    <w:name w:val="Footnote Text Char"/>
    <w:aliases w:val="Footnote Text Char Char Char,fn Char Char"/>
    <w:link w:val="FootnoteText"/>
    <w:locked/>
    <w:rsid w:val="00D10A08"/>
    <w:rPr>
      <w:lang w:val="en-GB"/>
    </w:rPr>
  </w:style>
  <w:style w:type="paragraph" w:styleId="FootnoteText">
    <w:name w:val="footnote text"/>
    <w:aliases w:val="Footnote Text Char Char,fn Char"/>
    <w:basedOn w:val="Normal"/>
    <w:link w:val="FootnoteTextChar"/>
    <w:unhideWhenUsed/>
    <w:qFormat/>
    <w:rsid w:val="00D10A08"/>
    <w:rPr>
      <w:rFonts w:asciiTheme="minorHAnsi" w:eastAsiaTheme="minorHAnsi" w:hAnsiTheme="minorHAnsi" w:cstheme="minorBidi"/>
      <w:color w:val="auto"/>
      <w:spacing w:val="0"/>
      <w:sz w:val="22"/>
      <w:szCs w:val="22"/>
      <w:lang w:eastAsia="en-US"/>
    </w:rPr>
  </w:style>
  <w:style w:type="character" w:customStyle="1" w:styleId="FootnoteTextChar1">
    <w:name w:val="Footnote Text Char1"/>
    <w:aliases w:val="Footnote Text Char Char Char1"/>
    <w:basedOn w:val="DefaultParagraphFont"/>
    <w:semiHidden/>
    <w:rsid w:val="00D10A08"/>
    <w:rPr>
      <w:rFonts w:ascii="Arial" w:eastAsia="Times New Roman" w:hAnsi="Arial" w:cs="Times New Roman"/>
      <w:color w:val="001F00"/>
      <w:spacing w:val="6"/>
      <w:sz w:val="20"/>
      <w:szCs w:val="20"/>
      <w:lang w:val="en-GB" w:eastAsia="en-GB"/>
    </w:rPr>
  </w:style>
  <w:style w:type="character" w:customStyle="1" w:styleId="CommentTextChar">
    <w:name w:val="Comment Text Char"/>
    <w:basedOn w:val="DefaultParagraphFont"/>
    <w:link w:val="CommentText"/>
    <w:uiPriority w:val="99"/>
    <w:semiHidden/>
    <w:rsid w:val="00D10A08"/>
    <w:rPr>
      <w:rFonts w:ascii="Arial" w:eastAsia="Times New Roman" w:hAnsi="Arial" w:cs="Times New Roman"/>
      <w:color w:val="001F00"/>
      <w:spacing w:val="6"/>
      <w:sz w:val="20"/>
      <w:szCs w:val="20"/>
      <w:lang w:val="en-GB" w:eastAsia="en-GB"/>
    </w:rPr>
  </w:style>
  <w:style w:type="paragraph" w:styleId="CommentText">
    <w:name w:val="annotation text"/>
    <w:basedOn w:val="Normal"/>
    <w:link w:val="CommentTextChar"/>
    <w:uiPriority w:val="99"/>
    <w:semiHidden/>
    <w:unhideWhenUsed/>
    <w:rsid w:val="00D10A08"/>
    <w:rPr>
      <w:sz w:val="20"/>
      <w:szCs w:val="20"/>
    </w:rPr>
  </w:style>
  <w:style w:type="paragraph" w:styleId="Header">
    <w:name w:val="header"/>
    <w:basedOn w:val="Normal"/>
    <w:link w:val="HeaderChar"/>
    <w:uiPriority w:val="99"/>
    <w:unhideWhenUsed/>
    <w:rsid w:val="00D10A08"/>
    <w:pPr>
      <w:tabs>
        <w:tab w:val="center" w:pos="4153"/>
        <w:tab w:val="right" w:pos="8306"/>
      </w:tabs>
    </w:pPr>
  </w:style>
  <w:style w:type="character" w:customStyle="1" w:styleId="HeaderChar">
    <w:name w:val="Header Char"/>
    <w:basedOn w:val="DefaultParagraphFont"/>
    <w:link w:val="Header"/>
    <w:uiPriority w:val="99"/>
    <w:rsid w:val="00D10A08"/>
    <w:rPr>
      <w:rFonts w:ascii="Arial" w:eastAsia="Times New Roman" w:hAnsi="Arial" w:cs="Times New Roman"/>
      <w:color w:val="001F00"/>
      <w:spacing w:val="6"/>
      <w:sz w:val="18"/>
      <w:szCs w:val="18"/>
      <w:lang w:val="en-GB" w:eastAsia="en-GB"/>
    </w:rPr>
  </w:style>
  <w:style w:type="paragraph" w:styleId="Footer">
    <w:name w:val="footer"/>
    <w:basedOn w:val="Normal"/>
    <w:link w:val="FooterChar"/>
    <w:uiPriority w:val="99"/>
    <w:unhideWhenUsed/>
    <w:rsid w:val="00D10A08"/>
    <w:pPr>
      <w:tabs>
        <w:tab w:val="center" w:pos="4680"/>
        <w:tab w:val="right" w:pos="9360"/>
      </w:tabs>
    </w:pPr>
  </w:style>
  <w:style w:type="character" w:customStyle="1" w:styleId="FooterChar">
    <w:name w:val="Footer Char"/>
    <w:basedOn w:val="DefaultParagraphFont"/>
    <w:link w:val="Footer"/>
    <w:uiPriority w:val="99"/>
    <w:rsid w:val="00D10A08"/>
    <w:rPr>
      <w:rFonts w:ascii="Arial" w:eastAsia="Times New Roman" w:hAnsi="Arial" w:cs="Times New Roman"/>
      <w:color w:val="001F00"/>
      <w:spacing w:val="6"/>
      <w:sz w:val="18"/>
      <w:szCs w:val="18"/>
      <w:lang w:val="en-GB" w:eastAsia="en-GB"/>
    </w:rPr>
  </w:style>
  <w:style w:type="paragraph" w:styleId="Title">
    <w:name w:val="Title"/>
    <w:basedOn w:val="Normal"/>
    <w:next w:val="Normal"/>
    <w:link w:val="TitleChar"/>
    <w:uiPriority w:val="99"/>
    <w:qFormat/>
    <w:rsid w:val="00D10A0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D10A08"/>
    <w:rPr>
      <w:rFonts w:asciiTheme="majorHAnsi" w:eastAsiaTheme="majorEastAsia" w:hAnsiTheme="majorHAnsi" w:cstheme="majorBidi"/>
      <w:spacing w:val="-10"/>
      <w:kern w:val="28"/>
      <w:sz w:val="56"/>
      <w:szCs w:val="56"/>
      <w:lang w:val="en-GB" w:eastAsia="en-GB"/>
    </w:rPr>
  </w:style>
  <w:style w:type="paragraph" w:styleId="BodyText">
    <w:name w:val="Body Text"/>
    <w:basedOn w:val="Normal"/>
    <w:link w:val="BodyTextChar"/>
    <w:uiPriority w:val="99"/>
    <w:semiHidden/>
    <w:unhideWhenUsed/>
    <w:rsid w:val="00D10A08"/>
    <w:rPr>
      <w:rFonts w:cs="Arial"/>
      <w:color w:val="000000"/>
      <w:spacing w:val="0"/>
      <w:sz w:val="20"/>
      <w:szCs w:val="24"/>
      <w:lang w:val="en-ZA"/>
    </w:rPr>
  </w:style>
  <w:style w:type="character" w:customStyle="1" w:styleId="BodyTextChar">
    <w:name w:val="Body Text Char"/>
    <w:basedOn w:val="DefaultParagraphFont"/>
    <w:link w:val="BodyText"/>
    <w:uiPriority w:val="99"/>
    <w:semiHidden/>
    <w:rsid w:val="00D10A08"/>
    <w:rPr>
      <w:rFonts w:ascii="Arial" w:eastAsia="Times New Roman" w:hAnsi="Arial" w:cs="Arial"/>
      <w:color w:val="000000"/>
      <w:sz w:val="20"/>
      <w:szCs w:val="24"/>
      <w:lang w:val="en-ZA" w:eastAsia="en-GB"/>
    </w:rPr>
  </w:style>
  <w:style w:type="paragraph" w:styleId="Subtitle">
    <w:name w:val="Subtitle"/>
    <w:basedOn w:val="Normal"/>
    <w:next w:val="Normal"/>
    <w:link w:val="SubtitleChar"/>
    <w:uiPriority w:val="99"/>
    <w:qFormat/>
    <w:rsid w:val="00D10A08"/>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rsid w:val="00D10A08"/>
    <w:rPr>
      <w:rFonts w:ascii="Cambria" w:eastAsia="Times New Roman" w:hAnsi="Cambria" w:cs="Times New Roman"/>
      <w:color w:val="001F00"/>
      <w:spacing w:val="6"/>
      <w:sz w:val="24"/>
      <w:szCs w:val="24"/>
      <w:lang w:val="en-GB" w:eastAsia="en-GB"/>
    </w:rPr>
  </w:style>
  <w:style w:type="character" w:customStyle="1" w:styleId="CommentSubjectChar">
    <w:name w:val="Comment Subject Char"/>
    <w:basedOn w:val="CommentTextChar"/>
    <w:link w:val="CommentSubject"/>
    <w:uiPriority w:val="99"/>
    <w:semiHidden/>
    <w:rsid w:val="00D10A08"/>
    <w:rPr>
      <w:rFonts w:ascii="Arial" w:eastAsia="Times New Roman" w:hAnsi="Arial" w:cs="Times New Roman"/>
      <w:b/>
      <w:bCs/>
      <w:color w:val="001F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D10A08"/>
    <w:rPr>
      <w:b/>
      <w:bCs/>
    </w:rPr>
  </w:style>
  <w:style w:type="character" w:customStyle="1" w:styleId="BalloonTextChar">
    <w:name w:val="Balloon Text Char"/>
    <w:basedOn w:val="DefaultParagraphFont"/>
    <w:link w:val="BalloonText"/>
    <w:uiPriority w:val="99"/>
    <w:semiHidden/>
    <w:rsid w:val="00D10A08"/>
    <w:rPr>
      <w:rFonts w:ascii="Tahoma" w:eastAsia="Times New Roman" w:hAnsi="Tahoma" w:cs="Tahoma"/>
      <w:color w:val="001F00"/>
      <w:spacing w:val="6"/>
      <w:sz w:val="16"/>
      <w:szCs w:val="16"/>
      <w:lang w:val="en-GB" w:eastAsia="en-GB"/>
    </w:rPr>
  </w:style>
  <w:style w:type="paragraph" w:styleId="BalloonText">
    <w:name w:val="Balloon Text"/>
    <w:basedOn w:val="Normal"/>
    <w:link w:val="BalloonTextChar"/>
    <w:uiPriority w:val="99"/>
    <w:semiHidden/>
    <w:unhideWhenUsed/>
    <w:rsid w:val="00D10A08"/>
    <w:rPr>
      <w:rFonts w:ascii="Tahoma" w:hAnsi="Tahoma" w:cs="Tahoma"/>
      <w:sz w:val="16"/>
      <w:szCs w:val="16"/>
    </w:rPr>
  </w:style>
  <w:style w:type="character" w:customStyle="1" w:styleId="ListParagraphChar">
    <w:name w:val="List Paragraph Char"/>
    <w:basedOn w:val="DefaultParagraphFont"/>
    <w:link w:val="ListParagraph"/>
    <w:uiPriority w:val="34"/>
    <w:locked/>
    <w:rsid w:val="00D10A08"/>
    <w:rPr>
      <w:rFonts w:ascii="Calibri" w:eastAsia="Calibri" w:hAnsi="Calibri"/>
    </w:rPr>
  </w:style>
  <w:style w:type="paragraph" w:styleId="ListParagraph">
    <w:name w:val="List Paragraph"/>
    <w:basedOn w:val="Normal"/>
    <w:link w:val="ListParagraphChar"/>
    <w:uiPriority w:val="34"/>
    <w:qFormat/>
    <w:rsid w:val="00D10A08"/>
    <w:pPr>
      <w:spacing w:after="200" w:line="276" w:lineRule="auto"/>
      <w:ind w:left="720" w:hanging="567"/>
      <w:contextualSpacing/>
    </w:pPr>
    <w:rPr>
      <w:rFonts w:ascii="Calibri" w:eastAsia="Calibri" w:hAnsi="Calibri" w:cstheme="minorBidi"/>
      <w:color w:val="auto"/>
      <w:spacing w:val="0"/>
      <w:sz w:val="22"/>
      <w:szCs w:val="22"/>
      <w:lang w:val="en-US" w:eastAsia="en-US"/>
    </w:rPr>
  </w:style>
  <w:style w:type="paragraph" w:customStyle="1" w:styleId="Normalbold">
    <w:name w:val="Normal bold"/>
    <w:basedOn w:val="Normal"/>
    <w:uiPriority w:val="99"/>
    <w:rsid w:val="00D10A08"/>
    <w:pPr>
      <w:spacing w:line="280" w:lineRule="exact"/>
    </w:pPr>
    <w:rPr>
      <w:rFonts w:eastAsia="MS Mincho"/>
      <w:b/>
      <w:color w:val="000000"/>
    </w:rPr>
  </w:style>
  <w:style w:type="paragraph" w:customStyle="1" w:styleId="Char">
    <w:name w:val="Char"/>
    <w:basedOn w:val="Normal"/>
    <w:uiPriority w:val="99"/>
    <w:rsid w:val="00D10A08"/>
    <w:pPr>
      <w:spacing w:after="160" w:line="240" w:lineRule="exact"/>
    </w:pPr>
    <w:rPr>
      <w:rFonts w:eastAsia="MS Mincho"/>
      <w:bCs/>
      <w:color w:val="auto"/>
      <w:spacing w:val="0"/>
      <w:sz w:val="22"/>
      <w:szCs w:val="24"/>
      <w:lang w:val="en-US" w:eastAsia="en-US"/>
    </w:rPr>
  </w:style>
  <w:style w:type="paragraph" w:customStyle="1" w:styleId="ColorfulList-Accent11">
    <w:name w:val="Colorful List - Accent 11"/>
    <w:basedOn w:val="Normal"/>
    <w:uiPriority w:val="34"/>
    <w:qFormat/>
    <w:rsid w:val="00D10A08"/>
    <w:pPr>
      <w:ind w:left="720"/>
    </w:pPr>
  </w:style>
  <w:style w:type="paragraph" w:customStyle="1" w:styleId="Default">
    <w:name w:val="Default"/>
    <w:uiPriority w:val="99"/>
    <w:rsid w:val="00D10A08"/>
    <w:pPr>
      <w:autoSpaceDE w:val="0"/>
      <w:autoSpaceDN w:val="0"/>
      <w:adjustRightInd w:val="0"/>
      <w:spacing w:after="0" w:line="240" w:lineRule="auto"/>
    </w:pPr>
    <w:rPr>
      <w:rFonts w:ascii="Arial" w:eastAsia="Batang" w:hAnsi="Arial" w:cs="Arial"/>
      <w:color w:val="000000"/>
      <w:sz w:val="24"/>
      <w:szCs w:val="24"/>
      <w:lang w:val="en-ZA" w:eastAsia="en-ZA"/>
    </w:rPr>
  </w:style>
  <w:style w:type="character" w:styleId="FootnoteReference">
    <w:name w:val="footnote reference"/>
    <w:semiHidden/>
    <w:unhideWhenUsed/>
    <w:rsid w:val="00D10A08"/>
    <w:rPr>
      <w:rFonts w:ascii="Times New Roman" w:hAnsi="Times New Roman" w:cs="Times New Roman" w:hint="default"/>
      <w:vertAlign w:val="superscript"/>
    </w:rPr>
  </w:style>
  <w:style w:type="character" w:customStyle="1" w:styleId="apple-style-span">
    <w:name w:val="apple-style-span"/>
    <w:basedOn w:val="DefaultParagraphFont"/>
    <w:rsid w:val="00D10A08"/>
  </w:style>
  <w:style w:type="character" w:customStyle="1" w:styleId="apple-converted-space">
    <w:name w:val="apple-converted-space"/>
    <w:basedOn w:val="DefaultParagraphFont"/>
    <w:rsid w:val="00D10A08"/>
  </w:style>
  <w:style w:type="character" w:customStyle="1" w:styleId="Heading5Char">
    <w:name w:val="Heading 5 Char"/>
    <w:basedOn w:val="DefaultParagraphFont"/>
    <w:link w:val="Heading5"/>
    <w:semiHidden/>
    <w:rsid w:val="002106CD"/>
    <w:rPr>
      <w:rFonts w:asciiTheme="majorHAnsi" w:eastAsiaTheme="majorEastAsia" w:hAnsiTheme="majorHAnsi" w:cstheme="majorBidi"/>
      <w:color w:val="2E74B5" w:themeColor="accent1" w:themeShade="BF"/>
      <w:spacing w:val="6"/>
      <w:sz w:val="18"/>
      <w:szCs w:val="18"/>
      <w:lang w:val="en-GB" w:eastAsia="en-GB"/>
    </w:rPr>
  </w:style>
  <w:style w:type="table" w:styleId="TableGrid">
    <w:name w:val="Table Grid"/>
    <w:basedOn w:val="TableNormal"/>
    <w:uiPriority w:val="39"/>
    <w:rsid w:val="00BB3B0F"/>
    <w:pPr>
      <w:spacing w:after="0" w:line="240" w:lineRule="auto"/>
    </w:pPr>
    <w:rPr>
      <w:rFonts w:ascii="Times New Roman" w:eastAsia="Batang" w:hAnsi="Times New Roman" w:cs="Times New Roman"/>
      <w:sz w:val="20"/>
      <w:szCs w:val="20"/>
      <w:lang w:val="en-ZA" w:eastAsia="en-Z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
    <w:name w:val="Pa1"/>
    <w:basedOn w:val="Default"/>
    <w:next w:val="Default"/>
    <w:uiPriority w:val="99"/>
    <w:rsid w:val="00D1418F"/>
    <w:pPr>
      <w:spacing w:line="201" w:lineRule="atLeast"/>
    </w:pPr>
    <w:rPr>
      <w:rFonts w:ascii="Arial Narrow" w:eastAsiaTheme="minorHAnsi" w:hAnsi="Arial Narrow" w:cstheme="minorBidi"/>
      <w:color w:val="auto"/>
      <w:lang w:val="en-US" w:eastAsia="en-US"/>
    </w:rPr>
  </w:style>
  <w:style w:type="paragraph" w:customStyle="1" w:styleId="Pa5">
    <w:name w:val="Pa5"/>
    <w:basedOn w:val="Default"/>
    <w:next w:val="Default"/>
    <w:uiPriority w:val="99"/>
    <w:rsid w:val="00220291"/>
    <w:pPr>
      <w:spacing w:line="201" w:lineRule="atLeast"/>
    </w:pPr>
    <w:rPr>
      <w:rFonts w:ascii="Arial Narrow" w:eastAsiaTheme="minorHAnsi" w:hAnsi="Arial Narrow" w:cstheme="minorBidi"/>
      <w:color w:val="auto"/>
      <w:lang w:val="en-US" w:eastAsia="en-US"/>
    </w:rPr>
  </w:style>
  <w:style w:type="paragraph" w:customStyle="1" w:styleId="Pa16">
    <w:name w:val="Pa16"/>
    <w:basedOn w:val="Default"/>
    <w:next w:val="Default"/>
    <w:uiPriority w:val="99"/>
    <w:rsid w:val="00220291"/>
    <w:pPr>
      <w:spacing w:line="201" w:lineRule="atLeast"/>
    </w:pPr>
    <w:rPr>
      <w:rFonts w:ascii="Arial Narrow" w:eastAsiaTheme="minorHAnsi" w:hAnsi="Arial Narrow" w:cstheme="minorBidi"/>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08"/>
    <w:pPr>
      <w:spacing w:after="0" w:line="240" w:lineRule="auto"/>
    </w:pPr>
    <w:rPr>
      <w:rFonts w:ascii="Arial" w:eastAsia="Times New Roman" w:hAnsi="Arial" w:cs="Times New Roman"/>
      <w:color w:val="001F00"/>
      <w:spacing w:val="6"/>
      <w:sz w:val="18"/>
      <w:szCs w:val="18"/>
      <w:lang w:val="en-GB" w:eastAsia="en-GB"/>
    </w:rPr>
  </w:style>
  <w:style w:type="paragraph" w:styleId="Heading2">
    <w:name w:val="heading 2"/>
    <w:basedOn w:val="Normal"/>
    <w:next w:val="Normal"/>
    <w:link w:val="Heading2Char"/>
    <w:qFormat/>
    <w:rsid w:val="00D10A08"/>
    <w:pPr>
      <w:keepNext/>
      <w:outlineLvl w:val="1"/>
    </w:pPr>
    <w:rPr>
      <w:rFonts w:cs="Arial"/>
      <w:b/>
      <w:bCs/>
      <w:iCs/>
    </w:rPr>
  </w:style>
  <w:style w:type="paragraph" w:styleId="Heading5">
    <w:name w:val="heading 5"/>
    <w:basedOn w:val="Normal"/>
    <w:next w:val="Normal"/>
    <w:link w:val="Heading5Char"/>
    <w:uiPriority w:val="9"/>
    <w:semiHidden/>
    <w:unhideWhenUsed/>
    <w:qFormat/>
    <w:rsid w:val="002106C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0A08"/>
    <w:rPr>
      <w:rFonts w:ascii="Arial" w:eastAsia="Times New Roman" w:hAnsi="Arial" w:cs="Arial"/>
      <w:b/>
      <w:bCs/>
      <w:iCs/>
      <w:color w:val="001F00"/>
      <w:spacing w:val="6"/>
      <w:sz w:val="18"/>
      <w:szCs w:val="18"/>
      <w:lang w:val="en-GB" w:eastAsia="en-GB"/>
    </w:rPr>
  </w:style>
  <w:style w:type="character" w:styleId="Hyperlink">
    <w:name w:val="Hyperlink"/>
    <w:semiHidden/>
    <w:unhideWhenUsed/>
    <w:rsid w:val="00D10A08"/>
    <w:rPr>
      <w:color w:val="0000FF"/>
      <w:u w:val="single"/>
    </w:rPr>
  </w:style>
  <w:style w:type="paragraph" w:customStyle="1" w:styleId="msonormal0">
    <w:name w:val="msonormal"/>
    <w:basedOn w:val="Normal"/>
    <w:uiPriority w:val="99"/>
    <w:rsid w:val="00D10A08"/>
    <w:pPr>
      <w:spacing w:before="100" w:beforeAutospacing="1" w:after="100" w:afterAutospacing="1"/>
    </w:pPr>
    <w:rPr>
      <w:rFonts w:ascii="Times New Roman" w:hAnsi="Times New Roman"/>
      <w:color w:val="auto"/>
      <w:spacing w:val="0"/>
      <w:sz w:val="24"/>
      <w:szCs w:val="24"/>
      <w:lang w:val="en-US" w:eastAsia="en-US"/>
    </w:rPr>
  </w:style>
  <w:style w:type="paragraph" w:styleId="NormalWeb">
    <w:name w:val="Normal (Web)"/>
    <w:basedOn w:val="Normal"/>
    <w:uiPriority w:val="99"/>
    <w:unhideWhenUsed/>
    <w:rsid w:val="00D10A08"/>
    <w:pPr>
      <w:spacing w:before="100" w:beforeAutospacing="1" w:after="100" w:afterAutospacing="1"/>
    </w:pPr>
    <w:rPr>
      <w:rFonts w:ascii="Times New Roman" w:hAnsi="Times New Roman"/>
      <w:color w:val="auto"/>
      <w:spacing w:val="0"/>
      <w:sz w:val="24"/>
      <w:szCs w:val="24"/>
      <w:lang w:val="en-US" w:eastAsia="en-US"/>
    </w:rPr>
  </w:style>
  <w:style w:type="character" w:customStyle="1" w:styleId="FootnoteTextChar">
    <w:name w:val="Footnote Text Char"/>
    <w:aliases w:val="Footnote Text Char Char Char,fn Char Char"/>
    <w:link w:val="FootnoteText"/>
    <w:locked/>
    <w:rsid w:val="00D10A08"/>
    <w:rPr>
      <w:lang w:val="en-GB"/>
    </w:rPr>
  </w:style>
  <w:style w:type="paragraph" w:styleId="FootnoteText">
    <w:name w:val="footnote text"/>
    <w:aliases w:val="Footnote Text Char Char,fn Char"/>
    <w:basedOn w:val="Normal"/>
    <w:link w:val="FootnoteTextChar"/>
    <w:unhideWhenUsed/>
    <w:qFormat/>
    <w:rsid w:val="00D10A08"/>
    <w:rPr>
      <w:rFonts w:asciiTheme="minorHAnsi" w:eastAsiaTheme="minorHAnsi" w:hAnsiTheme="minorHAnsi" w:cstheme="minorBidi"/>
      <w:color w:val="auto"/>
      <w:spacing w:val="0"/>
      <w:sz w:val="22"/>
      <w:szCs w:val="22"/>
      <w:lang w:eastAsia="en-US"/>
    </w:rPr>
  </w:style>
  <w:style w:type="character" w:customStyle="1" w:styleId="FootnoteTextChar1">
    <w:name w:val="Footnote Text Char1"/>
    <w:aliases w:val="Footnote Text Char Char Char1"/>
    <w:basedOn w:val="DefaultParagraphFont"/>
    <w:semiHidden/>
    <w:rsid w:val="00D10A08"/>
    <w:rPr>
      <w:rFonts w:ascii="Arial" w:eastAsia="Times New Roman" w:hAnsi="Arial" w:cs="Times New Roman"/>
      <w:color w:val="001F00"/>
      <w:spacing w:val="6"/>
      <w:sz w:val="20"/>
      <w:szCs w:val="20"/>
      <w:lang w:val="en-GB" w:eastAsia="en-GB"/>
    </w:rPr>
  </w:style>
  <w:style w:type="character" w:customStyle="1" w:styleId="CommentTextChar">
    <w:name w:val="Comment Text Char"/>
    <w:basedOn w:val="DefaultParagraphFont"/>
    <w:link w:val="CommentText"/>
    <w:uiPriority w:val="99"/>
    <w:semiHidden/>
    <w:rsid w:val="00D10A08"/>
    <w:rPr>
      <w:rFonts w:ascii="Arial" w:eastAsia="Times New Roman" w:hAnsi="Arial" w:cs="Times New Roman"/>
      <w:color w:val="001F00"/>
      <w:spacing w:val="6"/>
      <w:sz w:val="20"/>
      <w:szCs w:val="20"/>
      <w:lang w:val="en-GB" w:eastAsia="en-GB"/>
    </w:rPr>
  </w:style>
  <w:style w:type="paragraph" w:styleId="CommentText">
    <w:name w:val="annotation text"/>
    <w:basedOn w:val="Normal"/>
    <w:link w:val="CommentTextChar"/>
    <w:uiPriority w:val="99"/>
    <w:semiHidden/>
    <w:unhideWhenUsed/>
    <w:rsid w:val="00D10A08"/>
    <w:rPr>
      <w:sz w:val="20"/>
      <w:szCs w:val="20"/>
    </w:rPr>
  </w:style>
  <w:style w:type="paragraph" w:styleId="Header">
    <w:name w:val="header"/>
    <w:basedOn w:val="Normal"/>
    <w:link w:val="HeaderChar"/>
    <w:uiPriority w:val="99"/>
    <w:unhideWhenUsed/>
    <w:rsid w:val="00D10A08"/>
    <w:pPr>
      <w:tabs>
        <w:tab w:val="center" w:pos="4153"/>
        <w:tab w:val="right" w:pos="8306"/>
      </w:tabs>
    </w:pPr>
  </w:style>
  <w:style w:type="character" w:customStyle="1" w:styleId="HeaderChar">
    <w:name w:val="Header Char"/>
    <w:basedOn w:val="DefaultParagraphFont"/>
    <w:link w:val="Header"/>
    <w:uiPriority w:val="99"/>
    <w:rsid w:val="00D10A08"/>
    <w:rPr>
      <w:rFonts w:ascii="Arial" w:eastAsia="Times New Roman" w:hAnsi="Arial" w:cs="Times New Roman"/>
      <w:color w:val="001F00"/>
      <w:spacing w:val="6"/>
      <w:sz w:val="18"/>
      <w:szCs w:val="18"/>
      <w:lang w:val="en-GB" w:eastAsia="en-GB"/>
    </w:rPr>
  </w:style>
  <w:style w:type="paragraph" w:styleId="Footer">
    <w:name w:val="footer"/>
    <w:basedOn w:val="Normal"/>
    <w:link w:val="FooterChar"/>
    <w:uiPriority w:val="99"/>
    <w:unhideWhenUsed/>
    <w:rsid w:val="00D10A08"/>
    <w:pPr>
      <w:tabs>
        <w:tab w:val="center" w:pos="4680"/>
        <w:tab w:val="right" w:pos="9360"/>
      </w:tabs>
    </w:pPr>
  </w:style>
  <w:style w:type="character" w:customStyle="1" w:styleId="FooterChar">
    <w:name w:val="Footer Char"/>
    <w:basedOn w:val="DefaultParagraphFont"/>
    <w:link w:val="Footer"/>
    <w:uiPriority w:val="99"/>
    <w:rsid w:val="00D10A08"/>
    <w:rPr>
      <w:rFonts w:ascii="Arial" w:eastAsia="Times New Roman" w:hAnsi="Arial" w:cs="Times New Roman"/>
      <w:color w:val="001F00"/>
      <w:spacing w:val="6"/>
      <w:sz w:val="18"/>
      <w:szCs w:val="18"/>
      <w:lang w:val="en-GB" w:eastAsia="en-GB"/>
    </w:rPr>
  </w:style>
  <w:style w:type="paragraph" w:styleId="Title">
    <w:name w:val="Title"/>
    <w:basedOn w:val="Normal"/>
    <w:next w:val="Normal"/>
    <w:link w:val="TitleChar"/>
    <w:uiPriority w:val="99"/>
    <w:qFormat/>
    <w:rsid w:val="00D10A0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D10A08"/>
    <w:rPr>
      <w:rFonts w:asciiTheme="majorHAnsi" w:eastAsiaTheme="majorEastAsia" w:hAnsiTheme="majorHAnsi" w:cstheme="majorBidi"/>
      <w:spacing w:val="-10"/>
      <w:kern w:val="28"/>
      <w:sz w:val="56"/>
      <w:szCs w:val="56"/>
      <w:lang w:val="en-GB" w:eastAsia="en-GB"/>
    </w:rPr>
  </w:style>
  <w:style w:type="paragraph" w:styleId="BodyText">
    <w:name w:val="Body Text"/>
    <w:basedOn w:val="Normal"/>
    <w:link w:val="BodyTextChar"/>
    <w:uiPriority w:val="99"/>
    <w:semiHidden/>
    <w:unhideWhenUsed/>
    <w:rsid w:val="00D10A08"/>
    <w:rPr>
      <w:rFonts w:cs="Arial"/>
      <w:color w:val="000000"/>
      <w:spacing w:val="0"/>
      <w:sz w:val="20"/>
      <w:szCs w:val="24"/>
      <w:lang w:val="en-ZA"/>
    </w:rPr>
  </w:style>
  <w:style w:type="character" w:customStyle="1" w:styleId="BodyTextChar">
    <w:name w:val="Body Text Char"/>
    <w:basedOn w:val="DefaultParagraphFont"/>
    <w:link w:val="BodyText"/>
    <w:uiPriority w:val="99"/>
    <w:semiHidden/>
    <w:rsid w:val="00D10A08"/>
    <w:rPr>
      <w:rFonts w:ascii="Arial" w:eastAsia="Times New Roman" w:hAnsi="Arial" w:cs="Arial"/>
      <w:color w:val="000000"/>
      <w:sz w:val="20"/>
      <w:szCs w:val="24"/>
      <w:lang w:val="en-ZA" w:eastAsia="en-GB"/>
    </w:rPr>
  </w:style>
  <w:style w:type="paragraph" w:styleId="Subtitle">
    <w:name w:val="Subtitle"/>
    <w:basedOn w:val="Normal"/>
    <w:next w:val="Normal"/>
    <w:link w:val="SubtitleChar"/>
    <w:uiPriority w:val="99"/>
    <w:qFormat/>
    <w:rsid w:val="00D10A08"/>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rsid w:val="00D10A08"/>
    <w:rPr>
      <w:rFonts w:ascii="Cambria" w:eastAsia="Times New Roman" w:hAnsi="Cambria" w:cs="Times New Roman"/>
      <w:color w:val="001F00"/>
      <w:spacing w:val="6"/>
      <w:sz w:val="24"/>
      <w:szCs w:val="24"/>
      <w:lang w:val="en-GB" w:eastAsia="en-GB"/>
    </w:rPr>
  </w:style>
  <w:style w:type="character" w:customStyle="1" w:styleId="CommentSubjectChar">
    <w:name w:val="Comment Subject Char"/>
    <w:basedOn w:val="CommentTextChar"/>
    <w:link w:val="CommentSubject"/>
    <w:uiPriority w:val="99"/>
    <w:semiHidden/>
    <w:rsid w:val="00D10A08"/>
    <w:rPr>
      <w:rFonts w:ascii="Arial" w:eastAsia="Times New Roman" w:hAnsi="Arial" w:cs="Times New Roman"/>
      <w:b/>
      <w:bCs/>
      <w:color w:val="001F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D10A08"/>
    <w:rPr>
      <w:b/>
      <w:bCs/>
    </w:rPr>
  </w:style>
  <w:style w:type="character" w:customStyle="1" w:styleId="BalloonTextChar">
    <w:name w:val="Balloon Text Char"/>
    <w:basedOn w:val="DefaultParagraphFont"/>
    <w:link w:val="BalloonText"/>
    <w:uiPriority w:val="99"/>
    <w:semiHidden/>
    <w:rsid w:val="00D10A08"/>
    <w:rPr>
      <w:rFonts w:ascii="Tahoma" w:eastAsia="Times New Roman" w:hAnsi="Tahoma" w:cs="Tahoma"/>
      <w:color w:val="001F00"/>
      <w:spacing w:val="6"/>
      <w:sz w:val="16"/>
      <w:szCs w:val="16"/>
      <w:lang w:val="en-GB" w:eastAsia="en-GB"/>
    </w:rPr>
  </w:style>
  <w:style w:type="paragraph" w:styleId="BalloonText">
    <w:name w:val="Balloon Text"/>
    <w:basedOn w:val="Normal"/>
    <w:link w:val="BalloonTextChar"/>
    <w:uiPriority w:val="99"/>
    <w:semiHidden/>
    <w:unhideWhenUsed/>
    <w:rsid w:val="00D10A08"/>
    <w:rPr>
      <w:rFonts w:ascii="Tahoma" w:hAnsi="Tahoma" w:cs="Tahoma"/>
      <w:sz w:val="16"/>
      <w:szCs w:val="16"/>
    </w:rPr>
  </w:style>
  <w:style w:type="character" w:customStyle="1" w:styleId="ListParagraphChar">
    <w:name w:val="List Paragraph Char"/>
    <w:basedOn w:val="DefaultParagraphFont"/>
    <w:link w:val="ListParagraph"/>
    <w:uiPriority w:val="34"/>
    <w:locked/>
    <w:rsid w:val="00D10A08"/>
    <w:rPr>
      <w:rFonts w:ascii="Calibri" w:eastAsia="Calibri" w:hAnsi="Calibri"/>
    </w:rPr>
  </w:style>
  <w:style w:type="paragraph" w:styleId="ListParagraph">
    <w:name w:val="List Paragraph"/>
    <w:basedOn w:val="Normal"/>
    <w:link w:val="ListParagraphChar"/>
    <w:uiPriority w:val="34"/>
    <w:qFormat/>
    <w:rsid w:val="00D10A08"/>
    <w:pPr>
      <w:spacing w:after="200" w:line="276" w:lineRule="auto"/>
      <w:ind w:left="720" w:hanging="567"/>
      <w:contextualSpacing/>
    </w:pPr>
    <w:rPr>
      <w:rFonts w:ascii="Calibri" w:eastAsia="Calibri" w:hAnsi="Calibri" w:cstheme="minorBidi"/>
      <w:color w:val="auto"/>
      <w:spacing w:val="0"/>
      <w:sz w:val="22"/>
      <w:szCs w:val="22"/>
      <w:lang w:val="en-US" w:eastAsia="en-US"/>
    </w:rPr>
  </w:style>
  <w:style w:type="paragraph" w:customStyle="1" w:styleId="Normalbold">
    <w:name w:val="Normal bold"/>
    <w:basedOn w:val="Normal"/>
    <w:uiPriority w:val="99"/>
    <w:rsid w:val="00D10A08"/>
    <w:pPr>
      <w:spacing w:line="280" w:lineRule="exact"/>
    </w:pPr>
    <w:rPr>
      <w:rFonts w:eastAsia="MS Mincho"/>
      <w:b/>
      <w:color w:val="000000"/>
    </w:rPr>
  </w:style>
  <w:style w:type="paragraph" w:customStyle="1" w:styleId="Char">
    <w:name w:val="Char"/>
    <w:basedOn w:val="Normal"/>
    <w:uiPriority w:val="99"/>
    <w:rsid w:val="00D10A08"/>
    <w:pPr>
      <w:spacing w:after="160" w:line="240" w:lineRule="exact"/>
    </w:pPr>
    <w:rPr>
      <w:rFonts w:eastAsia="MS Mincho"/>
      <w:bCs/>
      <w:color w:val="auto"/>
      <w:spacing w:val="0"/>
      <w:sz w:val="22"/>
      <w:szCs w:val="24"/>
      <w:lang w:val="en-US" w:eastAsia="en-US"/>
    </w:rPr>
  </w:style>
  <w:style w:type="paragraph" w:customStyle="1" w:styleId="ColorfulList-Accent11">
    <w:name w:val="Colorful List - Accent 11"/>
    <w:basedOn w:val="Normal"/>
    <w:uiPriority w:val="34"/>
    <w:qFormat/>
    <w:rsid w:val="00D10A08"/>
    <w:pPr>
      <w:ind w:left="720"/>
    </w:pPr>
  </w:style>
  <w:style w:type="paragraph" w:customStyle="1" w:styleId="Default">
    <w:name w:val="Default"/>
    <w:uiPriority w:val="99"/>
    <w:rsid w:val="00D10A08"/>
    <w:pPr>
      <w:autoSpaceDE w:val="0"/>
      <w:autoSpaceDN w:val="0"/>
      <w:adjustRightInd w:val="0"/>
      <w:spacing w:after="0" w:line="240" w:lineRule="auto"/>
    </w:pPr>
    <w:rPr>
      <w:rFonts w:ascii="Arial" w:eastAsia="Batang" w:hAnsi="Arial" w:cs="Arial"/>
      <w:color w:val="000000"/>
      <w:sz w:val="24"/>
      <w:szCs w:val="24"/>
      <w:lang w:val="en-ZA" w:eastAsia="en-ZA"/>
    </w:rPr>
  </w:style>
  <w:style w:type="character" w:styleId="FootnoteReference">
    <w:name w:val="footnote reference"/>
    <w:semiHidden/>
    <w:unhideWhenUsed/>
    <w:rsid w:val="00D10A08"/>
    <w:rPr>
      <w:rFonts w:ascii="Times New Roman" w:hAnsi="Times New Roman" w:cs="Times New Roman" w:hint="default"/>
      <w:vertAlign w:val="superscript"/>
    </w:rPr>
  </w:style>
  <w:style w:type="character" w:customStyle="1" w:styleId="apple-style-span">
    <w:name w:val="apple-style-span"/>
    <w:basedOn w:val="DefaultParagraphFont"/>
    <w:rsid w:val="00D10A08"/>
  </w:style>
  <w:style w:type="character" w:customStyle="1" w:styleId="apple-converted-space">
    <w:name w:val="apple-converted-space"/>
    <w:basedOn w:val="DefaultParagraphFont"/>
    <w:rsid w:val="00D10A08"/>
  </w:style>
  <w:style w:type="character" w:customStyle="1" w:styleId="Heading5Char">
    <w:name w:val="Heading 5 Char"/>
    <w:basedOn w:val="DefaultParagraphFont"/>
    <w:link w:val="Heading5"/>
    <w:semiHidden/>
    <w:rsid w:val="002106CD"/>
    <w:rPr>
      <w:rFonts w:asciiTheme="majorHAnsi" w:eastAsiaTheme="majorEastAsia" w:hAnsiTheme="majorHAnsi" w:cstheme="majorBidi"/>
      <w:color w:val="2E74B5" w:themeColor="accent1" w:themeShade="BF"/>
      <w:spacing w:val="6"/>
      <w:sz w:val="18"/>
      <w:szCs w:val="18"/>
      <w:lang w:val="en-GB" w:eastAsia="en-GB"/>
    </w:rPr>
  </w:style>
  <w:style w:type="table" w:styleId="TableGrid">
    <w:name w:val="Table Grid"/>
    <w:basedOn w:val="TableNormal"/>
    <w:uiPriority w:val="39"/>
    <w:rsid w:val="00BB3B0F"/>
    <w:pPr>
      <w:spacing w:after="0" w:line="240" w:lineRule="auto"/>
    </w:pPr>
    <w:rPr>
      <w:rFonts w:ascii="Times New Roman" w:eastAsia="Batang" w:hAnsi="Times New Roman" w:cs="Times New Roman"/>
      <w:sz w:val="20"/>
      <w:szCs w:val="20"/>
      <w:lang w:val="en-ZA" w:eastAsia="en-Z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
    <w:name w:val="Pa1"/>
    <w:basedOn w:val="Default"/>
    <w:next w:val="Default"/>
    <w:uiPriority w:val="99"/>
    <w:rsid w:val="00D1418F"/>
    <w:pPr>
      <w:spacing w:line="201" w:lineRule="atLeast"/>
    </w:pPr>
    <w:rPr>
      <w:rFonts w:ascii="Arial Narrow" w:eastAsiaTheme="minorHAnsi" w:hAnsi="Arial Narrow" w:cstheme="minorBidi"/>
      <w:color w:val="auto"/>
      <w:lang w:val="en-US" w:eastAsia="en-US"/>
    </w:rPr>
  </w:style>
  <w:style w:type="paragraph" w:customStyle="1" w:styleId="Pa5">
    <w:name w:val="Pa5"/>
    <w:basedOn w:val="Default"/>
    <w:next w:val="Default"/>
    <w:uiPriority w:val="99"/>
    <w:rsid w:val="00220291"/>
    <w:pPr>
      <w:spacing w:line="201" w:lineRule="atLeast"/>
    </w:pPr>
    <w:rPr>
      <w:rFonts w:ascii="Arial Narrow" w:eastAsiaTheme="minorHAnsi" w:hAnsi="Arial Narrow" w:cstheme="minorBidi"/>
      <w:color w:val="auto"/>
      <w:lang w:val="en-US" w:eastAsia="en-US"/>
    </w:rPr>
  </w:style>
  <w:style w:type="paragraph" w:customStyle="1" w:styleId="Pa16">
    <w:name w:val="Pa16"/>
    <w:basedOn w:val="Default"/>
    <w:next w:val="Default"/>
    <w:uiPriority w:val="99"/>
    <w:rsid w:val="00220291"/>
    <w:pPr>
      <w:spacing w:line="201" w:lineRule="atLeast"/>
    </w:pPr>
    <w:rPr>
      <w:rFonts w:ascii="Arial Narrow" w:eastAsiaTheme="minorHAnsi" w:hAnsi="Arial Narrow"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82021">
      <w:bodyDiv w:val="1"/>
      <w:marLeft w:val="0"/>
      <w:marRight w:val="0"/>
      <w:marTop w:val="0"/>
      <w:marBottom w:val="0"/>
      <w:divBdr>
        <w:top w:val="none" w:sz="0" w:space="0" w:color="auto"/>
        <w:left w:val="none" w:sz="0" w:space="0" w:color="auto"/>
        <w:bottom w:val="none" w:sz="0" w:space="0" w:color="auto"/>
        <w:right w:val="none" w:sz="0" w:space="0" w:color="auto"/>
      </w:divBdr>
    </w:div>
    <w:div w:id="1079405299">
      <w:bodyDiv w:val="1"/>
      <w:marLeft w:val="0"/>
      <w:marRight w:val="0"/>
      <w:marTop w:val="0"/>
      <w:marBottom w:val="0"/>
      <w:divBdr>
        <w:top w:val="none" w:sz="0" w:space="0" w:color="auto"/>
        <w:left w:val="none" w:sz="0" w:space="0" w:color="auto"/>
        <w:bottom w:val="none" w:sz="0" w:space="0" w:color="auto"/>
        <w:right w:val="none" w:sz="0" w:space="0" w:color="auto"/>
      </w:divBdr>
    </w:div>
    <w:div w:id="1287850429">
      <w:bodyDiv w:val="1"/>
      <w:marLeft w:val="0"/>
      <w:marRight w:val="0"/>
      <w:marTop w:val="0"/>
      <w:marBottom w:val="0"/>
      <w:divBdr>
        <w:top w:val="none" w:sz="0" w:space="0" w:color="auto"/>
        <w:left w:val="none" w:sz="0" w:space="0" w:color="auto"/>
        <w:bottom w:val="none" w:sz="0" w:space="0" w:color="auto"/>
        <w:right w:val="none" w:sz="0" w:space="0" w:color="auto"/>
      </w:divBdr>
    </w:div>
    <w:div w:id="1335836787">
      <w:bodyDiv w:val="1"/>
      <w:marLeft w:val="0"/>
      <w:marRight w:val="0"/>
      <w:marTop w:val="0"/>
      <w:marBottom w:val="0"/>
      <w:divBdr>
        <w:top w:val="none" w:sz="0" w:space="0" w:color="auto"/>
        <w:left w:val="none" w:sz="0" w:space="0" w:color="auto"/>
        <w:bottom w:val="none" w:sz="0" w:space="0" w:color="auto"/>
        <w:right w:val="none" w:sz="0" w:space="0" w:color="auto"/>
      </w:divBdr>
    </w:div>
    <w:div w:id="14095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5CD5-8862-428B-9A40-C174989C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7371</Words>
  <Characters>42020</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 Mnguni</dc:creator>
  <cp:lastModifiedBy>Asanda</cp:lastModifiedBy>
  <cp:revision>2</cp:revision>
  <cp:lastPrinted>2019-07-04T17:47:00Z</cp:lastPrinted>
  <dcterms:created xsi:type="dcterms:W3CDTF">2019-07-08T11:07:00Z</dcterms:created>
  <dcterms:modified xsi:type="dcterms:W3CDTF">2019-07-08T11:07:00Z</dcterms:modified>
</cp:coreProperties>
</file>